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698D7" w14:textId="551BA5BB" w:rsidR="00A72AA5" w:rsidRPr="009F333A" w:rsidRDefault="008250B7" w:rsidP="008250B7">
      <w:pPr>
        <w:pStyle w:val="Pagedecouverture"/>
        <w:rPr>
          <w:noProof/>
        </w:rPr>
      </w:pPr>
      <w:bookmarkStart w:id="0" w:name="LW_BM_COVERPAGE"/>
      <w:r>
        <w:rPr>
          <w:noProof/>
        </w:rPr>
        <w:pict w14:anchorId="3C8ED3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9AD88C-C30B-4AD1-9AE7-C89E16C7507B" style="width:455.25pt;height:324pt">
            <v:imagedata r:id="rId11" o:title=""/>
          </v:shape>
        </w:pict>
      </w:r>
    </w:p>
    <w:bookmarkEnd w:id="0"/>
    <w:p w14:paraId="385A1CEF" w14:textId="1F7A8E47" w:rsidR="005354D2" w:rsidRPr="009F333A" w:rsidRDefault="005354D2" w:rsidP="5CF6D586">
      <w:pPr>
        <w:pStyle w:val="Pagedecouverture"/>
        <w:rPr>
          <w:noProof/>
        </w:rPr>
        <w:sectPr w:rsidR="005354D2" w:rsidRPr="009F333A" w:rsidSect="008250B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1C3D456" w14:textId="77777777" w:rsidR="0027310C" w:rsidRPr="009F333A" w:rsidRDefault="0027310C" w:rsidP="0027310C">
      <w:pPr>
        <w:spacing w:after="0"/>
        <w:jc w:val="center"/>
        <w:rPr>
          <w:rFonts w:ascii="Times New Roman" w:hAnsi="Times New Roman" w:cs="Times New Roman"/>
          <w:b/>
          <w:bCs/>
          <w:noProof/>
        </w:rPr>
      </w:pPr>
      <w:bookmarkStart w:id="1" w:name="_GoBack"/>
      <w:bookmarkEnd w:id="1"/>
    </w:p>
    <w:p w14:paraId="6F773E9D" w14:textId="16A77B8F" w:rsidR="004064F2" w:rsidRDefault="0027310C" w:rsidP="00EF2686">
      <w:pPr>
        <w:spacing w:after="0"/>
        <w:jc w:val="center"/>
        <w:rPr>
          <w:rFonts w:ascii="Times New Roman" w:hAnsi="Times New Roman" w:cs="Times New Roman"/>
          <w:b/>
          <w:bCs/>
          <w:noProof/>
        </w:rPr>
      </w:pPr>
      <w:r>
        <w:rPr>
          <w:rFonts w:ascii="Times New Roman" w:hAnsi="Times New Roman"/>
          <w:b/>
          <w:noProof/>
        </w:rPr>
        <w:t>Stratégie européenne pour la résilience dans le domaine de l’eau</w:t>
      </w:r>
    </w:p>
    <w:p w14:paraId="48FDC3F9" w14:textId="77777777" w:rsidR="009C4DF6" w:rsidRPr="00EF2686" w:rsidRDefault="009C4DF6" w:rsidP="00EF2686">
      <w:pPr>
        <w:spacing w:after="0"/>
        <w:jc w:val="center"/>
        <w:rPr>
          <w:rFonts w:ascii="Times New Roman" w:hAnsi="Times New Roman" w:cs="Times New Roman"/>
          <w:b/>
          <w:bCs/>
          <w:noProof/>
        </w:rPr>
      </w:pPr>
    </w:p>
    <w:p w14:paraId="4F6A6FE3" w14:textId="0390AD01" w:rsidR="00D363D9" w:rsidRPr="00BF5352" w:rsidRDefault="003C6836" w:rsidP="009C4DF6">
      <w:pPr>
        <w:pStyle w:val="Heading1"/>
        <w:spacing w:after="240"/>
        <w:jc w:val="both"/>
        <w:rPr>
          <w:rFonts w:ascii="Times New Roman" w:hAnsi="Times New Roman" w:cs="Times New Roman"/>
          <w:b/>
          <w:smallCaps/>
          <w:noProof/>
          <w:color w:val="000000" w:themeColor="text1"/>
          <w:sz w:val="24"/>
          <w:szCs w:val="24"/>
        </w:rPr>
      </w:pPr>
      <w:r>
        <w:rPr>
          <w:rFonts w:ascii="Times New Roman" w:hAnsi="Times New Roman"/>
          <w:b/>
          <w:smallCaps/>
          <w:noProof/>
          <w:color w:val="000000" w:themeColor="text1"/>
          <w:sz w:val="24"/>
        </w:rPr>
        <w:t>1.</w:t>
      </w:r>
      <w:r>
        <w:rPr>
          <w:noProof/>
        </w:rPr>
        <w:tab/>
      </w:r>
      <w:r>
        <w:rPr>
          <w:rFonts w:ascii="Times New Roman" w:hAnsi="Times New Roman"/>
          <w:b/>
          <w:smallCaps/>
          <w:noProof/>
          <w:color w:val="000000" w:themeColor="text1"/>
          <w:sz w:val="24"/>
        </w:rPr>
        <w:t>Introduction et contexte</w:t>
      </w:r>
    </w:p>
    <w:p w14:paraId="13A0BD3F" w14:textId="50F00B87" w:rsidR="00A70073" w:rsidRPr="00BF5352" w:rsidRDefault="00D363D9" w:rsidP="009C4DF6">
      <w:pPr>
        <w:spacing w:after="240" w:line="240" w:lineRule="auto"/>
        <w:jc w:val="both"/>
        <w:rPr>
          <w:rFonts w:ascii="Times New Roman" w:hAnsi="Times New Roman" w:cs="Times New Roman"/>
          <w:noProof/>
        </w:rPr>
      </w:pPr>
      <w:r>
        <w:rPr>
          <w:rFonts w:ascii="Times New Roman" w:hAnsi="Times New Roman"/>
          <w:b/>
          <w:noProof/>
        </w:rPr>
        <w:t>L’eau, c’est la vie</w:t>
      </w:r>
      <w:r>
        <w:rPr>
          <w:rFonts w:ascii="Times New Roman" w:hAnsi="Times New Roman"/>
          <w:noProof/>
        </w:rPr>
        <w:t>. L’être humain, la plupart des espèces et la nature dans laquelle nous vivons et dont nous dépendons ne peuvent survivre sans eau. Notre environnement, notre économie, notre sécurité alimentaire et énergétique ainsi que notre qualité de vie reposent sur un approvisionnement stable en eau de bonne qualité.</w:t>
      </w:r>
    </w:p>
    <w:p w14:paraId="569D0D1D" w14:textId="2AED0B94" w:rsidR="002E2466" w:rsidRPr="00B301AF" w:rsidRDefault="00A70073" w:rsidP="009C4DF6">
      <w:pPr>
        <w:spacing w:after="240" w:line="240" w:lineRule="auto"/>
        <w:jc w:val="both"/>
        <w:rPr>
          <w:rFonts w:ascii="Times New Roman" w:hAnsi="Times New Roman" w:cs="Times New Roman"/>
          <w:noProof/>
        </w:rPr>
      </w:pPr>
      <w:r>
        <w:rPr>
          <w:rFonts w:ascii="Times New Roman" w:hAnsi="Times New Roman"/>
          <w:b/>
          <w:noProof/>
        </w:rPr>
        <w:t xml:space="preserve">Toutefois, aujourd’hui, nous ne pouvons plus tenir l’eau pour acquise, et cela a des conséquences pour les citoyens, les entreprises et l’environnement. </w:t>
      </w:r>
      <w:r>
        <w:rPr>
          <w:rFonts w:ascii="Times New Roman" w:hAnsi="Times New Roman"/>
          <w:noProof/>
        </w:rPr>
        <w:t>L’Europe est le continent qui se réchauffe le plus vite sur Terre en raison du changement climatique. Les effets du changement climatique, tels que la chaleur extrême, les inondations catastrophiques, les sécheresses prolongées et les incendies de forêt, gagnent en fréquence et en intensité, et cette tendance va se poursuivre. Ces phénomènes ont des répercussions sur la santé et provoquent des décès prématurés, des perturbations de l’approvisionnement en énergie et en eau potable ainsi que des pertes économiques croissantes</w:t>
      </w:r>
      <w:r>
        <w:rPr>
          <w:rStyle w:val="FootnoteReference"/>
          <w:rFonts w:ascii="Times New Roman" w:hAnsi="Times New Roman" w:cs="Times New Roman"/>
          <w:noProof/>
        </w:rPr>
        <w:footnoteReference w:id="2"/>
      </w:r>
      <w:r>
        <w:rPr>
          <w:rFonts w:ascii="Times New Roman" w:hAnsi="Times New Roman"/>
          <w:noProof/>
        </w:rPr>
        <w:t xml:space="preserve"> pour les entreprises, les agriculteurs</w:t>
      </w:r>
      <w:r>
        <w:rPr>
          <w:rFonts w:ascii="Times New Roman" w:hAnsi="Times New Roman"/>
          <w:noProof/>
          <w:color w:val="000000" w:themeColor="text1"/>
        </w:rPr>
        <w:t xml:space="preserve"> et l’aquaculture. </w:t>
      </w:r>
      <w:r>
        <w:rPr>
          <w:rFonts w:ascii="Times New Roman" w:hAnsi="Times New Roman"/>
          <w:noProof/>
        </w:rPr>
        <w:t>Si rien n’est fait pour y remédier, les inégalités liées à l’eau sont susceptibles de nuire à la cohésion économique, sociale et territoriale globale de l’UE</w:t>
      </w:r>
      <w:r>
        <w:rPr>
          <w:rStyle w:val="FootnoteReference"/>
          <w:rFonts w:ascii="Times New Roman" w:hAnsi="Times New Roman" w:cs="Times New Roman"/>
          <w:noProof/>
        </w:rPr>
        <w:footnoteReference w:id="3"/>
      </w:r>
      <w:r>
        <w:rPr>
          <w:rFonts w:ascii="Times New Roman" w:hAnsi="Times New Roman"/>
          <w:noProof/>
        </w:rPr>
        <w:t xml:space="preserve"> et du monde entier. Cela vaut tout particulièrement pour les régions ultrapériphériques de l’UE, où les pressions climatiques et les lacunes en matière d’infrastructures rendent particulièrement difficile l’accès à une eau propre et salubre. </w:t>
      </w:r>
      <w:r>
        <w:rPr>
          <w:rFonts w:ascii="Times New Roman" w:hAnsi="Times New Roman"/>
          <w:b/>
          <w:noProof/>
        </w:rPr>
        <w:t>L’eau est un bien public et l’accès à une eau propre et abordable est un droit humain.</w:t>
      </w:r>
    </w:p>
    <w:p w14:paraId="1325468D" w14:textId="05D1A9A1" w:rsidR="005A0954" w:rsidRPr="009C4DF6" w:rsidRDefault="746BE677" w:rsidP="009C4DF6">
      <w:pPr>
        <w:spacing w:after="240" w:line="240" w:lineRule="auto"/>
        <w:jc w:val="both"/>
        <w:rPr>
          <w:rFonts w:ascii="Times New Roman" w:hAnsi="Times New Roman" w:cs="Times New Roman"/>
          <w:noProof/>
        </w:rPr>
      </w:pPr>
      <w:r>
        <w:rPr>
          <w:rFonts w:ascii="Times New Roman" w:hAnsi="Times New Roman"/>
          <w:b/>
          <w:noProof/>
        </w:rPr>
        <w:t>La résilience dans le domaine de l’eau est une question de sécurité et de préparation aux crises pour l’UE.</w:t>
      </w:r>
      <w:r>
        <w:rPr>
          <w:rFonts w:ascii="Times New Roman" w:hAnsi="Times New Roman"/>
          <w:noProof/>
        </w:rPr>
        <w:t xml:space="preserve"> L’eau est un besoin fondamental et une ressource essentielle. Comme indiqué dans la stratégie pour une union de la préparation, la sécurité de l’approvisionnement en eau douce propre et abordable doit être «une priorité» guidant l'action de l’Union</w:t>
      </w:r>
      <w:r>
        <w:rPr>
          <w:rStyle w:val="FootnoteReference"/>
          <w:rFonts w:ascii="Times New Roman" w:hAnsi="Times New Roman" w:cs="Times New Roman"/>
          <w:noProof/>
        </w:rPr>
        <w:footnoteReference w:id="4"/>
      </w:r>
      <w:r>
        <w:rPr>
          <w:noProof/>
        </w:rPr>
        <w:t>.</w:t>
      </w:r>
      <w:r>
        <w:rPr>
          <w:rFonts w:ascii="Times New Roman" w:hAnsi="Times New Roman"/>
          <w:noProof/>
        </w:rPr>
        <w:t xml:space="preserve"> </w:t>
      </w:r>
    </w:p>
    <w:p w14:paraId="249193B1" w14:textId="50935467" w:rsidR="003C1DA4" w:rsidRPr="00BF5352" w:rsidRDefault="5FFAC9F5" w:rsidP="009C4DF6">
      <w:pPr>
        <w:spacing w:after="240" w:line="240" w:lineRule="auto"/>
        <w:jc w:val="both"/>
        <w:rPr>
          <w:rFonts w:ascii="Times New Roman" w:eastAsia="Times New Roman" w:hAnsi="Times New Roman" w:cs="Times New Roman"/>
          <w:noProof/>
        </w:rPr>
      </w:pPr>
      <w:r>
        <w:rPr>
          <w:rFonts w:ascii="Times New Roman" w:hAnsi="Times New Roman"/>
          <w:b/>
          <w:noProof/>
        </w:rPr>
        <w:t>Investir dans la gestion durable de l’eau et l’innovation renforcera les entreprises européennes et stimulera la compétitivité.</w:t>
      </w:r>
      <w:r>
        <w:rPr>
          <w:rFonts w:ascii="Times New Roman" w:hAnsi="Times New Roman"/>
          <w:noProof/>
        </w:rPr>
        <w:t xml:space="preserve"> Cinq des dix principaux risques mondiaux à long terme pour les entreprises recensés par le Forum économique mondial</w:t>
      </w:r>
      <w:r>
        <w:rPr>
          <w:rStyle w:val="FootnoteReference"/>
          <w:rFonts w:ascii="Times New Roman" w:eastAsia="Times New Roman" w:hAnsi="Times New Roman" w:cs="Times New Roman"/>
          <w:noProof/>
        </w:rPr>
        <w:footnoteReference w:id="5"/>
      </w:r>
      <w:r>
        <w:rPr>
          <w:rFonts w:ascii="Times New Roman" w:hAnsi="Times New Roman"/>
          <w:noProof/>
        </w:rPr>
        <w:t xml:space="preserve"> sont liés à l’eau. La gestion non durable de l’eau compromet notre sécurité globale d’approvisionnement et notre compétitivité, comme le reconnaissent la boussole pour la compétitivité</w:t>
      </w:r>
      <w:r>
        <w:rPr>
          <w:rStyle w:val="FootnoteReference"/>
          <w:rFonts w:ascii="Times New Roman" w:eastAsia="Times New Roman" w:hAnsi="Times New Roman" w:cs="Times New Roman"/>
          <w:noProof/>
        </w:rPr>
        <w:footnoteReference w:id="6"/>
      </w:r>
      <w:r>
        <w:rPr>
          <w:rFonts w:ascii="Times New Roman" w:hAnsi="Times New Roman"/>
          <w:noProof/>
        </w:rPr>
        <w:t xml:space="preserve"> et le pacte pour une industrie propre</w:t>
      </w:r>
      <w:r>
        <w:rPr>
          <w:rStyle w:val="FootnoteReference"/>
          <w:rFonts w:ascii="Times New Roman" w:eastAsia="Times New Roman" w:hAnsi="Times New Roman" w:cs="Times New Roman"/>
          <w:noProof/>
        </w:rPr>
        <w:footnoteReference w:id="7"/>
      </w:r>
      <w:r>
        <w:rPr>
          <w:rFonts w:ascii="Times New Roman" w:hAnsi="Times New Roman"/>
          <w:noProof/>
        </w:rPr>
        <w:t>. Il est donc nécessaire de mieux intégrer la résilience dans le domaine de l’eau dans les décisions des entreprises et d’adopter une vision intégrée de la gestion durable de l’eau, qui tienne compte des scénarios climatiques à long terme.</w:t>
      </w:r>
    </w:p>
    <w:p w14:paraId="11ADFCFB" w14:textId="017896EE" w:rsidR="007A0B6A" w:rsidRPr="00BF5352" w:rsidRDefault="13EF2995" w:rsidP="009C4DF6">
      <w:pPr>
        <w:spacing w:after="240" w:line="240" w:lineRule="auto"/>
        <w:jc w:val="both"/>
        <w:rPr>
          <w:rFonts w:ascii="Times New Roman" w:eastAsia="Times New Roman" w:hAnsi="Times New Roman" w:cs="Times New Roman"/>
          <w:noProof/>
        </w:rPr>
      </w:pPr>
      <w:r>
        <w:rPr>
          <w:rFonts w:ascii="Times New Roman" w:hAnsi="Times New Roman"/>
          <w:b/>
          <w:noProof/>
        </w:rPr>
        <w:t xml:space="preserve">La résilience dans le domaine de l’eau est une opportunité commerciale majeure pour l’industrie de l’UE. </w:t>
      </w:r>
      <w:r>
        <w:rPr>
          <w:rFonts w:ascii="Times New Roman" w:hAnsi="Times New Roman"/>
          <w:noProof/>
        </w:rPr>
        <w:t>L’Europe est un acteur mondial de premier plan dans le domaine des technologies de l’eau, puisqu’elle détient 40 % de tous les brevets mondiaux dans ce domaine</w:t>
      </w:r>
      <w:r>
        <w:rPr>
          <w:rStyle w:val="FootnoteReference"/>
          <w:rFonts w:ascii="Times New Roman" w:eastAsia="Times New Roman" w:hAnsi="Times New Roman" w:cs="Times New Roman"/>
          <w:noProof/>
        </w:rPr>
        <w:footnoteReference w:id="8"/>
      </w:r>
      <w:r>
        <w:rPr>
          <w:noProof/>
        </w:rPr>
        <w:t>.</w:t>
      </w:r>
      <w:r>
        <w:rPr>
          <w:rFonts w:ascii="Times New Roman" w:hAnsi="Times New Roman"/>
          <w:noProof/>
        </w:rPr>
        <w:t xml:space="preserve"> Rien qu’en 2022, le secteur a généré 111,7 milliards d’EUR de valeur ajoutée et soutenu 1,6 million d’emplois dans 81 500 entreprises, dont la plupart sont des PME</w:t>
      </w:r>
      <w:r>
        <w:rPr>
          <w:rStyle w:val="FootnoteReference"/>
          <w:rFonts w:ascii="Times New Roman" w:eastAsia="Times New Roman" w:hAnsi="Times New Roman" w:cs="Times New Roman"/>
          <w:noProof/>
        </w:rPr>
        <w:footnoteReference w:id="9"/>
      </w:r>
      <w:r>
        <w:rPr>
          <w:rFonts w:ascii="Times New Roman" w:hAnsi="Times New Roman"/>
          <w:noProof/>
        </w:rPr>
        <w:t>. Nous devons tirer parti de cette position et renforcer l’avantage concurrentiel de l’UE au sein du marché unique et au-delà. Par exemple, dans certains secteurs, il est possible de réduire les coûts liés à l’eau et les coûts de fonctionnement d’un maximum de 2,8 milliards d’EUR par an ainsi que de créer 9 000 emplois supplémentaires par an, tout en renforçant le savoir-faire nécessaire à l’échelle mondiale</w:t>
      </w:r>
      <w:r>
        <w:rPr>
          <w:rFonts w:ascii="Times New Roman" w:eastAsia="Times New Roman" w:hAnsi="Times New Roman" w:cs="Times New Roman"/>
          <w:noProof/>
          <w:vertAlign w:val="superscript"/>
        </w:rPr>
        <w:footnoteReference w:id="10"/>
      </w:r>
      <w:r>
        <w:rPr>
          <w:rFonts w:ascii="Times New Roman" w:hAnsi="Times New Roman"/>
          <w:noProof/>
        </w:rPr>
        <w:t xml:space="preserve">. </w:t>
      </w:r>
    </w:p>
    <w:p w14:paraId="669E33F0" w14:textId="352A3339" w:rsidR="00D363D9" w:rsidRPr="00BF5352" w:rsidRDefault="23D85E8C" w:rsidP="009C4DF6">
      <w:pPr>
        <w:spacing w:before="100" w:beforeAutospacing="1" w:after="240" w:line="240" w:lineRule="auto"/>
        <w:jc w:val="both"/>
        <w:rPr>
          <w:rFonts w:ascii="Times New Roman" w:eastAsia="Times New Roman" w:hAnsi="Times New Roman" w:cs="Times New Roman"/>
          <w:noProof/>
        </w:rPr>
      </w:pPr>
      <w:r>
        <w:rPr>
          <w:rFonts w:ascii="Times New Roman" w:hAnsi="Times New Roman"/>
          <w:b/>
          <w:noProof/>
        </w:rPr>
        <w:t xml:space="preserve">Le rôle de premier plan joué par l’Europe au niveau mondial en matière de résilience dans le domaine de l’eau est l’occasion de nouer des alliances stratégiques avec des partenaires internationaux. </w:t>
      </w:r>
      <w:r>
        <w:rPr>
          <w:rFonts w:ascii="Times New Roman" w:hAnsi="Times New Roman"/>
          <w:noProof/>
          <w:color w:val="000000"/>
        </w:rPr>
        <w:t>La concurrence</w:t>
      </w:r>
      <w:r>
        <w:rPr>
          <w:rFonts w:ascii="Times New Roman" w:hAnsi="Times New Roman"/>
          <w:noProof/>
        </w:rPr>
        <w:t xml:space="preserve"> </w:t>
      </w:r>
      <w:r>
        <w:rPr>
          <w:rFonts w:ascii="Times New Roman" w:hAnsi="Times New Roman"/>
          <w:noProof/>
          <w:color w:val="000000" w:themeColor="text1"/>
        </w:rPr>
        <w:t>mondiale autour de</w:t>
      </w:r>
      <w:r>
        <w:rPr>
          <w:rFonts w:ascii="Times New Roman" w:hAnsi="Times New Roman"/>
          <w:noProof/>
        </w:rPr>
        <w:t xml:space="preserve"> </w:t>
      </w:r>
      <w:r>
        <w:rPr>
          <w:rFonts w:ascii="Times New Roman" w:hAnsi="Times New Roman"/>
          <w:noProof/>
          <w:color w:val="000000"/>
        </w:rPr>
        <w:t>ressources en eau douce qui s’amenuisent exacerbe les conflits et les déplacements de population.</w:t>
      </w:r>
      <w:r>
        <w:rPr>
          <w:rFonts w:ascii="Times New Roman" w:hAnsi="Times New Roman"/>
          <w:noProof/>
          <w:color w:val="000000" w:themeColor="text1"/>
        </w:rPr>
        <w:t xml:space="preserve"> </w:t>
      </w:r>
      <w:r>
        <w:rPr>
          <w:rFonts w:ascii="Times New Roman" w:hAnsi="Times New Roman"/>
          <w:noProof/>
          <w:color w:val="000000"/>
        </w:rPr>
        <w:t>Au rythme actuel, la demande mondiale en eau dépassera les ressources disponibles de 40 % en 2030</w:t>
      </w:r>
      <w:r>
        <w:rPr>
          <w:rFonts w:ascii="Times New Roman" w:hAnsi="Times New Roman" w:cs="Times New Roman"/>
          <w:noProof/>
          <w:color w:val="000000" w:themeColor="text1"/>
          <w:vertAlign w:val="superscript"/>
        </w:rPr>
        <w:footnoteReference w:id="11"/>
      </w:r>
      <w:r>
        <w:rPr>
          <w:rFonts w:ascii="Times New Roman" w:hAnsi="Times New Roman"/>
          <w:noProof/>
          <w:color w:val="000000"/>
        </w:rPr>
        <w:t xml:space="preserve">. </w:t>
      </w:r>
      <w:r>
        <w:rPr>
          <w:rFonts w:ascii="Times New Roman" w:hAnsi="Times New Roman"/>
          <w:noProof/>
          <w:color w:val="000000" w:themeColor="text1"/>
        </w:rPr>
        <w:t>Dans le monde</w:t>
      </w:r>
      <w:r>
        <w:rPr>
          <w:rFonts w:ascii="Times New Roman" w:hAnsi="Times New Roman"/>
          <w:noProof/>
        </w:rPr>
        <w:t xml:space="preserve">, </w:t>
      </w:r>
      <w:r>
        <w:rPr>
          <w:rFonts w:ascii="Times New Roman" w:hAnsi="Times New Roman"/>
          <w:noProof/>
          <w:color w:val="000000" w:themeColor="text1"/>
        </w:rPr>
        <w:t>les catastrophes liées à l’eau ont entraîné le déplacement de 40 millions de personnes et infligé plus de 480 milliards d’EUR de dommages en 2024</w:t>
      </w:r>
      <w:r>
        <w:rPr>
          <w:rStyle w:val="FootnoteReference"/>
          <w:rFonts w:ascii="Times New Roman" w:eastAsia="Calibri" w:hAnsi="Times New Roman" w:cs="Times New Roman"/>
          <w:noProof/>
          <w:color w:val="000000" w:themeColor="text1"/>
        </w:rPr>
        <w:footnoteReference w:id="12"/>
      </w:r>
      <w:r>
        <w:rPr>
          <w:noProof/>
        </w:rPr>
        <w:t>.</w:t>
      </w:r>
      <w:r>
        <w:rPr>
          <w:rFonts w:ascii="Times New Roman" w:hAnsi="Times New Roman"/>
          <w:noProof/>
          <w:color w:val="000000" w:themeColor="text1"/>
        </w:rPr>
        <w:t xml:space="preserve"> </w:t>
      </w:r>
      <w:r>
        <w:rPr>
          <w:rFonts w:ascii="Times New Roman" w:hAnsi="Times New Roman"/>
          <w:noProof/>
        </w:rPr>
        <w:t>S’appuyant sur le consensus mondial</w:t>
      </w:r>
      <w:r>
        <w:rPr>
          <w:rStyle w:val="FootnoteReference"/>
          <w:rFonts w:ascii="Times New Roman" w:eastAsia="Times New Roman" w:hAnsi="Times New Roman" w:cs="Times New Roman"/>
          <w:noProof/>
        </w:rPr>
        <w:footnoteReference w:id="13"/>
      </w:r>
      <w:r>
        <w:rPr>
          <w:rFonts w:ascii="Times New Roman" w:hAnsi="Times New Roman"/>
          <w:noProof/>
        </w:rPr>
        <w:t xml:space="preserve"> selon lequel notre modèle actuel de gestion de l’eau n’est pas durable, l’UE est déterminée à faire de la prochaine conférence des Nations unies sur l’eau de 2026 une étape importante dans la réalisation des objectifs de développement durable.</w:t>
      </w:r>
    </w:p>
    <w:p w14:paraId="67BA18F5" w14:textId="22832B6F" w:rsidR="008F3B65" w:rsidRPr="00BF5352" w:rsidRDefault="00697B37" w:rsidP="009C4DF6">
      <w:pPr>
        <w:spacing w:before="100" w:beforeAutospacing="1" w:after="240" w:line="240" w:lineRule="auto"/>
        <w:jc w:val="both"/>
        <w:rPr>
          <w:rFonts w:ascii="Times New Roman" w:hAnsi="Times New Roman" w:cs="Times New Roman"/>
          <w:b/>
          <w:bCs/>
          <w:noProof/>
        </w:rPr>
      </w:pPr>
      <w:r>
        <w:rPr>
          <w:rFonts w:ascii="Times New Roman" w:hAnsi="Times New Roman"/>
          <w:b/>
          <w:noProof/>
        </w:rPr>
        <w:t>Pour toutes ces raisons, il est grand temps de placer la résilience dans le domaine de l’eau au premier rang des priorités politiques</w:t>
      </w:r>
      <w:r>
        <w:rPr>
          <w:rFonts w:ascii="Times New Roman" w:hAnsi="Times New Roman"/>
          <w:noProof/>
        </w:rPr>
        <w:t>, comme l’ont déclaré le Conseil européen</w:t>
      </w:r>
      <w:r>
        <w:rPr>
          <w:rFonts w:ascii="Times New Roman" w:eastAsia="Times New Roman" w:hAnsi="Times New Roman" w:cs="Times New Roman"/>
          <w:noProof/>
          <w:vertAlign w:val="superscript"/>
        </w:rPr>
        <w:footnoteReference w:id="14"/>
      </w:r>
      <w:r>
        <w:rPr>
          <w:rFonts w:ascii="Times New Roman" w:hAnsi="Times New Roman"/>
          <w:noProof/>
        </w:rPr>
        <w:t>, le Parlement européen</w:t>
      </w:r>
      <w:r>
        <w:rPr>
          <w:rFonts w:ascii="Times New Roman" w:eastAsia="Times New Roman" w:hAnsi="Times New Roman" w:cs="Times New Roman"/>
          <w:noProof/>
          <w:vertAlign w:val="superscript"/>
        </w:rPr>
        <w:footnoteReference w:id="15"/>
      </w:r>
      <w:r>
        <w:rPr>
          <w:rFonts w:ascii="Times New Roman" w:hAnsi="Times New Roman"/>
          <w:noProof/>
        </w:rPr>
        <w:t xml:space="preserve"> et le Comité économique et social européen</w:t>
      </w:r>
      <w:r>
        <w:rPr>
          <w:rFonts w:ascii="Times New Roman" w:eastAsia="Times New Roman" w:hAnsi="Times New Roman" w:cs="Times New Roman"/>
          <w:noProof/>
          <w:vertAlign w:val="superscript"/>
        </w:rPr>
        <w:footnoteReference w:id="16"/>
      </w:r>
      <w:r>
        <w:rPr>
          <w:rFonts w:ascii="Times New Roman" w:hAnsi="Times New Roman"/>
          <w:noProof/>
        </w:rPr>
        <w:t>.</w:t>
      </w:r>
      <w:r>
        <w:rPr>
          <w:rFonts w:ascii="Times New Roman" w:hAnsi="Times New Roman"/>
          <w:b/>
          <w:noProof/>
        </w:rPr>
        <w:t xml:space="preserve"> </w:t>
      </w:r>
      <w:r>
        <w:rPr>
          <w:rFonts w:ascii="Times New Roman" w:hAnsi="Times New Roman"/>
          <w:noProof/>
        </w:rPr>
        <w:t>C’est pourquoi, dans ses orientations politiques 2024-2029, la présidente von der Leyen a annoncé une nouvelle stratégie européenne pour la résilience dans le domaine de l’eau. Cette stratégie devrait aider toutes les régions de l’UE à améliorer la gestion de leurs masses d’eau, à lutter contre les pénuries et à renforcer les avantages de l’industrie de l’eau sur le plan de la concurrence et de l’innovation</w:t>
      </w:r>
      <w:r>
        <w:rPr>
          <w:rStyle w:val="FootnoteReference"/>
          <w:rFonts w:ascii="Times New Roman" w:hAnsi="Times New Roman" w:cs="Times New Roman"/>
          <w:noProof/>
        </w:rPr>
        <w:footnoteReference w:id="17"/>
      </w:r>
      <w:r>
        <w:rPr>
          <w:rFonts w:ascii="Times New Roman" w:hAnsi="Times New Roman"/>
          <w:noProof/>
        </w:rPr>
        <w:t>, tout en adoptant une approche propre et circulaire.</w:t>
      </w:r>
    </w:p>
    <w:p w14:paraId="7D9C4DFE" w14:textId="50D95179" w:rsidR="00023E50" w:rsidRPr="00BF5352" w:rsidRDefault="45118A9B" w:rsidP="4251B09A">
      <w:pPr>
        <w:spacing w:before="100" w:beforeAutospacing="1" w:after="240" w:line="240" w:lineRule="auto"/>
        <w:jc w:val="both"/>
        <w:rPr>
          <w:rFonts w:ascii="Times New Roman" w:eastAsia="Times New Roman" w:hAnsi="Times New Roman" w:cs="Times New Roman"/>
          <w:noProof/>
        </w:rPr>
      </w:pPr>
      <w:r>
        <w:rPr>
          <w:rFonts w:ascii="Times New Roman" w:hAnsi="Times New Roman"/>
          <w:noProof/>
        </w:rPr>
        <w:t xml:space="preserve">Les États membres ont organisé leur gestion de l’eau de différentes manières, selon différentes formes de propriété publique ou privée ou une combinaison des deux. La présente stratégie respecte pleinement ces choix nationaux et reconnaît qu’il n’existe pas de solution universelle, notamment parce que la disponibilité de l’eau varie considérablement d’un État membre à l’autre, tout comme la vulnérabilité des différents secteurs face au stress hydrique. </w:t>
      </w:r>
    </w:p>
    <w:p w14:paraId="0A752300" w14:textId="53F1A6BD" w:rsidR="00306618" w:rsidRPr="00BF5352" w:rsidRDefault="00643891" w:rsidP="009C4DF6">
      <w:pPr>
        <w:pStyle w:val="Heading1"/>
        <w:spacing w:after="240"/>
        <w:jc w:val="both"/>
        <w:rPr>
          <w:rFonts w:ascii="Times New Roman" w:hAnsi="Times New Roman" w:cs="Times New Roman"/>
          <w:b/>
          <w:smallCaps/>
          <w:noProof/>
          <w:color w:val="000000" w:themeColor="text1"/>
          <w:sz w:val="24"/>
          <w:szCs w:val="24"/>
        </w:rPr>
      </w:pPr>
      <w:bookmarkStart w:id="2" w:name="_Hlk197775003"/>
      <w:r>
        <w:rPr>
          <w:rFonts w:ascii="Times New Roman" w:hAnsi="Times New Roman"/>
          <w:b/>
          <w:smallCaps/>
          <w:noProof/>
          <w:color w:val="000000" w:themeColor="text1"/>
          <w:sz w:val="24"/>
        </w:rPr>
        <w:t>2.</w:t>
      </w:r>
      <w:r>
        <w:rPr>
          <w:noProof/>
        </w:rPr>
        <w:tab/>
      </w:r>
      <w:r>
        <w:rPr>
          <w:rFonts w:ascii="Times New Roman" w:hAnsi="Times New Roman"/>
          <w:b/>
          <w:smallCaps/>
          <w:noProof/>
          <w:color w:val="000000" w:themeColor="text1"/>
          <w:sz w:val="24"/>
        </w:rPr>
        <w:t xml:space="preserve">Les objectifs clés </w:t>
      </w:r>
    </w:p>
    <w:bookmarkEnd w:id="2"/>
    <w:p w14:paraId="685F7EC2" w14:textId="5DFC01FA" w:rsidR="0034718C" w:rsidRPr="00AD6B6D" w:rsidRDefault="00DC3322" w:rsidP="00AD6B6D">
      <w:pPr>
        <w:spacing w:after="240" w:line="240" w:lineRule="auto"/>
        <w:jc w:val="both"/>
        <w:rPr>
          <w:rFonts w:ascii="Times New Roman" w:eastAsia="Times New Roman" w:hAnsi="Times New Roman" w:cs="Times New Roman"/>
          <w:noProof/>
        </w:rPr>
      </w:pPr>
      <w:r>
        <w:rPr>
          <w:rFonts w:ascii="Times New Roman" w:hAnsi="Times New Roman"/>
          <w:noProof/>
        </w:rPr>
        <w:t xml:space="preserve">La présente stratégie définit une trajectoire pour rendre l’Europe résiliente dans le domaine de l’eau, solidement ancrée dans la vision à l’horizon 2050 présentée par l’UE lors de la conférence des Nations unies sur l’eau de 2023 pour une Union résiliente dans le domaine de l’eau, garantissant la sécurité de l’eau pour tous. Cette approche suppose la protection et la restauration des écosystèmes aquatiques, ainsi qu’un juste équilibre entre l’approvisionnement en eau et la demande en eau répondant aux besoins actuels, notamment la réalisation du droit humain à une eau potable salubre et à l’assainissement, sans compromettre les droits des générations futures. </w:t>
      </w:r>
    </w:p>
    <w:p w14:paraId="2DE3447D" w14:textId="0D37236E" w:rsidR="00DC3322" w:rsidRPr="00BF5352" w:rsidRDefault="0034718C" w:rsidP="0034718C">
      <w:pPr>
        <w:spacing w:after="0" w:line="240" w:lineRule="auto"/>
        <w:jc w:val="both"/>
        <w:rPr>
          <w:rFonts w:ascii="Times New Roman" w:eastAsia="Times New Roman" w:hAnsi="Times New Roman" w:cs="Times New Roman"/>
          <w:noProof/>
        </w:rPr>
      </w:pPr>
      <w:r>
        <w:rPr>
          <w:rFonts w:ascii="Times New Roman" w:hAnsi="Times New Roman"/>
          <w:noProof/>
        </w:rPr>
        <w:t>Pour mettre l’Europe sur la voie de la résilience dans le domaine de l’eau, nous devons travailler sur trois objectifs:</w:t>
      </w:r>
    </w:p>
    <w:p w14:paraId="4912FEBA" w14:textId="77777777" w:rsidR="0019580D" w:rsidRDefault="0019580D" w:rsidP="00DC3322">
      <w:pPr>
        <w:pStyle w:val="ListParagraph"/>
        <w:spacing w:line="240" w:lineRule="auto"/>
        <w:ind w:left="0"/>
        <w:jc w:val="both"/>
        <w:rPr>
          <w:rFonts w:ascii="Times New Roman" w:hAnsi="Times New Roman" w:cs="Times New Roman"/>
          <w:noProof/>
        </w:rPr>
      </w:pPr>
    </w:p>
    <w:p w14:paraId="59940814" w14:textId="6B6BBE4D" w:rsidR="00DC3322" w:rsidRPr="009F333A" w:rsidRDefault="00DC3322" w:rsidP="00ED14EB">
      <w:pPr>
        <w:pStyle w:val="ListParagraph"/>
        <w:numPr>
          <w:ilvl w:val="0"/>
          <w:numId w:val="3"/>
        </w:numPr>
        <w:spacing w:after="120" w:line="240" w:lineRule="auto"/>
        <w:ind w:left="714" w:hanging="357"/>
        <w:contextualSpacing w:val="0"/>
        <w:jc w:val="both"/>
        <w:rPr>
          <w:rFonts w:ascii="Times New Roman" w:eastAsia="Times New Roman" w:hAnsi="Times New Roman" w:cs="Times New Roman"/>
          <w:noProof/>
        </w:rPr>
      </w:pPr>
      <w:r>
        <w:rPr>
          <w:rFonts w:ascii="Times New Roman" w:hAnsi="Times New Roman"/>
          <w:noProof/>
        </w:rPr>
        <w:t>restaurer et protéger le cycle de l’eau comme base d’un approvisionnement durable en eau;</w:t>
      </w:r>
    </w:p>
    <w:p w14:paraId="1F06C501" w14:textId="4C1755F7" w:rsidR="00DC3322" w:rsidRPr="009F333A" w:rsidRDefault="00DC3322" w:rsidP="00ED14EB">
      <w:pPr>
        <w:pStyle w:val="ListParagraph"/>
        <w:numPr>
          <w:ilvl w:val="0"/>
          <w:numId w:val="3"/>
        </w:numPr>
        <w:spacing w:before="100" w:beforeAutospacing="1" w:after="120" w:line="240" w:lineRule="auto"/>
        <w:ind w:left="714" w:hanging="357"/>
        <w:contextualSpacing w:val="0"/>
        <w:jc w:val="both"/>
        <w:rPr>
          <w:rFonts w:ascii="Times New Roman" w:eastAsia="Times New Roman" w:hAnsi="Times New Roman" w:cs="Times New Roman"/>
          <w:noProof/>
          <w:kern w:val="0"/>
          <w14:ligatures w14:val="none"/>
        </w:rPr>
      </w:pPr>
      <w:r>
        <w:rPr>
          <w:rFonts w:ascii="Times New Roman" w:hAnsi="Times New Roman"/>
          <w:noProof/>
        </w:rPr>
        <w:t>construire une économie intelligente dans le domaine de l’eau, en collaboration avec les citoyens et les acteurs économiques, de manière à soutenir la compétitivité de l’UE, à attirer les investisseurs et à favoriser la prospérité de l’industrie européenne de l’eau;</w:t>
      </w:r>
    </w:p>
    <w:p w14:paraId="61C073C1" w14:textId="15C898C1" w:rsidR="00DC3322" w:rsidRPr="009F333A" w:rsidRDefault="00DC3322" w:rsidP="00A30966">
      <w:pPr>
        <w:pStyle w:val="ListParagraph"/>
        <w:numPr>
          <w:ilvl w:val="0"/>
          <w:numId w:val="3"/>
        </w:numPr>
        <w:spacing w:after="0" w:line="240" w:lineRule="auto"/>
        <w:jc w:val="both"/>
        <w:rPr>
          <w:rFonts w:ascii="Times New Roman" w:eastAsia="Times New Roman" w:hAnsi="Times New Roman" w:cs="Times New Roman"/>
          <w:noProof/>
        </w:rPr>
      </w:pPr>
      <w:r>
        <w:rPr>
          <w:rFonts w:ascii="Times New Roman" w:hAnsi="Times New Roman"/>
          <w:noProof/>
        </w:rPr>
        <w:t>Garantir à tout moment l’accès à une eau propre et abordable ainsi qu’à l’assainissement pour tous, et renforcer l’autonomie des citoyens pour la résilience dans le domaine de l’eau.</w:t>
      </w:r>
    </w:p>
    <w:p w14:paraId="67661FD9" w14:textId="760941C4" w:rsidR="009A7DE9" w:rsidRPr="00ED14EB" w:rsidRDefault="008C5B56" w:rsidP="00ED14EB">
      <w:pPr>
        <w:spacing w:before="240" w:after="240" w:line="240" w:lineRule="auto"/>
        <w:jc w:val="both"/>
        <w:rPr>
          <w:rFonts w:ascii="Times New Roman" w:eastAsia="Times New Roman" w:hAnsi="Times New Roman" w:cs="Times New Roman"/>
          <w:noProof/>
          <w:color w:val="000000" w:themeColor="text1"/>
        </w:rPr>
      </w:pPr>
      <w:r>
        <w:rPr>
          <w:rFonts w:ascii="Times New Roman" w:hAnsi="Times New Roman"/>
          <w:noProof/>
        </w:rPr>
        <w:t>La législation et les politiques de l’Union européenne, notamment le pacte vert pour l’Europe, constituent une base solide pour atteindre ces objectifs</w:t>
      </w:r>
      <w:r>
        <w:rPr>
          <w:rStyle w:val="FootnoteReference"/>
          <w:rFonts w:ascii="Times New Roman" w:eastAsia="Times New Roman" w:hAnsi="Times New Roman" w:cs="Times New Roman"/>
          <w:noProof/>
        </w:rPr>
        <w:footnoteReference w:id="18"/>
      </w:r>
      <w:r>
        <w:rPr>
          <w:rFonts w:ascii="Times New Roman" w:hAnsi="Times New Roman"/>
          <w:noProof/>
        </w:rPr>
        <w:t xml:space="preserve">. Les États membres — et leurs collectivités locales ou régionales — sont souvent les mieux placés pour gérer l’eau, étant donné qu’ils connaissent le mieux leur situation, les défis et les solutions possibles. La présente stratégie reconnaît pleinement que les États membres sont libres d’organiser leurs systèmes d’approvisionnement en eau comme ils l’entendent, dans les limites de la législation de l’UE. </w:t>
      </w:r>
      <w:r>
        <w:rPr>
          <w:rFonts w:ascii="Times New Roman" w:hAnsi="Times New Roman"/>
          <w:noProof/>
          <w:color w:val="000000" w:themeColor="text1"/>
        </w:rPr>
        <w:t>Afin de soutenir les initiatives des États membres et de renforcer la coopération transfrontière dans le domaine de l’eau, elle recense cinq domaines d’action de l’UE: i) la gouvernance et la mise en œuvre; ii) le financement, les investissements et les infrastructures; iii) la numérisation; iv) la recherche et</w:t>
      </w:r>
      <w:r>
        <w:rPr>
          <w:rFonts w:ascii="Times New Roman" w:hAnsi="Times New Roman"/>
          <w:noProof/>
        </w:rPr>
        <w:t xml:space="preserve"> </w:t>
      </w:r>
      <w:r>
        <w:rPr>
          <w:rFonts w:ascii="Times New Roman" w:hAnsi="Times New Roman"/>
          <w:noProof/>
          <w:color w:val="000000" w:themeColor="text1"/>
        </w:rPr>
        <w:t>l’innovation, l’industrie et les compétences; et v) la sécurité et la préparation.</w:t>
      </w:r>
    </w:p>
    <w:p w14:paraId="310D9224" w14:textId="30809BD1" w:rsidR="00DC3322" w:rsidRPr="009F333A" w:rsidRDefault="00643891" w:rsidP="00ED14EB">
      <w:pPr>
        <w:pStyle w:val="Heading2"/>
        <w:spacing w:after="24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2.1</w:t>
      </w:r>
      <w:r>
        <w:rPr>
          <w:noProof/>
        </w:rPr>
        <w:tab/>
      </w:r>
      <w:r>
        <w:rPr>
          <w:rFonts w:ascii="Times New Roman" w:hAnsi="Times New Roman"/>
          <w:b/>
          <w:noProof/>
          <w:color w:val="000000" w:themeColor="text1"/>
          <w:sz w:val="24"/>
        </w:rPr>
        <w:t>Restaurer et protéger le cycle de l’eau comme base d’un approvisionnement durable en eau</w:t>
      </w:r>
    </w:p>
    <w:p w14:paraId="198512EE" w14:textId="0E705E2A" w:rsidR="00DC3322" w:rsidRPr="009F333A" w:rsidRDefault="00C90A81" w:rsidP="00ED14EB">
      <w:pPr>
        <w:shd w:val="clear" w:color="auto" w:fill="FFFFFF" w:themeFill="background1"/>
        <w:spacing w:after="240" w:line="240" w:lineRule="auto"/>
        <w:jc w:val="both"/>
        <w:rPr>
          <w:rFonts w:ascii="Times New Roman" w:eastAsia="Calibri" w:hAnsi="Times New Roman" w:cs="Times New Roman"/>
          <w:bCs/>
          <w:noProof/>
        </w:rPr>
      </w:pPr>
      <w:r>
        <w:rPr>
          <w:rFonts w:ascii="Times New Roman" w:hAnsi="Times New Roman"/>
          <w:b/>
          <w:noProof/>
        </w:rPr>
        <w:t>Le b</w:t>
      </w:r>
      <w:r>
        <w:rPr>
          <w:rFonts w:ascii="Times New Roman" w:hAnsi="Times New Roman"/>
          <w:b/>
          <w:noProof/>
          <w:color w:val="121212"/>
        </w:rPr>
        <w:t>on fonctionnement du cycle de l’eau est essentiel à la résilience dans le domaine de l’eau</w:t>
      </w:r>
      <w:r>
        <w:rPr>
          <w:rFonts w:ascii="Times New Roman" w:hAnsi="Times New Roman"/>
          <w:noProof/>
        </w:rPr>
        <w:t>. L</w:t>
      </w:r>
      <w:r>
        <w:rPr>
          <w:rFonts w:ascii="Times New Roman" w:hAnsi="Times New Roman"/>
          <w:noProof/>
          <w:color w:val="121212"/>
        </w:rPr>
        <w:t xml:space="preserve">’eau suit un cycle au cours duquel elle est stockée, purifiée et libérée naturellement, </w:t>
      </w:r>
      <w:r>
        <w:rPr>
          <w:rFonts w:ascii="Times New Roman" w:hAnsi="Times New Roman"/>
          <w:noProof/>
        </w:rPr>
        <w:t>et ce processus dépend de la bonne santé des sols, des zones humides, des forêts et d’autres écosystèmes.</w:t>
      </w:r>
      <w:r>
        <w:rPr>
          <w:rFonts w:ascii="Times New Roman" w:hAnsi="Times New Roman"/>
          <w:b/>
          <w:noProof/>
        </w:rPr>
        <w:t xml:space="preserve"> </w:t>
      </w:r>
      <w:r>
        <w:rPr>
          <w:rFonts w:ascii="Times New Roman" w:hAnsi="Times New Roman"/>
          <w:noProof/>
        </w:rPr>
        <w:t xml:space="preserve">Toutefois, </w:t>
      </w:r>
      <w:r>
        <w:rPr>
          <w:rStyle w:val="normaltextrun"/>
          <w:rFonts w:ascii="Times New Roman" w:hAnsi="Times New Roman"/>
          <w:noProof/>
          <w:color w:val="000000" w:themeColor="text1"/>
        </w:rPr>
        <w:t>la surexploitation et la mauvaise gestion des ressources en eau, la pollution ainsi que le changement climatique et la dégradation de l’environnement</w:t>
      </w:r>
      <w:r>
        <w:rPr>
          <w:rFonts w:ascii="Times New Roman" w:hAnsi="Times New Roman"/>
          <w:noProof/>
        </w:rPr>
        <w:t xml:space="preserve"> </w:t>
      </w:r>
      <w:r>
        <w:rPr>
          <w:rFonts w:ascii="Times New Roman" w:hAnsi="Times New Roman"/>
          <w:noProof/>
          <w:color w:val="121212"/>
        </w:rPr>
        <w:t xml:space="preserve">ont profondément perturbé ce cycle et ont considérablement réduit tant la quantité que la qualité de l’eau. </w:t>
      </w:r>
    </w:p>
    <w:p w14:paraId="1C78CFB5" w14:textId="5E6E55F4" w:rsidR="00CF166D" w:rsidRPr="009F333A" w:rsidRDefault="00CF166D" w:rsidP="00ED14EB">
      <w:pPr>
        <w:spacing w:before="100" w:beforeAutospacing="1" w:after="240" w:line="240" w:lineRule="auto"/>
        <w:jc w:val="both"/>
        <w:rPr>
          <w:rFonts w:ascii="Times New Roman" w:hAnsi="Times New Roman" w:cs="Times New Roman"/>
          <w:noProof/>
          <w:color w:val="242424"/>
        </w:rPr>
      </w:pPr>
      <w:r>
        <w:rPr>
          <w:rFonts w:ascii="Times New Roman" w:hAnsi="Times New Roman"/>
          <w:b/>
          <w:noProof/>
        </w:rPr>
        <w:t>Le cadre existant de l’UE pour l’eau douce, composé notamment de la directive-cadre sur l’eau</w:t>
      </w:r>
      <w:r>
        <w:rPr>
          <w:rStyle w:val="FootnoteReference"/>
          <w:rFonts w:ascii="Times New Roman" w:eastAsia="Calibri" w:hAnsi="Times New Roman" w:cs="Times New Roman"/>
          <w:b/>
          <w:bCs/>
          <w:noProof/>
        </w:rPr>
        <w:footnoteReference w:id="19"/>
      </w:r>
      <w:r>
        <w:rPr>
          <w:rFonts w:ascii="Times New Roman" w:hAnsi="Times New Roman"/>
          <w:b/>
          <w:noProof/>
        </w:rPr>
        <w:t>, de la directive relative à la gestion des inondations</w:t>
      </w:r>
      <w:r>
        <w:rPr>
          <w:rStyle w:val="FootnoteReference"/>
          <w:rFonts w:ascii="Times New Roman" w:eastAsia="Calibri" w:hAnsi="Times New Roman" w:cs="Times New Roman"/>
          <w:b/>
          <w:bCs/>
          <w:noProof/>
        </w:rPr>
        <w:footnoteReference w:id="20"/>
      </w:r>
      <w:r>
        <w:rPr>
          <w:rFonts w:ascii="Times New Roman" w:hAnsi="Times New Roman"/>
          <w:b/>
          <w:noProof/>
        </w:rPr>
        <w:t xml:space="preserve"> et du règlement relatif à la restauration de la nature</w:t>
      </w:r>
      <w:r>
        <w:rPr>
          <w:rStyle w:val="FootnoteReference"/>
          <w:rFonts w:ascii="Times New Roman" w:eastAsia="Calibri" w:hAnsi="Times New Roman" w:cs="Times New Roman"/>
          <w:b/>
          <w:bCs/>
          <w:noProof/>
        </w:rPr>
        <w:footnoteReference w:id="21"/>
      </w:r>
      <w:r>
        <w:rPr>
          <w:rFonts w:ascii="Times New Roman" w:hAnsi="Times New Roman"/>
          <w:b/>
          <w:noProof/>
        </w:rPr>
        <w:t xml:space="preserve">, représente un cadre réglementaire complet pour le cycle de l’eau en Europe. </w:t>
      </w:r>
      <w:r>
        <w:rPr>
          <w:rFonts w:ascii="Times New Roman" w:hAnsi="Times New Roman"/>
          <w:noProof/>
        </w:rPr>
        <w:t>Cependant, une mise en œuvre efficace sera nécessaire pour restaurer le cycle de l’eau du point de vue quantitatif et qualitatif.</w:t>
      </w:r>
      <w:r>
        <w:rPr>
          <w:rFonts w:ascii="Times New Roman" w:hAnsi="Times New Roman"/>
          <w:noProof/>
          <w:color w:val="242424"/>
        </w:rPr>
        <w:t xml:space="preserve"> L’objectif de la directive-cadre sur l’eau consistant à parvenir à un bon état de toutes les masses d’eau d’ici à 2027</w:t>
      </w:r>
      <w:r>
        <w:rPr>
          <w:rStyle w:val="FootnoteReference"/>
          <w:rFonts w:ascii="Times New Roman" w:hAnsi="Times New Roman" w:cs="Times New Roman"/>
          <w:noProof/>
          <w:color w:val="242424"/>
        </w:rPr>
        <w:footnoteReference w:id="22"/>
      </w:r>
      <w:r>
        <w:rPr>
          <w:rFonts w:ascii="Times New Roman" w:hAnsi="Times New Roman"/>
          <w:noProof/>
          <w:color w:val="242424"/>
        </w:rPr>
        <w:t xml:space="preserve"> et les objectifs de la </w:t>
      </w:r>
      <w:r>
        <w:rPr>
          <w:rFonts w:ascii="Times New Roman" w:hAnsi="Times New Roman"/>
          <w:noProof/>
          <w:color w:val="000000" w:themeColor="text1"/>
        </w:rPr>
        <w:t>directive</w:t>
      </w:r>
      <w:r>
        <w:rPr>
          <w:rFonts w:ascii="Times New Roman" w:hAnsi="Times New Roman"/>
          <w:noProof/>
          <w:color w:val="242424"/>
        </w:rPr>
        <w:t xml:space="preserve"> «Inondations» restent le point de référence des actions à entreprendre. La Commission accordera la priorité à l’application de la législation sur la base de sa dernière évaluation des plans nationaux de gestion de district hydrographique (PGDH)</w:t>
      </w:r>
      <w:r>
        <w:rPr>
          <w:rFonts w:ascii="Times New Roman" w:hAnsi="Times New Roman"/>
          <w:noProof/>
        </w:rPr>
        <w:t xml:space="preserve"> </w:t>
      </w:r>
      <w:r>
        <w:rPr>
          <w:rFonts w:ascii="Times New Roman" w:hAnsi="Times New Roman"/>
          <w:noProof/>
          <w:color w:val="242424"/>
        </w:rPr>
        <w:t>et des plans de gestion des risques d’inondation (PGRI), en concertation avec les États membres</w:t>
      </w:r>
      <w:r>
        <w:rPr>
          <w:rStyle w:val="FootnoteReference"/>
          <w:rFonts w:ascii="Times New Roman" w:hAnsi="Times New Roman" w:cs="Times New Roman"/>
          <w:noProof/>
          <w:color w:val="242424"/>
        </w:rPr>
        <w:footnoteReference w:id="23"/>
      </w:r>
      <w:r>
        <w:rPr>
          <w:noProof/>
        </w:rPr>
        <w:t>.</w:t>
      </w:r>
      <w:r>
        <w:rPr>
          <w:rFonts w:ascii="Times New Roman" w:hAnsi="Times New Roman"/>
          <w:noProof/>
          <w:color w:val="242424"/>
        </w:rPr>
        <w:t xml:space="preserve"> Afin de continuer à soutenir les efforts déployés par les États membres pour lutter contre le manque d’eau et la sécheresse, la Commission élaborera des indicateurs relatifs au manque d’eau et publiera des orientations techniques sur les plans de gestion de la sécheresse. Le règlement relatif à la restauration de la nature</w:t>
      </w:r>
      <w:r>
        <w:rPr>
          <w:rFonts w:ascii="Times New Roman" w:hAnsi="Times New Roman"/>
          <w:noProof/>
        </w:rPr>
        <w:t xml:space="preserve"> </w:t>
      </w:r>
      <w:r>
        <w:rPr>
          <w:rFonts w:ascii="Times New Roman" w:hAnsi="Times New Roman"/>
          <w:noProof/>
          <w:color w:val="242424"/>
        </w:rPr>
        <w:t xml:space="preserve">offre l’occasion de soutenir la gestion de la quantité d’eau et de renforcer la résilience face aux sécheresses et aux inondations à l’aide de solutions fondées sur la nature. La résilience dans le domaine de l’eau et du changement climatique doit être pleinement intégrée dans les plans nationaux de restauration qui seront élaborés d’ici à 2026. </w:t>
      </w:r>
    </w:p>
    <w:p w14:paraId="61C51B5C" w14:textId="435E0A83" w:rsidR="00CF166D" w:rsidRPr="009F333A" w:rsidDel="005B6984" w:rsidRDefault="2FA62F84" w:rsidP="00ED14EB">
      <w:pPr>
        <w:shd w:val="clear" w:color="auto" w:fill="FFFFFF" w:themeFill="background1"/>
        <w:spacing w:after="240" w:line="240" w:lineRule="auto"/>
        <w:jc w:val="both"/>
        <w:rPr>
          <w:rFonts w:ascii="Times New Roman" w:hAnsi="Times New Roman" w:cs="Times New Roman"/>
          <w:noProof/>
        </w:rPr>
      </w:pPr>
      <w:r>
        <w:rPr>
          <w:rFonts w:ascii="Times New Roman" w:hAnsi="Times New Roman"/>
          <w:b/>
          <w:noProof/>
        </w:rPr>
        <w:t>L’objectif de la directive-cadre «stratégie pour le milieu marin» de 2008, à savoir parvenir à un bon état écologique des eaux marines d’ici à 2020, n’a pas été atteint.</w:t>
      </w:r>
      <w:r>
        <w:rPr>
          <w:rFonts w:ascii="Times New Roman" w:hAnsi="Times New Roman"/>
          <w:noProof/>
        </w:rPr>
        <w:t xml:space="preserve"> La biodiversité marine est en déclin et la pollution des cours d’eau continue de nuire à la vie marine. À la suite d’une évaluation récente</w:t>
      </w:r>
      <w:r>
        <w:rPr>
          <w:rFonts w:ascii="Times New Roman" w:hAnsi="Times New Roman" w:cs="Times New Roman"/>
          <w:noProof/>
          <w:vertAlign w:val="superscript"/>
        </w:rPr>
        <w:footnoteReference w:id="24"/>
      </w:r>
      <w:r>
        <w:rPr>
          <w:rFonts w:ascii="Times New Roman" w:hAnsi="Times New Roman"/>
          <w:noProof/>
        </w:rPr>
        <w:t xml:space="preserve">, la Commission révisera la directive-cadre «stratégie pour le milieu marin» afin d’améliorer la cohérence avec l’acquis de l’UE dans le domaine de l’eau douce, en mettant l’accent sur l’obtention de résultats grâce à la réduction des exigences en matière d’établissement de rapports et à l’amélioration de la gestion des données et de la gouvernance dans le cadre des conventions maritimes régionales. </w:t>
      </w:r>
    </w:p>
    <w:p w14:paraId="528587D0" w14:textId="7A55B456" w:rsidR="00E21EB9" w:rsidRPr="0060399D" w:rsidRDefault="00CF166D" w:rsidP="00AD6B6D">
      <w:pPr>
        <w:spacing w:beforeAutospacing="1" w:afterAutospacing="1" w:line="240" w:lineRule="auto"/>
        <w:jc w:val="both"/>
        <w:rPr>
          <w:rFonts w:ascii="Times New Roman" w:eastAsia="Times New Roman" w:hAnsi="Times New Roman" w:cs="Times New Roman"/>
          <w:noProof/>
        </w:rPr>
      </w:pPr>
      <w:r>
        <w:rPr>
          <w:rFonts w:ascii="Times New Roman" w:hAnsi="Times New Roman"/>
          <w:b/>
          <w:noProof/>
          <w:color w:val="121212"/>
        </w:rPr>
        <w:t>En plus d’appliquer la législation existante, nous devons redoubler d’efforts pour améliorer la rétention d’eau dans les sols.</w:t>
      </w:r>
      <w:r>
        <w:rPr>
          <w:rFonts w:ascii="Times New Roman" w:hAnsi="Times New Roman"/>
          <w:noProof/>
          <w:color w:val="121212"/>
        </w:rPr>
        <w:t xml:space="preserve"> </w:t>
      </w:r>
      <w:r>
        <w:rPr>
          <w:rFonts w:ascii="Times New Roman" w:hAnsi="Times New Roman"/>
          <w:b/>
          <w:noProof/>
          <w:color w:val="121212"/>
        </w:rPr>
        <w:t xml:space="preserve">Conformément au pacte européen pour l'Océan, </w:t>
      </w:r>
      <w:r>
        <w:rPr>
          <w:rFonts w:ascii="Times New Roman" w:hAnsi="Times New Roman"/>
          <w:b/>
          <w:noProof/>
        </w:rPr>
        <w:t xml:space="preserve">nous devons donner la priorité à l’exploitation de tout le potentiel de nos écosystèmes pour </w:t>
      </w:r>
      <w:r>
        <w:rPr>
          <w:rFonts w:ascii="Times New Roman" w:hAnsi="Times New Roman"/>
          <w:b/>
          <w:noProof/>
          <w:color w:val="121212"/>
        </w:rPr>
        <w:t>stocker, purifier, restituer</w:t>
      </w:r>
      <w:r>
        <w:rPr>
          <w:rFonts w:ascii="Times New Roman" w:hAnsi="Times New Roman"/>
          <w:b/>
          <w:noProof/>
        </w:rPr>
        <w:t xml:space="preserve"> et restaurer l’eau sur terre et en mer, selon une approche «de la source à la mer»</w:t>
      </w:r>
      <w:r>
        <w:rPr>
          <w:rFonts w:ascii="Times New Roman" w:hAnsi="Times New Roman"/>
          <w:noProof/>
        </w:rPr>
        <w:t>. Au cours de son retour vers la mer, l’eau douce est naturellement stockée dans les sols,</w:t>
      </w:r>
      <w:r>
        <w:rPr>
          <w:noProof/>
        </w:rPr>
        <w:t xml:space="preserve"> </w:t>
      </w:r>
      <w:r>
        <w:rPr>
          <w:rFonts w:ascii="Times New Roman" w:hAnsi="Times New Roman"/>
          <w:noProof/>
        </w:rPr>
        <w:t>les forêts, les zones humides, les plaines inondables et d’autres écosystèmes. Il est nécessaire de rétablir la fonction d’éponge naturelle de nos paysages afin de reconstituer nos réserves d’eau souterraine et de protéger la biodiversité. Afin de mieux coordonner et d’intensifier les initiatives existantes</w:t>
      </w:r>
      <w:r>
        <w:rPr>
          <w:rStyle w:val="FootnoteReference"/>
          <w:rFonts w:ascii="Times New Roman" w:hAnsi="Times New Roman"/>
          <w:noProof/>
          <w:lang w:val="en-GB"/>
        </w:rPr>
        <w:footnoteReference w:id="25"/>
      </w:r>
      <w:r>
        <w:rPr>
          <w:rFonts w:ascii="Times New Roman" w:hAnsi="Times New Roman"/>
          <w:noProof/>
        </w:rPr>
        <w:t xml:space="preserve"> visant à accroître la rétention d’eau dans les sols, la Commission mettra en place un «mécanisme éponge», qui fournira un cadre cohérent pour les initiatives nouvelles et existantes visant à accroître la rétention d’eau dans les sols.</w:t>
      </w:r>
      <w:r>
        <w:rPr>
          <w:rFonts w:ascii="Times New Roman" w:hAnsi="Times New Roman"/>
          <w:b/>
          <w:noProof/>
          <w:color w:val="121212"/>
        </w:rPr>
        <w:t xml:space="preserve"> </w:t>
      </w:r>
      <w:r>
        <w:rPr>
          <w:rFonts w:ascii="Times New Roman" w:hAnsi="Times New Roman"/>
          <w:noProof/>
        </w:rPr>
        <w:t xml:space="preserve">Comme indiqué dans la vision pour l’agriculture et l’alimentation, la Commission entend également encourager et soutenir les pratiques agricoles qui permettent de restaurer, de préserver ou d’améliorer la santé des sols, telles que l’agriculture biologique et les approches agroécologiques qui retiennent l’eau dans les sols. Dans les zones urbaines, il convient de promouvoir des «villes éponges», </w:t>
      </w:r>
      <w:r>
        <w:rPr>
          <w:rFonts w:ascii="Times New Roman" w:hAnsi="Times New Roman"/>
          <w:noProof/>
          <w:color w:val="242424"/>
        </w:rPr>
        <w:t xml:space="preserve">conçues à partir de solutions fondées sur la nature pour absorber et restituer l’eau de manière contrôlée. </w:t>
      </w:r>
      <w:r>
        <w:rPr>
          <w:rFonts w:ascii="Times New Roman" w:hAnsi="Times New Roman"/>
          <w:noProof/>
        </w:rPr>
        <w:t>En outre, la gestion intégrée des eaux douces et marines est essentielle.</w:t>
      </w:r>
      <w:r>
        <w:rPr>
          <w:rFonts w:ascii="Times New Roman" w:hAnsi="Times New Roman"/>
          <w:b/>
          <w:noProof/>
        </w:rPr>
        <w:t xml:space="preserve"> </w:t>
      </w:r>
      <w:r>
        <w:rPr>
          <w:rFonts w:ascii="Times New Roman" w:hAnsi="Times New Roman"/>
          <w:noProof/>
        </w:rPr>
        <w:t>La pollution des rivières, la perturbation des flux de sédiments et les pénuries d’eau ont toutes une forte incidence sur la santé des écosystèmes marins et sur la viabilité des activités sociales et économiques qui en dépendent, telles que la pêche, l’aquaculture ou le tourisme</w:t>
      </w:r>
      <w:r>
        <w:rPr>
          <w:rStyle w:val="FootnoteReference"/>
          <w:rFonts w:ascii="Times New Roman" w:eastAsia="Times New Roman" w:hAnsi="Times New Roman" w:cs="Times New Roman"/>
          <w:noProof/>
        </w:rPr>
        <w:footnoteReference w:id="26"/>
      </w:r>
      <w:r>
        <w:rPr>
          <w:rFonts w:ascii="Times New Roman" w:hAnsi="Times New Roman"/>
          <w:noProof/>
        </w:rPr>
        <w:t>. Les zones côtières jouent un rôle fondamental dans le cycle de l’eau et sont essentielles pour empêcher la pollution terrestre de se déverser dans la mer. Un aménagement efficace du territoire peut réduire la vulnérabilité des communautés côtières, des villes, des ports maritimes et des deltas fluviaux de faible altitude face au changement climatique. Les ports maritimes doivent également contribuer à réduire au minimum la pollution par les navires en se conformant aux lois et politiques pertinentes. Il s’agit également d’un des thèmes qui seront abordés dans la stratégie portuaire européenne annoncée par la Commission. Enfin, une gestion durable et intégrée des voies navigables intérieures peut contribuer de manière significative à la résilience dans le domaine de l’eau, en se traduisant par une meilleure adaptation aux sécheresses et aux inondations, tout en maintenant la connectivité des itinéraires de navigation.</w:t>
      </w:r>
    </w:p>
    <w:p w14:paraId="603AC12F" w14:textId="0D71DA9C" w:rsidR="0094545C" w:rsidRDefault="266720B8" w:rsidP="00ED14EB">
      <w:pPr>
        <w:spacing w:before="100" w:beforeAutospacing="1" w:after="240" w:line="240" w:lineRule="auto"/>
        <w:jc w:val="both"/>
        <w:rPr>
          <w:rFonts w:ascii="Times New Roman" w:eastAsia="Times New Roman" w:hAnsi="Times New Roman" w:cs="Times New Roman"/>
          <w:noProof/>
        </w:rPr>
      </w:pPr>
      <w:r>
        <w:rPr>
          <w:rFonts w:ascii="Times New Roman" w:hAnsi="Times New Roman"/>
          <w:b/>
          <w:noProof/>
          <w:color w:val="000000" w:themeColor="text1"/>
        </w:rPr>
        <w:t>Le stockage de l’eau dans des réservoirs et autres structures artificielles nécessite</w:t>
      </w:r>
      <w:r>
        <w:rPr>
          <w:rFonts w:ascii="Times New Roman" w:hAnsi="Times New Roman"/>
          <w:b/>
          <w:noProof/>
        </w:rPr>
        <w:t xml:space="preserve"> </w:t>
      </w:r>
      <w:r>
        <w:rPr>
          <w:rFonts w:ascii="Times New Roman" w:hAnsi="Times New Roman"/>
          <w:b/>
          <w:noProof/>
          <w:color w:val="000000" w:themeColor="text1"/>
        </w:rPr>
        <w:t>une attention particulière ainsi qu’une planification et une coordination minutieuses, car de nombreux secteurs économiques ont besoin d’un approvisionnement stable en eau et ont souvent des besoins différents en cours d’année</w:t>
      </w:r>
      <w:r>
        <w:rPr>
          <w:rStyle w:val="FootnoteReference"/>
          <w:rFonts w:ascii="Times New Roman" w:eastAsia="Times New Roman" w:hAnsi="Times New Roman" w:cs="Times New Roman"/>
          <w:b/>
          <w:bCs/>
          <w:noProof/>
          <w:color w:val="000000" w:themeColor="text1"/>
          <w:lang w:val="en-GB"/>
        </w:rPr>
        <w:footnoteReference w:id="27"/>
      </w:r>
      <w:r>
        <w:rPr>
          <w:rFonts w:ascii="Times New Roman" w:hAnsi="Times New Roman"/>
          <w:noProof/>
          <w:color w:val="000000" w:themeColor="text1"/>
        </w:rPr>
        <w:t xml:space="preserve">. </w:t>
      </w:r>
      <w:r>
        <w:rPr>
          <w:rFonts w:ascii="Times New Roman" w:hAnsi="Times New Roman"/>
          <w:noProof/>
          <w:color w:val="121212"/>
        </w:rPr>
        <w:t>Les actions en matière de gestion de l’eau devraient privilégier les solutions fondées sur la nature, mais doivent également s’appuyer sur des structures artificielles</w:t>
      </w:r>
      <w:r>
        <w:rPr>
          <w:rFonts w:ascii="Times New Roman" w:hAnsi="Times New Roman"/>
          <w:noProof/>
        </w:rPr>
        <w:t xml:space="preserve"> ou une combinaison des deux. </w:t>
      </w:r>
      <w:r>
        <w:rPr>
          <w:rFonts w:ascii="Times New Roman" w:hAnsi="Times New Roman"/>
          <w:noProof/>
          <w:color w:val="000000" w:themeColor="text1"/>
        </w:rPr>
        <w:t>La planification de nouveaux barrages et de nouveaux réservoirs devrait évaluer soigneusement leurs incidences sur l’environnement, en associant tous les acteurs concernés, et veiller à ce que ces actions s’inscrivent dans une stratégie intégrée et durable de gestion de l’eau qui tienne pleinement compte des projections et scénarios de référence à long terme en matière de climat, afin d’éviter les investissements improductifs.</w:t>
      </w:r>
    </w:p>
    <w:p w14:paraId="338EAE05" w14:textId="0C3C8AFA" w:rsidR="006A23E3" w:rsidRDefault="006A23E3" w:rsidP="00ED14EB">
      <w:pPr>
        <w:spacing w:before="100" w:beforeAutospacing="1" w:after="240" w:line="240" w:lineRule="auto"/>
        <w:jc w:val="both"/>
        <w:rPr>
          <w:rFonts w:ascii="Times New Roman" w:eastAsia="Times New Roman" w:hAnsi="Times New Roman" w:cs="Times New Roman"/>
          <w:noProof/>
        </w:rPr>
      </w:pPr>
      <w:r>
        <w:rPr>
          <w:rFonts w:ascii="Times New Roman" w:hAnsi="Times New Roman"/>
          <w:b/>
          <w:noProof/>
        </w:rPr>
        <w:t xml:space="preserve">La qualité et la quantité de l’eau sont les deux faces d’une même médaille, et nous devons continuer à œuvrer pour prévenir la pollution à la source. </w:t>
      </w:r>
      <w:r>
        <w:rPr>
          <w:rFonts w:ascii="Times New Roman" w:hAnsi="Times New Roman"/>
          <w:noProof/>
        </w:rPr>
        <w:t>En 2021, seuls 39,5 % des eaux de surface de l’UE présentaient un bon état écologique, et seulement 26,8 % un bon état chimique</w:t>
      </w:r>
      <w:r>
        <w:rPr>
          <w:rStyle w:val="FootnoteReference"/>
          <w:rFonts w:ascii="Times New Roman" w:eastAsia="Times New Roman" w:hAnsi="Times New Roman" w:cs="Times New Roman"/>
          <w:noProof/>
        </w:rPr>
        <w:footnoteReference w:id="28"/>
      </w:r>
      <w:r>
        <w:rPr>
          <w:noProof/>
        </w:rPr>
        <w:t>.</w:t>
      </w:r>
      <w:r>
        <w:rPr>
          <w:rFonts w:ascii="Times New Roman" w:hAnsi="Times New Roman"/>
          <w:noProof/>
        </w:rPr>
        <w:t xml:space="preserve"> Il convient d’intensifier les actions et de mettre l’accent sur la prévention de l’utilisation et de la gestion non durables des terres, ainsi que sur les changements hydromorphologiques, la mauvaise gestion structurelle de l’eau due à des captages excessifs tant légaux qu’illégaux, les utilisations non rationnelles de l’eau dans tous les secteurs et la pollution de l’eau liée à des activités telles que l’agriculture, la production industrielle, l’exploitation minière et la gestion des déchets. </w:t>
      </w:r>
    </w:p>
    <w:p w14:paraId="03B6D6B4" w14:textId="77777777" w:rsidR="006A23E3" w:rsidRPr="009F333A" w:rsidRDefault="006A23E3" w:rsidP="00ED14EB">
      <w:pPr>
        <w:pStyle w:val="ecl-paragraph"/>
        <w:spacing w:before="0" w:beforeAutospacing="0" w:after="240" w:afterAutospacing="0"/>
        <w:jc w:val="both"/>
        <w:rPr>
          <w:noProof/>
        </w:rPr>
      </w:pPr>
      <w:r>
        <w:rPr>
          <w:b/>
          <w:noProof/>
        </w:rPr>
        <w:t>La pollution de l’eau a une incidence directe sur la santé.</w:t>
      </w:r>
      <w:r>
        <w:rPr>
          <w:noProof/>
        </w:rPr>
        <w:t xml:space="preserve"> Elle peut entraîner des maladies d’origine hydrique et renforcer la résistance aux antimicrobiens. La crise de la COVID</w:t>
      </w:r>
      <w:r>
        <w:rPr>
          <w:noProof/>
        </w:rPr>
        <w:noBreakHyphen/>
        <w:t>19 a démontré l’importance de la surveillance des agents pathogènes et des paramètres sanitaires dans les eaux usées dans le cadre d’une approche «Une seule santé», étant donné que la santé humaine, la santé animale, la santé des végétaux et la santé de l’environnement sont étroitement liées</w:t>
      </w:r>
      <w:r>
        <w:rPr>
          <w:rFonts w:eastAsia="Calibri"/>
          <w:noProof/>
          <w:vertAlign w:val="superscript"/>
        </w:rPr>
        <w:footnoteReference w:id="29"/>
      </w:r>
      <w:r>
        <w:rPr>
          <w:noProof/>
        </w:rPr>
        <w:t>. La Commission continuera de soutenir le renforcement des capacités et le développement des infrastructures en matière de surveillance des eaux usées, d’autant plus que le changement climatique aggrave les risques sanitaires associés aux maladies liées à l’eau</w:t>
      </w:r>
      <w:r>
        <w:rPr>
          <w:rStyle w:val="FootnoteReference"/>
          <w:noProof/>
        </w:rPr>
        <w:footnoteReference w:id="30"/>
      </w:r>
      <w:r>
        <w:rPr>
          <w:noProof/>
        </w:rPr>
        <w:t>.</w:t>
      </w:r>
      <w:r>
        <w:rPr>
          <w:noProof/>
          <w:vertAlign w:val="superscript"/>
        </w:rPr>
        <w:t xml:space="preserve"> </w:t>
      </w:r>
    </w:p>
    <w:p w14:paraId="1857658D" w14:textId="4AAF6E17" w:rsidR="006A23E3" w:rsidRPr="009F333A" w:rsidRDefault="7A1DF893" w:rsidP="4251B09A">
      <w:pPr>
        <w:spacing w:before="100" w:beforeAutospacing="1" w:after="240" w:line="240" w:lineRule="auto"/>
        <w:jc w:val="both"/>
        <w:rPr>
          <w:rFonts w:ascii="Times New Roman" w:eastAsia="Times New Roman" w:hAnsi="Times New Roman" w:cs="Times New Roman"/>
          <w:noProof/>
        </w:rPr>
      </w:pPr>
      <w:r>
        <w:rPr>
          <w:rFonts w:ascii="Times New Roman" w:hAnsi="Times New Roman"/>
          <w:b/>
          <w:noProof/>
        </w:rPr>
        <w:t xml:space="preserve">Il est urgent de prendre des mesures pour lutter contre les polluants qui représentent un risque pour nos sources vitales d’eau potable. </w:t>
      </w:r>
      <w:r>
        <w:rPr>
          <w:rFonts w:ascii="Times New Roman" w:hAnsi="Times New Roman"/>
          <w:noProof/>
        </w:rPr>
        <w:t>Les polluants hautement persistants, tels que les PFAS</w:t>
      </w:r>
      <w:r>
        <w:rPr>
          <w:rStyle w:val="FootnoteReference"/>
          <w:rFonts w:ascii="Times New Roman" w:hAnsi="Times New Roman"/>
          <w:noProof/>
        </w:rPr>
        <w:footnoteReference w:id="31"/>
      </w:r>
      <w:r>
        <w:rPr>
          <w:rFonts w:ascii="Times New Roman" w:hAnsi="Times New Roman"/>
          <w:noProof/>
        </w:rPr>
        <w:t>, continuent de s’accumuler dans les eaux de l’UE et ont des répercussions sur la santé estimées entre 52 et 84 milliards d’EUR par an</w:t>
      </w:r>
      <w:r>
        <w:rPr>
          <w:rFonts w:ascii="Times New Roman" w:hAnsi="Times New Roman"/>
          <w:noProof/>
          <w:vertAlign w:val="superscript"/>
        </w:rPr>
        <w:footnoteReference w:id="32"/>
      </w:r>
      <w:r>
        <w:rPr>
          <w:rFonts w:ascii="Times New Roman" w:hAnsi="Times New Roman"/>
          <w:noProof/>
        </w:rPr>
        <w:t>. Il s’agit également d’une source de préoccupation majeure pour l’opinion publique. La pollution de l’eau et du milieu marin, y compris par les microplastiques, doit être combattue à la source ou de manière transversale, conformément au plan d’action «zéro pollution»</w:t>
      </w:r>
      <w:r>
        <w:rPr>
          <w:rStyle w:val="FootnoteReference"/>
          <w:rFonts w:ascii="Times New Roman" w:eastAsia="Calibri" w:hAnsi="Times New Roman" w:cs="Times New Roman"/>
          <w:noProof/>
        </w:rPr>
        <w:footnoteReference w:id="33"/>
      </w:r>
      <w:r>
        <w:rPr>
          <w:rFonts w:ascii="Times New Roman" w:hAnsi="Times New Roman"/>
          <w:noProof/>
        </w:rPr>
        <w:t>. En outre, l’UE doit prendre des mesures résolues pour nettoyer les sites déjà fortement pollués par ces substances, ainsi que par d’autres substances persistantes, bioaccumulables et toxiques ubiquistes, en particulier lorsque ces substances restent indispensables à la société et aux applications industrielles. Le nettoyage devrait se fonder sur le principe du pollueur-payeur, tandis que des fonds publics devraient être alloués pour dépolluer les sites orphelins, lorsqu’aucune entité responsable n’a pu être identifiée. Si les mesures de réhabilitation sont très coûteuses</w:t>
      </w:r>
      <w:r>
        <w:rPr>
          <w:rStyle w:val="FootnoteReference"/>
          <w:rFonts w:ascii="Times New Roman" w:eastAsia="Calibri" w:hAnsi="Times New Roman" w:cs="Times New Roman"/>
          <w:noProof/>
        </w:rPr>
        <w:footnoteReference w:id="34"/>
      </w:r>
      <w:r>
        <w:rPr>
          <w:rFonts w:ascii="Times New Roman" w:hAnsi="Times New Roman"/>
          <w:noProof/>
        </w:rPr>
        <w:t>, la recherche et l’innovation peuvent réduire considérablement ces coûts grâce à des technologies nouvelles, y compris biosourcées, qui seront encouragées dans la stratégie pour la bioéconomie. En outre, si l’on trouve les bons partenaires disposés à investir aux côtés de l’UE, la Commission présentera une proposition visant à mettre en place une initiative public-privé afin de réaliser une percée technologique dans le domaine des méthodes réalisables et abordables de détection et d’élimination des PFAS et d’autres substances chimiques persistantes.</w:t>
      </w:r>
    </w:p>
    <w:p w14:paraId="6BDF8180" w14:textId="6B75B4F6" w:rsidR="006A23E3" w:rsidRDefault="006A23E3" w:rsidP="00ED14EB">
      <w:pPr>
        <w:shd w:val="clear" w:color="auto" w:fill="FFFFFF" w:themeFill="background1"/>
        <w:spacing w:before="100" w:beforeAutospacing="1" w:after="240" w:line="240" w:lineRule="auto"/>
        <w:jc w:val="both"/>
        <w:rPr>
          <w:rFonts w:ascii="Times New Roman" w:hAnsi="Times New Roman" w:cs="Times New Roman"/>
          <w:noProof/>
        </w:rPr>
      </w:pPr>
      <w:r>
        <w:rPr>
          <w:rFonts w:ascii="Times New Roman" w:hAnsi="Times New Roman"/>
          <w:b/>
          <w:noProof/>
        </w:rPr>
        <w:t xml:space="preserve">La limitation de la pollution des écosystèmes aquatiques par les nutriments devrait être au cœur de la restauration de la qualité de l’eau. </w:t>
      </w:r>
      <w:r>
        <w:rPr>
          <w:rFonts w:ascii="Times New Roman" w:hAnsi="Times New Roman"/>
          <w:noProof/>
        </w:rPr>
        <w:t>Les nutriments provenant de l’agriculture, des ensembles résidentiels urbains et d’autres sources ont une incidence sur la santé humaine et provoquent des proliférations d’algues et un appauvrissement en oxygène qui sont létaux pour les écosystèmes aquatiques. Cette situation reste un défi majeur et entraîne des pertes socio-économiques estimées entre 75 et 485 milliards d’EUR par an rien que pour l’azote</w:t>
      </w:r>
      <w:r>
        <w:rPr>
          <w:rStyle w:val="FootnoteReference"/>
          <w:rFonts w:ascii="Times New Roman" w:hAnsi="Times New Roman" w:cs="Times New Roman"/>
          <w:noProof/>
        </w:rPr>
        <w:footnoteReference w:id="35"/>
      </w:r>
      <w:r>
        <w:rPr>
          <w:rFonts w:ascii="Times New Roman" w:hAnsi="Times New Roman"/>
          <w:noProof/>
        </w:rPr>
        <w:t>. Ces coûts nécessitent un rythme d’action accéléré de la source à la mer, notamment une meilleure mise en œuvre de la directive sur les nitrates dans tous les États membres.</w:t>
      </w:r>
    </w:p>
    <w:p w14:paraId="66040D55" w14:textId="7F930D10" w:rsidR="008524F8" w:rsidRPr="009F333A" w:rsidRDefault="006A23E3" w:rsidP="00ED14EB">
      <w:pPr>
        <w:shd w:val="clear" w:color="auto" w:fill="FFFFFF" w:themeFill="background1"/>
        <w:spacing w:before="100" w:beforeAutospacing="1" w:after="240" w:line="240" w:lineRule="auto"/>
        <w:jc w:val="both"/>
        <w:rPr>
          <w:rFonts w:ascii="Times New Roman" w:hAnsi="Times New Roman" w:cs="Times New Roman"/>
          <w:noProof/>
        </w:rPr>
      </w:pPr>
      <w:r>
        <w:rPr>
          <w:rFonts w:ascii="Times New Roman" w:hAnsi="Times New Roman"/>
          <w:b/>
          <w:noProof/>
        </w:rPr>
        <w:t>La Commission aidera les États membres à évaluer les réductions adaptées des charges en nutriments qui sont nécessaires</w:t>
      </w:r>
      <w:r>
        <w:rPr>
          <w:rFonts w:ascii="Times New Roman" w:hAnsi="Times New Roman"/>
          <w:noProof/>
        </w:rPr>
        <w:t>, notamment au moyen d’une modélisation améliorée, de cartes interactives et d’échanges de bonnes pratiques. Elle continuera de soutenir l’amélioration et l’intégration de la gestion des nutriments au sein de différentes instances existantes, de contribuer au financement des installations de stockage du fumier et de promouvoir la circularité des nutriments, ce qui peut contribuer à réduire l’utilisation d’engrais de synthèse. En synergie avec l’axe de travail sur l’élevage annoncé dans la vision pour l’agriculture et l’alimentation, ces actions compléteront l’élaboration d’une vision à long terme qui respecte la diversité de la production animale dans l’UE tout en garantissant sa durabilité. Elles renforceront également les efforts visant à encourager l’extensification agricole dans les régions à forte concentration de bétail.</w:t>
      </w:r>
    </w:p>
    <w:tbl>
      <w:tblPr>
        <w:tblStyle w:val="TableGrid"/>
        <w:tblW w:w="0" w:type="auto"/>
        <w:tblLook w:val="04A0" w:firstRow="1" w:lastRow="0" w:firstColumn="1" w:lastColumn="0" w:noHBand="0" w:noVBand="1"/>
      </w:tblPr>
      <w:tblGrid>
        <w:gridCol w:w="7174"/>
        <w:gridCol w:w="1842"/>
      </w:tblGrid>
      <w:tr w:rsidR="00A614BF" w:rsidRPr="009F333A" w14:paraId="52B7891B" w14:textId="77777777" w:rsidTr="008228FF">
        <w:tc>
          <w:tcPr>
            <w:tcW w:w="7174" w:type="dxa"/>
            <w:shd w:val="clear" w:color="auto" w:fill="A5C9EB" w:themeFill="text2" w:themeFillTint="40"/>
          </w:tcPr>
          <w:p w14:paraId="385B2D7F" w14:textId="4099D28A" w:rsidR="00A614BF" w:rsidRPr="009F333A" w:rsidRDefault="00A614BF" w:rsidP="002F3DC7">
            <w:pPr>
              <w:pStyle w:val="paragraph"/>
              <w:spacing w:before="0" w:beforeAutospacing="0" w:after="0" w:afterAutospacing="0"/>
              <w:jc w:val="center"/>
              <w:rPr>
                <w:rFonts w:eastAsia="Calibri"/>
                <w:b/>
                <w:bCs/>
                <w:noProof/>
                <w:sz w:val="24"/>
                <w:szCs w:val="24"/>
              </w:rPr>
            </w:pPr>
            <w:r>
              <w:rPr>
                <w:b/>
                <w:noProof/>
                <w:sz w:val="24"/>
              </w:rPr>
              <w:t>Actions phares — Restaurer et protéger le cycle de l’eau</w:t>
            </w:r>
          </w:p>
        </w:tc>
        <w:tc>
          <w:tcPr>
            <w:tcW w:w="1842" w:type="dxa"/>
            <w:shd w:val="clear" w:color="auto" w:fill="A5C9EB" w:themeFill="text2" w:themeFillTint="40"/>
          </w:tcPr>
          <w:p w14:paraId="1CED3283" w14:textId="5CDDFAD8" w:rsidR="00A614BF" w:rsidRPr="009F333A" w:rsidRDefault="00A614BF" w:rsidP="002F3DC7">
            <w:pPr>
              <w:pStyle w:val="paragraph"/>
              <w:spacing w:before="0" w:beforeAutospacing="0" w:after="0" w:afterAutospacing="0"/>
              <w:jc w:val="center"/>
              <w:rPr>
                <w:rFonts w:eastAsia="Calibri"/>
                <w:b/>
                <w:bCs/>
                <w:noProof/>
                <w:sz w:val="24"/>
                <w:szCs w:val="24"/>
              </w:rPr>
            </w:pPr>
            <w:r>
              <w:rPr>
                <w:b/>
                <w:noProof/>
                <w:sz w:val="24"/>
              </w:rPr>
              <w:t>Calendrier</w:t>
            </w:r>
          </w:p>
        </w:tc>
      </w:tr>
      <w:tr w:rsidR="00AF61B9" w:rsidRPr="009F333A" w14:paraId="351F359F" w14:textId="77777777" w:rsidTr="008228FF">
        <w:tc>
          <w:tcPr>
            <w:tcW w:w="7174" w:type="dxa"/>
          </w:tcPr>
          <w:p w14:paraId="5CA3119E" w14:textId="4E5560C3" w:rsidR="00AF61B9" w:rsidRPr="009F333A" w:rsidRDefault="3C26908C" w:rsidP="26F9187F">
            <w:pPr>
              <w:pStyle w:val="paragraph"/>
              <w:spacing w:before="0" w:beforeAutospacing="0" w:after="0" w:afterAutospacing="0"/>
              <w:jc w:val="both"/>
              <w:rPr>
                <w:rFonts w:eastAsia="Aptos"/>
                <w:b/>
                <w:bCs/>
                <w:noProof/>
                <w:sz w:val="24"/>
                <w:szCs w:val="24"/>
                <w:u w:val="single"/>
              </w:rPr>
            </w:pPr>
            <w:r>
              <w:rPr>
                <w:noProof/>
                <w:sz w:val="24"/>
              </w:rPr>
              <w:t xml:space="preserve">Définir, notamment au moyen de dialogues structurés avec les États membres, les priorités de mise en œuvre de la directive-cadre sur l’eau et de la directive «Inondations», en mettant l’accent sur la qualité et la quantité de l’eau. </w:t>
            </w:r>
          </w:p>
        </w:tc>
        <w:tc>
          <w:tcPr>
            <w:tcW w:w="1842" w:type="dxa"/>
          </w:tcPr>
          <w:p w14:paraId="76E7C937" w14:textId="66E53B0C" w:rsidR="00AF61B9" w:rsidRPr="009F333A" w:rsidRDefault="00AF61B9" w:rsidP="0066345E">
            <w:pPr>
              <w:pStyle w:val="paragraph"/>
              <w:spacing w:before="0" w:beforeAutospacing="0" w:after="0" w:afterAutospacing="0"/>
              <w:jc w:val="center"/>
              <w:rPr>
                <w:rFonts w:eastAsia="Calibri"/>
                <w:noProof/>
                <w:sz w:val="24"/>
                <w:szCs w:val="24"/>
              </w:rPr>
            </w:pPr>
            <w:r>
              <w:rPr>
                <w:noProof/>
              </w:rPr>
              <w:t>2025-2026</w:t>
            </w:r>
          </w:p>
        </w:tc>
      </w:tr>
      <w:tr w:rsidR="00A30966" w:rsidRPr="009F333A" w14:paraId="5DE74CED" w14:textId="77777777" w:rsidTr="008228FF">
        <w:tc>
          <w:tcPr>
            <w:tcW w:w="7174" w:type="dxa"/>
          </w:tcPr>
          <w:p w14:paraId="627310AB" w14:textId="24E221E9" w:rsidR="00A30966" w:rsidRPr="009F333A" w:rsidRDefault="00A30966" w:rsidP="00A30966">
            <w:pPr>
              <w:pStyle w:val="paragraph"/>
              <w:spacing w:before="0" w:beforeAutospacing="0" w:after="0" w:afterAutospacing="0"/>
              <w:jc w:val="both"/>
              <w:rPr>
                <w:rFonts w:eastAsia="Calibri"/>
                <w:noProof/>
                <w:sz w:val="24"/>
                <w:szCs w:val="24"/>
              </w:rPr>
            </w:pPr>
            <w:r>
              <w:rPr>
                <w:noProof/>
                <w:sz w:val="24"/>
              </w:rPr>
              <w:t>Réviser la directive-cadre «stratégie pour le milieu marin».</w:t>
            </w:r>
          </w:p>
        </w:tc>
        <w:tc>
          <w:tcPr>
            <w:tcW w:w="1842" w:type="dxa"/>
          </w:tcPr>
          <w:p w14:paraId="73534E14" w14:textId="1152A5C9" w:rsidR="00A30966" w:rsidRPr="009F333A" w:rsidRDefault="00A30966" w:rsidP="00A30966">
            <w:pPr>
              <w:pStyle w:val="paragraph"/>
              <w:spacing w:before="0" w:beforeAutospacing="0" w:after="0" w:afterAutospacing="0"/>
              <w:jc w:val="center"/>
              <w:rPr>
                <w:rFonts w:eastAsia="Calibri"/>
                <w:noProof/>
                <w:sz w:val="24"/>
                <w:szCs w:val="24"/>
              </w:rPr>
            </w:pPr>
            <w:r>
              <w:rPr>
                <w:noProof/>
              </w:rPr>
              <w:t>2027</w:t>
            </w:r>
          </w:p>
        </w:tc>
      </w:tr>
      <w:tr w:rsidR="00367DDA" w:rsidRPr="0060399D" w14:paraId="53BF564E" w14:textId="77777777" w:rsidTr="00D57C4B">
        <w:tc>
          <w:tcPr>
            <w:tcW w:w="7174" w:type="dxa"/>
          </w:tcPr>
          <w:p w14:paraId="3072D8C9" w14:textId="516A3547" w:rsidR="00367DDA" w:rsidRPr="0060399D" w:rsidRDefault="00367DDA" w:rsidP="00D57C4B">
            <w:pPr>
              <w:pStyle w:val="paragraph"/>
              <w:spacing w:before="0" w:beforeAutospacing="0" w:after="0" w:afterAutospacing="0"/>
              <w:jc w:val="both"/>
              <w:rPr>
                <w:rFonts w:eastAsia="Calibri"/>
                <w:noProof/>
                <w:sz w:val="24"/>
                <w:szCs w:val="24"/>
              </w:rPr>
            </w:pPr>
            <w:r>
              <w:rPr>
                <w:noProof/>
                <w:sz w:val="24"/>
              </w:rPr>
              <w:t>Élaborer des indicateurs de rareté de l’eau et des orientations techniques sur les plans de gestion de la sécheresse.</w:t>
            </w:r>
          </w:p>
        </w:tc>
        <w:tc>
          <w:tcPr>
            <w:tcW w:w="1842" w:type="dxa"/>
          </w:tcPr>
          <w:p w14:paraId="40F3603A" w14:textId="77777777" w:rsidR="00367DDA" w:rsidRPr="0060399D" w:rsidRDefault="00367DDA" w:rsidP="00AC1DBC">
            <w:pPr>
              <w:pStyle w:val="paragraph"/>
              <w:spacing w:before="0" w:beforeAutospacing="0" w:after="0" w:afterAutospacing="0"/>
              <w:jc w:val="center"/>
              <w:rPr>
                <w:rFonts w:eastAsia="Calibri"/>
                <w:noProof/>
                <w:sz w:val="24"/>
                <w:szCs w:val="24"/>
              </w:rPr>
            </w:pPr>
            <w:r>
              <w:rPr>
                <w:noProof/>
                <w:sz w:val="24"/>
              </w:rPr>
              <w:t>2026-2027</w:t>
            </w:r>
          </w:p>
        </w:tc>
      </w:tr>
      <w:tr w:rsidR="00A30966" w:rsidRPr="009F333A" w14:paraId="34C84F20" w14:textId="77777777" w:rsidTr="008228FF">
        <w:tc>
          <w:tcPr>
            <w:tcW w:w="7174" w:type="dxa"/>
          </w:tcPr>
          <w:p w14:paraId="0E7BFA49" w14:textId="2DE2E125" w:rsidR="00A30966" w:rsidRPr="00405080" w:rsidRDefault="00CE18BB" w:rsidP="00A30966">
            <w:pPr>
              <w:pStyle w:val="paragraph"/>
              <w:spacing w:before="0" w:beforeAutospacing="0" w:after="0" w:afterAutospacing="0"/>
              <w:jc w:val="both"/>
              <w:rPr>
                <w:rFonts w:eastAsia="Calibri"/>
                <w:noProof/>
                <w:sz w:val="24"/>
                <w:szCs w:val="24"/>
              </w:rPr>
            </w:pPr>
            <w:r>
              <w:rPr>
                <w:noProof/>
                <w:sz w:val="24"/>
              </w:rPr>
              <w:t>Soutenir la lutte contre les principales sources de pollution:</w:t>
            </w:r>
          </w:p>
          <w:p w14:paraId="7495DE78" w14:textId="1254BB87" w:rsidR="00A30966" w:rsidRPr="00405080" w:rsidRDefault="00A30966" w:rsidP="00A30966">
            <w:pPr>
              <w:pStyle w:val="paragraph"/>
              <w:numPr>
                <w:ilvl w:val="0"/>
                <w:numId w:val="5"/>
              </w:numPr>
              <w:spacing w:before="0" w:beforeAutospacing="0" w:after="0" w:afterAutospacing="0"/>
              <w:jc w:val="both"/>
              <w:rPr>
                <w:noProof/>
                <w:color w:val="242424"/>
                <w:sz w:val="24"/>
                <w:szCs w:val="24"/>
              </w:rPr>
            </w:pPr>
            <w:r>
              <w:rPr>
                <w:noProof/>
                <w:sz w:val="24"/>
              </w:rPr>
              <w:t>mettre en place une initiative public-privé afin de réaliser une percée technologique dans le domaine des méthodes réalisables et abordables de détection et d’élimination des PFAS et d’autres substances chimiques persistantes, si les bons partenaires sont trouvés;</w:t>
            </w:r>
          </w:p>
          <w:p w14:paraId="77D7F717" w14:textId="1B0B652E" w:rsidR="00A30966" w:rsidRPr="009F333A" w:rsidRDefault="00A30966" w:rsidP="00A30966">
            <w:pPr>
              <w:pStyle w:val="paragraph"/>
              <w:numPr>
                <w:ilvl w:val="0"/>
                <w:numId w:val="5"/>
              </w:numPr>
              <w:spacing w:before="0" w:beforeAutospacing="0" w:after="0" w:afterAutospacing="0"/>
              <w:jc w:val="both"/>
              <w:rPr>
                <w:noProof/>
                <w:color w:val="242424"/>
                <w:sz w:val="24"/>
                <w:szCs w:val="24"/>
              </w:rPr>
            </w:pPr>
            <w:r>
              <w:rPr>
                <w:noProof/>
                <w:sz w:val="24"/>
              </w:rPr>
              <w:t xml:space="preserve">lancer une boîte à outils d’aide à l’intention des États membres afin de soutenir les actions visant à réduire la pollution par les nutriments, notamment au moyen d’une modélisation améliorée, de cartes interactives et d’échanges de bonnes pratiques. </w:t>
            </w:r>
          </w:p>
        </w:tc>
        <w:tc>
          <w:tcPr>
            <w:tcW w:w="1842" w:type="dxa"/>
          </w:tcPr>
          <w:p w14:paraId="73FEBE4D" w14:textId="77777777" w:rsidR="00A30966" w:rsidRPr="009F333A" w:rsidRDefault="00A30966" w:rsidP="00A30966">
            <w:pPr>
              <w:pStyle w:val="paragraph"/>
              <w:spacing w:before="0" w:beforeAutospacing="0" w:after="0" w:afterAutospacing="0"/>
              <w:jc w:val="center"/>
              <w:rPr>
                <w:rFonts w:eastAsia="Calibri"/>
                <w:noProof/>
                <w:sz w:val="24"/>
                <w:szCs w:val="24"/>
              </w:rPr>
            </w:pPr>
          </w:p>
          <w:p w14:paraId="32BF80DC" w14:textId="3FFD138D" w:rsidR="00A30966" w:rsidRPr="009F333A" w:rsidRDefault="00A30966" w:rsidP="00A30966">
            <w:pPr>
              <w:pStyle w:val="paragraph"/>
              <w:spacing w:before="0" w:beforeAutospacing="0" w:after="0" w:afterAutospacing="0"/>
              <w:jc w:val="center"/>
              <w:rPr>
                <w:rFonts w:eastAsia="Calibri"/>
                <w:noProof/>
                <w:sz w:val="24"/>
                <w:szCs w:val="24"/>
              </w:rPr>
            </w:pPr>
            <w:r>
              <w:rPr>
                <w:noProof/>
                <w:sz w:val="24"/>
              </w:rPr>
              <w:t>2027</w:t>
            </w:r>
          </w:p>
          <w:p w14:paraId="1BE7634C" w14:textId="77777777" w:rsidR="00A30966" w:rsidRPr="009F333A" w:rsidRDefault="00A30966" w:rsidP="00A30966">
            <w:pPr>
              <w:pStyle w:val="paragraph"/>
              <w:spacing w:before="0" w:beforeAutospacing="0" w:after="0" w:afterAutospacing="0"/>
              <w:jc w:val="center"/>
              <w:rPr>
                <w:rFonts w:eastAsia="Calibri"/>
                <w:noProof/>
                <w:sz w:val="24"/>
                <w:szCs w:val="24"/>
              </w:rPr>
            </w:pPr>
          </w:p>
          <w:p w14:paraId="37773BC4" w14:textId="77777777" w:rsidR="00A30966" w:rsidRDefault="00A30966" w:rsidP="00A30966">
            <w:pPr>
              <w:pStyle w:val="paragraph"/>
              <w:spacing w:before="0" w:beforeAutospacing="0" w:after="0" w:afterAutospacing="0"/>
              <w:jc w:val="center"/>
              <w:rPr>
                <w:rFonts w:eastAsia="Calibri"/>
                <w:noProof/>
                <w:sz w:val="24"/>
                <w:szCs w:val="24"/>
              </w:rPr>
            </w:pPr>
          </w:p>
          <w:p w14:paraId="7021CFA3" w14:textId="77777777" w:rsidR="00405080" w:rsidRPr="009F333A" w:rsidRDefault="00405080" w:rsidP="00A30966">
            <w:pPr>
              <w:pStyle w:val="paragraph"/>
              <w:spacing w:before="0" w:beforeAutospacing="0" w:after="0" w:afterAutospacing="0"/>
              <w:jc w:val="center"/>
              <w:rPr>
                <w:rFonts w:eastAsia="Calibri"/>
                <w:noProof/>
                <w:sz w:val="24"/>
                <w:szCs w:val="24"/>
              </w:rPr>
            </w:pPr>
          </w:p>
          <w:p w14:paraId="332F331B" w14:textId="6274D75F" w:rsidR="00A30966" w:rsidRPr="009F333A" w:rsidRDefault="00A30966" w:rsidP="00A30966">
            <w:pPr>
              <w:pStyle w:val="paragraph"/>
              <w:spacing w:before="0" w:beforeAutospacing="0" w:after="0" w:afterAutospacing="0"/>
              <w:jc w:val="center"/>
              <w:rPr>
                <w:rFonts w:eastAsia="Calibri"/>
                <w:noProof/>
                <w:sz w:val="24"/>
                <w:szCs w:val="24"/>
              </w:rPr>
            </w:pPr>
            <w:r>
              <w:rPr>
                <w:noProof/>
                <w:sz w:val="24"/>
              </w:rPr>
              <w:t>2026-2027</w:t>
            </w:r>
          </w:p>
        </w:tc>
      </w:tr>
    </w:tbl>
    <w:p w14:paraId="55C8147B" w14:textId="77777777" w:rsidR="00764310" w:rsidRPr="009F333A" w:rsidRDefault="00764310" w:rsidP="00144E5B">
      <w:pPr>
        <w:spacing w:after="0" w:line="240" w:lineRule="auto"/>
        <w:jc w:val="both"/>
        <w:rPr>
          <w:rFonts w:ascii="Times New Roman" w:hAnsi="Times New Roman" w:cs="Times New Roman"/>
          <w:b/>
          <w:bCs/>
          <w:noProof/>
        </w:rPr>
      </w:pPr>
    </w:p>
    <w:p w14:paraId="3490BFA9" w14:textId="03FF4E59" w:rsidR="00DD65ED" w:rsidRPr="009F333A" w:rsidRDefault="00B21B4E" w:rsidP="00ED14EB">
      <w:pPr>
        <w:pStyle w:val="Heading2"/>
        <w:spacing w:after="240"/>
        <w:ind w:left="720" w:hanging="7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2.2</w:t>
      </w:r>
      <w:r>
        <w:rPr>
          <w:noProof/>
        </w:rPr>
        <w:tab/>
      </w:r>
      <w:r>
        <w:rPr>
          <w:rFonts w:ascii="Times New Roman" w:hAnsi="Times New Roman"/>
          <w:b/>
          <w:noProof/>
          <w:color w:val="000000" w:themeColor="text1"/>
          <w:sz w:val="24"/>
        </w:rPr>
        <w:t>Construire une économie intelligente dans le domaine de l’eau qui ne laisse personne de côté, soutienne la compétitivité de l’UE et attire les investisseurs</w:t>
      </w:r>
    </w:p>
    <w:p w14:paraId="76B3B026" w14:textId="03E5E73C" w:rsidR="00845991" w:rsidRPr="0060399D" w:rsidRDefault="4B4DC9DA" w:rsidP="00ED14EB">
      <w:pPr>
        <w:spacing w:after="240" w:line="240" w:lineRule="auto"/>
        <w:jc w:val="both"/>
        <w:rPr>
          <w:rFonts w:ascii="Times New Roman" w:eastAsia="Times New Roman" w:hAnsi="Times New Roman" w:cs="Times New Roman"/>
          <w:noProof/>
        </w:rPr>
      </w:pPr>
      <w:r>
        <w:rPr>
          <w:rFonts w:ascii="Times New Roman" w:hAnsi="Times New Roman"/>
          <w:b/>
          <w:noProof/>
        </w:rPr>
        <w:t>L’eau est une ressource non renouvelable qui doit être utilisée de façon rationnelle</w:t>
      </w:r>
      <w:r>
        <w:rPr>
          <w:rFonts w:ascii="Times New Roman" w:hAnsi="Times New Roman"/>
          <w:noProof/>
        </w:rPr>
        <w:t>. Il est impératif de réduire la demande dans tous les secteurs de l’économie, en favorisant les économies d’eau ainsi que l’utilisation rationnelle et la réutilisation de l’eau. Face à des pénuries d’eau et sécheresses de plus en plus nombreuses, il est essentiel de continuer à garantir l’approvisionnement en eau, à répondre aux demandes des différents utilisateurs de manière équitable et à soutenir les écosystèmes aquatiques et terrestres. Il s’agit d’un enjeu particulièrement important dans les régions qui connaissent de graves foyers de surexploitation, où la rareté de l’eau devient systémique et constitue un obstacle majeur au développement économique, notamment certaines communautés isolées et insulaires où l’eau douce est disponible en quantité limitée. Avec la poursuite du changement climatique, les régions touchées par des pénuries d’eau augmenteront considérablement</w:t>
      </w:r>
      <w:r>
        <w:rPr>
          <w:rStyle w:val="FootnoteReference"/>
          <w:rFonts w:ascii="Times New Roman" w:hAnsi="Times New Roman" w:cs="Times New Roman"/>
          <w:noProof/>
        </w:rPr>
        <w:footnoteReference w:id="36"/>
      </w:r>
      <w:r>
        <w:rPr>
          <w:rFonts w:ascii="Times New Roman" w:hAnsi="Times New Roman"/>
          <w:noProof/>
        </w:rPr>
        <w:t xml:space="preserve">. L’utilisation rationnelle doit se concentrer en particulier sur les utilisateurs d’eau les plus intensifs, actuels et futurs, qui ont également le plus grand intérêt à éviter les captages excessifs susceptibles de perturber l’approvisionnement. </w:t>
      </w:r>
    </w:p>
    <w:p w14:paraId="47E90605" w14:textId="0AA15FFC" w:rsidR="00DC3322" w:rsidRPr="009F333A" w:rsidRDefault="00DC3322" w:rsidP="00ED14EB">
      <w:pPr>
        <w:spacing w:after="240" w:line="240" w:lineRule="auto"/>
        <w:jc w:val="both"/>
        <w:rPr>
          <w:rFonts w:ascii="Times New Roman" w:eastAsia="Calibri" w:hAnsi="Times New Roman" w:cs="Times New Roman"/>
          <w:b/>
          <w:bCs/>
          <w:noProof/>
        </w:rPr>
      </w:pPr>
      <w:r>
        <w:rPr>
          <w:rFonts w:ascii="Times New Roman" w:hAnsi="Times New Roman"/>
          <w:b/>
          <w:noProof/>
        </w:rPr>
        <w:t xml:space="preserve">L’utilisation rationnelle de l’eau est essentielle et doit être une priorité absolue. </w:t>
      </w:r>
      <w:r>
        <w:rPr>
          <w:rFonts w:ascii="Times New Roman" w:hAnsi="Times New Roman"/>
          <w:noProof/>
        </w:rPr>
        <w:t>La présente stratégie s’accompagne d’une recommandation sur l’application du principe de priorité à l’utilisation rationnelle de l’eau, inspirée de l’expérience acquise dans le cadre du principe de primauté de l’efficacité énergétique</w:t>
      </w:r>
      <w:r>
        <w:rPr>
          <w:rFonts w:ascii="Times New Roman" w:eastAsia="Calibri" w:hAnsi="Times New Roman" w:cs="Times New Roman"/>
          <w:noProof/>
          <w:vertAlign w:val="superscript"/>
        </w:rPr>
        <w:footnoteReference w:id="37"/>
      </w:r>
      <w:r>
        <w:rPr>
          <w:rFonts w:ascii="Times New Roman" w:hAnsi="Times New Roman"/>
          <w:noProof/>
        </w:rPr>
        <w:t>. Elle définit des principes directeurs pour la prise de décision et les investissements fondés sur une hiérarchisation claire et prévisible, mais souple, des priorités en matière de gestion de la demande et de l’offre en eau. Dans l’ensemble de l’UE, la priorité devrait être de freiner la demande et les captages excessifs. Cette démarche devrait être guidée par l’efficacité dès la conception et la réutilisation, l’augmentation de l’offre devant être la solution de dernier recours.</w:t>
      </w:r>
      <w:r>
        <w:rPr>
          <w:rFonts w:ascii="Times New Roman" w:hAnsi="Times New Roman"/>
          <w:b/>
          <w:noProof/>
        </w:rPr>
        <w:t xml:space="preserve"> </w:t>
      </w:r>
    </w:p>
    <w:p w14:paraId="2E6ACA0E" w14:textId="5C2CF403" w:rsidR="000944BB" w:rsidRPr="009F333A" w:rsidRDefault="79811F02" w:rsidP="00ED14EB">
      <w:pPr>
        <w:spacing w:after="240" w:line="240" w:lineRule="auto"/>
        <w:jc w:val="both"/>
        <w:rPr>
          <w:rFonts w:ascii="Times New Roman" w:eastAsia="Calibri" w:hAnsi="Times New Roman" w:cs="Times New Roman"/>
          <w:noProof/>
        </w:rPr>
      </w:pPr>
      <w:bookmarkStart w:id="3" w:name="_Hlk199164651"/>
      <w:r>
        <w:rPr>
          <w:rFonts w:ascii="Times New Roman" w:hAnsi="Times New Roman"/>
          <w:b/>
          <w:bCs/>
          <w:noProof/>
        </w:rPr>
        <w:t>Afin d’orienter les actions en faveur de l’utilisation rationnelle de l’eau dans l’ensemble de l’UE, compte tenu du potentiel d’économies d’eau</w:t>
      </w:r>
      <w:r>
        <w:rPr>
          <w:rStyle w:val="FootnoteReference"/>
          <w:rFonts w:ascii="Times New Roman" w:eastAsia="Calibri" w:hAnsi="Times New Roman" w:cs="Times New Roman"/>
          <w:b/>
          <w:bCs/>
          <w:noProof/>
        </w:rPr>
        <w:footnoteReference w:id="38"/>
      </w:r>
      <w:r>
        <w:rPr>
          <w:rFonts w:ascii="Times New Roman" w:hAnsi="Times New Roman"/>
          <w:b/>
          <w:bCs/>
          <w:noProof/>
        </w:rPr>
        <w:t>, l’UE devrait s’efforcer d’améliorer l’utilisation rationnelle de l’eau d’au moins 10 % d’ici à 2030</w:t>
      </w:r>
      <w:r>
        <w:rPr>
          <w:rFonts w:ascii="Times New Roman" w:hAnsi="Times New Roman"/>
          <w:noProof/>
        </w:rPr>
        <w:t>. La Commission collaborera avec les États membres et les parties prenantes afin d’élaborer une méthode commune pour les objectifs en matière d’utilisation rationnelle de l’eau, en tenant compte des différences, territoriales et autres, entre les pays, les régions et les secteurs. Sur cette base, dans le cadre du réexamen de la présente stratégie en 2027, la Commission a l’intention d’élaborer des critères de référence communs. Certains États membres ont déjà fixé des objectifs spécifiques afin d’améliorer l’utilisation rationnelle de l’eau au niveau national ou régional ou au niveau des bassins hydrographiques</w:t>
      </w:r>
      <w:r>
        <w:rPr>
          <w:rStyle w:val="FootnoteReference"/>
          <w:rFonts w:ascii="Times New Roman" w:eastAsia="Calibri" w:hAnsi="Times New Roman" w:cs="Times New Roman"/>
          <w:noProof/>
        </w:rPr>
        <w:footnoteReference w:id="39"/>
      </w:r>
      <w:r>
        <w:rPr>
          <w:noProof/>
        </w:rPr>
        <w:t>.</w:t>
      </w:r>
      <w:r>
        <w:rPr>
          <w:rFonts w:ascii="Times New Roman" w:hAnsi="Times New Roman"/>
          <w:noProof/>
        </w:rPr>
        <w:t xml:space="preserve"> Les États membres sont encouragés à fixer leurs propres objectifs en matière d’utilisation rationnelle de l’eau, en fonction de leur situation nationale. </w:t>
      </w:r>
      <w:bookmarkEnd w:id="3"/>
    </w:p>
    <w:p w14:paraId="4FB53C4E" w14:textId="4AF8C825" w:rsidR="00257752" w:rsidRPr="00ED14EB" w:rsidRDefault="00F83C87" w:rsidP="00ED14EB">
      <w:pPr>
        <w:spacing w:after="240" w:line="240" w:lineRule="auto"/>
        <w:jc w:val="both"/>
        <w:rPr>
          <w:rFonts w:ascii="Times New Roman" w:eastAsia="Calibri" w:hAnsi="Times New Roman" w:cs="Times New Roman"/>
          <w:noProof/>
        </w:rPr>
      </w:pPr>
      <w:r>
        <w:rPr>
          <w:rFonts w:ascii="Times New Roman" w:hAnsi="Times New Roman"/>
          <w:b/>
          <w:noProof/>
        </w:rPr>
        <w:t xml:space="preserve">Une économie intelligente dans le domaine de l’eau nécessite un meilleur contrôle des ressources. </w:t>
      </w:r>
      <w:r>
        <w:rPr>
          <w:rFonts w:ascii="Times New Roman" w:hAnsi="Times New Roman"/>
          <w:noProof/>
        </w:rPr>
        <w:t>D’après les données disponibles pour la période 2010-2021</w:t>
      </w:r>
      <w:r>
        <w:rPr>
          <w:rStyle w:val="FootnoteReference"/>
          <w:rFonts w:ascii="Times New Roman" w:eastAsia="Calibri" w:hAnsi="Times New Roman" w:cs="Times New Roman"/>
          <w:noProof/>
        </w:rPr>
        <w:footnoteReference w:id="40"/>
      </w:r>
      <w:r>
        <w:rPr>
          <w:rFonts w:ascii="Times New Roman" w:hAnsi="Times New Roman"/>
          <w:noProof/>
        </w:rPr>
        <w:t>, 81 % de la consommation totale d’eau sont imputables à des utilisateurs qui prélèvent l’eau directement à la source en utilisant des systèmes privés, et de nombreux États membres ne disposent pas de données précises concernant leur disponibilité en eau douce. En vertu de la directive-cadre sur l’eau, les autorités doivent procéder à des évaluations actualisées de la disponibilité de l’eau et des captages effectués par les utilisateurs d’eau et intensifier leurs efforts pour enregistrer et contrôler la totalité des captages, pertes et rejets. Le déploiement de systèmes intelligents de mesure de l’eau dans tous les secteurs économiques permettra une surveillance rigoureuse des flux d’eau et aidera également les citoyens et les entreprises à gérer leur utilisation de l’eau de manière plus rationnelle. La Commission encouragera l’échange de bonnes pratiques en matière de bilans hydrologiques et de systèmes intelligents de mesure de l’eau dans tous les secteurs économiques. Elle s’emploiera également au lancement d’une initiative européenne en faveur des infrastructures dans le domaine de l’eau et de systèmes intelligents de mesure pour tous (voir section 3.3). En outre, elle évaluera, d’ici à la fin de 2026, la qualité des données disponibles sur l’eau et, le cas échéant, révisera la législation pertinente en vue d’introduire de nouveaux modules relatifs aux comptes économiques de l’environnement en ce qui concerne les comptes relatifs à l’eau</w:t>
      </w:r>
      <w:r>
        <w:rPr>
          <w:rStyle w:val="FootnoteReference"/>
          <w:rFonts w:ascii="Times New Roman" w:eastAsia="Calibri" w:hAnsi="Times New Roman" w:cs="Times New Roman"/>
          <w:noProof/>
        </w:rPr>
        <w:footnoteReference w:id="41"/>
      </w:r>
      <w:r>
        <w:rPr>
          <w:rFonts w:ascii="Times New Roman" w:hAnsi="Times New Roman"/>
          <w:noProof/>
        </w:rPr>
        <w:t>.</w:t>
      </w:r>
    </w:p>
    <w:p w14:paraId="3F0CEDF7" w14:textId="63DC4998" w:rsidR="00C11801" w:rsidRPr="009F333A" w:rsidRDefault="4C41879B" w:rsidP="00257752">
      <w:pPr>
        <w:spacing w:after="0" w:line="240" w:lineRule="auto"/>
        <w:jc w:val="both"/>
        <w:rPr>
          <w:rFonts w:ascii="Times New Roman" w:eastAsia="Times New Roman" w:hAnsi="Times New Roman" w:cs="Times New Roman"/>
          <w:noProof/>
        </w:rPr>
      </w:pPr>
      <w:r>
        <w:rPr>
          <w:rFonts w:ascii="Times New Roman" w:hAnsi="Times New Roman"/>
          <w:b/>
          <w:noProof/>
        </w:rPr>
        <w:t>Il convient d’accorder une attention particulière à l’évaluation et, dans la mesure du possible, à la limitation des besoins en eau qui découlent de la transformation industrielle et numérique propre et de la soutenir par une planification intelligente de l’utilisation de l’eau.</w:t>
      </w:r>
      <w:r>
        <w:rPr>
          <w:rFonts w:ascii="Times New Roman" w:hAnsi="Times New Roman"/>
          <w:noProof/>
        </w:rPr>
        <w:t xml:space="preserve"> Des secteurs clés pour l’autonomie stratégique de l’UE, tels que ceux de la production de batteries, des semi-conducteurs, de l’hydrogène, des micropuces et des centres de données, consomment de grandes quantités d’eau souvent ultrapure</w:t>
      </w:r>
      <w:r>
        <w:rPr>
          <w:rFonts w:ascii="Times New Roman" w:eastAsia="Times New Roman" w:hAnsi="Times New Roman" w:cs="Times New Roman"/>
          <w:noProof/>
          <w:vertAlign w:val="superscript"/>
        </w:rPr>
        <w:footnoteReference w:id="42"/>
      </w:r>
      <w:r>
        <w:rPr>
          <w:rFonts w:ascii="Times New Roman" w:hAnsi="Times New Roman"/>
          <w:noProof/>
        </w:rPr>
        <w:t>. Dans le même temps, la transition vers une énergie propre et la décarbonation de notre système énergétique européen contribueront à améliorer la gestion de l’eau</w:t>
      </w:r>
      <w:r>
        <w:rPr>
          <w:rFonts w:ascii="Times New Roman" w:eastAsia="Times New Roman" w:hAnsi="Times New Roman" w:cs="Times New Roman"/>
          <w:noProof/>
          <w:vertAlign w:val="superscript"/>
        </w:rPr>
        <w:footnoteReference w:id="43"/>
      </w:r>
      <w:r>
        <w:rPr>
          <w:rFonts w:ascii="Times New Roman" w:hAnsi="Times New Roman"/>
          <w:noProof/>
        </w:rPr>
        <w:t>. Dans ce contexte, les économies d’eau et d’énergie, qui vont généralement de pair, doivent être maximisées, et la résilience dans le domaine de l’eau doit faire l’objet d’une attention particulière dans l’aménagement du territoire. En particulier, afin de promouvoir les économies d’eau dans l’ensemble des centres de données, la Commission évaluera leur efficacité énergétique et leur durabilité globale et proposera des normes de performance minimales, notamment pour la consommation d’eau</w:t>
      </w:r>
      <w:r>
        <w:rPr>
          <w:rFonts w:ascii="Times New Roman" w:eastAsia="Times New Roman" w:hAnsi="Times New Roman" w:cs="Times New Roman"/>
          <w:noProof/>
          <w:vertAlign w:val="superscript"/>
        </w:rPr>
        <w:footnoteReference w:id="44"/>
      </w:r>
      <w:r>
        <w:rPr>
          <w:rFonts w:ascii="Times New Roman" w:hAnsi="Times New Roman"/>
          <w:noProof/>
        </w:rPr>
        <w:t>. Afin d’aider les États membres à recenser les zones les plus propices à l’implantation d’activités commerciales à forte intensité d’eau et à attirer les investissements nécessaires dans ce domaine, la Commission renforcera les outils de visualisation existants en regroupant les données environnementales et les données relatives aux réseaux d’eau et d’énergie.</w:t>
      </w:r>
    </w:p>
    <w:p w14:paraId="2A1CC25D" w14:textId="77777777" w:rsidR="00257752" w:rsidRPr="009F333A" w:rsidRDefault="00257752" w:rsidP="00257752">
      <w:pPr>
        <w:spacing w:after="0" w:line="240" w:lineRule="auto"/>
        <w:jc w:val="both"/>
        <w:rPr>
          <w:rFonts w:ascii="Times New Roman" w:eastAsia="Times New Roman" w:hAnsi="Times New Roman" w:cs="Times New Roman"/>
          <w:b/>
          <w:bCs/>
          <w:noProof/>
        </w:rPr>
      </w:pPr>
    </w:p>
    <w:p w14:paraId="75F90EB9" w14:textId="04522C07" w:rsidR="004F5E79" w:rsidRPr="009F333A" w:rsidRDefault="0026522E" w:rsidP="00ED14EB">
      <w:pPr>
        <w:spacing w:after="240" w:line="240" w:lineRule="auto"/>
        <w:jc w:val="both"/>
        <w:rPr>
          <w:rFonts w:ascii="Times New Roman" w:eastAsiaTheme="minorEastAsia" w:hAnsi="Times New Roman" w:cs="Times New Roman"/>
          <w:noProof/>
        </w:rPr>
      </w:pPr>
      <w:r>
        <w:rPr>
          <w:rFonts w:ascii="Times New Roman" w:hAnsi="Times New Roman"/>
          <w:b/>
          <w:noProof/>
        </w:rPr>
        <w:t>La réutilisation sûre de l’eau dans l’agriculture, la production d’énergie et les processus industriels doit être au cœur de la gestion intégrée des ressources hydriques</w:t>
      </w:r>
      <w:r>
        <w:rPr>
          <w:rFonts w:ascii="Times New Roman" w:hAnsi="Times New Roman"/>
          <w:noProof/>
        </w:rPr>
        <w:t>. À l’heure actuelle, seuls 2,4 % des eaux usées sont réutilisés dans l’UE, et des différences majeures s’observent entre les États membres, où ce taux varie de zéro à 80 %</w:t>
      </w:r>
      <w:r>
        <w:rPr>
          <w:rStyle w:val="FootnoteReference"/>
          <w:rFonts w:ascii="Times New Roman" w:hAnsi="Times New Roman" w:cs="Times New Roman"/>
          <w:noProof/>
        </w:rPr>
        <w:footnoteReference w:id="45"/>
      </w:r>
      <w:r>
        <w:rPr>
          <w:rFonts w:ascii="Times New Roman" w:hAnsi="Times New Roman"/>
          <w:noProof/>
        </w:rPr>
        <w:t>. La Commission soutiendra les États membres en leur fournissant des orientations sur la réutilisation sûre de l’eau, ainsi qu’en renforçant les capacités dans le cadre de la mise en œuvre de la législation existante</w:t>
      </w:r>
      <w:r>
        <w:rPr>
          <w:rStyle w:val="FootnoteReference"/>
          <w:rFonts w:ascii="Times New Roman" w:hAnsi="Times New Roman"/>
          <w:noProof/>
        </w:rPr>
        <w:footnoteReference w:id="46"/>
      </w:r>
      <w:r>
        <w:rPr>
          <w:noProof/>
        </w:rPr>
        <w:t xml:space="preserve">. </w:t>
      </w:r>
      <w:r>
        <w:rPr>
          <w:rFonts w:ascii="Times New Roman" w:hAnsi="Times New Roman"/>
          <w:noProof/>
        </w:rPr>
        <w:t>D’ici à juin 2028, la Commission évaluera le règlement sur la réutilisation de l’eau et envisagera ensuite d’étendre son champ d’application dans l’attente des résultats de l’évaluation.</w:t>
      </w:r>
    </w:p>
    <w:p w14:paraId="7A3B70FD" w14:textId="02DA899B" w:rsidR="00DD2EED" w:rsidRPr="00ED14EB" w:rsidRDefault="0026522E" w:rsidP="00ED14EB">
      <w:pPr>
        <w:spacing w:after="240" w:line="240" w:lineRule="auto"/>
        <w:jc w:val="both"/>
        <w:rPr>
          <w:rFonts w:ascii="Times New Roman" w:hAnsi="Times New Roman" w:cs="Times New Roman"/>
          <w:noProof/>
        </w:rPr>
      </w:pPr>
      <w:r>
        <w:rPr>
          <w:rFonts w:ascii="Times New Roman" w:hAnsi="Times New Roman"/>
          <w:b/>
          <w:noProof/>
        </w:rPr>
        <w:t>En ce qui concerne l’approvisionnement public en eau, qui représente 13 % de la consommation d’eau dans l’UE, l’accent doit être mis sur la lutte contre les fuites et les pertes involontaires, à l’aide d’outils numériques.</w:t>
      </w:r>
      <w:r>
        <w:rPr>
          <w:rFonts w:ascii="Times New Roman" w:hAnsi="Times New Roman"/>
          <w:noProof/>
        </w:rPr>
        <w:t xml:space="preserve"> Étant donné que les niveaux de fuite actuels varient de 8 % à 57 % au niveau national, le potentiel d’amélioration est considérable, notamment grâce à des systèmes intelligents de mesure de l’eau et à la télédétection. La directive sur l’eau potable impose aux États membres de réduire les fuites dans les réseaux d’approvisionnement en eau. Les États membres dont les niveaux de fuite d’eau dépassent le seuil fixé pour l’ensemble de l’UE, qui sera défini d’ici à 2028, devront présenter, d’ici à 2030, des plans d’action nationaux visant à réduire les fuites sur leurs réseaux d’approvisionnement. </w:t>
      </w:r>
    </w:p>
    <w:p w14:paraId="27295F6C" w14:textId="54230962" w:rsidR="00943602" w:rsidRDefault="70438955" w:rsidP="00ED14EB">
      <w:pPr>
        <w:spacing w:after="240" w:line="240" w:lineRule="auto"/>
        <w:jc w:val="both"/>
        <w:rPr>
          <w:rFonts w:ascii="Times New Roman" w:eastAsia="Calibri" w:hAnsi="Times New Roman" w:cs="Times New Roman"/>
          <w:noProof/>
        </w:rPr>
      </w:pPr>
      <w:r>
        <w:rPr>
          <w:rFonts w:ascii="Times New Roman" w:hAnsi="Times New Roman"/>
          <w:b/>
          <w:noProof/>
        </w:rPr>
        <w:t xml:space="preserve">Les systèmes alimentaires durables sont un allié majeur pour la résilience dans le domaine de l’eau et la politique agricole commune a un rôle crucial à jouer. </w:t>
      </w:r>
      <w:r>
        <w:rPr>
          <w:rFonts w:ascii="Times New Roman" w:hAnsi="Times New Roman"/>
          <w:noProof/>
        </w:rPr>
        <w:t>L’agriculture durable et la gestion durable des forêts contribuent de manière significative à accroître la résilience dans le domaine de l’eau et du changement climatique, en atténuant les sécheresses et les inondations (section 2.1). D’autre part, la production, la transformation, la vente au détail, le conditionnement et le transport de denrées alimentaires ont une incidence considérable sur la qualité et la quantité de l’eau. L’agriculture représente 51 % de la consommation totale d’eau dans l’UE, et des différences très importantes sont constatées entre le nord et le sud de l’Europe</w:t>
      </w:r>
      <w:r>
        <w:rPr>
          <w:rStyle w:val="FootnoteReference"/>
          <w:rFonts w:ascii="Times New Roman" w:eastAsia="Times New Roman" w:hAnsi="Times New Roman" w:cs="Times New Roman"/>
          <w:noProof/>
        </w:rPr>
        <w:footnoteReference w:id="47"/>
      </w:r>
      <w:r>
        <w:rPr>
          <w:rFonts w:ascii="Times New Roman" w:hAnsi="Times New Roman"/>
          <w:noProof/>
        </w:rPr>
        <w:t xml:space="preserve">. La vision pour l’agriculture et l’alimentation a souligné l’importance de la qualité et de la disponibilité de l’eau pour la sécurité alimentaire. En outre, il convient de soutenir davantage la pêche et l’aquaculture marine durables, étant donné qu’elles ne nécessitent pas d’eau douce. </w:t>
      </w:r>
    </w:p>
    <w:p w14:paraId="7EDD1EF4" w14:textId="17E914C6" w:rsidR="26F9187F" w:rsidRPr="009F333A" w:rsidRDefault="005F524F" w:rsidP="00ED14EB">
      <w:pPr>
        <w:spacing w:after="240" w:line="240" w:lineRule="auto"/>
        <w:jc w:val="both"/>
        <w:rPr>
          <w:rFonts w:ascii="Times New Roman" w:eastAsia="Calibri" w:hAnsi="Times New Roman" w:cs="Times New Roman"/>
          <w:noProof/>
        </w:rPr>
      </w:pPr>
      <w:r>
        <w:rPr>
          <w:rFonts w:ascii="Times New Roman" w:hAnsi="Times New Roman"/>
          <w:b/>
          <w:noProof/>
        </w:rPr>
        <w:t>La PAC et les plans stratégiques nationaux soutiennent les pratiques agricoles et les investissements</w:t>
      </w:r>
      <w:r>
        <w:rPr>
          <w:rFonts w:ascii="Times New Roman" w:hAnsi="Times New Roman"/>
          <w:noProof/>
        </w:rPr>
        <w:t xml:space="preserve"> </w:t>
      </w:r>
      <w:r>
        <w:rPr>
          <w:rFonts w:ascii="Times New Roman" w:hAnsi="Times New Roman"/>
          <w:b/>
          <w:noProof/>
        </w:rPr>
        <w:t>qui améliorent l’utilisation rationnelle de l’eau, la circularité et la rétention de l’eau, tout en réduisant la pollution par les nutriments et les pesticides.</w:t>
      </w:r>
      <w:r>
        <w:rPr>
          <w:rFonts w:ascii="Times New Roman" w:hAnsi="Times New Roman"/>
          <w:noProof/>
        </w:rPr>
        <w:t xml:space="preserve"> Il s’agit également de soutenir l’agriculture biologique, qui présente de multiples avantages pour la santé des sols et limite l’utilisation d’engrais, d’herbicides et de pesticides artificiels. Il est essentiel de veiller à ce que les États membres exploitent au maximum ces possibilités et encouragent les pratiques agricoles résilientes à l’égard de l’eau, telles que l’agriculture de précision, l’irrigation goutte à goutte, la réutilisation de l’eau, l’amélioration de la gestion des sols et de l’utilisation des pesticides, les particularités topographiques et les cultures plus résistantes au changement climatique. Au cours de la prochaine période de programmation, la Commission continuera d’encourager les agriculteurs à améliorer les performances environnementales et climatiques de leurs exploitations, notamment en vue d’une meilleure gestion de l’eau. </w:t>
      </w:r>
    </w:p>
    <w:p w14:paraId="75CCFCBC" w14:textId="661A2E0A" w:rsidR="00196087" w:rsidRPr="009F333A" w:rsidRDefault="002F71BB" w:rsidP="00ED14EB">
      <w:pPr>
        <w:spacing w:after="240" w:line="240" w:lineRule="auto"/>
        <w:jc w:val="both"/>
        <w:rPr>
          <w:rFonts w:ascii="Times New Roman" w:hAnsi="Times New Roman" w:cs="Times New Roman"/>
          <w:noProof/>
        </w:rPr>
      </w:pPr>
      <w:r>
        <w:rPr>
          <w:rFonts w:ascii="Times New Roman" w:hAnsi="Times New Roman"/>
          <w:b/>
          <w:noProof/>
        </w:rPr>
        <w:t xml:space="preserve">Une production d’énergie économe en eau peut grandement contribuer à la résilience dans le domaine de l’eau. </w:t>
      </w:r>
      <w:r>
        <w:rPr>
          <w:rFonts w:ascii="Times New Roman" w:hAnsi="Times New Roman"/>
          <w:noProof/>
        </w:rPr>
        <w:t>L’eau utilisée comme matière première ou agent de refroidissement représente 17 % de la consommation totale d’eau de l’UE</w:t>
      </w:r>
      <w:r>
        <w:rPr>
          <w:rStyle w:val="FootnoteReference"/>
          <w:rFonts w:ascii="Times New Roman" w:eastAsia="Times New Roman" w:hAnsi="Times New Roman" w:cs="Times New Roman"/>
          <w:noProof/>
        </w:rPr>
        <w:footnoteReference w:id="48"/>
      </w:r>
      <w:r>
        <w:rPr>
          <w:rFonts w:ascii="Times New Roman" w:hAnsi="Times New Roman"/>
          <w:noProof/>
        </w:rPr>
        <w:t>. Si l’on trouve les bons partenaires disposés à investir aux côtés de l’UE, la Commission présentera une proposition visant à mettre en place une initiative public-privé afin de réaliser une percée technologique dans le domaine des méthodes réalisables et abordables pour le refroidissement à sec.</w:t>
      </w:r>
    </w:p>
    <w:p w14:paraId="0F14765F" w14:textId="4292B5AE" w:rsidR="008C2B88" w:rsidRDefault="4F5C50E8" w:rsidP="00ED14EB">
      <w:pPr>
        <w:spacing w:before="240" w:after="240" w:line="240" w:lineRule="auto"/>
        <w:jc w:val="both"/>
        <w:rPr>
          <w:rFonts w:ascii="Times New Roman" w:eastAsia="Times New Roman" w:hAnsi="Times New Roman" w:cs="Times New Roman"/>
          <w:noProof/>
        </w:rPr>
      </w:pPr>
      <w:r>
        <w:rPr>
          <w:rFonts w:ascii="Times New Roman" w:hAnsi="Times New Roman"/>
          <w:b/>
          <w:noProof/>
        </w:rPr>
        <w:t xml:space="preserve">La résilience dans le domaine de l’eau devrait être intégrée dans tous les secteurs industriels. </w:t>
      </w:r>
      <w:r>
        <w:rPr>
          <w:rFonts w:ascii="Times New Roman" w:hAnsi="Times New Roman"/>
          <w:noProof/>
        </w:rPr>
        <w:t>La directive révisée relative aux émissions industrielles garantira que les grands acteurs industriels réduiront progressivement leur demande en eau et amélioreront leur utilisation rationnelle de l’eau et sa réutilisation dans l’ensemble des processus de production. L’utilisation rationnelle et la réutilisation de l’eau devraient être intégrées dans les secteurs industriels les plus gourmands en eau, notamment par l’intermédiaire des plateformes d’appui aux parties prenantes disponibles</w:t>
      </w:r>
      <w:r>
        <w:rPr>
          <w:rStyle w:val="FootnoteReference"/>
          <w:rFonts w:ascii="Times New Roman" w:eastAsia="Times New Roman" w:hAnsi="Times New Roman" w:cs="Times New Roman"/>
          <w:noProof/>
        </w:rPr>
        <w:footnoteReference w:id="49"/>
      </w:r>
      <w:r>
        <w:rPr>
          <w:rFonts w:ascii="Times New Roman" w:hAnsi="Times New Roman"/>
          <w:noProof/>
        </w:rPr>
        <w:t>. Dans ce contexte, la Commission lancera un projet pilote visant à promouvoir l’utilisation rationnelle de l’eau dans certains pôles industriels.</w:t>
      </w:r>
    </w:p>
    <w:p w14:paraId="38102646" w14:textId="04D65349" w:rsidR="005721CD" w:rsidRPr="009F333A" w:rsidRDefault="5F71BDAC" w:rsidP="4251B09A">
      <w:pPr>
        <w:spacing w:after="240" w:line="240" w:lineRule="auto"/>
        <w:jc w:val="both"/>
        <w:rPr>
          <w:rFonts w:ascii="Calibri" w:eastAsia="Calibri" w:hAnsi="Calibri" w:cs="Calibri"/>
          <w:noProof/>
          <w:sz w:val="22"/>
          <w:szCs w:val="22"/>
        </w:rPr>
      </w:pPr>
      <w:r>
        <w:rPr>
          <w:rFonts w:ascii="Times New Roman" w:hAnsi="Times New Roman"/>
          <w:b/>
          <w:bCs/>
          <w:noProof/>
        </w:rPr>
        <w:t>L’augmentation de l’offre en utilisant l’eau de mer à la place de l’eau douce peut faire partie de la solution, en particulier dans les régions gravement touchées par des pénuries d’eau, si elle est mise en œuvre de manière durable</w:t>
      </w:r>
      <w:r>
        <w:rPr>
          <w:rFonts w:ascii="Times New Roman" w:hAnsi="Times New Roman"/>
          <w:noProof/>
        </w:rPr>
        <w:t xml:space="preserve">. Dans le cadre d’une approche de gestion intégrée privilégiant la réduction de la demande plutôt que l’augmentation de l’offre en fonction des conditions locales, le dessalement de l’eau de mer peut fournir un approvisionnement en eau continu au-delà du cycle hydrologique. Toutefois, cette technique reste coûteuse, est très énergivore et a des incidences notables sur l’environnement. La Commission soutiendra donc l’innovation dans ce domaine en vue de limiter la consommation d’énergie et de réduire les émissions de gaz à effet de serre, notamment en encourageant l’utilisation des énergies renouvelables. Des solutions innovantes devraient également atténuer les incidences sur l’environnement de l’élimination de la saumure et accroître le recyclage et la réutilisation de l’énergie et des minéraux issus de la saumure dans le secteur industriel. </w:t>
      </w:r>
    </w:p>
    <w:tbl>
      <w:tblPr>
        <w:tblStyle w:val="TableGrid"/>
        <w:tblW w:w="0" w:type="auto"/>
        <w:tblLook w:val="04A0" w:firstRow="1" w:lastRow="0" w:firstColumn="1" w:lastColumn="0" w:noHBand="0" w:noVBand="1"/>
      </w:tblPr>
      <w:tblGrid>
        <w:gridCol w:w="7508"/>
        <w:gridCol w:w="1508"/>
      </w:tblGrid>
      <w:tr w:rsidR="08268B41" w:rsidRPr="009F333A" w14:paraId="01130B76" w14:textId="77777777" w:rsidTr="26F9187F">
        <w:trPr>
          <w:trHeight w:val="300"/>
        </w:trPr>
        <w:tc>
          <w:tcPr>
            <w:tcW w:w="7508" w:type="dxa"/>
            <w:shd w:val="clear" w:color="auto" w:fill="A5C9EB" w:themeFill="text2" w:themeFillTint="40"/>
          </w:tcPr>
          <w:p w14:paraId="6F5416C2" w14:textId="7B6CAB08" w:rsidR="190E38C8" w:rsidRPr="009F333A" w:rsidRDefault="08268B41" w:rsidP="08268B41">
            <w:pPr>
              <w:pStyle w:val="paragraph"/>
              <w:spacing w:before="0" w:beforeAutospacing="0" w:after="0" w:afterAutospacing="0"/>
              <w:jc w:val="center"/>
              <w:rPr>
                <w:rFonts w:eastAsia="Calibri"/>
                <w:b/>
                <w:bCs/>
                <w:noProof/>
                <w:sz w:val="24"/>
                <w:szCs w:val="24"/>
              </w:rPr>
            </w:pPr>
            <w:r>
              <w:rPr>
                <w:b/>
                <w:noProof/>
                <w:sz w:val="24"/>
              </w:rPr>
              <w:t>Actions phares — Construire une économie intelligente dans le domaine de l’eau qui ne laisse personne de côté, soutienne la compétitivité de l’UE et attire les investisseurs</w:t>
            </w:r>
          </w:p>
        </w:tc>
        <w:tc>
          <w:tcPr>
            <w:tcW w:w="1508" w:type="dxa"/>
            <w:shd w:val="clear" w:color="auto" w:fill="A5C9EB" w:themeFill="text2" w:themeFillTint="40"/>
          </w:tcPr>
          <w:p w14:paraId="32FA16AA" w14:textId="6F1DB28D" w:rsidR="08268B41" w:rsidRPr="009F333A" w:rsidRDefault="08268B41" w:rsidP="08268B41">
            <w:pPr>
              <w:pStyle w:val="paragraph"/>
              <w:spacing w:before="0" w:beforeAutospacing="0" w:after="0" w:afterAutospacing="0"/>
              <w:jc w:val="center"/>
              <w:rPr>
                <w:rFonts w:eastAsia="Calibri"/>
                <w:b/>
                <w:bCs/>
                <w:noProof/>
                <w:sz w:val="24"/>
                <w:szCs w:val="24"/>
              </w:rPr>
            </w:pPr>
            <w:r>
              <w:rPr>
                <w:b/>
                <w:noProof/>
              </w:rPr>
              <w:t>Calendrier</w:t>
            </w:r>
          </w:p>
        </w:tc>
      </w:tr>
      <w:tr w:rsidR="08268B41" w:rsidRPr="009F333A" w14:paraId="40158C56" w14:textId="77777777" w:rsidTr="26F9187F">
        <w:trPr>
          <w:trHeight w:val="300"/>
        </w:trPr>
        <w:tc>
          <w:tcPr>
            <w:tcW w:w="7508" w:type="dxa"/>
          </w:tcPr>
          <w:p w14:paraId="39778988" w14:textId="7ED279B3" w:rsidR="001C0E08" w:rsidRPr="009F333A" w:rsidRDefault="70B8964C" w:rsidP="004A7211">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Recommandation relative au principe de priorité à l’utilisation rationnelle de l’eau, lignes directrices et rapport de l’AEE sur le potentiel inexploité de l’utilisation rationnelle de l’eau.</w:t>
            </w:r>
          </w:p>
        </w:tc>
        <w:tc>
          <w:tcPr>
            <w:tcW w:w="1508" w:type="dxa"/>
          </w:tcPr>
          <w:p w14:paraId="52493123" w14:textId="7490F81C" w:rsidR="7585C899" w:rsidRPr="009F333A" w:rsidRDefault="009D0C35" w:rsidP="08268B41">
            <w:pPr>
              <w:pStyle w:val="paragraph"/>
              <w:spacing w:before="0" w:beforeAutospacing="0" w:after="0" w:afterAutospacing="0"/>
              <w:jc w:val="center"/>
              <w:rPr>
                <w:rFonts w:eastAsia="Calibri"/>
                <w:noProof/>
                <w:sz w:val="24"/>
                <w:szCs w:val="24"/>
              </w:rPr>
            </w:pPr>
            <w:r>
              <w:rPr>
                <w:noProof/>
                <w:sz w:val="24"/>
              </w:rPr>
              <w:t>2025-2026</w:t>
            </w:r>
          </w:p>
          <w:p w14:paraId="6A3E5833" w14:textId="7472601C" w:rsidR="08268B41" w:rsidRPr="009F333A" w:rsidRDefault="08268B41" w:rsidP="08268B41">
            <w:pPr>
              <w:pStyle w:val="paragraph"/>
              <w:spacing w:before="0" w:beforeAutospacing="0" w:after="0" w:afterAutospacing="0"/>
              <w:jc w:val="center"/>
              <w:rPr>
                <w:rFonts w:eastAsia="Calibri"/>
                <w:noProof/>
                <w:sz w:val="24"/>
                <w:szCs w:val="24"/>
              </w:rPr>
            </w:pPr>
          </w:p>
        </w:tc>
      </w:tr>
      <w:tr w:rsidR="003E15CC" w:rsidRPr="009F333A" w14:paraId="67B05F79" w14:textId="77777777" w:rsidTr="000027CE">
        <w:trPr>
          <w:trHeight w:val="348"/>
        </w:trPr>
        <w:tc>
          <w:tcPr>
            <w:tcW w:w="7508" w:type="dxa"/>
          </w:tcPr>
          <w:p w14:paraId="5B105363" w14:textId="77777777" w:rsidR="003E15CC" w:rsidRPr="009F333A" w:rsidRDefault="003E15CC" w:rsidP="000027CE">
            <w:pPr>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Soutenir l’adoption de pratiques de réutilisation de l’eau, y compris au-delà de l’agriculture, et réviser le règlement sur la réutilisation de l’eau.</w:t>
            </w:r>
          </w:p>
        </w:tc>
        <w:tc>
          <w:tcPr>
            <w:tcW w:w="1508" w:type="dxa"/>
          </w:tcPr>
          <w:p w14:paraId="1C5BF1A1" w14:textId="77777777" w:rsidR="003E15CC" w:rsidRPr="009F333A" w:rsidRDefault="003E15CC" w:rsidP="000027CE">
            <w:pPr>
              <w:pStyle w:val="paragraph"/>
              <w:spacing w:before="0" w:beforeAutospacing="0" w:after="0" w:afterAutospacing="0"/>
              <w:jc w:val="center"/>
              <w:rPr>
                <w:rFonts w:eastAsia="Calibri"/>
                <w:noProof/>
                <w:sz w:val="24"/>
                <w:szCs w:val="24"/>
              </w:rPr>
            </w:pPr>
            <w:r>
              <w:rPr>
                <w:noProof/>
                <w:sz w:val="24"/>
              </w:rPr>
              <w:t>2026-2028</w:t>
            </w:r>
          </w:p>
          <w:p w14:paraId="0E518036" w14:textId="77777777" w:rsidR="003E15CC" w:rsidRPr="009F333A" w:rsidRDefault="003E15CC" w:rsidP="000027CE">
            <w:pPr>
              <w:pStyle w:val="paragraph"/>
              <w:spacing w:before="0" w:beforeAutospacing="0" w:after="0" w:afterAutospacing="0"/>
              <w:jc w:val="center"/>
              <w:rPr>
                <w:rFonts w:eastAsia="Calibri"/>
                <w:noProof/>
                <w:sz w:val="24"/>
                <w:szCs w:val="24"/>
              </w:rPr>
            </w:pPr>
          </w:p>
        </w:tc>
      </w:tr>
      <w:tr w:rsidR="003E15CC" w:rsidRPr="009F333A" w14:paraId="3F202CD0" w14:textId="77777777" w:rsidTr="000027CE">
        <w:trPr>
          <w:trHeight w:val="300"/>
        </w:trPr>
        <w:tc>
          <w:tcPr>
            <w:tcW w:w="7508" w:type="dxa"/>
          </w:tcPr>
          <w:p w14:paraId="34546887" w14:textId="77777777" w:rsidR="003E15CC" w:rsidRPr="009F333A" w:rsidRDefault="003E15CC" w:rsidP="000027CE">
            <w:pPr>
              <w:jc w:val="both"/>
              <w:rPr>
                <w:rFonts w:ascii="Times New Roman" w:eastAsia="Times New Roman" w:hAnsi="Times New Roman" w:cs="Times New Roman"/>
                <w:noProof/>
                <w:sz w:val="24"/>
                <w:szCs w:val="24"/>
              </w:rPr>
            </w:pPr>
            <w:r>
              <w:rPr>
                <w:rFonts w:ascii="Times New Roman" w:hAnsi="Times New Roman"/>
                <w:b/>
                <w:noProof/>
                <w:sz w:val="24"/>
              </w:rPr>
              <w:t>Approvisionnement public en eau</w:t>
            </w:r>
            <w:r>
              <w:rPr>
                <w:rFonts w:ascii="Times New Roman" w:hAnsi="Times New Roman"/>
                <w:noProof/>
                <w:sz w:val="24"/>
              </w:rPr>
              <w:t xml:space="preserve">: </w:t>
            </w:r>
          </w:p>
          <w:p w14:paraId="253ACC1A" w14:textId="6F7AE0DD" w:rsidR="003E15CC" w:rsidRPr="009F333A" w:rsidRDefault="00C95CC0" w:rsidP="009F333A">
            <w:pPr>
              <w:pStyle w:val="ListParagraph"/>
              <w:numPr>
                <w:ilvl w:val="0"/>
                <w:numId w:val="2"/>
              </w:numPr>
              <w:jc w:val="both"/>
              <w:rPr>
                <w:rFonts w:ascii="Times New Roman" w:eastAsia="Times New Roman" w:hAnsi="Times New Roman" w:cs="Times New Roman"/>
                <w:noProof/>
                <w:sz w:val="24"/>
                <w:szCs w:val="24"/>
              </w:rPr>
            </w:pPr>
            <w:r>
              <w:rPr>
                <w:rFonts w:ascii="Times New Roman" w:hAnsi="Times New Roman"/>
                <w:noProof/>
                <w:sz w:val="24"/>
              </w:rPr>
              <w:t>soutenir la réduction des fuites, la modernisation des infrastructures et l’évaluation approfondie des données.</w:t>
            </w:r>
          </w:p>
        </w:tc>
        <w:tc>
          <w:tcPr>
            <w:tcW w:w="1508" w:type="dxa"/>
          </w:tcPr>
          <w:p w14:paraId="5BB4B8BE" w14:textId="77777777" w:rsidR="003E15CC" w:rsidRPr="009F333A" w:rsidRDefault="003E15CC" w:rsidP="000027CE">
            <w:pPr>
              <w:pStyle w:val="paragraph"/>
              <w:jc w:val="center"/>
              <w:rPr>
                <w:rFonts w:eastAsia="Calibri"/>
                <w:noProof/>
                <w:sz w:val="24"/>
                <w:szCs w:val="24"/>
              </w:rPr>
            </w:pPr>
            <w:r>
              <w:rPr>
                <w:noProof/>
                <w:sz w:val="24"/>
              </w:rPr>
              <w:t>2025-2028</w:t>
            </w:r>
          </w:p>
        </w:tc>
      </w:tr>
      <w:tr w:rsidR="08268B41" w:rsidRPr="009F333A" w14:paraId="6551FCEE" w14:textId="77777777" w:rsidTr="009F333A">
        <w:trPr>
          <w:trHeight w:val="2328"/>
        </w:trPr>
        <w:tc>
          <w:tcPr>
            <w:tcW w:w="7508" w:type="dxa"/>
          </w:tcPr>
          <w:p w14:paraId="55BEC585" w14:textId="4D7515BB" w:rsidR="08268B41" w:rsidRPr="009F333A" w:rsidRDefault="368A7827" w:rsidP="08268B41">
            <w:pPr>
              <w:jc w:val="both"/>
              <w:rPr>
                <w:rFonts w:ascii="Times New Roman" w:hAnsi="Times New Roman" w:cs="Times New Roman"/>
                <w:b/>
                <w:noProof/>
                <w:sz w:val="24"/>
                <w:szCs w:val="24"/>
              </w:rPr>
            </w:pPr>
            <w:r>
              <w:rPr>
                <w:rFonts w:ascii="Times New Roman" w:hAnsi="Times New Roman"/>
                <w:b/>
                <w:noProof/>
                <w:sz w:val="24"/>
              </w:rPr>
              <w:t xml:space="preserve">Agriculture: </w:t>
            </w:r>
          </w:p>
          <w:p w14:paraId="4FA95A93" w14:textId="223815E1" w:rsidR="08268B41" w:rsidRPr="009F333A" w:rsidRDefault="002A7E05" w:rsidP="00A30966">
            <w:pPr>
              <w:pStyle w:val="ListParagraph"/>
              <w:numPr>
                <w:ilvl w:val="0"/>
                <w:numId w:val="2"/>
              </w:numPr>
              <w:jc w:val="both"/>
              <w:rPr>
                <w:rFonts w:ascii="Times New Roman" w:eastAsia="Times New Roman" w:hAnsi="Times New Roman" w:cs="Times New Roman"/>
                <w:noProof/>
                <w:sz w:val="24"/>
                <w:szCs w:val="24"/>
              </w:rPr>
            </w:pPr>
            <w:r>
              <w:rPr>
                <w:rFonts w:ascii="Times New Roman" w:hAnsi="Times New Roman"/>
                <w:noProof/>
                <w:sz w:val="24"/>
              </w:rPr>
              <w:t>optimiser l’utilisation des plans stratégiques relevant de la PAC pour la résilience dans le domaine de l’eau grâce au partage des connaissances et à des solutions innovantes promues par le réseau européen de la PAC, par le partenariat européen d’innovation (PEI-AGRI), ainsi que par des services de conseil agricole indépendants et améliorés;</w:t>
            </w:r>
          </w:p>
          <w:p w14:paraId="6D90D35A" w14:textId="53B5CB68" w:rsidR="08268B41" w:rsidRPr="00A84B5E" w:rsidRDefault="00625E10" w:rsidP="00625E1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au cours de la prochaine période de programmation, continuer d’encourager les agriculteurs à améliorer les performances environnementales et climatiques de leurs exploitations, notamment en vue d’une meilleure gestion de l’eau.</w:t>
            </w:r>
          </w:p>
        </w:tc>
        <w:tc>
          <w:tcPr>
            <w:tcW w:w="1508" w:type="dxa"/>
          </w:tcPr>
          <w:p w14:paraId="3982771C" w14:textId="5BAFAA4C" w:rsidR="57787EC9" w:rsidRPr="009F333A" w:rsidRDefault="00CB5DB8" w:rsidP="00905E09">
            <w:pPr>
              <w:jc w:val="center"/>
              <w:rPr>
                <w:bCs/>
                <w:noProof/>
                <w:sz w:val="24"/>
                <w:szCs w:val="24"/>
              </w:rPr>
            </w:pPr>
            <w:r>
              <w:rPr>
                <w:rFonts w:ascii="Times New Roman" w:hAnsi="Times New Roman"/>
                <w:noProof/>
                <w:sz w:val="24"/>
              </w:rPr>
              <w:t>2025-2026</w:t>
            </w:r>
          </w:p>
        </w:tc>
      </w:tr>
      <w:tr w:rsidR="08268B41" w:rsidRPr="009F333A" w14:paraId="59DD9A71" w14:textId="77777777" w:rsidTr="26F9187F">
        <w:trPr>
          <w:trHeight w:val="300"/>
        </w:trPr>
        <w:tc>
          <w:tcPr>
            <w:tcW w:w="7508" w:type="dxa"/>
          </w:tcPr>
          <w:p w14:paraId="235AFC43" w14:textId="7DF390AC" w:rsidR="00610149" w:rsidRPr="009F333A" w:rsidRDefault="2091464C" w:rsidP="00610149">
            <w:pPr>
              <w:jc w:val="both"/>
              <w:rPr>
                <w:rFonts w:ascii="Times New Roman" w:eastAsia="Times New Roman" w:hAnsi="Times New Roman" w:cs="Times New Roman"/>
                <w:noProof/>
                <w:sz w:val="24"/>
                <w:szCs w:val="24"/>
              </w:rPr>
            </w:pPr>
            <w:r>
              <w:rPr>
                <w:rFonts w:ascii="Times New Roman" w:hAnsi="Times New Roman"/>
                <w:b/>
                <w:noProof/>
                <w:sz w:val="24"/>
              </w:rPr>
              <w:t>Industrie et énergie</w:t>
            </w:r>
            <w:r>
              <w:rPr>
                <w:rFonts w:ascii="Times New Roman" w:hAnsi="Times New Roman"/>
                <w:noProof/>
                <w:sz w:val="24"/>
              </w:rPr>
              <w:t xml:space="preserve">: </w:t>
            </w:r>
          </w:p>
          <w:p w14:paraId="28693E72" w14:textId="26C39865" w:rsidR="00776324" w:rsidRPr="009F333A" w:rsidRDefault="0003755F" w:rsidP="00A30966">
            <w:pPr>
              <w:pStyle w:val="ListParagraph"/>
              <w:numPr>
                <w:ilvl w:val="0"/>
                <w:numId w:val="2"/>
              </w:numPr>
              <w:jc w:val="both"/>
              <w:rPr>
                <w:rFonts w:ascii="Times New Roman" w:eastAsia="Calibri" w:hAnsi="Times New Roman" w:cs="Times New Roman"/>
                <w:noProof/>
                <w:sz w:val="24"/>
                <w:szCs w:val="24"/>
              </w:rPr>
            </w:pPr>
            <w:r>
              <w:rPr>
                <w:rFonts w:ascii="Times New Roman" w:hAnsi="Times New Roman"/>
                <w:noProof/>
                <w:sz w:val="24"/>
              </w:rPr>
              <w:t>lancer un projet pilote visant à promouvoir l’utilisation rationnelle de l’eau, y compris les technologies sans eau et à cycle fermé, dans certains pôles industriels;</w:t>
            </w:r>
          </w:p>
          <w:p w14:paraId="11BFC555" w14:textId="77777777" w:rsidR="00604392" w:rsidRPr="009F333A" w:rsidRDefault="00714FDD" w:rsidP="00A30966">
            <w:pPr>
              <w:pStyle w:val="ListParagraph"/>
              <w:numPr>
                <w:ilvl w:val="0"/>
                <w:numId w:val="2"/>
              </w:numPr>
              <w:jc w:val="both"/>
              <w:rPr>
                <w:rFonts w:ascii="Times New Roman" w:eastAsia="Calibri" w:hAnsi="Times New Roman" w:cs="Times New Roman"/>
                <w:noProof/>
                <w:sz w:val="24"/>
                <w:szCs w:val="24"/>
              </w:rPr>
            </w:pPr>
            <w:r>
              <w:rPr>
                <w:rFonts w:ascii="Times New Roman" w:hAnsi="Times New Roman"/>
                <w:noProof/>
                <w:sz w:val="24"/>
              </w:rPr>
              <w:t>inclure la consommation d’eau parmi les paramètres d’un système commun de l’Union consacré à la notation de la durabilité des centres de données et proposer des normes de performance minimales en matière de consommation d’eau;</w:t>
            </w:r>
          </w:p>
          <w:p w14:paraId="1E9C6703" w14:textId="4E538B83" w:rsidR="003E15CC" w:rsidRPr="009F333A" w:rsidRDefault="005D7772" w:rsidP="00A30966">
            <w:pPr>
              <w:pStyle w:val="ListParagraph"/>
              <w:numPr>
                <w:ilvl w:val="0"/>
                <w:numId w:val="2"/>
              </w:numPr>
              <w:jc w:val="both"/>
              <w:rPr>
                <w:rFonts w:ascii="Times New Roman" w:eastAsia="Calibri" w:hAnsi="Times New Roman" w:cs="Times New Roman"/>
                <w:noProof/>
                <w:sz w:val="24"/>
                <w:szCs w:val="24"/>
              </w:rPr>
            </w:pPr>
            <w:r>
              <w:rPr>
                <w:rFonts w:ascii="Times New Roman" w:hAnsi="Times New Roman"/>
                <w:noProof/>
                <w:sz w:val="24"/>
              </w:rPr>
              <w:t>mettre en place une initiative public-privé afin de réaliser une percée technologique dans le domaine des méthodes réalisables et abordables pour le refroidissement à sec, si l’on trouve les bons partenaires.</w:t>
            </w:r>
          </w:p>
        </w:tc>
        <w:tc>
          <w:tcPr>
            <w:tcW w:w="1508" w:type="dxa"/>
          </w:tcPr>
          <w:p w14:paraId="280CB83E" w14:textId="0C520E53" w:rsidR="08268B41" w:rsidRPr="009F333A" w:rsidRDefault="00013FAF" w:rsidP="002F71BB">
            <w:pPr>
              <w:pStyle w:val="paragraph"/>
              <w:jc w:val="center"/>
              <w:rPr>
                <w:rFonts w:eastAsia="Calibri"/>
                <w:noProof/>
                <w:sz w:val="24"/>
                <w:szCs w:val="24"/>
              </w:rPr>
            </w:pPr>
            <w:r>
              <w:rPr>
                <w:noProof/>
                <w:sz w:val="24"/>
              </w:rPr>
              <w:t>2025-2027</w:t>
            </w:r>
          </w:p>
        </w:tc>
      </w:tr>
    </w:tbl>
    <w:p w14:paraId="23ACF224" w14:textId="07CC595C" w:rsidR="08268B41" w:rsidRPr="009F333A" w:rsidRDefault="08268B41" w:rsidP="08268B41">
      <w:pPr>
        <w:spacing w:after="0" w:line="240" w:lineRule="auto"/>
        <w:jc w:val="both"/>
        <w:rPr>
          <w:rFonts w:ascii="Times New Roman" w:eastAsia="Times New Roman" w:hAnsi="Times New Roman" w:cs="Times New Roman"/>
          <w:b/>
          <w:bCs/>
          <w:noProof/>
        </w:rPr>
      </w:pPr>
    </w:p>
    <w:p w14:paraId="00DD7032" w14:textId="37A5801E" w:rsidR="00EF6F10" w:rsidRPr="009F333A" w:rsidRDefault="00432111" w:rsidP="00ED14EB">
      <w:pPr>
        <w:pStyle w:val="Heading2"/>
        <w:spacing w:after="240"/>
        <w:ind w:left="720" w:hanging="720"/>
        <w:jc w:val="both"/>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2.3</w:t>
      </w:r>
      <w:r>
        <w:rPr>
          <w:noProof/>
        </w:rPr>
        <w:tab/>
      </w:r>
      <w:r>
        <w:rPr>
          <w:rFonts w:ascii="Times New Roman" w:hAnsi="Times New Roman"/>
          <w:b/>
          <w:noProof/>
          <w:color w:val="000000" w:themeColor="text1"/>
          <w:sz w:val="24"/>
        </w:rPr>
        <w:t>Garantir l’accès à une eau propre et abordable pour tous, et renforcer l’autonomie des consommateurs et des autres utilisateurs</w:t>
      </w:r>
    </w:p>
    <w:p w14:paraId="76CE9EA2" w14:textId="0157946C" w:rsidR="1866DE9C" w:rsidRPr="009504D6" w:rsidRDefault="60BFAB94" w:rsidP="1866DE9C">
      <w:pPr>
        <w:pStyle w:val="ecl-paragraph"/>
        <w:spacing w:before="0" w:beforeAutospacing="0" w:after="0" w:afterAutospacing="0"/>
        <w:jc w:val="both"/>
        <w:rPr>
          <w:noProof/>
        </w:rPr>
      </w:pPr>
      <w:r>
        <w:rPr>
          <w:b/>
          <w:noProof/>
        </w:rPr>
        <w:t>L’accès à une eau potable salubre et propre ainsi qu’à l’assainissement est un droit humain.</w:t>
      </w:r>
      <w:r>
        <w:rPr>
          <w:noProof/>
        </w:rPr>
        <w:t xml:space="preserve"> Trois décennies d’élaboration et de mise en œuvre de la législation de l’UE dans le domaine de l’eau, notamment les directives relatives à l’eau potable et au traitement des eaux urbaines résiduaires, ainsi que d’importants investissements de l’UE, ont généralement garanti l’accès à une eau potable salubre et à l’assainissement dans l’ensemble de l’UE, conformément au </w:t>
      </w:r>
      <w:hyperlink r:id="rId18">
        <w:r>
          <w:rPr>
            <w:noProof/>
          </w:rPr>
          <w:t>socle européen des droits sociaux</w:t>
        </w:r>
        <w:r>
          <w:rPr>
            <w:rStyle w:val="FootnoteReference"/>
            <w:noProof/>
          </w:rPr>
          <w:footnoteReference w:id="50"/>
        </w:r>
      </w:hyperlink>
      <w:r>
        <w:rPr>
          <w:noProof/>
        </w:rPr>
        <w:t>.</w:t>
      </w:r>
      <w:r>
        <w:rPr>
          <w:noProof/>
          <w:color w:val="000000" w:themeColor="text1"/>
        </w:rPr>
        <w:t xml:space="preserve"> Néanmoins, </w:t>
      </w:r>
      <w:r>
        <w:rPr>
          <w:noProof/>
        </w:rPr>
        <w:t>1,5 % de la population de l’UE vit sans équipements sanitaires de base, et environ 4 % ne disposent pas d’un accès adéquat à une eau potable salubre. Les actions menées dans ce domaine doivent garantir des efforts inclusifs et équitables qui répondent aux besoins des femmes et des groupes vulnérables, tels que les personnes handicapées et les minorités, ainsi que des régions les moins riches de l’Union, afin de promouvoir la cohésion sociale, économique et territoriale, y compris des régions ultrapériphériques. En ce qui concerne ces dernières, les défis climatiques spécifiques auxquels elles sont confrontées, associés à l’insuffisance des infrastructures hydriques qui a une incidence directe sur l’accès à l’eau potable, revêtent une importance particulière. Le soutien aux systèmes de filtration de l’eau dans les zones à eau dure ou très dure est un autre aspect tout aussi important.</w:t>
      </w:r>
    </w:p>
    <w:p w14:paraId="792F3A69" w14:textId="600990B2" w:rsidR="00C0140B" w:rsidRPr="009F333A" w:rsidRDefault="000466F1" w:rsidP="00ED14EB">
      <w:pPr>
        <w:spacing w:before="100" w:beforeAutospacing="1" w:after="240" w:line="240" w:lineRule="auto"/>
        <w:jc w:val="both"/>
        <w:rPr>
          <w:rFonts w:ascii="Times New Roman" w:hAnsi="Times New Roman"/>
          <w:noProof/>
        </w:rPr>
      </w:pPr>
      <w:r>
        <w:rPr>
          <w:rFonts w:ascii="Times New Roman" w:hAnsi="Times New Roman"/>
          <w:b/>
          <w:noProof/>
        </w:rPr>
        <w:t xml:space="preserve">Les consommateurs jouent un rôle essentiel dans le renforcement de la résilience dans le domaine de l’eau. </w:t>
      </w:r>
      <w:r>
        <w:rPr>
          <w:rFonts w:ascii="Times New Roman" w:hAnsi="Times New Roman"/>
          <w:noProof/>
        </w:rPr>
        <w:t>Outre le label écologique de l’UE bien établi, le règlement sur l’écoconception pour des produits durables (REPD)</w:t>
      </w:r>
      <w:r>
        <w:rPr>
          <w:rStyle w:val="FootnoteReference"/>
          <w:rFonts w:ascii="Times New Roman" w:eastAsia="Times New Roman" w:hAnsi="Times New Roman" w:cs="Times New Roman"/>
          <w:noProof/>
        </w:rPr>
        <w:footnoteReference w:id="51"/>
      </w:r>
      <w:r>
        <w:rPr>
          <w:rFonts w:ascii="Times New Roman" w:hAnsi="Times New Roman"/>
          <w:noProof/>
        </w:rPr>
        <w:t xml:space="preserve"> aidera les consommateurs à réduire leur consommation d’eau en choisissant des produits moins polluants et plus économes en eau. La demande devrait ainsi s’orienter vers des produits intelligents dans le domaine de l’eau, renforçant ainsi la compétitivité propre et circulaire de l’UE. De nouvelles initiatives privées, telles que le </w:t>
      </w:r>
      <w:r>
        <w:rPr>
          <w:rFonts w:ascii="Times New Roman" w:hAnsi="Times New Roman"/>
          <w:i/>
          <w:noProof/>
        </w:rPr>
        <w:t>Unified Water Label</w:t>
      </w:r>
      <w:r>
        <w:rPr>
          <w:rFonts w:ascii="Times New Roman" w:hAnsi="Times New Roman"/>
          <w:noProof/>
        </w:rPr>
        <w:t xml:space="preserve"> (label unifié pour l’eau), apparaissent pour contribuer à évaluer l’utilisation rationnelle de l’eau dans les produits.</w:t>
      </w:r>
    </w:p>
    <w:p w14:paraId="791A7B1C" w14:textId="0D6185F8" w:rsidR="00ED14EB" w:rsidRDefault="679CD995" w:rsidP="00ED14EB">
      <w:pPr>
        <w:spacing w:before="100" w:beforeAutospacing="1" w:after="240" w:line="240" w:lineRule="auto"/>
        <w:jc w:val="both"/>
        <w:rPr>
          <w:rFonts w:ascii="Times New Roman" w:eastAsia="Times New Roman" w:hAnsi="Times New Roman" w:cs="Times New Roman"/>
          <w:noProof/>
        </w:rPr>
      </w:pPr>
      <w:r>
        <w:rPr>
          <w:rFonts w:ascii="Times New Roman" w:hAnsi="Times New Roman"/>
          <w:b/>
          <w:noProof/>
        </w:rPr>
        <w:t>En ce qui concerne l’utilisation de l’eau dans les logements et la planification urbaine, les économies d’énergie et les économies d’eau devraient toujours aller de pair.</w:t>
      </w:r>
      <w:r>
        <w:rPr>
          <w:rFonts w:ascii="Times New Roman" w:hAnsi="Times New Roman"/>
          <w:noProof/>
        </w:rPr>
        <w:t xml:space="preserve"> La nouvelle directive sur la performance énergétique des bâtiments</w:t>
      </w:r>
      <w:r>
        <w:rPr>
          <w:rStyle w:val="FootnoteReference"/>
          <w:rFonts w:ascii="Times New Roman" w:eastAsia="Times New Roman" w:hAnsi="Times New Roman" w:cs="Times New Roman"/>
          <w:noProof/>
        </w:rPr>
        <w:footnoteReference w:id="52"/>
      </w:r>
      <w:r>
        <w:rPr>
          <w:rFonts w:ascii="Times New Roman" w:hAnsi="Times New Roman"/>
          <w:noProof/>
        </w:rPr>
        <w:t xml:space="preserve">, qui soutient l’efficacité énergétique, y compris l’utilisation rationnelle de l’eau chaude, comme l’un de ses objectifs, et le nouveau Bauhaus européen offrent d’importantes possibilités pour stimuler les efforts en faveur de la résilience dans le domaine de l’eau dans l’ensemble de l’environnement bâti, tout en améliorant la participation des utilisateurs et des citoyens ainsi que le partage des bonnes pratiques en matière de planification et de concepts pour la résilience dans le domaine de l’eau. Ces éléments seront pris en considération dans le prochain programme de travail 2026-2027 de la facilité du nouveau Bauhaus européen et dans le prochain plan pour des logements abordables, qui tiendra également compte de la durabilité des logements, notamment de la résilience dans le domaine de l’eau. </w:t>
      </w:r>
    </w:p>
    <w:p w14:paraId="4487CFF7" w14:textId="0CF5B73D" w:rsidR="00E05499" w:rsidRPr="00ED14EB" w:rsidRDefault="004D1FF6" w:rsidP="00ED14EB">
      <w:pPr>
        <w:spacing w:before="100" w:beforeAutospacing="1" w:after="240" w:line="240" w:lineRule="auto"/>
        <w:jc w:val="both"/>
        <w:rPr>
          <w:rFonts w:ascii="Times New Roman" w:eastAsia="Times New Roman" w:hAnsi="Times New Roman" w:cs="Times New Roman"/>
          <w:noProof/>
        </w:rPr>
      </w:pPr>
      <w:r>
        <w:rPr>
          <w:rFonts w:ascii="Times New Roman" w:hAnsi="Times New Roman"/>
          <w:b/>
          <w:noProof/>
        </w:rPr>
        <w:t xml:space="preserve">Il convient de mettre davantage l’accent sur la sensibilisation et la participation du public à la gestion de l’eau. </w:t>
      </w:r>
      <w:bookmarkStart w:id="4" w:name="_Hlk199062773"/>
      <w:r>
        <w:rPr>
          <w:rFonts w:ascii="Times New Roman" w:hAnsi="Times New Roman"/>
          <w:noProof/>
        </w:rPr>
        <w:t xml:space="preserve">Des outils numériques peuvent contribuer à renforcer la sensibilisation, ce qui est essentiel pour inciter les citoyens à économiser l’eau, mais aussi pour réduire leur exposition aux risques liés aux inondations ou aux sécheresses (voir section 3). </w:t>
      </w:r>
      <w:bookmarkEnd w:id="4"/>
      <w:r>
        <w:rPr>
          <w:rFonts w:ascii="Times New Roman" w:hAnsi="Times New Roman"/>
          <w:noProof/>
        </w:rPr>
        <w:t xml:space="preserve">La mise en œuvre intégrale des exigences en matière d’information du public et de transparence contribuera à sensibiliser davantage les citoyens et à accroître leur volonté de s’engager dans le cadre d’une gouvernance inclusive dans le domaine de l’eau. La Commission encouragera l’échange de bonnes pratiques en matière de sensibilisation et d’équipement de la société afin qu’elle participe plus efficacement à la gestion de l’eau et aux plans de gestion de district hydrographique et plans de gestion des risques d’inondation. </w:t>
      </w:r>
    </w:p>
    <w:p w14:paraId="718719A0" w14:textId="0550E0D5" w:rsidR="00A74178" w:rsidRPr="00943602" w:rsidRDefault="5861F32C" w:rsidP="00ED14EB">
      <w:pPr>
        <w:spacing w:before="240" w:after="240" w:line="257" w:lineRule="auto"/>
        <w:jc w:val="both"/>
        <w:rPr>
          <w:rFonts w:ascii="Times New Roman" w:eastAsia="Times New Roman" w:hAnsi="Times New Roman" w:cs="Times New Roman"/>
          <w:noProof/>
        </w:rPr>
      </w:pPr>
      <w:r>
        <w:rPr>
          <w:rFonts w:ascii="Times New Roman" w:hAnsi="Times New Roman"/>
          <w:b/>
          <w:noProof/>
        </w:rPr>
        <w:t>Des politiques de tarification de l’eau fondées sur la consommation réelle, l’incidence sur l’environnement et la capacité de paiement sont essentielles pour garantir l’accès à l’eau tout en créant des incitations appropriées pour les consommateurs et les autres utilisateurs.</w:t>
      </w:r>
      <w:r>
        <w:rPr>
          <w:rFonts w:ascii="Times New Roman" w:hAnsi="Times New Roman"/>
          <w:noProof/>
        </w:rPr>
        <w:t xml:space="preserve"> La directive-cadre sur l’eau encourage des politiques nationales saines en matière de tarification de l’eau, fondées sur un recouvrement des coûts équitablement partagé et sur le principe du pollueur-payeur. Les directives révisées sur l’eau potable et les eaux urbaines résiduaires garantissent des informations régulières et complètes sur la consommation et les prix de l’eau, ainsi que des conseils sur la manière de réduire cette consommation. L’échange de bonnes pratiques aidera les États membres à utiliser ces outils de la manière la plus efficace possible.</w:t>
      </w:r>
    </w:p>
    <w:tbl>
      <w:tblPr>
        <w:tblStyle w:val="TableGrid"/>
        <w:tblW w:w="0" w:type="auto"/>
        <w:tblLook w:val="04A0" w:firstRow="1" w:lastRow="0" w:firstColumn="1" w:lastColumn="0" w:noHBand="0" w:noVBand="1"/>
      </w:tblPr>
      <w:tblGrid>
        <w:gridCol w:w="7508"/>
        <w:gridCol w:w="1508"/>
      </w:tblGrid>
      <w:tr w:rsidR="2A2EF8A8" w:rsidRPr="009F333A" w14:paraId="6F9B27CB" w14:textId="77777777" w:rsidTr="008B4BEC">
        <w:trPr>
          <w:trHeight w:val="300"/>
        </w:trPr>
        <w:tc>
          <w:tcPr>
            <w:tcW w:w="7508" w:type="dxa"/>
            <w:shd w:val="clear" w:color="auto" w:fill="A5C9EB" w:themeFill="text2" w:themeFillTint="40"/>
          </w:tcPr>
          <w:p w14:paraId="54400CD6" w14:textId="18A17DC1" w:rsidR="01113CB2" w:rsidRPr="009F333A" w:rsidRDefault="2A2EF8A8" w:rsidP="2A2EF8A8">
            <w:pPr>
              <w:pStyle w:val="paragraph"/>
              <w:spacing w:before="0" w:beforeAutospacing="0" w:after="0" w:afterAutospacing="0"/>
              <w:jc w:val="center"/>
              <w:rPr>
                <w:b/>
                <w:noProof/>
                <w:sz w:val="24"/>
                <w:szCs w:val="24"/>
              </w:rPr>
            </w:pPr>
            <w:r>
              <w:rPr>
                <w:b/>
                <w:noProof/>
                <w:sz w:val="24"/>
              </w:rPr>
              <w:t>Actions phares — Garantir l’accès à une eau propre et abordable pour tous, et renforcer l’autonomie des consommateurs et des autres utilisateurs</w:t>
            </w:r>
          </w:p>
        </w:tc>
        <w:tc>
          <w:tcPr>
            <w:tcW w:w="1508" w:type="dxa"/>
            <w:shd w:val="clear" w:color="auto" w:fill="A5C9EB" w:themeFill="text2" w:themeFillTint="40"/>
          </w:tcPr>
          <w:p w14:paraId="56F1AF2E" w14:textId="768A7A48" w:rsidR="2A2EF8A8" w:rsidRPr="009F333A" w:rsidRDefault="2A2EF8A8" w:rsidP="2A2EF8A8">
            <w:pPr>
              <w:pStyle w:val="paragraph"/>
              <w:spacing w:before="0" w:beforeAutospacing="0" w:after="0" w:afterAutospacing="0"/>
              <w:jc w:val="center"/>
              <w:rPr>
                <w:rFonts w:eastAsia="Calibri"/>
                <w:b/>
                <w:bCs/>
                <w:noProof/>
                <w:sz w:val="24"/>
                <w:szCs w:val="24"/>
              </w:rPr>
            </w:pPr>
            <w:r>
              <w:rPr>
                <w:b/>
                <w:noProof/>
                <w:sz w:val="24"/>
              </w:rPr>
              <w:t>Calendrier</w:t>
            </w:r>
          </w:p>
        </w:tc>
      </w:tr>
      <w:tr w:rsidR="008B4BEC" w:rsidRPr="009F333A" w14:paraId="304F2209" w14:textId="77777777" w:rsidTr="000027CE">
        <w:trPr>
          <w:trHeight w:val="300"/>
        </w:trPr>
        <w:tc>
          <w:tcPr>
            <w:tcW w:w="7508" w:type="dxa"/>
          </w:tcPr>
          <w:p w14:paraId="2CFF87B9" w14:textId="77777777" w:rsidR="008B4BEC" w:rsidRPr="0061109A" w:rsidRDefault="008B4BEC" w:rsidP="0061109A">
            <w:pPr>
              <w:jc w:val="both"/>
              <w:rPr>
                <w:rFonts w:ascii="Times New Roman" w:eastAsia="Times New Roman" w:hAnsi="Times New Roman" w:cs="Times New Roman"/>
                <w:noProof/>
                <w:sz w:val="24"/>
                <w:szCs w:val="24"/>
              </w:rPr>
            </w:pPr>
            <w:r>
              <w:rPr>
                <w:rFonts w:ascii="Times New Roman" w:hAnsi="Times New Roman"/>
                <w:noProof/>
                <w:sz w:val="24"/>
              </w:rPr>
              <w:t>Tenir compte de l’empreinte hydrique des produits lors de la fixation ou de la mise à jour des exigences au titre du règlement sur l’écoconception pour des produits durables et du label écologique de l’UE.</w:t>
            </w:r>
          </w:p>
        </w:tc>
        <w:tc>
          <w:tcPr>
            <w:tcW w:w="1508" w:type="dxa"/>
          </w:tcPr>
          <w:p w14:paraId="62068CA9" w14:textId="77777777" w:rsidR="008B4BEC" w:rsidRPr="009F333A" w:rsidRDefault="008B4BEC" w:rsidP="000027CE">
            <w:pPr>
              <w:pStyle w:val="paragraph"/>
              <w:spacing w:before="0" w:beforeAutospacing="0" w:after="0" w:afterAutospacing="0"/>
              <w:jc w:val="center"/>
              <w:rPr>
                <w:rFonts w:eastAsia="Calibri"/>
                <w:noProof/>
                <w:sz w:val="24"/>
                <w:szCs w:val="24"/>
              </w:rPr>
            </w:pPr>
            <w:r>
              <w:rPr>
                <w:noProof/>
                <w:sz w:val="24"/>
              </w:rPr>
              <w:t>2025-2027</w:t>
            </w:r>
          </w:p>
        </w:tc>
      </w:tr>
      <w:tr w:rsidR="008B4BEC" w:rsidRPr="009F333A" w14:paraId="7B6B6412" w14:textId="77777777" w:rsidTr="000027CE">
        <w:trPr>
          <w:trHeight w:val="300"/>
        </w:trPr>
        <w:tc>
          <w:tcPr>
            <w:tcW w:w="7508" w:type="dxa"/>
          </w:tcPr>
          <w:p w14:paraId="353FF673" w14:textId="5367BA12" w:rsidR="008B4BEC" w:rsidRPr="0061109A" w:rsidRDefault="008B4BEC" w:rsidP="000027CE">
            <w:pPr>
              <w:jc w:val="both"/>
              <w:rPr>
                <w:rFonts w:ascii="Times New Roman" w:eastAsia="Times New Roman" w:hAnsi="Times New Roman" w:cs="Times New Roman"/>
                <w:noProof/>
                <w:sz w:val="24"/>
                <w:szCs w:val="24"/>
              </w:rPr>
            </w:pPr>
            <w:r>
              <w:rPr>
                <w:rFonts w:ascii="Times New Roman" w:hAnsi="Times New Roman"/>
                <w:noProof/>
                <w:sz w:val="24"/>
              </w:rPr>
              <w:t xml:space="preserve">Promouvoir les bonnes pratiques en matière de sensibilisation du public et le rôle de la tarification de l’eau afin de favoriser l’utilisation rationnelle de l’eau, le recouvrement des coûts et le principe du pollueur-payeur, ainsi que la gouvernance nationale de l’eau pertinente. </w:t>
            </w:r>
          </w:p>
        </w:tc>
        <w:tc>
          <w:tcPr>
            <w:tcW w:w="1508" w:type="dxa"/>
          </w:tcPr>
          <w:p w14:paraId="71DE623B" w14:textId="77777777" w:rsidR="008B4BEC" w:rsidRPr="009F333A" w:rsidRDefault="008B4BEC" w:rsidP="000027CE">
            <w:pPr>
              <w:pStyle w:val="paragraph"/>
              <w:spacing w:before="0" w:beforeAutospacing="0" w:after="0" w:afterAutospacing="0"/>
              <w:jc w:val="center"/>
              <w:rPr>
                <w:rFonts w:eastAsia="Calibri"/>
                <w:noProof/>
                <w:sz w:val="24"/>
                <w:szCs w:val="24"/>
              </w:rPr>
            </w:pPr>
            <w:r>
              <w:rPr>
                <w:noProof/>
                <w:sz w:val="24"/>
              </w:rPr>
              <w:t>2026-2027</w:t>
            </w:r>
          </w:p>
        </w:tc>
      </w:tr>
      <w:tr w:rsidR="003E4FEA" w:rsidRPr="009F333A" w14:paraId="2346CF24" w14:textId="77777777" w:rsidTr="008B4BEC">
        <w:trPr>
          <w:trHeight w:val="300"/>
        </w:trPr>
        <w:tc>
          <w:tcPr>
            <w:tcW w:w="7508" w:type="dxa"/>
          </w:tcPr>
          <w:p w14:paraId="6763FD17" w14:textId="002B2ACD" w:rsidR="003E4FEA" w:rsidRPr="0061109A" w:rsidRDefault="003E4FEA" w:rsidP="0061109A">
            <w:pPr>
              <w:jc w:val="both"/>
              <w:rPr>
                <w:rFonts w:ascii="Times New Roman" w:eastAsia="Times New Roman" w:hAnsi="Times New Roman" w:cs="Times New Roman"/>
                <w:noProof/>
                <w:sz w:val="24"/>
                <w:szCs w:val="24"/>
              </w:rPr>
            </w:pPr>
            <w:r>
              <w:rPr>
                <w:rFonts w:ascii="Times New Roman" w:hAnsi="Times New Roman"/>
                <w:noProof/>
                <w:sz w:val="24"/>
              </w:rPr>
              <w:t>Intensifier les efforts en faveur de la résilience dans le domaine de l’eau dans l’ensemble de l’environnement bâti dans le cadre du prochain programme de travail 2026-2027 de la facilité du nouveau Bauhaus européen et du prochain plan pour des logements abordables.</w:t>
            </w:r>
          </w:p>
        </w:tc>
        <w:tc>
          <w:tcPr>
            <w:tcW w:w="1508" w:type="dxa"/>
          </w:tcPr>
          <w:p w14:paraId="01F15B43" w14:textId="0CB10D91" w:rsidR="003E4FEA" w:rsidRPr="009F333A" w:rsidRDefault="003E4FEA" w:rsidP="002A4925">
            <w:pPr>
              <w:pStyle w:val="paragraph"/>
              <w:spacing w:before="0" w:beforeAutospacing="0" w:after="0" w:afterAutospacing="0"/>
              <w:jc w:val="center"/>
              <w:rPr>
                <w:rFonts w:eastAsia="Calibri"/>
                <w:noProof/>
              </w:rPr>
            </w:pPr>
            <w:r>
              <w:rPr>
                <w:noProof/>
              </w:rPr>
              <w:t>2026</w:t>
            </w:r>
          </w:p>
        </w:tc>
      </w:tr>
    </w:tbl>
    <w:p w14:paraId="3350389F" w14:textId="77777777" w:rsidR="00E64CF3" w:rsidRPr="009F333A" w:rsidRDefault="00E64CF3" w:rsidP="00ED14EB">
      <w:pPr>
        <w:rPr>
          <w:noProof/>
        </w:rPr>
      </w:pPr>
    </w:p>
    <w:p w14:paraId="351881EE" w14:textId="60954869" w:rsidR="00E36A23" w:rsidRPr="00943602" w:rsidRDefault="00432111" w:rsidP="00943602">
      <w:pPr>
        <w:pStyle w:val="Heading2"/>
        <w:rPr>
          <w:rFonts w:ascii="Times New Roman Bold" w:hAnsi="Times New Roman Bold" w:cs="Times New Roman"/>
          <w:b/>
          <w:bCs/>
          <w:smallCaps/>
          <w:noProof/>
          <w:color w:val="auto"/>
          <w:sz w:val="24"/>
          <w:szCs w:val="24"/>
        </w:rPr>
      </w:pPr>
      <w:r>
        <w:rPr>
          <w:rFonts w:ascii="Times New Roman Bold" w:hAnsi="Times New Roman Bold"/>
          <w:b/>
          <w:smallCaps/>
          <w:noProof/>
          <w:color w:val="auto"/>
          <w:sz w:val="24"/>
        </w:rPr>
        <w:t>3.</w:t>
      </w:r>
      <w:r>
        <w:rPr>
          <w:noProof/>
        </w:rPr>
        <w:tab/>
      </w:r>
      <w:r>
        <w:rPr>
          <w:rFonts w:ascii="Times New Roman Bold" w:hAnsi="Times New Roman Bold"/>
          <w:b/>
          <w:smallCaps/>
          <w:noProof/>
          <w:color w:val="auto"/>
          <w:sz w:val="24"/>
        </w:rPr>
        <w:t>Cinq domaines propices à une Europe résiliente dans le domaine de l’eau</w:t>
      </w:r>
    </w:p>
    <w:p w14:paraId="3084D5A6" w14:textId="2DA53C63" w:rsidR="00E36A23" w:rsidRPr="009F333A" w:rsidRDefault="008B4A35" w:rsidP="00ED14EB">
      <w:pPr>
        <w:spacing w:after="240" w:line="240" w:lineRule="auto"/>
        <w:jc w:val="both"/>
        <w:rPr>
          <w:rFonts w:ascii="Times New Roman" w:hAnsi="Times New Roman"/>
          <w:noProof/>
        </w:rPr>
      </w:pPr>
      <w:r>
        <w:rPr>
          <w:rFonts w:ascii="Times New Roman" w:hAnsi="Times New Roman"/>
          <w:noProof/>
        </w:rPr>
        <w:t>Pour atteindre les objectifs définis dans la stratégie, nous avons besoin d’une approche qui fasse appel à l’ensemble de la société, selon une coopération renforcée entre les citoyens, les entreprises, la société civile et les groupes représentant la nature ainsi que les administrations engagées, au-delà de tout cloisonnement politique et à tous les niveaux d’action, afin que toutes les parties prenantes puissent participer au processus. L’UE soutiendra cette démarche par des actions dans cinq domaines.</w:t>
      </w:r>
    </w:p>
    <w:p w14:paraId="39A365FF" w14:textId="4C8CACE8" w:rsidR="00943602" w:rsidRPr="00943602" w:rsidRDefault="003440AE" w:rsidP="00ED14EB">
      <w:pPr>
        <w:pStyle w:val="Heading2"/>
        <w:spacing w:after="240"/>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3.1</w:t>
      </w:r>
      <w:r>
        <w:rPr>
          <w:noProof/>
        </w:rPr>
        <w:tab/>
      </w:r>
      <w:r>
        <w:rPr>
          <w:rFonts w:ascii="Times New Roman" w:hAnsi="Times New Roman"/>
          <w:b/>
          <w:noProof/>
          <w:color w:val="000000" w:themeColor="text1"/>
          <w:sz w:val="24"/>
        </w:rPr>
        <w:t>La gouvernance et la mise en œuvre pour stimuler le changement</w:t>
      </w:r>
    </w:p>
    <w:p w14:paraId="0DF75CC5" w14:textId="03C4E482" w:rsidR="00DD2EED" w:rsidRPr="009F333A" w:rsidRDefault="004A03DA" w:rsidP="00ED14EB">
      <w:pPr>
        <w:spacing w:after="240" w:line="240" w:lineRule="auto"/>
        <w:jc w:val="both"/>
        <w:rPr>
          <w:rFonts w:ascii="Times New Roman" w:hAnsi="Times New Roman" w:cs="Times New Roman"/>
          <w:noProof/>
        </w:rPr>
      </w:pPr>
      <w:r>
        <w:rPr>
          <w:rFonts w:ascii="Times New Roman" w:hAnsi="Times New Roman"/>
          <w:b/>
          <w:bCs/>
          <w:noProof/>
        </w:rPr>
        <w:t>La résilience dans le domaine de l’eau dépendra de l’amélioration de la mise en œuvre de l’acquis global de l’Union dans le domaine de l’eau</w:t>
      </w:r>
      <w:r>
        <w:rPr>
          <w:rFonts w:ascii="Times New Roman" w:hAnsi="Times New Roman"/>
          <w:noProof/>
        </w:rPr>
        <w:t>, ainsi que du renforcement des synergies avec les politiques menées dans des secteurs tels que ceux de l’agriculture, de l’industrie, de l’énergie, des transports et de la protection des consommateurs. Depuis des décennies, les autorités de réglementation agissent pour protéger l’eau dans le cadre des politiques européennes de l’environnement et de la santé. Dans le cadre du pacte vert pour l’Europe, plusieurs textes législatifs importants ont été réexaminés et modernisés, ce qui a permis de réaliser des progrès considérables. Pourtant, comme l’a montré un récent rapport de la Commission</w:t>
      </w:r>
      <w:r>
        <w:rPr>
          <w:rStyle w:val="FootnoteReference"/>
          <w:rFonts w:ascii="Times New Roman" w:eastAsia="Times New Roman" w:hAnsi="Times New Roman" w:cs="Times New Roman"/>
          <w:noProof/>
        </w:rPr>
        <w:footnoteReference w:id="53"/>
      </w:r>
      <w:r>
        <w:rPr>
          <w:rFonts w:ascii="Times New Roman" w:hAnsi="Times New Roman"/>
          <w:noProof/>
        </w:rPr>
        <w:t>, des lacunes dans la mise en œuvre et le financement ont jusqu’à présent considérablement entravé la réalisation des objectifs de la législation sur l’eau. Par exemple, lors de l’élaboration de leur troisième plan de gestion de district hydrographique et de leur deuxième plan de gestion des risques d’inondation, plusieurs États membres n’ont pas donné suite aux recommandations formulées par la Commission en 2019 et n’ont pas encore mis en place de registres, de contrôles et, le cas échéant, de sanctions adéquats pour éviter les captages excessifs.</w:t>
      </w:r>
    </w:p>
    <w:p w14:paraId="21427B70" w14:textId="61FFC543" w:rsidR="007D7C0E" w:rsidRPr="009F333A" w:rsidRDefault="60BFAB94" w:rsidP="00ED14EB">
      <w:pPr>
        <w:spacing w:after="240" w:line="240" w:lineRule="auto"/>
        <w:jc w:val="both"/>
        <w:rPr>
          <w:rStyle w:val="normaltextrun"/>
          <w:rFonts w:ascii="Times New Roman" w:eastAsia="Calibri" w:hAnsi="Times New Roman" w:cs="Times New Roman"/>
          <w:noProof/>
        </w:rPr>
      </w:pPr>
      <w:r>
        <w:rPr>
          <w:rFonts w:ascii="Times New Roman" w:hAnsi="Times New Roman"/>
          <w:b/>
          <w:noProof/>
        </w:rPr>
        <w:t xml:space="preserve">Sur la base des conclusions de sa dernière évaluation des plans nationaux et </w:t>
      </w:r>
      <w:r>
        <w:rPr>
          <w:rFonts w:ascii="Times New Roman" w:hAnsi="Times New Roman"/>
          <w:b/>
          <w:noProof/>
          <w:color w:val="242424"/>
        </w:rPr>
        <w:t>de ses recommandations par pays et à l’échelle de l’UE</w:t>
      </w:r>
      <w:r>
        <w:rPr>
          <w:rFonts w:ascii="Times New Roman" w:hAnsi="Times New Roman"/>
          <w:b/>
          <w:noProof/>
        </w:rPr>
        <w:t>, la Commission renforcera l’application de la législation</w:t>
      </w:r>
      <w:r>
        <w:rPr>
          <w:rFonts w:ascii="Times New Roman" w:hAnsi="Times New Roman"/>
          <w:b/>
          <w:noProof/>
          <w:color w:val="242424"/>
        </w:rPr>
        <w:t xml:space="preserve">. </w:t>
      </w:r>
      <w:r>
        <w:rPr>
          <w:rFonts w:ascii="Times New Roman" w:hAnsi="Times New Roman"/>
          <w:noProof/>
          <w:color w:val="242424"/>
        </w:rPr>
        <w:t xml:space="preserve">Elle lancera </w:t>
      </w:r>
      <w:r>
        <w:rPr>
          <w:rFonts w:ascii="Times New Roman" w:hAnsi="Times New Roman"/>
          <w:noProof/>
        </w:rPr>
        <w:t xml:space="preserve">des dialogues structurés avec les États membres afin d’œuvrer conjointement à une mise en œuvre renforcée de l’acquis plus large de l’UE dans le domaine de l’eau. </w:t>
      </w:r>
      <w:r>
        <w:rPr>
          <w:rStyle w:val="normaltextrun"/>
          <w:rFonts w:ascii="Times New Roman" w:hAnsi="Times New Roman"/>
          <w:noProof/>
        </w:rPr>
        <w:t>L’instrument d’appui technique peut aider les États membres à relever les défis liés à l’eau, notamment ceux recensés dans le cadre du Semestre européen.</w:t>
      </w:r>
    </w:p>
    <w:p w14:paraId="261D9DCB" w14:textId="1641E9DE" w:rsidR="00ED14EB" w:rsidRDefault="15C420B0" w:rsidP="00ED14EB">
      <w:pPr>
        <w:spacing w:after="240" w:line="240" w:lineRule="auto"/>
        <w:jc w:val="both"/>
        <w:rPr>
          <w:rFonts w:ascii="Times New Roman" w:eastAsia="Times New Roman" w:hAnsi="Times New Roman" w:cs="Times New Roman"/>
          <w:noProof/>
        </w:rPr>
      </w:pPr>
      <w:r>
        <w:rPr>
          <w:rFonts w:ascii="Times New Roman" w:hAnsi="Times New Roman"/>
          <w:b/>
          <w:bCs/>
          <w:noProof/>
        </w:rPr>
        <w:t>La simplification des règles de l’UE dans le domaine de l’eau peut contribuer de manière significative à leur mise en œuvre.</w:t>
      </w:r>
      <w:r>
        <w:rPr>
          <w:rFonts w:ascii="Times New Roman" w:hAnsi="Times New Roman"/>
          <w:noProof/>
        </w:rPr>
        <w:t xml:space="preserve"> La Commission évalue régulièrement les principaux actes législatifs, tels que la directive sur les nitrates, actuellement en cours d’évaluation. En outre, la Commission entend, sur la base d’une étude en cours, simplifier les rapports électroniques au titre de la directive-cadre sur l’eau et améliorer leur efficacité. La révision de la directive-cadre «stratégie pour le milieu marin» entraînera également une simplification importante. </w:t>
      </w:r>
      <w:bookmarkStart w:id="5" w:name="_Hlk199365638"/>
      <w:r>
        <w:rPr>
          <w:rFonts w:ascii="Times New Roman" w:hAnsi="Times New Roman"/>
          <w:noProof/>
        </w:rPr>
        <w:t>Dans le cadre de la mise en œuvre du système de responsabilité élargie des producteurs visé à l’article 9 de la directive (UE) 2024/3019 relative au traitement des eaux urbaines résiduaires, la Commission réalisera une étude actualisée des coûts et de ses incidences potentielles sur les secteurs concernés. En outre, la Commission continuera de soutenir les États membres dans la conception pragmatique de systèmes nationaux en vue d’éviter des conséquences inattendues ou involontaires, en particulier pour la disponibilité et le caractère abordable des médicaments</w:t>
      </w:r>
      <w:r>
        <w:rPr>
          <w:rStyle w:val="FootnoteReference"/>
          <w:rFonts w:ascii="Times New Roman" w:eastAsia="Calibri" w:hAnsi="Times New Roman" w:cs="Times New Roman"/>
          <w:noProof/>
        </w:rPr>
        <w:footnoteReference w:id="54"/>
      </w:r>
      <w:bookmarkEnd w:id="5"/>
      <w:r>
        <w:rPr>
          <w:rFonts w:ascii="Times New Roman" w:hAnsi="Times New Roman"/>
          <w:noProof/>
        </w:rPr>
        <w:t>.</w:t>
      </w:r>
    </w:p>
    <w:p w14:paraId="08CBF7A9" w14:textId="6A00D3E1" w:rsidR="00B35612" w:rsidRDefault="00B35612" w:rsidP="00B35612">
      <w:pPr>
        <w:spacing w:after="0" w:line="240" w:lineRule="auto"/>
        <w:jc w:val="both"/>
        <w:rPr>
          <w:rFonts w:ascii="Times New Roman" w:eastAsia="Times New Roman" w:hAnsi="Times New Roman" w:cs="Times New Roman"/>
          <w:noProof/>
        </w:rPr>
      </w:pPr>
      <w:r>
        <w:rPr>
          <w:rStyle w:val="normaltextrun"/>
          <w:rFonts w:ascii="Times New Roman" w:hAnsi="Times New Roman"/>
          <w:b/>
          <w:noProof/>
        </w:rPr>
        <w:t>L’aménagement du territoire intelligent dans le domaine de l’eau doit guider un déploiement durable de la transition verte et numérique.</w:t>
      </w:r>
      <w:r>
        <w:rPr>
          <w:rStyle w:val="normaltextrun"/>
          <w:rFonts w:ascii="Times New Roman" w:hAnsi="Times New Roman"/>
          <w:noProof/>
        </w:rPr>
        <w:t xml:space="preserve"> La Commission</w:t>
      </w:r>
      <w:r>
        <w:rPr>
          <w:rFonts w:ascii="Times New Roman" w:hAnsi="Times New Roman"/>
          <w:noProof/>
        </w:rPr>
        <w:t xml:space="preserve"> renforcera les outils de visualisation existants en regroupant les données environnementales et les données relatives aux réseaux d’eau et d’énergie. L’objectif est d’éclairer les décisions des États membres en matière d’aménagement du territoire en les aidant à recenser les zones les plus propices à l’implantation d’activités commerciales à forte intensité d’eau et, dans le même temps, à inciter les investisseurs à procéder à la restauration de la nature et à la modernisation des réseaux d’approvisionnement en eau afin de soutenir ces entreprises. </w:t>
      </w:r>
    </w:p>
    <w:p w14:paraId="13E8B1B0" w14:textId="77777777" w:rsidR="00B35612" w:rsidRPr="006C7F0A" w:rsidRDefault="00B35612" w:rsidP="00B35612">
      <w:pPr>
        <w:spacing w:after="0" w:line="240" w:lineRule="auto"/>
        <w:jc w:val="both"/>
        <w:rPr>
          <w:rStyle w:val="normaltextrun"/>
          <w:rFonts w:ascii="Times New Roman" w:eastAsia="Calibri" w:hAnsi="Times New Roman" w:cs="Times New Roman"/>
          <w:noProof/>
          <w:lang w:val="fr-BE"/>
        </w:rPr>
      </w:pPr>
    </w:p>
    <w:p w14:paraId="0D817060" w14:textId="136F90CB" w:rsidR="49A1E820" w:rsidRPr="00C62AE0" w:rsidRDefault="672E393D" w:rsidP="00C62AE0">
      <w:pPr>
        <w:spacing w:after="240" w:line="240" w:lineRule="auto"/>
        <w:jc w:val="both"/>
        <w:rPr>
          <w:rFonts w:ascii="Times New Roman" w:eastAsia="Times New Roman" w:hAnsi="Times New Roman" w:cs="Times New Roman"/>
          <w:noProof/>
        </w:rPr>
      </w:pPr>
      <w:r>
        <w:rPr>
          <w:rFonts w:ascii="Times New Roman" w:hAnsi="Times New Roman"/>
          <w:b/>
          <w:noProof/>
        </w:rPr>
        <w:t xml:space="preserve">La coopération transfrontière doit encore être améliorée. </w:t>
      </w:r>
      <w:r>
        <w:rPr>
          <w:rFonts w:ascii="Times New Roman" w:hAnsi="Times New Roman"/>
          <w:noProof/>
        </w:rPr>
        <w:t xml:space="preserve">L’Europe compte 75 bassins hydrographiques transfrontières. Bien que la directive-cadre sur l’eau exige explicitement des États membres qu’ils veillent à une mise en œuvre coordonnée pour les bassins hydrographiques internationaux, il est possible d’harmoniser davantage l’évaluation de l’état des masses d’eau, d’améliorer la cohérence entre les mesures prises par les pays en amont et en aval, y compris avec les pays riverains partenaires non membres de l’UE, et de mettre davantage l’accent sur la gestion de la quantité d’eau. La Commission soutiendra les initiatives entre pairs afin de favoriser la coopération entre les organisations, les régions et les villes des bassins hydrographiques et des bassins maritimes, au moyen de programmes et d’initiatives de l’UE tels que Horizon Europe, le partenariat thématique du programme urbain pour l’Union européenne sur la «ville sensible à l’eau» et </w:t>
      </w:r>
      <w:bookmarkStart w:id="6" w:name="_Hlk197608541"/>
      <w:r>
        <w:rPr>
          <w:rFonts w:ascii="Times New Roman" w:hAnsi="Times New Roman"/>
          <w:noProof/>
        </w:rPr>
        <w:t>la communauté de pratique «Cohésion pour les transitions»</w:t>
      </w:r>
      <w:r>
        <w:rPr>
          <w:rStyle w:val="FootnoteReference"/>
          <w:rFonts w:ascii="Times New Roman" w:hAnsi="Times New Roman" w:cs="Times New Roman"/>
          <w:noProof/>
        </w:rPr>
        <w:footnoteReference w:id="55"/>
      </w:r>
      <w:bookmarkEnd w:id="6"/>
      <w:r>
        <w:rPr>
          <w:rFonts w:ascii="Times New Roman" w:hAnsi="Times New Roman"/>
          <w:noProof/>
        </w:rPr>
        <w:t>. Cette approche garantira une participation importante des niveaux régional et local, comme le montrent les initiatives menées dans le cadre des programmes Interreg.</w:t>
      </w:r>
    </w:p>
    <w:tbl>
      <w:tblPr>
        <w:tblStyle w:val="TableGrid"/>
        <w:tblW w:w="9016" w:type="dxa"/>
        <w:tblLook w:val="04A0" w:firstRow="1" w:lastRow="0" w:firstColumn="1" w:lastColumn="0" w:noHBand="0" w:noVBand="1"/>
      </w:tblPr>
      <w:tblGrid>
        <w:gridCol w:w="7170"/>
        <w:gridCol w:w="1846"/>
      </w:tblGrid>
      <w:tr w:rsidR="3C378456" w:rsidRPr="009F333A" w14:paraId="6ADF027F" w14:textId="77777777" w:rsidTr="4251B09A">
        <w:trPr>
          <w:trHeight w:val="300"/>
        </w:trPr>
        <w:tc>
          <w:tcPr>
            <w:tcW w:w="7170" w:type="dxa"/>
            <w:shd w:val="clear" w:color="auto" w:fill="A5C9EB" w:themeFill="text2" w:themeFillTint="40"/>
          </w:tcPr>
          <w:p w14:paraId="3BEB04FB" w14:textId="4CFBF874" w:rsidR="2A2EF8A8" w:rsidRPr="009F333A" w:rsidRDefault="3C378456" w:rsidP="3C378456">
            <w:pPr>
              <w:pStyle w:val="paragraph"/>
              <w:spacing w:before="0" w:beforeAutospacing="0" w:after="0" w:afterAutospacing="0"/>
              <w:jc w:val="center"/>
              <w:rPr>
                <w:b/>
                <w:bCs/>
                <w:noProof/>
                <w:sz w:val="24"/>
                <w:szCs w:val="24"/>
              </w:rPr>
            </w:pPr>
            <w:r>
              <w:rPr>
                <w:b/>
                <w:noProof/>
                <w:sz w:val="24"/>
              </w:rPr>
              <w:t>Actions phares — La gouvernance et la mise en œuvre pour stimuler le changement</w:t>
            </w:r>
          </w:p>
        </w:tc>
        <w:tc>
          <w:tcPr>
            <w:tcW w:w="1846" w:type="dxa"/>
            <w:shd w:val="clear" w:color="auto" w:fill="A5C9EB" w:themeFill="text2" w:themeFillTint="40"/>
          </w:tcPr>
          <w:p w14:paraId="78ADB0BA" w14:textId="768A7A48" w:rsidR="3C378456" w:rsidRPr="009F333A" w:rsidRDefault="3C378456" w:rsidP="3C378456">
            <w:pPr>
              <w:pStyle w:val="paragraph"/>
              <w:spacing w:before="0" w:beforeAutospacing="0" w:after="0" w:afterAutospacing="0"/>
              <w:jc w:val="center"/>
              <w:rPr>
                <w:rFonts w:eastAsia="Calibri"/>
                <w:b/>
                <w:bCs/>
                <w:noProof/>
                <w:sz w:val="24"/>
                <w:szCs w:val="24"/>
              </w:rPr>
            </w:pPr>
            <w:r>
              <w:rPr>
                <w:b/>
                <w:noProof/>
                <w:sz w:val="24"/>
              </w:rPr>
              <w:t>Calendrier</w:t>
            </w:r>
          </w:p>
        </w:tc>
      </w:tr>
      <w:tr w:rsidR="3C378456" w:rsidRPr="009F333A" w14:paraId="261128DC" w14:textId="77777777" w:rsidTr="4251B09A">
        <w:trPr>
          <w:trHeight w:val="300"/>
        </w:trPr>
        <w:tc>
          <w:tcPr>
            <w:tcW w:w="7170" w:type="dxa"/>
          </w:tcPr>
          <w:p w14:paraId="6B0B55A2" w14:textId="4287E4DD" w:rsidR="3F1985D0" w:rsidRPr="009F333A" w:rsidDel="3F1985D0" w:rsidRDefault="00426AD2" w:rsidP="3F1985D0">
            <w:pPr>
              <w:jc w:val="both"/>
              <w:rPr>
                <w:rFonts w:ascii="Times New Roman" w:eastAsia="Times New Roman" w:hAnsi="Times New Roman" w:cs="Times New Roman"/>
                <w:noProof/>
                <w:sz w:val="24"/>
                <w:szCs w:val="24"/>
              </w:rPr>
            </w:pPr>
            <w:r>
              <w:rPr>
                <w:rFonts w:ascii="Times New Roman" w:hAnsi="Times New Roman"/>
                <w:noProof/>
                <w:sz w:val="24"/>
              </w:rPr>
              <w:t>Renforcer l’application de la législation et lancer des dialogues structurés avec tous les États membres afin d’accélérer et d’intensifier la mise en œuvre de l’acquis de l’UE dans le domaine de l’eau, sur la base des principales priorités en matière d’application découlant de la dernière évaluation des plans de gestion de district hydrographique et des plans de gestion des risques d’inondation.</w:t>
            </w:r>
          </w:p>
        </w:tc>
        <w:tc>
          <w:tcPr>
            <w:tcW w:w="1846" w:type="dxa"/>
          </w:tcPr>
          <w:p w14:paraId="6CF12367" w14:textId="238FFE92" w:rsidR="3C378456" w:rsidRPr="009F333A" w:rsidRDefault="563F8609" w:rsidP="3C378456">
            <w:pPr>
              <w:pStyle w:val="paragraph"/>
              <w:spacing w:before="0" w:beforeAutospacing="0" w:after="0" w:afterAutospacing="0"/>
              <w:jc w:val="center"/>
              <w:rPr>
                <w:rFonts w:eastAsia="Calibri"/>
                <w:noProof/>
                <w:sz w:val="24"/>
                <w:szCs w:val="24"/>
              </w:rPr>
            </w:pPr>
            <w:r>
              <w:rPr>
                <w:noProof/>
                <w:sz w:val="24"/>
              </w:rPr>
              <w:t>2025-2026</w:t>
            </w:r>
          </w:p>
        </w:tc>
      </w:tr>
      <w:tr w:rsidR="3C378456" w:rsidRPr="009F333A" w14:paraId="41D5F64A" w14:textId="77777777" w:rsidTr="4251B09A">
        <w:trPr>
          <w:trHeight w:val="300"/>
        </w:trPr>
        <w:tc>
          <w:tcPr>
            <w:tcW w:w="7170" w:type="dxa"/>
          </w:tcPr>
          <w:p w14:paraId="47B8A6DC" w14:textId="42813730" w:rsidR="119F391C" w:rsidRPr="009F333A" w:rsidRDefault="008E54BE" w:rsidP="00905E09">
            <w:pPr>
              <w:jc w:val="both"/>
              <w:rPr>
                <w:rFonts w:ascii="Times New Roman" w:hAnsi="Times New Roman" w:cs="Times New Roman"/>
                <w:noProof/>
                <w:sz w:val="24"/>
                <w:szCs w:val="24"/>
              </w:rPr>
            </w:pPr>
            <w:r>
              <w:rPr>
                <w:rFonts w:ascii="Times New Roman" w:hAnsi="Times New Roman"/>
                <w:noProof/>
                <w:sz w:val="24"/>
              </w:rPr>
              <w:t>Dans le cadre de la communauté de pratique «Cohésion pour les transitions», organiser des échanges réguliers avec les régions, les villes et les autorités responsables de l’eau, afin de promouvoir l’échange des bonnes pratiques sur les «paysages éponges» et la coopération transfrontière dans le domaine de l’eau, recensées dans le cadre d’Interreg.</w:t>
            </w:r>
          </w:p>
        </w:tc>
        <w:tc>
          <w:tcPr>
            <w:tcW w:w="1846" w:type="dxa"/>
          </w:tcPr>
          <w:p w14:paraId="14A51A8E" w14:textId="149718F0" w:rsidR="3C378456" w:rsidRPr="009F333A" w:rsidRDefault="001F40B8" w:rsidP="004F5F6B">
            <w:pPr>
              <w:jc w:val="center"/>
              <w:rPr>
                <w:noProof/>
                <w:sz w:val="24"/>
                <w:szCs w:val="24"/>
              </w:rPr>
            </w:pPr>
            <w:r>
              <w:rPr>
                <w:rFonts w:ascii="Times New Roman" w:hAnsi="Times New Roman"/>
                <w:noProof/>
                <w:sz w:val="24"/>
              </w:rPr>
              <w:t>2025-2027</w:t>
            </w:r>
          </w:p>
        </w:tc>
      </w:tr>
      <w:tr w:rsidR="00367DDA" w:rsidRPr="0060399D" w14:paraId="483A0C94" w14:textId="77777777" w:rsidTr="4251B09A">
        <w:trPr>
          <w:trHeight w:val="300"/>
        </w:trPr>
        <w:tc>
          <w:tcPr>
            <w:tcW w:w="7170" w:type="dxa"/>
          </w:tcPr>
          <w:p w14:paraId="0217AA17" w14:textId="407163B7" w:rsidR="00367DDA" w:rsidRPr="0060399D" w:rsidRDefault="00367DDA" w:rsidP="00D57C4B">
            <w:pPr>
              <w:jc w:val="both"/>
              <w:rPr>
                <w:rFonts w:ascii="Times New Roman" w:hAnsi="Times New Roman" w:cs="Times New Roman"/>
                <w:noProof/>
                <w:sz w:val="24"/>
                <w:szCs w:val="24"/>
              </w:rPr>
            </w:pPr>
            <w:r>
              <w:rPr>
                <w:rFonts w:ascii="Times New Roman" w:hAnsi="Times New Roman"/>
                <w:noProof/>
                <w:sz w:val="24"/>
              </w:rPr>
              <w:t>Lancer un outil de visualisation intégrant les données environnementales et les données relatives aux réseaux d’eau et d’énergie afin d’aider les États membres, dans leurs efforts d’aménagement du territoire, à recenser les zones les plus propices à une localisation gagnant-gagnant des activités commerciales à forte intensité d’eau.</w:t>
            </w:r>
          </w:p>
        </w:tc>
        <w:tc>
          <w:tcPr>
            <w:tcW w:w="1846" w:type="dxa"/>
          </w:tcPr>
          <w:p w14:paraId="60E4E535" w14:textId="0DC13389" w:rsidR="00367DDA" w:rsidRPr="0060399D" w:rsidRDefault="500ABE51" w:rsidP="00A9342C">
            <w:pPr>
              <w:jc w:val="center"/>
              <w:rPr>
                <w:rFonts w:ascii="Times New Roman" w:hAnsi="Times New Roman" w:cs="Times New Roman"/>
                <w:noProof/>
                <w:sz w:val="24"/>
                <w:szCs w:val="24"/>
              </w:rPr>
            </w:pPr>
            <w:r>
              <w:rPr>
                <w:rFonts w:ascii="Times New Roman" w:hAnsi="Times New Roman"/>
                <w:noProof/>
                <w:sz w:val="24"/>
              </w:rPr>
              <w:t>2027</w:t>
            </w:r>
          </w:p>
        </w:tc>
      </w:tr>
    </w:tbl>
    <w:p w14:paraId="2387E912" w14:textId="77777777" w:rsidR="00C62AE0" w:rsidRDefault="00C62AE0" w:rsidP="00C62AE0">
      <w:pPr>
        <w:pStyle w:val="Heading2"/>
        <w:spacing w:before="0"/>
        <w:rPr>
          <w:rFonts w:ascii="Times New Roman" w:hAnsi="Times New Roman" w:cs="Times New Roman"/>
          <w:b/>
          <w:noProof/>
          <w:color w:val="000000" w:themeColor="text1"/>
          <w:sz w:val="24"/>
          <w:szCs w:val="24"/>
        </w:rPr>
      </w:pPr>
    </w:p>
    <w:p w14:paraId="6E522A54" w14:textId="3EF3A183" w:rsidR="00EF6F10" w:rsidRPr="009F333A" w:rsidRDefault="003440AE" w:rsidP="00C62AE0">
      <w:pPr>
        <w:pStyle w:val="Heading2"/>
        <w:spacing w:after="240"/>
        <w:rPr>
          <w:rFonts w:ascii="Times New Roman" w:hAnsi="Times New Roman" w:cs="Times New Roman"/>
          <w:b/>
          <w:noProof/>
          <w:color w:val="000000" w:themeColor="text1"/>
          <w:sz w:val="24"/>
          <w:szCs w:val="24"/>
        </w:rPr>
      </w:pPr>
      <w:r>
        <w:rPr>
          <w:rFonts w:ascii="Times New Roman" w:hAnsi="Times New Roman"/>
          <w:b/>
          <w:noProof/>
          <w:color w:val="000000" w:themeColor="text1"/>
          <w:sz w:val="24"/>
        </w:rPr>
        <w:t>3.2</w:t>
      </w:r>
      <w:r>
        <w:rPr>
          <w:noProof/>
        </w:rPr>
        <w:tab/>
      </w:r>
      <w:r>
        <w:rPr>
          <w:rFonts w:ascii="Times New Roman" w:hAnsi="Times New Roman"/>
          <w:b/>
          <w:noProof/>
          <w:color w:val="000000" w:themeColor="text1"/>
          <w:sz w:val="24"/>
        </w:rPr>
        <w:t>Le financement, les investissements et les infrastructures pour parvenir à un approvisionnement stable</w:t>
      </w:r>
    </w:p>
    <w:p w14:paraId="596C272C" w14:textId="0811642C" w:rsidR="00943602" w:rsidRPr="00C62AE0" w:rsidRDefault="60BFAB94" w:rsidP="00C62AE0">
      <w:pPr>
        <w:spacing w:after="240" w:line="240" w:lineRule="auto"/>
        <w:jc w:val="both"/>
        <w:rPr>
          <w:rFonts w:ascii="Times New Roman" w:eastAsia="Times New Roman" w:hAnsi="Times New Roman" w:cs="Times New Roman"/>
          <w:noProof/>
        </w:rPr>
      </w:pPr>
      <w:r>
        <w:rPr>
          <w:rFonts w:ascii="Times New Roman" w:hAnsi="Times New Roman"/>
          <w:b/>
          <w:noProof/>
        </w:rPr>
        <w:t>En l’absence d’investissements publics et privés supplémentaires importants à toutes les étapes de la gestion de l’eau, les progrès vers la résilience dans le domaine de l’eau seront trop lents ou n’auront pas d’incidence significative.</w:t>
      </w:r>
      <w:r>
        <w:rPr>
          <w:rFonts w:ascii="Times New Roman" w:hAnsi="Times New Roman"/>
          <w:noProof/>
        </w:rPr>
        <w:t xml:space="preserve"> Les investissements annuels actuels en capital pour des mesures dans le domaine de l’eau (de l’UE, de la BEI et des budgets nationaux) s’élèvent à environ 55 milliards d’EUR (aux prix de 2022), ce qui révèle un déficit d’investissement annuel d’environ 23 milliards d’EUR par an (0,1 % du PIB de l’UE) pour mettre en œuvre la législation existante dans le domaine de l’eau</w:t>
      </w:r>
      <w:r>
        <w:rPr>
          <w:rStyle w:val="FootnoteReference"/>
          <w:rFonts w:ascii="Times New Roman" w:eastAsia="Times New Roman" w:hAnsi="Times New Roman" w:cs="Times New Roman"/>
          <w:noProof/>
        </w:rPr>
        <w:footnoteReference w:id="56"/>
      </w:r>
      <w:r>
        <w:rPr>
          <w:rFonts w:ascii="Times New Roman" w:hAnsi="Times New Roman"/>
          <w:noProof/>
        </w:rPr>
        <w:t>. Il s’agit notamment d’investissements visant à transformer la pluie en eau verte (stockée dans des écosystèmes terrestres) au moyen de solutions fondées sur la nature, et à transformer l’eau grise (utilisée dans les ensembles résidentiels urbains ou dans les processus industriels) en eau bleue (rivières et mers) afin de la rendre à nouveau compatible avec la nature. Les investissements doivent couvrir toutes les étapes de la gestion de l’eau et être planifiés de manière intégrée, en tenant compte des futurs scénarios climatiques et de l’évaluation des risques qui en résulteront.</w:t>
      </w:r>
      <w:r>
        <w:rPr>
          <w:rFonts w:ascii="Times New Roman" w:hAnsi="Times New Roman"/>
          <w:b/>
          <w:noProof/>
        </w:rPr>
        <w:t xml:space="preserve"> </w:t>
      </w:r>
      <w:r>
        <w:rPr>
          <w:rFonts w:ascii="Times New Roman" w:hAnsi="Times New Roman"/>
          <w:noProof/>
        </w:rPr>
        <w:t>Ils doivent également soutenir les nouvelles technologies liées à l’eau. Par exemple, les États membres peuvent utiliser les incitations prévues par la plateforme BlueInvest dans les secteurs bleus et le développement de technologies critiques liées à l’eau qui répondent aux exigences de la plateforme «Technologies stratégiques pour l’Europe» (STEP). Dans le même temps, les États membres doivent éviter les subventions qui peuvent avoir pour effet collatéral de nuire à l’environnement ou d’entraîner une utilisation non rationnelle de l’eau.</w:t>
      </w:r>
    </w:p>
    <w:p w14:paraId="783E0400" w14:textId="5FD72A29" w:rsidR="00943602" w:rsidRPr="00C62AE0" w:rsidRDefault="00DB6C0E" w:rsidP="00C62AE0">
      <w:pPr>
        <w:spacing w:after="240" w:line="240" w:lineRule="auto"/>
        <w:jc w:val="both"/>
        <w:rPr>
          <w:rFonts w:ascii="Times New Roman" w:eastAsia="Calibri" w:hAnsi="Times New Roman" w:cs="Times New Roman"/>
          <w:noProof/>
        </w:rPr>
      </w:pPr>
      <w:r>
        <w:rPr>
          <w:rFonts w:ascii="Times New Roman" w:hAnsi="Times New Roman"/>
          <w:b/>
          <w:bCs/>
          <w:noProof/>
        </w:rPr>
        <w:t>Lors du récent examen à mi-parcours de la politique de cohésion, la Commission a proposé un ensemble exceptionnel de mesures visant à encourager les États membres et les régions à investir dans la résilience dans le domaine de l’eau.</w:t>
      </w:r>
      <w:r>
        <w:rPr>
          <w:rFonts w:ascii="Times New Roman" w:hAnsi="Times New Roman"/>
          <w:noProof/>
        </w:rPr>
        <w:t xml:space="preserve"> Ce train de mesures comprend un financement de l’Union pouvant atteindre 100 % et un préfinancement égal à 30 % des investissements dans la résilience dans le domaine de l’eau</w:t>
      </w:r>
      <w:r>
        <w:rPr>
          <w:noProof/>
        </w:rPr>
        <w:t xml:space="preserve"> </w:t>
      </w:r>
      <w:r>
        <w:rPr>
          <w:rFonts w:ascii="Times New Roman" w:hAnsi="Times New Roman"/>
          <w:noProof/>
        </w:rPr>
        <w:t xml:space="preserve">programmés au titre de la priorité spécifique pour ce nouvel objectif spécifique, ainsi que diverses mesures de flexibilité. </w:t>
      </w:r>
    </w:p>
    <w:p w14:paraId="731EB42C" w14:textId="5C794E4C" w:rsidR="000F0844" w:rsidRPr="009F333A" w:rsidRDefault="00F979AB" w:rsidP="00C62AE0">
      <w:pPr>
        <w:spacing w:after="240" w:line="240" w:lineRule="auto"/>
        <w:jc w:val="both"/>
        <w:rPr>
          <w:rFonts w:ascii="Times New Roman" w:eastAsia="Times New Roman" w:hAnsi="Times New Roman" w:cs="Times New Roman"/>
          <w:noProof/>
        </w:rPr>
      </w:pPr>
      <w:r>
        <w:rPr>
          <w:rFonts w:ascii="Times New Roman" w:hAnsi="Times New Roman"/>
          <w:b/>
          <w:noProof/>
        </w:rPr>
        <w:t xml:space="preserve">Certains États membres éprouvent des difficultés à dépenser les fonds de l’UE disponibles en raison de l’absence de capacité administrative suffisante et de la présence d’obstacles juridiques ou organisationnels. </w:t>
      </w:r>
      <w:r>
        <w:rPr>
          <w:rFonts w:ascii="Times New Roman" w:hAnsi="Times New Roman"/>
          <w:noProof/>
        </w:rPr>
        <w:t xml:space="preserve">Il est nécessaire d’améliorer la capacité à réaliser des investissements dans la résilience dans le domaine de l’eau, en particulier dans les régions moins développées. Parallèlement à des réformes de la gouvernance de l’eau au niveau approprié, l’assistance technique peut contribuer à faire en sorte que les fonds disponibles de l’UE soient utilisés de la manière la plus efficace possible. </w:t>
      </w:r>
    </w:p>
    <w:p w14:paraId="33B7607B" w14:textId="34BD9207" w:rsidR="004437EF" w:rsidRPr="00C62AE0" w:rsidRDefault="00B46DEA" w:rsidP="00C62AE0">
      <w:pPr>
        <w:spacing w:after="240" w:line="240" w:lineRule="auto"/>
        <w:jc w:val="both"/>
        <w:rPr>
          <w:rFonts w:ascii="Times New Roman" w:eastAsia="Times New Roman" w:hAnsi="Times New Roman" w:cs="Times New Roman"/>
          <w:noProof/>
        </w:rPr>
      </w:pPr>
      <w:r>
        <w:rPr>
          <w:rFonts w:ascii="Times New Roman" w:hAnsi="Times New Roman"/>
          <w:b/>
          <w:noProof/>
        </w:rPr>
        <w:t>Les fonds de l’UE disponibles devraient être rapidement mobilisés pour des investissements visant à réduire les fuites au moyen d’outils numériques, de systèmes intelligents de mesure et de technologies renforçant l’utilisation rationnelle de l’eau</w:t>
      </w:r>
      <w:r>
        <w:rPr>
          <w:rFonts w:ascii="Times New Roman" w:hAnsi="Times New Roman"/>
          <w:noProof/>
        </w:rPr>
        <w:t xml:space="preserve">. Ces investissements nécessitent une planification moins complexe que les grands projets dans le domaine de l’eau. La Commission élaborera des orientations à l’intention des États membres pour des projets pilotes («plug and play») dans ces domaines afin de simplifier et de rationaliser les procédures. </w:t>
      </w:r>
    </w:p>
    <w:p w14:paraId="63F11456" w14:textId="38B28998" w:rsidR="002857B6" w:rsidRDefault="002857B6" w:rsidP="00C62AE0">
      <w:pPr>
        <w:spacing w:after="240" w:line="240" w:lineRule="auto"/>
        <w:jc w:val="both"/>
        <w:rPr>
          <w:rFonts w:ascii="Times New Roman" w:eastAsia="Times New Roman" w:hAnsi="Times New Roman" w:cs="Times New Roman"/>
          <w:b/>
          <w:bCs/>
          <w:noProof/>
        </w:rPr>
      </w:pPr>
      <w:r>
        <w:rPr>
          <w:rFonts w:ascii="Times New Roman" w:hAnsi="Times New Roman"/>
          <w:b/>
          <w:noProof/>
        </w:rPr>
        <w:t xml:space="preserve">Le prochain cadre financier pluriannuel (CFP) est l’occasion de continuer à soutenir la résilience dans le domaine de l’eau au moyen d’investissements et de réformes. </w:t>
      </w:r>
      <w:r>
        <w:rPr>
          <w:rFonts w:ascii="Times New Roman" w:hAnsi="Times New Roman"/>
          <w:noProof/>
        </w:rPr>
        <w:t>Dans le cadre des accords de partenariat nationaux et régionaux, les États membres pourraient aborder des domaines tels que l’amélioration de la gouvernance, de l’évaluation des risques et de la préparation aux catastrophes, le renforcement de l’utilisation rationnelle de l’eau et de sa réutilisation, la recherche prioritaire de la réduction de la demande et le renforcement des contrôles. En outre, la Commission encouragera les États membres à coopérer dans le cadre d’une initiative relative aux corridors verts et bleus afin de soutenir la restauration des environnements et des infrastructures écologiques, notamment les rivières, les zones humides et les côtes.</w:t>
      </w:r>
      <w:r>
        <w:rPr>
          <w:rFonts w:ascii="Times New Roman" w:hAnsi="Times New Roman"/>
          <w:b/>
          <w:noProof/>
        </w:rPr>
        <w:t xml:space="preserve"> </w:t>
      </w:r>
    </w:p>
    <w:p w14:paraId="2200D297" w14:textId="3A12888C" w:rsidR="00BE67A8" w:rsidRPr="009F333A" w:rsidRDefault="00E5091A" w:rsidP="00C62AE0">
      <w:pPr>
        <w:spacing w:after="240" w:line="240" w:lineRule="auto"/>
        <w:jc w:val="both"/>
        <w:rPr>
          <w:rFonts w:ascii="Times New Roman" w:eastAsia="Times New Roman" w:hAnsi="Times New Roman" w:cs="Times New Roman"/>
          <w:noProof/>
        </w:rPr>
      </w:pPr>
      <w:r>
        <w:rPr>
          <w:rFonts w:ascii="Times New Roman" w:hAnsi="Times New Roman"/>
          <w:b/>
          <w:noProof/>
        </w:rPr>
        <w:t xml:space="preserve">Par ailleurs, la Commission renforce sa coopération avec le Groupe Banque européenne d’investissement (BEI) </w:t>
      </w:r>
      <w:r>
        <w:rPr>
          <w:rFonts w:ascii="Times New Roman" w:hAnsi="Times New Roman"/>
          <w:noProof/>
        </w:rPr>
        <w:t xml:space="preserve">afin d’accroître les investissements publics et privés dans le domaine de l’eau, tant dans l’UE qu’à l’échelle mondiale. Le groupe BEI, qui est déjà le plus grand bailleur de fonds mondial dans le secteur de l’eau, a mis au point un programme pour l'eau visant à soutenir la stratégie de la Commission pour la résilience dans le domaine de l’eau. Il prévoit d’octroyer plus de 15 milliards d’EUR de financements entre 2025 et 2027 à des projets visant à améliorer l’accès à l’eau, la lutte contre la pollution, la résilience et la compétitivité du secteur de l’eau de l’UE, notamment grâce à de grandes infrastructures et à des solutions fondées sur la nature. En outre, la Commission et la Banque européenne d’investissement uniront leurs forces pour remédier aux goulets d’étranglement qui entravent le déploiement des investissements dans le secteur de l’eau. Il s’agira notamment de proposer un nouveau mécanisme de conseil pour une eau durable afin de financer l’assistance technique fournie par la BEI pour la constitution d’une réserve de projets et de mieux quantifier les besoins de financement et les solutions possibles pour faciliter les investissements dans le secteur de l’eau. </w:t>
      </w:r>
    </w:p>
    <w:p w14:paraId="6D1B373C" w14:textId="381D100E" w:rsidR="00227156" w:rsidRPr="00C62AE0" w:rsidRDefault="009A2079" w:rsidP="00C62AE0">
      <w:pPr>
        <w:spacing w:after="240" w:line="240" w:lineRule="auto"/>
        <w:jc w:val="both"/>
        <w:rPr>
          <w:rFonts w:ascii="Times New Roman" w:eastAsia="Times New Roman" w:hAnsi="Times New Roman" w:cs="Times New Roman"/>
          <w:noProof/>
        </w:rPr>
      </w:pPr>
      <w:r>
        <w:rPr>
          <w:rFonts w:ascii="Times New Roman" w:hAnsi="Times New Roman"/>
          <w:b/>
          <w:noProof/>
        </w:rPr>
        <w:t>Les investissements privés devront être considérablement intensifiés</w:t>
      </w:r>
      <w:r>
        <w:rPr>
          <w:rFonts w:ascii="Times New Roman" w:hAnsi="Times New Roman"/>
          <w:noProof/>
        </w:rPr>
        <w:t xml:space="preserve">. La coopération avec les institutions financières peut permettre de mobiliser davantage de financements privés en faveur de la résilience dans le domaine de l’eau au moyen d’approches de financement mixte, de modèles innovants tels que l’eau en tant que service et d’écosystèmes structurés pour les obligations vertes et bleues. La mise en place de récompenses pour les systèmes de services écosystémiques peut également favoriser la création des marchés nécessaires. La Commission adoptera une feuille de route pour les crédits «nature» afin d’exploiter le potentiel de ces instruments et d’encourager l’expansion de ces marchés. En outre, le cadre simplifié de l’UE en matière de finance durable et le déploiement de l’union de l’épargne et des investissements visent à accroître les possibilités de financement pour les entreprises de l’UE, notamment dans le secteur de l’eau. </w:t>
      </w:r>
    </w:p>
    <w:p w14:paraId="5044F729" w14:textId="77735E7E" w:rsidR="008A523E" w:rsidRPr="00B723FC" w:rsidRDefault="00227156" w:rsidP="00BE7C07">
      <w:pPr>
        <w:spacing w:after="240" w:line="240" w:lineRule="auto"/>
        <w:jc w:val="both"/>
        <w:rPr>
          <w:rFonts w:ascii="Times New Roman" w:hAnsi="Times New Roman"/>
          <w:noProof/>
        </w:rPr>
      </w:pPr>
      <w:r>
        <w:rPr>
          <w:rFonts w:ascii="Times New Roman" w:hAnsi="Times New Roman"/>
          <w:b/>
          <w:noProof/>
        </w:rPr>
        <w:t>Les perturbations dues au climat renforcent les arguments économiques en faveur des investissements dans le domaine de l’eau, et des approches innovantes peuvent contribuer à débloquer d’importants investissements privés</w:t>
      </w:r>
      <w:r>
        <w:rPr>
          <w:rFonts w:ascii="Times New Roman" w:hAnsi="Times New Roman"/>
          <w:noProof/>
        </w:rPr>
        <w:t xml:space="preserve">. L’eau est de plus en plus reconnue comme un facteur financier important pour les entreprises, les investisseurs et les pouvoirs publics. </w:t>
      </w:r>
      <w:bookmarkStart w:id="7" w:name="_Hlk197326521"/>
      <w:r>
        <w:rPr>
          <w:rFonts w:ascii="Times New Roman" w:hAnsi="Times New Roman"/>
          <w:noProof/>
        </w:rPr>
        <w:t>Toutefois, il existe des obstacles majeurs aux investissements privés dans le domaine de l’eau, qui nécessitent souvent une coopération étroite entre différentes parties prenantes, notamment pour surmonter les problèmes liés au parasitisme. La Commission mettra en place un accélérateur d’investissements pour la résilience dans le domaine de l’eau afin de mettre en œuvre 20 projets pilotes innovants en matière de rétention naturelle de l’eau et d’utilisation rationnelle de l’eau, réunissant des investisseurs locaux dans le domaine de l’eau, des fournisseurs de solutions et des acteurs confrontés à des problèmes afin d’inspirer des actions similaires dans l’ensemble de l’UE. Cette initiative pourrait également s’appuyer sur les réseaux de laboratoires vivants établis, par exemple, dans le cadre de partenariats européens et de missions. Afin de relever le défi croissant consistant à assurer les pertes économiques causées par des catastrophes naturelles, y compris des catastrophes liées à l’eau dans l’UE, la Commission étudiera des solutions possibles pour réduire le déficit de protection des assurances, en donnant suite aux propositions de la Banque centrale européenne et de l’Autorité européenne des assurances et des pensions professionnelles</w:t>
      </w:r>
      <w:r>
        <w:rPr>
          <w:rStyle w:val="FootnoteReference"/>
          <w:rFonts w:ascii="Times New Roman" w:hAnsi="Times New Roman"/>
          <w:noProof/>
        </w:rPr>
        <w:footnoteReference w:id="57"/>
      </w:r>
      <w:r>
        <w:rPr>
          <w:noProof/>
        </w:rPr>
        <w:t>.</w:t>
      </w:r>
      <w:bookmarkEnd w:id="7"/>
      <w:r>
        <w:rPr>
          <w:rFonts w:ascii="Times New Roman" w:hAnsi="Times New Roman"/>
          <w:noProof/>
        </w:rPr>
        <w:t xml:space="preserve"> Les mesures incitatives visant à améliorer l’information, la tarification et le contrôle de l’eau utilisée (voir section 2.3) contribueront également à rendre les arguments économiques en faveur des investissements dans le domaine de l’eau plus attrayants, y compris dans des secteurs fortement dépendants de l’eau et de plus en plus vulnérables à sa rareté, tels que ceux de l’agriculture, de l’aquaculture et de l’énergie.</w:t>
      </w:r>
    </w:p>
    <w:tbl>
      <w:tblPr>
        <w:tblStyle w:val="TableGrid"/>
        <w:tblW w:w="0" w:type="auto"/>
        <w:tblLook w:val="04A0" w:firstRow="1" w:lastRow="0" w:firstColumn="1" w:lastColumn="0" w:noHBand="0" w:noVBand="1"/>
      </w:tblPr>
      <w:tblGrid>
        <w:gridCol w:w="7508"/>
        <w:gridCol w:w="1508"/>
      </w:tblGrid>
      <w:tr w:rsidR="491A941D" w:rsidRPr="009F333A" w14:paraId="6E1F0827" w14:textId="77777777" w:rsidTr="1D1BF648">
        <w:trPr>
          <w:trHeight w:val="300"/>
        </w:trPr>
        <w:tc>
          <w:tcPr>
            <w:tcW w:w="7508" w:type="dxa"/>
            <w:shd w:val="clear" w:color="auto" w:fill="A5C9EB" w:themeFill="text2" w:themeFillTint="40"/>
          </w:tcPr>
          <w:p w14:paraId="03ED0E55" w14:textId="3E90B802" w:rsidR="2A9C6A92" w:rsidRPr="009F333A" w:rsidRDefault="491A941D" w:rsidP="491A941D">
            <w:pPr>
              <w:pStyle w:val="paragraph"/>
              <w:spacing w:before="0" w:beforeAutospacing="0" w:after="0" w:afterAutospacing="0"/>
              <w:jc w:val="center"/>
              <w:rPr>
                <w:b/>
                <w:bCs/>
                <w:noProof/>
                <w:sz w:val="24"/>
                <w:szCs w:val="24"/>
              </w:rPr>
            </w:pPr>
            <w:r>
              <w:rPr>
                <w:b/>
                <w:noProof/>
                <w:sz w:val="24"/>
              </w:rPr>
              <w:t>Actions phares — Le financement, les investissements et les infrastructures pour parvenir à un approvisionnement stable</w:t>
            </w:r>
          </w:p>
        </w:tc>
        <w:tc>
          <w:tcPr>
            <w:tcW w:w="1508" w:type="dxa"/>
            <w:shd w:val="clear" w:color="auto" w:fill="A5C9EB" w:themeFill="text2" w:themeFillTint="40"/>
          </w:tcPr>
          <w:p w14:paraId="157BC3A7" w14:textId="768A7A48" w:rsidR="491A941D" w:rsidRPr="009F333A" w:rsidRDefault="491A941D" w:rsidP="491A941D">
            <w:pPr>
              <w:pStyle w:val="paragraph"/>
              <w:spacing w:before="0" w:beforeAutospacing="0" w:after="0" w:afterAutospacing="0"/>
              <w:jc w:val="center"/>
              <w:rPr>
                <w:rFonts w:eastAsia="Calibri"/>
                <w:b/>
                <w:bCs/>
                <w:noProof/>
                <w:sz w:val="24"/>
                <w:szCs w:val="24"/>
              </w:rPr>
            </w:pPr>
            <w:r>
              <w:rPr>
                <w:b/>
                <w:noProof/>
                <w:sz w:val="24"/>
              </w:rPr>
              <w:t>Calendrier</w:t>
            </w:r>
          </w:p>
        </w:tc>
      </w:tr>
      <w:tr w:rsidR="491A941D" w:rsidRPr="0061109A" w14:paraId="0BE61F5A" w14:textId="77777777" w:rsidTr="0061109A">
        <w:trPr>
          <w:trHeight w:val="940"/>
        </w:trPr>
        <w:tc>
          <w:tcPr>
            <w:tcW w:w="7508" w:type="dxa"/>
          </w:tcPr>
          <w:p w14:paraId="7E71C47D" w14:textId="3CCD4910" w:rsidR="491A941D" w:rsidRPr="0061109A" w:rsidRDefault="003467F3" w:rsidP="0061109A">
            <w:pPr>
              <w:spacing w:line="259" w:lineRule="auto"/>
              <w:jc w:val="both"/>
              <w:rPr>
                <w:rFonts w:ascii="Times New Roman" w:hAnsi="Times New Roman" w:cs="Times New Roman"/>
                <w:noProof/>
                <w:sz w:val="24"/>
                <w:szCs w:val="24"/>
              </w:rPr>
            </w:pPr>
            <w:r>
              <w:rPr>
                <w:rFonts w:ascii="Times New Roman" w:hAnsi="Times New Roman"/>
                <w:noProof/>
                <w:sz w:val="24"/>
              </w:rPr>
              <w:t>Lancement du programme de la BEI pour l’eau et du mécanisme de conseil pour une eau durable, en coopération avec la Commission, afin de renforcer l’assistance aux emprunteurs potentiels, en augmentant la réserve de projets.</w:t>
            </w:r>
          </w:p>
        </w:tc>
        <w:tc>
          <w:tcPr>
            <w:tcW w:w="1508" w:type="dxa"/>
          </w:tcPr>
          <w:p w14:paraId="10CD31FA" w14:textId="3F9F70B6" w:rsidR="4C37FDE5" w:rsidRPr="00D4626B" w:rsidRDefault="006A4D7E" w:rsidP="00D4626B">
            <w:pPr>
              <w:pStyle w:val="paragraph"/>
              <w:spacing w:before="0" w:beforeAutospacing="0" w:after="0" w:afterAutospacing="0"/>
              <w:jc w:val="center"/>
              <w:rPr>
                <w:rFonts w:eastAsia="Calibri"/>
                <w:noProof/>
                <w:sz w:val="24"/>
                <w:szCs w:val="24"/>
              </w:rPr>
            </w:pPr>
            <w:r>
              <w:rPr>
                <w:noProof/>
                <w:sz w:val="24"/>
              </w:rPr>
              <w:t xml:space="preserve">2025 </w:t>
            </w:r>
          </w:p>
        </w:tc>
      </w:tr>
      <w:tr w:rsidR="00712E77" w:rsidRPr="0061109A" w14:paraId="6A0D2F05" w14:textId="77777777" w:rsidTr="0061109A">
        <w:trPr>
          <w:trHeight w:val="557"/>
        </w:trPr>
        <w:tc>
          <w:tcPr>
            <w:tcW w:w="7508" w:type="dxa"/>
          </w:tcPr>
          <w:p w14:paraId="3DB8F97C" w14:textId="3E492F68" w:rsidR="00712E77" w:rsidRPr="0061109A" w:rsidRDefault="00734F0B" w:rsidP="0061109A">
            <w:pPr>
              <w:spacing w:line="259" w:lineRule="auto"/>
              <w:jc w:val="both"/>
              <w:rPr>
                <w:rFonts w:ascii="Times New Roman" w:hAnsi="Times New Roman" w:cs="Times New Roman"/>
                <w:noProof/>
                <w:sz w:val="24"/>
                <w:szCs w:val="24"/>
              </w:rPr>
            </w:pPr>
            <w:r>
              <w:rPr>
                <w:rFonts w:ascii="Times New Roman" w:hAnsi="Times New Roman"/>
                <w:noProof/>
                <w:sz w:val="24"/>
              </w:rPr>
              <w:t>Aider les États membres et les régions à réorienter les fonds de la politique de cohésion vers la résilience dans le domaine de l’eau dans le cadre de l’examen à mi-parcours.</w:t>
            </w:r>
          </w:p>
        </w:tc>
        <w:tc>
          <w:tcPr>
            <w:tcW w:w="1508" w:type="dxa"/>
          </w:tcPr>
          <w:p w14:paraId="7C47D040" w14:textId="293319CC" w:rsidR="00712E77" w:rsidRPr="00D4626B" w:rsidRDefault="00734F0B" w:rsidP="00D4626B">
            <w:pPr>
              <w:pStyle w:val="paragraph"/>
              <w:spacing w:before="0" w:beforeAutospacing="0" w:after="0" w:afterAutospacing="0"/>
              <w:jc w:val="center"/>
              <w:rPr>
                <w:rFonts w:eastAsia="Calibri"/>
                <w:noProof/>
                <w:sz w:val="24"/>
                <w:szCs w:val="24"/>
              </w:rPr>
            </w:pPr>
            <w:r>
              <w:rPr>
                <w:noProof/>
                <w:sz w:val="24"/>
              </w:rPr>
              <w:t>2025</w:t>
            </w:r>
          </w:p>
        </w:tc>
      </w:tr>
      <w:tr w:rsidR="491A941D" w:rsidRPr="0061109A" w14:paraId="4637B51C" w14:textId="77777777" w:rsidTr="0061109A">
        <w:trPr>
          <w:trHeight w:val="240"/>
        </w:trPr>
        <w:tc>
          <w:tcPr>
            <w:tcW w:w="7508" w:type="dxa"/>
          </w:tcPr>
          <w:p w14:paraId="5F2A3250" w14:textId="5755F736" w:rsidR="4C37FDE5" w:rsidRPr="0061109A" w:rsidRDefault="3D959856" w:rsidP="1D1BF648">
            <w:pPr>
              <w:spacing w:line="259" w:lineRule="auto"/>
              <w:jc w:val="both"/>
              <w:rPr>
                <w:rFonts w:ascii="Times New Roman" w:hAnsi="Times New Roman" w:cs="Times New Roman"/>
                <w:noProof/>
                <w:sz w:val="24"/>
                <w:szCs w:val="24"/>
              </w:rPr>
            </w:pPr>
            <w:r>
              <w:rPr>
                <w:rFonts w:ascii="Times New Roman" w:hAnsi="Times New Roman"/>
                <w:noProof/>
                <w:sz w:val="24"/>
              </w:rPr>
              <w:t>Mettre en place un accélérateur d’investissements pour la résilience dans le domaine de l’eau.</w:t>
            </w:r>
          </w:p>
        </w:tc>
        <w:tc>
          <w:tcPr>
            <w:tcW w:w="1508" w:type="dxa"/>
          </w:tcPr>
          <w:p w14:paraId="581C3B21" w14:textId="6B07D63A" w:rsidR="4C37FDE5" w:rsidRPr="00D4626B" w:rsidRDefault="4C37FDE5" w:rsidP="00D4626B">
            <w:pPr>
              <w:pStyle w:val="paragraph"/>
              <w:spacing w:before="0" w:beforeAutospacing="0" w:after="0" w:afterAutospacing="0"/>
              <w:jc w:val="center"/>
              <w:rPr>
                <w:rFonts w:eastAsia="Calibri"/>
                <w:noProof/>
                <w:sz w:val="24"/>
                <w:szCs w:val="24"/>
              </w:rPr>
            </w:pPr>
            <w:r>
              <w:rPr>
                <w:noProof/>
                <w:sz w:val="24"/>
              </w:rPr>
              <w:t>2026-2027</w:t>
            </w:r>
          </w:p>
        </w:tc>
      </w:tr>
      <w:tr w:rsidR="00C60DAB" w:rsidRPr="009F333A" w14:paraId="5ED77B03" w14:textId="77777777" w:rsidTr="1D1BF648">
        <w:trPr>
          <w:trHeight w:val="300"/>
        </w:trPr>
        <w:tc>
          <w:tcPr>
            <w:tcW w:w="7508" w:type="dxa"/>
          </w:tcPr>
          <w:p w14:paraId="69145C68" w14:textId="68277D46" w:rsidR="00C60DAB" w:rsidRPr="0061109A" w:rsidRDefault="00C60DAB" w:rsidP="002F71BB">
            <w:pPr>
              <w:spacing w:line="259" w:lineRule="auto"/>
              <w:jc w:val="both"/>
              <w:rPr>
                <w:rFonts w:ascii="Times New Roman" w:eastAsia="Times New Roman" w:hAnsi="Times New Roman" w:cs="Times New Roman"/>
                <w:noProof/>
                <w:sz w:val="24"/>
                <w:szCs w:val="24"/>
              </w:rPr>
            </w:pPr>
            <w:r>
              <w:rPr>
                <w:rFonts w:ascii="Times New Roman" w:hAnsi="Times New Roman"/>
                <w:noProof/>
                <w:sz w:val="24"/>
              </w:rPr>
              <w:t xml:space="preserve">Lancer une initiative relative aux corridors verts et bleus afin de soutenir la restauration des environnements et des infrastructures écologiques, notamment les rivières, les zones humides et les côtes, pour restaurer le cycle de l’eau grâce à une approche de la source à la mer. </w:t>
            </w:r>
          </w:p>
        </w:tc>
        <w:tc>
          <w:tcPr>
            <w:tcW w:w="1508" w:type="dxa"/>
          </w:tcPr>
          <w:p w14:paraId="4D29FCE3" w14:textId="0A5A8D20" w:rsidR="00C60DAB" w:rsidRPr="00D4626B" w:rsidRDefault="00833F63" w:rsidP="00D4626B">
            <w:pPr>
              <w:pStyle w:val="paragraph"/>
              <w:spacing w:before="0" w:beforeAutospacing="0" w:after="0" w:afterAutospacing="0"/>
              <w:jc w:val="center"/>
              <w:rPr>
                <w:rFonts w:eastAsia="Calibri"/>
                <w:noProof/>
                <w:sz w:val="24"/>
                <w:szCs w:val="24"/>
              </w:rPr>
            </w:pPr>
            <w:r>
              <w:rPr>
                <w:noProof/>
                <w:sz w:val="24"/>
              </w:rPr>
              <w:t>2027</w:t>
            </w:r>
          </w:p>
        </w:tc>
      </w:tr>
      <w:tr w:rsidR="00367DDA" w:rsidRPr="0060399D" w14:paraId="7F14E949" w14:textId="77777777" w:rsidTr="00D57C4B">
        <w:trPr>
          <w:trHeight w:val="300"/>
        </w:trPr>
        <w:tc>
          <w:tcPr>
            <w:tcW w:w="7508" w:type="dxa"/>
            <w:shd w:val="clear" w:color="auto" w:fill="auto"/>
          </w:tcPr>
          <w:p w14:paraId="5461586A" w14:textId="53878972" w:rsidR="00367DDA" w:rsidRPr="0060399D" w:rsidRDefault="00B013F3" w:rsidP="00D57C4B">
            <w:pPr>
              <w:spacing w:line="259" w:lineRule="auto"/>
              <w:jc w:val="both"/>
              <w:rPr>
                <w:rFonts w:ascii="Times New Roman" w:hAnsi="Times New Roman" w:cs="Times New Roman"/>
                <w:noProof/>
                <w:sz w:val="24"/>
                <w:szCs w:val="24"/>
              </w:rPr>
            </w:pPr>
            <w:r>
              <w:rPr>
                <w:rFonts w:ascii="Times New Roman" w:hAnsi="Times New Roman"/>
                <w:noProof/>
                <w:sz w:val="24"/>
              </w:rPr>
              <w:t>Adopter une feuille de route pour les crédits «nature» afin d’exploiter le potentiel de ces instruments et d’encourager l’expansion de ces marchés.</w:t>
            </w:r>
          </w:p>
        </w:tc>
        <w:tc>
          <w:tcPr>
            <w:tcW w:w="1508" w:type="dxa"/>
            <w:shd w:val="clear" w:color="auto" w:fill="auto"/>
          </w:tcPr>
          <w:p w14:paraId="3589B5EC" w14:textId="12AD7FB8" w:rsidR="00367DDA" w:rsidRPr="00D4626B" w:rsidRDefault="00D206BD" w:rsidP="00D4626B">
            <w:pPr>
              <w:pStyle w:val="paragraph"/>
              <w:spacing w:before="0" w:beforeAutospacing="0" w:after="0" w:afterAutospacing="0"/>
              <w:jc w:val="center"/>
              <w:rPr>
                <w:rFonts w:eastAsia="Calibri"/>
                <w:noProof/>
                <w:sz w:val="24"/>
                <w:szCs w:val="24"/>
              </w:rPr>
            </w:pPr>
            <w:r>
              <w:rPr>
                <w:noProof/>
                <w:sz w:val="24"/>
              </w:rPr>
              <w:t>2025</w:t>
            </w:r>
          </w:p>
        </w:tc>
      </w:tr>
    </w:tbl>
    <w:p w14:paraId="48CBF4ED" w14:textId="29F0BBC9" w:rsidR="491A941D" w:rsidRPr="009F333A" w:rsidRDefault="491A941D" w:rsidP="00B723FC">
      <w:pPr>
        <w:spacing w:after="240" w:line="240" w:lineRule="auto"/>
        <w:jc w:val="both"/>
        <w:rPr>
          <w:noProof/>
        </w:rPr>
      </w:pPr>
    </w:p>
    <w:p w14:paraId="338ABE41" w14:textId="74AA3D05" w:rsidR="00B8215F" w:rsidRPr="009F333A" w:rsidRDefault="00215AE8" w:rsidP="00B723FC">
      <w:pPr>
        <w:pStyle w:val="Heading2"/>
        <w:spacing w:before="0" w:after="240" w:line="240" w:lineRule="auto"/>
        <w:ind w:left="720" w:hanging="720"/>
        <w:jc w:val="both"/>
        <w:rPr>
          <w:rFonts w:ascii="Times New Roman" w:hAnsi="Times New Roman" w:cs="Times New Roman"/>
          <w:b/>
          <w:bCs/>
          <w:noProof/>
          <w:color w:val="auto"/>
          <w:sz w:val="24"/>
          <w:szCs w:val="24"/>
        </w:rPr>
      </w:pPr>
      <w:r>
        <w:rPr>
          <w:rFonts w:ascii="Times New Roman" w:hAnsi="Times New Roman"/>
          <w:b/>
          <w:noProof/>
          <w:color w:val="auto"/>
          <w:sz w:val="24"/>
        </w:rPr>
        <w:t>3.3</w:t>
      </w:r>
      <w:r>
        <w:rPr>
          <w:noProof/>
        </w:rPr>
        <w:tab/>
      </w:r>
      <w:r>
        <w:rPr>
          <w:rFonts w:ascii="Times New Roman" w:hAnsi="Times New Roman"/>
          <w:b/>
          <w:noProof/>
          <w:color w:val="auto"/>
          <w:sz w:val="24"/>
        </w:rPr>
        <w:t>La numérisation et l’intelligence artificielle pour accélérer et simplifier la bonne gestion de l’eau</w:t>
      </w:r>
    </w:p>
    <w:p w14:paraId="78F7A936" w14:textId="07085532" w:rsidR="00E36A23" w:rsidRPr="009F333A" w:rsidRDefault="00E36A23" w:rsidP="00B723FC">
      <w:pPr>
        <w:spacing w:after="240" w:line="240" w:lineRule="auto"/>
        <w:jc w:val="both"/>
        <w:rPr>
          <w:rFonts w:ascii="Times New Roman" w:hAnsi="Times New Roman" w:cs="Times New Roman"/>
          <w:noProof/>
        </w:rPr>
      </w:pPr>
      <w:r>
        <w:rPr>
          <w:rFonts w:ascii="Times New Roman" w:hAnsi="Times New Roman"/>
          <w:b/>
          <w:noProof/>
        </w:rPr>
        <w:t>La numérisation recèle un potentiel important pour révolutionner la gestion de l’eau</w:t>
      </w:r>
      <w:r>
        <w:rPr>
          <w:rFonts w:ascii="Times New Roman" w:hAnsi="Times New Roman"/>
          <w:noProof/>
        </w:rPr>
        <w:t xml:space="preserve"> </w:t>
      </w:r>
      <w:r>
        <w:rPr>
          <w:rFonts w:ascii="Times New Roman" w:hAnsi="Times New Roman"/>
          <w:b/>
          <w:noProof/>
        </w:rPr>
        <w:t xml:space="preserve">et promouvoir son utilisation durable. </w:t>
      </w:r>
      <w:r>
        <w:rPr>
          <w:rFonts w:ascii="Times New Roman" w:hAnsi="Times New Roman"/>
          <w:noProof/>
        </w:rPr>
        <w:t>Elle permettra de disposer d’informations en temps utile pour améliorer l’élaboration des politiques ainsi que la conception et l’exploitation des infrastructures et des services liés à l’eau. De nombreuses solutions numériques, dont l’intelligence artificielle, sont disponibles sur le marché</w:t>
      </w:r>
      <w:r>
        <w:rPr>
          <w:rStyle w:val="FootnoteReference"/>
          <w:rFonts w:ascii="Times New Roman" w:hAnsi="Times New Roman" w:cs="Times New Roman"/>
          <w:noProof/>
        </w:rPr>
        <w:footnoteReference w:id="58"/>
      </w:r>
      <w:r>
        <w:rPr>
          <w:rFonts w:ascii="Times New Roman" w:hAnsi="Times New Roman"/>
          <w:noProof/>
        </w:rPr>
        <w:t xml:space="preserve">. Cependant, leur adoption reste trop lente et inégale. </w:t>
      </w:r>
    </w:p>
    <w:p w14:paraId="135874B6" w14:textId="14747253" w:rsidR="00E36A23" w:rsidRPr="009F333A" w:rsidRDefault="587E4FF8" w:rsidP="00B723FC">
      <w:pPr>
        <w:spacing w:after="240" w:line="240" w:lineRule="auto"/>
        <w:jc w:val="both"/>
        <w:rPr>
          <w:rFonts w:ascii="Times New Roman" w:hAnsi="Times New Roman" w:cs="Times New Roman"/>
          <w:noProof/>
        </w:rPr>
      </w:pPr>
      <w:r>
        <w:rPr>
          <w:rFonts w:ascii="Times New Roman" w:hAnsi="Times New Roman"/>
          <w:b/>
          <w:noProof/>
        </w:rPr>
        <w:t>Afin de libérer ce potentiel largement inexploité, et en s’appuyant sur les prochaines communications sur la stratégie pour l’union des données et sur la stratégie «Appliquer l’IA», la Commission adoptera un plan d’action visant à relever les défis spécifiques du secteur de l’eau</w:t>
      </w:r>
      <w:r>
        <w:rPr>
          <w:rFonts w:ascii="Times New Roman" w:hAnsi="Times New Roman"/>
          <w:noProof/>
        </w:rPr>
        <w:t>, tels que les systèmes analogiques et vieillissants et les ensembles de données très volumineux dispersés dans de nombreux répertoires différents. Ce plan d’action s’articulera autour de deux grands piliers: i) le déploiement de solutions numériques grâce à des financements et au partage des connaissances afin de renforcer les compétences numériques et d’encourager le transfert de technologies dans le secteur de l’eau; et ii) le soutien au partage des données relatives à l’eau en favorisant le développement de portails de données nationaux afin de remédier à la fragmentation et de rendre les données facilement consultables, accessibles gratuitement, interopérables et réutilisables, conformément aux exigences de la directive sur les données ouvertes</w:t>
      </w:r>
      <w:r>
        <w:rPr>
          <w:rStyle w:val="FootnoteReference"/>
          <w:rFonts w:ascii="Times New Roman" w:hAnsi="Times New Roman" w:cs="Times New Roman"/>
          <w:noProof/>
        </w:rPr>
        <w:footnoteReference w:id="59"/>
      </w:r>
      <w:r>
        <w:rPr>
          <w:rFonts w:ascii="Times New Roman" w:hAnsi="Times New Roman"/>
          <w:noProof/>
        </w:rPr>
        <w:t xml:space="preserve">. </w:t>
      </w:r>
    </w:p>
    <w:p w14:paraId="755F37BA" w14:textId="5F648F40" w:rsidR="00E36A23" w:rsidRPr="00B723FC" w:rsidRDefault="001824B7" w:rsidP="00B723FC">
      <w:pPr>
        <w:spacing w:after="240" w:line="240" w:lineRule="auto"/>
        <w:jc w:val="both"/>
        <w:rPr>
          <w:rFonts w:ascii="Times New Roman" w:hAnsi="Times New Roman" w:cs="Times New Roman"/>
          <w:noProof/>
        </w:rPr>
      </w:pPr>
      <w:r>
        <w:rPr>
          <w:rFonts w:ascii="Times New Roman" w:hAnsi="Times New Roman"/>
          <w:b/>
          <w:noProof/>
        </w:rPr>
        <w:t>Un «guichet unique» des produits d’observation de la Terre pertinents pour la gestion de l’eau rendra la gestion de l’eau depuis l’espace facilement accessible à tous</w:t>
      </w:r>
      <w:r>
        <w:rPr>
          <w:rFonts w:ascii="Times New Roman" w:hAnsi="Times New Roman"/>
          <w:noProof/>
        </w:rPr>
        <w:t xml:space="preserve">. Si l’observation de la Terre est utilisée depuis des décennies pour prévoir les sécheresses et les inondations, son utilisation quotidienne pour la gestion de l’eau est beaucoup moins répandue. Copernicus et ses six services spécialisés fournissent un large éventail de produits liés à l’eau disponibles sur la base d’un accès total, gratuit et ouvert. Or, ces informations sont dispersées. La Commission mettra en place un «guichet unique» des produits d’observation de la Terre pertinents pour la gestion de l’eau — un pôle thématique sur l’eau — afin de rassembler les données, produits et outils de Copernicus liés à l’eau et de faciliter l’accès à ces données et leur utilisation. Elle encouragera la collaboration entre les communautés d’observation de la Terre et de gestion de l’eau, en partenariat avec le centre de connaissances sur l’observation de la Terre du Centre commun de recherche, en veillant à ce que les produits de Copernicus répondent aux besoins des utilisateurs et des décideurs politiques. </w:t>
      </w:r>
    </w:p>
    <w:p w14:paraId="064CB1C0" w14:textId="72621D52" w:rsidR="00E36A23" w:rsidRPr="009F333A" w:rsidRDefault="12FAE12F" w:rsidP="00B723FC">
      <w:pPr>
        <w:spacing w:after="240" w:line="240" w:lineRule="auto"/>
        <w:jc w:val="both"/>
        <w:rPr>
          <w:rFonts w:ascii="Times New Roman" w:hAnsi="Times New Roman" w:cs="Times New Roman"/>
          <w:noProof/>
        </w:rPr>
      </w:pPr>
      <w:r>
        <w:rPr>
          <w:rFonts w:ascii="Times New Roman" w:hAnsi="Times New Roman"/>
          <w:b/>
          <w:noProof/>
        </w:rPr>
        <w:t>Les autorités chargées de la gestion de l’eau et les autorités chargées de l’aménagement du territoire et de l’octroi des permis, ainsi que le secteur privé, peuvent avoir besoin d’aide pour évaluer les risques dus au changement climatique</w:t>
      </w:r>
      <w:r>
        <w:rPr>
          <w:rFonts w:ascii="Times New Roman" w:hAnsi="Times New Roman"/>
          <w:noProof/>
        </w:rPr>
        <w:t>. Les modèles numériques en cours d’élaboration par la Commission, tels que le jumeau numérique de l’océan et Destination Terre, soutiendront l’évaluation de l’état et de la disponibilité à long terme de l’eau dans différents scénarios de changement climatique ou d’activités humaines. Ces capacités peuvent être mises à la disposition des administrations nationales et locales avant 2030.</w:t>
      </w:r>
    </w:p>
    <w:tbl>
      <w:tblPr>
        <w:tblStyle w:val="TableGrid"/>
        <w:tblW w:w="0" w:type="auto"/>
        <w:tblLook w:val="04A0" w:firstRow="1" w:lastRow="0" w:firstColumn="1" w:lastColumn="0" w:noHBand="0" w:noVBand="1"/>
      </w:tblPr>
      <w:tblGrid>
        <w:gridCol w:w="7508"/>
        <w:gridCol w:w="1508"/>
      </w:tblGrid>
      <w:tr w:rsidR="491A941D" w:rsidRPr="009F333A" w14:paraId="0FFBA1A9" w14:textId="77777777" w:rsidTr="1D1BF648">
        <w:trPr>
          <w:trHeight w:val="300"/>
        </w:trPr>
        <w:tc>
          <w:tcPr>
            <w:tcW w:w="7508" w:type="dxa"/>
            <w:shd w:val="clear" w:color="auto" w:fill="A5C9EB" w:themeFill="text2" w:themeFillTint="40"/>
          </w:tcPr>
          <w:p w14:paraId="6E094C55" w14:textId="72567D4C" w:rsidR="2A9C6A92" w:rsidRPr="009F333A" w:rsidRDefault="491A941D" w:rsidP="491A941D">
            <w:pPr>
              <w:pStyle w:val="paragraph"/>
              <w:spacing w:before="0" w:beforeAutospacing="0" w:after="0" w:afterAutospacing="0"/>
              <w:jc w:val="center"/>
              <w:rPr>
                <w:b/>
                <w:bCs/>
                <w:noProof/>
                <w:sz w:val="24"/>
                <w:szCs w:val="24"/>
              </w:rPr>
            </w:pPr>
            <w:r>
              <w:rPr>
                <w:b/>
                <w:noProof/>
                <w:sz w:val="24"/>
              </w:rPr>
              <w:t xml:space="preserve">Actions phares — La numérisation et l’intelligence artificielle pour accélérer et simplifier la bonne gestion de l’eau </w:t>
            </w:r>
          </w:p>
        </w:tc>
        <w:tc>
          <w:tcPr>
            <w:tcW w:w="1508" w:type="dxa"/>
            <w:shd w:val="clear" w:color="auto" w:fill="A5C9EB" w:themeFill="text2" w:themeFillTint="40"/>
          </w:tcPr>
          <w:p w14:paraId="37D95C72" w14:textId="768A7A48" w:rsidR="491A941D" w:rsidRPr="009F333A" w:rsidRDefault="491A941D" w:rsidP="491A941D">
            <w:pPr>
              <w:pStyle w:val="paragraph"/>
              <w:spacing w:before="0" w:beforeAutospacing="0" w:after="0" w:afterAutospacing="0"/>
              <w:jc w:val="center"/>
              <w:rPr>
                <w:rFonts w:eastAsia="Calibri"/>
                <w:b/>
                <w:bCs/>
                <w:noProof/>
                <w:sz w:val="24"/>
                <w:szCs w:val="24"/>
              </w:rPr>
            </w:pPr>
            <w:r>
              <w:rPr>
                <w:b/>
                <w:noProof/>
                <w:sz w:val="24"/>
              </w:rPr>
              <w:t>Calendrier</w:t>
            </w:r>
          </w:p>
        </w:tc>
      </w:tr>
      <w:tr w:rsidR="00176531" w:rsidRPr="009F333A" w14:paraId="325C4D79" w14:textId="77777777" w:rsidTr="1D1BF648">
        <w:trPr>
          <w:trHeight w:val="300"/>
        </w:trPr>
        <w:tc>
          <w:tcPr>
            <w:tcW w:w="7508" w:type="dxa"/>
          </w:tcPr>
          <w:p w14:paraId="4D58B330" w14:textId="41F3E319" w:rsidR="00176531" w:rsidRPr="009F333A" w:rsidRDefault="7100F878" w:rsidP="491A941D">
            <w:pPr>
              <w:jc w:val="both"/>
              <w:rPr>
                <w:rFonts w:ascii="Times New Roman" w:hAnsi="Times New Roman" w:cs="Times New Roman"/>
                <w:noProof/>
              </w:rPr>
            </w:pPr>
            <w:r>
              <w:rPr>
                <w:rFonts w:ascii="Times New Roman" w:hAnsi="Times New Roman"/>
                <w:noProof/>
                <w:sz w:val="24"/>
              </w:rPr>
              <w:t xml:space="preserve">Élaborer et mettre en œuvre les applications de Destination Terre et du Jumeau numérique européen de l’océan pour la résilience dans le domaine de l’eau et, d’ici à 2030, mettre les capacités à la disposition des administrations nationales et locales dans l’UE et au-delà. </w:t>
            </w:r>
          </w:p>
        </w:tc>
        <w:tc>
          <w:tcPr>
            <w:tcW w:w="1508" w:type="dxa"/>
          </w:tcPr>
          <w:p w14:paraId="5EDF2A08" w14:textId="37055028" w:rsidR="00176531" w:rsidRPr="009F333A" w:rsidRDefault="00176531" w:rsidP="491A941D">
            <w:pPr>
              <w:pStyle w:val="paragraph"/>
              <w:spacing w:before="0" w:beforeAutospacing="0" w:after="0" w:afterAutospacing="0"/>
              <w:jc w:val="center"/>
              <w:rPr>
                <w:rFonts w:eastAsia="Calibri"/>
                <w:noProof/>
                <w:sz w:val="24"/>
                <w:szCs w:val="24"/>
              </w:rPr>
            </w:pPr>
            <w:r>
              <w:rPr>
                <w:noProof/>
                <w:sz w:val="24"/>
              </w:rPr>
              <w:t>2025-2030</w:t>
            </w:r>
          </w:p>
        </w:tc>
      </w:tr>
      <w:tr w:rsidR="491A941D" w:rsidRPr="009F333A" w14:paraId="7D3902AD" w14:textId="77777777" w:rsidTr="1D1BF648">
        <w:trPr>
          <w:trHeight w:val="300"/>
        </w:trPr>
        <w:tc>
          <w:tcPr>
            <w:tcW w:w="7508" w:type="dxa"/>
          </w:tcPr>
          <w:p w14:paraId="5368B02C" w14:textId="2FCE86CC" w:rsidR="491A941D" w:rsidRPr="009F333A" w:rsidRDefault="449EF7A4" w:rsidP="1D1BF648">
            <w:pPr>
              <w:jc w:val="both"/>
              <w:rPr>
                <w:rFonts w:ascii="Times New Roman" w:eastAsia="Times New Roman" w:hAnsi="Times New Roman" w:cs="Times New Roman"/>
                <w:b/>
                <w:bCs/>
                <w:noProof/>
              </w:rPr>
            </w:pPr>
            <w:r>
              <w:rPr>
                <w:rFonts w:ascii="Times New Roman" w:hAnsi="Times New Roman"/>
                <w:noProof/>
                <w:sz w:val="24"/>
              </w:rPr>
              <w:t>Élaborer un plan d’action à l’échelle de l’UE sur la numérisation dans le secteur de l’eau, y compris une initiative à l’échelle de l’UE sur des systèmes intelligents de mesure pour tous.</w:t>
            </w:r>
          </w:p>
        </w:tc>
        <w:tc>
          <w:tcPr>
            <w:tcW w:w="1508" w:type="dxa"/>
          </w:tcPr>
          <w:p w14:paraId="0D743B70" w14:textId="3AAAEBB6" w:rsidR="3E3E80C7" w:rsidRPr="009F333A" w:rsidRDefault="3E3E80C7" w:rsidP="491A941D">
            <w:pPr>
              <w:pStyle w:val="paragraph"/>
              <w:spacing w:before="0" w:beforeAutospacing="0" w:after="0" w:afterAutospacing="0"/>
              <w:jc w:val="center"/>
              <w:rPr>
                <w:rFonts w:eastAsia="Calibri"/>
                <w:noProof/>
                <w:sz w:val="24"/>
                <w:szCs w:val="24"/>
              </w:rPr>
            </w:pPr>
            <w:r>
              <w:rPr>
                <w:noProof/>
                <w:sz w:val="24"/>
              </w:rPr>
              <w:t>2026</w:t>
            </w:r>
          </w:p>
        </w:tc>
      </w:tr>
      <w:tr w:rsidR="491A941D" w:rsidRPr="009F333A" w14:paraId="6C21BFB2" w14:textId="77777777" w:rsidTr="1D1BF648">
        <w:trPr>
          <w:trHeight w:val="300"/>
        </w:trPr>
        <w:tc>
          <w:tcPr>
            <w:tcW w:w="7508" w:type="dxa"/>
          </w:tcPr>
          <w:p w14:paraId="67376A33" w14:textId="21161B86" w:rsidR="491A941D" w:rsidRPr="009F333A" w:rsidRDefault="491A941D" w:rsidP="491A941D">
            <w:pPr>
              <w:spacing w:line="259" w:lineRule="auto"/>
              <w:jc w:val="both"/>
              <w:rPr>
                <w:rFonts w:ascii="Times New Roman" w:hAnsi="Times New Roman" w:cs="Times New Roman"/>
                <w:noProof/>
                <w:sz w:val="24"/>
                <w:szCs w:val="24"/>
              </w:rPr>
            </w:pPr>
            <w:r>
              <w:rPr>
                <w:rFonts w:ascii="Times New Roman" w:hAnsi="Times New Roman"/>
                <w:noProof/>
                <w:sz w:val="24"/>
              </w:rPr>
              <w:t xml:space="preserve">Lancer un pôle thématique sur l’eau dans le cadre de Copernicus. </w:t>
            </w:r>
          </w:p>
        </w:tc>
        <w:tc>
          <w:tcPr>
            <w:tcW w:w="1508" w:type="dxa"/>
          </w:tcPr>
          <w:p w14:paraId="3A5BCE05" w14:textId="655376F2" w:rsidR="12056CB8" w:rsidRPr="009F333A" w:rsidRDefault="12056CB8" w:rsidP="491A941D">
            <w:pPr>
              <w:pStyle w:val="paragraph"/>
              <w:spacing w:before="0" w:beforeAutospacing="0" w:after="0" w:afterAutospacing="0"/>
              <w:jc w:val="center"/>
              <w:rPr>
                <w:rFonts w:eastAsia="Calibri"/>
                <w:noProof/>
                <w:sz w:val="24"/>
                <w:szCs w:val="24"/>
              </w:rPr>
            </w:pPr>
            <w:r>
              <w:rPr>
                <w:noProof/>
                <w:sz w:val="24"/>
              </w:rPr>
              <w:t>2026</w:t>
            </w:r>
          </w:p>
        </w:tc>
      </w:tr>
    </w:tbl>
    <w:p w14:paraId="7DC90992" w14:textId="5AB68A1A" w:rsidR="491A941D" w:rsidRPr="009F333A" w:rsidRDefault="491A941D" w:rsidP="00B723FC">
      <w:pPr>
        <w:spacing w:after="240" w:line="240" w:lineRule="auto"/>
        <w:jc w:val="both"/>
        <w:rPr>
          <w:rFonts w:ascii="Times New Roman" w:hAnsi="Times New Roman" w:cs="Times New Roman"/>
          <w:noProof/>
        </w:rPr>
      </w:pPr>
    </w:p>
    <w:p w14:paraId="24B90AA1" w14:textId="3A6929B1" w:rsidR="00F261DA" w:rsidRPr="00B723FC" w:rsidRDefault="002F6CFB" w:rsidP="00B723FC">
      <w:pPr>
        <w:pStyle w:val="Heading2"/>
        <w:spacing w:before="0" w:after="240" w:line="240" w:lineRule="auto"/>
        <w:jc w:val="both"/>
        <w:rPr>
          <w:rFonts w:ascii="Times New Roman" w:hAnsi="Times New Roman" w:cs="Times New Roman"/>
          <w:b/>
          <w:bCs/>
          <w:noProof/>
          <w:color w:val="auto"/>
          <w:sz w:val="24"/>
          <w:szCs w:val="24"/>
        </w:rPr>
      </w:pPr>
      <w:r>
        <w:rPr>
          <w:rFonts w:ascii="Times New Roman" w:hAnsi="Times New Roman"/>
          <w:b/>
          <w:noProof/>
          <w:color w:val="auto"/>
          <w:sz w:val="24"/>
        </w:rPr>
        <w:t>3.4</w:t>
      </w:r>
      <w:r>
        <w:rPr>
          <w:noProof/>
        </w:rPr>
        <w:tab/>
      </w:r>
      <w:r>
        <w:rPr>
          <w:rFonts w:ascii="Times New Roman" w:hAnsi="Times New Roman"/>
          <w:b/>
          <w:noProof/>
          <w:color w:val="auto"/>
          <w:sz w:val="24"/>
        </w:rPr>
        <w:t>La recherche et</w:t>
      </w:r>
      <w:r>
        <w:rPr>
          <w:rFonts w:ascii="Times New Roman" w:hAnsi="Times New Roman"/>
          <w:b/>
          <w:noProof/>
          <w:sz w:val="24"/>
        </w:rPr>
        <w:t xml:space="preserve"> </w:t>
      </w:r>
      <w:r>
        <w:rPr>
          <w:rFonts w:ascii="Times New Roman" w:hAnsi="Times New Roman"/>
          <w:b/>
          <w:noProof/>
          <w:color w:val="auto"/>
          <w:sz w:val="24"/>
        </w:rPr>
        <w:t>l’innovation, l’industrie de l’eau et les compétences pour renforcer la compétitivité</w:t>
      </w:r>
    </w:p>
    <w:p w14:paraId="4D74F0DC" w14:textId="6F714A3B" w:rsidR="00DA2A46" w:rsidRPr="00B723FC" w:rsidRDefault="001A3066" w:rsidP="00B723FC">
      <w:pPr>
        <w:spacing w:after="240" w:line="240" w:lineRule="auto"/>
        <w:jc w:val="both"/>
        <w:rPr>
          <w:rFonts w:ascii="Times New Roman" w:eastAsia="Times New Roman" w:hAnsi="Times New Roman" w:cs="Times New Roman"/>
          <w:noProof/>
        </w:rPr>
      </w:pPr>
      <w:r>
        <w:rPr>
          <w:rFonts w:ascii="Times New Roman" w:hAnsi="Times New Roman"/>
          <w:b/>
          <w:noProof/>
        </w:rPr>
        <w:t>L’innovation dans le domaine de l’eau doit être intensifiée, sur la base de la stratégie de l’UE en faveur des start-up et des scale-up</w:t>
      </w:r>
      <w:r>
        <w:rPr>
          <w:rFonts w:ascii="Times New Roman" w:hAnsi="Times New Roman"/>
          <w:noProof/>
        </w:rPr>
        <w:t>. L’eau est une composante importante des programmes-cadres de l’UE en faveur de la R&amp;I et il existe déjà un large éventail d’idées et de solutions innovantes développées en Europe. Toutefois, le déploiement effectif de ces solutions au-delà de la phase du projet reste lent. Pour remédier à cette situation, la Commission mettra en place une interface science-politique afin de valoriser les connaissances issues des actions de R&amp;I financées par l’UE et les États membres.</w:t>
      </w:r>
    </w:p>
    <w:p w14:paraId="42FA8B6B" w14:textId="3BE9C4AC" w:rsidR="00C0135C" w:rsidRPr="00B723FC" w:rsidRDefault="005D112C" w:rsidP="00B723FC">
      <w:pPr>
        <w:spacing w:after="240" w:line="240" w:lineRule="auto"/>
        <w:jc w:val="both"/>
        <w:rPr>
          <w:noProof/>
        </w:rPr>
      </w:pPr>
      <w:r>
        <w:rPr>
          <w:rFonts w:ascii="Times New Roman" w:hAnsi="Times New Roman"/>
          <w:b/>
          <w:noProof/>
        </w:rPr>
        <w:t>La Commission lancera une alliance industrielle intelligente dans le domaine de l’eau afin de soutenir sa consolidation</w:t>
      </w:r>
      <w:r>
        <w:rPr>
          <w:rFonts w:ascii="Times New Roman" w:hAnsi="Times New Roman"/>
          <w:noProof/>
        </w:rPr>
        <w:t xml:space="preserve"> en stimulant l’innovation et la compétitivité et en garantissant les compétences nécessaires dans le domaine de l’eau. En outre, conformément au pacte pour une industrie propre, la Commission étudiera comment les marchés publics peuvent promouvoir la prise en considération de la résilience dans le domaine de l’eau dans les appels d’offres publics pertinents et l’accès simplifié au marché pour les PME afin de les aider à exploiter leur potentiel d’innovation. En complément de ces initiatives, la Commission lancera également une Académie européenne de l’eau afin de répondre aux besoins en capacités dans le secteur européen de l’eau, en encourageant les partenariats public-privé, l’innovation et le transfert de technologies afin de combler les déficits de compétences.</w:t>
      </w:r>
    </w:p>
    <w:p w14:paraId="7936C1EB" w14:textId="28E65BA5" w:rsidR="00C34176" w:rsidRPr="00B723FC" w:rsidRDefault="1B90001B" w:rsidP="4251B09A">
      <w:pPr>
        <w:spacing w:after="240" w:line="240" w:lineRule="auto"/>
        <w:jc w:val="both"/>
        <w:rPr>
          <w:rFonts w:ascii="Times New Roman" w:hAnsi="Times New Roman"/>
          <w:noProof/>
        </w:rPr>
      </w:pPr>
      <w:r>
        <w:rPr>
          <w:rFonts w:ascii="Times New Roman" w:hAnsi="Times New Roman"/>
          <w:b/>
          <w:noProof/>
        </w:rPr>
        <w:t>Les personnes de tous les âges et dans toutes les disciplines doivent acquérir de nouvelles compétences.</w:t>
      </w:r>
      <w:r>
        <w:rPr>
          <w:rFonts w:ascii="Times New Roman" w:hAnsi="Times New Roman"/>
          <w:noProof/>
        </w:rPr>
        <w:t xml:space="preserve"> L’emploi dans le secteur de l’eau a augmenté ces dernières années et poursuivra sa progression</w:t>
      </w:r>
      <w:r>
        <w:rPr>
          <w:rStyle w:val="FootnoteReference"/>
          <w:rFonts w:ascii="Times New Roman" w:hAnsi="Times New Roman"/>
          <w:noProof/>
        </w:rPr>
        <w:footnoteReference w:id="60"/>
      </w:r>
      <w:r>
        <w:rPr>
          <w:rFonts w:ascii="Times New Roman" w:hAnsi="Times New Roman"/>
          <w:noProof/>
        </w:rPr>
        <w:t>. Toutefois, tant les pouvoirs publics que le secteur privé sont confrontés à un vieillissement de la main-d’œuvre et à un déficit de compétences, en particulier dans des domaines techniques tels que le traitement et la gestion de l’eau, ainsi qu’en ce qui concerne les compétences numériques. Le train de mesures sur l’union des compétences, qui inclut le Fonds social européen plus, peut stimuler la formation des autorités, des professionnels de la gestion de l’eau et des communautés. En ce qui concerne l’eau douce et l’océan, il convient de promouvoir les compétences dans les domaines des sciences, des technologies, de l’ingénierie et des mathématiques (STIM)</w:t>
      </w:r>
      <w:r>
        <w:rPr>
          <w:rStyle w:val="FootnoteReference"/>
          <w:rFonts w:eastAsiaTheme="minorEastAsia"/>
          <w:noProof/>
        </w:rPr>
        <w:footnoteReference w:id="61"/>
      </w:r>
      <w:r>
        <w:rPr>
          <w:rFonts w:ascii="Times New Roman" w:hAnsi="Times New Roman"/>
          <w:noProof/>
        </w:rPr>
        <w:t xml:space="preserve">. Afin de doter des compétences adéquates la main-d’œuvre du secteur de l’eau de l’UE, la Commission, l’industrie de l’eau de l’UE et les parties prenantes collaboreront, notamment en vue du lancement éventuel d’un partenariat à grande échelle en matière de compétences. En outre, la Commission renforcera la formation professionnelle en accentuant son soutien à la plateforme d’excellence professionnelle dans le domaine de l’eau. Elle s’appuiera également sur le réseau existant des écoles bleues européennes pour accroître les connaissances et la sensibilisation en matière de protection de l’eau douce et des océans dans le cadre d’une approche de la source à la mer. </w:t>
      </w:r>
    </w:p>
    <w:p w14:paraId="1124169F" w14:textId="0E5EC2D6" w:rsidR="00E94B96" w:rsidRPr="009F333A" w:rsidRDefault="00C34176" w:rsidP="00B723FC">
      <w:pPr>
        <w:spacing w:after="240" w:line="240" w:lineRule="auto"/>
        <w:jc w:val="both"/>
        <w:rPr>
          <w:rFonts w:ascii="Times New Roman" w:hAnsi="Times New Roman"/>
          <w:noProof/>
        </w:rPr>
      </w:pPr>
      <w:r>
        <w:rPr>
          <w:rFonts w:ascii="Times New Roman" w:hAnsi="Times New Roman"/>
          <w:b/>
          <w:noProof/>
        </w:rPr>
        <w:t>Malgré une solide base de connaissances, des lacunes subsistent dans la compréhension des eaux douces et marines européennes, de la disponibilité des ressources en eau, du changement climatique et de l’interaction entre l’eau, l’énergie, l’alimentation et les écosystèmes</w:t>
      </w:r>
      <w:r>
        <w:rPr>
          <w:rFonts w:ascii="Times New Roman" w:hAnsi="Times New Roman"/>
          <w:noProof/>
        </w:rPr>
        <w:t>. Une utilisation efficace des fonds de recherche de l’UE peut contribuer à mettre des technologies innovantes sur le marché et à soutenir les PME. S’appuyant sur les recherches de pointe menées dans le cadre des missions de l’UE «Restaurer notre océan et notre vie aquatique» et «Adaptation au changement climatique», la Commission adoptera, d’ici à la fin de 2026, une stratégie de R&amp;I pour la résilience dans le domaine de l’eau visant à remédier à la fragmentation des initiatives de l’UE en matière de R&amp;I.</w:t>
      </w:r>
    </w:p>
    <w:p w14:paraId="640D1C91" w14:textId="1A8782D6" w:rsidR="4D4C52AE" w:rsidRPr="007F521D" w:rsidRDefault="0086276C" w:rsidP="007F521D">
      <w:pPr>
        <w:spacing w:after="240" w:line="240" w:lineRule="auto"/>
        <w:jc w:val="both"/>
        <w:rPr>
          <w:rFonts w:ascii="Times New Roman" w:eastAsia="Times New Roman" w:hAnsi="Times New Roman" w:cs="Times New Roman"/>
          <w:b/>
          <w:bCs/>
          <w:noProof/>
        </w:rPr>
      </w:pPr>
      <w:r>
        <w:rPr>
          <w:rFonts w:ascii="Times New Roman" w:hAnsi="Times New Roman"/>
          <w:b/>
          <w:bCs/>
          <w:noProof/>
        </w:rPr>
        <w:t>Enfin, pour renforcer la compétitivité de l’Europe dans le domaine de l’eau en stimulant l’innovation et en comblant les lacunes en matière de compétences et de connaissances, nous devons créer davantage de synergies et établir des liens entre l’industrie, l’éducation et la recherche selon une approche de la source à la mer</w:t>
      </w:r>
      <w:r>
        <w:rPr>
          <w:rFonts w:ascii="Times New Roman" w:hAnsi="Times New Roman"/>
          <w:noProof/>
        </w:rPr>
        <w:t>. C’est la raison pour laquelle la Commission lancera, en 2026, une communauté de la connaissance et de l’innovation (CCI) dans les secteurs et écosystèmes aquatiques, marins et maritimes dans le cadre de l’Institut européen d’innovation et de technologie (EIT).</w:t>
      </w:r>
    </w:p>
    <w:tbl>
      <w:tblPr>
        <w:tblStyle w:val="TableGrid"/>
        <w:tblW w:w="0" w:type="auto"/>
        <w:tblLook w:val="04A0" w:firstRow="1" w:lastRow="0" w:firstColumn="1" w:lastColumn="0" w:noHBand="0" w:noVBand="1"/>
      </w:tblPr>
      <w:tblGrid>
        <w:gridCol w:w="7225"/>
        <w:gridCol w:w="1791"/>
      </w:tblGrid>
      <w:tr w:rsidR="491A941D" w:rsidRPr="009F333A" w14:paraId="3B18BA06" w14:textId="77777777" w:rsidTr="09B83B87">
        <w:trPr>
          <w:trHeight w:val="300"/>
        </w:trPr>
        <w:tc>
          <w:tcPr>
            <w:tcW w:w="7225" w:type="dxa"/>
            <w:shd w:val="clear" w:color="auto" w:fill="A5C9EB" w:themeFill="text2" w:themeFillTint="40"/>
          </w:tcPr>
          <w:p w14:paraId="3CFB30B2" w14:textId="6885CD81" w:rsidR="491A941D" w:rsidRPr="009F333A" w:rsidRDefault="55DCA886" w:rsidP="491A941D">
            <w:pPr>
              <w:pStyle w:val="paragraph"/>
              <w:spacing w:before="0" w:beforeAutospacing="0" w:after="0" w:afterAutospacing="0"/>
              <w:jc w:val="center"/>
              <w:rPr>
                <w:rFonts w:eastAsia="Calibri"/>
                <w:b/>
                <w:bCs/>
                <w:noProof/>
                <w:sz w:val="24"/>
                <w:szCs w:val="24"/>
              </w:rPr>
            </w:pPr>
            <w:r>
              <w:rPr>
                <w:b/>
                <w:noProof/>
                <w:sz w:val="24"/>
              </w:rPr>
              <w:t>Actions phares — La recherche et l’innovation, l’industrie de l’eau et les compétences pour renforcer la compétitivité</w:t>
            </w:r>
          </w:p>
        </w:tc>
        <w:tc>
          <w:tcPr>
            <w:tcW w:w="1791" w:type="dxa"/>
            <w:shd w:val="clear" w:color="auto" w:fill="A5C9EB" w:themeFill="text2" w:themeFillTint="40"/>
          </w:tcPr>
          <w:p w14:paraId="01CEF3F8" w14:textId="768A7A48" w:rsidR="491A941D" w:rsidRPr="009F333A" w:rsidRDefault="491A941D" w:rsidP="491A941D">
            <w:pPr>
              <w:pStyle w:val="paragraph"/>
              <w:spacing w:before="0" w:beforeAutospacing="0" w:after="0" w:afterAutospacing="0"/>
              <w:jc w:val="center"/>
              <w:rPr>
                <w:rFonts w:eastAsia="Calibri"/>
                <w:b/>
                <w:bCs/>
                <w:noProof/>
                <w:sz w:val="24"/>
                <w:szCs w:val="24"/>
              </w:rPr>
            </w:pPr>
            <w:r>
              <w:rPr>
                <w:b/>
                <w:noProof/>
                <w:sz w:val="24"/>
              </w:rPr>
              <w:t>Calendrier</w:t>
            </w:r>
          </w:p>
        </w:tc>
      </w:tr>
      <w:tr w:rsidR="00C47C3B" w:rsidRPr="009F333A" w14:paraId="1F5283DE" w14:textId="77777777" w:rsidTr="09B83B87">
        <w:trPr>
          <w:trHeight w:val="300"/>
        </w:trPr>
        <w:tc>
          <w:tcPr>
            <w:tcW w:w="7225" w:type="dxa"/>
          </w:tcPr>
          <w:p w14:paraId="487ADD4F" w14:textId="07089EA7" w:rsidR="00C47C3B" w:rsidRPr="009F333A" w:rsidRDefault="00541F39" w:rsidP="1D1BF648">
            <w:pPr>
              <w:jc w:val="both"/>
              <w:rPr>
                <w:rFonts w:ascii="Times New Roman" w:eastAsia="Times New Roman" w:hAnsi="Times New Roman" w:cs="Times New Roman"/>
                <w:b/>
                <w:bCs/>
                <w:noProof/>
                <w:sz w:val="24"/>
                <w:szCs w:val="24"/>
              </w:rPr>
            </w:pPr>
            <w:r>
              <w:rPr>
                <w:rFonts w:ascii="Times New Roman" w:hAnsi="Times New Roman"/>
                <w:noProof/>
                <w:sz w:val="24"/>
              </w:rPr>
              <w:t>Interface science-politique pour diffuser les résultats des projets de R&amp;I financés par l’UE, par exemple par l’intermédiaire d’une plateforme de guichet unique.</w:t>
            </w:r>
          </w:p>
        </w:tc>
        <w:tc>
          <w:tcPr>
            <w:tcW w:w="1791" w:type="dxa"/>
          </w:tcPr>
          <w:p w14:paraId="2C89035B" w14:textId="23275558" w:rsidR="00C47C3B" w:rsidRPr="009F333A" w:rsidRDefault="6ED72890" w:rsidP="1D1BF648">
            <w:pPr>
              <w:pStyle w:val="paragraph"/>
              <w:jc w:val="center"/>
              <w:rPr>
                <w:b/>
                <w:bCs/>
                <w:noProof/>
              </w:rPr>
            </w:pPr>
            <w:r>
              <w:rPr>
                <w:noProof/>
              </w:rPr>
              <w:t xml:space="preserve">2026 </w:t>
            </w:r>
          </w:p>
        </w:tc>
      </w:tr>
      <w:tr w:rsidR="491A941D" w:rsidRPr="009F333A" w14:paraId="2B79D5D1" w14:textId="77777777" w:rsidTr="09B83B87">
        <w:trPr>
          <w:trHeight w:val="300"/>
        </w:trPr>
        <w:tc>
          <w:tcPr>
            <w:tcW w:w="7225" w:type="dxa"/>
          </w:tcPr>
          <w:p w14:paraId="587CFF92" w14:textId="05E068BA" w:rsidR="491A941D" w:rsidRPr="009F333A" w:rsidRDefault="004469DE" w:rsidP="1D1BF648">
            <w:pPr>
              <w:jc w:val="both"/>
              <w:rPr>
                <w:rFonts w:ascii="Times New Roman" w:eastAsia="Times New Roman" w:hAnsi="Times New Roman" w:cs="Times New Roman"/>
                <w:noProof/>
                <w:sz w:val="24"/>
                <w:szCs w:val="24"/>
              </w:rPr>
            </w:pPr>
            <w:r>
              <w:rPr>
                <w:rFonts w:ascii="Times New Roman" w:hAnsi="Times New Roman"/>
                <w:noProof/>
                <w:sz w:val="24"/>
              </w:rPr>
              <w:t>Stratégie de R&amp;I pour la résilience dans le domaine de l’eau.</w:t>
            </w:r>
          </w:p>
        </w:tc>
        <w:tc>
          <w:tcPr>
            <w:tcW w:w="1791" w:type="dxa"/>
          </w:tcPr>
          <w:p w14:paraId="0D140D05" w14:textId="53761434" w:rsidR="491A941D" w:rsidRPr="009F333A" w:rsidRDefault="00926EC2" w:rsidP="002F71BB">
            <w:pPr>
              <w:pStyle w:val="paragraph"/>
              <w:jc w:val="center"/>
              <w:rPr>
                <w:rFonts w:eastAsia="Calibri"/>
                <w:noProof/>
                <w:sz w:val="24"/>
                <w:szCs w:val="24"/>
              </w:rPr>
            </w:pPr>
            <w:r>
              <w:rPr>
                <w:noProof/>
                <w:sz w:val="24"/>
              </w:rPr>
              <w:t>2026</w:t>
            </w:r>
          </w:p>
        </w:tc>
      </w:tr>
      <w:tr w:rsidR="491A941D" w:rsidRPr="009F333A" w14:paraId="4EAC3711" w14:textId="77777777" w:rsidTr="09B83B87">
        <w:trPr>
          <w:trHeight w:val="300"/>
        </w:trPr>
        <w:tc>
          <w:tcPr>
            <w:tcW w:w="7225" w:type="dxa"/>
          </w:tcPr>
          <w:p w14:paraId="27619A7C" w14:textId="0D1E5A00" w:rsidR="491A941D" w:rsidRPr="009F333A" w:rsidRDefault="491A941D" w:rsidP="00905E09">
            <w:pPr>
              <w:jc w:val="both"/>
              <w:rPr>
                <w:rFonts w:ascii="Times New Roman" w:eastAsia="Times New Roman" w:hAnsi="Times New Roman" w:cs="Times New Roman"/>
                <w:noProof/>
                <w:sz w:val="24"/>
                <w:szCs w:val="24"/>
              </w:rPr>
            </w:pPr>
            <w:r>
              <w:rPr>
                <w:rFonts w:ascii="Times New Roman" w:hAnsi="Times New Roman"/>
                <w:noProof/>
                <w:sz w:val="24"/>
              </w:rPr>
              <w:t>Alliance industrielle intelligente dans le domaine de l’eau pour stimuler la compétitivité.</w:t>
            </w:r>
          </w:p>
        </w:tc>
        <w:tc>
          <w:tcPr>
            <w:tcW w:w="1791" w:type="dxa"/>
          </w:tcPr>
          <w:p w14:paraId="0DF12047" w14:textId="6D3E7021" w:rsidR="491A941D" w:rsidRPr="009F333A" w:rsidRDefault="00DC3322" w:rsidP="00905E09">
            <w:pPr>
              <w:jc w:val="center"/>
              <w:rPr>
                <w:noProof/>
                <w:sz w:val="24"/>
                <w:szCs w:val="24"/>
              </w:rPr>
            </w:pPr>
            <w:r>
              <w:rPr>
                <w:rFonts w:ascii="Times New Roman" w:hAnsi="Times New Roman"/>
                <w:noProof/>
              </w:rPr>
              <w:t>2026</w:t>
            </w:r>
          </w:p>
        </w:tc>
      </w:tr>
      <w:tr w:rsidR="491A941D" w:rsidRPr="009F333A" w14:paraId="40E06F12" w14:textId="77777777" w:rsidTr="09B83B87">
        <w:trPr>
          <w:trHeight w:val="300"/>
        </w:trPr>
        <w:tc>
          <w:tcPr>
            <w:tcW w:w="7225" w:type="dxa"/>
          </w:tcPr>
          <w:p w14:paraId="6C6F1A0E" w14:textId="606F6ED7" w:rsidR="491A941D" w:rsidRPr="009F333A" w:rsidRDefault="00E9019B" w:rsidP="00905E09">
            <w:pPr>
              <w:jc w:val="both"/>
              <w:rPr>
                <w:rFonts w:ascii="Times New Roman" w:eastAsia="Times New Roman" w:hAnsi="Times New Roman" w:cs="Times New Roman"/>
                <w:noProof/>
                <w:sz w:val="24"/>
                <w:szCs w:val="24"/>
              </w:rPr>
            </w:pPr>
            <w:r>
              <w:rPr>
                <w:rFonts w:ascii="Times New Roman" w:hAnsi="Times New Roman"/>
                <w:noProof/>
                <w:sz w:val="24"/>
              </w:rPr>
              <w:t>Académie européenne de l’eau.</w:t>
            </w:r>
          </w:p>
        </w:tc>
        <w:tc>
          <w:tcPr>
            <w:tcW w:w="1791" w:type="dxa"/>
          </w:tcPr>
          <w:p w14:paraId="60F7C33E" w14:textId="508F1BD8" w:rsidR="491A941D" w:rsidRPr="009F333A" w:rsidRDefault="00926EC2" w:rsidP="00905E09">
            <w:pPr>
              <w:jc w:val="center"/>
              <w:rPr>
                <w:noProof/>
                <w:sz w:val="24"/>
                <w:szCs w:val="24"/>
              </w:rPr>
            </w:pPr>
            <w:r>
              <w:rPr>
                <w:rFonts w:ascii="Times New Roman" w:hAnsi="Times New Roman"/>
                <w:noProof/>
              </w:rPr>
              <w:t>2026-2027</w:t>
            </w:r>
          </w:p>
        </w:tc>
      </w:tr>
      <w:tr w:rsidR="000963D5" w:rsidRPr="009F333A" w14:paraId="12800CBC" w14:textId="77777777" w:rsidTr="09B83B87">
        <w:trPr>
          <w:trHeight w:val="300"/>
        </w:trPr>
        <w:tc>
          <w:tcPr>
            <w:tcW w:w="7225" w:type="dxa"/>
          </w:tcPr>
          <w:p w14:paraId="52B84D91" w14:textId="2DFC1AD4" w:rsidR="000963D5" w:rsidRPr="009F333A" w:rsidRDefault="003D60F6" w:rsidP="00905E09">
            <w:pPr>
              <w:jc w:val="both"/>
              <w:rPr>
                <w:rFonts w:ascii="Times New Roman" w:eastAsia="Times New Roman" w:hAnsi="Times New Roman" w:cs="Times New Roman"/>
                <w:noProof/>
                <w:sz w:val="24"/>
                <w:szCs w:val="24"/>
              </w:rPr>
            </w:pPr>
            <w:r>
              <w:rPr>
                <w:rFonts w:ascii="Times New Roman" w:hAnsi="Times New Roman"/>
                <w:noProof/>
                <w:sz w:val="24"/>
              </w:rPr>
              <w:t>Communauté de la connaissance et de l’innovation (CCI) dans les secteurs et écosystèmes aquatiques, marins et maritimes dans le cadre de l’Institut européen d’innovation et de technologie (EIT).</w:t>
            </w:r>
          </w:p>
        </w:tc>
        <w:tc>
          <w:tcPr>
            <w:tcW w:w="1791" w:type="dxa"/>
          </w:tcPr>
          <w:p w14:paraId="0384A379" w14:textId="594AA562" w:rsidR="000963D5" w:rsidRPr="009F333A" w:rsidRDefault="003D60F6" w:rsidP="00905E09">
            <w:pPr>
              <w:jc w:val="center"/>
              <w:rPr>
                <w:rFonts w:ascii="Times New Roman" w:hAnsi="Times New Roman" w:cs="Times New Roman"/>
                <w:noProof/>
              </w:rPr>
            </w:pPr>
            <w:r>
              <w:rPr>
                <w:rFonts w:ascii="Times New Roman" w:hAnsi="Times New Roman"/>
                <w:noProof/>
              </w:rPr>
              <w:t>2026</w:t>
            </w:r>
          </w:p>
        </w:tc>
      </w:tr>
    </w:tbl>
    <w:p w14:paraId="15A3A41F" w14:textId="4627F524" w:rsidR="491A941D" w:rsidRPr="009F333A" w:rsidRDefault="491A941D" w:rsidP="00B723FC">
      <w:pPr>
        <w:spacing w:after="240" w:line="240" w:lineRule="auto"/>
        <w:jc w:val="both"/>
        <w:rPr>
          <w:rFonts w:ascii="Times New Roman" w:hAnsi="Times New Roman" w:cs="Times New Roman"/>
          <w:noProof/>
        </w:rPr>
      </w:pPr>
    </w:p>
    <w:p w14:paraId="425B56C9" w14:textId="0B982FDE" w:rsidR="00EF6F10" w:rsidRPr="009F333A" w:rsidRDefault="00EA774E" w:rsidP="00B723FC">
      <w:pPr>
        <w:pStyle w:val="Heading2"/>
        <w:spacing w:before="0" w:after="240" w:line="240" w:lineRule="auto"/>
        <w:jc w:val="both"/>
        <w:rPr>
          <w:rFonts w:ascii="Times New Roman" w:hAnsi="Times New Roman" w:cs="Times New Roman"/>
          <w:b/>
          <w:bCs/>
          <w:noProof/>
          <w:color w:val="auto"/>
          <w:sz w:val="24"/>
          <w:szCs w:val="24"/>
        </w:rPr>
      </w:pPr>
      <w:bookmarkStart w:id="8" w:name="_Hlk197781391"/>
      <w:r>
        <w:rPr>
          <w:rFonts w:ascii="Times New Roman" w:hAnsi="Times New Roman"/>
          <w:b/>
          <w:noProof/>
          <w:color w:val="auto"/>
          <w:sz w:val="24"/>
        </w:rPr>
        <w:t>3.5</w:t>
      </w:r>
      <w:r>
        <w:rPr>
          <w:noProof/>
        </w:rPr>
        <w:tab/>
      </w:r>
      <w:r>
        <w:rPr>
          <w:rFonts w:ascii="Times New Roman" w:hAnsi="Times New Roman"/>
          <w:b/>
          <w:noProof/>
          <w:color w:val="auto"/>
          <w:sz w:val="24"/>
        </w:rPr>
        <w:t>La sécurité et la préparation pour renforcer la résilience collective</w:t>
      </w:r>
    </w:p>
    <w:bookmarkEnd w:id="8"/>
    <w:p w14:paraId="02D292F6" w14:textId="03A36027" w:rsidR="00633898" w:rsidRPr="009F333A" w:rsidRDefault="7FF28CE3" w:rsidP="4251B09A">
      <w:pPr>
        <w:spacing w:after="240" w:line="240" w:lineRule="auto"/>
        <w:jc w:val="both"/>
        <w:rPr>
          <w:rFonts w:ascii="Times New Roman" w:eastAsia="Times New Roman" w:hAnsi="Times New Roman" w:cs="Times New Roman"/>
          <w:noProof/>
          <w:color w:val="008080"/>
          <w:u w:val="single"/>
        </w:rPr>
      </w:pPr>
      <w:r>
        <w:rPr>
          <w:rFonts w:ascii="Times New Roman" w:hAnsi="Times New Roman"/>
          <w:b/>
          <w:bCs/>
          <w:noProof/>
        </w:rPr>
        <w:t>Les États membres ont estimé que les menaces liées au climat et les pertes de biodiversité, les attaques malveillantes liées à la perturbation des infrastructures et de l’approvisionnement critiques en eau, ainsi que la pollution accidentelle des eaux intérieures et marines, constituaient des risques majeurs pour l’eau</w:t>
      </w:r>
      <w:r>
        <w:rPr>
          <w:rFonts w:ascii="Times New Roman" w:hAnsi="Times New Roman"/>
          <w:noProof/>
        </w:rPr>
        <w:t xml:space="preserve">. Ces dernières années, de telles catastrophes ont déclenché un nombre croissant de demandes d’aide au titre du mécanisme de protection civile de l’Union (MPCU), tant en Europe que dans les autres régions du monde. L’UE continuera à faire preuve de solidarité en matière de coopération transfrontière mais, pour une utilisation efficace des fonds disponibles et la réduction du besoin de secours en cas de catastrophe, cette solidarité doit </w:t>
      </w:r>
      <w:r>
        <w:rPr>
          <w:rFonts w:ascii="Times New Roman" w:hAnsi="Times New Roman"/>
          <w:noProof/>
          <w:color w:val="000000" w:themeColor="text1"/>
        </w:rPr>
        <w:t xml:space="preserve">être complétée par </w:t>
      </w:r>
      <w:r>
        <w:rPr>
          <w:rFonts w:ascii="Times New Roman" w:hAnsi="Times New Roman"/>
          <w:noProof/>
        </w:rPr>
        <w:t>des principes de «préparation dès la conception». Dans ce contexte, le règlement RESTORE, qui aide les États membres à mobiliser rapidement des fonds</w:t>
      </w:r>
      <w:r>
        <w:rPr>
          <w:rFonts w:ascii="Times New Roman" w:eastAsia="Times New Roman" w:hAnsi="Times New Roman" w:cs="Times New Roman"/>
          <w:noProof/>
          <w:vertAlign w:val="superscript"/>
        </w:rPr>
        <w:footnoteReference w:id="62"/>
      </w:r>
      <w:r>
        <w:rPr>
          <w:rFonts w:ascii="Times New Roman" w:hAnsi="Times New Roman"/>
          <w:noProof/>
        </w:rPr>
        <w:t>, et l’examen à mi-parcours de la politique de cohésion sont particulièrement pertinents.</w:t>
      </w:r>
    </w:p>
    <w:p w14:paraId="67B783BD" w14:textId="4AC40948" w:rsidR="00633898" w:rsidRPr="009F333A" w:rsidRDefault="7FF28CE3" w:rsidP="00B723FC">
      <w:pPr>
        <w:spacing w:before="100" w:beforeAutospacing="1" w:after="240" w:line="240" w:lineRule="auto"/>
        <w:jc w:val="both"/>
        <w:rPr>
          <w:rFonts w:ascii="Times New Roman" w:eastAsia="Times New Roman" w:hAnsi="Times New Roman" w:cs="Times New Roman"/>
          <w:noProof/>
        </w:rPr>
      </w:pPr>
      <w:r>
        <w:rPr>
          <w:rFonts w:ascii="Times New Roman" w:hAnsi="Times New Roman"/>
          <w:b/>
          <w:noProof/>
        </w:rPr>
        <w:t>Les citoyens ont besoin de solutions locales qui les protègent et leur permettent de se préparer à l’inévitable</w:t>
      </w:r>
      <w:r>
        <w:rPr>
          <w:rFonts w:ascii="Times New Roman" w:hAnsi="Times New Roman"/>
          <w:noProof/>
        </w:rPr>
        <w:t>, conformément à la stratégie européenne pour une union de la préparation</w:t>
      </w:r>
      <w:r>
        <w:rPr>
          <w:rFonts w:ascii="Times New Roman" w:eastAsia="Times New Roman" w:hAnsi="Times New Roman" w:cs="Times New Roman"/>
          <w:noProof/>
          <w:vertAlign w:val="superscript"/>
        </w:rPr>
        <w:footnoteReference w:id="63"/>
      </w:r>
      <w:r>
        <w:rPr>
          <w:rFonts w:ascii="Times New Roman" w:hAnsi="Times New Roman"/>
          <w:noProof/>
        </w:rPr>
        <w:t>. Les actions menées dans ce but doivent intégrer des considérations en matière de planification urbaine pour lutter contre la pollution, tout en atténuant le changement climatique et en s’adaptant à celui-ci, en améliorant la gestion des risques de sécheresse et d’inondation, en optimisant l’utilisation des outils numériques et des systèmes d’alerte rapide et en renforçant les liens entre les outils de gestion des risques déjà existants au niveau européen (tels que les outils d’alerte rapide du service Copernicus de gestion des urgences</w:t>
      </w:r>
      <w:r>
        <w:rPr>
          <w:rFonts w:ascii="Times New Roman" w:eastAsia="Times New Roman" w:hAnsi="Times New Roman" w:cs="Times New Roman"/>
          <w:noProof/>
          <w:vertAlign w:val="superscript"/>
        </w:rPr>
        <w:footnoteReference w:id="64"/>
      </w:r>
      <w:r>
        <w:rPr>
          <w:rFonts w:ascii="Times New Roman" w:hAnsi="Times New Roman"/>
          <w:noProof/>
        </w:rPr>
        <w:t>), aux niveaux national et local. Il convient de donner aux citoyens et aux communautés les moyens d’agir pour s’adapter au changement climatique et se prémunir contre les risques d’inondation et de sécheresse. La mise à disposition d’informations sur les risques spécifiques liés aux inondations et aux sécheresses pour les bâtiments et les terrains constitue une première étape vers une plus grande résilience de la société.</w:t>
      </w:r>
    </w:p>
    <w:p w14:paraId="00C2F4CF" w14:textId="445C20B4" w:rsidR="00633898" w:rsidRPr="00B723FC" w:rsidRDefault="7FF28CE3" w:rsidP="00B723FC">
      <w:pPr>
        <w:spacing w:after="240" w:line="240" w:lineRule="auto"/>
        <w:jc w:val="both"/>
        <w:rPr>
          <w:rFonts w:ascii="Times New Roman" w:eastAsia="Times New Roman" w:hAnsi="Times New Roman" w:cs="Times New Roman"/>
          <w:noProof/>
        </w:rPr>
      </w:pPr>
      <w:r>
        <w:rPr>
          <w:rFonts w:ascii="Times New Roman" w:hAnsi="Times New Roman"/>
          <w:b/>
          <w:noProof/>
        </w:rPr>
        <w:t>De nombreux outils existent dans l’UE pour protéger la population des catastrophes liées à l’eau ou en atténuer les effets, mais ils ne sont pas toujours suffisamment connus ou utilisés.</w:t>
      </w:r>
      <w:r>
        <w:rPr>
          <w:rFonts w:ascii="Times New Roman" w:hAnsi="Times New Roman"/>
          <w:noProof/>
        </w:rPr>
        <w:t xml:space="preserve"> Il est important de donner aux citoyens les moyens de s’informer et de gérer les risques croissants de catastrophes hydriques liées au climat, comme le préconisent les objectifs de l’Union en matière de résilience face aux catastrophes élaborés dans le cadre du MPCU</w:t>
      </w:r>
      <w:r>
        <w:rPr>
          <w:rFonts w:ascii="Times New Roman" w:eastAsia="Times New Roman" w:hAnsi="Times New Roman" w:cs="Times New Roman"/>
          <w:noProof/>
          <w:vertAlign w:val="superscript"/>
        </w:rPr>
        <w:footnoteReference w:id="65"/>
      </w:r>
      <w:r>
        <w:rPr>
          <w:rFonts w:ascii="Times New Roman" w:hAnsi="Times New Roman"/>
          <w:noProof/>
        </w:rPr>
        <w:t xml:space="preserve">. La Commission améliorera les systèmes d’alerte rapide et de surveillance en temps réel de l’UE en cas d’inondations et de sécheresses en soutenant les actions des États membres et en renforçant l’observatoire européen de la sécheresse et le système européen d'alerte pour les inondations du service Copernicus de gestion des urgences. </w:t>
      </w:r>
    </w:p>
    <w:p w14:paraId="653920A0" w14:textId="122AD454" w:rsidR="00633898" w:rsidRPr="00B723FC" w:rsidRDefault="7FF28CE3" w:rsidP="00B723FC">
      <w:pPr>
        <w:spacing w:after="240" w:line="240" w:lineRule="auto"/>
        <w:jc w:val="both"/>
        <w:rPr>
          <w:rFonts w:ascii="Times New Roman" w:eastAsia="Times New Roman" w:hAnsi="Times New Roman" w:cs="Times New Roman"/>
          <w:noProof/>
          <w:color w:val="000000" w:themeColor="text1"/>
        </w:rPr>
      </w:pPr>
      <w:r>
        <w:rPr>
          <w:rFonts w:ascii="Times New Roman" w:hAnsi="Times New Roman"/>
          <w:b/>
          <w:noProof/>
        </w:rPr>
        <w:t>Le fait de connaître nos faiblesses et d’y remédier nous rendra plus résilients.</w:t>
      </w:r>
      <w:r>
        <w:rPr>
          <w:rFonts w:ascii="Times New Roman" w:hAnsi="Times New Roman"/>
          <w:noProof/>
        </w:rPr>
        <w:t xml:space="preserve"> Face à la multiplication des cyberattaques ciblant des installations liées à l’eau et à la gravité croissante de leurs conséquences, une planification appropriée de la sécurité et une meilleure compréhension des vulnérabilités aideront l’Union et les opérateurs économiques à </w:t>
      </w:r>
      <w:r>
        <w:rPr>
          <w:rFonts w:ascii="Times New Roman" w:hAnsi="Times New Roman"/>
          <w:noProof/>
          <w:color w:val="000000"/>
        </w:rPr>
        <w:t>contrer les actions hostiles dirigées contre l’intégrité physique et la cyberintégrité</w:t>
      </w:r>
      <w:r>
        <w:rPr>
          <w:rFonts w:ascii="Times New Roman" w:hAnsi="Times New Roman"/>
          <w:noProof/>
        </w:rPr>
        <w:t xml:space="preserve">, </w:t>
      </w:r>
      <w:r>
        <w:rPr>
          <w:rFonts w:ascii="Times New Roman" w:hAnsi="Times New Roman"/>
          <w:noProof/>
          <w:color w:val="000000" w:themeColor="text1"/>
        </w:rPr>
        <w:t>y compris</w:t>
      </w:r>
      <w:r>
        <w:rPr>
          <w:rFonts w:ascii="Times New Roman" w:hAnsi="Times New Roman"/>
          <w:noProof/>
        </w:rPr>
        <w:t xml:space="preserve"> </w:t>
      </w:r>
      <w:r>
        <w:rPr>
          <w:rFonts w:ascii="Times New Roman" w:hAnsi="Times New Roman"/>
          <w:noProof/>
          <w:color w:val="000000"/>
        </w:rPr>
        <w:t>les attaques</w:t>
      </w:r>
      <w:r>
        <w:rPr>
          <w:rFonts w:ascii="Times New Roman" w:hAnsi="Times New Roman"/>
          <w:noProof/>
        </w:rPr>
        <w:t xml:space="preserve"> </w:t>
      </w:r>
      <w:r>
        <w:rPr>
          <w:rFonts w:ascii="Times New Roman" w:hAnsi="Times New Roman"/>
          <w:noProof/>
          <w:color w:val="000000" w:themeColor="text1"/>
        </w:rPr>
        <w:t>visant</w:t>
      </w:r>
      <w:r>
        <w:rPr>
          <w:rFonts w:ascii="Times New Roman" w:hAnsi="Times New Roman"/>
          <w:noProof/>
        </w:rPr>
        <w:t xml:space="preserve"> les </w:t>
      </w:r>
      <w:r>
        <w:rPr>
          <w:rFonts w:ascii="Times New Roman" w:hAnsi="Times New Roman"/>
          <w:noProof/>
          <w:color w:val="000000"/>
        </w:rPr>
        <w:t>infrastructures d’approvisionnement</w:t>
      </w:r>
      <w:r>
        <w:rPr>
          <w:rFonts w:ascii="Times New Roman" w:hAnsi="Times New Roman"/>
          <w:noProof/>
        </w:rPr>
        <w:t xml:space="preserve"> </w:t>
      </w:r>
      <w:r>
        <w:rPr>
          <w:rFonts w:ascii="Times New Roman" w:hAnsi="Times New Roman"/>
          <w:noProof/>
          <w:color w:val="000000" w:themeColor="text1"/>
        </w:rPr>
        <w:t>en eau potable et de traitement des eaux usées</w:t>
      </w:r>
      <w:r>
        <w:rPr>
          <w:rFonts w:ascii="Times New Roman" w:hAnsi="Times New Roman"/>
          <w:noProof/>
        </w:rPr>
        <w:t xml:space="preserve"> </w:t>
      </w:r>
      <w:r>
        <w:rPr>
          <w:rFonts w:ascii="Times New Roman" w:hAnsi="Times New Roman"/>
          <w:noProof/>
          <w:color w:val="000000"/>
        </w:rPr>
        <w:t>et les contaminations délibérées par voie d’eau</w:t>
      </w:r>
      <w:r>
        <w:rPr>
          <w:rFonts w:ascii="Times New Roman" w:hAnsi="Times New Roman"/>
          <w:noProof/>
        </w:rPr>
        <w:t>.</w:t>
      </w:r>
      <w:r>
        <w:rPr>
          <w:rFonts w:ascii="Times New Roman" w:hAnsi="Times New Roman"/>
          <w:noProof/>
          <w:color w:val="000000"/>
        </w:rPr>
        <w:t xml:space="preserve"> Cette planification bénéficiera grandement de la mise en œuvre intégrale </w:t>
      </w:r>
      <w:r>
        <w:rPr>
          <w:rFonts w:ascii="Times New Roman" w:hAnsi="Times New Roman"/>
          <w:noProof/>
        </w:rPr>
        <w:t>de la directive sur la résilience des entités critiques (directive CER)</w:t>
      </w:r>
      <w:r>
        <w:rPr>
          <w:rStyle w:val="FootnoteReference"/>
          <w:rFonts w:ascii="Times New Roman" w:eastAsia="Times New Roman" w:hAnsi="Times New Roman" w:cs="Times New Roman"/>
          <w:noProof/>
        </w:rPr>
        <w:footnoteReference w:id="66"/>
      </w:r>
      <w:r>
        <w:rPr>
          <w:rFonts w:ascii="Times New Roman" w:hAnsi="Times New Roman"/>
          <w:noProof/>
        </w:rPr>
        <w:t xml:space="preserve"> et de la directive concernant des mesures destinées à assurer un niveau élevé commun de cybersécurité dans l’ensemble de l’Union (directive SRI 2)</w:t>
      </w:r>
      <w:r>
        <w:rPr>
          <w:rFonts w:ascii="Times New Roman" w:eastAsia="Times New Roman" w:hAnsi="Times New Roman" w:cs="Times New Roman"/>
          <w:noProof/>
          <w:vertAlign w:val="superscript"/>
        </w:rPr>
        <w:footnoteReference w:id="67"/>
      </w:r>
      <w:r>
        <w:rPr>
          <w:rFonts w:ascii="Times New Roman" w:hAnsi="Times New Roman"/>
          <w:noProof/>
        </w:rPr>
        <w:t>. La prochaine communication de la Commission établissant des lignes directrices non contraignantes afin d’aider les États membres à recenser leurs entités critiques et à rendre compte des résultats de leurs évaluations des risques s’appliquera aux secteurs de l’eau potable et des eaux usées, conformément au champ d’application de la directive CER. Un autre élément important du renforcement de la résilience de l’UE consiste à aider les pouvoirs publics, les entreprises et le public à se préparer aux futurs risques climatiques, notamment en recourant à des scénarios de référence communs en matière de climat et à des outils numériques pour les systèmes d’alerte rapide et de surveillance en temps réel de l’UE.</w:t>
      </w:r>
    </w:p>
    <w:tbl>
      <w:tblPr>
        <w:tblStyle w:val="TableGrid"/>
        <w:tblW w:w="0" w:type="auto"/>
        <w:tblLook w:val="04A0" w:firstRow="1" w:lastRow="0" w:firstColumn="1" w:lastColumn="0" w:noHBand="0" w:noVBand="1"/>
      </w:tblPr>
      <w:tblGrid>
        <w:gridCol w:w="7366"/>
        <w:gridCol w:w="1650"/>
      </w:tblGrid>
      <w:tr w:rsidR="791D9994" w:rsidRPr="009F333A" w14:paraId="155A76F2" w14:textId="77777777" w:rsidTr="1D1BF648">
        <w:trPr>
          <w:trHeight w:val="300"/>
        </w:trPr>
        <w:tc>
          <w:tcPr>
            <w:tcW w:w="7366" w:type="dxa"/>
            <w:shd w:val="clear" w:color="auto" w:fill="A5C9EB" w:themeFill="text2" w:themeFillTint="40"/>
          </w:tcPr>
          <w:p w14:paraId="53D552EE" w14:textId="29CD80FE" w:rsidR="59BC6D07" w:rsidRPr="009F333A" w:rsidRDefault="00633898" w:rsidP="791D9994">
            <w:pPr>
              <w:pStyle w:val="paragraph"/>
              <w:spacing w:before="0" w:beforeAutospacing="0" w:after="0" w:afterAutospacing="0"/>
              <w:jc w:val="center"/>
              <w:rPr>
                <w:b/>
                <w:bCs/>
                <w:noProof/>
                <w:sz w:val="24"/>
                <w:szCs w:val="24"/>
              </w:rPr>
            </w:pPr>
            <w:r>
              <w:rPr>
                <w:noProof/>
              </w:rPr>
              <w:t xml:space="preserve"> </w:t>
            </w:r>
            <w:r>
              <w:rPr>
                <w:b/>
                <w:noProof/>
                <w:sz w:val="24"/>
              </w:rPr>
              <w:t>Actions phares — La sécurité et la préparation pour renforcer la résilience collective</w:t>
            </w:r>
          </w:p>
        </w:tc>
        <w:tc>
          <w:tcPr>
            <w:tcW w:w="1650" w:type="dxa"/>
            <w:shd w:val="clear" w:color="auto" w:fill="A5C9EB" w:themeFill="text2" w:themeFillTint="40"/>
          </w:tcPr>
          <w:p w14:paraId="2F9924BC" w14:textId="768A7A48" w:rsidR="791D9994" w:rsidRPr="009F333A" w:rsidRDefault="791D9994" w:rsidP="791D9994">
            <w:pPr>
              <w:pStyle w:val="paragraph"/>
              <w:spacing w:before="0" w:beforeAutospacing="0" w:after="0" w:afterAutospacing="0"/>
              <w:jc w:val="center"/>
              <w:rPr>
                <w:rFonts w:eastAsia="Calibri"/>
                <w:b/>
                <w:bCs/>
                <w:noProof/>
                <w:sz w:val="24"/>
                <w:szCs w:val="24"/>
              </w:rPr>
            </w:pPr>
            <w:r>
              <w:rPr>
                <w:b/>
                <w:noProof/>
                <w:sz w:val="24"/>
              </w:rPr>
              <w:t>Calendrier</w:t>
            </w:r>
          </w:p>
        </w:tc>
      </w:tr>
      <w:tr w:rsidR="791D9994" w:rsidRPr="009F333A" w14:paraId="56A38F55" w14:textId="77777777" w:rsidTr="1D1BF648">
        <w:trPr>
          <w:trHeight w:val="557"/>
        </w:trPr>
        <w:tc>
          <w:tcPr>
            <w:tcW w:w="7366" w:type="dxa"/>
          </w:tcPr>
          <w:p w14:paraId="192DD3FE" w14:textId="7AC09B62" w:rsidR="791D9994" w:rsidRPr="009F333A" w:rsidRDefault="000741C2" w:rsidP="791D9994">
            <w:pPr>
              <w:jc w:val="both"/>
              <w:rPr>
                <w:rFonts w:ascii="Times New Roman" w:eastAsia="Times New Roman" w:hAnsi="Times New Roman" w:cs="Times New Roman"/>
                <w:noProof/>
                <w:sz w:val="24"/>
                <w:szCs w:val="24"/>
              </w:rPr>
            </w:pPr>
            <w:r>
              <w:rPr>
                <w:rFonts w:ascii="Times New Roman" w:hAnsi="Times New Roman"/>
                <w:noProof/>
                <w:sz w:val="24"/>
              </w:rPr>
              <w:t>Renforcer la résilience des infrastructures hydriques terrestres et en mer grâce à la mise en œuvre de la directive sur la résilience des entités critiques.</w:t>
            </w:r>
          </w:p>
        </w:tc>
        <w:tc>
          <w:tcPr>
            <w:tcW w:w="1650" w:type="dxa"/>
          </w:tcPr>
          <w:p w14:paraId="0A23322B" w14:textId="54C9E4A4" w:rsidR="791D9994" w:rsidRPr="009F333A" w:rsidRDefault="71716001" w:rsidP="791D9994">
            <w:pPr>
              <w:pStyle w:val="paragraph"/>
              <w:spacing w:before="0" w:beforeAutospacing="0" w:after="0" w:afterAutospacing="0"/>
              <w:jc w:val="center"/>
              <w:rPr>
                <w:rFonts w:eastAsia="Calibri"/>
                <w:noProof/>
                <w:sz w:val="24"/>
                <w:szCs w:val="24"/>
              </w:rPr>
            </w:pPr>
            <w:r>
              <w:rPr>
                <w:noProof/>
                <w:sz w:val="24"/>
              </w:rPr>
              <w:t>2025</w:t>
            </w:r>
          </w:p>
        </w:tc>
      </w:tr>
      <w:tr w:rsidR="791D9994" w:rsidRPr="009F333A" w14:paraId="33A3A006" w14:textId="77777777" w:rsidTr="1D1BF648">
        <w:trPr>
          <w:trHeight w:val="300"/>
        </w:trPr>
        <w:tc>
          <w:tcPr>
            <w:tcW w:w="7366" w:type="dxa"/>
          </w:tcPr>
          <w:p w14:paraId="0B893EC8" w14:textId="496356F9" w:rsidR="791D9994" w:rsidRPr="009F333A" w:rsidRDefault="0A36411C" w:rsidP="791D9994">
            <w:pPr>
              <w:jc w:val="both"/>
              <w:rPr>
                <w:rFonts w:ascii="Times New Roman" w:eastAsia="Times New Roman" w:hAnsi="Times New Roman" w:cs="Times New Roman"/>
                <w:noProof/>
                <w:sz w:val="24"/>
                <w:szCs w:val="24"/>
              </w:rPr>
            </w:pPr>
            <w:r>
              <w:rPr>
                <w:rFonts w:ascii="Times New Roman" w:hAnsi="Times New Roman"/>
                <w:noProof/>
                <w:sz w:val="24"/>
              </w:rPr>
              <w:t>Améliorer les systèmes d’alerte rapide et de surveillance en temps réel de l’UE en renforçant l’observatoire européen de la sécheresse et le système européen d'alerte pour les inondations du service Copernicus de gestion des urgences.</w:t>
            </w:r>
          </w:p>
        </w:tc>
        <w:tc>
          <w:tcPr>
            <w:tcW w:w="1650" w:type="dxa"/>
          </w:tcPr>
          <w:p w14:paraId="66907BDE" w14:textId="19AA550A" w:rsidR="791D9994" w:rsidRPr="009F333A" w:rsidRDefault="0A36411C" w:rsidP="791D9994">
            <w:pPr>
              <w:pStyle w:val="paragraph"/>
              <w:spacing w:before="0" w:beforeAutospacing="0" w:after="0" w:afterAutospacing="0"/>
              <w:jc w:val="center"/>
              <w:rPr>
                <w:rFonts w:eastAsia="Calibri"/>
                <w:noProof/>
                <w:sz w:val="24"/>
                <w:szCs w:val="24"/>
              </w:rPr>
            </w:pPr>
            <w:r>
              <w:rPr>
                <w:noProof/>
                <w:sz w:val="24"/>
              </w:rPr>
              <w:t>À partir de 2025</w:t>
            </w:r>
          </w:p>
        </w:tc>
      </w:tr>
      <w:tr w:rsidR="791D9994" w:rsidRPr="009F333A" w14:paraId="1D5A23A8" w14:textId="77777777" w:rsidTr="1D1BF648">
        <w:trPr>
          <w:trHeight w:val="300"/>
        </w:trPr>
        <w:tc>
          <w:tcPr>
            <w:tcW w:w="7366" w:type="dxa"/>
            <w:shd w:val="clear" w:color="auto" w:fill="auto"/>
          </w:tcPr>
          <w:p w14:paraId="292F4E16" w14:textId="76897944" w:rsidR="5CFBCBB8" w:rsidRPr="009F333A" w:rsidRDefault="00C509FD" w:rsidP="5CFBCBB8">
            <w:pPr>
              <w:jc w:val="both"/>
              <w:rPr>
                <w:rFonts w:ascii="Times New Roman" w:eastAsia="Calibri" w:hAnsi="Times New Roman" w:cs="Times New Roman"/>
                <w:noProof/>
                <w:sz w:val="24"/>
                <w:szCs w:val="24"/>
              </w:rPr>
            </w:pPr>
            <w:r>
              <w:rPr>
                <w:rFonts w:ascii="Times New Roman" w:hAnsi="Times New Roman"/>
                <w:noProof/>
                <w:sz w:val="24"/>
              </w:rPr>
              <w:t>Adopter un plan européen d’adaptation au changement climatique.</w:t>
            </w:r>
          </w:p>
        </w:tc>
        <w:tc>
          <w:tcPr>
            <w:tcW w:w="1650" w:type="dxa"/>
            <w:shd w:val="clear" w:color="auto" w:fill="auto"/>
          </w:tcPr>
          <w:p w14:paraId="07A39DD3" w14:textId="3E306098" w:rsidR="5CFBCBB8" w:rsidRPr="009F333A" w:rsidRDefault="5CFBCBB8" w:rsidP="5CFBCBB8">
            <w:pPr>
              <w:pStyle w:val="paragraph"/>
              <w:spacing w:before="0" w:beforeAutospacing="0" w:after="0" w:afterAutospacing="0"/>
              <w:jc w:val="center"/>
              <w:rPr>
                <w:rFonts w:eastAsia="Calibri"/>
                <w:noProof/>
                <w:sz w:val="24"/>
                <w:szCs w:val="24"/>
              </w:rPr>
            </w:pPr>
            <w:r>
              <w:rPr>
                <w:noProof/>
                <w:sz w:val="24"/>
              </w:rPr>
              <w:t>2026</w:t>
            </w:r>
          </w:p>
        </w:tc>
      </w:tr>
    </w:tbl>
    <w:p w14:paraId="5B1BA326" w14:textId="77777777" w:rsidR="00B723FC" w:rsidRDefault="00B723FC" w:rsidP="00BE7C07">
      <w:pPr>
        <w:pStyle w:val="Heading1"/>
        <w:spacing w:before="0" w:after="240"/>
        <w:jc w:val="both"/>
        <w:rPr>
          <w:rFonts w:ascii="Times New Roman Bold" w:hAnsi="Times New Roman Bold" w:cs="Times New Roman"/>
          <w:b/>
          <w:smallCaps/>
          <w:noProof/>
          <w:color w:val="000000" w:themeColor="text1"/>
          <w:sz w:val="24"/>
          <w:szCs w:val="24"/>
        </w:rPr>
      </w:pPr>
      <w:bookmarkStart w:id="9" w:name="_Hlk197781440"/>
    </w:p>
    <w:p w14:paraId="63328BBD" w14:textId="3906F617" w:rsidR="00EF6F10" w:rsidRPr="009F333A" w:rsidRDefault="008A0B73" w:rsidP="00BE7C07">
      <w:pPr>
        <w:pStyle w:val="Heading1"/>
        <w:spacing w:before="0" w:after="240"/>
        <w:jc w:val="both"/>
        <w:rPr>
          <w:rFonts w:ascii="Times New Roman Bold" w:hAnsi="Times New Roman Bold" w:cs="Times New Roman"/>
          <w:b/>
          <w:smallCaps/>
          <w:noProof/>
          <w:color w:val="000000" w:themeColor="text1"/>
          <w:sz w:val="24"/>
          <w:szCs w:val="24"/>
        </w:rPr>
      </w:pPr>
      <w:r>
        <w:rPr>
          <w:rFonts w:ascii="Times New Roman Bold" w:hAnsi="Times New Roman Bold"/>
          <w:b/>
          <w:smallCaps/>
          <w:noProof/>
          <w:color w:val="000000" w:themeColor="text1"/>
          <w:sz w:val="24"/>
        </w:rPr>
        <w:t>4.</w:t>
      </w:r>
      <w:r>
        <w:rPr>
          <w:noProof/>
        </w:rPr>
        <w:tab/>
      </w:r>
      <w:r>
        <w:rPr>
          <w:rFonts w:ascii="Times New Roman Bold" w:hAnsi="Times New Roman Bold"/>
          <w:b/>
          <w:smallCaps/>
          <w:noProof/>
          <w:color w:val="000000" w:themeColor="text1"/>
          <w:sz w:val="24"/>
        </w:rPr>
        <w:t xml:space="preserve">Agir à l’échelle mondiale — montrer l’exemple, s’engager et prendre des initiatives </w:t>
      </w:r>
    </w:p>
    <w:bookmarkEnd w:id="9"/>
    <w:p w14:paraId="59E7E21A" w14:textId="165A7DEB" w:rsidR="003E152B" w:rsidRPr="009F333A" w:rsidRDefault="76ABD5FE" w:rsidP="4251B09A">
      <w:pPr>
        <w:spacing w:before="100" w:beforeAutospacing="1" w:after="240" w:line="240" w:lineRule="auto"/>
        <w:jc w:val="both"/>
        <w:rPr>
          <w:rFonts w:ascii="Times New Roman" w:eastAsiaTheme="minorEastAsia" w:hAnsi="Times New Roman" w:cs="Times New Roman"/>
          <w:noProof/>
        </w:rPr>
      </w:pPr>
      <w:r>
        <w:rPr>
          <w:rFonts w:ascii="Times New Roman" w:hAnsi="Times New Roman"/>
          <w:b/>
          <w:noProof/>
        </w:rPr>
        <w:t xml:space="preserve">Il reste cinq ans jusqu’à la fin du programme de développement durable à l’horizon 2030. </w:t>
      </w:r>
      <w:r>
        <w:rPr>
          <w:rFonts w:ascii="Times New Roman" w:hAnsi="Times New Roman"/>
          <w:b/>
          <w:bCs/>
          <w:noProof/>
        </w:rPr>
        <w:t>Les progrès accomplis dans la réalisation de l’objectif de développement durable nº 6</w:t>
      </w:r>
      <w:r>
        <w:rPr>
          <w:rStyle w:val="FootnoteReference"/>
          <w:rFonts w:ascii="Times New Roman" w:eastAsiaTheme="minorEastAsia" w:hAnsi="Times New Roman" w:cs="Times New Roman"/>
          <w:b/>
          <w:bCs/>
          <w:noProof/>
        </w:rPr>
        <w:footnoteReference w:id="68"/>
      </w:r>
      <w:r>
        <w:rPr>
          <w:rFonts w:ascii="Times New Roman" w:hAnsi="Times New Roman"/>
          <w:b/>
          <w:bCs/>
          <w:noProof/>
        </w:rPr>
        <w:t xml:space="preserve"> sont nettement inférieurs au rythme nécessaire</w:t>
      </w:r>
      <w:r>
        <w:rPr>
          <w:rFonts w:ascii="Times New Roman" w:hAnsi="Times New Roman"/>
          <w:noProof/>
        </w:rPr>
        <w:t>. Dans le monde, 2,2 milliards de personnes n’ont toujours pas accès à une eau potable salubre, plus de la moitié de l’humanité n’a pas accès à des installations sanitaires sûres et de nombreux bassins versants connaissent des niveaux de dégradation croissants, ce qui menace la santé des écosystèmes et la disponibilité de l’eau. Le changement climatique exacerbe cette situation. Les zones humides sont les milieux naturels qui gèrent le mieux l’eau. Cependant, elles disparaissent trois fois plus vite que les forêts à travers le monde, ce qui accroît le risque de désertification et d’inondations. Selon les projections, près de la moitié de la population mondiale sera confrontée au stress hydrique d’ici à 2030</w:t>
      </w:r>
      <w:r>
        <w:rPr>
          <w:rStyle w:val="FootnoteReference"/>
          <w:rFonts w:ascii="Times New Roman" w:eastAsiaTheme="minorEastAsia" w:hAnsi="Times New Roman" w:cs="Times New Roman"/>
          <w:noProof/>
        </w:rPr>
        <w:footnoteReference w:id="69"/>
      </w:r>
      <w:r>
        <w:rPr>
          <w:rFonts w:ascii="Times New Roman" w:hAnsi="Times New Roman"/>
          <w:noProof/>
        </w:rPr>
        <w:t>. </w:t>
      </w:r>
    </w:p>
    <w:p w14:paraId="2FD9EECA" w14:textId="429C1EF0" w:rsidR="003E152B" w:rsidRPr="009F333A" w:rsidRDefault="7986D151" w:rsidP="00B723FC">
      <w:pPr>
        <w:spacing w:after="240" w:line="240" w:lineRule="auto"/>
        <w:jc w:val="both"/>
        <w:rPr>
          <w:rFonts w:ascii="Times New Roman" w:eastAsiaTheme="minorEastAsia" w:hAnsi="Times New Roman" w:cs="Times New Roman"/>
          <w:noProof/>
        </w:rPr>
      </w:pPr>
      <w:r>
        <w:rPr>
          <w:rFonts w:ascii="Times New Roman" w:hAnsi="Times New Roman"/>
          <w:b/>
          <w:bCs/>
          <w:noProof/>
        </w:rPr>
        <w:t>Une action mondiale rapide et porteuse de transformation, consistant notamment en une redéfinition de la manière dont nous valorisons et régissons l’eau pour le bien commun, est nécessaire pour éviter une accélération de la crise de l’eau</w:t>
      </w:r>
      <w:r>
        <w:rPr>
          <w:rFonts w:ascii="Times New Roman" w:hAnsi="Times New Roman"/>
          <w:noProof/>
        </w:rPr>
        <w:t>. Grâce à ses actions menées au titre de la stratégie «Global Gateway», l’UE contribuera à protéger et à restaurer le cycle mondial de l’eau, à construire une économie intelligente dans le domaine de l’eau et à garantir la sécurité de l’eau pour tous, conformément aux objectifs de la présente stratégie au niveau de l’UE et au pacte pour l’avenir</w:t>
      </w:r>
      <w:r>
        <w:rPr>
          <w:rStyle w:val="FootnoteReference"/>
          <w:rFonts w:ascii="Times New Roman" w:eastAsiaTheme="minorEastAsia" w:hAnsi="Times New Roman" w:cs="Times New Roman"/>
          <w:noProof/>
        </w:rPr>
        <w:footnoteReference w:id="70"/>
      </w:r>
      <w:r>
        <w:rPr>
          <w:rFonts w:ascii="Times New Roman" w:hAnsi="Times New Roman"/>
          <w:noProof/>
        </w:rPr>
        <w:t xml:space="preserve">. L’UE développera des partenariats stratégiques et la diplomatie de l’eau afin de promouvoir la gestion intégrée des ressources en eau, l’approche de la source à la mer, le recours à des solutions fondées sur la nature, les investissements dans la gestion durable de l’eau et l’assainissement pour tous, ainsi que les réformes politiques axées sur l’innovation. Dans le cadre de la mise en place d’une économie intelligente, circulaire et compétitive dans le domaine de l’eau, l’UE soutiendra des initiatives mondiales visant à promouvoir l’utilisation rationnelle et la réutilisation de l’eau dans tous les secteurs économiques. </w:t>
      </w:r>
      <w:bookmarkStart w:id="10" w:name="_Hlk198290661"/>
      <w:r>
        <w:rPr>
          <w:rFonts w:ascii="Times New Roman" w:hAnsi="Times New Roman"/>
          <w:noProof/>
        </w:rPr>
        <w:t>En outre, l’UE soutiendra la finalisation et l’adoption des lignes directrices du Codex Alimentarius</w:t>
      </w:r>
      <w:r>
        <w:rPr>
          <w:rStyle w:val="FootnoteReference"/>
          <w:rFonts w:ascii="Times New Roman" w:eastAsiaTheme="minorEastAsia" w:hAnsi="Times New Roman" w:cs="Times New Roman"/>
          <w:noProof/>
        </w:rPr>
        <w:footnoteReference w:id="71"/>
      </w:r>
      <w:r>
        <w:rPr>
          <w:rFonts w:ascii="Times New Roman" w:hAnsi="Times New Roman"/>
          <w:noProof/>
        </w:rPr>
        <w:t xml:space="preserve"> visant à garantir une utilisation et une réutilisation microbiologiquement sûres de l’eau dans la production alimentaire dans le monde entier</w:t>
      </w:r>
      <w:bookmarkEnd w:id="10"/>
      <w:r>
        <w:rPr>
          <w:rFonts w:ascii="Times New Roman" w:hAnsi="Times New Roman"/>
          <w:noProof/>
        </w:rPr>
        <w:t>.</w:t>
      </w:r>
    </w:p>
    <w:p w14:paraId="56AA9213" w14:textId="2AB418A1" w:rsidR="003E152B" w:rsidRPr="009F333A" w:rsidRDefault="7986D151" w:rsidP="4251B09A">
      <w:pPr>
        <w:spacing w:after="240" w:line="240" w:lineRule="auto"/>
        <w:jc w:val="both"/>
        <w:rPr>
          <w:rFonts w:ascii="Times New Roman" w:eastAsiaTheme="minorEastAsia" w:hAnsi="Times New Roman" w:cs="Times New Roman"/>
          <w:noProof/>
        </w:rPr>
      </w:pPr>
      <w:r>
        <w:rPr>
          <w:rFonts w:ascii="Times New Roman" w:hAnsi="Times New Roman"/>
          <w:b/>
          <w:bCs/>
          <w:noProof/>
        </w:rPr>
        <w:t>Le lien entre l’eau, la paix et la sécurité sera renforcé</w:t>
      </w:r>
      <w:r>
        <w:rPr>
          <w:rFonts w:ascii="Times New Roman" w:hAnsi="Times New Roman"/>
          <w:noProof/>
        </w:rPr>
        <w:t xml:space="preserve"> en réunissant des acteurs de l’aide humanitaire, du développement et de la paix pour plaider en faveur du respect du droit international humanitaire afin de garantir la sûreté et la sécurité des ressources en eau, du personnel chargé de l’eau et des infrastructures dans les zones de conflit. En fixant des exigences environnementales minimales pour les opérations d’aide humanitaire financées par l’Union, l’UE œuvre à la durabilité des ressources en eau dans des contextes particulièrement touchés par les pénuries d’eau</w:t>
      </w:r>
      <w:r>
        <w:rPr>
          <w:rStyle w:val="FootnoteReference"/>
          <w:rFonts w:ascii="Times New Roman" w:eastAsiaTheme="minorEastAsia" w:hAnsi="Times New Roman" w:cs="Times New Roman"/>
          <w:noProof/>
        </w:rPr>
        <w:footnoteReference w:id="72"/>
      </w:r>
      <w:r>
        <w:rPr>
          <w:rFonts w:ascii="Times New Roman" w:hAnsi="Times New Roman"/>
          <w:noProof/>
        </w:rPr>
        <w:t>.</w:t>
      </w:r>
    </w:p>
    <w:p w14:paraId="27F30B1C" w14:textId="0FF63FB9" w:rsidR="0010597D" w:rsidRPr="009F333A" w:rsidRDefault="3F4E58D5" w:rsidP="00B723FC">
      <w:pPr>
        <w:spacing w:after="240" w:line="240" w:lineRule="auto"/>
        <w:jc w:val="both"/>
        <w:rPr>
          <w:rFonts w:ascii="Times New Roman" w:eastAsiaTheme="minorEastAsia" w:hAnsi="Times New Roman" w:cs="Times New Roman"/>
          <w:noProof/>
        </w:rPr>
      </w:pPr>
      <w:r>
        <w:rPr>
          <w:rFonts w:ascii="Times New Roman" w:hAnsi="Times New Roman"/>
          <w:b/>
          <w:noProof/>
        </w:rPr>
        <w:t>Une gouvernance mondiale plus forte dans le domaine de l’eau est essentielle pour garantir des progrès constants, livrer une orientation stratégique et surmonter la fragmentation.</w:t>
      </w:r>
      <w:r>
        <w:rPr>
          <w:rFonts w:ascii="Times New Roman" w:hAnsi="Times New Roman"/>
          <w:noProof/>
        </w:rPr>
        <w:t> La conférence des Nations unies sur l’eau de 2023 a résolument placé l’eau au cœur du paysage politique mondial avec l’ambitieux Programme d’action pour l’eau</w:t>
      </w:r>
      <w:r>
        <w:rPr>
          <w:rFonts w:ascii="Times New Roman" w:eastAsiaTheme="minorEastAsia" w:hAnsi="Times New Roman" w:cs="Times New Roman"/>
          <w:noProof/>
          <w:vertAlign w:val="superscript"/>
        </w:rPr>
        <w:footnoteReference w:id="73"/>
      </w:r>
      <w:r>
        <w:rPr>
          <w:rFonts w:ascii="Times New Roman" w:hAnsi="Times New Roman"/>
          <w:noProof/>
        </w:rPr>
        <w:t>, suivi de la résolution UNEA-6 sur l’eau</w:t>
      </w:r>
      <w:r>
        <w:rPr>
          <w:rFonts w:ascii="Times New Roman" w:eastAsiaTheme="minorEastAsia" w:hAnsi="Times New Roman" w:cs="Times New Roman"/>
          <w:noProof/>
          <w:vertAlign w:val="superscript"/>
        </w:rPr>
        <w:footnoteReference w:id="74"/>
      </w:r>
      <w:r>
        <w:rPr>
          <w:rFonts w:ascii="Times New Roman" w:hAnsi="Times New Roman"/>
          <w:noProof/>
        </w:rPr>
        <w:t>, de la stratégie en matière d’eau et d’assainissement à l’échelle du système</w:t>
      </w:r>
      <w:r>
        <w:rPr>
          <w:rFonts w:ascii="Times New Roman" w:eastAsiaTheme="minorEastAsia" w:hAnsi="Times New Roman" w:cs="Times New Roman"/>
          <w:noProof/>
          <w:vertAlign w:val="superscript"/>
        </w:rPr>
        <w:footnoteReference w:id="75"/>
      </w:r>
      <w:r>
        <w:rPr>
          <w:rFonts w:ascii="Times New Roman" w:hAnsi="Times New Roman"/>
          <w:noProof/>
        </w:rPr>
        <w:t xml:space="preserve"> et de la nomination de l’envoyé spécial des Nations unies pour l’eau. L’UE s’efforcera de parvenir à un résultat ambitieux et concret lors des prochaines conférences des Nations unies sur l’eau, notamment la mise en place d’un processus intergouvernemental régulier des Nations unies sur l’eau, l’intégration de l’eau dans les processus multilatéraux et la participation à des coalitions clés. Elle associera également les pays partenaires à la gouvernance de l’eau, notamment en mettant en place son réseau d’envoyés pour l’eau des États membres de l’UE.</w:t>
      </w:r>
    </w:p>
    <w:p w14:paraId="770A8F2E" w14:textId="340E33F0" w:rsidR="4251B09A" w:rsidRDefault="7986D151" w:rsidP="4251B09A">
      <w:pPr>
        <w:spacing w:after="0" w:line="240" w:lineRule="auto"/>
        <w:jc w:val="both"/>
        <w:rPr>
          <w:rFonts w:ascii="Times New Roman" w:eastAsiaTheme="minorEastAsia" w:hAnsi="Times New Roman" w:cs="Times New Roman"/>
          <w:noProof/>
        </w:rPr>
      </w:pPr>
      <w:r>
        <w:rPr>
          <w:rFonts w:ascii="Times New Roman" w:hAnsi="Times New Roman"/>
          <w:b/>
          <w:bCs/>
          <w:noProof/>
        </w:rPr>
        <w:t>L’UE soutiendra la prorogation de la convention des Nations unies sur l’eau</w:t>
      </w:r>
      <w:r>
        <w:rPr>
          <w:rStyle w:val="FootnoteReference"/>
          <w:rFonts w:ascii="Times New Roman" w:eastAsiaTheme="minorEastAsia" w:hAnsi="Times New Roman" w:cs="Times New Roman"/>
          <w:noProof/>
        </w:rPr>
        <w:footnoteReference w:id="76"/>
      </w:r>
      <w:r>
        <w:rPr>
          <w:rFonts w:ascii="Times New Roman" w:hAnsi="Times New Roman"/>
          <w:noProof/>
        </w:rPr>
        <w:t xml:space="preserve"> afin de promouvoir la gestion durable des ressources en eau partagées, la prévention des conflits, la consolidation de la paix, la sécurité et le développement économique.</w:t>
      </w:r>
      <w:r>
        <w:rPr>
          <w:rFonts w:ascii="Times New Roman" w:hAnsi="Times New Roman"/>
          <w:noProof/>
          <w:vertAlign w:val="superscript"/>
        </w:rPr>
        <w:t xml:space="preserve"> </w:t>
      </w:r>
      <w:r>
        <w:rPr>
          <w:rFonts w:ascii="Times New Roman" w:hAnsi="Times New Roman"/>
          <w:noProof/>
        </w:rPr>
        <w:t>Par l’intermédiaire de la stratégie «Global Gateway»</w:t>
      </w:r>
      <w:r>
        <w:rPr>
          <w:rStyle w:val="FootnoteReference"/>
          <w:rFonts w:ascii="Times New Roman" w:eastAsiaTheme="minorEastAsia" w:hAnsi="Times New Roman" w:cs="Times New Roman"/>
          <w:noProof/>
        </w:rPr>
        <w:footnoteReference w:id="77"/>
      </w:r>
      <w:r>
        <w:rPr>
          <w:rFonts w:ascii="Times New Roman" w:hAnsi="Times New Roman"/>
          <w:noProof/>
        </w:rPr>
        <w:t>, l’Équipe Europe (la Commission, la BEI et les institutions de financement du développement des États membres) met à disposition plus de 1,2 milliard d’EUR pour soutenir la gouvernance, les connaissances et les investissements dans 18 grands bassins hydrographiques transfrontières dans 47 pays d’Afrique et d’Asie centrale. Il s’agit notamment d’initiatives telles que le Fonds international pour la mer d’Aral et le programme pour l’Afrique bleue.</w:t>
      </w:r>
    </w:p>
    <w:p w14:paraId="63D4FCC7" w14:textId="008D1D33" w:rsidR="003E152B" w:rsidRPr="009F333A" w:rsidRDefault="7986D151" w:rsidP="4251B09A">
      <w:pPr>
        <w:spacing w:before="100" w:beforeAutospacing="1" w:after="240" w:line="276" w:lineRule="auto"/>
        <w:jc w:val="both"/>
        <w:rPr>
          <w:rFonts w:ascii="Times New Roman" w:eastAsiaTheme="minorEastAsia" w:hAnsi="Times New Roman" w:cs="Times New Roman"/>
          <w:noProof/>
        </w:rPr>
      </w:pPr>
      <w:r>
        <w:rPr>
          <w:rFonts w:ascii="Times New Roman" w:hAnsi="Times New Roman"/>
          <w:b/>
          <w:bCs/>
          <w:noProof/>
        </w:rPr>
        <w:t>L’UE renforcera les partenariats nationaux et régionaux dans le domaine de l’eau</w:t>
      </w:r>
      <w:r>
        <w:rPr>
          <w:rFonts w:ascii="Times New Roman" w:hAnsi="Times New Roman"/>
          <w:noProof/>
        </w:rPr>
        <w:t>. Il s’agit notamment de la stratégie pour l’eau à l’horizon 2030 de l’Union pour la Méditerranée et du futur nouveau pacte pour la Méditerranée, qui vise à remédier aux pénuries croissantes d’eau et aux effets climatiques dans la région. L’UE soutiendra les pays candidats et les pays voisins, notamment par l’intermédiaire du cadre d’investissement en faveur des Balkans occidentaux et du voisinage oriental ainsi que de la facilité pour l’Ukraine. Dans ce contexte, l’approche stratégique de l’UE à l’égard de la mer Noire</w:t>
      </w:r>
      <w:r>
        <w:rPr>
          <w:rStyle w:val="FootnoteReference"/>
          <w:rFonts w:ascii="Times New Roman" w:eastAsiaTheme="minorEastAsia" w:hAnsi="Times New Roman" w:cs="Times New Roman"/>
          <w:noProof/>
        </w:rPr>
        <w:footnoteReference w:id="78"/>
      </w:r>
      <w:r>
        <w:rPr>
          <w:rFonts w:ascii="Times New Roman" w:hAnsi="Times New Roman"/>
          <w:noProof/>
        </w:rPr>
        <w:t xml:space="preserve"> revêt une importance particulière pour soutenir les communautés locales contre, entre autres, les dommages environnementaux liés à la guerre. L’UE proposera l’introduction de la législation pertinente dans le domaine de l’eau dans l’acquis couvert par le traité instituant la Communauté de l’énergie</w:t>
      </w:r>
      <w:r>
        <w:rPr>
          <w:rStyle w:val="FootnoteReference"/>
          <w:rFonts w:ascii="Times New Roman" w:eastAsiaTheme="minorEastAsia" w:hAnsi="Times New Roman" w:cs="Times New Roman"/>
          <w:noProof/>
          <w:lang w:val="en-GB"/>
        </w:rPr>
        <w:footnoteReference w:id="79"/>
      </w:r>
      <w:r>
        <w:rPr>
          <w:rFonts w:ascii="Times New Roman" w:hAnsi="Times New Roman"/>
          <w:noProof/>
        </w:rPr>
        <w:t>. L’UE et l’Asie centrale renforceront leur coopération dans le cadre du partenariat stratégique récemment convenu, qui prévoit un paquet d’investissement «Global Gateway» d’un montant de 12 milliards d’EUR axé sur quatre priorités essentielles, dont le climat, l’eau et l’énergie. L’industrie de pointe de l’UE dans le domaine de l’eau est essentielle pour aider les pays partenaires, développer des technologies économes en eau, financer des infrastructures durables et stimuler l’innovation. L’UE soutiendra les mesures d’incitation, les mécanismes de financement et les PME du secteur de l’eau afin de tirer parti des débouchés commerciaux pertinents.</w:t>
      </w:r>
    </w:p>
    <w:p w14:paraId="406338E9" w14:textId="22BFDF9F" w:rsidR="00922BFF" w:rsidRPr="009F333A" w:rsidRDefault="5BF79FF7" w:rsidP="4251B09A">
      <w:pPr>
        <w:spacing w:before="100" w:beforeAutospacing="1" w:after="240" w:line="240" w:lineRule="auto"/>
        <w:jc w:val="both"/>
        <w:rPr>
          <w:rFonts w:ascii="Times New Roman" w:eastAsiaTheme="minorEastAsia" w:hAnsi="Times New Roman" w:cs="Times New Roman"/>
          <w:noProof/>
        </w:rPr>
      </w:pPr>
      <w:r>
        <w:rPr>
          <w:rFonts w:ascii="Times New Roman" w:hAnsi="Times New Roman"/>
          <w:b/>
          <w:bCs/>
          <w:noProof/>
        </w:rPr>
        <w:t>L’UE reste déterminée à contribuer à combler le déficit considérable de financement international dans le domaine de l’eau</w:t>
      </w:r>
      <w:r>
        <w:rPr>
          <w:rFonts w:ascii="Times New Roman" w:hAnsi="Times New Roman"/>
          <w:noProof/>
        </w:rPr>
        <w:t>. Grâce à la stratégie «Global Gateway», l’UE et ses États membres restent les principaux bailleurs de l’aide publique au développement, notamment en ce qui concerne les infrastructures hydriques et les solutions fondées sur la nature, et ces financements sont renforcés par la mobilisation du secteur privé au titre du Fonds européen pour le développement durable (FEDD +). La BEI et la Banque européenne pour la reconstruction et le développement, ainsi que d’autres banques multilatérales de développement, se sont engagées à accroître les niveaux de financement de la sécurité de l’eau et renforceront leur coopération</w:t>
      </w:r>
      <w:r>
        <w:rPr>
          <w:rStyle w:val="FootnoteReference"/>
          <w:rFonts w:ascii="Times New Roman" w:eastAsiaTheme="minorEastAsia" w:hAnsi="Times New Roman" w:cs="Times New Roman"/>
          <w:noProof/>
          <w:lang w:val="en-US"/>
        </w:rPr>
        <w:footnoteReference w:id="80"/>
      </w:r>
      <w:r>
        <w:rPr>
          <w:rFonts w:ascii="Times New Roman" w:hAnsi="Times New Roman"/>
          <w:noProof/>
        </w:rPr>
        <w:t>. L’UE continuera de soutenir les investissements, principalement au moyen de mécanismes mixtes et de garanties, et d’améliorer le climat d’investissement en facilitant les réformes juridiques et en plaidant pour des normes sociales et environnementales élevées. Il s’agit notamment d’initiatives telles que Climate Investor 2, un mécanisme de financement mixte mobilisant jusqu’à 2,2 milliards d’EUR pour des projets dans le domaine de l’eau, de l’assainissement et des infrastructures océaniques, ainsi que des marchés publics stratégiques et un soutien aux cadres environnementaux, sociaux et de gouvernance. Les partenariats en matière de commerce et d’investissement propres pourraient également jouer un rôle.</w:t>
      </w:r>
    </w:p>
    <w:tbl>
      <w:tblPr>
        <w:tblW w:w="902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33"/>
        <w:gridCol w:w="2392"/>
      </w:tblGrid>
      <w:tr w:rsidR="0058425F" w:rsidRPr="009F333A" w14:paraId="6220D593" w14:textId="77777777" w:rsidTr="00CB6DEB">
        <w:trPr>
          <w:trHeight w:val="300"/>
        </w:trPr>
        <w:tc>
          <w:tcPr>
            <w:tcW w:w="663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9788FB6" w14:textId="5C41ED95" w:rsidR="0058425F" w:rsidRPr="009F333A" w:rsidRDefault="0058425F" w:rsidP="007E625D">
            <w:pPr>
              <w:spacing w:after="0" w:line="240" w:lineRule="auto"/>
              <w:ind w:left="152" w:right="99"/>
              <w:jc w:val="center"/>
              <w:rPr>
                <w:rFonts w:ascii="Times New Roman" w:eastAsiaTheme="minorEastAsia" w:hAnsi="Times New Roman" w:cs="Times New Roman"/>
                <w:noProof/>
              </w:rPr>
            </w:pPr>
            <w:r>
              <w:rPr>
                <w:rFonts w:ascii="Times New Roman" w:hAnsi="Times New Roman"/>
                <w:b/>
                <w:noProof/>
              </w:rPr>
              <w:t>Actions phares — Agir à l’échelle mondiale — montrer l’exemple, s’engager et prendre des initiatives</w:t>
            </w:r>
          </w:p>
        </w:tc>
        <w:tc>
          <w:tcPr>
            <w:tcW w:w="2392"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012E23D2" w14:textId="77777777" w:rsidR="0058425F" w:rsidRPr="009F333A" w:rsidRDefault="0058425F" w:rsidP="00CB6DEB">
            <w:pPr>
              <w:spacing w:after="0" w:line="240" w:lineRule="auto"/>
              <w:jc w:val="center"/>
              <w:rPr>
                <w:rFonts w:ascii="Times New Roman" w:eastAsiaTheme="minorEastAsia" w:hAnsi="Times New Roman" w:cs="Times New Roman"/>
                <w:noProof/>
              </w:rPr>
            </w:pPr>
            <w:r>
              <w:rPr>
                <w:rFonts w:ascii="Times New Roman" w:hAnsi="Times New Roman"/>
                <w:b/>
                <w:noProof/>
              </w:rPr>
              <w:t>Calendrier</w:t>
            </w:r>
            <w:r>
              <w:rPr>
                <w:rFonts w:ascii="Times New Roman" w:hAnsi="Times New Roman"/>
                <w:noProof/>
              </w:rPr>
              <w:t xml:space="preserve"> </w:t>
            </w:r>
          </w:p>
        </w:tc>
      </w:tr>
      <w:tr w:rsidR="0058425F" w:rsidRPr="009F333A" w14:paraId="50F909BB" w14:textId="77777777" w:rsidTr="00CB6DEB">
        <w:trPr>
          <w:trHeight w:val="300"/>
        </w:trPr>
        <w:tc>
          <w:tcPr>
            <w:tcW w:w="6633" w:type="dxa"/>
            <w:tcBorders>
              <w:top w:val="nil"/>
              <w:left w:val="single" w:sz="6" w:space="0" w:color="auto"/>
              <w:bottom w:val="single" w:sz="6" w:space="0" w:color="auto"/>
              <w:right w:val="single" w:sz="6" w:space="0" w:color="auto"/>
            </w:tcBorders>
            <w:shd w:val="clear" w:color="auto" w:fill="auto"/>
            <w:vAlign w:val="center"/>
            <w:hideMark/>
          </w:tcPr>
          <w:p w14:paraId="6C6B850A" w14:textId="3BBAA2D8" w:rsidR="0058425F" w:rsidRPr="009F333A" w:rsidRDefault="0058425F" w:rsidP="00CB6DEB">
            <w:pPr>
              <w:spacing w:after="0" w:line="240" w:lineRule="auto"/>
              <w:ind w:left="152" w:right="99"/>
              <w:jc w:val="both"/>
              <w:rPr>
                <w:rFonts w:ascii="Times New Roman" w:eastAsiaTheme="minorEastAsia" w:hAnsi="Times New Roman" w:cs="Times New Roman"/>
                <w:noProof/>
              </w:rPr>
            </w:pPr>
            <w:r>
              <w:rPr>
                <w:rFonts w:ascii="Times New Roman" w:hAnsi="Times New Roman"/>
                <w:noProof/>
              </w:rPr>
              <w:t>Promouvoir la résilience dans le domaine de l’eau par l’intermédiaire de la stratégie «Global Gateway» en soutenant les initiatives prioritaires dans ce domaine et en renforçant l’engagement national et régional.</w:t>
            </w:r>
          </w:p>
        </w:tc>
        <w:tc>
          <w:tcPr>
            <w:tcW w:w="2392" w:type="dxa"/>
            <w:tcBorders>
              <w:top w:val="nil"/>
              <w:left w:val="single" w:sz="6" w:space="0" w:color="auto"/>
              <w:bottom w:val="single" w:sz="6" w:space="0" w:color="auto"/>
              <w:right w:val="single" w:sz="6" w:space="0" w:color="auto"/>
            </w:tcBorders>
            <w:shd w:val="clear" w:color="auto" w:fill="auto"/>
            <w:vAlign w:val="center"/>
            <w:hideMark/>
          </w:tcPr>
          <w:p w14:paraId="73DBC3F2" w14:textId="77777777" w:rsidR="0058425F" w:rsidRPr="009F333A" w:rsidRDefault="0058425F" w:rsidP="00CB6DEB">
            <w:pPr>
              <w:spacing w:after="0" w:line="240" w:lineRule="auto"/>
              <w:jc w:val="center"/>
              <w:rPr>
                <w:rFonts w:ascii="Times New Roman" w:eastAsiaTheme="minorEastAsia" w:hAnsi="Times New Roman" w:cs="Times New Roman"/>
                <w:noProof/>
              </w:rPr>
            </w:pPr>
            <w:r>
              <w:rPr>
                <w:rFonts w:ascii="Times New Roman" w:hAnsi="Times New Roman"/>
                <w:noProof/>
              </w:rPr>
              <w:t>À partir de 2025</w:t>
            </w:r>
          </w:p>
        </w:tc>
      </w:tr>
    </w:tbl>
    <w:p w14:paraId="63A7FAD5" w14:textId="77777777" w:rsidR="00B723FC" w:rsidRDefault="00B723FC" w:rsidP="00B723FC">
      <w:pPr>
        <w:pStyle w:val="Heading1"/>
        <w:spacing w:before="0" w:after="0"/>
        <w:jc w:val="both"/>
        <w:rPr>
          <w:rFonts w:ascii="Times New Roman Bold" w:hAnsi="Times New Roman Bold" w:cs="Times New Roman"/>
          <w:b/>
          <w:smallCaps/>
          <w:noProof/>
          <w:color w:val="000000" w:themeColor="text1"/>
          <w:sz w:val="24"/>
          <w:szCs w:val="24"/>
        </w:rPr>
      </w:pPr>
    </w:p>
    <w:p w14:paraId="2B4D1CEA" w14:textId="62B0F159" w:rsidR="00633898" w:rsidRPr="00B723FC" w:rsidRDefault="008A0B73" w:rsidP="00B723FC">
      <w:pPr>
        <w:pStyle w:val="Heading1"/>
        <w:spacing w:before="240" w:after="240"/>
        <w:jc w:val="both"/>
        <w:rPr>
          <w:rFonts w:ascii="Times New Roman Bold" w:hAnsi="Times New Roman Bold" w:cs="Times New Roman"/>
          <w:b/>
          <w:smallCaps/>
          <w:noProof/>
          <w:color w:val="000000" w:themeColor="text1"/>
          <w:sz w:val="24"/>
          <w:szCs w:val="24"/>
        </w:rPr>
      </w:pPr>
      <w:r>
        <w:rPr>
          <w:rFonts w:ascii="Times New Roman Bold" w:hAnsi="Times New Roman Bold"/>
          <w:b/>
          <w:smallCaps/>
          <w:noProof/>
          <w:color w:val="000000" w:themeColor="text1"/>
          <w:sz w:val="24"/>
        </w:rPr>
        <w:t>5.</w:t>
      </w:r>
      <w:r>
        <w:rPr>
          <w:noProof/>
        </w:rPr>
        <w:tab/>
      </w:r>
      <w:r>
        <w:rPr>
          <w:rFonts w:ascii="Times New Roman Bold" w:hAnsi="Times New Roman Bold"/>
          <w:b/>
          <w:smallCaps/>
          <w:noProof/>
          <w:color w:val="000000" w:themeColor="text1"/>
          <w:sz w:val="24"/>
        </w:rPr>
        <w:t>Conclusion</w:t>
      </w:r>
    </w:p>
    <w:p w14:paraId="408EB062" w14:textId="3927CFC1" w:rsidR="00473B94" w:rsidRPr="009F333A" w:rsidRDefault="00473B94" w:rsidP="00B723FC">
      <w:pPr>
        <w:spacing w:after="240" w:line="240" w:lineRule="auto"/>
        <w:jc w:val="both"/>
        <w:rPr>
          <w:rFonts w:ascii="Times New Roman" w:eastAsia="Times New Roman" w:hAnsi="Times New Roman" w:cs="Times New Roman"/>
          <w:noProof/>
        </w:rPr>
      </w:pPr>
      <w:r>
        <w:rPr>
          <w:rFonts w:ascii="Times New Roman" w:hAnsi="Times New Roman"/>
          <w:noProof/>
        </w:rPr>
        <w:t xml:space="preserve">La Commission invite les États membres, les partenaires institutionnels, les entreprises et toutes les composantes de la société à prendre des mesures dans le sens indiqué dans la présente stratégie. </w:t>
      </w:r>
    </w:p>
    <w:p w14:paraId="1324A582" w14:textId="4759F295" w:rsidR="521F75C0" w:rsidRPr="009F333A" w:rsidRDefault="00633898" w:rsidP="00B723FC">
      <w:pPr>
        <w:spacing w:after="240" w:line="240" w:lineRule="auto"/>
        <w:jc w:val="both"/>
        <w:rPr>
          <w:rFonts w:ascii="Times New Roman" w:eastAsia="Times New Roman" w:hAnsi="Times New Roman" w:cs="Times New Roman"/>
          <w:noProof/>
        </w:rPr>
      </w:pPr>
      <w:r>
        <w:rPr>
          <w:rFonts w:ascii="Times New Roman" w:hAnsi="Times New Roman"/>
          <w:noProof/>
        </w:rPr>
        <w:t>À partir de décembre 2025, la Commission convoquera, tous les deux ans, un forum sur la résilience dans le domaine de l’eau, qui réunira, dans le cadre d’un dialogue inclusif, les parties prenantes de l’UE et les parties intéressées afin de faire le point sur les progrès accomplis dans le renforcement de la résilience dans le domaine de l’eau à tous les niveaux des administrations publiques, des entreprises et de la société civile, et de suivre la mise en œuvre de la présente stratégie.</w:t>
      </w:r>
    </w:p>
    <w:p w14:paraId="688D0F2A" w14:textId="60BC254E" w:rsidR="00633898" w:rsidRPr="00B723FC" w:rsidRDefault="2200A8F6" w:rsidP="00B723FC">
      <w:pPr>
        <w:spacing w:after="240" w:line="240" w:lineRule="auto"/>
        <w:jc w:val="both"/>
        <w:rPr>
          <w:rFonts w:ascii="Times New Roman" w:eastAsia="Times New Roman" w:hAnsi="Times New Roman" w:cs="Times New Roman"/>
          <w:noProof/>
        </w:rPr>
      </w:pPr>
      <w:r>
        <w:rPr>
          <w:rFonts w:ascii="Times New Roman" w:hAnsi="Times New Roman"/>
          <w:noProof/>
        </w:rPr>
        <w:t xml:space="preserve">En 2027, la Commission procédera à un examen à mi-parcours des progrès accomplis dans la mise en œuvre des actions prévues dans la présente stratégie. Elle procédera également à une première évaluation de l’adoption de la recommandation relative au principe de priorité à l’utilisation rationnelle de l’eau. Dans ce contexte, certaines actions pourront être actualisées ou révisées. </w:t>
      </w:r>
    </w:p>
    <w:p w14:paraId="762BEBF4" w14:textId="51A4704E" w:rsidR="00F411F4" w:rsidRPr="009F333A" w:rsidRDefault="00633898" w:rsidP="00B723FC">
      <w:pPr>
        <w:spacing w:after="240" w:line="240" w:lineRule="auto"/>
        <w:jc w:val="both"/>
        <w:rPr>
          <w:rFonts w:ascii="Times New Roman" w:hAnsi="Times New Roman" w:cs="Times New Roman"/>
          <w:noProof/>
          <w:color w:val="000000"/>
          <w:shd w:val="clear" w:color="auto" w:fill="FFFFFF"/>
        </w:rPr>
      </w:pPr>
      <w:r>
        <w:rPr>
          <w:rFonts w:ascii="Times New Roman" w:hAnsi="Times New Roman"/>
          <w:noProof/>
          <w:color w:val="000000"/>
          <w:shd w:val="clear" w:color="auto" w:fill="FFFFFF"/>
        </w:rPr>
        <w:t>En 2029, la Commission évaluera les progrès accomplis, y compris en procédant à une évaluation complète des mesures prises au niveau national conformément à la recommandation relative au principe de priorité à l’utilisation rationnelle de l’eau. La Commission recensera également d’éventuelles mesures supplémentaires nécessaires pour répondre aux préoccupations émergentes et, en conséquence, réexaminera, le cas échéant, les objectifs et actions définis, en vue de parvenir à la résilience dans le domaine de l’eau dans tous les secteurs de la société.</w:t>
      </w:r>
    </w:p>
    <w:p w14:paraId="2D33905B" w14:textId="3B5195FB" w:rsidR="00D67D7D" w:rsidRPr="009F333A" w:rsidRDefault="00D67D7D" w:rsidP="00BD0924">
      <w:pPr>
        <w:rPr>
          <w:rFonts w:ascii="Times New Roman" w:hAnsi="Times New Roman" w:cs="Times New Roman"/>
          <w:b/>
          <w:bCs/>
          <w:smallCaps/>
          <w:noProof/>
        </w:rPr>
      </w:pPr>
      <w:r>
        <w:rPr>
          <w:noProof/>
        </w:rPr>
        <w:br w:type="page"/>
      </w:r>
      <w:r>
        <w:rPr>
          <w:rFonts w:ascii="Times New Roman" w:hAnsi="Times New Roman"/>
          <w:b/>
          <w:smallCaps/>
          <w:noProof/>
        </w:rPr>
        <w:t>Annexe I — Liste complète des actions</w:t>
      </w:r>
    </w:p>
    <w:p w14:paraId="2E35B2AD" w14:textId="77777777" w:rsidR="00D67D7D" w:rsidRPr="009F333A" w:rsidRDefault="00D67D7D" w:rsidP="00D67D7D">
      <w:pPr>
        <w:spacing w:after="0"/>
        <w:rPr>
          <w:rFonts w:ascii="Times New Roman" w:hAnsi="Times New Roman" w:cs="Times New Roman"/>
          <w:noProof/>
        </w:rPr>
      </w:pPr>
    </w:p>
    <w:tbl>
      <w:tblPr>
        <w:tblStyle w:val="TableGrid"/>
        <w:tblW w:w="8862" w:type="dxa"/>
        <w:tblInd w:w="-10" w:type="dxa"/>
        <w:tblLayout w:type="fixed"/>
        <w:tblLook w:val="04A0" w:firstRow="1" w:lastRow="0" w:firstColumn="1" w:lastColumn="0" w:noHBand="0" w:noVBand="1"/>
      </w:tblPr>
      <w:tblGrid>
        <w:gridCol w:w="709"/>
        <w:gridCol w:w="6460"/>
        <w:gridCol w:w="1693"/>
      </w:tblGrid>
      <w:tr w:rsidR="00AA7C1C" w:rsidRPr="009F333A" w14:paraId="0F8AAD7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5D14527D" w14:textId="77777777" w:rsidR="00D67D7D" w:rsidRPr="009F333A" w:rsidRDefault="00D67D7D">
            <w:pPr>
              <w:rPr>
                <w:rFonts w:ascii="Times New Roman" w:hAnsi="Times New Roman" w:cs="Times New Roman"/>
                <w:noProof/>
                <w:sz w:val="24"/>
                <w:szCs w:val="24"/>
              </w:rPr>
            </w:pPr>
          </w:p>
        </w:tc>
        <w:tc>
          <w:tcPr>
            <w:tcW w:w="6460" w:type="dxa"/>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6FAD75BA" w14:textId="77777777" w:rsidR="00D67D7D" w:rsidRPr="009F333A" w:rsidRDefault="00D67D7D" w:rsidP="003B6B9C">
            <w:pPr>
              <w:jc w:val="center"/>
              <w:rPr>
                <w:rFonts w:ascii="Times New Roman" w:hAnsi="Times New Roman" w:cs="Times New Roman"/>
                <w:noProof/>
                <w:sz w:val="24"/>
                <w:szCs w:val="24"/>
              </w:rPr>
            </w:pPr>
            <w:r>
              <w:rPr>
                <w:rFonts w:ascii="Times New Roman" w:hAnsi="Times New Roman"/>
                <w:b/>
                <w:noProof/>
                <w:sz w:val="24"/>
              </w:rPr>
              <w:t>ACTIONS</w:t>
            </w:r>
          </w:p>
        </w:tc>
        <w:tc>
          <w:tcPr>
            <w:tcW w:w="1693" w:type="dxa"/>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6C8A451F" w14:textId="77E1DAF3" w:rsidR="00D67D7D" w:rsidRPr="009F333A" w:rsidRDefault="00D67D7D" w:rsidP="003B6B9C">
            <w:pPr>
              <w:jc w:val="center"/>
              <w:rPr>
                <w:rFonts w:ascii="Times New Roman" w:hAnsi="Times New Roman" w:cs="Times New Roman"/>
                <w:noProof/>
                <w:sz w:val="24"/>
                <w:szCs w:val="24"/>
              </w:rPr>
            </w:pPr>
            <w:r>
              <w:rPr>
                <w:rFonts w:ascii="Times New Roman" w:hAnsi="Times New Roman"/>
                <w:b/>
                <w:noProof/>
                <w:sz w:val="24"/>
              </w:rPr>
              <w:t>Calendrier</w:t>
            </w:r>
          </w:p>
        </w:tc>
      </w:tr>
      <w:tr w:rsidR="00A234BE" w:rsidRPr="009F333A" w14:paraId="373DE84D"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562DD47F" w14:textId="6C1D78D7" w:rsidR="00D67D7D" w:rsidRPr="009F333A" w:rsidRDefault="00FE3653" w:rsidP="009927ED">
            <w:pPr>
              <w:jc w:val="center"/>
              <w:rPr>
                <w:rFonts w:ascii="Times New Roman" w:hAnsi="Times New Roman" w:cs="Times New Roman"/>
                <w:b/>
                <w:bCs/>
                <w:smallCaps/>
                <w:noProof/>
                <w:color w:val="000000" w:themeColor="text1"/>
                <w:sz w:val="24"/>
                <w:szCs w:val="24"/>
              </w:rPr>
            </w:pPr>
            <w:r>
              <w:rPr>
                <w:rFonts w:ascii="Times New Roman" w:hAnsi="Times New Roman"/>
                <w:b/>
                <w:smallCaps/>
                <w:noProof/>
                <w:color w:val="000000" w:themeColor="text1"/>
                <w:sz w:val="24"/>
              </w:rPr>
              <w:t>Restaurer et protéger le cycle de l’eau</w:t>
            </w:r>
          </w:p>
        </w:tc>
      </w:tr>
      <w:tr w:rsidR="007F48DB" w:rsidRPr="009F333A" w14:paraId="348B5D3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41F3063" w14:textId="77777777" w:rsidR="007F48DB" w:rsidRPr="009F333A" w:rsidRDefault="007F48DB"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6B903754" w14:textId="7267A9D6" w:rsidR="007F48DB" w:rsidRPr="009F333A" w:rsidRDefault="007F48DB" w:rsidP="00FE3653">
            <w:pPr>
              <w:spacing w:line="257" w:lineRule="auto"/>
              <w:jc w:val="both"/>
              <w:rPr>
                <w:rFonts w:ascii="Times New Roman" w:eastAsia="Calibri" w:hAnsi="Times New Roman" w:cs="Times New Roman"/>
                <w:b/>
                <w:noProof/>
              </w:rPr>
            </w:pPr>
            <w:r>
              <w:rPr>
                <w:rFonts w:ascii="Times New Roman" w:hAnsi="Times New Roman"/>
                <w:b/>
                <w:noProof/>
              </w:rPr>
              <w:t xml:space="preserve">Définir, notamment au moyen de dialogues structurés avec les États membres, les priorités de mise en œuvre de la directive-cadre sur l’eau et de la directive «Inondations», en mettant l’accent sur la qualité et la quantité de l’eau. </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6A78AFA" w14:textId="0DEB7B38" w:rsidR="007F48DB" w:rsidRPr="009F333A" w:rsidRDefault="007F48DB" w:rsidP="00FE3653">
            <w:pPr>
              <w:jc w:val="center"/>
              <w:rPr>
                <w:rFonts w:ascii="Times New Roman" w:eastAsia="Calibri" w:hAnsi="Times New Roman" w:cs="Times New Roman"/>
                <w:b/>
                <w:noProof/>
              </w:rPr>
            </w:pPr>
            <w:r>
              <w:rPr>
                <w:rFonts w:ascii="Times New Roman" w:hAnsi="Times New Roman"/>
                <w:b/>
                <w:noProof/>
              </w:rPr>
              <w:t>2025-2026</w:t>
            </w:r>
          </w:p>
        </w:tc>
      </w:tr>
      <w:tr w:rsidR="00CD3D92" w:rsidRPr="009F333A" w14:paraId="1A8F45AC"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C23ADF7" w14:textId="77777777" w:rsidR="00CD3D92" w:rsidRPr="009F333A" w:rsidRDefault="00CD3D92"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3FD5A603" w14:textId="5CF9837A" w:rsidR="00CD3D92" w:rsidRPr="009F333A" w:rsidRDefault="00CD3D92" w:rsidP="00FE3653">
            <w:pPr>
              <w:spacing w:line="257" w:lineRule="auto"/>
              <w:jc w:val="both"/>
              <w:rPr>
                <w:rFonts w:ascii="Times New Roman" w:eastAsia="Calibri" w:hAnsi="Times New Roman" w:cs="Times New Roman"/>
                <w:b/>
                <w:noProof/>
              </w:rPr>
            </w:pPr>
            <w:r>
              <w:rPr>
                <w:rFonts w:ascii="Times New Roman" w:hAnsi="Times New Roman"/>
                <w:b/>
                <w:noProof/>
              </w:rPr>
              <w:t>Réviser la directive-cadre «stratégie pour le milieu marin».</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024E8D4C" w14:textId="0A9FA4D9" w:rsidR="00CD3D92" w:rsidRPr="009F333A" w:rsidRDefault="00CD3D92" w:rsidP="00FE3653">
            <w:pPr>
              <w:jc w:val="center"/>
              <w:rPr>
                <w:rFonts w:ascii="Times New Roman" w:eastAsia="Calibri" w:hAnsi="Times New Roman" w:cs="Times New Roman"/>
                <w:b/>
                <w:bCs/>
                <w:noProof/>
              </w:rPr>
            </w:pPr>
            <w:r>
              <w:rPr>
                <w:rFonts w:ascii="Times New Roman" w:hAnsi="Times New Roman"/>
                <w:b/>
                <w:noProof/>
              </w:rPr>
              <w:t>2027</w:t>
            </w:r>
          </w:p>
        </w:tc>
      </w:tr>
      <w:tr w:rsidR="0090151B" w:rsidRPr="009F333A" w14:paraId="2C59016D"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B2AB0E9" w14:textId="77777777" w:rsidR="0090151B" w:rsidRPr="009F333A" w:rsidRDefault="0090151B"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FD1B7C8" w14:textId="65F24F05" w:rsidR="0090151B" w:rsidRPr="009F333A" w:rsidRDefault="0090151B" w:rsidP="00FE3653">
            <w:pPr>
              <w:spacing w:line="257" w:lineRule="auto"/>
              <w:jc w:val="both"/>
              <w:rPr>
                <w:rFonts w:ascii="Times New Roman" w:eastAsia="Calibri" w:hAnsi="Times New Roman" w:cs="Times New Roman"/>
                <w:b/>
                <w:noProof/>
              </w:rPr>
            </w:pPr>
            <w:r>
              <w:rPr>
                <w:rFonts w:ascii="Times New Roman" w:hAnsi="Times New Roman"/>
                <w:b/>
                <w:noProof/>
              </w:rPr>
              <w:t>Élaborer des indicateurs de rareté de l’eau et des orientations techniques sur les plans de gestion de la sécheresse.</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4B844507" w14:textId="01F5E54C" w:rsidR="0090151B" w:rsidRPr="009F333A" w:rsidRDefault="0090151B" w:rsidP="00FE3653">
            <w:pPr>
              <w:jc w:val="center"/>
              <w:rPr>
                <w:rFonts w:ascii="Times New Roman" w:eastAsia="Calibri" w:hAnsi="Times New Roman" w:cs="Times New Roman"/>
                <w:b/>
                <w:bCs/>
                <w:noProof/>
              </w:rPr>
            </w:pPr>
            <w:r>
              <w:rPr>
                <w:rFonts w:ascii="Times New Roman" w:hAnsi="Times New Roman"/>
                <w:b/>
                <w:noProof/>
              </w:rPr>
              <w:t>2026-2027</w:t>
            </w:r>
          </w:p>
        </w:tc>
      </w:tr>
      <w:tr w:rsidR="00AD1869" w:rsidRPr="009F333A" w14:paraId="291B21C2"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B3B317F" w14:textId="77777777" w:rsidR="00AD1869" w:rsidRPr="009F333A" w:rsidRDefault="00AD1869"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712ED685" w14:textId="77777777" w:rsidR="004E7DEE" w:rsidRPr="009F333A" w:rsidRDefault="004E7DEE" w:rsidP="004E7DEE">
            <w:pPr>
              <w:spacing w:line="257" w:lineRule="auto"/>
              <w:jc w:val="both"/>
              <w:rPr>
                <w:rFonts w:ascii="Times New Roman" w:eastAsia="Calibri" w:hAnsi="Times New Roman" w:cs="Times New Roman"/>
                <w:b/>
                <w:noProof/>
              </w:rPr>
            </w:pPr>
            <w:r>
              <w:rPr>
                <w:rFonts w:ascii="Times New Roman" w:hAnsi="Times New Roman"/>
                <w:b/>
                <w:noProof/>
              </w:rPr>
              <w:t>Lutter contre les principales sources de pollution:</w:t>
            </w:r>
          </w:p>
          <w:p w14:paraId="669603A6" w14:textId="77777777" w:rsidR="004E7DEE" w:rsidRPr="009F333A" w:rsidRDefault="004E7DEE" w:rsidP="004E7DEE">
            <w:pPr>
              <w:pStyle w:val="ListParagraph"/>
              <w:numPr>
                <w:ilvl w:val="0"/>
                <w:numId w:val="7"/>
              </w:numPr>
              <w:spacing w:line="257" w:lineRule="auto"/>
              <w:jc w:val="both"/>
              <w:rPr>
                <w:rFonts w:ascii="Times New Roman" w:eastAsia="Calibri" w:hAnsi="Times New Roman" w:cs="Times New Roman"/>
                <w:b/>
                <w:noProof/>
              </w:rPr>
            </w:pPr>
            <w:r>
              <w:rPr>
                <w:rFonts w:ascii="Times New Roman" w:hAnsi="Times New Roman"/>
                <w:b/>
                <w:noProof/>
              </w:rPr>
              <w:t>mettre en place une initiative public-privé afin de réaliser une percée technologique dans le domaine des méthodes réalisables et abordables de détection et d’élimination des PFAS et d’autres substances chimiques persistantes, si les bons partenaires sont trouvés;</w:t>
            </w:r>
          </w:p>
          <w:p w14:paraId="38E6ABD4" w14:textId="3CAC8356" w:rsidR="00AD1869" w:rsidRPr="009F333A" w:rsidRDefault="004E7DEE" w:rsidP="004E7DEE">
            <w:pPr>
              <w:pStyle w:val="ListParagraph"/>
              <w:numPr>
                <w:ilvl w:val="0"/>
                <w:numId w:val="7"/>
              </w:numPr>
              <w:spacing w:line="257" w:lineRule="auto"/>
              <w:jc w:val="both"/>
              <w:rPr>
                <w:rFonts w:ascii="Times New Roman" w:eastAsia="Calibri" w:hAnsi="Times New Roman" w:cs="Times New Roman"/>
                <w:b/>
                <w:bCs/>
                <w:noProof/>
              </w:rPr>
            </w:pPr>
            <w:r>
              <w:rPr>
                <w:rFonts w:ascii="Times New Roman" w:hAnsi="Times New Roman"/>
                <w:b/>
                <w:noProof/>
              </w:rPr>
              <w:t>lancer une boîte à outils d’aide à l’intention des États membres afin de soutenir les actions visant à réduire la pollution par les nutriments, notamment au moyen d’une modélisation améliorée, de cartes interactives et d’échanges de bonnes pratiques.</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043E17C" w14:textId="77777777" w:rsidR="00AD1869" w:rsidRPr="009F333A" w:rsidRDefault="00AD1869" w:rsidP="00FE3653">
            <w:pPr>
              <w:jc w:val="center"/>
              <w:rPr>
                <w:rFonts w:ascii="Times New Roman" w:eastAsia="Calibri" w:hAnsi="Times New Roman" w:cs="Times New Roman"/>
                <w:b/>
                <w:bCs/>
                <w:noProof/>
              </w:rPr>
            </w:pPr>
          </w:p>
          <w:p w14:paraId="1CFFD8EE" w14:textId="77777777" w:rsidR="004E7DEE" w:rsidRPr="009F333A" w:rsidRDefault="004E7DEE" w:rsidP="004F0C22">
            <w:pPr>
              <w:spacing w:before="60"/>
              <w:jc w:val="center"/>
              <w:rPr>
                <w:rFonts w:ascii="Times New Roman" w:eastAsia="Calibri" w:hAnsi="Times New Roman" w:cs="Times New Roman"/>
                <w:b/>
                <w:bCs/>
                <w:noProof/>
              </w:rPr>
            </w:pPr>
            <w:r>
              <w:rPr>
                <w:rFonts w:ascii="Times New Roman" w:hAnsi="Times New Roman"/>
                <w:b/>
                <w:noProof/>
              </w:rPr>
              <w:t>2027</w:t>
            </w:r>
          </w:p>
          <w:p w14:paraId="680C2F8B" w14:textId="77777777" w:rsidR="004E7DEE" w:rsidRPr="009F333A" w:rsidRDefault="004E7DEE" w:rsidP="00FE3653">
            <w:pPr>
              <w:jc w:val="center"/>
              <w:rPr>
                <w:rFonts w:ascii="Times New Roman" w:eastAsia="Calibri" w:hAnsi="Times New Roman" w:cs="Times New Roman"/>
                <w:b/>
                <w:bCs/>
                <w:noProof/>
              </w:rPr>
            </w:pPr>
          </w:p>
          <w:p w14:paraId="4E1F3C81" w14:textId="77777777" w:rsidR="004E7DEE" w:rsidRPr="009F333A" w:rsidRDefault="004E7DEE" w:rsidP="00FE3653">
            <w:pPr>
              <w:jc w:val="center"/>
              <w:rPr>
                <w:rFonts w:ascii="Times New Roman" w:eastAsia="Calibri" w:hAnsi="Times New Roman" w:cs="Times New Roman"/>
                <w:b/>
                <w:bCs/>
                <w:noProof/>
              </w:rPr>
            </w:pPr>
          </w:p>
          <w:p w14:paraId="473722BF" w14:textId="77777777" w:rsidR="004E7DEE" w:rsidRPr="009F333A" w:rsidRDefault="004E7DEE" w:rsidP="00FE3653">
            <w:pPr>
              <w:jc w:val="center"/>
              <w:rPr>
                <w:rFonts w:ascii="Times New Roman" w:eastAsia="Calibri" w:hAnsi="Times New Roman" w:cs="Times New Roman"/>
                <w:b/>
                <w:bCs/>
                <w:noProof/>
              </w:rPr>
            </w:pPr>
          </w:p>
          <w:p w14:paraId="045AC3EE" w14:textId="09E4CB66" w:rsidR="00AD1869" w:rsidRPr="009F333A" w:rsidRDefault="004F0C22" w:rsidP="00BD1CF1">
            <w:pPr>
              <w:spacing w:before="60"/>
              <w:jc w:val="center"/>
              <w:rPr>
                <w:rFonts w:ascii="Times New Roman" w:eastAsia="Calibri" w:hAnsi="Times New Roman" w:cs="Times New Roman"/>
                <w:b/>
                <w:bCs/>
                <w:noProof/>
              </w:rPr>
            </w:pPr>
            <w:r>
              <w:rPr>
                <w:rFonts w:ascii="Times New Roman" w:hAnsi="Times New Roman"/>
                <w:b/>
                <w:noProof/>
              </w:rPr>
              <w:t>2026-2027</w:t>
            </w:r>
          </w:p>
        </w:tc>
      </w:tr>
      <w:tr w:rsidR="007F48DB" w:rsidRPr="009F333A" w14:paraId="2D0FF569"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2D30328C" w14:textId="304798EB" w:rsidR="007F48DB" w:rsidRPr="009F333A" w:rsidRDefault="003B6B9C" w:rsidP="009927ED">
            <w:pPr>
              <w:jc w:val="center"/>
              <w:rPr>
                <w:rFonts w:ascii="Times New Roman" w:hAnsi="Times New Roman" w:cs="Times New Roman"/>
                <w:noProof/>
                <w:sz w:val="24"/>
                <w:szCs w:val="24"/>
              </w:rPr>
            </w:pPr>
            <w:r>
              <w:rPr>
                <w:rFonts w:ascii="Times New Roman" w:hAnsi="Times New Roman"/>
                <w:b/>
                <w:smallCaps/>
                <w:noProof/>
                <w:color w:val="000000" w:themeColor="text1"/>
                <w:sz w:val="24"/>
              </w:rPr>
              <w:t>Construire une économie intelligente dans le domaine de l’eau qui ne laisse personne de côté, soutienne la compétitivité de l’UE et attire les investisseurs</w:t>
            </w:r>
          </w:p>
        </w:tc>
      </w:tr>
      <w:tr w:rsidR="007F48DB" w:rsidRPr="009F333A" w14:paraId="1BD4F215"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8467ABC"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22DF63FA" w14:textId="2A8B02F2" w:rsidR="007F48DB" w:rsidRPr="009F333A" w:rsidRDefault="007F48DB" w:rsidP="00576F7E">
            <w:pPr>
              <w:spacing w:line="257" w:lineRule="auto"/>
              <w:jc w:val="both"/>
              <w:rPr>
                <w:rFonts w:ascii="Times New Roman" w:eastAsia="Times New Roman" w:hAnsi="Times New Roman" w:cs="Times New Roman"/>
                <w:noProof/>
              </w:rPr>
            </w:pPr>
            <w:r>
              <w:rPr>
                <w:rFonts w:ascii="Times New Roman" w:hAnsi="Times New Roman"/>
                <w:b/>
                <w:noProof/>
              </w:rPr>
              <w:t>Recommandation relative au principe de priorité à l’utilisation rationnelle de l’eau, lignes directrices et rapport de l’AEE sur le potentiel inexploité de l’utilisation rationnelle de l’eau.</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2207E2DC" w14:textId="3AA265AC" w:rsidR="007F48DB" w:rsidRPr="009F333A" w:rsidRDefault="007F48DB" w:rsidP="002A1356">
            <w:pPr>
              <w:pStyle w:val="paragraph"/>
              <w:spacing w:before="0" w:beforeAutospacing="0" w:after="0" w:afterAutospacing="0"/>
              <w:jc w:val="center"/>
              <w:rPr>
                <w:rFonts w:eastAsia="Calibri"/>
                <w:b/>
                <w:noProof/>
              </w:rPr>
            </w:pPr>
            <w:r>
              <w:rPr>
                <w:b/>
                <w:noProof/>
              </w:rPr>
              <w:t>2025-2026</w:t>
            </w:r>
          </w:p>
          <w:p w14:paraId="6F0B33F3" w14:textId="77777777" w:rsidR="007F48DB" w:rsidRPr="009F333A" w:rsidRDefault="007F48DB" w:rsidP="002A1356">
            <w:pPr>
              <w:jc w:val="center"/>
              <w:rPr>
                <w:rFonts w:ascii="Times New Roman" w:eastAsia="Times New Roman" w:hAnsi="Times New Roman" w:cs="Times New Roman"/>
                <w:noProof/>
              </w:rPr>
            </w:pPr>
          </w:p>
        </w:tc>
      </w:tr>
      <w:tr w:rsidR="007F48DB" w:rsidRPr="009F333A" w14:paraId="3EBA5BE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3EE3758"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74CE03C2" w14:textId="696B7FA3" w:rsidR="007F48DB" w:rsidRPr="001279E9" w:rsidRDefault="001279E9" w:rsidP="001279E9">
            <w:pPr>
              <w:jc w:val="both"/>
              <w:rPr>
                <w:rFonts w:ascii="Times New Roman" w:hAnsi="Times New Roman"/>
                <w:b/>
                <w:bCs/>
                <w:noProof/>
              </w:rPr>
            </w:pPr>
            <w:r>
              <w:rPr>
                <w:rFonts w:ascii="Times New Roman" w:hAnsi="Times New Roman"/>
                <w:b/>
                <w:noProof/>
              </w:rPr>
              <w:t>Soutenir l’adoption de pratiques de réutilisation de l’eau, y compris au-delà de l’agriculture, et réviser le règlement sur la réutilisation de l’eau.</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1E730CAF" w14:textId="12326F09" w:rsidR="007F48DB" w:rsidRPr="009F333A" w:rsidRDefault="00934F97" w:rsidP="002A1356">
            <w:pPr>
              <w:pStyle w:val="paragraph"/>
              <w:spacing w:before="0" w:beforeAutospacing="0" w:after="0" w:afterAutospacing="0"/>
              <w:jc w:val="center"/>
              <w:rPr>
                <w:rFonts w:eastAsia="Calibri"/>
                <w:b/>
                <w:noProof/>
              </w:rPr>
            </w:pPr>
            <w:r>
              <w:rPr>
                <w:b/>
                <w:noProof/>
              </w:rPr>
              <w:t>2026-2028</w:t>
            </w:r>
          </w:p>
        </w:tc>
      </w:tr>
      <w:tr w:rsidR="00C95CC0" w:rsidRPr="009F333A" w14:paraId="7A5B055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1B23A2B" w14:textId="77777777" w:rsidR="00C95CC0" w:rsidRPr="009F333A" w:rsidRDefault="00C95CC0"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B8DA3E7" w14:textId="77777777" w:rsidR="00C95CC0" w:rsidRPr="0061109A" w:rsidRDefault="00C95CC0" w:rsidP="00C95CC0">
            <w:pPr>
              <w:jc w:val="both"/>
              <w:rPr>
                <w:rFonts w:ascii="Times New Roman" w:eastAsia="Times New Roman" w:hAnsi="Times New Roman" w:cs="Times New Roman"/>
                <w:b/>
                <w:noProof/>
                <w:u w:val="single"/>
              </w:rPr>
            </w:pPr>
            <w:r>
              <w:rPr>
                <w:rFonts w:ascii="Times New Roman" w:hAnsi="Times New Roman"/>
                <w:b/>
                <w:noProof/>
                <w:u w:val="single"/>
              </w:rPr>
              <w:t>Approvisionnement public en eau</w:t>
            </w:r>
            <w:r>
              <w:rPr>
                <w:rFonts w:ascii="Times New Roman" w:hAnsi="Times New Roman"/>
                <w:b/>
                <w:noProof/>
              </w:rPr>
              <w:t>:</w:t>
            </w:r>
            <w:r>
              <w:rPr>
                <w:rFonts w:ascii="Times New Roman" w:hAnsi="Times New Roman"/>
                <w:b/>
                <w:noProof/>
                <w:u w:val="single"/>
              </w:rPr>
              <w:t xml:space="preserve"> </w:t>
            </w:r>
          </w:p>
          <w:p w14:paraId="2D6E4389" w14:textId="754D0818" w:rsidR="00C95CC0" w:rsidRPr="00C95CC0" w:rsidRDefault="00C95CC0" w:rsidP="00C95CC0">
            <w:pPr>
              <w:pStyle w:val="ListParagraph"/>
              <w:numPr>
                <w:ilvl w:val="0"/>
                <w:numId w:val="8"/>
              </w:numPr>
              <w:spacing w:line="257" w:lineRule="auto"/>
              <w:jc w:val="both"/>
              <w:rPr>
                <w:rFonts w:ascii="Times New Roman" w:hAnsi="Times New Roman"/>
                <w:b/>
                <w:bCs/>
                <w:noProof/>
              </w:rPr>
            </w:pPr>
            <w:r>
              <w:rPr>
                <w:rFonts w:ascii="Times New Roman" w:hAnsi="Times New Roman"/>
                <w:b/>
                <w:noProof/>
              </w:rPr>
              <w:t>soutenir la réduction des fuites, la modernisation des infrastructures et l’évaluation approfondie des données.</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7A21B649" w14:textId="264F5A00" w:rsidR="00C95CC0" w:rsidRPr="009F333A" w:rsidRDefault="00C95CC0" w:rsidP="002A1356">
            <w:pPr>
              <w:pStyle w:val="paragraph"/>
              <w:spacing w:before="0" w:beforeAutospacing="0" w:after="0" w:afterAutospacing="0"/>
              <w:jc w:val="center"/>
              <w:rPr>
                <w:rFonts w:eastAsia="Calibri"/>
                <w:b/>
                <w:noProof/>
              </w:rPr>
            </w:pPr>
            <w:r>
              <w:rPr>
                <w:b/>
                <w:noProof/>
              </w:rPr>
              <w:t>2025-2028</w:t>
            </w:r>
          </w:p>
        </w:tc>
      </w:tr>
      <w:tr w:rsidR="007F48DB" w:rsidRPr="009F333A" w14:paraId="0BD61D4E"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728BF2B"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41F2E51" w14:textId="77777777" w:rsidR="007F48DB" w:rsidRPr="009F333A" w:rsidRDefault="007F48DB" w:rsidP="002A1356">
            <w:pPr>
              <w:jc w:val="both"/>
              <w:rPr>
                <w:rFonts w:ascii="Times New Roman" w:hAnsi="Times New Roman" w:cs="Times New Roman"/>
                <w:b/>
                <w:noProof/>
              </w:rPr>
            </w:pPr>
            <w:r>
              <w:rPr>
                <w:rFonts w:ascii="Times New Roman" w:hAnsi="Times New Roman"/>
                <w:b/>
                <w:noProof/>
                <w:u w:val="single"/>
              </w:rPr>
              <w:t>Agriculture</w:t>
            </w:r>
            <w:r>
              <w:rPr>
                <w:rFonts w:ascii="Times New Roman" w:hAnsi="Times New Roman"/>
                <w:b/>
                <w:noProof/>
              </w:rPr>
              <w:t xml:space="preserve">: </w:t>
            </w:r>
          </w:p>
          <w:p w14:paraId="7020538E" w14:textId="77777777" w:rsidR="00076EB9" w:rsidRDefault="00076EB9" w:rsidP="00076EB9">
            <w:pPr>
              <w:pStyle w:val="ListParagraph"/>
              <w:numPr>
                <w:ilvl w:val="0"/>
                <w:numId w:val="2"/>
              </w:numPr>
              <w:jc w:val="both"/>
              <w:rPr>
                <w:rFonts w:ascii="Times New Roman" w:eastAsia="Times New Roman" w:hAnsi="Times New Roman" w:cs="Times New Roman"/>
                <w:b/>
                <w:noProof/>
              </w:rPr>
            </w:pPr>
            <w:r>
              <w:rPr>
                <w:rFonts w:ascii="Times New Roman" w:hAnsi="Times New Roman"/>
                <w:b/>
                <w:noProof/>
              </w:rPr>
              <w:t>optimiser l’utilisation des plans stratégiques relevant de la PAC pour la résilience dans le domaine de l’eau grâce au partage des connaissances et à des solutions innovantes promues par le réseau européen de la PAC, par le partenariat européen d’innovation (PEI-AGRI), ainsi que par des services de conseil agricole indépendants et améliorés;</w:t>
            </w:r>
          </w:p>
          <w:p w14:paraId="213AC5EA" w14:textId="0B4D393A" w:rsidR="007F48DB" w:rsidRPr="00D25DAB" w:rsidRDefault="00A84B5E" w:rsidP="00D25DAB">
            <w:pPr>
              <w:pStyle w:val="ListParagraph"/>
              <w:numPr>
                <w:ilvl w:val="0"/>
                <w:numId w:val="2"/>
              </w:numPr>
              <w:jc w:val="both"/>
              <w:rPr>
                <w:rFonts w:ascii="Times New Roman" w:eastAsia="Times New Roman" w:hAnsi="Times New Roman" w:cs="Times New Roman"/>
                <w:noProof/>
              </w:rPr>
            </w:pPr>
            <w:r>
              <w:rPr>
                <w:rFonts w:ascii="Times New Roman" w:hAnsi="Times New Roman"/>
                <w:b/>
                <w:noProof/>
              </w:rPr>
              <w:t>au cours de la prochaine période de programmation, continuer d’encourager les agriculteurs à améliorer les performances environnementales et climatiques de leurs exploitations, notamment en vue d’une meilleure gestion de l’eau.</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3DF9427F" w14:textId="77777777" w:rsidR="007F48DB" w:rsidRPr="009F333A" w:rsidRDefault="007F48DB" w:rsidP="000B73B3">
            <w:pPr>
              <w:jc w:val="both"/>
              <w:rPr>
                <w:rFonts w:ascii="Times New Roman" w:hAnsi="Times New Roman" w:cs="Times New Roman"/>
                <w:b/>
                <w:noProof/>
              </w:rPr>
            </w:pPr>
          </w:p>
          <w:p w14:paraId="66C76E0F" w14:textId="59611240" w:rsidR="007F48DB" w:rsidRPr="009F333A" w:rsidRDefault="007F48DB" w:rsidP="002A1356">
            <w:pPr>
              <w:jc w:val="center"/>
              <w:rPr>
                <w:rFonts w:ascii="Times New Roman" w:eastAsia="Times New Roman" w:hAnsi="Times New Roman" w:cs="Times New Roman"/>
                <w:b/>
                <w:noProof/>
              </w:rPr>
            </w:pPr>
            <w:r>
              <w:rPr>
                <w:rFonts w:ascii="Times New Roman" w:hAnsi="Times New Roman"/>
                <w:b/>
                <w:noProof/>
              </w:rPr>
              <w:t>2025-2026</w:t>
            </w:r>
          </w:p>
        </w:tc>
      </w:tr>
      <w:tr w:rsidR="007F48DB" w:rsidRPr="009F333A" w14:paraId="32AF265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1D4063C8"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0FCE5102" w14:textId="67D6CABD" w:rsidR="007F48DB" w:rsidRPr="009F333A" w:rsidRDefault="007F48DB" w:rsidP="002A1356">
            <w:pPr>
              <w:jc w:val="both"/>
              <w:rPr>
                <w:rFonts w:ascii="Times New Roman" w:eastAsia="Times New Roman" w:hAnsi="Times New Roman" w:cs="Times New Roman"/>
                <w:b/>
                <w:noProof/>
              </w:rPr>
            </w:pPr>
            <w:r>
              <w:rPr>
                <w:rFonts w:ascii="Times New Roman" w:hAnsi="Times New Roman"/>
                <w:b/>
                <w:noProof/>
                <w:u w:val="single"/>
              </w:rPr>
              <w:t>Industrie et énergie</w:t>
            </w:r>
            <w:r>
              <w:rPr>
                <w:rFonts w:ascii="Times New Roman" w:hAnsi="Times New Roman"/>
                <w:b/>
                <w:noProof/>
              </w:rPr>
              <w:t xml:space="preserve">: </w:t>
            </w:r>
          </w:p>
          <w:p w14:paraId="3E67B5BA" w14:textId="1CD7FCA8" w:rsidR="00C95C61" w:rsidRPr="009F333A" w:rsidRDefault="00C95C61" w:rsidP="00C95C61">
            <w:pPr>
              <w:pStyle w:val="ListParagraph"/>
              <w:numPr>
                <w:ilvl w:val="0"/>
                <w:numId w:val="2"/>
              </w:numPr>
              <w:jc w:val="both"/>
              <w:rPr>
                <w:rFonts w:ascii="Times New Roman" w:eastAsia="Calibri" w:hAnsi="Times New Roman" w:cs="Times New Roman"/>
                <w:b/>
                <w:noProof/>
              </w:rPr>
            </w:pPr>
            <w:r>
              <w:rPr>
                <w:rFonts w:ascii="Times New Roman" w:hAnsi="Times New Roman"/>
                <w:b/>
                <w:noProof/>
              </w:rPr>
              <w:t>lancer un projet pilote visant à promouvoir l’utilisation rationnelle de l’eau, y compris les technologies sans eau et à cycle fermé, dans certains pôles industriels;</w:t>
            </w:r>
          </w:p>
          <w:p w14:paraId="41112F8F" w14:textId="77777777" w:rsidR="007F48DB" w:rsidRPr="001279E9" w:rsidRDefault="00C95C61" w:rsidP="00E57436">
            <w:pPr>
              <w:pStyle w:val="paragraph"/>
              <w:numPr>
                <w:ilvl w:val="0"/>
                <w:numId w:val="2"/>
              </w:numPr>
              <w:spacing w:before="0" w:beforeAutospacing="0" w:after="0" w:afterAutospacing="0"/>
              <w:jc w:val="both"/>
              <w:textAlignment w:val="baseline"/>
              <w:rPr>
                <w:noProof/>
              </w:rPr>
            </w:pPr>
            <w:r>
              <w:rPr>
                <w:b/>
                <w:noProof/>
              </w:rPr>
              <w:t>inclure la consommation d’eau parmi les paramètres d’un système commun de l’Union consacré à la notation de la durabilité des centres de données et proposer des normes de performance minimales en matière de consommation d’eau;</w:t>
            </w:r>
          </w:p>
          <w:p w14:paraId="4A40C42D" w14:textId="4B5A69EC" w:rsidR="001279E9" w:rsidRPr="001279E9" w:rsidRDefault="001279E9" w:rsidP="00E57436">
            <w:pPr>
              <w:pStyle w:val="paragraph"/>
              <w:numPr>
                <w:ilvl w:val="0"/>
                <w:numId w:val="2"/>
              </w:numPr>
              <w:spacing w:before="0" w:beforeAutospacing="0" w:after="0" w:afterAutospacing="0"/>
              <w:jc w:val="both"/>
              <w:textAlignment w:val="baseline"/>
              <w:rPr>
                <w:b/>
                <w:bCs/>
                <w:noProof/>
              </w:rPr>
            </w:pPr>
            <w:r>
              <w:rPr>
                <w:b/>
                <w:noProof/>
                <w:sz w:val="24"/>
              </w:rPr>
              <w:t>mettre en place une initiative public-privé afin de réaliser une percée technologique dans le domaine des méthodes réalisables et abordables pour le refroidissement à sec, si l’on trouve les bons partenaires.</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31B2C7FE" w14:textId="056CDA8F" w:rsidR="007F48DB" w:rsidRPr="009F333A" w:rsidRDefault="007F48DB" w:rsidP="002A1356">
            <w:pPr>
              <w:jc w:val="center"/>
              <w:rPr>
                <w:rFonts w:ascii="Times New Roman" w:eastAsia="Times New Roman" w:hAnsi="Times New Roman" w:cs="Times New Roman"/>
                <w:b/>
                <w:noProof/>
              </w:rPr>
            </w:pPr>
            <w:r>
              <w:rPr>
                <w:rFonts w:ascii="Times New Roman" w:hAnsi="Times New Roman"/>
                <w:b/>
                <w:noProof/>
              </w:rPr>
              <w:t>2025-2026</w:t>
            </w:r>
          </w:p>
        </w:tc>
      </w:tr>
      <w:tr w:rsidR="007F48DB" w:rsidRPr="009F333A" w14:paraId="0D977438"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9E191FD" w14:textId="77777777" w:rsidR="007F48DB" w:rsidRPr="009F333A" w:rsidRDefault="007F48DB">
            <w:pPr>
              <w:spacing w:before="240"/>
              <w:jc w:val="center"/>
              <w:rPr>
                <w:rFonts w:ascii="Times New Roman" w:hAnsi="Times New Roman" w:cs="Times New Roman"/>
                <w:noProof/>
              </w:rPr>
            </w:pPr>
            <w:r>
              <w:rPr>
                <w:rFonts w:ascii="Times New Roman" w:hAnsi="Times New Roman"/>
                <w:noProof/>
              </w:rPr>
              <w:t xml:space="preserve"> </w:t>
            </w: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6DAA6D9A" w14:textId="7FF0061F" w:rsidR="007F48DB" w:rsidRPr="009F333A" w:rsidRDefault="007F48DB" w:rsidP="004D0B73">
            <w:pPr>
              <w:jc w:val="both"/>
              <w:rPr>
                <w:rFonts w:ascii="Times New Roman" w:eastAsia="Times New Roman" w:hAnsi="Times New Roman" w:cs="Times New Roman"/>
                <w:noProof/>
              </w:rPr>
            </w:pPr>
            <w:r>
              <w:rPr>
                <w:rFonts w:ascii="Times New Roman" w:hAnsi="Times New Roman"/>
                <w:noProof/>
              </w:rPr>
              <w:t>Encourager l’échange de bonnes pratiques en matière de bilans d’eau douce, de comptabilisation des flux d’eau, d’utilisation rationnelle de l’eau et de systèmes intelligents de mesure de l’eau dans tous les secteurs économiques.</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B8CDB" w14:textId="77777777" w:rsidR="007F48DB" w:rsidRPr="009F333A" w:rsidRDefault="007F48DB" w:rsidP="004D0B73">
            <w:pPr>
              <w:jc w:val="center"/>
              <w:rPr>
                <w:rFonts w:ascii="Times New Roman" w:hAnsi="Times New Roman" w:cs="Times New Roman"/>
                <w:noProof/>
              </w:rPr>
            </w:pPr>
            <w:r>
              <w:rPr>
                <w:rFonts w:ascii="Times New Roman" w:hAnsi="Times New Roman"/>
                <w:noProof/>
              </w:rPr>
              <w:t>À partir de 2025</w:t>
            </w:r>
          </w:p>
        </w:tc>
      </w:tr>
      <w:tr w:rsidR="007F48DB" w:rsidRPr="009F333A" w14:paraId="3020BCBE"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151D89D2" w14:textId="77777777" w:rsidR="007F48DB" w:rsidRPr="009F333A" w:rsidRDefault="007F48DB">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293D0299" w14:textId="027524A5" w:rsidR="007F48DB" w:rsidRPr="009F333A" w:rsidRDefault="007F48DB" w:rsidP="004D0B73">
            <w:pPr>
              <w:jc w:val="both"/>
              <w:rPr>
                <w:rFonts w:ascii="Times New Roman" w:eastAsia="Times New Roman" w:hAnsi="Times New Roman" w:cs="Times New Roman"/>
                <w:noProof/>
              </w:rPr>
            </w:pPr>
            <w:r>
              <w:rPr>
                <w:rFonts w:ascii="Times New Roman" w:hAnsi="Times New Roman"/>
                <w:noProof/>
              </w:rPr>
              <w:t>Évaluer la qualité des données disponibles sur l’eau et, le cas échéant, présenter une proposition législative en vue de l’introduction de nouveaux modules relatifs aux comptes économiques de l’environnement en ce qui concerne les comptes relatifs à l’eau. </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98219" w14:textId="23212095" w:rsidR="007F48DB" w:rsidRPr="009F333A" w:rsidRDefault="007F48DB" w:rsidP="004D0B73">
            <w:pPr>
              <w:jc w:val="center"/>
              <w:rPr>
                <w:rFonts w:ascii="Times New Roman" w:eastAsia="Times New Roman" w:hAnsi="Times New Roman" w:cs="Times New Roman"/>
                <w:noProof/>
              </w:rPr>
            </w:pPr>
            <w:r>
              <w:rPr>
                <w:rFonts w:ascii="Times New Roman" w:hAnsi="Times New Roman"/>
                <w:noProof/>
              </w:rPr>
              <w:t>D’ici à la fin de 2026</w:t>
            </w:r>
          </w:p>
        </w:tc>
      </w:tr>
      <w:tr w:rsidR="007F48DB" w:rsidRPr="009F333A" w14:paraId="329613DA"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609AED7F" w14:textId="046EA983" w:rsidR="007F48DB" w:rsidRPr="009F333A" w:rsidRDefault="007F48DB">
            <w:pPr>
              <w:jc w:val="center"/>
              <w:rPr>
                <w:rFonts w:ascii="Times New Roman" w:eastAsia="Times New Roman" w:hAnsi="Times New Roman" w:cs="Times New Roman"/>
                <w:noProof/>
                <w:sz w:val="24"/>
                <w:szCs w:val="24"/>
              </w:rPr>
            </w:pPr>
            <w:r>
              <w:rPr>
                <w:rFonts w:ascii="Times New Roman" w:hAnsi="Times New Roman"/>
                <w:b/>
                <w:smallCaps/>
                <w:noProof/>
                <w:sz w:val="24"/>
              </w:rPr>
              <w:t>Garantir l’accès à une eau propre et abordable pour tous, et renforcer l’autonomie des consommateurs et des autres utilisateurs</w:t>
            </w:r>
          </w:p>
        </w:tc>
      </w:tr>
      <w:tr w:rsidR="00B91E43" w:rsidRPr="009F333A" w14:paraId="3F379B55"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61366D5" w14:textId="77777777" w:rsidR="00B91E43" w:rsidRPr="009F333A" w:rsidRDefault="00B91E43" w:rsidP="009927ED">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315CBDA4" w14:textId="368E8107" w:rsidR="00B91E43" w:rsidRPr="009F333A" w:rsidRDefault="00B94BFA" w:rsidP="009927ED">
            <w:pPr>
              <w:spacing w:line="257" w:lineRule="auto"/>
              <w:jc w:val="both"/>
              <w:rPr>
                <w:rFonts w:ascii="Times New Roman" w:hAnsi="Times New Roman" w:cs="Times New Roman"/>
                <w:b/>
                <w:noProof/>
              </w:rPr>
            </w:pPr>
            <w:r>
              <w:rPr>
                <w:rFonts w:ascii="Times New Roman" w:hAnsi="Times New Roman"/>
                <w:b/>
                <w:noProof/>
              </w:rPr>
              <w:t>Tenir compte de l’empreinte hydrique des produits lors de la fixation ou de la mise à jour des exigences au titre du règlement sur l’écoconception pour des produits durables et du label écologique de l’UE.</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4DE40243" w14:textId="2B9D9C1E" w:rsidR="00B91E43" w:rsidRPr="009F333A" w:rsidRDefault="00B94BFA" w:rsidP="009927ED">
            <w:pPr>
              <w:jc w:val="center"/>
              <w:rPr>
                <w:rFonts w:ascii="Times New Roman" w:eastAsia="Calibri" w:hAnsi="Times New Roman" w:cs="Times New Roman"/>
                <w:b/>
                <w:noProof/>
              </w:rPr>
            </w:pPr>
            <w:r>
              <w:rPr>
                <w:rFonts w:ascii="Times New Roman" w:hAnsi="Times New Roman"/>
                <w:b/>
                <w:noProof/>
              </w:rPr>
              <w:t>2025-2027</w:t>
            </w:r>
          </w:p>
        </w:tc>
      </w:tr>
      <w:tr w:rsidR="005D7772" w:rsidRPr="009F333A" w14:paraId="0F0F57AD"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78FDB93" w14:textId="77777777" w:rsidR="005D7772" w:rsidRPr="009F333A" w:rsidRDefault="005D7772" w:rsidP="00ED35FF">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54E76274" w14:textId="3B208FB6" w:rsidR="005D7772" w:rsidRPr="009F333A" w:rsidRDefault="00912BD9" w:rsidP="00ED35FF">
            <w:pPr>
              <w:jc w:val="both"/>
              <w:rPr>
                <w:rFonts w:ascii="Times New Roman" w:eastAsia="Times New Roman" w:hAnsi="Times New Roman" w:cs="Times New Roman"/>
                <w:b/>
                <w:bCs/>
                <w:noProof/>
              </w:rPr>
            </w:pPr>
            <w:r>
              <w:rPr>
                <w:rFonts w:ascii="Times New Roman" w:hAnsi="Times New Roman"/>
                <w:b/>
                <w:noProof/>
              </w:rPr>
              <w:t>Promouvoir les bonnes pratiques en matière de sensibilisation du public et le rôle de la tarification de l’eau afin de favoriser l’utilisation rationnelle de l’eau, le recouvrement des coûts et le principe du pollueur-payeur, ainsi que la gouvernance nationale de l’eau pertinente.</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BB8E3FE" w14:textId="77777777" w:rsidR="005D7772" w:rsidRPr="009F333A" w:rsidRDefault="005D7772" w:rsidP="00ED35FF">
            <w:pPr>
              <w:jc w:val="center"/>
              <w:rPr>
                <w:rFonts w:ascii="Times New Roman" w:eastAsia="Times New Roman" w:hAnsi="Times New Roman" w:cs="Times New Roman"/>
                <w:b/>
                <w:bCs/>
                <w:noProof/>
              </w:rPr>
            </w:pPr>
            <w:r>
              <w:rPr>
                <w:rFonts w:ascii="Times New Roman" w:hAnsi="Times New Roman"/>
                <w:b/>
                <w:noProof/>
              </w:rPr>
              <w:t>2026-2027</w:t>
            </w:r>
          </w:p>
        </w:tc>
      </w:tr>
      <w:tr w:rsidR="00912BD9" w:rsidRPr="009F333A" w14:paraId="31B2E7F2"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1377CAD" w14:textId="77777777" w:rsidR="00912BD9" w:rsidRPr="009F333A" w:rsidRDefault="00912BD9" w:rsidP="00ED35FF">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38B6C460" w14:textId="77777777" w:rsidR="00912BD9" w:rsidRPr="009F333A" w:rsidRDefault="00912BD9" w:rsidP="00ED35FF">
            <w:pPr>
              <w:spacing w:line="257" w:lineRule="auto"/>
              <w:jc w:val="both"/>
              <w:rPr>
                <w:rFonts w:ascii="Times New Roman" w:hAnsi="Times New Roman" w:cs="Times New Roman"/>
                <w:b/>
                <w:noProof/>
              </w:rPr>
            </w:pPr>
            <w:r>
              <w:rPr>
                <w:rFonts w:ascii="Times New Roman" w:hAnsi="Times New Roman"/>
                <w:b/>
                <w:noProof/>
              </w:rPr>
              <w:t>Intensifier les efforts en faveur de la résilience dans le domaine de l’eau dans l’ensemble de l’environnement bâti dans le cadre du prochain programme de travail 2026-2027 de la facilité du nouveau Bauhaus européen et du prochain plan pour des logements abordables.</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5698744F" w14:textId="77777777" w:rsidR="00912BD9" w:rsidRPr="009F333A" w:rsidRDefault="00912BD9" w:rsidP="00ED35FF">
            <w:pPr>
              <w:jc w:val="center"/>
              <w:rPr>
                <w:rFonts w:ascii="Times New Roman" w:eastAsia="Calibri" w:hAnsi="Times New Roman" w:cs="Times New Roman"/>
                <w:b/>
                <w:noProof/>
              </w:rPr>
            </w:pPr>
            <w:r>
              <w:rPr>
                <w:rFonts w:ascii="Times New Roman" w:hAnsi="Times New Roman"/>
                <w:b/>
                <w:noProof/>
              </w:rPr>
              <w:t>2026</w:t>
            </w:r>
          </w:p>
        </w:tc>
      </w:tr>
      <w:tr w:rsidR="00912BD9" w:rsidRPr="009F333A" w14:paraId="7FDD915F"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73E05303" w14:textId="73A87B45" w:rsidR="00912BD9" w:rsidRPr="009F333A" w:rsidRDefault="00912BD9" w:rsidP="00912BD9">
            <w:pPr>
              <w:jc w:val="center"/>
              <w:rPr>
                <w:rFonts w:ascii="Times New Roman" w:eastAsia="Times New Roman" w:hAnsi="Times New Roman" w:cs="Times New Roman"/>
                <w:noProof/>
                <w:sz w:val="24"/>
                <w:szCs w:val="24"/>
              </w:rPr>
            </w:pPr>
            <w:r>
              <w:rPr>
                <w:rFonts w:ascii="Times New Roman" w:hAnsi="Times New Roman"/>
                <w:b/>
                <w:smallCaps/>
                <w:noProof/>
                <w:sz w:val="24"/>
              </w:rPr>
              <w:t>La gouvernance et la mise en œuvre pour stimuler le changement</w:t>
            </w:r>
          </w:p>
        </w:tc>
      </w:tr>
      <w:tr w:rsidR="00912BD9" w:rsidRPr="009F333A" w14:paraId="4EDF75D6"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7108324"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5F117149" w14:textId="4842944C" w:rsidR="00912BD9" w:rsidRPr="009F333A" w:rsidDel="2964AEB5" w:rsidRDefault="00912BD9" w:rsidP="00912BD9">
            <w:pPr>
              <w:jc w:val="both"/>
              <w:rPr>
                <w:rFonts w:ascii="Times New Roman" w:eastAsia="Times New Roman" w:hAnsi="Times New Roman" w:cs="Times New Roman"/>
                <w:noProof/>
              </w:rPr>
            </w:pPr>
            <w:r>
              <w:rPr>
                <w:rFonts w:ascii="Times New Roman" w:hAnsi="Times New Roman"/>
                <w:b/>
                <w:noProof/>
              </w:rPr>
              <w:t>Renforcer l’application de la législation et lancer des dialogues structurés avec tous les États membres afin d’accélérer et d’intensifier la mise en œuvre de l’acquis de l’UE dans le domaine de l’eau, sur la base des principales priorités en matière d’application découlant de la dernière évaluation des plans de gestion de district hydrographique et des plans de gestion des risques d’inondation.</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3B33D782" w14:textId="69761868" w:rsidR="00912BD9" w:rsidRPr="009F333A" w:rsidRDefault="00912BD9" w:rsidP="00912BD9">
            <w:pPr>
              <w:jc w:val="center"/>
              <w:rPr>
                <w:rFonts w:ascii="Times New Roman" w:eastAsia="Times New Roman" w:hAnsi="Times New Roman" w:cs="Times New Roman"/>
                <w:noProof/>
              </w:rPr>
            </w:pPr>
            <w:r>
              <w:rPr>
                <w:rFonts w:ascii="Times New Roman" w:hAnsi="Times New Roman"/>
                <w:b/>
                <w:noProof/>
              </w:rPr>
              <w:t>2025-2026</w:t>
            </w:r>
          </w:p>
        </w:tc>
      </w:tr>
      <w:tr w:rsidR="00912BD9" w:rsidRPr="009F333A" w14:paraId="64BAD35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EC30373"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4A6838AE" w14:textId="6D0966C5" w:rsidR="00912BD9" w:rsidRPr="009F333A" w:rsidDel="00A710D3" w:rsidRDefault="00912BD9" w:rsidP="00912BD9">
            <w:pPr>
              <w:jc w:val="both"/>
              <w:rPr>
                <w:rFonts w:ascii="Times New Roman" w:eastAsia="Times New Roman" w:hAnsi="Times New Roman" w:cs="Times New Roman"/>
                <w:b/>
                <w:bCs/>
                <w:noProof/>
              </w:rPr>
            </w:pPr>
            <w:r>
              <w:rPr>
                <w:rFonts w:ascii="Times New Roman" w:hAnsi="Times New Roman"/>
                <w:b/>
                <w:noProof/>
              </w:rPr>
              <w:t>Dans le cadre de la communauté de pratique «Cohésion pour les transitions», organiser un échange régulier avec les régions, les villes et les autorités responsables de l’eau, afin de promouvoir l’échange des bonnes pratiques sur les «paysages éponges» et la coopération transfrontière dans le domaine de l’eau, recensées dans le cadre d’Interreg.</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1B534640" w14:textId="4BEFB8ED" w:rsidR="00912BD9" w:rsidRPr="009F333A" w:rsidRDefault="00912BD9" w:rsidP="00912BD9">
            <w:pPr>
              <w:jc w:val="center"/>
              <w:rPr>
                <w:rFonts w:ascii="Times New Roman" w:eastAsia="Times New Roman" w:hAnsi="Times New Roman" w:cs="Times New Roman"/>
                <w:b/>
                <w:bCs/>
                <w:noProof/>
              </w:rPr>
            </w:pPr>
            <w:r>
              <w:rPr>
                <w:rFonts w:ascii="Times New Roman" w:hAnsi="Times New Roman"/>
                <w:b/>
                <w:noProof/>
              </w:rPr>
              <w:t>2025-2027</w:t>
            </w:r>
          </w:p>
        </w:tc>
      </w:tr>
      <w:tr w:rsidR="001F1F4C" w:rsidRPr="009F333A" w14:paraId="3C91E785"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125FD85" w14:textId="77777777" w:rsidR="001F1F4C" w:rsidRPr="009F333A" w:rsidRDefault="001F1F4C"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197B9F2D" w14:textId="7C499D7D" w:rsidR="001F1F4C" w:rsidRPr="001F1F4C" w:rsidRDefault="001F1F4C" w:rsidP="00912BD9">
            <w:pPr>
              <w:jc w:val="both"/>
              <w:rPr>
                <w:rFonts w:ascii="Times New Roman" w:eastAsia="Times New Roman" w:hAnsi="Times New Roman" w:cs="Times New Roman"/>
                <w:b/>
                <w:bCs/>
                <w:noProof/>
              </w:rPr>
            </w:pPr>
            <w:r>
              <w:rPr>
                <w:rFonts w:ascii="Times New Roman" w:hAnsi="Times New Roman"/>
                <w:b/>
                <w:noProof/>
                <w:sz w:val="24"/>
              </w:rPr>
              <w:t>Lancer un outil de visualisation intégrant les données environnementales et les données relatives aux réseaux d’eau et d’énergie afin d’aider les États membres, dans leurs efforts d’aménagement du territoire, à recenser les zones les plus propices à une localisation gagnant-gagnant des activités commerciales à forte intensité d’eau.</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36963C3E" w14:textId="3A9A1D20" w:rsidR="001F1F4C" w:rsidRPr="001F1F4C" w:rsidRDefault="001F1F4C" w:rsidP="00912BD9">
            <w:pPr>
              <w:jc w:val="center"/>
              <w:rPr>
                <w:rFonts w:ascii="Times New Roman" w:eastAsia="Times New Roman" w:hAnsi="Times New Roman" w:cs="Times New Roman"/>
                <w:b/>
                <w:bCs/>
                <w:noProof/>
              </w:rPr>
            </w:pPr>
            <w:r>
              <w:rPr>
                <w:rFonts w:ascii="Times New Roman" w:hAnsi="Times New Roman"/>
                <w:b/>
                <w:noProof/>
              </w:rPr>
              <w:t>2027</w:t>
            </w:r>
          </w:p>
        </w:tc>
      </w:tr>
      <w:tr w:rsidR="00912BD9" w:rsidRPr="009F333A" w14:paraId="418325E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B5E3634" w14:textId="77777777" w:rsidR="00912BD9" w:rsidRPr="009F333A" w:rsidRDefault="00912BD9" w:rsidP="00912BD9">
            <w:pPr>
              <w:jc w:val="center"/>
              <w:rPr>
                <w:rFonts w:ascii="Times New Roman" w:eastAsia="Times New Roman" w:hAnsi="Times New Roman" w:cs="Times New Roman"/>
                <w:noProof/>
              </w:rPr>
            </w:pPr>
            <w:r>
              <w:rPr>
                <w:rFonts w:ascii="Times New Roman" w:hAnsi="Times New Roman"/>
                <w:noProof/>
              </w:rPr>
              <w:t xml:space="preserve"> </w:t>
            </w:r>
          </w:p>
        </w:tc>
        <w:tc>
          <w:tcPr>
            <w:tcW w:w="6460" w:type="dxa"/>
            <w:tcBorders>
              <w:top w:val="nil"/>
              <w:left w:val="single" w:sz="8" w:space="0" w:color="auto"/>
              <w:bottom w:val="single" w:sz="8" w:space="0" w:color="auto"/>
              <w:right w:val="single" w:sz="8" w:space="0" w:color="auto"/>
            </w:tcBorders>
            <w:tcMar>
              <w:left w:w="108" w:type="dxa"/>
              <w:right w:w="108" w:type="dxa"/>
            </w:tcMar>
          </w:tcPr>
          <w:p w14:paraId="28524F9E" w14:textId="6D249D78" w:rsidR="00912BD9" w:rsidRPr="009F333A" w:rsidRDefault="00912BD9" w:rsidP="00912BD9">
            <w:pPr>
              <w:jc w:val="both"/>
              <w:rPr>
                <w:rFonts w:ascii="Times New Roman" w:eastAsia="Times New Roman" w:hAnsi="Times New Roman" w:cs="Times New Roman"/>
                <w:noProof/>
              </w:rPr>
            </w:pPr>
            <w:bookmarkStart w:id="11" w:name="_Hlk197773047"/>
            <w:r>
              <w:rPr>
                <w:rFonts w:ascii="Times New Roman" w:hAnsi="Times New Roman"/>
                <w:noProof/>
              </w:rPr>
              <w:t xml:space="preserve">Créer un forum sur la résilience dans le domaine de l’eau. </w:t>
            </w:r>
            <w:bookmarkEnd w:id="11"/>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8C53B5C" w14:textId="77777777" w:rsidR="00912BD9" w:rsidRPr="009F333A" w:rsidRDefault="00912BD9" w:rsidP="00912BD9">
            <w:pPr>
              <w:jc w:val="center"/>
              <w:rPr>
                <w:rFonts w:ascii="Times New Roman" w:eastAsia="Times New Roman" w:hAnsi="Times New Roman" w:cs="Times New Roman"/>
                <w:noProof/>
              </w:rPr>
            </w:pPr>
            <w:r>
              <w:rPr>
                <w:rFonts w:ascii="Times New Roman" w:hAnsi="Times New Roman"/>
                <w:noProof/>
              </w:rPr>
              <w:t>À partir de 2026</w:t>
            </w:r>
          </w:p>
        </w:tc>
      </w:tr>
      <w:tr w:rsidR="00912BD9" w:rsidRPr="009F333A" w14:paraId="48E43E45"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0A751646" w14:textId="7E4F351B" w:rsidR="00912BD9" w:rsidRPr="00A9342C" w:rsidRDefault="23F02BA4" w:rsidP="4251B09A">
            <w:pPr>
              <w:jc w:val="center"/>
              <w:rPr>
                <w:rFonts w:ascii="Times New Roman" w:hAnsi="Times New Roman" w:cs="Times New Roman"/>
                <w:b/>
                <w:bCs/>
                <w:noProof/>
                <w:sz w:val="24"/>
                <w:szCs w:val="24"/>
              </w:rPr>
            </w:pPr>
            <w:r>
              <w:rPr>
                <w:rFonts w:ascii="Times New Roman" w:hAnsi="Times New Roman"/>
                <w:b/>
                <w:smallCaps/>
                <w:noProof/>
                <w:sz w:val="24"/>
              </w:rPr>
              <w:t>Le financement, les investissements et les infrastructures pour parvenir à un approvisionnement stable</w:t>
            </w:r>
          </w:p>
        </w:tc>
      </w:tr>
      <w:tr w:rsidR="00912BD9" w:rsidRPr="009F333A" w14:paraId="7DFA8C81"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DB31696"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5A768249" w14:textId="52A472C9" w:rsidR="00912BD9" w:rsidRPr="009F333A" w:rsidRDefault="00912BD9" w:rsidP="00912BD9">
            <w:pPr>
              <w:spacing w:line="257" w:lineRule="auto"/>
              <w:jc w:val="both"/>
              <w:rPr>
                <w:rFonts w:ascii="Times New Roman" w:eastAsia="Times New Roman" w:hAnsi="Times New Roman" w:cs="Times New Roman"/>
                <w:b/>
                <w:noProof/>
              </w:rPr>
            </w:pPr>
            <w:r>
              <w:rPr>
                <w:rFonts w:ascii="Times New Roman" w:hAnsi="Times New Roman"/>
                <w:b/>
                <w:noProof/>
              </w:rPr>
              <w:t>Lancement du programme de la BEI pour l’eau et du mécanisme de conseil pour une eau durable, en coopération avec la Commission, afin de renforcer l’assistance aux emprunteurs potentiels, en augmentant la réserve de projets.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0F7105DC" w14:textId="634433C4"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2025</w:t>
            </w:r>
          </w:p>
        </w:tc>
      </w:tr>
      <w:tr w:rsidR="00912BD9" w:rsidRPr="009F333A" w14:paraId="3DB94CC8"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735A86F"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542BB04" w14:textId="446C3432" w:rsidR="00912BD9" w:rsidRPr="009F333A" w:rsidDel="008B5C53" w:rsidRDefault="00912BD9" w:rsidP="00912BD9">
            <w:pPr>
              <w:spacing w:line="257" w:lineRule="auto"/>
              <w:jc w:val="both"/>
              <w:rPr>
                <w:rFonts w:ascii="Times New Roman" w:hAnsi="Times New Roman" w:cs="Times New Roman"/>
                <w:b/>
                <w:noProof/>
              </w:rPr>
            </w:pPr>
            <w:r>
              <w:rPr>
                <w:rFonts w:ascii="Times New Roman" w:hAnsi="Times New Roman"/>
                <w:b/>
                <w:noProof/>
              </w:rPr>
              <w:t>Aider les États membres et les régions à réorienter les fonds de la politique de cohésion vers la résilience dans le domaine de l’eau dans le cadre de l’examen à mi-parcours.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C0D8522" w14:textId="50470BA8"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2025</w:t>
            </w:r>
          </w:p>
        </w:tc>
      </w:tr>
      <w:tr w:rsidR="00912BD9" w:rsidRPr="009F333A" w14:paraId="5EA6996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8C36FEC"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1AD4ED84" w14:textId="22966445" w:rsidR="00912BD9" w:rsidRPr="009F333A" w:rsidRDefault="00912BD9" w:rsidP="00912BD9">
            <w:pPr>
              <w:spacing w:line="257" w:lineRule="auto"/>
              <w:jc w:val="both"/>
              <w:rPr>
                <w:rFonts w:ascii="Times New Roman" w:eastAsia="Times New Roman" w:hAnsi="Times New Roman" w:cs="Times New Roman"/>
                <w:b/>
                <w:bCs/>
                <w:noProof/>
              </w:rPr>
            </w:pPr>
            <w:bookmarkStart w:id="12" w:name="_Hlk197773761"/>
            <w:r>
              <w:rPr>
                <w:rFonts w:ascii="Times New Roman" w:hAnsi="Times New Roman"/>
                <w:b/>
                <w:noProof/>
              </w:rPr>
              <w:t xml:space="preserve"> Mettre en place un accélérateur d’investissements pour la résilience dans le domaine de l’eau.</w:t>
            </w:r>
            <w:bookmarkEnd w:id="12"/>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5A88FEE" w14:textId="3D4DB7CB"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2026-2027</w:t>
            </w:r>
          </w:p>
        </w:tc>
      </w:tr>
      <w:tr w:rsidR="00912BD9" w:rsidRPr="009F333A" w14:paraId="1F098919"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FE3A79D"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BA21756" w14:textId="068E014C" w:rsidR="00912BD9" w:rsidRPr="009F333A" w:rsidDel="00A8798D" w:rsidRDefault="00912BD9" w:rsidP="00912BD9">
            <w:pPr>
              <w:spacing w:line="257" w:lineRule="auto"/>
              <w:jc w:val="both"/>
              <w:rPr>
                <w:rFonts w:ascii="Times New Roman" w:eastAsia="Times New Roman" w:hAnsi="Times New Roman" w:cs="Times New Roman"/>
                <w:b/>
                <w:noProof/>
              </w:rPr>
            </w:pPr>
            <w:r>
              <w:rPr>
                <w:rFonts w:ascii="Times New Roman" w:hAnsi="Times New Roman"/>
                <w:b/>
                <w:noProof/>
              </w:rPr>
              <w:t xml:space="preserve">Lancer une initiative relative aux corridors verts et bleus afin de soutenir la restauration des environnements et des infrastructures écologiques, notamment les rivières, les zones humides et les côtes, pour restaurer le cycle de l’eau grâce à une approche de la source à la mer. </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4662E43" w14:textId="411533B1"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2027</w:t>
            </w:r>
          </w:p>
        </w:tc>
      </w:tr>
      <w:tr w:rsidR="00B013F3" w:rsidRPr="009F333A" w14:paraId="585AE868"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EC1F661" w14:textId="77777777" w:rsidR="00B013F3" w:rsidRPr="009F333A" w:rsidRDefault="00B013F3"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215C340" w14:textId="5B9E3909" w:rsidR="00B013F3" w:rsidRPr="009F333A" w:rsidRDefault="00B013F3" w:rsidP="00912BD9">
            <w:pPr>
              <w:spacing w:line="257" w:lineRule="auto"/>
              <w:jc w:val="both"/>
              <w:rPr>
                <w:rFonts w:ascii="Times New Roman" w:eastAsia="Times New Roman" w:hAnsi="Times New Roman" w:cs="Times New Roman"/>
                <w:b/>
                <w:bCs/>
                <w:noProof/>
              </w:rPr>
            </w:pPr>
            <w:r>
              <w:rPr>
                <w:rFonts w:ascii="Times New Roman" w:hAnsi="Times New Roman"/>
                <w:b/>
                <w:noProof/>
              </w:rPr>
              <w:t>Adopter une feuille de route pour les crédits «nature» afin d’exploiter le potentiel de ces instruments et d’encourager l’expansion de ces marchés.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7F04A2F" w14:textId="589FD8E2" w:rsidR="00B013F3" w:rsidRPr="009F333A" w:rsidRDefault="00B013F3" w:rsidP="00912BD9">
            <w:pPr>
              <w:jc w:val="center"/>
              <w:rPr>
                <w:rFonts w:ascii="Times New Roman" w:eastAsia="Times New Roman" w:hAnsi="Times New Roman" w:cs="Times New Roman"/>
                <w:b/>
                <w:bCs/>
                <w:noProof/>
              </w:rPr>
            </w:pPr>
            <w:r>
              <w:rPr>
                <w:rFonts w:ascii="Times New Roman" w:hAnsi="Times New Roman"/>
                <w:b/>
                <w:noProof/>
              </w:rPr>
              <w:t>2025</w:t>
            </w:r>
          </w:p>
        </w:tc>
      </w:tr>
      <w:tr w:rsidR="00912BD9" w:rsidRPr="009F333A" w14:paraId="0D3B98A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AF9D562" w14:textId="77777777" w:rsidR="00912BD9" w:rsidRPr="009F333A" w:rsidRDefault="00912BD9" w:rsidP="00912BD9">
            <w:pPr>
              <w:spacing w:before="240"/>
              <w:jc w:val="center"/>
              <w:rPr>
                <w:rFonts w:ascii="Times New Roman" w:hAnsi="Times New Roman" w:cs="Times New Roman"/>
                <w:noProof/>
              </w:rPr>
            </w:pPr>
            <w:r>
              <w:rPr>
                <w:rFonts w:ascii="Times New Roman" w:hAnsi="Times New Roman"/>
                <w:noProof/>
              </w:rPr>
              <w:t xml:space="preserve"> </w:t>
            </w: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0D7BF289" w14:textId="35A83B19" w:rsidR="00912BD9" w:rsidRPr="009F333A" w:rsidRDefault="23F02BA4" w:rsidP="00912BD9">
            <w:pPr>
              <w:jc w:val="both"/>
              <w:rPr>
                <w:rFonts w:ascii="Times New Roman" w:eastAsia="Times New Roman" w:hAnsi="Times New Roman" w:cs="Times New Roman"/>
                <w:noProof/>
              </w:rPr>
            </w:pPr>
            <w:r>
              <w:rPr>
                <w:rStyle w:val="normaltextrun"/>
                <w:rFonts w:ascii="Times New Roman" w:hAnsi="Times New Roman"/>
                <w:noProof/>
              </w:rPr>
              <w:t>Utiliser l’instrument d’appui technique pour aider les États membres à relever les défis liés à l’eau, notamment ceux recensés dans le cadre du Semestre européen.</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434D4" w14:textId="1502C8C1"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À partir de 2025</w:t>
            </w:r>
          </w:p>
        </w:tc>
      </w:tr>
      <w:tr w:rsidR="00912BD9" w:rsidRPr="009F333A" w14:paraId="109CB4FA"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40A4E2C7" w14:textId="5A2A8D88" w:rsidR="00912BD9" w:rsidRPr="009F333A" w:rsidRDefault="00912BD9" w:rsidP="00912BD9">
            <w:pPr>
              <w:jc w:val="center"/>
              <w:rPr>
                <w:rFonts w:ascii="Times New Roman" w:eastAsia="Calibri" w:hAnsi="Times New Roman" w:cs="Times New Roman"/>
                <w:noProof/>
              </w:rPr>
            </w:pPr>
            <w:r>
              <w:rPr>
                <w:rFonts w:ascii="Times New Roman" w:hAnsi="Times New Roman"/>
                <w:b/>
                <w:smallCaps/>
                <w:noProof/>
                <w:sz w:val="24"/>
              </w:rPr>
              <w:t>La numérisation et l’intelligence artificielle pour accélérer et simplifier la bonne gestion de l’eau</w:t>
            </w:r>
          </w:p>
        </w:tc>
      </w:tr>
      <w:tr w:rsidR="00912BD9" w:rsidRPr="009F333A" w14:paraId="1DD92C80"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FE3EA68"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55A46C00" w14:textId="251F4414" w:rsidR="00912BD9" w:rsidRPr="009F333A" w:rsidRDefault="00912BD9" w:rsidP="00912BD9">
            <w:pPr>
              <w:jc w:val="both"/>
              <w:rPr>
                <w:rFonts w:ascii="Times New Roman" w:hAnsi="Times New Roman"/>
                <w:b/>
                <w:noProof/>
              </w:rPr>
            </w:pPr>
            <w:r>
              <w:rPr>
                <w:rFonts w:ascii="Times New Roman" w:hAnsi="Times New Roman"/>
                <w:b/>
                <w:noProof/>
              </w:rPr>
              <w:t>Élaborer et mettre en œuvre les applications de l’UE Destination Terre et Jumeau numérique de l’océan pour la résilience de l’eau et, d’ici à 2030, mettre les capacités à la disposition des administrations nationales et locales dans l’UE et au-delà.</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1FD01C23" w14:textId="7D463566"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2025-2030</w:t>
            </w:r>
          </w:p>
          <w:p w14:paraId="0DD41FEB" w14:textId="77777777" w:rsidR="00912BD9" w:rsidRPr="009F333A" w:rsidRDefault="00912BD9" w:rsidP="00912BD9">
            <w:pPr>
              <w:jc w:val="center"/>
              <w:rPr>
                <w:rFonts w:ascii="Times New Roman" w:eastAsia="Times New Roman" w:hAnsi="Times New Roman" w:cs="Times New Roman"/>
                <w:b/>
                <w:noProof/>
              </w:rPr>
            </w:pPr>
          </w:p>
        </w:tc>
      </w:tr>
      <w:tr w:rsidR="00912BD9" w:rsidRPr="009F333A" w14:paraId="0FECCD5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B6CA6C5"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1246CFBA" w14:textId="3F11CB04" w:rsidR="00912BD9" w:rsidRPr="009F333A" w:rsidRDefault="00912BD9" w:rsidP="00912BD9">
            <w:pPr>
              <w:jc w:val="both"/>
              <w:rPr>
                <w:rFonts w:ascii="Times New Roman" w:eastAsia="Times New Roman" w:hAnsi="Times New Roman" w:cs="Times New Roman"/>
                <w:b/>
                <w:noProof/>
              </w:rPr>
            </w:pPr>
            <w:r>
              <w:rPr>
                <w:rFonts w:ascii="Times New Roman" w:hAnsi="Times New Roman"/>
                <w:b/>
                <w:noProof/>
              </w:rPr>
              <w:t>Élaborer un plan d’action à l’échelle de l’UE sur la numérisation dans le secteur de l’eau, y compris une initiative à l’échelle de l’UE sur des systèmes intelligents de mesure pour tous.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19BC54C" w14:textId="301B9DEB"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2026</w:t>
            </w:r>
          </w:p>
        </w:tc>
      </w:tr>
      <w:tr w:rsidR="00912BD9" w:rsidRPr="009F333A" w14:paraId="5777D1B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84CBE97"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73388989" w14:textId="4A8DFC8A" w:rsidR="00912BD9" w:rsidRPr="009F333A" w:rsidRDefault="00912BD9" w:rsidP="00912BD9">
            <w:pPr>
              <w:spacing w:line="259" w:lineRule="auto"/>
              <w:jc w:val="both"/>
              <w:rPr>
                <w:rFonts w:ascii="Times New Roman" w:hAnsi="Times New Roman" w:cs="Times New Roman"/>
                <w:b/>
                <w:noProof/>
              </w:rPr>
            </w:pPr>
            <w:r>
              <w:rPr>
                <w:rFonts w:ascii="Times New Roman" w:hAnsi="Times New Roman"/>
                <w:b/>
                <w:noProof/>
              </w:rPr>
              <w:t xml:space="preserve">Lancer un pôle thématique sur l’eau dans le cadre de Copernicus. </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5B012F13" w14:textId="77777777"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2026</w:t>
            </w:r>
          </w:p>
        </w:tc>
      </w:tr>
      <w:tr w:rsidR="00912BD9" w:rsidRPr="009F333A" w14:paraId="33951BB0"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17DDD084" w14:textId="3BB548B3" w:rsidR="00912BD9" w:rsidRPr="009F333A" w:rsidRDefault="00912BD9" w:rsidP="00912BD9">
            <w:pPr>
              <w:jc w:val="center"/>
              <w:rPr>
                <w:rFonts w:ascii="Times New Roman" w:hAnsi="Times New Roman" w:cs="Times New Roman"/>
                <w:noProof/>
                <w:sz w:val="24"/>
                <w:szCs w:val="24"/>
              </w:rPr>
            </w:pPr>
            <w:r>
              <w:rPr>
                <w:rFonts w:ascii="Times New Roman" w:hAnsi="Times New Roman"/>
                <w:b/>
                <w:smallCaps/>
                <w:noProof/>
                <w:sz w:val="24"/>
              </w:rPr>
              <w:t>La recherche et l’innovation, l’industrie de l’eau et les compétences pour renforcer la compétitivité</w:t>
            </w:r>
          </w:p>
        </w:tc>
      </w:tr>
      <w:tr w:rsidR="00912BD9" w:rsidRPr="009F333A" w14:paraId="2E4967E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D0A9A07"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AC3AC79" w14:textId="33324513" w:rsidR="00912BD9" w:rsidRPr="009F333A" w:rsidRDefault="00912BD9" w:rsidP="00912BD9">
            <w:pPr>
              <w:spacing w:line="259" w:lineRule="auto"/>
              <w:jc w:val="both"/>
              <w:rPr>
                <w:rFonts w:ascii="Times New Roman" w:hAnsi="Times New Roman" w:cs="Times New Roman"/>
                <w:b/>
                <w:noProof/>
              </w:rPr>
            </w:pPr>
            <w:r>
              <w:rPr>
                <w:rFonts w:ascii="Times New Roman" w:hAnsi="Times New Roman"/>
                <w:b/>
                <w:noProof/>
              </w:rPr>
              <w:t>Interface science-politique pour diffuser les résultats des projets de R&amp;I financés par l’UE, par exemple par l’intermédiaire d’une plateforme de guichet unique.</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6FBC850E" w14:textId="6E38C24C"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2026</w:t>
            </w:r>
          </w:p>
        </w:tc>
      </w:tr>
      <w:tr w:rsidR="00912BD9" w:rsidRPr="009F333A" w14:paraId="00BBDC5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A541091" w14:textId="77777777" w:rsidR="00912BD9" w:rsidRPr="009F333A" w:rsidRDefault="00912BD9" w:rsidP="00912BD9">
            <w:pPr>
              <w:jc w:val="center"/>
              <w:rPr>
                <w:rFonts w:ascii="Times New Roman" w:eastAsia="Times New Roman" w:hAnsi="Times New Roman" w:cs="Times New Roman"/>
                <w:b/>
                <w:noProof/>
              </w:rPr>
            </w:pPr>
            <w:bookmarkStart w:id="13" w:name="_Hlk197773859"/>
          </w:p>
        </w:tc>
        <w:tc>
          <w:tcPr>
            <w:tcW w:w="6460" w:type="dxa"/>
            <w:tcBorders>
              <w:top w:val="nil"/>
              <w:left w:val="single" w:sz="8" w:space="0" w:color="auto"/>
              <w:bottom w:val="single" w:sz="8" w:space="0" w:color="auto"/>
              <w:right w:val="single" w:sz="8" w:space="0" w:color="auto"/>
            </w:tcBorders>
            <w:tcMar>
              <w:left w:w="108" w:type="dxa"/>
              <w:right w:w="108" w:type="dxa"/>
            </w:tcMar>
          </w:tcPr>
          <w:p w14:paraId="285E60E7" w14:textId="65953F82" w:rsidR="00912BD9" w:rsidRPr="009F333A" w:rsidRDefault="00912BD9" w:rsidP="00912BD9">
            <w:pPr>
              <w:spacing w:line="259" w:lineRule="auto"/>
              <w:jc w:val="both"/>
              <w:rPr>
                <w:rFonts w:ascii="Times New Roman" w:hAnsi="Times New Roman" w:cs="Times New Roman"/>
                <w:b/>
                <w:noProof/>
              </w:rPr>
            </w:pPr>
            <w:r>
              <w:rPr>
                <w:rFonts w:ascii="Times New Roman" w:hAnsi="Times New Roman"/>
                <w:b/>
                <w:noProof/>
              </w:rPr>
              <w:t>Stratégie de R&amp;I pour la résilience dans le domaine de l’eau.</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7B83451" w14:textId="4372DB4C"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2026</w:t>
            </w:r>
          </w:p>
        </w:tc>
      </w:tr>
      <w:tr w:rsidR="00912BD9" w:rsidRPr="009F333A" w14:paraId="7DB5DF3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CB8F351"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0E5B69E2" w14:textId="222D59E2" w:rsidR="00912BD9" w:rsidRPr="009F333A" w:rsidRDefault="00912BD9" w:rsidP="00912BD9">
            <w:pPr>
              <w:spacing w:line="259" w:lineRule="auto"/>
              <w:jc w:val="both"/>
              <w:rPr>
                <w:rFonts w:ascii="Times New Roman" w:hAnsi="Times New Roman" w:cs="Times New Roman"/>
                <w:b/>
                <w:noProof/>
              </w:rPr>
            </w:pPr>
            <w:r>
              <w:rPr>
                <w:rFonts w:ascii="Times New Roman" w:hAnsi="Times New Roman"/>
                <w:b/>
                <w:noProof/>
              </w:rPr>
              <w:t>Alliance industrielle intelligente dans le domaine de l’eau pour stimuler la compétitivité.</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63F9B587" w14:textId="237EF44E"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2026</w:t>
            </w:r>
          </w:p>
        </w:tc>
      </w:tr>
      <w:tr w:rsidR="00912BD9" w:rsidRPr="009F333A" w14:paraId="5059CD0C"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64B97D3"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2D0C4B1A" w14:textId="0ADD584C" w:rsidR="00912BD9" w:rsidRPr="009F333A" w:rsidRDefault="00912BD9" w:rsidP="00912BD9">
            <w:pPr>
              <w:spacing w:line="259" w:lineRule="auto"/>
              <w:jc w:val="both"/>
              <w:rPr>
                <w:rFonts w:ascii="Times New Roman" w:hAnsi="Times New Roman"/>
                <w:b/>
                <w:noProof/>
              </w:rPr>
            </w:pPr>
            <w:r>
              <w:rPr>
                <w:rFonts w:ascii="Times New Roman" w:hAnsi="Times New Roman"/>
                <w:b/>
                <w:noProof/>
              </w:rPr>
              <w:t>Académie européenne de l’eau.</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BA9E8EE" w14:textId="2C073645"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2026-2027</w:t>
            </w:r>
          </w:p>
        </w:tc>
      </w:tr>
      <w:tr w:rsidR="00912BD9" w:rsidRPr="009F333A" w14:paraId="741F036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A5D4B23"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81884A9" w14:textId="60BC4B99" w:rsidR="00912BD9" w:rsidRPr="009F333A" w:rsidRDefault="00912BD9" w:rsidP="00912BD9">
            <w:pPr>
              <w:spacing w:line="259" w:lineRule="auto"/>
              <w:jc w:val="both"/>
              <w:rPr>
                <w:rFonts w:ascii="Times New Roman" w:hAnsi="Times New Roman"/>
                <w:b/>
                <w:noProof/>
              </w:rPr>
            </w:pPr>
            <w:r>
              <w:rPr>
                <w:rFonts w:ascii="Times New Roman" w:hAnsi="Times New Roman"/>
                <w:b/>
                <w:noProof/>
              </w:rPr>
              <w:t>Communauté de la connaissance et de l’innovation (CCI) dans les secteurs et écosystèmes aquatiques, marins et maritimes dans le cadre de l’Institut européen d’innovation et de technologie (EIT).</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0FA6267B" w14:textId="519D1A69"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2026</w:t>
            </w:r>
          </w:p>
        </w:tc>
      </w:tr>
      <w:bookmarkEnd w:id="13"/>
      <w:tr w:rsidR="00912BD9" w:rsidRPr="009F333A" w14:paraId="0D1C1F9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D43D323" w14:textId="77777777" w:rsidR="00912BD9" w:rsidRPr="009F333A" w:rsidRDefault="00912BD9" w:rsidP="00912BD9">
            <w:pPr>
              <w:jc w:val="center"/>
              <w:rPr>
                <w:rFonts w:ascii="Times New Roman" w:hAnsi="Times New Roman" w:cs="Times New Roman"/>
                <w:noProof/>
              </w:rPr>
            </w:pPr>
            <w:r>
              <w:rPr>
                <w:rFonts w:ascii="Times New Roman" w:hAnsi="Times New Roman"/>
                <w:noProof/>
              </w:rPr>
              <w:t xml:space="preserve"> </w:t>
            </w: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7A2A2" w14:textId="4AAA88F2" w:rsidR="00912BD9" w:rsidRPr="009F333A" w:rsidRDefault="00912BD9" w:rsidP="00912BD9">
            <w:pPr>
              <w:jc w:val="both"/>
              <w:rPr>
                <w:rFonts w:ascii="Times New Roman" w:eastAsia="Times New Roman" w:hAnsi="Times New Roman" w:cs="Times New Roman"/>
                <w:i/>
                <w:noProof/>
              </w:rPr>
            </w:pPr>
            <w:r>
              <w:rPr>
                <w:rFonts w:ascii="Times New Roman" w:hAnsi="Times New Roman"/>
                <w:noProof/>
              </w:rPr>
              <w:t>Encourager la poursuite de la recherche et de l’innovation afin de promouvoir le dessalement durable.</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6EE2E" w14:textId="77777777" w:rsidR="00912BD9" w:rsidRPr="009F333A" w:rsidRDefault="00912BD9" w:rsidP="00912BD9">
            <w:pPr>
              <w:jc w:val="center"/>
              <w:rPr>
                <w:rFonts w:ascii="Times New Roman" w:hAnsi="Times New Roman" w:cs="Times New Roman"/>
                <w:noProof/>
              </w:rPr>
            </w:pPr>
            <w:r>
              <w:rPr>
                <w:rFonts w:ascii="Times New Roman" w:hAnsi="Times New Roman"/>
                <w:noProof/>
              </w:rPr>
              <w:t>2026</w:t>
            </w:r>
          </w:p>
        </w:tc>
      </w:tr>
      <w:tr w:rsidR="00912BD9" w:rsidRPr="009F333A" w14:paraId="792219F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10D8B4A"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6FA56514" w14:textId="4667FA18" w:rsidR="00912BD9" w:rsidRPr="009F333A" w:rsidRDefault="00912BD9" w:rsidP="00912BD9">
            <w:pPr>
              <w:jc w:val="both"/>
              <w:rPr>
                <w:rFonts w:ascii="Times New Roman" w:eastAsia="Times New Roman" w:hAnsi="Times New Roman" w:cs="Times New Roman"/>
                <w:noProof/>
              </w:rPr>
            </w:pPr>
            <w:r>
              <w:rPr>
                <w:rFonts w:ascii="Times New Roman" w:hAnsi="Times New Roman"/>
                <w:noProof/>
              </w:rPr>
              <w:t>Le défi des technologies de l’eau, en coopération avec le CEI.</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3B03E" w14:textId="4BF4B623" w:rsidR="00912BD9" w:rsidRPr="009F333A" w:rsidRDefault="00912BD9" w:rsidP="00912BD9">
            <w:pPr>
              <w:jc w:val="center"/>
              <w:rPr>
                <w:rFonts w:ascii="Times New Roman" w:eastAsia="Times New Roman" w:hAnsi="Times New Roman" w:cs="Times New Roman"/>
                <w:noProof/>
              </w:rPr>
            </w:pPr>
            <w:r>
              <w:rPr>
                <w:rFonts w:ascii="Times New Roman" w:hAnsi="Times New Roman"/>
                <w:noProof/>
              </w:rPr>
              <w:t>à déterminer</w:t>
            </w:r>
          </w:p>
        </w:tc>
      </w:tr>
      <w:tr w:rsidR="00912BD9" w:rsidRPr="009F333A" w14:paraId="48C894AC"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4A556320" w14:textId="51989657" w:rsidR="00912BD9" w:rsidRPr="009F333A" w:rsidRDefault="00912BD9" w:rsidP="00912BD9">
            <w:pPr>
              <w:jc w:val="center"/>
              <w:rPr>
                <w:rFonts w:ascii="Times New Roman" w:hAnsi="Times New Roman" w:cs="Times New Roman"/>
                <w:noProof/>
                <w:sz w:val="24"/>
                <w:szCs w:val="24"/>
              </w:rPr>
            </w:pPr>
            <w:r>
              <w:rPr>
                <w:rFonts w:ascii="Times New Roman" w:hAnsi="Times New Roman"/>
                <w:b/>
                <w:smallCaps/>
                <w:noProof/>
                <w:sz w:val="24"/>
              </w:rPr>
              <w:t>La sécurité et la préparation pour renforcer la résilience collective</w:t>
            </w:r>
          </w:p>
        </w:tc>
      </w:tr>
      <w:tr w:rsidR="00912BD9" w:rsidRPr="009F333A" w14:paraId="5178DF6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F51D40B"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414077D9" w14:textId="06999134" w:rsidR="00912BD9" w:rsidRPr="009F333A" w:rsidRDefault="00912BD9" w:rsidP="00912BD9">
            <w:pPr>
              <w:jc w:val="both"/>
              <w:rPr>
                <w:rFonts w:ascii="Times New Roman" w:hAnsi="Times New Roman"/>
                <w:b/>
                <w:noProof/>
              </w:rPr>
            </w:pPr>
            <w:r>
              <w:rPr>
                <w:rFonts w:ascii="Times New Roman" w:hAnsi="Times New Roman"/>
                <w:b/>
                <w:noProof/>
              </w:rPr>
              <w:t>Renforcer la résilience des infrastructures hydriques terrestres et en mer grâce à la mise en œuvre de la directive sur la résilience des entités critiques.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61428F1B" w14:textId="36FDA54F"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2025</w:t>
            </w:r>
          </w:p>
        </w:tc>
      </w:tr>
      <w:tr w:rsidR="00912BD9" w:rsidRPr="009F333A" w14:paraId="4E0F837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61B2318"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4A1E2955" w14:textId="42C24DA1" w:rsidR="00912BD9" w:rsidRPr="009F333A" w:rsidRDefault="00912BD9" w:rsidP="00912BD9">
            <w:pPr>
              <w:jc w:val="both"/>
              <w:rPr>
                <w:rFonts w:ascii="Times New Roman" w:hAnsi="Times New Roman"/>
                <w:b/>
                <w:noProof/>
              </w:rPr>
            </w:pPr>
            <w:r>
              <w:rPr>
                <w:rFonts w:ascii="Times New Roman" w:hAnsi="Times New Roman"/>
                <w:b/>
                <w:noProof/>
              </w:rPr>
              <w:t>Améliorer les systèmes d’alerte rapide et de surveillance en temps réel de l’UE en renforçant l’observatoire européen de la sécheresse et le système européen d'alerte pour les inondations du service Copernicus de gestion des urgences.</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02248503" w14:textId="0AF809BF" w:rsidR="00912BD9" w:rsidRPr="009F333A" w:rsidRDefault="00912BD9" w:rsidP="00912BD9">
            <w:pPr>
              <w:jc w:val="center"/>
              <w:rPr>
                <w:rFonts w:ascii="Times New Roman" w:eastAsia="Times New Roman" w:hAnsi="Times New Roman" w:cs="Times New Roman"/>
                <w:b/>
                <w:noProof/>
              </w:rPr>
            </w:pPr>
            <w:r>
              <w:rPr>
                <w:rFonts w:ascii="Times New Roman" w:hAnsi="Times New Roman"/>
                <w:b/>
                <w:noProof/>
              </w:rPr>
              <w:t>À partir de 2025</w:t>
            </w:r>
          </w:p>
        </w:tc>
      </w:tr>
      <w:tr w:rsidR="00912BD9" w:rsidRPr="009F333A" w14:paraId="339201E6" w14:textId="77777777" w:rsidTr="4251B09A">
        <w:trPr>
          <w:trHeight w:val="53"/>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81FD1E1"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77C3A443" w14:textId="6445ED43" w:rsidR="00912BD9" w:rsidRPr="009F333A" w:rsidRDefault="00912BD9" w:rsidP="00912BD9">
            <w:pPr>
              <w:jc w:val="both"/>
              <w:rPr>
                <w:rFonts w:ascii="Times New Roman" w:hAnsi="Times New Roman"/>
                <w:b/>
                <w:noProof/>
              </w:rPr>
            </w:pPr>
            <w:r>
              <w:rPr>
                <w:rFonts w:ascii="Times New Roman" w:hAnsi="Times New Roman"/>
                <w:b/>
                <w:noProof/>
              </w:rPr>
              <w:t>Adopter un plan européen d’adaptation au changement climatique.</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2781A48A" w14:textId="4858F389" w:rsidR="00912BD9" w:rsidRPr="009F333A" w:rsidRDefault="00912BD9" w:rsidP="00912BD9">
            <w:pPr>
              <w:jc w:val="center"/>
              <w:rPr>
                <w:rFonts w:ascii="Times New Roman" w:eastAsia="Calibri" w:hAnsi="Times New Roman" w:cs="Times New Roman"/>
                <w:b/>
                <w:noProof/>
              </w:rPr>
            </w:pPr>
            <w:r>
              <w:rPr>
                <w:rFonts w:ascii="Times New Roman" w:hAnsi="Times New Roman"/>
                <w:b/>
                <w:noProof/>
              </w:rPr>
              <w:t>2026</w:t>
            </w:r>
          </w:p>
        </w:tc>
      </w:tr>
      <w:tr w:rsidR="00912BD9" w:rsidRPr="009F333A" w14:paraId="1EC9D33B" w14:textId="77777777" w:rsidTr="002A0715">
        <w:trPr>
          <w:trHeight w:val="53"/>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E9919A7"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279FCD9" w14:textId="1AFDDD44" w:rsidR="00912BD9" w:rsidRPr="00D74CDF" w:rsidRDefault="00912BD9" w:rsidP="00912BD9">
            <w:pPr>
              <w:jc w:val="both"/>
              <w:rPr>
                <w:rFonts w:ascii="Times New Roman" w:hAnsi="Times New Roman"/>
                <w:bCs/>
                <w:noProof/>
              </w:rPr>
            </w:pPr>
            <w:r>
              <w:rPr>
                <w:rFonts w:ascii="Times New Roman" w:hAnsi="Times New Roman"/>
                <w:noProof/>
              </w:rPr>
              <w:t>Renforcer la prévention des maladies infectieuses d’origine hydrique par la mise en œuvre du règlement (UE) 2022/2371 concernant les menaces transfrontières graves pour la santé.</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CE60139" w14:textId="66AD619E" w:rsidR="00912BD9" w:rsidRPr="00D74CDF" w:rsidRDefault="00912BD9" w:rsidP="002A0715">
            <w:pPr>
              <w:jc w:val="center"/>
              <w:rPr>
                <w:rFonts w:ascii="Times New Roman" w:eastAsia="Calibri" w:hAnsi="Times New Roman" w:cs="Times New Roman"/>
                <w:bCs/>
                <w:noProof/>
              </w:rPr>
            </w:pPr>
            <w:r>
              <w:rPr>
                <w:rFonts w:ascii="Times New Roman" w:hAnsi="Times New Roman"/>
                <w:noProof/>
              </w:rPr>
              <w:t>À partir de 2022</w:t>
            </w:r>
          </w:p>
        </w:tc>
      </w:tr>
      <w:tr w:rsidR="00912BD9" w:rsidRPr="009F333A" w14:paraId="56E58B05"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3B376334" w14:textId="2672DA58" w:rsidR="00912BD9" w:rsidRPr="009F333A" w:rsidRDefault="00912BD9" w:rsidP="00912BD9">
            <w:pPr>
              <w:jc w:val="center"/>
              <w:rPr>
                <w:rFonts w:ascii="Times New Roman" w:eastAsiaTheme="minorEastAsia" w:hAnsi="Times New Roman" w:cs="Times New Roman"/>
                <w:b/>
                <w:smallCaps/>
                <w:noProof/>
                <w:color w:val="000000" w:themeColor="text1"/>
              </w:rPr>
            </w:pPr>
            <w:r>
              <w:rPr>
                <w:rFonts w:ascii="Times New Roman" w:hAnsi="Times New Roman"/>
                <w:b/>
                <w:smallCaps/>
                <w:noProof/>
                <w:color w:val="000000" w:themeColor="text1"/>
              </w:rPr>
              <w:t>Agir à l’échelle mondiale — montrer l’exemple, s’engager et prendre des initiatives</w:t>
            </w:r>
          </w:p>
        </w:tc>
      </w:tr>
      <w:tr w:rsidR="00912BD9" w:rsidRPr="009F333A" w14:paraId="2AFC46FC"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D1F16EF"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F7842" w14:textId="7E5EAAE1" w:rsidR="00912BD9" w:rsidRPr="009F333A" w:rsidRDefault="00912BD9" w:rsidP="00912BD9">
            <w:pPr>
              <w:jc w:val="both"/>
              <w:rPr>
                <w:rFonts w:ascii="Times New Roman" w:eastAsiaTheme="minorEastAsia" w:hAnsi="Times New Roman" w:cs="Times New Roman"/>
                <w:b/>
                <w:bCs/>
                <w:noProof/>
              </w:rPr>
            </w:pPr>
            <w:r>
              <w:rPr>
                <w:rFonts w:ascii="Times New Roman" w:hAnsi="Times New Roman"/>
                <w:b/>
                <w:noProof/>
              </w:rPr>
              <w:t xml:space="preserve">Promouvoir la résilience dans le domaine de l’eau par l’intermédiaire de la stratégie «Global Gateway» en soutenant les initiatives prioritaires dans ce domaine et en renforçant l’engagement national et régional. </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566F9" w14:textId="56392BC3" w:rsidR="00912BD9" w:rsidRPr="009F333A" w:rsidRDefault="00912BD9" w:rsidP="00912BD9">
            <w:pPr>
              <w:spacing w:before="240"/>
              <w:jc w:val="center"/>
              <w:rPr>
                <w:rFonts w:ascii="Times New Roman" w:eastAsiaTheme="minorEastAsia" w:hAnsi="Times New Roman" w:cs="Times New Roman"/>
                <w:b/>
                <w:noProof/>
              </w:rPr>
            </w:pPr>
            <w:r>
              <w:rPr>
                <w:rFonts w:ascii="Times New Roman" w:hAnsi="Times New Roman"/>
                <w:b/>
                <w:noProof/>
              </w:rPr>
              <w:t>À partir de 2025</w:t>
            </w:r>
          </w:p>
        </w:tc>
      </w:tr>
      <w:tr w:rsidR="00912BD9" w:rsidRPr="009F333A" w14:paraId="66F2AC79"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A6F8B96"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AD6DA" w14:textId="379F5556" w:rsidR="00912BD9" w:rsidRPr="001D018A" w:rsidRDefault="00912BD9" w:rsidP="00912BD9">
            <w:pPr>
              <w:jc w:val="both"/>
              <w:rPr>
                <w:rFonts w:ascii="Times New Roman" w:hAnsi="Times New Roman"/>
                <w:bCs/>
                <w:noProof/>
              </w:rPr>
            </w:pPr>
            <w:r>
              <w:rPr>
                <w:rFonts w:ascii="Times New Roman" w:hAnsi="Times New Roman"/>
                <w:noProof/>
              </w:rPr>
              <w:t>Renforcer la gouvernance mondiale de l’eau en participant aux discussions sur un futur cadre mondial de gouvernance de l’eau.</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14F79" w14:textId="77777777" w:rsidR="00912BD9" w:rsidRPr="001D018A" w:rsidRDefault="00912BD9" w:rsidP="00912BD9">
            <w:pPr>
              <w:spacing w:before="240"/>
              <w:jc w:val="center"/>
              <w:rPr>
                <w:rFonts w:ascii="Times New Roman" w:eastAsia="Times New Roman" w:hAnsi="Times New Roman" w:cs="Times New Roman"/>
                <w:noProof/>
              </w:rPr>
            </w:pPr>
            <w:r>
              <w:rPr>
                <w:rFonts w:ascii="Times New Roman" w:hAnsi="Times New Roman"/>
                <w:noProof/>
              </w:rPr>
              <w:t>À partir de 2025</w:t>
            </w:r>
          </w:p>
        </w:tc>
      </w:tr>
      <w:tr w:rsidR="00912BD9" w:rsidRPr="009F333A" w14:paraId="63EFE66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1FB46BF9"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9F0493" w14:textId="70B94498" w:rsidR="00912BD9" w:rsidRPr="009F333A" w:rsidRDefault="00912BD9" w:rsidP="00912BD9">
            <w:pPr>
              <w:jc w:val="both"/>
              <w:rPr>
                <w:rFonts w:ascii="Times New Roman" w:eastAsiaTheme="minorEastAsia" w:hAnsi="Times New Roman" w:cs="Times New Roman"/>
                <w:b/>
                <w:noProof/>
              </w:rPr>
            </w:pPr>
            <w:r>
              <w:rPr>
                <w:rFonts w:ascii="Times New Roman" w:hAnsi="Times New Roman"/>
                <w:noProof/>
              </w:rPr>
              <w:t>Favoriser la coopération transfrontière dans le domaine de l’eau en soutenant l’adhésion à la convention des Nations unies sur l’eau.</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F626D" w14:textId="21E522F5" w:rsidR="00912BD9" w:rsidRPr="009F333A" w:rsidRDefault="00912BD9" w:rsidP="00912BD9">
            <w:pPr>
              <w:spacing w:before="240"/>
              <w:jc w:val="center"/>
              <w:rPr>
                <w:rFonts w:ascii="Times New Roman" w:eastAsiaTheme="minorEastAsia" w:hAnsi="Times New Roman" w:cs="Times New Roman"/>
                <w:noProof/>
              </w:rPr>
            </w:pPr>
            <w:r>
              <w:rPr>
                <w:rFonts w:ascii="Times New Roman" w:hAnsi="Times New Roman"/>
                <w:noProof/>
              </w:rPr>
              <w:t>À partir de 2025</w:t>
            </w:r>
          </w:p>
        </w:tc>
      </w:tr>
      <w:tr w:rsidR="00912BD9" w:rsidRPr="009F333A" w14:paraId="7E1ED0D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0B38814"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82D67" w14:textId="594AA9C4" w:rsidR="00912BD9" w:rsidRPr="009F333A" w:rsidRDefault="00912BD9" w:rsidP="00912BD9">
            <w:pPr>
              <w:jc w:val="both"/>
              <w:rPr>
                <w:rFonts w:ascii="Times New Roman" w:eastAsiaTheme="minorEastAsia" w:hAnsi="Times New Roman" w:cs="Times New Roman"/>
                <w:b/>
                <w:noProof/>
              </w:rPr>
            </w:pPr>
            <w:r>
              <w:rPr>
                <w:rFonts w:ascii="Times New Roman" w:hAnsi="Times New Roman"/>
                <w:noProof/>
              </w:rPr>
              <w:t>Soutenir l’accès d’au moins 70 millions de personnes à une source d’approvisionnement en eau potable améliorée et/ou à des services d’assainissement améliorés, débloquer des investissements plus importants et stimuler la compétitivité de l’industrie de l’eau dans l’UE.</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27C7D" w14:textId="142D7ABC" w:rsidR="00912BD9" w:rsidRPr="009F333A" w:rsidRDefault="00912BD9" w:rsidP="00912BD9">
            <w:pPr>
              <w:spacing w:before="240"/>
              <w:jc w:val="center"/>
              <w:rPr>
                <w:rFonts w:ascii="Times New Roman" w:eastAsiaTheme="minorEastAsia" w:hAnsi="Times New Roman" w:cs="Times New Roman"/>
                <w:noProof/>
              </w:rPr>
            </w:pPr>
            <w:r>
              <w:rPr>
                <w:rFonts w:ascii="Times New Roman" w:hAnsi="Times New Roman"/>
                <w:noProof/>
              </w:rPr>
              <w:t>En cours</w:t>
            </w:r>
          </w:p>
        </w:tc>
      </w:tr>
      <w:tr w:rsidR="00912BD9" w:rsidRPr="009F333A" w:rsidDel="00170684" w14:paraId="407654A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87D1E3E"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72FE28A1" w14:textId="5BBB12D3" w:rsidR="00912BD9" w:rsidRPr="009F333A" w:rsidDel="00170684" w:rsidRDefault="00912BD9" w:rsidP="00912BD9">
            <w:pPr>
              <w:jc w:val="both"/>
              <w:rPr>
                <w:rFonts w:ascii="Times New Roman" w:hAnsi="Times New Roman"/>
                <w:noProof/>
              </w:rPr>
            </w:pPr>
            <w:r>
              <w:rPr>
                <w:rFonts w:ascii="Times New Roman" w:hAnsi="Times New Roman"/>
                <w:noProof/>
              </w:rPr>
              <w:t>Accroître considérablement les investissements dans les solutions fondées sur la nature dans les infrastructures ou en liaison avec celles-ci.</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tcPr>
          <w:p w14:paraId="1B69AF49" w14:textId="1A94C0EB" w:rsidR="00912BD9" w:rsidRPr="009F333A" w:rsidDel="00170684" w:rsidRDefault="00912BD9" w:rsidP="00912BD9">
            <w:pPr>
              <w:spacing w:before="240"/>
              <w:jc w:val="center"/>
              <w:rPr>
                <w:rFonts w:ascii="Times New Roman" w:eastAsia="Times New Roman" w:hAnsi="Times New Roman" w:cs="Times New Roman"/>
                <w:noProof/>
              </w:rPr>
            </w:pPr>
            <w:r>
              <w:rPr>
                <w:rFonts w:ascii="Times New Roman" w:hAnsi="Times New Roman"/>
                <w:noProof/>
              </w:rPr>
              <w:t>À partir de 2026</w:t>
            </w:r>
          </w:p>
        </w:tc>
      </w:tr>
      <w:tr w:rsidR="00912BD9" w:rsidRPr="009F333A" w:rsidDel="00170684" w14:paraId="2A6098B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1ECA98C"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7F313772" w14:textId="5F0D75D7" w:rsidR="00912BD9" w:rsidRPr="009F333A" w:rsidRDefault="00912BD9" w:rsidP="00912BD9">
            <w:pPr>
              <w:jc w:val="both"/>
              <w:rPr>
                <w:rFonts w:ascii="Times New Roman" w:hAnsi="Times New Roman"/>
                <w:noProof/>
              </w:rPr>
            </w:pPr>
            <w:r>
              <w:rPr>
                <w:rFonts w:ascii="Times New Roman" w:hAnsi="Times New Roman"/>
                <w:noProof/>
              </w:rPr>
              <w:t>Intégrer l’eau dans les processus internationaux, notamment les trois conventions de Rio sur le changement climatique, la diversité biologique et la désertification.</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tcPr>
          <w:p w14:paraId="1E291D95" w14:textId="21187F1F"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À partir de 2025</w:t>
            </w:r>
          </w:p>
        </w:tc>
      </w:tr>
      <w:tr w:rsidR="00912BD9" w:rsidRPr="009F333A" w14:paraId="6627DA9B" w14:textId="77777777" w:rsidTr="002A0715">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9B1A207"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2EA1D450" w14:textId="76BD6542" w:rsidR="00912BD9" w:rsidRPr="009F333A" w:rsidRDefault="23F02BA4" w:rsidP="00912BD9">
            <w:pPr>
              <w:jc w:val="both"/>
              <w:rPr>
                <w:rFonts w:ascii="Times New Roman" w:eastAsia="Times New Roman" w:hAnsi="Times New Roman" w:cs="Times New Roman"/>
                <w:noProof/>
              </w:rPr>
            </w:pPr>
            <w:r>
              <w:rPr>
                <w:rFonts w:ascii="Times New Roman" w:hAnsi="Times New Roman"/>
                <w:noProof/>
              </w:rPr>
              <w:t>Améliorer la mise en œuvre des objectifs et cibles liés à l’eau</w:t>
            </w:r>
            <w:r>
              <w:rPr>
                <w:rStyle w:val="FootnoteReference"/>
                <w:rFonts w:ascii="Times New Roman" w:eastAsia="Times New Roman" w:hAnsi="Times New Roman" w:cs="Times New Roman"/>
                <w:noProof/>
                <w:lang w:eastAsia="en-IE"/>
              </w:rPr>
              <w:footnoteReference w:id="81"/>
            </w:r>
            <w:r>
              <w:rPr>
                <w:rFonts w:ascii="Times New Roman" w:hAnsi="Times New Roman"/>
                <w:noProof/>
              </w:rPr>
              <w:t xml:space="preserve"> du cadre mondial de la biodiversité de Kunming-Montréal.</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ADEF3" w14:textId="6F32F9FC" w:rsidR="00912BD9" w:rsidRPr="009F333A" w:rsidRDefault="00912BD9" w:rsidP="002A0715">
            <w:pPr>
              <w:spacing w:before="240"/>
              <w:jc w:val="center"/>
              <w:rPr>
                <w:rFonts w:ascii="Times New Roman" w:eastAsia="Times New Roman" w:hAnsi="Times New Roman" w:cs="Times New Roman"/>
                <w:noProof/>
              </w:rPr>
            </w:pPr>
            <w:r>
              <w:rPr>
                <w:rFonts w:ascii="Times New Roman" w:hAnsi="Times New Roman"/>
                <w:noProof/>
              </w:rPr>
              <w:t>En cours</w:t>
            </w:r>
          </w:p>
        </w:tc>
      </w:tr>
      <w:tr w:rsidR="00912BD9" w:rsidRPr="009F333A" w14:paraId="5CCE5DCE" w14:textId="77777777" w:rsidTr="0059590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1FA4D58"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75E510" w14:textId="10FEC122" w:rsidR="00912BD9" w:rsidRPr="009F333A" w:rsidRDefault="00912BD9" w:rsidP="0059590A">
            <w:pPr>
              <w:rPr>
                <w:rFonts w:ascii="Times New Roman" w:eastAsia="Times New Roman" w:hAnsi="Times New Roman" w:cs="Times New Roman"/>
                <w:noProof/>
              </w:rPr>
            </w:pPr>
            <w:r>
              <w:rPr>
                <w:rFonts w:ascii="Times New Roman" w:hAnsi="Times New Roman"/>
                <w:noProof/>
              </w:rPr>
              <w:t>Renforcer la participation de l’UE à la convention de Ramsar.</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16437" w14:textId="77777777" w:rsidR="00912BD9" w:rsidRPr="009F333A" w:rsidRDefault="00912BD9" w:rsidP="00912BD9">
            <w:pPr>
              <w:jc w:val="center"/>
              <w:rPr>
                <w:rFonts w:ascii="Times New Roman" w:eastAsia="Times New Roman" w:hAnsi="Times New Roman" w:cs="Times New Roman"/>
                <w:noProof/>
              </w:rPr>
            </w:pPr>
            <w:r>
              <w:rPr>
                <w:rFonts w:ascii="Times New Roman" w:hAnsi="Times New Roman"/>
                <w:noProof/>
              </w:rPr>
              <w:t>À partir de 2025 </w:t>
            </w:r>
          </w:p>
        </w:tc>
      </w:tr>
      <w:tr w:rsidR="00912BD9" w:rsidRPr="009F333A" w14:paraId="2E0440E2"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3F1A124"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17BFE535" w14:textId="149FF956" w:rsidR="00912BD9" w:rsidRPr="009F333A" w:rsidRDefault="00912BD9" w:rsidP="00912BD9">
            <w:pPr>
              <w:jc w:val="both"/>
              <w:rPr>
                <w:rFonts w:ascii="Times New Roman" w:eastAsia="Times New Roman" w:hAnsi="Times New Roman" w:cs="Times New Roman"/>
                <w:noProof/>
              </w:rPr>
            </w:pPr>
            <w:r>
              <w:rPr>
                <w:rFonts w:ascii="Times New Roman" w:hAnsi="Times New Roman"/>
                <w:noProof/>
              </w:rPr>
              <w:t>Renforcer la participation, entre autres, au G7, au G20, à la coalition pour la coopération dans le domaine des eaux transfrontières, à l’initiative «Freshwater Challenge» (défi eau douce) et au dialogue de Bakou sur l’eau.</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8D0EF" w14:textId="4E1E9E8A"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À partir de 2025</w:t>
            </w:r>
          </w:p>
        </w:tc>
      </w:tr>
      <w:tr w:rsidR="00912BD9" w:rsidRPr="009F333A" w14:paraId="25C86D31"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439F2B1"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6E207346" w14:textId="74A69D11" w:rsidR="00912BD9" w:rsidRPr="009F333A" w:rsidRDefault="00912BD9" w:rsidP="00912BD9">
            <w:pPr>
              <w:jc w:val="both"/>
              <w:rPr>
                <w:rFonts w:ascii="Times New Roman" w:hAnsi="Times New Roman"/>
                <w:i/>
                <w:iCs/>
                <w:noProof/>
              </w:rPr>
            </w:pPr>
            <w:r>
              <w:rPr>
                <w:rFonts w:ascii="Times New Roman" w:hAnsi="Times New Roman"/>
                <w:noProof/>
              </w:rPr>
              <w:t>Évaluer les besoins d’investissement de chaque pays candidat nécessaires à l’alignement sur l’acquis dans le domaine de l’eau.</w:t>
            </w:r>
          </w:p>
        </w:tc>
        <w:tc>
          <w:tcPr>
            <w:tcW w:w="169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14:paraId="6DF331BF" w14:textId="77777777"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À partir de 2026 </w:t>
            </w:r>
          </w:p>
        </w:tc>
      </w:tr>
      <w:tr w:rsidR="00912BD9" w:rsidRPr="009F333A" w14:paraId="6432126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71C4F6A"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141F9723" w14:textId="493D6192" w:rsidR="00912BD9" w:rsidRPr="009F333A" w:rsidRDefault="00912BD9" w:rsidP="00912BD9">
            <w:pPr>
              <w:jc w:val="both"/>
              <w:rPr>
                <w:rFonts w:ascii="Times New Roman" w:eastAsia="Times New Roman" w:hAnsi="Times New Roman" w:cs="Times New Roman"/>
                <w:noProof/>
              </w:rPr>
            </w:pPr>
            <w:r>
              <w:rPr>
                <w:rFonts w:ascii="Times New Roman" w:hAnsi="Times New Roman"/>
                <w:noProof/>
              </w:rPr>
              <w:t>Renforcer l’engagement au sein de l’Union pour la Méditerranée et du partenariat pour la Méditerranée bleue.</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5D67C" w14:textId="77777777"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À partir de 2025 </w:t>
            </w:r>
          </w:p>
        </w:tc>
      </w:tr>
    </w:tbl>
    <w:p w14:paraId="29DBB90D" w14:textId="6247C510" w:rsidR="00F411F4" w:rsidRPr="009F333A" w:rsidRDefault="00F411F4">
      <w:pPr>
        <w:rPr>
          <w:rFonts w:ascii="Times New Roman" w:hAnsi="Times New Roman" w:cs="Times New Roman"/>
          <w:noProof/>
          <w:color w:val="000000"/>
          <w:shd w:val="clear" w:color="auto" w:fill="FFFFFF"/>
        </w:rPr>
      </w:pPr>
    </w:p>
    <w:p w14:paraId="4C360C71" w14:textId="77777777" w:rsidR="006C0E91" w:rsidRPr="009F333A" w:rsidRDefault="006C0E91">
      <w:pPr>
        <w:rPr>
          <w:rFonts w:ascii="Times New Roman" w:hAnsi="Times New Roman" w:cs="Times New Roman"/>
          <w:noProof/>
          <w:color w:val="000000"/>
          <w:shd w:val="clear" w:color="auto" w:fill="FFFFFF"/>
        </w:rPr>
      </w:pPr>
    </w:p>
    <w:p w14:paraId="13608077" w14:textId="7B83C498" w:rsidR="00397B1A" w:rsidRPr="009F333A" w:rsidRDefault="00397B1A">
      <w:pPr>
        <w:rPr>
          <w:rFonts w:ascii="Times New Roman" w:hAnsi="Times New Roman" w:cs="Times New Roman"/>
          <w:noProof/>
          <w:color w:val="000000"/>
          <w:shd w:val="clear" w:color="auto" w:fill="FFFFFF"/>
        </w:rPr>
      </w:pPr>
      <w:r>
        <w:rPr>
          <w:noProof/>
        </w:rPr>
        <w:br w:type="page"/>
      </w:r>
    </w:p>
    <w:p w14:paraId="70F9A171" w14:textId="79278048" w:rsidR="00ED188B" w:rsidRPr="009F333A" w:rsidRDefault="00ED188B" w:rsidP="00E12D04">
      <w:pPr>
        <w:rPr>
          <w:rFonts w:ascii="Times New Roman Bold" w:hAnsi="Times New Roman Bold" w:cs="Times New Roman"/>
          <w:b/>
          <w:smallCaps/>
          <w:noProof/>
        </w:rPr>
      </w:pPr>
      <w:r>
        <w:rPr>
          <w:rFonts w:ascii="Times New Roman Bold" w:hAnsi="Times New Roman Bold"/>
          <w:b/>
          <w:smallCaps/>
          <w:noProof/>
        </w:rPr>
        <w:t>Annexe II — Objectifs intermédiaires clés pour la période 2027-2033</w:t>
      </w:r>
    </w:p>
    <w:tbl>
      <w:tblPr>
        <w:tblStyle w:val="TableGrid"/>
        <w:tblW w:w="0" w:type="auto"/>
        <w:tblInd w:w="113" w:type="dxa"/>
        <w:tblLook w:val="04A0" w:firstRow="1" w:lastRow="0" w:firstColumn="1" w:lastColumn="0" w:noHBand="0" w:noVBand="1"/>
      </w:tblPr>
      <w:tblGrid>
        <w:gridCol w:w="8903"/>
      </w:tblGrid>
      <w:tr w:rsidR="00AD01DA" w:rsidRPr="00523A34" w14:paraId="45D3B8A2" w14:textId="77777777" w:rsidTr="008E410C">
        <w:trPr>
          <w:trHeight w:val="841"/>
        </w:trPr>
        <w:tc>
          <w:tcPr>
            <w:tcW w:w="8903" w:type="dxa"/>
          </w:tcPr>
          <w:p w14:paraId="7E2F958B" w14:textId="2BCBE727" w:rsidR="00AD01DA" w:rsidRPr="009F333A" w:rsidRDefault="00AD01DA" w:rsidP="00BE5CDC">
            <w:pPr>
              <w:spacing w:after="120"/>
              <w:ind w:left="312"/>
              <w:jc w:val="center"/>
              <w:rPr>
                <w:rFonts w:ascii="Times New Roman" w:hAnsi="Times New Roman" w:cs="Times New Roman"/>
                <w:b/>
                <w:bCs/>
                <w:noProof/>
                <w:color w:val="0F4761" w:themeColor="accent1" w:themeShade="BF"/>
              </w:rPr>
            </w:pPr>
            <w:r>
              <w:rPr>
                <w:noProof/>
              </w:rPr>
              <w:br w:type="page"/>
            </w:r>
            <w:bookmarkStart w:id="14" w:name="_Hlk197774368"/>
            <w:r>
              <w:rPr>
                <w:rFonts w:ascii="Times New Roman" w:hAnsi="Times New Roman"/>
                <w:b/>
                <w:noProof/>
                <w:color w:val="0F4761" w:themeColor="accent1" w:themeShade="BF"/>
              </w:rPr>
              <w:t>Restaurer et protéger le cycle de l’eau</w:t>
            </w:r>
            <w:bookmarkEnd w:id="14"/>
          </w:p>
          <w:p w14:paraId="0288FCF8" w14:textId="0EAA4F04" w:rsidR="00AD01DA" w:rsidRPr="009F333A" w:rsidRDefault="00AD01DA" w:rsidP="00277AD7">
            <w:pPr>
              <w:spacing w:after="120"/>
              <w:jc w:val="both"/>
              <w:rPr>
                <w:rFonts w:ascii="Times New Roman" w:hAnsi="Times New Roman" w:cs="Times New Roman"/>
                <w:noProof/>
                <w:sz w:val="24"/>
                <w:szCs w:val="24"/>
              </w:rPr>
            </w:pPr>
            <w:r>
              <w:rPr>
                <w:rFonts w:ascii="Times New Roman" w:hAnsi="Times New Roman"/>
                <w:noProof/>
                <w:color w:val="0F4761" w:themeColor="accent1" w:themeShade="BF"/>
                <w:sz w:val="24"/>
              </w:rPr>
              <w:t>D’ici à 2030</w:t>
            </w:r>
            <w:r>
              <w:rPr>
                <w:rFonts w:ascii="Times New Roman" w:hAnsi="Times New Roman"/>
                <w:noProof/>
                <w:sz w:val="24"/>
              </w:rPr>
              <w:t>, des mesures de restauration seront mises en place sur au moins 30 % des habitats côtiers et d’eau douce de l’UE qui ne sont pas en bon état (</w:t>
            </w:r>
            <w:r>
              <w:rPr>
                <w:rFonts w:ascii="Times New Roman" w:hAnsi="Times New Roman"/>
                <w:i/>
                <w:iCs/>
                <w:noProof/>
                <w:sz w:val="24"/>
              </w:rPr>
              <w:t>règlement relatif à la restauration de la nature</w:t>
            </w:r>
            <w:r>
              <w:rPr>
                <w:rFonts w:ascii="Times New Roman" w:hAnsi="Times New Roman"/>
                <w:noProof/>
                <w:sz w:val="24"/>
              </w:rPr>
              <w:t>).</w:t>
            </w:r>
          </w:p>
          <w:p w14:paraId="391EC90D" w14:textId="7E29897A" w:rsidR="0061648E" w:rsidRPr="009F333A" w:rsidRDefault="0061648E" w:rsidP="00277AD7">
            <w:pPr>
              <w:spacing w:after="120"/>
              <w:jc w:val="both"/>
              <w:rPr>
                <w:rFonts w:ascii="Times New Roman" w:hAnsi="Times New Roman" w:cs="Times New Roman"/>
                <w:noProof/>
                <w:sz w:val="24"/>
                <w:szCs w:val="24"/>
              </w:rPr>
            </w:pPr>
            <w:r>
              <w:rPr>
                <w:rFonts w:ascii="Times New Roman" w:hAnsi="Times New Roman"/>
                <w:noProof/>
                <w:color w:val="0F4761" w:themeColor="accent1" w:themeShade="BF"/>
                <w:sz w:val="24"/>
              </w:rPr>
              <w:t>D’ici à 2030</w:t>
            </w:r>
            <w:r>
              <w:rPr>
                <w:rFonts w:ascii="Times New Roman" w:hAnsi="Times New Roman"/>
                <w:noProof/>
                <w:sz w:val="24"/>
              </w:rPr>
              <w:t>, au moins 30 % des espèces et des habitats qui ne présentent pas actuellement un état favorable entreront dans cette catégorie ou afficheront une tendance nettement positive (</w:t>
            </w:r>
            <w:r>
              <w:rPr>
                <w:rFonts w:ascii="Times New Roman" w:hAnsi="Times New Roman"/>
                <w:i/>
                <w:iCs/>
                <w:noProof/>
                <w:sz w:val="24"/>
              </w:rPr>
              <w:t>stratégie de l’UE en faveur de la biodiversité à l’horizon 2030</w:t>
            </w:r>
            <w:r>
              <w:rPr>
                <w:rFonts w:ascii="Times New Roman" w:hAnsi="Times New Roman"/>
                <w:noProof/>
                <w:sz w:val="24"/>
              </w:rPr>
              <w:t>).</w:t>
            </w:r>
          </w:p>
          <w:p w14:paraId="5C5D7927" w14:textId="677FF346" w:rsidR="00AD01DA" w:rsidRPr="009F333A" w:rsidRDefault="00AD01DA" w:rsidP="00277AD7">
            <w:pPr>
              <w:spacing w:after="120"/>
              <w:jc w:val="both"/>
              <w:rPr>
                <w:rFonts w:ascii="Times New Roman" w:hAnsi="Times New Roman" w:cs="Times New Roman"/>
                <w:noProof/>
                <w:sz w:val="24"/>
                <w:szCs w:val="24"/>
              </w:rPr>
            </w:pPr>
            <w:r>
              <w:rPr>
                <w:rFonts w:ascii="Times New Roman" w:hAnsi="Times New Roman"/>
                <w:noProof/>
                <w:color w:val="0F4761" w:themeColor="accent1" w:themeShade="BF"/>
                <w:sz w:val="24"/>
              </w:rPr>
              <w:t>D’ici à 2030</w:t>
            </w:r>
            <w:r>
              <w:rPr>
                <w:rFonts w:ascii="Times New Roman" w:hAnsi="Times New Roman"/>
                <w:noProof/>
                <w:sz w:val="24"/>
              </w:rPr>
              <w:t>, au moins 25 000 km de cours d’eau à courant libre sur le territoire de l’Union devront être restaurés (</w:t>
            </w:r>
            <w:r>
              <w:rPr>
                <w:rFonts w:ascii="Times New Roman" w:hAnsi="Times New Roman"/>
                <w:i/>
                <w:iCs/>
                <w:noProof/>
                <w:sz w:val="24"/>
              </w:rPr>
              <w:t>stratégie de l’UE en faveur de la biodiversité à l’horizon 2030</w:t>
            </w:r>
            <w:r>
              <w:rPr>
                <w:rFonts w:ascii="Times New Roman" w:hAnsi="Times New Roman"/>
                <w:noProof/>
                <w:sz w:val="24"/>
              </w:rPr>
              <w:t>).</w:t>
            </w:r>
          </w:p>
          <w:p w14:paraId="03F0AD8D" w14:textId="2CD7F737" w:rsidR="00314294" w:rsidRPr="009F333A" w:rsidRDefault="009432B6" w:rsidP="09B83B87">
            <w:pPr>
              <w:spacing w:after="120"/>
              <w:jc w:val="both"/>
              <w:rPr>
                <w:rFonts w:ascii="Times New Roman" w:hAnsi="Times New Roman" w:cs="Times New Roman"/>
                <w:noProof/>
                <w:sz w:val="24"/>
                <w:szCs w:val="24"/>
              </w:rPr>
            </w:pPr>
            <w:r>
              <w:rPr>
                <w:rFonts w:ascii="Times New Roman" w:hAnsi="Times New Roman"/>
                <w:noProof/>
                <w:color w:val="0F4761" w:themeColor="accent1" w:themeShade="BF"/>
                <w:sz w:val="24"/>
              </w:rPr>
              <w:t xml:space="preserve">D’ici à 2027, </w:t>
            </w:r>
            <w:r>
              <w:rPr>
                <w:rFonts w:ascii="Times New Roman" w:hAnsi="Times New Roman"/>
                <w:noProof/>
                <w:sz w:val="24"/>
              </w:rPr>
              <w:t>les États membres auront protégé, amélioré et restauré toutes les masses d’eau de surface et souterraines afin de parvenir à un bon état</w:t>
            </w:r>
            <w:bookmarkStart w:id="15" w:name="_Hlk197774391"/>
            <w:r>
              <w:rPr>
                <w:rFonts w:ascii="Times New Roman" w:hAnsi="Times New Roman"/>
                <w:noProof/>
                <w:sz w:val="24"/>
              </w:rPr>
              <w:t xml:space="preserve"> (</w:t>
            </w:r>
            <w:r>
              <w:rPr>
                <w:rFonts w:ascii="Times New Roman" w:hAnsi="Times New Roman"/>
                <w:i/>
                <w:noProof/>
                <w:sz w:val="24"/>
              </w:rPr>
              <w:t>directive-cadre sur l’eau</w:t>
            </w:r>
            <w:r>
              <w:rPr>
                <w:rFonts w:ascii="Times New Roman" w:hAnsi="Times New Roman"/>
                <w:noProof/>
                <w:sz w:val="24"/>
              </w:rPr>
              <w:t>).</w:t>
            </w:r>
          </w:p>
          <w:bookmarkEnd w:id="15"/>
          <w:p w14:paraId="09415AC5" w14:textId="053EFB4B" w:rsidR="00AD01DA" w:rsidRPr="009F333A" w:rsidRDefault="004B5A06" w:rsidP="00277AD7">
            <w:pPr>
              <w:spacing w:after="120"/>
              <w:jc w:val="center"/>
              <w:rPr>
                <w:rFonts w:ascii="Times New Roman" w:hAnsi="Times New Roman" w:cs="Times New Roman"/>
                <w:b/>
                <w:bCs/>
                <w:noProof/>
                <w:color w:val="0F4761" w:themeColor="accent1" w:themeShade="BF"/>
              </w:rPr>
            </w:pPr>
            <w:r>
              <w:rPr>
                <w:rFonts w:ascii="Times New Roman" w:hAnsi="Times New Roman"/>
                <w:b/>
                <w:noProof/>
                <w:color w:val="0F4761" w:themeColor="accent1" w:themeShade="BF"/>
              </w:rPr>
              <w:t>Construire une économie intelligente dans le domaine de l’eau qui ne laisse personne de côté, soutienne la compétitivité de l’UE et attire les investisseurs</w:t>
            </w:r>
          </w:p>
          <w:p w14:paraId="2B43FDED" w14:textId="77777777" w:rsidR="00AD01DA" w:rsidRPr="009F333A" w:rsidRDefault="00AD01DA" w:rsidP="00277AD7">
            <w:pPr>
              <w:spacing w:after="120"/>
              <w:jc w:val="both"/>
              <w:rPr>
                <w:rFonts w:ascii="Times New Roman" w:hAnsi="Times New Roman" w:cs="Times New Roman"/>
                <w:noProof/>
              </w:rPr>
            </w:pPr>
            <w:r>
              <w:rPr>
                <w:rFonts w:ascii="Times New Roman" w:hAnsi="Times New Roman"/>
                <w:noProof/>
                <w:color w:val="0F4761" w:themeColor="accent1" w:themeShade="BF"/>
              </w:rPr>
              <w:t>D’ici à 2030</w:t>
            </w:r>
            <w:r>
              <w:rPr>
                <w:rFonts w:ascii="Times New Roman" w:hAnsi="Times New Roman"/>
                <w:noProof/>
                <w:color w:val="000000" w:themeColor="text1"/>
              </w:rPr>
              <w:t xml:space="preserve">, </w:t>
            </w:r>
            <w:r>
              <w:rPr>
                <w:rFonts w:ascii="Times New Roman" w:hAnsi="Times New Roman"/>
                <w:noProof/>
              </w:rPr>
              <w:t>les secteurs les plus gourmands en eau auront adopté des pratiques rationnelles d’utilisation de l’eau et amélioré leurs pratiques existantes, notamment les secteurs suivants, sur la base de la législation de l’UE existante:</w:t>
            </w:r>
          </w:p>
          <w:p w14:paraId="143473F6" w14:textId="7E3B8179" w:rsidR="00AD01DA" w:rsidRPr="009F333A" w:rsidRDefault="00E4091A" w:rsidP="00A30966">
            <w:pPr>
              <w:pStyle w:val="ListParagraph"/>
              <w:numPr>
                <w:ilvl w:val="0"/>
                <w:numId w:val="1"/>
              </w:numPr>
              <w:spacing w:before="120" w:after="120"/>
              <w:ind w:left="714" w:hanging="357"/>
              <w:jc w:val="both"/>
              <w:rPr>
                <w:rFonts w:ascii="Times New Roman" w:hAnsi="Times New Roman" w:cs="Times New Roman"/>
                <w:noProof/>
              </w:rPr>
            </w:pPr>
            <w:r>
              <w:rPr>
                <w:rFonts w:ascii="Times New Roman" w:hAnsi="Times New Roman"/>
                <w:noProof/>
              </w:rPr>
              <w:t xml:space="preserve">énergie: des plans nationaux de rénovation des bâtiments, attendus </w:t>
            </w:r>
            <w:r>
              <w:rPr>
                <w:rFonts w:ascii="Times New Roman" w:hAnsi="Times New Roman"/>
                <w:noProof/>
                <w:color w:val="0F4761" w:themeColor="accent1" w:themeShade="BF"/>
              </w:rPr>
              <w:t>d’ici à 2026</w:t>
            </w:r>
            <w:r>
              <w:rPr>
                <w:rFonts w:ascii="Times New Roman" w:hAnsi="Times New Roman"/>
                <w:noProof/>
              </w:rPr>
              <w:t>, commenceront à être déployés dans chaque État membre dans l’objectif d’une rénovation progressive des bâtiments existants afin de les rendre hautement efficaces sur le plan énergétique et décarbonés d’ici à 2050, y compris au moyen d’approches et de programmes portant sur le traitement de l’eau (</w:t>
            </w:r>
            <w:r>
              <w:rPr>
                <w:rFonts w:ascii="Times New Roman" w:hAnsi="Times New Roman"/>
                <w:i/>
                <w:iCs/>
                <w:noProof/>
              </w:rPr>
              <w:t>directive sur la performance énergétique des bâtiments</w:t>
            </w:r>
            <w:r>
              <w:rPr>
                <w:rFonts w:ascii="Times New Roman" w:hAnsi="Times New Roman"/>
                <w:noProof/>
              </w:rPr>
              <w:t>);</w:t>
            </w:r>
          </w:p>
          <w:p w14:paraId="3B515DEA" w14:textId="07B4FA90" w:rsidR="00AD01DA" w:rsidRPr="009F333A" w:rsidRDefault="00AD01DA" w:rsidP="00A30966">
            <w:pPr>
              <w:pStyle w:val="ListParagraph"/>
              <w:numPr>
                <w:ilvl w:val="0"/>
                <w:numId w:val="1"/>
              </w:numPr>
              <w:spacing w:before="120" w:after="120"/>
              <w:ind w:left="714" w:hanging="357"/>
              <w:jc w:val="both"/>
              <w:rPr>
                <w:rFonts w:ascii="Times New Roman" w:hAnsi="Times New Roman" w:cs="Times New Roman"/>
                <w:noProof/>
              </w:rPr>
            </w:pPr>
            <w:r>
              <w:rPr>
                <w:rFonts w:ascii="Times New Roman" w:hAnsi="Times New Roman"/>
                <w:noProof/>
                <w:color w:val="000000" w:themeColor="text1"/>
              </w:rPr>
              <w:t>industrie</w:t>
            </w:r>
            <w:r>
              <w:rPr>
                <w:rFonts w:ascii="Times New Roman" w:hAnsi="Times New Roman"/>
                <w:noProof/>
              </w:rPr>
              <w:t>:</w:t>
            </w:r>
            <w:r>
              <w:rPr>
                <w:rFonts w:ascii="Times New Roman" w:hAnsi="Times New Roman"/>
                <w:noProof/>
                <w:color w:val="3071C3"/>
              </w:rPr>
              <w:t xml:space="preserve"> </w:t>
            </w:r>
            <w:r>
              <w:rPr>
                <w:rFonts w:ascii="Times New Roman" w:hAnsi="Times New Roman"/>
                <w:noProof/>
              </w:rPr>
              <w:t>la consommation d’eau commencera à être réduite de manière tangible dans l’ensemble des plus grands processus de production industrielle et animale de l’UE (</w:t>
            </w:r>
            <w:r>
              <w:rPr>
                <w:rFonts w:ascii="Times New Roman" w:hAnsi="Times New Roman"/>
                <w:i/>
                <w:iCs/>
                <w:noProof/>
              </w:rPr>
              <w:t>directive relative aux émissions industrielles</w:t>
            </w:r>
            <w:r>
              <w:rPr>
                <w:rFonts w:ascii="Times New Roman" w:hAnsi="Times New Roman"/>
                <w:noProof/>
              </w:rPr>
              <w:t>).</w:t>
            </w:r>
          </w:p>
          <w:p w14:paraId="0B28D0A8" w14:textId="2C990B76" w:rsidR="009B5D56" w:rsidRPr="001D018A" w:rsidRDefault="009B5D56" w:rsidP="009B5D56">
            <w:pPr>
              <w:spacing w:after="120"/>
              <w:jc w:val="both"/>
              <w:rPr>
                <w:rFonts w:ascii="Times New Roman" w:hAnsi="Times New Roman" w:cs="Times New Roman"/>
                <w:noProof/>
              </w:rPr>
            </w:pPr>
            <w:r>
              <w:rPr>
                <w:rFonts w:ascii="Times New Roman" w:hAnsi="Times New Roman"/>
                <w:noProof/>
              </w:rPr>
              <w:t xml:space="preserve">En outre, en ce qui concerne l’agriculture, </w:t>
            </w:r>
            <w:r>
              <w:rPr>
                <w:rFonts w:ascii="Times New Roman" w:hAnsi="Times New Roman"/>
                <w:noProof/>
                <w:color w:val="0F4761" w:themeColor="accent1" w:themeShade="BF"/>
              </w:rPr>
              <w:t>d’ici à 2027</w:t>
            </w:r>
            <w:r>
              <w:rPr>
                <w:rFonts w:ascii="Times New Roman" w:hAnsi="Times New Roman"/>
                <w:noProof/>
              </w:rPr>
              <w:t>, les plans stratégiques relevant de la PAC ont prévu d’apporter un soutien aux pratiques (au-delà des exigences obligatoires) visant à améliorer la santé des sols (et donc à améliorer la rétention de l’eau et à limiter l’érosion) sur 47 % de la surface agricole de l’UE. Le soutien aux pratiques en faveur de l’utilisation durable des pesticides et d’une meilleure gestion des nutriments couvrira respectivement 27 % et 15 % de la surface agricole de l’UE (soutien de la PAC et plans stratégiques relevant de la PAC).</w:t>
            </w:r>
          </w:p>
          <w:p w14:paraId="3B8CA0AA" w14:textId="0C5FF5D2" w:rsidR="00AD01DA" w:rsidRPr="009F333A" w:rsidRDefault="00AD01DA" w:rsidP="00277AD7">
            <w:pPr>
              <w:spacing w:after="120"/>
              <w:jc w:val="both"/>
              <w:rPr>
                <w:rFonts w:ascii="Times New Roman" w:hAnsi="Times New Roman" w:cs="Times New Roman"/>
                <w:noProof/>
              </w:rPr>
            </w:pPr>
            <w:r>
              <w:rPr>
                <w:rFonts w:ascii="Times New Roman" w:hAnsi="Times New Roman"/>
                <w:noProof/>
                <w:color w:val="0F4761" w:themeColor="accent1" w:themeShade="BF"/>
              </w:rPr>
              <w:t>D’ici à 2030</w:t>
            </w:r>
            <w:r>
              <w:rPr>
                <w:rFonts w:ascii="Times New Roman" w:hAnsi="Times New Roman"/>
                <w:noProof/>
              </w:rPr>
              <w:t>, les États membres dont les niveaux de fuite d’eau dépassent le seuil fixé pour l’ensemble de l’UE, qui sera défini d’ici à 2028, présenteront un plan d’action comprenant des mesures visant à réduire les fuites sur leurs réseaux d’approvisionnement (</w:t>
            </w:r>
            <w:r>
              <w:rPr>
                <w:rFonts w:ascii="Times New Roman" w:hAnsi="Times New Roman"/>
                <w:i/>
                <w:iCs/>
                <w:noProof/>
              </w:rPr>
              <w:t>directive relative à l’eau potable</w:t>
            </w:r>
            <w:r>
              <w:rPr>
                <w:rFonts w:ascii="Times New Roman" w:hAnsi="Times New Roman"/>
                <w:noProof/>
              </w:rPr>
              <w:t>).</w:t>
            </w:r>
          </w:p>
          <w:p w14:paraId="5EB56920" w14:textId="103F0345" w:rsidR="00305627" w:rsidRPr="009F333A" w:rsidRDefault="52945F3F" w:rsidP="009D2CBB">
            <w:pPr>
              <w:spacing w:before="120" w:after="120"/>
              <w:jc w:val="both"/>
              <w:rPr>
                <w:rFonts w:ascii="Times New Roman" w:hAnsi="Times New Roman" w:cs="Times New Roman"/>
                <w:noProof/>
              </w:rPr>
            </w:pPr>
            <w:r>
              <w:rPr>
                <w:rFonts w:ascii="Times New Roman" w:hAnsi="Times New Roman"/>
                <w:noProof/>
                <w:color w:val="0F4761" w:themeColor="accent1" w:themeShade="BF"/>
              </w:rPr>
              <w:t>D’ici à 2030</w:t>
            </w:r>
            <w:r>
              <w:rPr>
                <w:rFonts w:ascii="Times New Roman" w:hAnsi="Times New Roman"/>
                <w:noProof/>
              </w:rPr>
              <w:t>, la Commission et les États membres encourageront la réutilisation des eaux urbaines résiduaires traitées à toutes fins appropriées autres que l’agriculture et évalueront la faisabilité et l’opportunité d’un objectif au niveau de l’Union en matière de réutilisation de l’eau dans tous les secteurs économiques (</w:t>
            </w:r>
            <w:r>
              <w:rPr>
                <w:rFonts w:ascii="Times New Roman" w:hAnsi="Times New Roman"/>
                <w:i/>
                <w:noProof/>
              </w:rPr>
              <w:t>règlement sur la réutilisation de l’eau</w:t>
            </w:r>
            <w:r>
              <w:rPr>
                <w:rFonts w:ascii="Times New Roman" w:hAnsi="Times New Roman"/>
                <w:noProof/>
              </w:rPr>
              <w:t>).</w:t>
            </w:r>
          </w:p>
          <w:p w14:paraId="1D92133F" w14:textId="53DC164E" w:rsidR="00AD01DA" w:rsidRPr="009F333A" w:rsidRDefault="00AD01DA" w:rsidP="004B5A06">
            <w:pPr>
              <w:spacing w:after="120" w:line="259" w:lineRule="auto"/>
              <w:jc w:val="center"/>
              <w:rPr>
                <w:rFonts w:ascii="Times New Roman" w:hAnsi="Times New Roman" w:cs="Times New Roman"/>
                <w:b/>
                <w:noProof/>
                <w:color w:val="0F4761" w:themeColor="accent1" w:themeShade="BF"/>
              </w:rPr>
            </w:pPr>
            <w:r>
              <w:rPr>
                <w:rFonts w:ascii="Times New Roman" w:hAnsi="Times New Roman"/>
                <w:b/>
                <w:noProof/>
                <w:color w:val="0F4761" w:themeColor="accent1" w:themeShade="BF"/>
              </w:rPr>
              <w:t>Garantir l’accès à une eau propre et abordable pour tous, et renforcer l’autonomie des consommateurs et des autres utilisateurs</w:t>
            </w:r>
          </w:p>
          <w:p w14:paraId="07F912EF" w14:textId="1D70EAE4" w:rsidR="00AD01DA" w:rsidRPr="009F333A" w:rsidRDefault="41D98564" w:rsidP="00277AD7">
            <w:pPr>
              <w:spacing w:after="120"/>
              <w:jc w:val="both"/>
              <w:rPr>
                <w:rFonts w:ascii="Times New Roman" w:hAnsi="Times New Roman"/>
                <w:noProof/>
              </w:rPr>
            </w:pPr>
            <w:r>
              <w:rPr>
                <w:rFonts w:ascii="Times New Roman" w:hAnsi="Times New Roman"/>
                <w:noProof/>
                <w:color w:val="0F4761" w:themeColor="accent1" w:themeShade="BF"/>
              </w:rPr>
              <w:t>D’ici à 2027</w:t>
            </w:r>
            <w:r>
              <w:rPr>
                <w:rFonts w:ascii="Times New Roman" w:hAnsi="Times New Roman"/>
                <w:noProof/>
              </w:rPr>
              <w:t>, les États membres mettront en place des factures transparentes pour l’eau potable et les eaux usées, afin de sensibiliser davantage les consommateurs à leur consommation et au prix réel de l’eau, ainsi que des systèmes de surveillance des paramètres de santé publique dans les eaux urbaines résiduaires en cas d’urgence (</w:t>
            </w:r>
            <w:r>
              <w:rPr>
                <w:rFonts w:ascii="Times New Roman" w:hAnsi="Times New Roman"/>
                <w:i/>
                <w:iCs/>
                <w:noProof/>
              </w:rPr>
              <w:t>directive sur l’eau potable, directive relative au traitement des eaux urbaines résiduaires</w:t>
            </w:r>
            <w:r>
              <w:rPr>
                <w:rFonts w:ascii="Times New Roman" w:hAnsi="Times New Roman"/>
                <w:noProof/>
              </w:rPr>
              <w:t xml:space="preserve">). </w:t>
            </w:r>
          </w:p>
          <w:p w14:paraId="01AA8AC0" w14:textId="77777777" w:rsidR="00C90712" w:rsidRPr="009F333A" w:rsidRDefault="00AD01DA" w:rsidP="00C90712">
            <w:pPr>
              <w:spacing w:after="120"/>
              <w:jc w:val="both"/>
              <w:rPr>
                <w:rFonts w:ascii="Times New Roman" w:hAnsi="Times New Roman" w:cs="Times New Roman"/>
                <w:noProof/>
              </w:rPr>
            </w:pPr>
            <w:r>
              <w:rPr>
                <w:rFonts w:ascii="Times New Roman" w:hAnsi="Times New Roman"/>
                <w:noProof/>
                <w:color w:val="0F4761" w:themeColor="accent1" w:themeShade="BF"/>
              </w:rPr>
              <w:t>D’ici à 2029</w:t>
            </w:r>
            <w:r>
              <w:rPr>
                <w:rFonts w:ascii="Times New Roman" w:hAnsi="Times New Roman"/>
                <w:noProof/>
              </w:rPr>
              <w:t>, les États membres informeront la Commission des mesures prises pour améliorer l’accès à l’eau potable et à l’assainissement pour tous, y compris les groupes vulnérables et marginalisés, et commenceront à faire rapport à la Commission tous les six ans en la matière (</w:t>
            </w:r>
            <w:r>
              <w:rPr>
                <w:rFonts w:ascii="Times New Roman" w:hAnsi="Times New Roman"/>
                <w:i/>
                <w:iCs/>
                <w:noProof/>
              </w:rPr>
              <w:t>directive sur l’eau potable et directive relative au traitement des eaux urbaines résiduaires</w:t>
            </w:r>
            <w:r>
              <w:rPr>
                <w:rFonts w:ascii="Times New Roman" w:hAnsi="Times New Roman"/>
                <w:noProof/>
              </w:rPr>
              <w:t xml:space="preserve">). </w:t>
            </w:r>
          </w:p>
          <w:p w14:paraId="79581364" w14:textId="07F2A92B" w:rsidR="00AD01DA" w:rsidRPr="009F333A" w:rsidRDefault="00C90712" w:rsidP="00305627">
            <w:pPr>
              <w:jc w:val="both"/>
              <w:rPr>
                <w:rFonts w:ascii="Times New Roman" w:eastAsia="Times New Roman" w:hAnsi="Times New Roman" w:cs="Times New Roman"/>
                <w:noProof/>
                <w:sz w:val="24"/>
                <w:szCs w:val="24"/>
              </w:rPr>
            </w:pPr>
            <w:r>
              <w:rPr>
                <w:rFonts w:ascii="Times New Roman" w:hAnsi="Times New Roman"/>
                <w:noProof/>
                <w:color w:val="0F4761" w:themeColor="accent1" w:themeShade="BF"/>
              </w:rPr>
              <w:t>D’ici à 2030</w:t>
            </w:r>
            <w:r>
              <w:rPr>
                <w:rFonts w:ascii="Times New Roman" w:hAnsi="Times New Roman"/>
                <w:noProof/>
                <w:sz w:val="24"/>
              </w:rPr>
              <w:t>, l’UE soutiendra l’accès de 70 millions de personnes à une source d’approvisionnement en eau potable améliorée et/ou à des services d’assainissement améliorés (</w:t>
            </w:r>
            <w:r>
              <w:rPr>
                <w:rFonts w:ascii="Times New Roman" w:hAnsi="Times New Roman"/>
                <w:i/>
                <w:iCs/>
                <w:noProof/>
                <w:sz w:val="24"/>
              </w:rPr>
              <w:t>engagement de l’UE en faveur du programme d’action pour l’eau</w:t>
            </w:r>
            <w:r>
              <w:rPr>
                <w:rFonts w:ascii="Times New Roman" w:hAnsi="Times New Roman"/>
                <w:noProof/>
                <w:sz w:val="24"/>
              </w:rPr>
              <w:t xml:space="preserve">). </w:t>
            </w:r>
          </w:p>
          <w:p w14:paraId="28E4DBE1" w14:textId="77777777" w:rsidR="00305627" w:rsidRPr="006C7F0A" w:rsidRDefault="00305627" w:rsidP="00305627">
            <w:pPr>
              <w:jc w:val="both"/>
              <w:rPr>
                <w:rFonts w:ascii="Times New Roman" w:hAnsi="Times New Roman" w:cs="Times New Roman"/>
                <w:noProof/>
                <w:lang w:val="fr-BE"/>
              </w:rPr>
            </w:pPr>
          </w:p>
          <w:p w14:paraId="15ADC10C" w14:textId="0798AD07" w:rsidR="00AD01DA" w:rsidRPr="008E410C" w:rsidRDefault="52945F3F" w:rsidP="00277AD7">
            <w:pPr>
              <w:jc w:val="both"/>
              <w:rPr>
                <w:rFonts w:ascii="Times New Roman" w:hAnsi="Times New Roman" w:cs="Times New Roman"/>
                <w:noProof/>
              </w:rPr>
            </w:pPr>
            <w:r>
              <w:rPr>
                <w:rFonts w:ascii="Times New Roman" w:hAnsi="Times New Roman"/>
                <w:noProof/>
                <w:color w:val="0F4761" w:themeColor="accent1" w:themeShade="BF"/>
              </w:rPr>
              <w:t>D’ici à 2033</w:t>
            </w:r>
            <w:r>
              <w:rPr>
                <w:rFonts w:ascii="Times New Roman" w:hAnsi="Times New Roman"/>
                <w:noProof/>
              </w:rPr>
              <w:t>, toutes les villes de l’UE de plus de 100 000 habitants mettront en place des plans intégrés de gestion des eaux urbaines résiduaires donnant la priorité aux solutions fondées sur la nature et aux infrastructures vertes/bleues (</w:t>
            </w:r>
            <w:r>
              <w:rPr>
                <w:rFonts w:ascii="Times New Roman" w:hAnsi="Times New Roman"/>
                <w:i/>
                <w:iCs/>
                <w:noProof/>
              </w:rPr>
              <w:t>directive relative au traitement des eaux urbaines résiduaires</w:t>
            </w:r>
            <w:r>
              <w:rPr>
                <w:rFonts w:ascii="Times New Roman" w:hAnsi="Times New Roman"/>
                <w:noProof/>
              </w:rPr>
              <w:t>).</w:t>
            </w:r>
          </w:p>
        </w:tc>
      </w:tr>
    </w:tbl>
    <w:p w14:paraId="2D401A88" w14:textId="77777777" w:rsidR="009906B1" w:rsidRPr="009906B1" w:rsidRDefault="009906B1" w:rsidP="00F125D5">
      <w:pPr>
        <w:rPr>
          <w:noProof/>
        </w:rPr>
      </w:pPr>
    </w:p>
    <w:sectPr w:rsidR="009906B1" w:rsidRPr="009906B1" w:rsidSect="005354D2">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F0471" w14:textId="77777777" w:rsidR="00EC4C9B" w:rsidRDefault="00EC4C9B" w:rsidP="005354D2">
      <w:pPr>
        <w:spacing w:after="0" w:line="240" w:lineRule="auto"/>
      </w:pPr>
      <w:r>
        <w:separator/>
      </w:r>
    </w:p>
  </w:endnote>
  <w:endnote w:type="continuationSeparator" w:id="0">
    <w:p w14:paraId="7B100192" w14:textId="77777777" w:rsidR="00EC4C9B" w:rsidRDefault="00EC4C9B" w:rsidP="005354D2">
      <w:pPr>
        <w:spacing w:after="0" w:line="240" w:lineRule="auto"/>
      </w:pPr>
      <w:r>
        <w:continuationSeparator/>
      </w:r>
    </w:p>
  </w:endnote>
  <w:endnote w:type="continuationNotice" w:id="1">
    <w:p w14:paraId="5178D93C" w14:textId="77777777" w:rsidR="00EC4C9B" w:rsidRDefault="00EC4C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557ED" w14:textId="66104FDE" w:rsidR="008250B7" w:rsidRPr="008250B7" w:rsidRDefault="008250B7" w:rsidP="008250B7">
    <w:pPr>
      <w:pStyle w:val="FooterCoverPage"/>
      <w:rPr>
        <w:rFonts w:ascii="Arial" w:hAnsi="Arial" w:cs="Arial"/>
        <w:b/>
        <w:sz w:val="48"/>
      </w:rPr>
    </w:pPr>
    <w:r w:rsidRPr="008250B7">
      <w:rPr>
        <w:rFonts w:ascii="Arial" w:hAnsi="Arial" w:cs="Arial"/>
        <w:b/>
        <w:sz w:val="48"/>
      </w:rPr>
      <w:t>FR</w:t>
    </w:r>
    <w:r w:rsidRPr="008250B7">
      <w:rPr>
        <w:rFonts w:ascii="Arial" w:hAnsi="Arial" w:cs="Arial"/>
        <w:b/>
        <w:sz w:val="48"/>
      </w:rPr>
      <w:tab/>
    </w:r>
    <w:r w:rsidRPr="008250B7">
      <w:rPr>
        <w:rFonts w:ascii="Arial" w:hAnsi="Arial" w:cs="Arial"/>
        <w:b/>
        <w:sz w:val="48"/>
      </w:rPr>
      <w:tab/>
    </w:r>
    <w:r w:rsidRPr="008250B7">
      <w:tab/>
    </w:r>
    <w:r w:rsidRPr="008250B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7E3F7" w14:textId="3D51414D" w:rsidR="008250B7" w:rsidRPr="008250B7" w:rsidRDefault="008250B7" w:rsidP="008250B7">
    <w:pPr>
      <w:pStyle w:val="FooterCoverPage"/>
      <w:rPr>
        <w:rFonts w:ascii="Arial" w:hAnsi="Arial" w:cs="Arial"/>
        <w:b/>
        <w:sz w:val="48"/>
      </w:rPr>
    </w:pPr>
    <w:r w:rsidRPr="008250B7">
      <w:rPr>
        <w:rFonts w:ascii="Arial" w:hAnsi="Arial" w:cs="Arial"/>
        <w:b/>
        <w:sz w:val="48"/>
      </w:rPr>
      <w:t>FR</w:t>
    </w:r>
    <w:r w:rsidRPr="008250B7">
      <w:rPr>
        <w:rFonts w:ascii="Arial" w:hAnsi="Arial" w:cs="Arial"/>
        <w:b/>
        <w:sz w:val="48"/>
      </w:rPr>
      <w:tab/>
    </w:r>
    <w:r w:rsidRPr="008250B7">
      <w:rPr>
        <w:rFonts w:ascii="Arial" w:hAnsi="Arial" w:cs="Arial"/>
        <w:b/>
        <w:sz w:val="48"/>
      </w:rPr>
      <w:tab/>
    </w:r>
    <w:r w:rsidRPr="008250B7">
      <w:tab/>
    </w:r>
    <w:r w:rsidRPr="008250B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E6570" w14:textId="77777777" w:rsidR="008250B7" w:rsidRPr="008250B7" w:rsidRDefault="008250B7" w:rsidP="008250B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A1297" w14:textId="77777777" w:rsidR="00D057A3" w:rsidRDefault="00D057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358341"/>
      <w:docPartObj>
        <w:docPartGallery w:val="Page Numbers (Bottom of Page)"/>
        <w:docPartUnique/>
      </w:docPartObj>
    </w:sdtPr>
    <w:sdtEndPr>
      <w:rPr>
        <w:noProof/>
      </w:rPr>
    </w:sdtEndPr>
    <w:sdtContent>
      <w:p w14:paraId="17711762" w14:textId="18B072F1" w:rsidR="00D057A3" w:rsidRDefault="00D057A3">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8250B7">
          <w:rPr>
            <w:rFonts w:ascii="Times New Roman" w:hAnsi="Times New Roman" w:cs="Times New Roman"/>
            <w:noProof/>
          </w:rPr>
          <w:t>1</w:t>
        </w:r>
        <w:r>
          <w:rPr>
            <w:rFonts w:ascii="Times New Roman" w:hAnsi="Times New Roman" w:cs="Times New Roman"/>
          </w:rPr>
          <w:fldChar w:fldCharType="end"/>
        </w:r>
      </w:p>
    </w:sdtContent>
  </w:sdt>
  <w:p w14:paraId="66D154B1" w14:textId="77777777" w:rsidR="00D057A3" w:rsidRDefault="00D057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19F9C" w14:textId="77777777" w:rsidR="00D057A3" w:rsidRDefault="00D05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31DAF" w14:textId="77777777" w:rsidR="00EC4C9B" w:rsidRDefault="00EC4C9B" w:rsidP="005354D2">
      <w:pPr>
        <w:spacing w:after="0" w:line="240" w:lineRule="auto"/>
      </w:pPr>
      <w:r>
        <w:separator/>
      </w:r>
    </w:p>
  </w:footnote>
  <w:footnote w:type="continuationSeparator" w:id="0">
    <w:p w14:paraId="165C5F17" w14:textId="77777777" w:rsidR="00EC4C9B" w:rsidRDefault="00EC4C9B" w:rsidP="005354D2">
      <w:pPr>
        <w:spacing w:after="0" w:line="240" w:lineRule="auto"/>
      </w:pPr>
      <w:r>
        <w:continuationSeparator/>
      </w:r>
    </w:p>
  </w:footnote>
  <w:footnote w:type="continuationNotice" w:id="1">
    <w:p w14:paraId="7B003935" w14:textId="77777777" w:rsidR="00EC4C9B" w:rsidRDefault="00EC4C9B">
      <w:pPr>
        <w:spacing w:after="0" w:line="240" w:lineRule="auto"/>
      </w:pPr>
    </w:p>
  </w:footnote>
  <w:footnote w:id="2">
    <w:p w14:paraId="06E99C2A" w14:textId="6727C3AA"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Les sécheresses ont entraîné des pertes extraordinaires d’environ 40 milliards d’EUR pour la seule année 2022. Entre 1980 et 2023, les inondations ont causé des pertes de 325 milliards d’EUR. Outre ces défis, la pollution de l’eau génère des coûts allant de 55 milliards d’EUR à 73 milliards d’EUR. Voir étude de la Commission sur le coût de l’inaction, dans le cadre du prochain examen de la mise en œuvre de la politique environnementale.</w:t>
      </w:r>
    </w:p>
  </w:footnote>
  <w:footnote w:id="3">
    <w:p w14:paraId="4B18AF14" w14:textId="20F52DDB"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Neuvième rapport sur la cohésion économique, sociale et territoriale, chapitre 4 «La transition écologique», 2024 </w:t>
      </w:r>
      <w:r>
        <w:t>(</w:t>
      </w:r>
      <w:hyperlink r:id="rId1" w:history="1">
        <w:r>
          <w:rPr>
            <w:rStyle w:val="Hyperlink"/>
            <w:rFonts w:ascii="Times New Roman" w:hAnsi="Times New Roman"/>
          </w:rPr>
          <w:t>https://ec.europa.eu/regional_policy/information-sources/cohesion-report_en</w:t>
        </w:r>
      </w:hyperlink>
      <w:r>
        <w:t>).</w:t>
      </w:r>
    </w:p>
  </w:footnote>
  <w:footnote w:id="4">
    <w:p w14:paraId="2BB77CE5" w14:textId="019F868E"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 Stratégie européenne pour une union de la préparation [JOIN(2025) 130 final].</w:t>
      </w:r>
    </w:p>
  </w:footnote>
  <w:footnote w:id="5">
    <w:p w14:paraId="7E51E736" w14:textId="5356B50A"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«Global Risks Report 2024» (Rapport sur les risques mondiaux 2024). Ces cinq principaux risques mondiaux, également liés à l’eau, sont les suivants: 1) phénomènes météorologiques extrêmes, 2) changement critique des systèmes terrestres, 3) perte de diversité biologique et effondrement des écosystèmes, 4) pénuries de ressources naturelles et 5) pollution (</w:t>
      </w:r>
      <w:r>
        <w:rPr>
          <w:rStyle w:val="Hyperlink"/>
          <w:rFonts w:ascii="Times New Roman" w:hAnsi="Times New Roman"/>
        </w:rPr>
        <w:t>https://www.weforum.org/publications/global-risks-report-2024/</w:t>
      </w:r>
      <w:r>
        <w:rPr>
          <w:rFonts w:ascii="Times New Roman" w:hAnsi="Times New Roman"/>
        </w:rPr>
        <w:t>).</w:t>
      </w:r>
    </w:p>
  </w:footnote>
  <w:footnote w:id="6">
    <w:p w14:paraId="621DEAC0" w14:textId="0972814B"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COM(2025) 30 final — Une boussole pour la compétitivité de l’UE.</w:t>
      </w:r>
    </w:p>
  </w:footnote>
  <w:footnote w:id="7">
    <w:p w14:paraId="3BE72B1B" w14:textId="63ED32B4"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COM(2025) 85 final — Le pacte pour une industrie propre: une feuille de route commune pour la compétitivité et la décarbonation. </w:t>
      </w:r>
    </w:p>
  </w:footnote>
  <w:footnote w:id="8">
    <w:p w14:paraId="2C8EDD90" w14:textId="16B34467" w:rsidR="00D46292" w:rsidRPr="00A9342C" w:rsidRDefault="00D4629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Office européen des brevets, «Innovation in water-related technologies» (Innovation dans les technologies liées à l’eau), juillet 2024, disponible </w:t>
      </w:r>
      <w:hyperlink r:id="rId2" w:history="1">
        <w:r>
          <w:rPr>
            <w:rStyle w:val="Hyperlink"/>
            <w:rFonts w:ascii="Times New Roman" w:hAnsi="Times New Roman"/>
          </w:rPr>
          <w:t>ici</w:t>
        </w:r>
      </w:hyperlink>
      <w:r>
        <w:rPr>
          <w:rFonts w:ascii="Times New Roman" w:hAnsi="Times New Roman"/>
        </w:rPr>
        <w:t>.</w:t>
      </w:r>
    </w:p>
  </w:footnote>
  <w:footnote w:id="9">
    <w:p w14:paraId="1B1170D5" w14:textId="72C4C16C" w:rsidR="007F07FB" w:rsidRPr="00A9342C" w:rsidRDefault="007F07F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Eurostat, «Businesses in the water supply, sewerage, waste management and remediation sector» (Entreprises du secteur de l’approvisionnement en eau, de l’assainissement, de la gestion des déchets et de la réhabilitation) (données extraites en février 2025), disponible </w:t>
      </w:r>
      <w:hyperlink r:id="rId3" w:history="1">
        <w:r>
          <w:rPr>
            <w:rStyle w:val="Hyperlink"/>
            <w:rFonts w:ascii="Times New Roman" w:hAnsi="Times New Roman"/>
          </w:rPr>
          <w:t>ici</w:t>
        </w:r>
      </w:hyperlink>
      <w:r>
        <w:rPr>
          <w:rFonts w:ascii="Times New Roman" w:hAnsi="Times New Roman"/>
        </w:rPr>
        <w:t>.</w:t>
      </w:r>
    </w:p>
  </w:footnote>
  <w:footnote w:id="10">
    <w:p w14:paraId="55D83E86" w14:textId="4FCE3831" w:rsidR="00D057A3" w:rsidRPr="00A9342C" w:rsidRDefault="00D057A3" w:rsidP="00A9342C">
      <w:pPr>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vertAlign w:val="superscript"/>
        </w:rPr>
        <w:t xml:space="preserve"> </w:t>
      </w:r>
      <w:r>
        <w:tab/>
      </w:r>
      <w:r>
        <w:rPr>
          <w:rFonts w:ascii="Times New Roman" w:hAnsi="Times New Roman"/>
          <w:sz w:val="20"/>
        </w:rPr>
        <w:t>Water Europe, étude socio-économique sur la valeur des investissements de l’UE dans l’eau, 2024.</w:t>
      </w:r>
    </w:p>
  </w:footnote>
  <w:footnote w:id="11">
    <w:p w14:paraId="0FF6381E" w14:textId="2ACE4BC2" w:rsidR="008C5B56" w:rsidRPr="00A9342C" w:rsidRDefault="008C5B56" w:rsidP="00A9342C">
      <w:pPr>
        <w:spacing w:after="0" w:line="240" w:lineRule="auto"/>
        <w:ind w:left="284" w:hanging="284"/>
        <w:jc w:val="both"/>
        <w:rPr>
          <w:rFonts w:ascii="Times New Roman" w:hAnsi="Times New Roman" w:cs="Times New Roman"/>
          <w:color w:val="000000" w:themeColor="text1"/>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w:t>
      </w:r>
      <w:r>
        <w:tab/>
      </w:r>
      <w:r>
        <w:rPr>
          <w:rFonts w:ascii="Times New Roman" w:hAnsi="Times New Roman"/>
          <w:sz w:val="20"/>
        </w:rPr>
        <w:t>Ra</w:t>
      </w:r>
      <w:r>
        <w:rPr>
          <w:rFonts w:ascii="Times New Roman" w:hAnsi="Times New Roman"/>
          <w:color w:val="000000" w:themeColor="text1"/>
          <w:sz w:val="20"/>
        </w:rPr>
        <w:t>pport de la Commission mondiale sur l’économie de l’eau, 2024.</w:t>
      </w:r>
    </w:p>
  </w:footnote>
  <w:footnote w:id="12">
    <w:p w14:paraId="2D005BF2" w14:textId="128D3A81" w:rsidR="00405080" w:rsidRPr="00A9342C" w:rsidRDefault="00405080"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Global water monitor, rapport de synthèse 2024 | PreventionWeb.</w:t>
      </w:r>
    </w:p>
  </w:footnote>
  <w:footnote w:id="13">
    <w:p w14:paraId="44ED73CD" w14:textId="3776D801" w:rsidR="00D52375" w:rsidRPr="00A9342C" w:rsidRDefault="00D52375"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Atteint lors de la conférence des Nations unies sur l’eau de 2023.</w:t>
      </w:r>
    </w:p>
  </w:footnote>
  <w:footnote w:id="14">
    <w:p w14:paraId="0F6B32D3" w14:textId="77777777" w:rsidR="00D52375" w:rsidRPr="00A9342C" w:rsidRDefault="00D52375"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Conclusions du Conseil européen du 23 mars 2023 (EUCO 4/23).</w:t>
      </w:r>
    </w:p>
  </w:footnote>
  <w:footnote w:id="15">
    <w:p w14:paraId="1E897709" w14:textId="77777777" w:rsidR="00D52375" w:rsidRPr="00A9342C" w:rsidRDefault="00D52375"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Résolution du Parlement européen du 7 mai 2025 sur la stratégie européenne de résilience pour l’eau [2024/2104(INI)].</w:t>
      </w:r>
    </w:p>
  </w:footnote>
  <w:footnote w:id="16">
    <w:p w14:paraId="1AA85875" w14:textId="77777777" w:rsidR="00D52375" w:rsidRPr="00A9342C" w:rsidRDefault="00D52375"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Avis général du CESE «Appel en faveur d’un pacte bleu pour l’Europe» CCMI/209 du 25 octobre 2023.</w:t>
      </w:r>
    </w:p>
  </w:footnote>
  <w:footnote w:id="17">
    <w:p w14:paraId="77398537" w14:textId="42EC6F44" w:rsidR="00697B37" w:rsidRPr="00A9342C" w:rsidRDefault="00697B37"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Dans la présente communication, l’industrie de l’eau désigne les entreprises — publiques ou privées — qui fournissent de l’eau (potable) et traitent les eaux usées, y compris les eaux usées urbaines et industrielles. Elle comprend, entre autres, la gestion des ressources en eau, la construction d’infrastructures hydriques ainsi que le développement et la fourniture d’équipements et de technologies liés à l’eau.</w:t>
      </w:r>
    </w:p>
  </w:footnote>
  <w:footnote w:id="18">
    <w:p w14:paraId="3F7B7B68" w14:textId="72D74355" w:rsidR="008C5B56" w:rsidRPr="00A9342C" w:rsidRDefault="008C5B56" w:rsidP="00A9342C">
      <w:pPr>
        <w:pStyle w:val="FootnoteText"/>
        <w:ind w:left="284" w:hanging="284"/>
        <w:jc w:val="both"/>
        <w:rPr>
          <w:rFonts w:ascii="Times New Roman" w:eastAsia="Times New Roman" w:hAnsi="Times New Roman" w:cs="Times New Roman"/>
          <w:kern w:val="2"/>
          <w14:ligatures w14:val="standardContextual"/>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L’annexe II donne une vue d’ensemble des principaux objectifs énoncés dans la législation existante.</w:t>
      </w:r>
    </w:p>
  </w:footnote>
  <w:footnote w:id="19">
    <w:p w14:paraId="66418E2B" w14:textId="5E91E74D"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Directive 2000/60/CE du Parlement européen et du Conseil du 23 octobre 2000 établissant un cadre pour une politique communautaire dans le domaine de l’eau (JO L 327 du 22.12.2000, p. 1, ELI: </w:t>
      </w:r>
      <w:hyperlink r:id="rId4" w:history="1">
        <w:r>
          <w:rPr>
            <w:rStyle w:val="Hyperlink"/>
            <w:rFonts w:ascii="Times New Roman" w:hAnsi="Times New Roman"/>
          </w:rPr>
          <w:t>http://data.europa.eu/eli/dir/2000/60/oj</w:t>
        </w:r>
      </w:hyperlink>
      <w:r>
        <w:rPr>
          <w:rFonts w:ascii="Times New Roman" w:hAnsi="Times New Roman"/>
        </w:rPr>
        <w:t>).</w:t>
      </w:r>
    </w:p>
  </w:footnote>
  <w:footnote w:id="20">
    <w:p w14:paraId="7BF80785" w14:textId="3A9509A4"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Directive 2007/60/CE du Parlement européen et du Conseil du 23 octobre 2007 relative à l’évaluation et à la gestion des risques d’inondation (JO L 288 du 6.11.2007, p. 27, ELI: </w:t>
      </w:r>
      <w:hyperlink r:id="rId5" w:history="1">
        <w:r>
          <w:rPr>
            <w:rStyle w:val="Hyperlink"/>
            <w:rFonts w:ascii="Times New Roman" w:hAnsi="Times New Roman"/>
          </w:rPr>
          <w:t>http://data.europa.eu/eli/dir/2007/60/oj</w:t>
        </w:r>
      </w:hyperlink>
      <w:r>
        <w:rPr>
          <w:rFonts w:ascii="Times New Roman" w:hAnsi="Times New Roman"/>
        </w:rPr>
        <w:t>).</w:t>
      </w:r>
    </w:p>
  </w:footnote>
  <w:footnote w:id="21">
    <w:p w14:paraId="75457BD7" w14:textId="548EB908"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Règlement (UE) 2024/1991 du Parlement européen et du Conseil du 24 juin 2024 relatif à la restauration de la nature et modifiant le règlement (UE) 2022/869 (JO L, 2024/1991, 29.7.2024, ELI: </w:t>
      </w:r>
      <w:hyperlink r:id="rId6" w:history="1">
        <w:r>
          <w:rPr>
            <w:rStyle w:val="Hyperlink"/>
            <w:rFonts w:ascii="Times New Roman" w:hAnsi="Times New Roman"/>
          </w:rPr>
          <w:t>http://data.europa.eu/eli/reg/2024/1991/oj</w:t>
        </w:r>
      </w:hyperlink>
      <w:r>
        <w:rPr>
          <w:rFonts w:ascii="Times New Roman" w:hAnsi="Times New Roman"/>
        </w:rPr>
        <w:t>).</w:t>
      </w:r>
    </w:p>
  </w:footnote>
  <w:footnote w:id="22">
    <w:p w14:paraId="05ACD122" w14:textId="025D5049"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Rapport sur l’état des eaux en Europe de l’AEE (</w:t>
      </w:r>
      <w:hyperlink r:id="rId7">
        <w:r>
          <w:rPr>
            <w:rStyle w:val="Hyperlink"/>
            <w:rFonts w:ascii="Times New Roman" w:hAnsi="Times New Roman"/>
          </w:rPr>
          <w:t>https://www.eea.europa.eu/en/analysis/publications/europes-state-of-water-2024</w:t>
        </w:r>
      </w:hyperlink>
      <w:r>
        <w:rPr>
          <w:rFonts w:ascii="Times New Roman" w:hAnsi="Times New Roman"/>
        </w:rPr>
        <w:t>).</w:t>
      </w:r>
    </w:p>
  </w:footnote>
  <w:footnote w:id="23">
    <w:p w14:paraId="51DFB9BA" w14:textId="50DDB4F8"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La Commission a publié des recommandations par pays concernant sept groupes de mesures: a) accélérer la cadence pour combler les lacunes en matière de respect des dispositions; b) intensifier les investissements; c) s’attaquer aux principales pressions; d) renforcer la résilience face aux phénomènes extrêmes liés à l’eau (dont une recommandation spécifique relative à la mise en œuvre effective de la directive «Inondations»); e) la coopération transfrontière; f) les dérogations; et g) la surveillance, l’évaluation et l’établissement de rapports. Pour de plus amples informations, voir </w:t>
      </w:r>
      <w:hyperlink r:id="rId8" w:history="1">
        <w:r>
          <w:rPr>
            <w:rStyle w:val="Hyperlink"/>
            <w:rFonts w:ascii="Times New Roman" w:hAnsi="Times New Roman"/>
          </w:rPr>
          <w:t>https://environment.ec.europa.eu/topics/water/water-framework-directive/implementation-reports_en</w:t>
        </w:r>
      </w:hyperlink>
      <w:r>
        <w:t>.</w:t>
      </w:r>
      <w:r>
        <w:rPr>
          <w:rFonts w:ascii="Times New Roman" w:hAnsi="Times New Roman"/>
        </w:rPr>
        <w:t xml:space="preserve"> </w:t>
      </w:r>
    </w:p>
  </w:footnote>
  <w:footnote w:id="24">
    <w:p w14:paraId="0EE4ED24" w14:textId="73BB6035" w:rsidR="00CF166D" w:rsidRPr="00A9342C" w:rsidRDefault="00CF166D" w:rsidP="00A9342C">
      <w:pPr>
        <w:spacing w:after="0" w:line="240" w:lineRule="auto"/>
        <w:ind w:left="284" w:hanging="284"/>
        <w:jc w:val="both"/>
        <w:rPr>
          <w:rFonts w:ascii="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w:t>
      </w:r>
      <w:r>
        <w:tab/>
      </w:r>
      <w:hyperlink r:id="rId9" w:history="1">
        <w:r>
          <w:rPr>
            <w:rFonts w:ascii="Times New Roman" w:hAnsi="Times New Roman"/>
            <w:color w:val="0000FF"/>
            <w:sz w:val="20"/>
            <w:u w:val="single"/>
          </w:rPr>
          <w:t>Évaluation de la directive-cadre «stratégie pour le milieu marin» [SWD(2025) 50]</w:t>
        </w:r>
      </w:hyperlink>
      <w:r>
        <w:rPr>
          <w:rFonts w:ascii="Times New Roman" w:hAnsi="Times New Roman"/>
          <w:color w:val="26324B"/>
          <w:sz w:val="20"/>
        </w:rPr>
        <w:t xml:space="preserve"> et son </w:t>
      </w:r>
      <w:hyperlink r:id="rId10" w:history="1">
        <w:r>
          <w:rPr>
            <w:rFonts w:ascii="Times New Roman" w:hAnsi="Times New Roman"/>
            <w:color w:val="0000FF"/>
            <w:sz w:val="20"/>
            <w:u w:val="single"/>
          </w:rPr>
          <w:t>annexe</w:t>
        </w:r>
      </w:hyperlink>
      <w:r>
        <w:rPr>
          <w:rFonts w:ascii="Times New Roman" w:hAnsi="Times New Roman"/>
          <w:sz w:val="20"/>
        </w:rPr>
        <w:t xml:space="preserve">. </w:t>
      </w:r>
    </w:p>
  </w:footnote>
  <w:footnote w:id="25">
    <w:p w14:paraId="26CDE02D" w14:textId="014CDA4F"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Les missions d’adaptation et de protection des sols, les orientations sur les paysages résilients au changement climatique, le partenariat thématique du programme urbain pour l’Union européenne (UAEU) sur la «ville sensible à l’eau» et le projet Interreg «Ville éponge» dans la région du Danube.</w:t>
      </w:r>
    </w:p>
  </w:footnote>
  <w:footnote w:id="26">
    <w:p w14:paraId="6AAD129A" w14:textId="57735B15" w:rsidR="00B9010B" w:rsidRPr="00A9342C" w:rsidRDefault="00B9010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Macias, D., Bisselink, B., Carmona-Moreno, C. </w:t>
      </w:r>
      <w:r>
        <w:rPr>
          <w:rFonts w:ascii="Times New Roman" w:hAnsi="Times New Roman"/>
          <w:i/>
        </w:rPr>
        <w:t>et al.</w:t>
      </w:r>
      <w:r>
        <w:rPr>
          <w:rFonts w:ascii="Times New Roman" w:hAnsi="Times New Roman"/>
        </w:rPr>
        <w:t xml:space="preserve">, «The overlooked impacts of freshwater scarcity on oceans as evidenced by the Mediterranean Sea» (Les effets méconnus de la pénurie d’eau douce sur les océans, illustrés par l’exemple de la mer Méditerranée), </w:t>
      </w:r>
      <w:r>
        <w:rPr>
          <w:rFonts w:ascii="Times New Roman" w:hAnsi="Times New Roman"/>
          <w:i/>
          <w:iCs/>
        </w:rPr>
        <w:t>Nature Communications</w:t>
      </w:r>
      <w:r>
        <w:rPr>
          <w:rFonts w:ascii="Times New Roman" w:hAnsi="Times New Roman"/>
        </w:rPr>
        <w:t xml:space="preserve"> 16, 998 (2025).</w:t>
      </w:r>
    </w:p>
  </w:footnote>
  <w:footnote w:id="27">
    <w:p w14:paraId="1C78F294" w14:textId="020623C8"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Stratégie commune de mise en œuvre au titre des orientations nº 24 de la directive-cadre sur l’eau relatives à la gestion de district hydrographique dans le cadre du changement climatique, disponible </w:t>
      </w:r>
      <w:hyperlink r:id="rId11" w:history="1">
        <w:r>
          <w:rPr>
            <w:rStyle w:val="Hyperlink"/>
            <w:rFonts w:ascii="Times New Roman" w:hAnsi="Times New Roman"/>
          </w:rPr>
          <w:t>ici</w:t>
        </w:r>
      </w:hyperlink>
      <w:r>
        <w:t>.</w:t>
      </w:r>
      <w:r>
        <w:rPr>
          <w:rFonts w:ascii="Times New Roman" w:hAnsi="Times New Roman"/>
        </w:rPr>
        <w:t xml:space="preserve"> </w:t>
      </w:r>
    </w:p>
  </w:footnote>
  <w:footnote w:id="28">
    <w:p w14:paraId="6FDBE48E" w14:textId="40976C0C"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Rapport de la Commission au Conseil et au Parlement européen sur la mise en œuvre de la directive-cadre sur l’eau (2000/60/CE) et de la directive «Inondations» (2007/60/CE) — Troisièmes plans de gestion de district hydrographique — Deuxièmes plans de gestion des risques d’inondation [COM(2025) 2 final].</w:t>
      </w:r>
    </w:p>
  </w:footnote>
  <w:footnote w:id="29">
    <w:p w14:paraId="61DC11D2" w14:textId="0761D097"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Recommandation 2023/C 220/01 du Conseil relative au renforcement des actions de l’UE visant à lutter contre la résistance aux antimicrobiens (RAM); paquet «médicaments»; et refonte de la directive relative au traitement des eaux résiduaires urbaines [(UE) 2024/3019].</w:t>
      </w:r>
    </w:p>
  </w:footnote>
  <w:footnote w:id="30">
    <w:p w14:paraId="52A49767" w14:textId="4E8BE66E"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Agence européenne pour l’environnement, rapport nº 3/2024 intitulé «Responding to climate change impacts on human health in Europe: focus on floods, droughts and water quality» (Répondre aux effets du changement climatique sur la santé humaine en Europe: attention particulière aux inondations, à la sécheresse et à la qualité de l’eau), 2024. </w:t>
      </w:r>
    </w:p>
  </w:footnote>
  <w:footnote w:id="31">
    <w:p w14:paraId="0F513CC3" w14:textId="6813DEED"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Substances perfluoroalkylées et polyfluoroalkylées.</w:t>
      </w:r>
    </w:p>
  </w:footnote>
  <w:footnote w:id="32">
    <w:p w14:paraId="3A94BF5C" w14:textId="5D5C298D" w:rsidR="006A23E3" w:rsidRPr="00A9342C" w:rsidRDefault="006A23E3" w:rsidP="00A9342C">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hyperlink r:id="rId12">
        <w:r>
          <w:rPr>
            <w:rStyle w:val="Hyperlink"/>
            <w:rFonts w:ascii="Times New Roman" w:hAnsi="Times New Roman"/>
          </w:rPr>
          <w:t>Données du Conseil nordique des ministres de 2019.</w:t>
        </w:r>
      </w:hyperlink>
    </w:p>
  </w:footnote>
  <w:footnote w:id="33">
    <w:p w14:paraId="5369D0BE" w14:textId="13DF6007" w:rsidR="006F0EBA" w:rsidRPr="00A9342C" w:rsidRDefault="006F0EBA" w:rsidP="00AD6B6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Les mesures d’élimination des PFAS exposées dans la présente stratégie complètent les efforts déployés par la Commission pour lutter contre les émissions de PFAS à la source au titre de la législation REACH sur les substances chimiques. Dans ce contexte, il convient de noter que, d’ici à la fin de 2025, la Commission prévoit d’adopter une restriction sur tous les PFAS présents dans les mousses anti-incendie, l’une des principales sources d’émission.</w:t>
      </w:r>
    </w:p>
  </w:footnote>
  <w:footnote w:id="34">
    <w:p w14:paraId="777E00F0" w14:textId="33B2DEF0"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coût économique du nettoyage de la contamination par les PFAS en Europe a été estimé entre 5 et 100 milliards d’EUR par an. Le secteur de l’eau à lui seul doit faire face à une augmentation pouvant atteindre 18 milliards d’EUR par an pour le traitement de l’eau potable, tandis que le coût du traitement des eaux usées et de la gestion des boues d’épuration est encore plus élevé. Ce coût a été estimé par le projet Forever Lobbying; pour de plus amples informations, voir </w:t>
      </w:r>
      <w:hyperlink r:id="rId13" w:history="1">
        <w:r>
          <w:rPr>
            <w:rStyle w:val="Hyperlink"/>
            <w:rFonts w:ascii="Times New Roman" w:hAnsi="Times New Roman"/>
          </w:rPr>
          <w:t>https://foreverpollution.eu/lobbying/</w:t>
        </w:r>
      </w:hyperlink>
      <w:r>
        <w:t>.</w:t>
      </w:r>
      <w:r>
        <w:rPr>
          <w:rFonts w:ascii="Times New Roman" w:hAnsi="Times New Roman"/>
        </w:rPr>
        <w:t xml:space="preserve"> </w:t>
      </w:r>
    </w:p>
  </w:footnote>
  <w:footnote w:id="35">
    <w:p w14:paraId="525EEDEA" w14:textId="5088061E" w:rsidR="00563686" w:rsidRPr="00A9342C" w:rsidRDefault="00563686"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Van Grinsven </w:t>
      </w:r>
      <w:r>
        <w:rPr>
          <w:rFonts w:ascii="Times New Roman" w:hAnsi="Times New Roman"/>
          <w:i/>
          <w:iCs/>
        </w:rPr>
        <w:t>et al.</w:t>
      </w:r>
      <w:r>
        <w:rPr>
          <w:rFonts w:ascii="Times New Roman" w:hAnsi="Times New Roman"/>
        </w:rPr>
        <w:t>, «Costs and Benefits of Nitrogen for Europe and Implications for Mitigation» (Coûts et avantages de l’azote pour l’Europe et conséquences pour l’atténuation), 2013. Les émissions d’azote et les coûts des dommages recouvrent les émissions de l’ensemble des secteurs vers les eaux de surface, les eaux souterraines et marines ainsi que l’air.</w:t>
      </w:r>
    </w:p>
  </w:footnote>
  <w:footnote w:id="36">
    <w:p w14:paraId="2C1AF013" w14:textId="78BB6809" w:rsidR="005F11A5" w:rsidRPr="00A9342C" w:rsidRDefault="005F11A5"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Agence européenne pour l’environnement (AEE), Évaluation européenne des risques climatiques (EUCRA), 2024. Voir, en particulier, chapitre 5 «Sécurité de l’eau» pour des informations détaillées sur la rareté de l’eau.</w:t>
      </w:r>
    </w:p>
  </w:footnote>
  <w:footnote w:id="37">
    <w:p w14:paraId="691FBC6F" w14:textId="5CBD1E1C" w:rsidR="00D057A3" w:rsidRPr="00A9342C" w:rsidRDefault="00D057A3" w:rsidP="006F50A4">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hyperlink r:id="rId14" w:history="1">
        <w:r>
          <w:rPr>
            <w:rStyle w:val="Hyperlink"/>
            <w:rFonts w:ascii="Times New Roman" w:hAnsi="Times New Roman"/>
          </w:rPr>
          <w:t>https://energy.ec.europa.eu/topics/energy-efficiency/energy-efficiency-targets-directive-and-rules/energy-efficiency-first-principle_en</w:t>
        </w:r>
      </w:hyperlink>
      <w:r>
        <w:t>.</w:t>
      </w:r>
      <w:r>
        <w:rPr>
          <w:rFonts w:ascii="Times New Roman" w:hAnsi="Times New Roman"/>
        </w:rPr>
        <w:t xml:space="preserve"> </w:t>
      </w:r>
    </w:p>
  </w:footnote>
  <w:footnote w:id="38">
    <w:p w14:paraId="64E8C571" w14:textId="66B8B87C" w:rsidR="001965AF" w:rsidRPr="00A9342C" w:rsidRDefault="001965AF"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«Water savings for a water resilient Europe» (Économies d’eau pour une Europe résiliente dans le domaine de l’eau), Agence européenne pour l’environnement, 2025, à paraître.</w:t>
      </w:r>
    </w:p>
  </w:footnote>
  <w:footnote w:id="39">
    <w:p w14:paraId="173CA589" w14:textId="48932CC9" w:rsidR="00367DDA" w:rsidRPr="00A9342C" w:rsidRDefault="00367DDA"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 exemple, la France s’est fixé l’objectif de réduire les captages d’eau de 10 % d’ici à 2030.</w:t>
      </w:r>
    </w:p>
  </w:footnote>
  <w:footnote w:id="40">
    <w:p w14:paraId="1670289F" w14:textId="12006C3E" w:rsidR="00D057A3" w:rsidRPr="00A9342C" w:rsidRDefault="00D057A3"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Water Europe, étude socio-économique sur la valeur des investissements de l’UE dans l’eau, 2024.</w:t>
      </w:r>
    </w:p>
  </w:footnote>
  <w:footnote w:id="41">
    <w:p w14:paraId="2B232963" w14:textId="124B589F" w:rsidR="00D057A3" w:rsidRPr="00A9342C" w:rsidRDefault="00D057A3"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(UE) 2024/3024 du Parlement européen et du Conseil du 27 novembre 2024 modifiant le règlement (UE) nº 691/2011 en ce qui concerne l’introduction de nouveaux modules relatifs aux comptes économiques de l’environnement.</w:t>
      </w:r>
    </w:p>
  </w:footnote>
  <w:footnote w:id="42">
    <w:p w14:paraId="42E7DBBB" w14:textId="3AB2507A" w:rsidR="00D057A3" w:rsidRPr="00A9342C" w:rsidRDefault="00D057A3" w:rsidP="00A9342C">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r>
        <w:rPr>
          <w:rFonts w:ascii="Times New Roman" w:hAnsi="Times New Roman"/>
        </w:rPr>
        <w:t>Water Europe, étude socio-économique sur la valeur des investissements de l’UE dans l’eau, 2024.</w:t>
      </w:r>
    </w:p>
  </w:footnote>
  <w:footnote w:id="43">
    <w:p w14:paraId="7C09C4A3" w14:textId="1136883B" w:rsidR="005F6105" w:rsidRPr="00A9342C" w:rsidRDefault="005F6105" w:rsidP="00E16AD4">
      <w:pPr>
        <w:pStyle w:val="FootnoteText"/>
        <w:ind w:left="284" w:hanging="284"/>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AIE, «Clean energy can help to ease the water crisis» (L’énergie propre peut contribuer à atténuer la crise de l’eau), 22 mars 2023.</w:t>
      </w:r>
    </w:p>
  </w:footnote>
  <w:footnote w:id="44">
    <w:p w14:paraId="087DF8B3" w14:textId="7D545986" w:rsidR="00D057A3" w:rsidRPr="00A9342C" w:rsidRDefault="00D057A3" w:rsidP="00A9342C">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r>
        <w:rPr>
          <w:rFonts w:ascii="Times New Roman" w:hAnsi="Times New Roman"/>
        </w:rPr>
        <w:t>Rapport de la Commission au Conseil et au Parlement conformément à l’article 12 de la directive 2023/1791 relative à l’efficacité énergétique et modifiant le règlement (UE) 2023/955 (refonte).</w:t>
      </w:r>
    </w:p>
  </w:footnote>
  <w:footnote w:id="45">
    <w:p w14:paraId="5D10BEFA" w14:textId="73ECB573" w:rsidR="008A6013" w:rsidRPr="00A9342C" w:rsidRDefault="008A601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Document de travail des services de la Commission: analyse d’impact accompagnant le document «Proposition de règlement du Parlement européen et du Conseil relatif aux exigences minimales requises pour la réutilisation de l’eau» [SWD(2018) 249 final].</w:t>
      </w:r>
    </w:p>
  </w:footnote>
  <w:footnote w:id="46">
    <w:p w14:paraId="5F6FCCF3" w14:textId="02635E7C" w:rsidR="008A6013" w:rsidRPr="00A9342C" w:rsidRDefault="008A601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 règlement sur la réutilisation de l’eau, la directive révisée relative aux émissions industrielles et la directive révisée relative au traitement des eaux urbaines résiduaires.</w:t>
      </w:r>
    </w:p>
  </w:footnote>
  <w:footnote w:id="47">
    <w:p w14:paraId="6136F34B" w14:textId="46A70853" w:rsidR="00665EA3" w:rsidRPr="00A9342C" w:rsidRDefault="00665E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Agence européenne pour l’environnement, rapport nº 7/2024 sur l’état des eaux en Europe en 2024, Office des publications de l’Union européenne, 2024. </w:t>
      </w:r>
      <w:hyperlink r:id="rId15" w:history="1">
        <w:r>
          <w:rPr>
            <w:rStyle w:val="Hyperlink"/>
            <w:rFonts w:ascii="Times New Roman" w:hAnsi="Times New Roman"/>
          </w:rPr>
          <w:t>https://www.eea.europa.eu/en/analysis/publications/europes-state-of-water-2024</w:t>
        </w:r>
      </w:hyperlink>
      <w:r>
        <w:t>.</w:t>
      </w:r>
    </w:p>
  </w:footnote>
  <w:footnote w:id="48">
    <w:p w14:paraId="13521938" w14:textId="74F26E44" w:rsidR="00D259B2" w:rsidRPr="00A9342C" w:rsidRDefault="00D259B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Agence européenne pour l’environnement, L’état des eaux en Europe en 2024, 2024 (</w:t>
      </w:r>
      <w:hyperlink r:id="rId16" w:history="1">
        <w:r>
          <w:rPr>
            <w:rStyle w:val="Hyperlink"/>
            <w:rFonts w:ascii="Times New Roman" w:hAnsi="Times New Roman"/>
          </w:rPr>
          <w:t>https://www.eea.europa.eu/en/analysis/publications/europes-state-of-water-2024</w:t>
        </w:r>
      </w:hyperlink>
      <w:r>
        <w:t>).</w:t>
      </w:r>
    </w:p>
  </w:footnote>
  <w:footnote w:id="49">
    <w:p w14:paraId="12811CC9" w14:textId="60B97D66" w:rsidR="00CE5245" w:rsidRPr="00A9342C" w:rsidRDefault="00CE5245"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 exemple, l’actuelle plateforme d’appui aux parties prenantes dans le cadre des parcours de transition.</w:t>
      </w:r>
    </w:p>
  </w:footnote>
  <w:footnote w:id="50">
    <w:p w14:paraId="104C9D9F" w14:textId="718B308C" w:rsidR="00B042A4" w:rsidRPr="00A9342C" w:rsidRDefault="00B042A4"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7" w:history="1">
        <w:r>
          <w:rPr>
            <w:rStyle w:val="Hyperlink"/>
            <w:rFonts w:ascii="Times New Roman" w:hAnsi="Times New Roman"/>
          </w:rPr>
          <w:t>https://commission.europa.eu/strategy-and-policy/priorities-2019-2024/economy-works-people/jobs-growth-and-investment/european-pillar-social-rights/european-pillar-social-rights-20-principles_en</w:t>
        </w:r>
      </w:hyperlink>
      <w:r>
        <w:t>.</w:t>
      </w:r>
      <w:r>
        <w:rPr>
          <w:rFonts w:ascii="Times New Roman" w:hAnsi="Times New Roman"/>
        </w:rPr>
        <w:t xml:space="preserve"> </w:t>
      </w:r>
    </w:p>
  </w:footnote>
  <w:footnote w:id="51">
    <w:p w14:paraId="747AC584" w14:textId="73BD4AF7"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 plan de travail sur l’écoconception des produits durables et l’étiquetage énergétique pour la période 2025-2030 récemment adopté inclut les textiles et les vêtements, le fer et l’acier ainsi que l’aluminium parmi les produits pour lesquels de nouvelles exigences seront élaborées, de même qu’un certain nombre de produits liés à l’énergie et à l’eau, tels que les lave-vaisselle et les lave-linge, pour lesquels des exigences d’écoconception et/ou des étiquettes énergétiques seront disponibles.</w:t>
      </w:r>
    </w:p>
  </w:footnote>
  <w:footnote w:id="52">
    <w:p w14:paraId="5E0FA3BD" w14:textId="3FF1DC0B"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 directive relative à l’efficacité énergétique impose aux États membres de veiller à ce que les autorités régionales et locales élaborent des plans locaux en matière de chaleur et de froid au moins dans les communes dont la population totale est supérieure à 45 000 habitants.</w:t>
      </w:r>
    </w:p>
  </w:footnote>
  <w:footnote w:id="53">
    <w:p w14:paraId="51943550" w14:textId="0C5B663F" w:rsidR="00D057A3" w:rsidRPr="00A9342C" w:rsidRDefault="00CB7897"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Rapport de la Commission au Conseil et au Parlement européen sur la mise en œuvre de la directive-cadre sur l’eau (2000/60/CE) et de la directive «Inondations» (2007/60/CE) — Troisièmes plans de gestion de district hydrographique — Deuxièmes plans de gestion des risques d’inondation [COM(2025) 2 final].</w:t>
      </w:r>
    </w:p>
  </w:footnote>
  <w:footnote w:id="54">
    <w:p w14:paraId="562F5713" w14:textId="5A6D2962" w:rsidR="005D7772" w:rsidRPr="00A9342C" w:rsidRDefault="005D777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Comme l’a également demandé le Parlement européen dans sa résolution du 7 mai 2025 sur la stratégie européenne de résilience pour l’eau [2024/2104(INI)].</w:t>
      </w:r>
    </w:p>
  </w:footnote>
  <w:footnote w:id="55">
    <w:p w14:paraId="4214159F" w14:textId="11B470F2"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8" w:history="1">
        <w:r>
          <w:rPr>
            <w:rStyle w:val="Hyperlink"/>
            <w:rFonts w:ascii="Times New Roman" w:hAnsi="Times New Roman"/>
          </w:rPr>
          <w:t>https://ec.europa.eu/regional_policy/policy/communities-and-networks/cohesion-4-transition_en</w:t>
        </w:r>
      </w:hyperlink>
      <w:r>
        <w:t>.</w:t>
      </w:r>
      <w:r>
        <w:rPr>
          <w:rFonts w:ascii="Times New Roman" w:hAnsi="Times New Roman"/>
        </w:rPr>
        <w:t xml:space="preserve"> </w:t>
      </w:r>
    </w:p>
  </w:footnote>
  <w:footnote w:id="56">
    <w:p w14:paraId="21D8F6B8" w14:textId="5BE275CC" w:rsidR="00D057A3" w:rsidRPr="00A9342C" w:rsidRDefault="00D057A3" w:rsidP="00A9342C">
      <w:pPr>
        <w:pStyle w:val="FootnoteText"/>
        <w:ind w:left="284" w:hanging="284"/>
        <w:jc w:val="both"/>
        <w:rPr>
          <w:rFonts w:ascii="Times New Roman" w:eastAsia="Aptos"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DG Environnement, Environmental investment needs, financing and gaps in the EU-27 (Besoins en investissement, financements et lacunes dans le domaine de l’environnement dans l’EU-27) — mise à jour 2024 (analyse interne). Il convient de signaler que ce montant est largement basé sur les besoins en matière d’approvisionnement en eau et d’assainissement et qu’il peut ne pas tenir pleinement compte des coûts d’autres mesures liées à la mise en œuvre de la directive-cadre sur l’eau et de la directive «Inondations».</w:t>
      </w:r>
    </w:p>
  </w:footnote>
  <w:footnote w:id="57">
    <w:p w14:paraId="351EC758" w14:textId="2C66B815" w:rsidR="005D7772" w:rsidRPr="00A9342C" w:rsidRDefault="005D777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BCE et AEAPP, «Towards a European system for natural catastrophe risk management» (Vers un système européen de gestion des risques de catastrophes naturelles), document conjoint, décembre 2024.</w:t>
      </w:r>
    </w:p>
  </w:footnote>
  <w:footnote w:id="58">
    <w:p w14:paraId="53B306D4" w14:textId="4A2FE94D" w:rsidR="00300AEE" w:rsidRPr="00A9342C" w:rsidRDefault="00300AEE"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Il s’agit notamment des systèmes intelligents de mesure fournissant des données en temps réel sur l’utilisation de l’eau, des systèmes de maintenance prédictive et de détection des fuites, des jumeaux numériques, ainsi que des produits fondés sur des données générées par des capteurs in situ, des drones ou des satellites.</w:t>
      </w:r>
    </w:p>
  </w:footnote>
  <w:footnote w:id="59">
    <w:p w14:paraId="34DFB4C0" w14:textId="23DCB5BC"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Directive (UE) 2019/1024 du Parlement européen et du Conseil du 20 juin 2019 concernant les données ouvertes et la réutilisation des informations du secteur public.</w:t>
      </w:r>
    </w:p>
  </w:footnote>
  <w:footnote w:id="60">
    <w:p w14:paraId="7D9A9328" w14:textId="2063F4AA" w:rsidR="00D057A3" w:rsidRPr="00E0481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 xml:space="preserve">Cedefop (2023). «Skills in transition: the way to 2035» (Les compétences en transition: la voie vers 2035), Luxembourg, Office des publications. </w:t>
      </w:r>
      <w:hyperlink r:id="rId19" w:history="1">
        <w:r>
          <w:rPr>
            <w:rStyle w:val="Hyperlink"/>
            <w:rFonts w:ascii="Times New Roman" w:hAnsi="Times New Roman"/>
          </w:rPr>
          <w:t>http://data.europa.eu/doi/10.2801/438491</w:t>
        </w:r>
      </w:hyperlink>
      <w:r>
        <w:t>.</w:t>
      </w:r>
      <w:r>
        <w:rPr>
          <w:rFonts w:ascii="Times New Roman" w:hAnsi="Times New Roman"/>
        </w:rPr>
        <w:t xml:space="preserve"> </w:t>
      </w:r>
    </w:p>
  </w:footnote>
  <w:footnote w:id="61">
    <w:p w14:paraId="50B98DC3" w14:textId="7345916E" w:rsidR="4251B09A" w:rsidRPr="00A9342C" w:rsidRDefault="4251B09A" w:rsidP="00A9342C">
      <w:pPr>
        <w:spacing w:line="240" w:lineRule="auto"/>
        <w:jc w:val="both"/>
        <w:rPr>
          <w:rFonts w:ascii="Times New Roman" w:eastAsia="Times New Roman" w:hAnsi="Times New Roman" w:cs="Times New Roman"/>
          <w:sz w:val="20"/>
          <w:szCs w:val="20"/>
        </w:rPr>
      </w:pPr>
      <w:r>
        <w:rPr>
          <w:rStyle w:val="FootnoteReference"/>
          <w:rFonts w:ascii="Times New Roman" w:eastAsia="Times New Roman" w:hAnsi="Times New Roman" w:cs="Times New Roman"/>
          <w:kern w:val="0"/>
          <w:sz w:val="20"/>
          <w:szCs w:val="20"/>
          <w:lang w:val="en-GB"/>
          <w14:ligatures w14:val="none"/>
        </w:rPr>
        <w:footnoteRef/>
      </w:r>
      <w:r>
        <w:rPr>
          <w:rFonts w:ascii="Times New Roman" w:hAnsi="Times New Roman"/>
          <w:sz w:val="20"/>
        </w:rPr>
        <w:t xml:space="preserve"> Un plan stratégique pour l’éducation dans les STIM: des compétences à l’appui de la compétitivité et de l’innovation [COM(2025) 89].</w:t>
      </w:r>
    </w:p>
  </w:footnote>
  <w:footnote w:id="62">
    <w:p w14:paraId="454643A8" w14:textId="5BB30FED" w:rsidR="4251B09A" w:rsidRPr="00A9342C" w:rsidRDefault="4251B09A" w:rsidP="007F521D">
      <w:pPr>
        <w:spacing w:after="0" w:line="240" w:lineRule="auto"/>
        <w:ind w:left="284" w:hanging="284"/>
        <w:jc w:val="both"/>
        <w:rPr>
          <w:rFonts w:ascii="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w:t>
      </w:r>
      <w:r>
        <w:tab/>
      </w:r>
      <w:r>
        <w:rPr>
          <w:rFonts w:ascii="Times New Roman" w:hAnsi="Times New Roman"/>
          <w:sz w:val="20"/>
        </w:rPr>
        <w:t>Règlement (UE) 2024/3236 du Parlement européen et du Conseil du 19 décembre 2024 modifiant les règlements (UE) 2021/1057 et (UE) 2021/1058 en ce qui concerne le soutien régional d’urgence à la reconstruction (RESTORE).</w:t>
      </w:r>
    </w:p>
  </w:footnote>
  <w:footnote w:id="63">
    <w:p w14:paraId="70812CA1" w14:textId="6C32CEEF" w:rsidR="00D057A3" w:rsidRPr="00A9342C" w:rsidRDefault="00D057A3" w:rsidP="00A9342C">
      <w:pPr>
        <w:spacing w:after="0" w:line="240" w:lineRule="auto"/>
        <w:ind w:left="284" w:hanging="284"/>
        <w:jc w:val="both"/>
        <w:rPr>
          <w:rFonts w:ascii="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vertAlign w:val="superscript"/>
        </w:rPr>
        <w:t xml:space="preserve"> </w:t>
      </w:r>
      <w:r>
        <w:tab/>
      </w:r>
      <w:r>
        <w:rPr>
          <w:rFonts w:ascii="Times New Roman" w:hAnsi="Times New Roman"/>
          <w:sz w:val="20"/>
        </w:rPr>
        <w:t>JOIN(2025) 130 final — Communication conjointe au Parlement européen, au Conseil européen, au Conseil, au Comité économique et social européen et au Comité des régions sur la stratégie européenne pour une union de la préparation.</w:t>
      </w:r>
    </w:p>
  </w:footnote>
  <w:footnote w:id="64">
    <w:p w14:paraId="5FF11B79" w14:textId="74398AC7" w:rsidR="004B0C18" w:rsidRPr="00A9342C" w:rsidRDefault="004B0C18" w:rsidP="00A9342C">
      <w:pPr>
        <w:spacing w:after="0" w:line="240" w:lineRule="auto"/>
        <w:ind w:left="284" w:hanging="284"/>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r>
        <w:tab/>
      </w:r>
      <w:r>
        <w:rPr>
          <w:rFonts w:ascii="Times New Roman" w:hAnsi="Times New Roman"/>
          <w:sz w:val="20"/>
        </w:rPr>
        <w:t>Le service Copernicus de gestion des urgences et ses systèmes d’alerte rapide pour les incendies de forêt (système européen d’information sur les feux de forêts, EFFIS), les inondations (systèmes européen et mondial de sensibilisation aux inondations, EFAS et GloFAS) et les sécheresses (observatoires européen et mondial de la sécheresse, EDO et GDO), ainsi que la carte de sensibilisation des zones à risque d’inondation.</w:t>
      </w:r>
    </w:p>
  </w:footnote>
  <w:footnote w:id="65">
    <w:p w14:paraId="269A22D6" w14:textId="5E8DDA1E"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Les premiers objectifs de l’Union en matière de résilience face aux catastrophes ont été établis en vertu de l’article 6, paragraphe 5, de la décision MPCU et ont été publiés en février 2023. Recommandation relative aux objectifs de l’Union en matière de résilience face aux catastrophes (JO C 56 du 15.2.2023, p. 1). Communication sur les objectifs de l’Union en matière de résilience face aux catastrophes: agir de concert pour faire face aux futures urgences [COM(2023) 61].</w:t>
      </w:r>
    </w:p>
  </w:footnote>
  <w:footnote w:id="66">
    <w:p w14:paraId="733D3EEF" w14:textId="1175F5A5"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D’ici à 2026, les États membres adopteront une stratégie visant à renforcer la résilience des entités critiques couvrant les secteurs de l’eau potable et des eaux usées.</w:t>
      </w:r>
    </w:p>
  </w:footnote>
  <w:footnote w:id="67">
    <w:p w14:paraId="0FA45169" w14:textId="755D81F8"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 xml:space="preserve">Directive (UE) 2022/2555 concernant des mesures destinées à assurer un niveau élevé commun de cybersécurité dans l’ensemble de l’Union (directive SRI 2) (JO L 333 du 27.12.2022, p. 80). </w:t>
      </w:r>
    </w:p>
  </w:footnote>
  <w:footnote w:id="68">
    <w:p w14:paraId="289D65AE" w14:textId="4E2D28FB" w:rsidR="008C4862" w:rsidRPr="00A9342C" w:rsidRDefault="008C486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Style w:val="normaltextrun"/>
          <w:rFonts w:ascii="Times New Roman" w:hAnsi="Times New Roman"/>
        </w:rPr>
        <w:t>ODD6: Garantir l’accès de tous à l’eau et à l’assainissement et assurer une gestion durable des ressources en eau.</w:t>
      </w:r>
    </w:p>
  </w:footnote>
  <w:footnote w:id="69">
    <w:p w14:paraId="68E1430D" w14:textId="358A14AE"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Rapport mondial 2024 des Nations unies sur la mise en valeur des ressources en eau, intitulé «L’eau pour la prospérité et la paix».</w:t>
      </w:r>
    </w:p>
  </w:footnote>
  <w:footnote w:id="70">
    <w:p w14:paraId="24D62AFB" w14:textId="5D54336C"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0" w:history="1">
        <w:r>
          <w:rPr>
            <w:rStyle w:val="Hyperlink"/>
            <w:rFonts w:ascii="Times New Roman" w:hAnsi="Times New Roman"/>
          </w:rPr>
          <w:t>Résolution 79/1 de l’Assemblée générale des Nations unies</w:t>
        </w:r>
      </w:hyperlink>
      <w:r>
        <w:t>.</w:t>
      </w:r>
    </w:p>
  </w:footnote>
  <w:footnote w:id="71">
    <w:p w14:paraId="473BB02E" w14:textId="76FB124E"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1" w:history="1">
        <w:r>
          <w:rPr>
            <w:rStyle w:val="Hyperlink"/>
            <w:rFonts w:ascii="Times New Roman" w:hAnsi="Times New Roman"/>
          </w:rPr>
          <w:t>fao.org/fao-who-codexalimentarius/sh-proxy/tr/?lnk=1&amp;url=https%253A%252F%252Fworkspace.fao.org%252Fsites%252Fcodex%252FStandards%252FCXG%2B100-2023%252FCXG_100e.pdf</w:t>
        </w:r>
      </w:hyperlink>
      <w:r>
        <w:t>.</w:t>
      </w:r>
      <w:r>
        <w:rPr>
          <w:rFonts w:ascii="Times New Roman" w:hAnsi="Times New Roman"/>
        </w:rPr>
        <w:t xml:space="preserve"> </w:t>
      </w:r>
    </w:p>
  </w:footnote>
  <w:footnote w:id="72">
    <w:p w14:paraId="57E2BC1C" w14:textId="5E0729E1"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2" w:history="1">
        <w:r>
          <w:rPr>
            <w:rStyle w:val="Hyperlink"/>
            <w:rFonts w:ascii="Times New Roman" w:hAnsi="Times New Roman"/>
          </w:rPr>
          <w:t>https://civil-protection-humanitarian-aid.ec.europa.eu/what/humanitarian-aid/climate-change-and-environment_fr</w:t>
        </w:r>
      </w:hyperlink>
      <w:r>
        <w:t>.</w:t>
      </w:r>
      <w:r>
        <w:rPr>
          <w:rFonts w:ascii="Times New Roman" w:hAnsi="Times New Roman"/>
        </w:rPr>
        <w:t xml:space="preserve"> </w:t>
      </w:r>
    </w:p>
  </w:footnote>
  <w:footnote w:id="73">
    <w:p w14:paraId="31FE02C5" w14:textId="44C34B01" w:rsidR="0010597D" w:rsidRPr="00A9342C" w:rsidRDefault="0010597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3" w:history="1">
        <w:r>
          <w:rPr>
            <w:rStyle w:val="Hyperlink"/>
            <w:rFonts w:ascii="Times New Roman" w:hAnsi="Times New Roman"/>
          </w:rPr>
          <w:t>https://sdgs.un.org/conferences/water2023/action-agenda</w:t>
        </w:r>
      </w:hyperlink>
      <w:r>
        <w:rPr>
          <w:rFonts w:ascii="Times New Roman" w:hAnsi="Times New Roman"/>
        </w:rPr>
        <w:t>, avec 33 engagements de l’UE (</w:t>
      </w:r>
      <w:hyperlink r:id="rId24" w:history="1">
        <w:r>
          <w:rPr>
            <w:rStyle w:val="Hyperlink"/>
            <w:rFonts w:ascii="Times New Roman" w:hAnsi="Times New Roman"/>
          </w:rPr>
          <w:t>https://data.consilium.europa.eu/doc/document/ST-7443-2023-INIT/en/pdf</w:t>
        </w:r>
      </w:hyperlink>
      <w:r>
        <w:rPr>
          <w:rFonts w:ascii="Times New Roman" w:hAnsi="Times New Roman"/>
        </w:rPr>
        <w:t>).</w:t>
      </w:r>
    </w:p>
  </w:footnote>
  <w:footnote w:id="74">
    <w:p w14:paraId="78BD11FC" w14:textId="1B99E967" w:rsidR="0010597D" w:rsidRPr="00A9342C" w:rsidRDefault="0010597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5" w:history="1">
        <w:r>
          <w:rPr>
            <w:rStyle w:val="Hyperlink"/>
            <w:rFonts w:ascii="Times New Roman" w:hAnsi="Times New Roman"/>
          </w:rPr>
          <w:t>https://docs.un.org/fr/UNEP/EA.6/RES.13</w:t>
        </w:r>
      </w:hyperlink>
      <w:r>
        <w:rPr>
          <w:rFonts w:ascii="Times New Roman" w:hAnsi="Times New Roman"/>
        </w:rPr>
        <w:t>.</w:t>
      </w:r>
    </w:p>
  </w:footnote>
  <w:footnote w:id="75">
    <w:p w14:paraId="0867E943" w14:textId="079C8747" w:rsidR="0010597D" w:rsidRPr="006C7F0A" w:rsidRDefault="0010597D" w:rsidP="00A9342C">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6C7F0A">
        <w:rPr>
          <w:rFonts w:ascii="Times New Roman" w:hAnsi="Times New Roman"/>
          <w:lang w:val="en-IE"/>
        </w:rPr>
        <w:t xml:space="preserve"> </w:t>
      </w:r>
      <w:r w:rsidRPr="006C7F0A">
        <w:rPr>
          <w:lang w:val="en-IE"/>
        </w:rPr>
        <w:tab/>
      </w:r>
      <w:hyperlink r:id="rId26" w:history="1">
        <w:r w:rsidRPr="006C7F0A">
          <w:rPr>
            <w:rStyle w:val="Hyperlink"/>
            <w:rFonts w:ascii="Times New Roman" w:hAnsi="Times New Roman"/>
            <w:lang w:val="en-IE"/>
          </w:rPr>
          <w:t>UN_System-wide_Strategy_for_Water_and_Sanitation_July2024_vs23July2024.pdf</w:t>
        </w:r>
      </w:hyperlink>
      <w:r w:rsidRPr="006C7F0A">
        <w:rPr>
          <w:rFonts w:ascii="Times New Roman" w:hAnsi="Times New Roman"/>
          <w:lang w:val="en-IE"/>
        </w:rPr>
        <w:t>.</w:t>
      </w:r>
    </w:p>
  </w:footnote>
  <w:footnote w:id="76">
    <w:p w14:paraId="70FB450D" w14:textId="1AFE559C"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 convention sur la protection et l’utilisation des cours d’eau transfrontières et des lacs internationaux.</w:t>
      </w:r>
    </w:p>
  </w:footnote>
  <w:footnote w:id="77">
    <w:p w14:paraId="7294FC94" w14:textId="2A26F899"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Stratégie européenne visant à relever les défis mondiaux les plus pressants et à mobiliser jusqu’à 300 milliards d’EUR d’investissements en faveur de projets durables et de haute qualité (</w:t>
      </w:r>
      <w:hyperlink r:id="rId27" w:history="1">
        <w:r>
          <w:rPr>
            <w:rStyle w:val="Hyperlink"/>
            <w:rFonts w:ascii="Times New Roman" w:hAnsi="Times New Roman"/>
          </w:rPr>
          <w:t>https://commission.europa.eu/strategy-and-policy/priorities-2019-2024/stronger-europe-world/global-gateway_fr</w:t>
        </w:r>
      </w:hyperlink>
      <w:r>
        <w:t>)</w:t>
      </w:r>
      <w:r>
        <w:rPr>
          <w:rStyle w:val="Hyperlink"/>
          <w:rFonts w:ascii="Times New Roman" w:hAnsi="Times New Roman"/>
        </w:rPr>
        <w:t>.</w:t>
      </w:r>
    </w:p>
  </w:footnote>
  <w:footnote w:id="78">
    <w:p w14:paraId="72D66EC1" w14:textId="1FEB58DA" w:rsidR="4251B09A" w:rsidRPr="00A9342C" w:rsidRDefault="4251B09A" w:rsidP="006F5FB3">
      <w:pPr>
        <w:spacing w:after="0" w:line="240" w:lineRule="auto"/>
        <w:ind w:left="284" w:hanging="284"/>
        <w:jc w:val="both"/>
        <w:rPr>
          <w:rFonts w:ascii="Times New Roman" w:eastAsia="Aptos" w:hAnsi="Times New Roman" w:cs="Times New Roman"/>
          <w:sz w:val="20"/>
          <w:szCs w:val="20"/>
        </w:rPr>
      </w:pPr>
      <w:r>
        <w:rPr>
          <w:rStyle w:val="FootnoteReference"/>
          <w:rFonts w:ascii="Times New Roman" w:hAnsi="Times New Roman" w:cs="Times New Roman"/>
          <w:kern w:val="0"/>
          <w:sz w:val="20"/>
          <w:szCs w:val="20"/>
          <w:lang w:val="en-GB"/>
          <w14:ligatures w14:val="none"/>
        </w:rPr>
        <w:footnoteRef/>
      </w:r>
      <w:r>
        <w:rPr>
          <w:rStyle w:val="FootnoteReference"/>
          <w:rFonts w:ascii="Times New Roman" w:hAnsi="Times New Roman"/>
          <w:sz w:val="20"/>
        </w:rPr>
        <w:t xml:space="preserve"> </w:t>
      </w:r>
      <w:r>
        <w:tab/>
      </w:r>
      <w:r>
        <w:rPr>
          <w:rFonts w:ascii="Times New Roman" w:hAnsi="Times New Roman"/>
          <w:sz w:val="20"/>
        </w:rPr>
        <w:t xml:space="preserve">JOIN(2025) 135/3 — Communication conjointe au Parlement européen et au Conseil intitulée «L’approche stratégique de l’Union européenne à l’égard de la région de la mer Noire». </w:t>
      </w:r>
    </w:p>
  </w:footnote>
  <w:footnote w:id="79">
    <w:p w14:paraId="58AAB984" w14:textId="27691CAF"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8" w:history="1">
        <w:r>
          <w:rPr>
            <w:rStyle w:val="Hyperlink"/>
            <w:rFonts w:ascii="Times New Roman" w:hAnsi="Times New Roman"/>
          </w:rPr>
          <w:t>Traité instituant la Communauté de l’énergie — Page d’accueil de la Communauté de l’énergie</w:t>
        </w:r>
      </w:hyperlink>
      <w:r>
        <w:t>.</w:t>
      </w:r>
    </w:p>
  </w:footnote>
  <w:footnote w:id="80">
    <w:p w14:paraId="4D7EE087" w14:textId="3406E0F0" w:rsidR="00922BFF" w:rsidRPr="00A9342C" w:rsidRDefault="00922BFF"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9" w:history="1">
        <w:r>
          <w:rPr>
            <w:rStyle w:val="Hyperlink"/>
            <w:rFonts w:ascii="Times New Roman" w:hAnsi="Times New Roman"/>
          </w:rPr>
          <w:t>https://www.eib.org/files/press/CommitmenttoWaterSecuritywithlogos.pdf</w:t>
        </w:r>
      </w:hyperlink>
      <w:r>
        <w:t>.</w:t>
      </w:r>
      <w:r>
        <w:rPr>
          <w:rFonts w:ascii="Times New Roman" w:hAnsi="Times New Roman"/>
        </w:rPr>
        <w:t xml:space="preserve"> </w:t>
      </w:r>
    </w:p>
  </w:footnote>
  <w:footnote w:id="81">
    <w:p w14:paraId="2F3E6530" w14:textId="06783935" w:rsidR="00912BD9" w:rsidRPr="00A9342C" w:rsidRDefault="00912BD9"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0" w:history="1">
        <w:r>
          <w:rPr>
            <w:rStyle w:val="Hyperlink"/>
            <w:rFonts w:ascii="Times New Roman" w:hAnsi="Times New Roman"/>
          </w:rPr>
          <w:t>https://www.cbd.int/gbf/targets</w:t>
        </w:r>
      </w:hyperlink>
      <w:r>
        <w:t>.</w:t>
      </w:r>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DA921" w14:textId="77777777" w:rsidR="008250B7" w:rsidRPr="008250B7" w:rsidRDefault="008250B7" w:rsidP="008250B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358A5" w14:textId="77777777" w:rsidR="008250B7" w:rsidRPr="008250B7" w:rsidRDefault="008250B7" w:rsidP="008250B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8136B" w14:textId="77777777" w:rsidR="008250B7" w:rsidRPr="008250B7" w:rsidRDefault="008250B7" w:rsidP="008250B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AD7B3" w14:textId="77777777" w:rsidR="00D057A3" w:rsidRDefault="00D057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A5B1F" w14:textId="77777777" w:rsidR="00D057A3" w:rsidRDefault="00D057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95CBE" w14:textId="77777777" w:rsidR="00D057A3" w:rsidRDefault="00D05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200CC"/>
    <w:multiLevelType w:val="multilevel"/>
    <w:tmpl w:val="7E02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F17ADC"/>
    <w:multiLevelType w:val="hybridMultilevel"/>
    <w:tmpl w:val="0660D8FC"/>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A7703C6"/>
    <w:multiLevelType w:val="hybridMultilevel"/>
    <w:tmpl w:val="F52889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B9A10AC"/>
    <w:multiLevelType w:val="hybridMultilevel"/>
    <w:tmpl w:val="8946A604"/>
    <w:name w:val="Point"/>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C103426"/>
    <w:multiLevelType w:val="hybridMultilevel"/>
    <w:tmpl w:val="95267CEE"/>
    <w:name w:val="Point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C8A0068"/>
    <w:multiLevelType w:val="hybridMultilevel"/>
    <w:tmpl w:val="A89856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4382E39"/>
    <w:multiLevelType w:val="hybridMultilevel"/>
    <w:tmpl w:val="11B6BE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6A22142"/>
    <w:multiLevelType w:val="hybridMultilevel"/>
    <w:tmpl w:val="551ECB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9CE2501"/>
    <w:multiLevelType w:val="hybridMultilevel"/>
    <w:tmpl w:val="9B208182"/>
    <w:lvl w:ilvl="0" w:tplc="1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6"/>
  </w:num>
  <w:num w:numId="2">
    <w:abstractNumId w:val="1"/>
  </w:num>
  <w:num w:numId="3">
    <w:abstractNumId w:val="8"/>
  </w:num>
  <w:num w:numId="4">
    <w:abstractNumId w:val="0"/>
  </w:num>
  <w:num w:numId="5">
    <w:abstractNumId w:val="5"/>
  </w:num>
  <w:num w:numId="6">
    <w:abstractNumId w:val="3"/>
  </w:num>
  <w:num w:numId="7">
    <w:abstractNumId w:val="2"/>
  </w:num>
  <w:num w:numId="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449AD88C-C30B-4AD1-9AE7-C89E16C7507B"/>
    <w:docVar w:name="LW_COVERPAGE_TYPE" w:val="1"/>
    <w:docVar w:name="LW_CROSSREFERENCE" w:val="&lt;UNUSED&gt;"/>
    <w:docVar w:name="LW_DocType" w:val="NORMAL"/>
    <w:docVar w:name="LW_EMISSION" w:val="4.6.2025"/>
    <w:docVar w:name="LW_EMISSION_ISODATE" w:val="2025-06-0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2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européenne pour la résilience dans le domaine de l'eau"/>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5705DA"/>
    <w:rsid w:val="00000247"/>
    <w:rsid w:val="000003C8"/>
    <w:rsid w:val="0000047D"/>
    <w:rsid w:val="000004F7"/>
    <w:rsid w:val="00000511"/>
    <w:rsid w:val="000007A0"/>
    <w:rsid w:val="000007B0"/>
    <w:rsid w:val="00000897"/>
    <w:rsid w:val="000009FD"/>
    <w:rsid w:val="00000A4D"/>
    <w:rsid w:val="00000D25"/>
    <w:rsid w:val="00000E66"/>
    <w:rsid w:val="00000EC2"/>
    <w:rsid w:val="0000138E"/>
    <w:rsid w:val="000013E8"/>
    <w:rsid w:val="00001510"/>
    <w:rsid w:val="00001602"/>
    <w:rsid w:val="000016E0"/>
    <w:rsid w:val="00001779"/>
    <w:rsid w:val="00001842"/>
    <w:rsid w:val="00001A9C"/>
    <w:rsid w:val="00001AFE"/>
    <w:rsid w:val="00001C10"/>
    <w:rsid w:val="00001DB2"/>
    <w:rsid w:val="00001E54"/>
    <w:rsid w:val="00001F62"/>
    <w:rsid w:val="00001F98"/>
    <w:rsid w:val="00001FCA"/>
    <w:rsid w:val="000020F5"/>
    <w:rsid w:val="0000215D"/>
    <w:rsid w:val="00002162"/>
    <w:rsid w:val="000021F4"/>
    <w:rsid w:val="0000238B"/>
    <w:rsid w:val="0000245C"/>
    <w:rsid w:val="00002641"/>
    <w:rsid w:val="000026D7"/>
    <w:rsid w:val="00002704"/>
    <w:rsid w:val="00002738"/>
    <w:rsid w:val="00002762"/>
    <w:rsid w:val="0000286C"/>
    <w:rsid w:val="00002982"/>
    <w:rsid w:val="00002AA8"/>
    <w:rsid w:val="00002B8D"/>
    <w:rsid w:val="00002C08"/>
    <w:rsid w:val="00002D76"/>
    <w:rsid w:val="00002DE4"/>
    <w:rsid w:val="00003297"/>
    <w:rsid w:val="000033CA"/>
    <w:rsid w:val="000035F3"/>
    <w:rsid w:val="00003738"/>
    <w:rsid w:val="0000374F"/>
    <w:rsid w:val="000038A8"/>
    <w:rsid w:val="000038AF"/>
    <w:rsid w:val="00003990"/>
    <w:rsid w:val="00004302"/>
    <w:rsid w:val="000045F9"/>
    <w:rsid w:val="00004677"/>
    <w:rsid w:val="000046EB"/>
    <w:rsid w:val="00004B69"/>
    <w:rsid w:val="00004D5A"/>
    <w:rsid w:val="00004FBF"/>
    <w:rsid w:val="00005001"/>
    <w:rsid w:val="00005291"/>
    <w:rsid w:val="000052E4"/>
    <w:rsid w:val="00005394"/>
    <w:rsid w:val="000053F5"/>
    <w:rsid w:val="00005423"/>
    <w:rsid w:val="0000543B"/>
    <w:rsid w:val="00005576"/>
    <w:rsid w:val="000056DF"/>
    <w:rsid w:val="0000576F"/>
    <w:rsid w:val="0000581A"/>
    <w:rsid w:val="00005AA5"/>
    <w:rsid w:val="00005D00"/>
    <w:rsid w:val="00005D3D"/>
    <w:rsid w:val="00006259"/>
    <w:rsid w:val="00006271"/>
    <w:rsid w:val="00006460"/>
    <w:rsid w:val="00006889"/>
    <w:rsid w:val="0000698F"/>
    <w:rsid w:val="00007111"/>
    <w:rsid w:val="000071F1"/>
    <w:rsid w:val="00007217"/>
    <w:rsid w:val="000072C4"/>
    <w:rsid w:val="000073A6"/>
    <w:rsid w:val="00007461"/>
    <w:rsid w:val="000074F1"/>
    <w:rsid w:val="000076A0"/>
    <w:rsid w:val="000076CD"/>
    <w:rsid w:val="00007A85"/>
    <w:rsid w:val="00007AAA"/>
    <w:rsid w:val="00007ECB"/>
    <w:rsid w:val="00010023"/>
    <w:rsid w:val="00010139"/>
    <w:rsid w:val="000103D0"/>
    <w:rsid w:val="0001046F"/>
    <w:rsid w:val="000104DA"/>
    <w:rsid w:val="00010638"/>
    <w:rsid w:val="00010994"/>
    <w:rsid w:val="00010A73"/>
    <w:rsid w:val="00010B51"/>
    <w:rsid w:val="00010C60"/>
    <w:rsid w:val="00010C7C"/>
    <w:rsid w:val="00010C92"/>
    <w:rsid w:val="00010CDE"/>
    <w:rsid w:val="00010D32"/>
    <w:rsid w:val="00010D3C"/>
    <w:rsid w:val="00010EF1"/>
    <w:rsid w:val="0001107F"/>
    <w:rsid w:val="00011116"/>
    <w:rsid w:val="000111C0"/>
    <w:rsid w:val="00011205"/>
    <w:rsid w:val="00011341"/>
    <w:rsid w:val="000114E2"/>
    <w:rsid w:val="0001150D"/>
    <w:rsid w:val="00011876"/>
    <w:rsid w:val="00011947"/>
    <w:rsid w:val="00011BE8"/>
    <w:rsid w:val="00011C0D"/>
    <w:rsid w:val="00011CFB"/>
    <w:rsid w:val="00011F2B"/>
    <w:rsid w:val="00011F39"/>
    <w:rsid w:val="00012045"/>
    <w:rsid w:val="000121DF"/>
    <w:rsid w:val="000121F6"/>
    <w:rsid w:val="0001231D"/>
    <w:rsid w:val="00012369"/>
    <w:rsid w:val="000124B7"/>
    <w:rsid w:val="000124CA"/>
    <w:rsid w:val="000126B1"/>
    <w:rsid w:val="00012896"/>
    <w:rsid w:val="000128A5"/>
    <w:rsid w:val="000129BD"/>
    <w:rsid w:val="00012AFF"/>
    <w:rsid w:val="00012BF5"/>
    <w:rsid w:val="00012CDF"/>
    <w:rsid w:val="00012D09"/>
    <w:rsid w:val="00012D66"/>
    <w:rsid w:val="00012E4F"/>
    <w:rsid w:val="00013010"/>
    <w:rsid w:val="00013116"/>
    <w:rsid w:val="0001318F"/>
    <w:rsid w:val="00013697"/>
    <w:rsid w:val="00013994"/>
    <w:rsid w:val="00013A1E"/>
    <w:rsid w:val="00013A31"/>
    <w:rsid w:val="00013A50"/>
    <w:rsid w:val="00013AF5"/>
    <w:rsid w:val="00013B97"/>
    <w:rsid w:val="00013BB8"/>
    <w:rsid w:val="00013DD3"/>
    <w:rsid w:val="00013EBE"/>
    <w:rsid w:val="00013FAF"/>
    <w:rsid w:val="00014082"/>
    <w:rsid w:val="000140D7"/>
    <w:rsid w:val="0001416B"/>
    <w:rsid w:val="00014357"/>
    <w:rsid w:val="00014679"/>
    <w:rsid w:val="0001474D"/>
    <w:rsid w:val="00014A23"/>
    <w:rsid w:val="00014B86"/>
    <w:rsid w:val="00014F86"/>
    <w:rsid w:val="00014F8C"/>
    <w:rsid w:val="000150E9"/>
    <w:rsid w:val="00015158"/>
    <w:rsid w:val="0001537C"/>
    <w:rsid w:val="0001565D"/>
    <w:rsid w:val="00015754"/>
    <w:rsid w:val="00015801"/>
    <w:rsid w:val="00015988"/>
    <w:rsid w:val="00015BAB"/>
    <w:rsid w:val="00015BEF"/>
    <w:rsid w:val="00015DD3"/>
    <w:rsid w:val="00016459"/>
    <w:rsid w:val="0001657F"/>
    <w:rsid w:val="000166F2"/>
    <w:rsid w:val="000167E9"/>
    <w:rsid w:val="00016A03"/>
    <w:rsid w:val="00016B3A"/>
    <w:rsid w:val="00016D09"/>
    <w:rsid w:val="00016DF7"/>
    <w:rsid w:val="0001720E"/>
    <w:rsid w:val="00017277"/>
    <w:rsid w:val="0001743E"/>
    <w:rsid w:val="0001769F"/>
    <w:rsid w:val="000176B8"/>
    <w:rsid w:val="0001772C"/>
    <w:rsid w:val="0001777A"/>
    <w:rsid w:val="000177AC"/>
    <w:rsid w:val="00017839"/>
    <w:rsid w:val="00017AE7"/>
    <w:rsid w:val="00017FA2"/>
    <w:rsid w:val="000202E9"/>
    <w:rsid w:val="00020498"/>
    <w:rsid w:val="00020529"/>
    <w:rsid w:val="00020538"/>
    <w:rsid w:val="00020589"/>
    <w:rsid w:val="00020729"/>
    <w:rsid w:val="00020906"/>
    <w:rsid w:val="0002096D"/>
    <w:rsid w:val="000209BD"/>
    <w:rsid w:val="00020A2A"/>
    <w:rsid w:val="00020A4A"/>
    <w:rsid w:val="00020B94"/>
    <w:rsid w:val="00020CE5"/>
    <w:rsid w:val="00020D13"/>
    <w:rsid w:val="00020EBD"/>
    <w:rsid w:val="00020EFB"/>
    <w:rsid w:val="00020F2F"/>
    <w:rsid w:val="00020F4D"/>
    <w:rsid w:val="00021313"/>
    <w:rsid w:val="00021472"/>
    <w:rsid w:val="00021673"/>
    <w:rsid w:val="000216D8"/>
    <w:rsid w:val="00021722"/>
    <w:rsid w:val="00021768"/>
    <w:rsid w:val="00021874"/>
    <w:rsid w:val="00021892"/>
    <w:rsid w:val="00021A44"/>
    <w:rsid w:val="00021D57"/>
    <w:rsid w:val="00021D65"/>
    <w:rsid w:val="00021D8E"/>
    <w:rsid w:val="00021E28"/>
    <w:rsid w:val="00021FA2"/>
    <w:rsid w:val="000220EA"/>
    <w:rsid w:val="000221BB"/>
    <w:rsid w:val="0002239A"/>
    <w:rsid w:val="0002243C"/>
    <w:rsid w:val="00022440"/>
    <w:rsid w:val="000224B1"/>
    <w:rsid w:val="0002256D"/>
    <w:rsid w:val="000225A5"/>
    <w:rsid w:val="00022610"/>
    <w:rsid w:val="0002263A"/>
    <w:rsid w:val="00022781"/>
    <w:rsid w:val="00022C50"/>
    <w:rsid w:val="00022D7B"/>
    <w:rsid w:val="000230CD"/>
    <w:rsid w:val="000232BC"/>
    <w:rsid w:val="000233AC"/>
    <w:rsid w:val="00023473"/>
    <w:rsid w:val="00023639"/>
    <w:rsid w:val="000236B7"/>
    <w:rsid w:val="00023896"/>
    <w:rsid w:val="000238BC"/>
    <w:rsid w:val="000239F9"/>
    <w:rsid w:val="00023B43"/>
    <w:rsid w:val="00023B49"/>
    <w:rsid w:val="00023E14"/>
    <w:rsid w:val="00023E50"/>
    <w:rsid w:val="00023E76"/>
    <w:rsid w:val="00023E8C"/>
    <w:rsid w:val="00023EB9"/>
    <w:rsid w:val="00024138"/>
    <w:rsid w:val="00024159"/>
    <w:rsid w:val="0002432A"/>
    <w:rsid w:val="000243EE"/>
    <w:rsid w:val="00024462"/>
    <w:rsid w:val="0002455A"/>
    <w:rsid w:val="000245D2"/>
    <w:rsid w:val="000248A4"/>
    <w:rsid w:val="000248FF"/>
    <w:rsid w:val="00024B55"/>
    <w:rsid w:val="00024B5B"/>
    <w:rsid w:val="00024C64"/>
    <w:rsid w:val="00024EF0"/>
    <w:rsid w:val="00024FE8"/>
    <w:rsid w:val="00025043"/>
    <w:rsid w:val="000251A2"/>
    <w:rsid w:val="000251A6"/>
    <w:rsid w:val="00025232"/>
    <w:rsid w:val="00025257"/>
    <w:rsid w:val="0002526E"/>
    <w:rsid w:val="00025346"/>
    <w:rsid w:val="000254DA"/>
    <w:rsid w:val="000256A4"/>
    <w:rsid w:val="000256B1"/>
    <w:rsid w:val="000256DD"/>
    <w:rsid w:val="0002573B"/>
    <w:rsid w:val="000257A9"/>
    <w:rsid w:val="00025833"/>
    <w:rsid w:val="000258C5"/>
    <w:rsid w:val="00025992"/>
    <w:rsid w:val="000259B5"/>
    <w:rsid w:val="00025CB3"/>
    <w:rsid w:val="00025D7D"/>
    <w:rsid w:val="00026086"/>
    <w:rsid w:val="000260C0"/>
    <w:rsid w:val="00026140"/>
    <w:rsid w:val="000261C2"/>
    <w:rsid w:val="000261C8"/>
    <w:rsid w:val="00026334"/>
    <w:rsid w:val="000263A5"/>
    <w:rsid w:val="00026508"/>
    <w:rsid w:val="00026539"/>
    <w:rsid w:val="00026833"/>
    <w:rsid w:val="00026878"/>
    <w:rsid w:val="00026992"/>
    <w:rsid w:val="000269B8"/>
    <w:rsid w:val="000269E1"/>
    <w:rsid w:val="00026C68"/>
    <w:rsid w:val="00026D82"/>
    <w:rsid w:val="00026EA0"/>
    <w:rsid w:val="00027105"/>
    <w:rsid w:val="00027136"/>
    <w:rsid w:val="000271B8"/>
    <w:rsid w:val="0002737E"/>
    <w:rsid w:val="000274A7"/>
    <w:rsid w:val="00027573"/>
    <w:rsid w:val="000275D1"/>
    <w:rsid w:val="00027700"/>
    <w:rsid w:val="00027982"/>
    <w:rsid w:val="00027B87"/>
    <w:rsid w:val="00027C7D"/>
    <w:rsid w:val="00027CC6"/>
    <w:rsid w:val="00027D38"/>
    <w:rsid w:val="00027EA0"/>
    <w:rsid w:val="0003029C"/>
    <w:rsid w:val="00030666"/>
    <w:rsid w:val="00030722"/>
    <w:rsid w:val="00030A21"/>
    <w:rsid w:val="00030A89"/>
    <w:rsid w:val="00030C83"/>
    <w:rsid w:val="00030C85"/>
    <w:rsid w:val="00030E06"/>
    <w:rsid w:val="00030F89"/>
    <w:rsid w:val="0003102C"/>
    <w:rsid w:val="00031160"/>
    <w:rsid w:val="00031185"/>
    <w:rsid w:val="000313A8"/>
    <w:rsid w:val="00031482"/>
    <w:rsid w:val="0003152D"/>
    <w:rsid w:val="00031566"/>
    <w:rsid w:val="000315A4"/>
    <w:rsid w:val="0003163B"/>
    <w:rsid w:val="0003185A"/>
    <w:rsid w:val="000318D7"/>
    <w:rsid w:val="000319FB"/>
    <w:rsid w:val="00031BAB"/>
    <w:rsid w:val="00031E35"/>
    <w:rsid w:val="0003213C"/>
    <w:rsid w:val="00032244"/>
    <w:rsid w:val="000323A5"/>
    <w:rsid w:val="00032428"/>
    <w:rsid w:val="00032511"/>
    <w:rsid w:val="00032572"/>
    <w:rsid w:val="00032830"/>
    <w:rsid w:val="00032835"/>
    <w:rsid w:val="0003283F"/>
    <w:rsid w:val="00032D70"/>
    <w:rsid w:val="00032E67"/>
    <w:rsid w:val="00033038"/>
    <w:rsid w:val="0003308E"/>
    <w:rsid w:val="0003321D"/>
    <w:rsid w:val="00033553"/>
    <w:rsid w:val="000336CE"/>
    <w:rsid w:val="00033807"/>
    <w:rsid w:val="0003387F"/>
    <w:rsid w:val="00033982"/>
    <w:rsid w:val="00033B2C"/>
    <w:rsid w:val="00033B30"/>
    <w:rsid w:val="00033C40"/>
    <w:rsid w:val="00033ECE"/>
    <w:rsid w:val="00033FC6"/>
    <w:rsid w:val="000341FE"/>
    <w:rsid w:val="0003427B"/>
    <w:rsid w:val="000343C7"/>
    <w:rsid w:val="00034839"/>
    <w:rsid w:val="00034970"/>
    <w:rsid w:val="00034A2F"/>
    <w:rsid w:val="00034BD6"/>
    <w:rsid w:val="00034C3B"/>
    <w:rsid w:val="00034D1F"/>
    <w:rsid w:val="00035333"/>
    <w:rsid w:val="000354A6"/>
    <w:rsid w:val="0003557C"/>
    <w:rsid w:val="00035660"/>
    <w:rsid w:val="0003572D"/>
    <w:rsid w:val="0003590C"/>
    <w:rsid w:val="00035971"/>
    <w:rsid w:val="000359B5"/>
    <w:rsid w:val="00035AAA"/>
    <w:rsid w:val="00035BA9"/>
    <w:rsid w:val="00035FE8"/>
    <w:rsid w:val="00035FF3"/>
    <w:rsid w:val="00036070"/>
    <w:rsid w:val="00036272"/>
    <w:rsid w:val="00036484"/>
    <w:rsid w:val="000367C7"/>
    <w:rsid w:val="00036A93"/>
    <w:rsid w:val="00036AC7"/>
    <w:rsid w:val="00036AE2"/>
    <w:rsid w:val="00036BBD"/>
    <w:rsid w:val="00036D51"/>
    <w:rsid w:val="00036DF0"/>
    <w:rsid w:val="00036E74"/>
    <w:rsid w:val="00036F19"/>
    <w:rsid w:val="00036FA7"/>
    <w:rsid w:val="00036FC6"/>
    <w:rsid w:val="0003723D"/>
    <w:rsid w:val="0003745E"/>
    <w:rsid w:val="0003755F"/>
    <w:rsid w:val="000376CF"/>
    <w:rsid w:val="0003771D"/>
    <w:rsid w:val="0003778C"/>
    <w:rsid w:val="00037863"/>
    <w:rsid w:val="00037A21"/>
    <w:rsid w:val="00037A7E"/>
    <w:rsid w:val="00037F0F"/>
    <w:rsid w:val="0003B473"/>
    <w:rsid w:val="000400F7"/>
    <w:rsid w:val="00040452"/>
    <w:rsid w:val="000405AD"/>
    <w:rsid w:val="000405CB"/>
    <w:rsid w:val="000405F4"/>
    <w:rsid w:val="000405F9"/>
    <w:rsid w:val="00040624"/>
    <w:rsid w:val="0004069B"/>
    <w:rsid w:val="000406F3"/>
    <w:rsid w:val="000407FD"/>
    <w:rsid w:val="00040A89"/>
    <w:rsid w:val="00040C7F"/>
    <w:rsid w:val="00040CD2"/>
    <w:rsid w:val="00040E99"/>
    <w:rsid w:val="00041232"/>
    <w:rsid w:val="00041463"/>
    <w:rsid w:val="00041537"/>
    <w:rsid w:val="000418CE"/>
    <w:rsid w:val="00041A0D"/>
    <w:rsid w:val="00041A62"/>
    <w:rsid w:val="00041A68"/>
    <w:rsid w:val="00041D59"/>
    <w:rsid w:val="00041D94"/>
    <w:rsid w:val="00041E92"/>
    <w:rsid w:val="00041F4C"/>
    <w:rsid w:val="00042068"/>
    <w:rsid w:val="0004238C"/>
    <w:rsid w:val="00042424"/>
    <w:rsid w:val="000424F3"/>
    <w:rsid w:val="00042774"/>
    <w:rsid w:val="000427A3"/>
    <w:rsid w:val="000427C2"/>
    <w:rsid w:val="000427E2"/>
    <w:rsid w:val="00042827"/>
    <w:rsid w:val="00042915"/>
    <w:rsid w:val="00042A9C"/>
    <w:rsid w:val="00042B7F"/>
    <w:rsid w:val="000430DB"/>
    <w:rsid w:val="000431F5"/>
    <w:rsid w:val="00043431"/>
    <w:rsid w:val="00043450"/>
    <w:rsid w:val="000435A0"/>
    <w:rsid w:val="000435E1"/>
    <w:rsid w:val="000437D7"/>
    <w:rsid w:val="0004395A"/>
    <w:rsid w:val="000439DE"/>
    <w:rsid w:val="00043A63"/>
    <w:rsid w:val="00043B63"/>
    <w:rsid w:val="00043D76"/>
    <w:rsid w:val="00043EE9"/>
    <w:rsid w:val="00043F60"/>
    <w:rsid w:val="00044022"/>
    <w:rsid w:val="000440A7"/>
    <w:rsid w:val="000441BD"/>
    <w:rsid w:val="00044280"/>
    <w:rsid w:val="000443CD"/>
    <w:rsid w:val="000444FC"/>
    <w:rsid w:val="00044656"/>
    <w:rsid w:val="000446A6"/>
    <w:rsid w:val="000446F5"/>
    <w:rsid w:val="00044727"/>
    <w:rsid w:val="000447D7"/>
    <w:rsid w:val="00044925"/>
    <w:rsid w:val="00044A4D"/>
    <w:rsid w:val="00044B36"/>
    <w:rsid w:val="00044C45"/>
    <w:rsid w:val="00044CB3"/>
    <w:rsid w:val="00044DA7"/>
    <w:rsid w:val="00044E5B"/>
    <w:rsid w:val="00044F3C"/>
    <w:rsid w:val="00044F51"/>
    <w:rsid w:val="000450B2"/>
    <w:rsid w:val="000451FD"/>
    <w:rsid w:val="00045351"/>
    <w:rsid w:val="00045566"/>
    <w:rsid w:val="00045AF7"/>
    <w:rsid w:val="00045B08"/>
    <w:rsid w:val="0004609B"/>
    <w:rsid w:val="000460AB"/>
    <w:rsid w:val="0004619B"/>
    <w:rsid w:val="00046412"/>
    <w:rsid w:val="000466F1"/>
    <w:rsid w:val="00046889"/>
    <w:rsid w:val="00046A45"/>
    <w:rsid w:val="00046A5C"/>
    <w:rsid w:val="00046C49"/>
    <w:rsid w:val="00046C99"/>
    <w:rsid w:val="00046CDA"/>
    <w:rsid w:val="00046DDB"/>
    <w:rsid w:val="00046E34"/>
    <w:rsid w:val="00046E67"/>
    <w:rsid w:val="00047106"/>
    <w:rsid w:val="00047593"/>
    <w:rsid w:val="000475CE"/>
    <w:rsid w:val="00047661"/>
    <w:rsid w:val="00047771"/>
    <w:rsid w:val="000477AE"/>
    <w:rsid w:val="000478E2"/>
    <w:rsid w:val="000479BD"/>
    <w:rsid w:val="000479D7"/>
    <w:rsid w:val="00047AEA"/>
    <w:rsid w:val="00047D26"/>
    <w:rsid w:val="00047D41"/>
    <w:rsid w:val="00050010"/>
    <w:rsid w:val="0005003E"/>
    <w:rsid w:val="000501D0"/>
    <w:rsid w:val="000503A0"/>
    <w:rsid w:val="0005043B"/>
    <w:rsid w:val="00050504"/>
    <w:rsid w:val="00050671"/>
    <w:rsid w:val="00050677"/>
    <w:rsid w:val="00050B48"/>
    <w:rsid w:val="00050B6F"/>
    <w:rsid w:val="00050B93"/>
    <w:rsid w:val="00050F06"/>
    <w:rsid w:val="0005154A"/>
    <w:rsid w:val="0005155B"/>
    <w:rsid w:val="00051686"/>
    <w:rsid w:val="00051A65"/>
    <w:rsid w:val="00051C25"/>
    <w:rsid w:val="00051C32"/>
    <w:rsid w:val="00051D73"/>
    <w:rsid w:val="00051DC3"/>
    <w:rsid w:val="00051EC6"/>
    <w:rsid w:val="00051EED"/>
    <w:rsid w:val="000521E4"/>
    <w:rsid w:val="000521F4"/>
    <w:rsid w:val="00052202"/>
    <w:rsid w:val="0005223F"/>
    <w:rsid w:val="0005224F"/>
    <w:rsid w:val="00052374"/>
    <w:rsid w:val="000523FD"/>
    <w:rsid w:val="000527AE"/>
    <w:rsid w:val="00052886"/>
    <w:rsid w:val="00052AAF"/>
    <w:rsid w:val="00052D2E"/>
    <w:rsid w:val="00052D45"/>
    <w:rsid w:val="00052DC1"/>
    <w:rsid w:val="00052E03"/>
    <w:rsid w:val="000530CC"/>
    <w:rsid w:val="0005317F"/>
    <w:rsid w:val="000531F3"/>
    <w:rsid w:val="000531FA"/>
    <w:rsid w:val="00053301"/>
    <w:rsid w:val="0005335A"/>
    <w:rsid w:val="000534C0"/>
    <w:rsid w:val="000535E5"/>
    <w:rsid w:val="00053753"/>
    <w:rsid w:val="00053865"/>
    <w:rsid w:val="00053898"/>
    <w:rsid w:val="00053BB8"/>
    <w:rsid w:val="00053BE6"/>
    <w:rsid w:val="00053E8C"/>
    <w:rsid w:val="00054319"/>
    <w:rsid w:val="00054365"/>
    <w:rsid w:val="000545BE"/>
    <w:rsid w:val="000545D8"/>
    <w:rsid w:val="00054608"/>
    <w:rsid w:val="00054665"/>
    <w:rsid w:val="000547FA"/>
    <w:rsid w:val="000549CD"/>
    <w:rsid w:val="000549DA"/>
    <w:rsid w:val="000549F9"/>
    <w:rsid w:val="00054A9B"/>
    <w:rsid w:val="00054B5F"/>
    <w:rsid w:val="00054B72"/>
    <w:rsid w:val="00054BCA"/>
    <w:rsid w:val="00054C1D"/>
    <w:rsid w:val="00054D55"/>
    <w:rsid w:val="00054EE8"/>
    <w:rsid w:val="00054F70"/>
    <w:rsid w:val="00054FF6"/>
    <w:rsid w:val="0005505D"/>
    <w:rsid w:val="0005531C"/>
    <w:rsid w:val="00055512"/>
    <w:rsid w:val="0005552D"/>
    <w:rsid w:val="00055663"/>
    <w:rsid w:val="00055A84"/>
    <w:rsid w:val="00055B25"/>
    <w:rsid w:val="00055B47"/>
    <w:rsid w:val="00055C48"/>
    <w:rsid w:val="00055E4A"/>
    <w:rsid w:val="00055F88"/>
    <w:rsid w:val="00056013"/>
    <w:rsid w:val="00056060"/>
    <w:rsid w:val="00056218"/>
    <w:rsid w:val="0005629C"/>
    <w:rsid w:val="000562D4"/>
    <w:rsid w:val="00056360"/>
    <w:rsid w:val="00056504"/>
    <w:rsid w:val="0005655A"/>
    <w:rsid w:val="000566AD"/>
    <w:rsid w:val="0005678D"/>
    <w:rsid w:val="000567DB"/>
    <w:rsid w:val="000567DC"/>
    <w:rsid w:val="00056801"/>
    <w:rsid w:val="00056856"/>
    <w:rsid w:val="00056C83"/>
    <w:rsid w:val="00056D1A"/>
    <w:rsid w:val="00056D41"/>
    <w:rsid w:val="00056E13"/>
    <w:rsid w:val="00057166"/>
    <w:rsid w:val="0005717B"/>
    <w:rsid w:val="0005764A"/>
    <w:rsid w:val="00057846"/>
    <w:rsid w:val="000579A6"/>
    <w:rsid w:val="00057A81"/>
    <w:rsid w:val="00057BD7"/>
    <w:rsid w:val="00057C32"/>
    <w:rsid w:val="00057D11"/>
    <w:rsid w:val="00057D3D"/>
    <w:rsid w:val="00057DD3"/>
    <w:rsid w:val="00057EF4"/>
    <w:rsid w:val="00057F82"/>
    <w:rsid w:val="0006038B"/>
    <w:rsid w:val="0006047A"/>
    <w:rsid w:val="000604D7"/>
    <w:rsid w:val="000605C7"/>
    <w:rsid w:val="00060628"/>
    <w:rsid w:val="0006062B"/>
    <w:rsid w:val="00060A12"/>
    <w:rsid w:val="00060AA7"/>
    <w:rsid w:val="00060E4C"/>
    <w:rsid w:val="00060E5A"/>
    <w:rsid w:val="00060E60"/>
    <w:rsid w:val="0006109A"/>
    <w:rsid w:val="000611A3"/>
    <w:rsid w:val="0006143E"/>
    <w:rsid w:val="00061517"/>
    <w:rsid w:val="000618D6"/>
    <w:rsid w:val="00061AB8"/>
    <w:rsid w:val="00061BD0"/>
    <w:rsid w:val="00061C25"/>
    <w:rsid w:val="00061C41"/>
    <w:rsid w:val="00061CE1"/>
    <w:rsid w:val="00061D3F"/>
    <w:rsid w:val="00061DF4"/>
    <w:rsid w:val="00061E0B"/>
    <w:rsid w:val="000620C6"/>
    <w:rsid w:val="000620E7"/>
    <w:rsid w:val="00062128"/>
    <w:rsid w:val="000622DC"/>
    <w:rsid w:val="000624CC"/>
    <w:rsid w:val="000625F0"/>
    <w:rsid w:val="0006283B"/>
    <w:rsid w:val="0006291F"/>
    <w:rsid w:val="000629D3"/>
    <w:rsid w:val="00062A93"/>
    <w:rsid w:val="00062ED2"/>
    <w:rsid w:val="00062F74"/>
    <w:rsid w:val="000632B8"/>
    <w:rsid w:val="000633AE"/>
    <w:rsid w:val="00063500"/>
    <w:rsid w:val="000635B6"/>
    <w:rsid w:val="0006368F"/>
    <w:rsid w:val="000638E7"/>
    <w:rsid w:val="000639B5"/>
    <w:rsid w:val="00063AE7"/>
    <w:rsid w:val="00063D35"/>
    <w:rsid w:val="00063F47"/>
    <w:rsid w:val="00064312"/>
    <w:rsid w:val="000644EE"/>
    <w:rsid w:val="00064544"/>
    <w:rsid w:val="000645CA"/>
    <w:rsid w:val="000645D3"/>
    <w:rsid w:val="00064845"/>
    <w:rsid w:val="00064897"/>
    <w:rsid w:val="00064B5E"/>
    <w:rsid w:val="00064C17"/>
    <w:rsid w:val="00064CA8"/>
    <w:rsid w:val="00064EBC"/>
    <w:rsid w:val="000653AC"/>
    <w:rsid w:val="00065423"/>
    <w:rsid w:val="00065856"/>
    <w:rsid w:val="00065868"/>
    <w:rsid w:val="00065897"/>
    <w:rsid w:val="000658E2"/>
    <w:rsid w:val="000659DA"/>
    <w:rsid w:val="00065BDF"/>
    <w:rsid w:val="00065BE9"/>
    <w:rsid w:val="00065C7B"/>
    <w:rsid w:val="00065E9B"/>
    <w:rsid w:val="000660D2"/>
    <w:rsid w:val="00066105"/>
    <w:rsid w:val="00066286"/>
    <w:rsid w:val="000664C5"/>
    <w:rsid w:val="0006654C"/>
    <w:rsid w:val="00066685"/>
    <w:rsid w:val="000668BC"/>
    <w:rsid w:val="00066921"/>
    <w:rsid w:val="00066937"/>
    <w:rsid w:val="00066AB5"/>
    <w:rsid w:val="00066C30"/>
    <w:rsid w:val="00066CB0"/>
    <w:rsid w:val="00066FB2"/>
    <w:rsid w:val="0006733E"/>
    <w:rsid w:val="000674A8"/>
    <w:rsid w:val="000674F5"/>
    <w:rsid w:val="00067883"/>
    <w:rsid w:val="00067B0B"/>
    <w:rsid w:val="00067B17"/>
    <w:rsid w:val="00067B6A"/>
    <w:rsid w:val="00067BEC"/>
    <w:rsid w:val="00067C3A"/>
    <w:rsid w:val="00067CE9"/>
    <w:rsid w:val="00067D7D"/>
    <w:rsid w:val="00067ECB"/>
    <w:rsid w:val="00067F3D"/>
    <w:rsid w:val="00067FBD"/>
    <w:rsid w:val="0007006C"/>
    <w:rsid w:val="0007007C"/>
    <w:rsid w:val="0007022E"/>
    <w:rsid w:val="00070512"/>
    <w:rsid w:val="0007072F"/>
    <w:rsid w:val="000709CB"/>
    <w:rsid w:val="00070B6F"/>
    <w:rsid w:val="00070F42"/>
    <w:rsid w:val="00071066"/>
    <w:rsid w:val="0007125B"/>
    <w:rsid w:val="0007137A"/>
    <w:rsid w:val="000716E3"/>
    <w:rsid w:val="00071A3E"/>
    <w:rsid w:val="00071B9F"/>
    <w:rsid w:val="00071BDF"/>
    <w:rsid w:val="00071C05"/>
    <w:rsid w:val="00071C30"/>
    <w:rsid w:val="00072019"/>
    <w:rsid w:val="000720D2"/>
    <w:rsid w:val="00072193"/>
    <w:rsid w:val="00072298"/>
    <w:rsid w:val="00072396"/>
    <w:rsid w:val="00072505"/>
    <w:rsid w:val="00072608"/>
    <w:rsid w:val="00072790"/>
    <w:rsid w:val="00072AD4"/>
    <w:rsid w:val="00072C68"/>
    <w:rsid w:val="00072C91"/>
    <w:rsid w:val="000733B6"/>
    <w:rsid w:val="000734B8"/>
    <w:rsid w:val="000734DC"/>
    <w:rsid w:val="0007371E"/>
    <w:rsid w:val="00073806"/>
    <w:rsid w:val="000738E2"/>
    <w:rsid w:val="00073ADF"/>
    <w:rsid w:val="00073AEC"/>
    <w:rsid w:val="00073BAC"/>
    <w:rsid w:val="00073F8C"/>
    <w:rsid w:val="000741C2"/>
    <w:rsid w:val="0007427D"/>
    <w:rsid w:val="00074282"/>
    <w:rsid w:val="000742C0"/>
    <w:rsid w:val="00074469"/>
    <w:rsid w:val="000744FD"/>
    <w:rsid w:val="00074515"/>
    <w:rsid w:val="000746F5"/>
    <w:rsid w:val="0007471B"/>
    <w:rsid w:val="0007482D"/>
    <w:rsid w:val="00074937"/>
    <w:rsid w:val="00074B95"/>
    <w:rsid w:val="00074DE9"/>
    <w:rsid w:val="00074ED3"/>
    <w:rsid w:val="00075174"/>
    <w:rsid w:val="00075299"/>
    <w:rsid w:val="000752EE"/>
    <w:rsid w:val="00075367"/>
    <w:rsid w:val="000754AA"/>
    <w:rsid w:val="000754C6"/>
    <w:rsid w:val="0007576C"/>
    <w:rsid w:val="000759CE"/>
    <w:rsid w:val="00075B81"/>
    <w:rsid w:val="00075DAA"/>
    <w:rsid w:val="00076030"/>
    <w:rsid w:val="00076147"/>
    <w:rsid w:val="0007614C"/>
    <w:rsid w:val="00076519"/>
    <w:rsid w:val="00076557"/>
    <w:rsid w:val="00076601"/>
    <w:rsid w:val="0007678F"/>
    <w:rsid w:val="000769CD"/>
    <w:rsid w:val="00076B20"/>
    <w:rsid w:val="00076B43"/>
    <w:rsid w:val="00076E3C"/>
    <w:rsid w:val="00076EB9"/>
    <w:rsid w:val="00077041"/>
    <w:rsid w:val="0007722B"/>
    <w:rsid w:val="00077483"/>
    <w:rsid w:val="0007793D"/>
    <w:rsid w:val="00077BB2"/>
    <w:rsid w:val="00077BC2"/>
    <w:rsid w:val="00077BEB"/>
    <w:rsid w:val="00077C4C"/>
    <w:rsid w:val="00077D8C"/>
    <w:rsid w:val="00077E9A"/>
    <w:rsid w:val="000801B2"/>
    <w:rsid w:val="0008025F"/>
    <w:rsid w:val="00080377"/>
    <w:rsid w:val="000806D1"/>
    <w:rsid w:val="0008074F"/>
    <w:rsid w:val="00080857"/>
    <w:rsid w:val="00080A85"/>
    <w:rsid w:val="00080AA0"/>
    <w:rsid w:val="00080BC8"/>
    <w:rsid w:val="00080C81"/>
    <w:rsid w:val="00080FA1"/>
    <w:rsid w:val="000810B3"/>
    <w:rsid w:val="0008130E"/>
    <w:rsid w:val="00081360"/>
    <w:rsid w:val="00081527"/>
    <w:rsid w:val="0008168F"/>
    <w:rsid w:val="000817F0"/>
    <w:rsid w:val="0008180A"/>
    <w:rsid w:val="00081A5F"/>
    <w:rsid w:val="00081D79"/>
    <w:rsid w:val="00081DD1"/>
    <w:rsid w:val="00081FC4"/>
    <w:rsid w:val="0008208D"/>
    <w:rsid w:val="000821A0"/>
    <w:rsid w:val="00082282"/>
    <w:rsid w:val="0008244C"/>
    <w:rsid w:val="0008253D"/>
    <w:rsid w:val="00082751"/>
    <w:rsid w:val="0008288D"/>
    <w:rsid w:val="00082914"/>
    <w:rsid w:val="00082922"/>
    <w:rsid w:val="00082975"/>
    <w:rsid w:val="00082ABA"/>
    <w:rsid w:val="00082ACD"/>
    <w:rsid w:val="00082BA4"/>
    <w:rsid w:val="00082BBF"/>
    <w:rsid w:val="00082BD2"/>
    <w:rsid w:val="00082C4D"/>
    <w:rsid w:val="00082E4D"/>
    <w:rsid w:val="00082F18"/>
    <w:rsid w:val="00083020"/>
    <w:rsid w:val="0008329B"/>
    <w:rsid w:val="000832A0"/>
    <w:rsid w:val="0008353C"/>
    <w:rsid w:val="000838B0"/>
    <w:rsid w:val="00083AF9"/>
    <w:rsid w:val="00083C61"/>
    <w:rsid w:val="00083CDA"/>
    <w:rsid w:val="00083E6F"/>
    <w:rsid w:val="00083E7C"/>
    <w:rsid w:val="00083EDE"/>
    <w:rsid w:val="00084012"/>
    <w:rsid w:val="000840E6"/>
    <w:rsid w:val="0008451D"/>
    <w:rsid w:val="000845FA"/>
    <w:rsid w:val="00084682"/>
    <w:rsid w:val="000849A4"/>
    <w:rsid w:val="00084B6D"/>
    <w:rsid w:val="00084C6C"/>
    <w:rsid w:val="00084CF9"/>
    <w:rsid w:val="00084D88"/>
    <w:rsid w:val="00084DB8"/>
    <w:rsid w:val="00084F79"/>
    <w:rsid w:val="00084F7C"/>
    <w:rsid w:val="00085253"/>
    <w:rsid w:val="0008536E"/>
    <w:rsid w:val="00085569"/>
    <w:rsid w:val="000856B7"/>
    <w:rsid w:val="00085728"/>
    <w:rsid w:val="0008591A"/>
    <w:rsid w:val="00085988"/>
    <w:rsid w:val="00085B28"/>
    <w:rsid w:val="00085BF6"/>
    <w:rsid w:val="00085D18"/>
    <w:rsid w:val="00085DDD"/>
    <w:rsid w:val="0008615B"/>
    <w:rsid w:val="00086219"/>
    <w:rsid w:val="000869A8"/>
    <w:rsid w:val="00086AA4"/>
    <w:rsid w:val="00086BB5"/>
    <w:rsid w:val="00086BB9"/>
    <w:rsid w:val="00086C11"/>
    <w:rsid w:val="00086CE6"/>
    <w:rsid w:val="00086CFD"/>
    <w:rsid w:val="00086E38"/>
    <w:rsid w:val="00086E39"/>
    <w:rsid w:val="00086EAF"/>
    <w:rsid w:val="0008707C"/>
    <w:rsid w:val="00087112"/>
    <w:rsid w:val="00087122"/>
    <w:rsid w:val="00087236"/>
    <w:rsid w:val="000873F1"/>
    <w:rsid w:val="000876A4"/>
    <w:rsid w:val="00087782"/>
    <w:rsid w:val="0008779E"/>
    <w:rsid w:val="000878D2"/>
    <w:rsid w:val="00087AE1"/>
    <w:rsid w:val="00087BE8"/>
    <w:rsid w:val="0008CE92"/>
    <w:rsid w:val="00090130"/>
    <w:rsid w:val="000901B7"/>
    <w:rsid w:val="00090277"/>
    <w:rsid w:val="00090316"/>
    <w:rsid w:val="000905A1"/>
    <w:rsid w:val="000906A1"/>
    <w:rsid w:val="00090790"/>
    <w:rsid w:val="000909F5"/>
    <w:rsid w:val="00090A58"/>
    <w:rsid w:val="00090E02"/>
    <w:rsid w:val="00090E04"/>
    <w:rsid w:val="00091198"/>
    <w:rsid w:val="000911F3"/>
    <w:rsid w:val="0009140D"/>
    <w:rsid w:val="00091454"/>
    <w:rsid w:val="00091872"/>
    <w:rsid w:val="00091A91"/>
    <w:rsid w:val="00091A95"/>
    <w:rsid w:val="00091AF0"/>
    <w:rsid w:val="00091E61"/>
    <w:rsid w:val="00091F2C"/>
    <w:rsid w:val="00092034"/>
    <w:rsid w:val="0009226B"/>
    <w:rsid w:val="00092334"/>
    <w:rsid w:val="0009234F"/>
    <w:rsid w:val="0009239B"/>
    <w:rsid w:val="00092506"/>
    <w:rsid w:val="0009269B"/>
    <w:rsid w:val="0009292E"/>
    <w:rsid w:val="00092944"/>
    <w:rsid w:val="000929FF"/>
    <w:rsid w:val="00092B4D"/>
    <w:rsid w:val="00092D00"/>
    <w:rsid w:val="00092D0D"/>
    <w:rsid w:val="00092DBE"/>
    <w:rsid w:val="00093308"/>
    <w:rsid w:val="00093310"/>
    <w:rsid w:val="0009341E"/>
    <w:rsid w:val="00093741"/>
    <w:rsid w:val="000939D3"/>
    <w:rsid w:val="00093A3F"/>
    <w:rsid w:val="00093A82"/>
    <w:rsid w:val="00093A8F"/>
    <w:rsid w:val="00093ACC"/>
    <w:rsid w:val="00093AF4"/>
    <w:rsid w:val="00093B14"/>
    <w:rsid w:val="00093B49"/>
    <w:rsid w:val="00093B94"/>
    <w:rsid w:val="00093D93"/>
    <w:rsid w:val="00093FCD"/>
    <w:rsid w:val="000940D2"/>
    <w:rsid w:val="000942AF"/>
    <w:rsid w:val="00094379"/>
    <w:rsid w:val="000944BB"/>
    <w:rsid w:val="00094952"/>
    <w:rsid w:val="00094A57"/>
    <w:rsid w:val="00094BDB"/>
    <w:rsid w:val="00094C31"/>
    <w:rsid w:val="00094CE8"/>
    <w:rsid w:val="000950E8"/>
    <w:rsid w:val="00095112"/>
    <w:rsid w:val="0009511A"/>
    <w:rsid w:val="00095263"/>
    <w:rsid w:val="0009546F"/>
    <w:rsid w:val="00095CCD"/>
    <w:rsid w:val="00095DE5"/>
    <w:rsid w:val="00095DF6"/>
    <w:rsid w:val="00095F65"/>
    <w:rsid w:val="00095FF0"/>
    <w:rsid w:val="0009600F"/>
    <w:rsid w:val="00096024"/>
    <w:rsid w:val="0009609B"/>
    <w:rsid w:val="000961B5"/>
    <w:rsid w:val="000961B7"/>
    <w:rsid w:val="000963D5"/>
    <w:rsid w:val="00096475"/>
    <w:rsid w:val="00096479"/>
    <w:rsid w:val="00096484"/>
    <w:rsid w:val="000964D2"/>
    <w:rsid w:val="000966D4"/>
    <w:rsid w:val="0009679D"/>
    <w:rsid w:val="000969B6"/>
    <w:rsid w:val="000969E6"/>
    <w:rsid w:val="000969F7"/>
    <w:rsid w:val="00096C34"/>
    <w:rsid w:val="00096DD3"/>
    <w:rsid w:val="00096E47"/>
    <w:rsid w:val="00096ECA"/>
    <w:rsid w:val="00096F31"/>
    <w:rsid w:val="0009713D"/>
    <w:rsid w:val="00097339"/>
    <w:rsid w:val="00097369"/>
    <w:rsid w:val="0009737A"/>
    <w:rsid w:val="000973D1"/>
    <w:rsid w:val="000976D3"/>
    <w:rsid w:val="00097806"/>
    <w:rsid w:val="00097849"/>
    <w:rsid w:val="00097887"/>
    <w:rsid w:val="00097992"/>
    <w:rsid w:val="000979CB"/>
    <w:rsid w:val="00097AFD"/>
    <w:rsid w:val="00097B69"/>
    <w:rsid w:val="00097BDE"/>
    <w:rsid w:val="00097E20"/>
    <w:rsid w:val="00097FA1"/>
    <w:rsid w:val="00097FCF"/>
    <w:rsid w:val="00097FF7"/>
    <w:rsid w:val="000A043F"/>
    <w:rsid w:val="000A0461"/>
    <w:rsid w:val="000A04F9"/>
    <w:rsid w:val="000A0515"/>
    <w:rsid w:val="000A051B"/>
    <w:rsid w:val="000A059E"/>
    <w:rsid w:val="000A05A7"/>
    <w:rsid w:val="000A0869"/>
    <w:rsid w:val="000A0D41"/>
    <w:rsid w:val="000A0D7C"/>
    <w:rsid w:val="000A0ECE"/>
    <w:rsid w:val="000A0FC7"/>
    <w:rsid w:val="000A1151"/>
    <w:rsid w:val="000A12CA"/>
    <w:rsid w:val="000A1303"/>
    <w:rsid w:val="000A1305"/>
    <w:rsid w:val="000A156F"/>
    <w:rsid w:val="000A15D3"/>
    <w:rsid w:val="000A16AD"/>
    <w:rsid w:val="000A172A"/>
    <w:rsid w:val="000A17E7"/>
    <w:rsid w:val="000A1863"/>
    <w:rsid w:val="000A1B8E"/>
    <w:rsid w:val="000A1C64"/>
    <w:rsid w:val="000A1D4B"/>
    <w:rsid w:val="000A1D4F"/>
    <w:rsid w:val="000A1E5E"/>
    <w:rsid w:val="000A1EF2"/>
    <w:rsid w:val="000A2102"/>
    <w:rsid w:val="000A21E3"/>
    <w:rsid w:val="000A2200"/>
    <w:rsid w:val="000A223C"/>
    <w:rsid w:val="000A233E"/>
    <w:rsid w:val="000A23D4"/>
    <w:rsid w:val="000A242A"/>
    <w:rsid w:val="000A24E2"/>
    <w:rsid w:val="000A257B"/>
    <w:rsid w:val="000A286D"/>
    <w:rsid w:val="000A2AB4"/>
    <w:rsid w:val="000A2C52"/>
    <w:rsid w:val="000A2C64"/>
    <w:rsid w:val="000A2C6F"/>
    <w:rsid w:val="000A2E21"/>
    <w:rsid w:val="000A2F30"/>
    <w:rsid w:val="000A3114"/>
    <w:rsid w:val="000A31E9"/>
    <w:rsid w:val="000A333D"/>
    <w:rsid w:val="000A3447"/>
    <w:rsid w:val="000A351F"/>
    <w:rsid w:val="000A3671"/>
    <w:rsid w:val="000A3696"/>
    <w:rsid w:val="000A389D"/>
    <w:rsid w:val="000A3AEA"/>
    <w:rsid w:val="000A3BE1"/>
    <w:rsid w:val="000A3C6C"/>
    <w:rsid w:val="000A3EBA"/>
    <w:rsid w:val="000A3EBD"/>
    <w:rsid w:val="000A412D"/>
    <w:rsid w:val="000A415C"/>
    <w:rsid w:val="000A43F6"/>
    <w:rsid w:val="000A4476"/>
    <w:rsid w:val="000A454B"/>
    <w:rsid w:val="000A47DA"/>
    <w:rsid w:val="000A4898"/>
    <w:rsid w:val="000A4B02"/>
    <w:rsid w:val="000A4EEE"/>
    <w:rsid w:val="000A503A"/>
    <w:rsid w:val="000A5185"/>
    <w:rsid w:val="000A5265"/>
    <w:rsid w:val="000A532E"/>
    <w:rsid w:val="000A5442"/>
    <w:rsid w:val="000A5466"/>
    <w:rsid w:val="000A547B"/>
    <w:rsid w:val="000A54BE"/>
    <w:rsid w:val="000A54EC"/>
    <w:rsid w:val="000A5717"/>
    <w:rsid w:val="000A58EA"/>
    <w:rsid w:val="000A59A8"/>
    <w:rsid w:val="000A59ED"/>
    <w:rsid w:val="000A5A49"/>
    <w:rsid w:val="000A5B3B"/>
    <w:rsid w:val="000A5C11"/>
    <w:rsid w:val="000A5CCF"/>
    <w:rsid w:val="000A5CEF"/>
    <w:rsid w:val="000A5DA7"/>
    <w:rsid w:val="000A5E84"/>
    <w:rsid w:val="000A5EF6"/>
    <w:rsid w:val="000A6077"/>
    <w:rsid w:val="000A62FF"/>
    <w:rsid w:val="000A6453"/>
    <w:rsid w:val="000A64A5"/>
    <w:rsid w:val="000A665F"/>
    <w:rsid w:val="000A6696"/>
    <w:rsid w:val="000A670B"/>
    <w:rsid w:val="000A698F"/>
    <w:rsid w:val="000A6C0D"/>
    <w:rsid w:val="000A6C98"/>
    <w:rsid w:val="000A6D4B"/>
    <w:rsid w:val="000A6D59"/>
    <w:rsid w:val="000A6DCC"/>
    <w:rsid w:val="000A6EFB"/>
    <w:rsid w:val="000A71CD"/>
    <w:rsid w:val="000A72CC"/>
    <w:rsid w:val="000A72E5"/>
    <w:rsid w:val="000A7337"/>
    <w:rsid w:val="000A746E"/>
    <w:rsid w:val="000A7498"/>
    <w:rsid w:val="000A74B5"/>
    <w:rsid w:val="000A76C2"/>
    <w:rsid w:val="000A7730"/>
    <w:rsid w:val="000A7773"/>
    <w:rsid w:val="000A7905"/>
    <w:rsid w:val="000A79A2"/>
    <w:rsid w:val="000A7B98"/>
    <w:rsid w:val="000A7D7C"/>
    <w:rsid w:val="000A7D97"/>
    <w:rsid w:val="000A7F84"/>
    <w:rsid w:val="000A7FA2"/>
    <w:rsid w:val="000B0024"/>
    <w:rsid w:val="000B0030"/>
    <w:rsid w:val="000B0245"/>
    <w:rsid w:val="000B036A"/>
    <w:rsid w:val="000B0477"/>
    <w:rsid w:val="000B04C3"/>
    <w:rsid w:val="000B0681"/>
    <w:rsid w:val="000B07A0"/>
    <w:rsid w:val="000B0BA3"/>
    <w:rsid w:val="000B0F39"/>
    <w:rsid w:val="000B0F78"/>
    <w:rsid w:val="000B0F93"/>
    <w:rsid w:val="000B0FEC"/>
    <w:rsid w:val="000B10A7"/>
    <w:rsid w:val="000B1171"/>
    <w:rsid w:val="000B11DB"/>
    <w:rsid w:val="000B120F"/>
    <w:rsid w:val="000B1221"/>
    <w:rsid w:val="000B1373"/>
    <w:rsid w:val="000B14ED"/>
    <w:rsid w:val="000B15BE"/>
    <w:rsid w:val="000B1616"/>
    <w:rsid w:val="000B17A5"/>
    <w:rsid w:val="000B1889"/>
    <w:rsid w:val="000B18D3"/>
    <w:rsid w:val="000B1954"/>
    <w:rsid w:val="000B1A2E"/>
    <w:rsid w:val="000B1B09"/>
    <w:rsid w:val="000B231D"/>
    <w:rsid w:val="000B2436"/>
    <w:rsid w:val="000B2522"/>
    <w:rsid w:val="000B268D"/>
    <w:rsid w:val="000B2710"/>
    <w:rsid w:val="000B2A00"/>
    <w:rsid w:val="000B2A6B"/>
    <w:rsid w:val="000B2C21"/>
    <w:rsid w:val="000B2C5D"/>
    <w:rsid w:val="000B2FEB"/>
    <w:rsid w:val="000B302B"/>
    <w:rsid w:val="000B33BF"/>
    <w:rsid w:val="000B3433"/>
    <w:rsid w:val="000B34A5"/>
    <w:rsid w:val="000B36F5"/>
    <w:rsid w:val="000B37BF"/>
    <w:rsid w:val="000B38CA"/>
    <w:rsid w:val="000B3975"/>
    <w:rsid w:val="000B3C62"/>
    <w:rsid w:val="000B3C6F"/>
    <w:rsid w:val="000B3DBF"/>
    <w:rsid w:val="000B3FB8"/>
    <w:rsid w:val="000B4088"/>
    <w:rsid w:val="000B415E"/>
    <w:rsid w:val="000B443A"/>
    <w:rsid w:val="000B4525"/>
    <w:rsid w:val="000B4546"/>
    <w:rsid w:val="000B459C"/>
    <w:rsid w:val="000B496B"/>
    <w:rsid w:val="000B4AE1"/>
    <w:rsid w:val="000B4B1D"/>
    <w:rsid w:val="000B4B43"/>
    <w:rsid w:val="000B4D09"/>
    <w:rsid w:val="000B4D2F"/>
    <w:rsid w:val="000B4DA4"/>
    <w:rsid w:val="000B4E39"/>
    <w:rsid w:val="000B4EBA"/>
    <w:rsid w:val="000B5173"/>
    <w:rsid w:val="000B52D9"/>
    <w:rsid w:val="000B54B8"/>
    <w:rsid w:val="000B5627"/>
    <w:rsid w:val="000B568D"/>
    <w:rsid w:val="000B57A2"/>
    <w:rsid w:val="000B5887"/>
    <w:rsid w:val="000B5B13"/>
    <w:rsid w:val="000B5B6B"/>
    <w:rsid w:val="000B5C00"/>
    <w:rsid w:val="000B5F5F"/>
    <w:rsid w:val="000B5FA0"/>
    <w:rsid w:val="000B616F"/>
    <w:rsid w:val="000B624D"/>
    <w:rsid w:val="000B6325"/>
    <w:rsid w:val="000B63D4"/>
    <w:rsid w:val="000B64C8"/>
    <w:rsid w:val="000B6586"/>
    <w:rsid w:val="000B6620"/>
    <w:rsid w:val="000B66AF"/>
    <w:rsid w:val="000B66E1"/>
    <w:rsid w:val="000B688B"/>
    <w:rsid w:val="000B68AA"/>
    <w:rsid w:val="000B690A"/>
    <w:rsid w:val="000B69D8"/>
    <w:rsid w:val="000B6A4C"/>
    <w:rsid w:val="000B6B37"/>
    <w:rsid w:val="000B6B69"/>
    <w:rsid w:val="000B6BD3"/>
    <w:rsid w:val="000B6C1E"/>
    <w:rsid w:val="000B6CC9"/>
    <w:rsid w:val="000B6E06"/>
    <w:rsid w:val="000B6E08"/>
    <w:rsid w:val="000B7078"/>
    <w:rsid w:val="000B7116"/>
    <w:rsid w:val="000B73B3"/>
    <w:rsid w:val="000B73C4"/>
    <w:rsid w:val="000B7494"/>
    <w:rsid w:val="000B74E8"/>
    <w:rsid w:val="000B756E"/>
    <w:rsid w:val="000B75AC"/>
    <w:rsid w:val="000B760C"/>
    <w:rsid w:val="000B786D"/>
    <w:rsid w:val="000B7BC5"/>
    <w:rsid w:val="000B7C3C"/>
    <w:rsid w:val="000B7CA8"/>
    <w:rsid w:val="000B7D21"/>
    <w:rsid w:val="000B7D46"/>
    <w:rsid w:val="000B7E2B"/>
    <w:rsid w:val="000C0093"/>
    <w:rsid w:val="000C053A"/>
    <w:rsid w:val="000C06E7"/>
    <w:rsid w:val="000C0B42"/>
    <w:rsid w:val="000C0B5C"/>
    <w:rsid w:val="000C0C7F"/>
    <w:rsid w:val="000C0C94"/>
    <w:rsid w:val="000C0DE0"/>
    <w:rsid w:val="000C0F10"/>
    <w:rsid w:val="000C1085"/>
    <w:rsid w:val="000C10C7"/>
    <w:rsid w:val="000C1238"/>
    <w:rsid w:val="000C1326"/>
    <w:rsid w:val="000C151E"/>
    <w:rsid w:val="000C15E2"/>
    <w:rsid w:val="000C16B0"/>
    <w:rsid w:val="000C1947"/>
    <w:rsid w:val="000C1950"/>
    <w:rsid w:val="000C1996"/>
    <w:rsid w:val="000C1ADB"/>
    <w:rsid w:val="000C1B66"/>
    <w:rsid w:val="000C1BD9"/>
    <w:rsid w:val="000C1BE1"/>
    <w:rsid w:val="000C1D3C"/>
    <w:rsid w:val="000C1D40"/>
    <w:rsid w:val="000C2142"/>
    <w:rsid w:val="000C2166"/>
    <w:rsid w:val="000C2278"/>
    <w:rsid w:val="000C24DD"/>
    <w:rsid w:val="000C254C"/>
    <w:rsid w:val="000C25B1"/>
    <w:rsid w:val="000C25FB"/>
    <w:rsid w:val="000C268C"/>
    <w:rsid w:val="000C27D3"/>
    <w:rsid w:val="000C2A3F"/>
    <w:rsid w:val="000C2C61"/>
    <w:rsid w:val="000C2DB5"/>
    <w:rsid w:val="000C2FBB"/>
    <w:rsid w:val="000C32C9"/>
    <w:rsid w:val="000C32FE"/>
    <w:rsid w:val="000C340E"/>
    <w:rsid w:val="000C3552"/>
    <w:rsid w:val="000C37B7"/>
    <w:rsid w:val="000C3E7F"/>
    <w:rsid w:val="000C42A5"/>
    <w:rsid w:val="000C44B0"/>
    <w:rsid w:val="000C44D8"/>
    <w:rsid w:val="000C4683"/>
    <w:rsid w:val="000C4938"/>
    <w:rsid w:val="000C49C7"/>
    <w:rsid w:val="000C4A54"/>
    <w:rsid w:val="000C4C70"/>
    <w:rsid w:val="000C4CE9"/>
    <w:rsid w:val="000C4D51"/>
    <w:rsid w:val="000C4E8E"/>
    <w:rsid w:val="000C4FA5"/>
    <w:rsid w:val="000C5070"/>
    <w:rsid w:val="000C5076"/>
    <w:rsid w:val="000C513B"/>
    <w:rsid w:val="000C51F2"/>
    <w:rsid w:val="000C5223"/>
    <w:rsid w:val="000C52DE"/>
    <w:rsid w:val="000C562D"/>
    <w:rsid w:val="000C56EE"/>
    <w:rsid w:val="000C5823"/>
    <w:rsid w:val="000C596C"/>
    <w:rsid w:val="000C5996"/>
    <w:rsid w:val="000C5A95"/>
    <w:rsid w:val="000C5B25"/>
    <w:rsid w:val="000C5DCC"/>
    <w:rsid w:val="000C640F"/>
    <w:rsid w:val="000C6647"/>
    <w:rsid w:val="000C67CF"/>
    <w:rsid w:val="000C68E7"/>
    <w:rsid w:val="000C6A6A"/>
    <w:rsid w:val="000C6ACA"/>
    <w:rsid w:val="000C6BBE"/>
    <w:rsid w:val="000C6CCC"/>
    <w:rsid w:val="000C7169"/>
    <w:rsid w:val="000C72FF"/>
    <w:rsid w:val="000C7316"/>
    <w:rsid w:val="000C74AE"/>
    <w:rsid w:val="000C7520"/>
    <w:rsid w:val="000C75AD"/>
    <w:rsid w:val="000C75B7"/>
    <w:rsid w:val="000C76C4"/>
    <w:rsid w:val="000C77DD"/>
    <w:rsid w:val="000C791D"/>
    <w:rsid w:val="000C79D8"/>
    <w:rsid w:val="000C7A1B"/>
    <w:rsid w:val="000C7BE6"/>
    <w:rsid w:val="000C7E57"/>
    <w:rsid w:val="000C7ECD"/>
    <w:rsid w:val="000C7EF5"/>
    <w:rsid w:val="000D012A"/>
    <w:rsid w:val="000D03F4"/>
    <w:rsid w:val="000D0450"/>
    <w:rsid w:val="000D07F1"/>
    <w:rsid w:val="000D0879"/>
    <w:rsid w:val="000D0904"/>
    <w:rsid w:val="000D0BC9"/>
    <w:rsid w:val="000D0BCA"/>
    <w:rsid w:val="000D0DDA"/>
    <w:rsid w:val="000D0F0C"/>
    <w:rsid w:val="000D0F6D"/>
    <w:rsid w:val="000D13EA"/>
    <w:rsid w:val="000D147C"/>
    <w:rsid w:val="000D1608"/>
    <w:rsid w:val="000D1719"/>
    <w:rsid w:val="000D172D"/>
    <w:rsid w:val="000D178C"/>
    <w:rsid w:val="000D1B41"/>
    <w:rsid w:val="000D1BE6"/>
    <w:rsid w:val="000D1F38"/>
    <w:rsid w:val="000D1F9E"/>
    <w:rsid w:val="000D20E1"/>
    <w:rsid w:val="000D2153"/>
    <w:rsid w:val="000D2728"/>
    <w:rsid w:val="000D276B"/>
    <w:rsid w:val="000D2993"/>
    <w:rsid w:val="000D2C3A"/>
    <w:rsid w:val="000D3113"/>
    <w:rsid w:val="000D341B"/>
    <w:rsid w:val="000D35A6"/>
    <w:rsid w:val="000D3845"/>
    <w:rsid w:val="000D38DA"/>
    <w:rsid w:val="000D3C25"/>
    <w:rsid w:val="000D3C6D"/>
    <w:rsid w:val="000D402B"/>
    <w:rsid w:val="000D43B0"/>
    <w:rsid w:val="000D43CA"/>
    <w:rsid w:val="000D44B7"/>
    <w:rsid w:val="000D456E"/>
    <w:rsid w:val="000D45F9"/>
    <w:rsid w:val="000D490B"/>
    <w:rsid w:val="000D4940"/>
    <w:rsid w:val="000D49B1"/>
    <w:rsid w:val="000D4DAB"/>
    <w:rsid w:val="000D4EBF"/>
    <w:rsid w:val="000D500E"/>
    <w:rsid w:val="000D5186"/>
    <w:rsid w:val="000D51D1"/>
    <w:rsid w:val="000D51EC"/>
    <w:rsid w:val="000D52FB"/>
    <w:rsid w:val="000D5491"/>
    <w:rsid w:val="000D54D3"/>
    <w:rsid w:val="000D552B"/>
    <w:rsid w:val="000D5784"/>
    <w:rsid w:val="000D59C4"/>
    <w:rsid w:val="000D5B71"/>
    <w:rsid w:val="000D5BC6"/>
    <w:rsid w:val="000D5BCF"/>
    <w:rsid w:val="000D5BD5"/>
    <w:rsid w:val="000D5BF7"/>
    <w:rsid w:val="000D5CC0"/>
    <w:rsid w:val="000D5CCC"/>
    <w:rsid w:val="000D5FB6"/>
    <w:rsid w:val="000D60EA"/>
    <w:rsid w:val="000D6221"/>
    <w:rsid w:val="000D6477"/>
    <w:rsid w:val="000D64E4"/>
    <w:rsid w:val="000D6659"/>
    <w:rsid w:val="000D6805"/>
    <w:rsid w:val="000D68C8"/>
    <w:rsid w:val="000D69A7"/>
    <w:rsid w:val="000D6A72"/>
    <w:rsid w:val="000D6B10"/>
    <w:rsid w:val="000D6BDF"/>
    <w:rsid w:val="000D6EA3"/>
    <w:rsid w:val="000D6F39"/>
    <w:rsid w:val="000D6F41"/>
    <w:rsid w:val="000D7091"/>
    <w:rsid w:val="000D7099"/>
    <w:rsid w:val="000D71AB"/>
    <w:rsid w:val="000D7205"/>
    <w:rsid w:val="000D731C"/>
    <w:rsid w:val="000D76E3"/>
    <w:rsid w:val="000D781A"/>
    <w:rsid w:val="000D78F9"/>
    <w:rsid w:val="000D7932"/>
    <w:rsid w:val="000D7B3E"/>
    <w:rsid w:val="000D7F0A"/>
    <w:rsid w:val="000D7F51"/>
    <w:rsid w:val="000E01F0"/>
    <w:rsid w:val="000E021D"/>
    <w:rsid w:val="000E025E"/>
    <w:rsid w:val="000E0286"/>
    <w:rsid w:val="000E0347"/>
    <w:rsid w:val="000E03AA"/>
    <w:rsid w:val="000E064B"/>
    <w:rsid w:val="000E06E1"/>
    <w:rsid w:val="000E0866"/>
    <w:rsid w:val="000E0C81"/>
    <w:rsid w:val="000E0D96"/>
    <w:rsid w:val="000E0EB1"/>
    <w:rsid w:val="000E0ED0"/>
    <w:rsid w:val="000E0F75"/>
    <w:rsid w:val="000E0FD9"/>
    <w:rsid w:val="000E1308"/>
    <w:rsid w:val="000E13E6"/>
    <w:rsid w:val="000E1794"/>
    <w:rsid w:val="000E1A05"/>
    <w:rsid w:val="000E1A31"/>
    <w:rsid w:val="000E1AE1"/>
    <w:rsid w:val="000E1B36"/>
    <w:rsid w:val="000E1E2F"/>
    <w:rsid w:val="000E1E9A"/>
    <w:rsid w:val="000E201E"/>
    <w:rsid w:val="000E21B2"/>
    <w:rsid w:val="000E22BB"/>
    <w:rsid w:val="000E23F3"/>
    <w:rsid w:val="000E28FC"/>
    <w:rsid w:val="000E2A0F"/>
    <w:rsid w:val="000E2A5D"/>
    <w:rsid w:val="000E2B05"/>
    <w:rsid w:val="000E2C93"/>
    <w:rsid w:val="000E2CD0"/>
    <w:rsid w:val="000E2CD5"/>
    <w:rsid w:val="000E2CF0"/>
    <w:rsid w:val="000E2EE8"/>
    <w:rsid w:val="000E2EEA"/>
    <w:rsid w:val="000E3009"/>
    <w:rsid w:val="000E32DC"/>
    <w:rsid w:val="000E3414"/>
    <w:rsid w:val="000E3505"/>
    <w:rsid w:val="000E351A"/>
    <w:rsid w:val="000E36DA"/>
    <w:rsid w:val="000E3765"/>
    <w:rsid w:val="000E3980"/>
    <w:rsid w:val="000E3A7E"/>
    <w:rsid w:val="000E3B7E"/>
    <w:rsid w:val="000E3C1A"/>
    <w:rsid w:val="000E3C3A"/>
    <w:rsid w:val="000E3D84"/>
    <w:rsid w:val="000E3E5D"/>
    <w:rsid w:val="000E406A"/>
    <w:rsid w:val="000E40C8"/>
    <w:rsid w:val="000E427E"/>
    <w:rsid w:val="000E4384"/>
    <w:rsid w:val="000E44DE"/>
    <w:rsid w:val="000E45C2"/>
    <w:rsid w:val="000E4738"/>
    <w:rsid w:val="000E482E"/>
    <w:rsid w:val="000E49E5"/>
    <w:rsid w:val="000E4A97"/>
    <w:rsid w:val="000E4AC1"/>
    <w:rsid w:val="000E4BE7"/>
    <w:rsid w:val="000E4C13"/>
    <w:rsid w:val="000E4CCA"/>
    <w:rsid w:val="000E4D56"/>
    <w:rsid w:val="000E4EB8"/>
    <w:rsid w:val="000E4F35"/>
    <w:rsid w:val="000E4F5A"/>
    <w:rsid w:val="000E500D"/>
    <w:rsid w:val="000E51F2"/>
    <w:rsid w:val="000E51FD"/>
    <w:rsid w:val="000E54F3"/>
    <w:rsid w:val="000E552B"/>
    <w:rsid w:val="000E560E"/>
    <w:rsid w:val="000E5627"/>
    <w:rsid w:val="000E5844"/>
    <w:rsid w:val="000E587C"/>
    <w:rsid w:val="000E59DD"/>
    <w:rsid w:val="000E5AF1"/>
    <w:rsid w:val="000E5F04"/>
    <w:rsid w:val="000E5F54"/>
    <w:rsid w:val="000E5FD2"/>
    <w:rsid w:val="000E617C"/>
    <w:rsid w:val="000E619F"/>
    <w:rsid w:val="000E62FA"/>
    <w:rsid w:val="000E630C"/>
    <w:rsid w:val="000E6362"/>
    <w:rsid w:val="000E64D9"/>
    <w:rsid w:val="000E65D2"/>
    <w:rsid w:val="000E664A"/>
    <w:rsid w:val="000E6744"/>
    <w:rsid w:val="000E6787"/>
    <w:rsid w:val="000E67A5"/>
    <w:rsid w:val="000E6871"/>
    <w:rsid w:val="000E6881"/>
    <w:rsid w:val="000E6AD9"/>
    <w:rsid w:val="000E6AF0"/>
    <w:rsid w:val="000E6B28"/>
    <w:rsid w:val="000E6BAA"/>
    <w:rsid w:val="000E6BB7"/>
    <w:rsid w:val="000E6D69"/>
    <w:rsid w:val="000E6DD6"/>
    <w:rsid w:val="000E6E14"/>
    <w:rsid w:val="000E6ECF"/>
    <w:rsid w:val="000E7047"/>
    <w:rsid w:val="000E70A8"/>
    <w:rsid w:val="000E70F5"/>
    <w:rsid w:val="000E72ED"/>
    <w:rsid w:val="000E736E"/>
    <w:rsid w:val="000E7547"/>
    <w:rsid w:val="000E7917"/>
    <w:rsid w:val="000E7932"/>
    <w:rsid w:val="000E7B3B"/>
    <w:rsid w:val="000E7D97"/>
    <w:rsid w:val="000E7E1D"/>
    <w:rsid w:val="000E7F9D"/>
    <w:rsid w:val="000EC4C6"/>
    <w:rsid w:val="000F003D"/>
    <w:rsid w:val="000F010E"/>
    <w:rsid w:val="000F0124"/>
    <w:rsid w:val="000F0358"/>
    <w:rsid w:val="000F03F3"/>
    <w:rsid w:val="000F0564"/>
    <w:rsid w:val="000F0623"/>
    <w:rsid w:val="000F0661"/>
    <w:rsid w:val="000F080D"/>
    <w:rsid w:val="000F0844"/>
    <w:rsid w:val="000F0876"/>
    <w:rsid w:val="000F08FF"/>
    <w:rsid w:val="000F09B6"/>
    <w:rsid w:val="000F09CF"/>
    <w:rsid w:val="000F0B89"/>
    <w:rsid w:val="000F0C0E"/>
    <w:rsid w:val="000F0CEF"/>
    <w:rsid w:val="000F0D1F"/>
    <w:rsid w:val="000F0E43"/>
    <w:rsid w:val="000F10E3"/>
    <w:rsid w:val="000F1124"/>
    <w:rsid w:val="000F117F"/>
    <w:rsid w:val="000F11F1"/>
    <w:rsid w:val="000F128E"/>
    <w:rsid w:val="000F153A"/>
    <w:rsid w:val="000F1B12"/>
    <w:rsid w:val="000F1B78"/>
    <w:rsid w:val="000F1BCC"/>
    <w:rsid w:val="000F1C7D"/>
    <w:rsid w:val="000F1DB5"/>
    <w:rsid w:val="000F1DCC"/>
    <w:rsid w:val="000F1E21"/>
    <w:rsid w:val="000F2314"/>
    <w:rsid w:val="000F26B2"/>
    <w:rsid w:val="000F2730"/>
    <w:rsid w:val="000F29B0"/>
    <w:rsid w:val="000F2BF3"/>
    <w:rsid w:val="000F344F"/>
    <w:rsid w:val="000F34A9"/>
    <w:rsid w:val="000F34EC"/>
    <w:rsid w:val="000F36D6"/>
    <w:rsid w:val="000F3A5A"/>
    <w:rsid w:val="000F3B92"/>
    <w:rsid w:val="000F3EAA"/>
    <w:rsid w:val="000F3F30"/>
    <w:rsid w:val="000F4049"/>
    <w:rsid w:val="000F40E5"/>
    <w:rsid w:val="000F4184"/>
    <w:rsid w:val="000F426D"/>
    <w:rsid w:val="000F4617"/>
    <w:rsid w:val="000F4637"/>
    <w:rsid w:val="000F484B"/>
    <w:rsid w:val="000F4A93"/>
    <w:rsid w:val="000F4D2F"/>
    <w:rsid w:val="000F4EE5"/>
    <w:rsid w:val="000F4FC8"/>
    <w:rsid w:val="000F5065"/>
    <w:rsid w:val="000F50F1"/>
    <w:rsid w:val="000F521B"/>
    <w:rsid w:val="000F52BF"/>
    <w:rsid w:val="000F5310"/>
    <w:rsid w:val="000F5358"/>
    <w:rsid w:val="000F53A9"/>
    <w:rsid w:val="000F547A"/>
    <w:rsid w:val="000F569D"/>
    <w:rsid w:val="000F56B5"/>
    <w:rsid w:val="000F5793"/>
    <w:rsid w:val="000F5812"/>
    <w:rsid w:val="000F5914"/>
    <w:rsid w:val="000F5B4B"/>
    <w:rsid w:val="000F5EFB"/>
    <w:rsid w:val="000F604B"/>
    <w:rsid w:val="000F6091"/>
    <w:rsid w:val="000F6201"/>
    <w:rsid w:val="000F6225"/>
    <w:rsid w:val="000F62A4"/>
    <w:rsid w:val="000F6401"/>
    <w:rsid w:val="000F6481"/>
    <w:rsid w:val="000F672B"/>
    <w:rsid w:val="000F6BB6"/>
    <w:rsid w:val="000F6E10"/>
    <w:rsid w:val="000F6FD7"/>
    <w:rsid w:val="000F7134"/>
    <w:rsid w:val="000F7281"/>
    <w:rsid w:val="000F7330"/>
    <w:rsid w:val="000F73B0"/>
    <w:rsid w:val="000F7786"/>
    <w:rsid w:val="000F77D7"/>
    <w:rsid w:val="000F7905"/>
    <w:rsid w:val="000F7A20"/>
    <w:rsid w:val="000F7B1F"/>
    <w:rsid w:val="000F7B86"/>
    <w:rsid w:val="000F7FA8"/>
    <w:rsid w:val="00100187"/>
    <w:rsid w:val="00100287"/>
    <w:rsid w:val="0010049A"/>
    <w:rsid w:val="001005D9"/>
    <w:rsid w:val="00100672"/>
    <w:rsid w:val="00100810"/>
    <w:rsid w:val="001008D0"/>
    <w:rsid w:val="00100920"/>
    <w:rsid w:val="00100B40"/>
    <w:rsid w:val="00100BE2"/>
    <w:rsid w:val="00100DBB"/>
    <w:rsid w:val="00100E1D"/>
    <w:rsid w:val="00100F05"/>
    <w:rsid w:val="00100F67"/>
    <w:rsid w:val="00101051"/>
    <w:rsid w:val="001010DD"/>
    <w:rsid w:val="00101128"/>
    <w:rsid w:val="00101188"/>
    <w:rsid w:val="00101383"/>
    <w:rsid w:val="001013A4"/>
    <w:rsid w:val="00101579"/>
    <w:rsid w:val="001016B2"/>
    <w:rsid w:val="00101A04"/>
    <w:rsid w:val="00101B3E"/>
    <w:rsid w:val="00101CC8"/>
    <w:rsid w:val="00101FF7"/>
    <w:rsid w:val="0010201B"/>
    <w:rsid w:val="00102049"/>
    <w:rsid w:val="00102196"/>
    <w:rsid w:val="00102267"/>
    <w:rsid w:val="001024ED"/>
    <w:rsid w:val="0010250F"/>
    <w:rsid w:val="00102586"/>
    <w:rsid w:val="00102837"/>
    <w:rsid w:val="00102AAB"/>
    <w:rsid w:val="00102AB7"/>
    <w:rsid w:val="00102B1D"/>
    <w:rsid w:val="00102C54"/>
    <w:rsid w:val="00102C61"/>
    <w:rsid w:val="00102D64"/>
    <w:rsid w:val="00102FFB"/>
    <w:rsid w:val="001031CD"/>
    <w:rsid w:val="001031CF"/>
    <w:rsid w:val="00103248"/>
    <w:rsid w:val="0010330A"/>
    <w:rsid w:val="00103368"/>
    <w:rsid w:val="00103372"/>
    <w:rsid w:val="00103411"/>
    <w:rsid w:val="0010354F"/>
    <w:rsid w:val="0010355D"/>
    <w:rsid w:val="001036D5"/>
    <w:rsid w:val="00103713"/>
    <w:rsid w:val="00103A54"/>
    <w:rsid w:val="00103CDD"/>
    <w:rsid w:val="00103D33"/>
    <w:rsid w:val="00103E67"/>
    <w:rsid w:val="00103F4D"/>
    <w:rsid w:val="001040E3"/>
    <w:rsid w:val="00104319"/>
    <w:rsid w:val="00104427"/>
    <w:rsid w:val="00104523"/>
    <w:rsid w:val="0010457A"/>
    <w:rsid w:val="0010460A"/>
    <w:rsid w:val="00104685"/>
    <w:rsid w:val="001046AD"/>
    <w:rsid w:val="00104789"/>
    <w:rsid w:val="001047AE"/>
    <w:rsid w:val="00104856"/>
    <w:rsid w:val="001048AE"/>
    <w:rsid w:val="0010497C"/>
    <w:rsid w:val="001049CA"/>
    <w:rsid w:val="00104A44"/>
    <w:rsid w:val="00104AD2"/>
    <w:rsid w:val="00104DE7"/>
    <w:rsid w:val="00105186"/>
    <w:rsid w:val="001051D2"/>
    <w:rsid w:val="001052C7"/>
    <w:rsid w:val="001054CD"/>
    <w:rsid w:val="00105653"/>
    <w:rsid w:val="0010567D"/>
    <w:rsid w:val="001058D1"/>
    <w:rsid w:val="001058E1"/>
    <w:rsid w:val="001058EA"/>
    <w:rsid w:val="0010590F"/>
    <w:rsid w:val="0010597D"/>
    <w:rsid w:val="00105C62"/>
    <w:rsid w:val="00105F21"/>
    <w:rsid w:val="00106014"/>
    <w:rsid w:val="0010606C"/>
    <w:rsid w:val="001061C7"/>
    <w:rsid w:val="00106241"/>
    <w:rsid w:val="00106276"/>
    <w:rsid w:val="001064FF"/>
    <w:rsid w:val="0010665D"/>
    <w:rsid w:val="001066D8"/>
    <w:rsid w:val="001067A3"/>
    <w:rsid w:val="00106D83"/>
    <w:rsid w:val="00106E98"/>
    <w:rsid w:val="00106EAA"/>
    <w:rsid w:val="00106F98"/>
    <w:rsid w:val="00106FCA"/>
    <w:rsid w:val="001071D8"/>
    <w:rsid w:val="001072B5"/>
    <w:rsid w:val="00107499"/>
    <w:rsid w:val="00107550"/>
    <w:rsid w:val="00107D23"/>
    <w:rsid w:val="00107E23"/>
    <w:rsid w:val="00107F0E"/>
    <w:rsid w:val="00107F88"/>
    <w:rsid w:val="001100DE"/>
    <w:rsid w:val="00110138"/>
    <w:rsid w:val="001103F7"/>
    <w:rsid w:val="00110552"/>
    <w:rsid w:val="001105B7"/>
    <w:rsid w:val="001105CF"/>
    <w:rsid w:val="001105EC"/>
    <w:rsid w:val="001105F4"/>
    <w:rsid w:val="00110684"/>
    <w:rsid w:val="00110803"/>
    <w:rsid w:val="00110BB2"/>
    <w:rsid w:val="00110C5E"/>
    <w:rsid w:val="00110D13"/>
    <w:rsid w:val="00110D1F"/>
    <w:rsid w:val="00110DE2"/>
    <w:rsid w:val="00110F39"/>
    <w:rsid w:val="00111056"/>
    <w:rsid w:val="001110D4"/>
    <w:rsid w:val="00111256"/>
    <w:rsid w:val="00111322"/>
    <w:rsid w:val="00111365"/>
    <w:rsid w:val="0011143A"/>
    <w:rsid w:val="00111672"/>
    <w:rsid w:val="0011177A"/>
    <w:rsid w:val="00111BAB"/>
    <w:rsid w:val="001122E0"/>
    <w:rsid w:val="00112313"/>
    <w:rsid w:val="001127EF"/>
    <w:rsid w:val="00112AEA"/>
    <w:rsid w:val="00113086"/>
    <w:rsid w:val="00113143"/>
    <w:rsid w:val="00113296"/>
    <w:rsid w:val="001132F4"/>
    <w:rsid w:val="00113352"/>
    <w:rsid w:val="001133F6"/>
    <w:rsid w:val="001135B3"/>
    <w:rsid w:val="00113787"/>
    <w:rsid w:val="00113798"/>
    <w:rsid w:val="0011380D"/>
    <w:rsid w:val="001138E0"/>
    <w:rsid w:val="001138E7"/>
    <w:rsid w:val="00113B3B"/>
    <w:rsid w:val="00113D08"/>
    <w:rsid w:val="00113FC3"/>
    <w:rsid w:val="00113FE5"/>
    <w:rsid w:val="001140EC"/>
    <w:rsid w:val="00114243"/>
    <w:rsid w:val="00114283"/>
    <w:rsid w:val="00114494"/>
    <w:rsid w:val="00114616"/>
    <w:rsid w:val="0011465C"/>
    <w:rsid w:val="0011465E"/>
    <w:rsid w:val="001146AF"/>
    <w:rsid w:val="00114731"/>
    <w:rsid w:val="001149F4"/>
    <w:rsid w:val="00114A1A"/>
    <w:rsid w:val="00114CBE"/>
    <w:rsid w:val="00114E39"/>
    <w:rsid w:val="00115148"/>
    <w:rsid w:val="00115219"/>
    <w:rsid w:val="00115295"/>
    <w:rsid w:val="00115395"/>
    <w:rsid w:val="001154D4"/>
    <w:rsid w:val="001157B5"/>
    <w:rsid w:val="001158D6"/>
    <w:rsid w:val="00116021"/>
    <w:rsid w:val="001162CD"/>
    <w:rsid w:val="001162E4"/>
    <w:rsid w:val="00116390"/>
    <w:rsid w:val="00116423"/>
    <w:rsid w:val="001165B6"/>
    <w:rsid w:val="00116998"/>
    <w:rsid w:val="00116A26"/>
    <w:rsid w:val="00116A38"/>
    <w:rsid w:val="00116B55"/>
    <w:rsid w:val="00116C50"/>
    <w:rsid w:val="00116CFA"/>
    <w:rsid w:val="00116DC5"/>
    <w:rsid w:val="00116E8D"/>
    <w:rsid w:val="00116F9E"/>
    <w:rsid w:val="001170B5"/>
    <w:rsid w:val="00117105"/>
    <w:rsid w:val="0011744C"/>
    <w:rsid w:val="001174BC"/>
    <w:rsid w:val="001176F8"/>
    <w:rsid w:val="001177BE"/>
    <w:rsid w:val="00117B2E"/>
    <w:rsid w:val="00117C92"/>
    <w:rsid w:val="00117C9E"/>
    <w:rsid w:val="00117CD3"/>
    <w:rsid w:val="00117E37"/>
    <w:rsid w:val="00117E7C"/>
    <w:rsid w:val="00117F7B"/>
    <w:rsid w:val="0012009D"/>
    <w:rsid w:val="0012028C"/>
    <w:rsid w:val="00120548"/>
    <w:rsid w:val="00120585"/>
    <w:rsid w:val="0012074C"/>
    <w:rsid w:val="001208EC"/>
    <w:rsid w:val="00120926"/>
    <w:rsid w:val="00120A78"/>
    <w:rsid w:val="00120AC3"/>
    <w:rsid w:val="00120CE5"/>
    <w:rsid w:val="00120EB5"/>
    <w:rsid w:val="00121046"/>
    <w:rsid w:val="001211E9"/>
    <w:rsid w:val="0012120E"/>
    <w:rsid w:val="0012145A"/>
    <w:rsid w:val="00121474"/>
    <w:rsid w:val="0012181F"/>
    <w:rsid w:val="001219DC"/>
    <w:rsid w:val="00121B41"/>
    <w:rsid w:val="00121CDF"/>
    <w:rsid w:val="00121DF0"/>
    <w:rsid w:val="0012205D"/>
    <w:rsid w:val="0012211D"/>
    <w:rsid w:val="00122413"/>
    <w:rsid w:val="00122435"/>
    <w:rsid w:val="0012245E"/>
    <w:rsid w:val="0012291E"/>
    <w:rsid w:val="00122A35"/>
    <w:rsid w:val="00122B7E"/>
    <w:rsid w:val="00122C6D"/>
    <w:rsid w:val="00122E70"/>
    <w:rsid w:val="00122FF4"/>
    <w:rsid w:val="00123014"/>
    <w:rsid w:val="001234CA"/>
    <w:rsid w:val="0012357E"/>
    <w:rsid w:val="001235C0"/>
    <w:rsid w:val="001237A4"/>
    <w:rsid w:val="00123D0B"/>
    <w:rsid w:val="00123E3B"/>
    <w:rsid w:val="00123EAE"/>
    <w:rsid w:val="001240D6"/>
    <w:rsid w:val="0012414D"/>
    <w:rsid w:val="001241BD"/>
    <w:rsid w:val="00124386"/>
    <w:rsid w:val="00124908"/>
    <w:rsid w:val="00124B63"/>
    <w:rsid w:val="00124C5A"/>
    <w:rsid w:val="00124D43"/>
    <w:rsid w:val="001252E8"/>
    <w:rsid w:val="0012540F"/>
    <w:rsid w:val="00125559"/>
    <w:rsid w:val="0012587D"/>
    <w:rsid w:val="001258AA"/>
    <w:rsid w:val="001258E0"/>
    <w:rsid w:val="001259E3"/>
    <w:rsid w:val="00125A1D"/>
    <w:rsid w:val="00125A8B"/>
    <w:rsid w:val="00125D48"/>
    <w:rsid w:val="00125F54"/>
    <w:rsid w:val="001260ED"/>
    <w:rsid w:val="00126271"/>
    <w:rsid w:val="001263E3"/>
    <w:rsid w:val="001264B3"/>
    <w:rsid w:val="001265A0"/>
    <w:rsid w:val="001265CE"/>
    <w:rsid w:val="00126768"/>
    <w:rsid w:val="00126A8C"/>
    <w:rsid w:val="00126AB6"/>
    <w:rsid w:val="00126B9A"/>
    <w:rsid w:val="00126F8E"/>
    <w:rsid w:val="001271A5"/>
    <w:rsid w:val="0012723B"/>
    <w:rsid w:val="00127461"/>
    <w:rsid w:val="0012756D"/>
    <w:rsid w:val="00127606"/>
    <w:rsid w:val="0012779F"/>
    <w:rsid w:val="00127827"/>
    <w:rsid w:val="00127847"/>
    <w:rsid w:val="0012790E"/>
    <w:rsid w:val="001279E9"/>
    <w:rsid w:val="00127A0B"/>
    <w:rsid w:val="00127A1D"/>
    <w:rsid w:val="00127B3C"/>
    <w:rsid w:val="00127BE9"/>
    <w:rsid w:val="00127CCE"/>
    <w:rsid w:val="00127D03"/>
    <w:rsid w:val="00127D78"/>
    <w:rsid w:val="00127EFC"/>
    <w:rsid w:val="00127F13"/>
    <w:rsid w:val="00127FBF"/>
    <w:rsid w:val="001300F5"/>
    <w:rsid w:val="0013014A"/>
    <w:rsid w:val="001303CB"/>
    <w:rsid w:val="0013042A"/>
    <w:rsid w:val="001306CD"/>
    <w:rsid w:val="00130728"/>
    <w:rsid w:val="00130839"/>
    <w:rsid w:val="00130B82"/>
    <w:rsid w:val="00130D28"/>
    <w:rsid w:val="00130DA0"/>
    <w:rsid w:val="00130E35"/>
    <w:rsid w:val="00130EB8"/>
    <w:rsid w:val="00131014"/>
    <w:rsid w:val="001310D4"/>
    <w:rsid w:val="001312E2"/>
    <w:rsid w:val="001313D6"/>
    <w:rsid w:val="00131687"/>
    <w:rsid w:val="0013173C"/>
    <w:rsid w:val="00131813"/>
    <w:rsid w:val="00131AF7"/>
    <w:rsid w:val="00131B0E"/>
    <w:rsid w:val="00131B6F"/>
    <w:rsid w:val="00131CEE"/>
    <w:rsid w:val="00131CF7"/>
    <w:rsid w:val="00131F5F"/>
    <w:rsid w:val="00131F9B"/>
    <w:rsid w:val="0013208A"/>
    <w:rsid w:val="001320C5"/>
    <w:rsid w:val="001322A8"/>
    <w:rsid w:val="001322EF"/>
    <w:rsid w:val="001324CD"/>
    <w:rsid w:val="00132627"/>
    <w:rsid w:val="00132C5A"/>
    <w:rsid w:val="00132CA0"/>
    <w:rsid w:val="00132DB8"/>
    <w:rsid w:val="00132DEF"/>
    <w:rsid w:val="00133005"/>
    <w:rsid w:val="0013300D"/>
    <w:rsid w:val="00133047"/>
    <w:rsid w:val="0013311E"/>
    <w:rsid w:val="001332CE"/>
    <w:rsid w:val="001333DB"/>
    <w:rsid w:val="001333FC"/>
    <w:rsid w:val="001334B5"/>
    <w:rsid w:val="00133816"/>
    <w:rsid w:val="001338B8"/>
    <w:rsid w:val="00133905"/>
    <w:rsid w:val="00133A81"/>
    <w:rsid w:val="00133B55"/>
    <w:rsid w:val="00133B62"/>
    <w:rsid w:val="00133BE8"/>
    <w:rsid w:val="00133D6C"/>
    <w:rsid w:val="00133D7E"/>
    <w:rsid w:val="00133ED3"/>
    <w:rsid w:val="00133F48"/>
    <w:rsid w:val="00133FF7"/>
    <w:rsid w:val="001340E4"/>
    <w:rsid w:val="001341A6"/>
    <w:rsid w:val="001342FA"/>
    <w:rsid w:val="001343E4"/>
    <w:rsid w:val="00134955"/>
    <w:rsid w:val="0013498F"/>
    <w:rsid w:val="00134A13"/>
    <w:rsid w:val="00134A3F"/>
    <w:rsid w:val="00134B9C"/>
    <w:rsid w:val="00134CED"/>
    <w:rsid w:val="00134D00"/>
    <w:rsid w:val="00134D81"/>
    <w:rsid w:val="00134E8B"/>
    <w:rsid w:val="00135040"/>
    <w:rsid w:val="00135335"/>
    <w:rsid w:val="001355C3"/>
    <w:rsid w:val="00135622"/>
    <w:rsid w:val="0013569B"/>
    <w:rsid w:val="0013579B"/>
    <w:rsid w:val="0013590B"/>
    <w:rsid w:val="00135A66"/>
    <w:rsid w:val="00135C60"/>
    <w:rsid w:val="00135CDD"/>
    <w:rsid w:val="00135FA8"/>
    <w:rsid w:val="001360D0"/>
    <w:rsid w:val="001360D4"/>
    <w:rsid w:val="001362C0"/>
    <w:rsid w:val="001367F2"/>
    <w:rsid w:val="001369FD"/>
    <w:rsid w:val="00136B32"/>
    <w:rsid w:val="00136CFE"/>
    <w:rsid w:val="00136FBB"/>
    <w:rsid w:val="0013709D"/>
    <w:rsid w:val="001371E7"/>
    <w:rsid w:val="001372F8"/>
    <w:rsid w:val="00137306"/>
    <w:rsid w:val="0013732A"/>
    <w:rsid w:val="00137383"/>
    <w:rsid w:val="0013766C"/>
    <w:rsid w:val="001376D4"/>
    <w:rsid w:val="00137790"/>
    <w:rsid w:val="00137838"/>
    <w:rsid w:val="001378FC"/>
    <w:rsid w:val="00137A0B"/>
    <w:rsid w:val="00137B0C"/>
    <w:rsid w:val="00137C64"/>
    <w:rsid w:val="00137C96"/>
    <w:rsid w:val="00137F62"/>
    <w:rsid w:val="00137FDD"/>
    <w:rsid w:val="00140078"/>
    <w:rsid w:val="001400E1"/>
    <w:rsid w:val="001401A7"/>
    <w:rsid w:val="001401BD"/>
    <w:rsid w:val="00140494"/>
    <w:rsid w:val="001404A8"/>
    <w:rsid w:val="00140699"/>
    <w:rsid w:val="001406B8"/>
    <w:rsid w:val="001407A9"/>
    <w:rsid w:val="0014082E"/>
    <w:rsid w:val="00140909"/>
    <w:rsid w:val="00140B39"/>
    <w:rsid w:val="00140CCE"/>
    <w:rsid w:val="001410DF"/>
    <w:rsid w:val="0014113A"/>
    <w:rsid w:val="00141275"/>
    <w:rsid w:val="00141382"/>
    <w:rsid w:val="0014139C"/>
    <w:rsid w:val="00141489"/>
    <w:rsid w:val="0014153A"/>
    <w:rsid w:val="0014159D"/>
    <w:rsid w:val="001417D3"/>
    <w:rsid w:val="0014183A"/>
    <w:rsid w:val="00141854"/>
    <w:rsid w:val="00141C69"/>
    <w:rsid w:val="00141E13"/>
    <w:rsid w:val="00141E6E"/>
    <w:rsid w:val="00141F73"/>
    <w:rsid w:val="00141F7D"/>
    <w:rsid w:val="00142015"/>
    <w:rsid w:val="00142068"/>
    <w:rsid w:val="00142289"/>
    <w:rsid w:val="001422A7"/>
    <w:rsid w:val="00142351"/>
    <w:rsid w:val="00142656"/>
    <w:rsid w:val="0014265D"/>
    <w:rsid w:val="0014281A"/>
    <w:rsid w:val="00142A86"/>
    <w:rsid w:val="00142EC9"/>
    <w:rsid w:val="00142F0B"/>
    <w:rsid w:val="00142FDB"/>
    <w:rsid w:val="00143116"/>
    <w:rsid w:val="00143294"/>
    <w:rsid w:val="001434BA"/>
    <w:rsid w:val="001437B3"/>
    <w:rsid w:val="00143A41"/>
    <w:rsid w:val="00143A74"/>
    <w:rsid w:val="00143B5A"/>
    <w:rsid w:val="00143D32"/>
    <w:rsid w:val="00144023"/>
    <w:rsid w:val="00144113"/>
    <w:rsid w:val="001443AA"/>
    <w:rsid w:val="00144555"/>
    <w:rsid w:val="001446C2"/>
    <w:rsid w:val="0014498A"/>
    <w:rsid w:val="00144B0C"/>
    <w:rsid w:val="00144B78"/>
    <w:rsid w:val="00144CA2"/>
    <w:rsid w:val="00144E5B"/>
    <w:rsid w:val="001450BD"/>
    <w:rsid w:val="00145192"/>
    <w:rsid w:val="001451C5"/>
    <w:rsid w:val="0014528F"/>
    <w:rsid w:val="001452E0"/>
    <w:rsid w:val="001456A7"/>
    <w:rsid w:val="001456E0"/>
    <w:rsid w:val="00145729"/>
    <w:rsid w:val="00145794"/>
    <w:rsid w:val="001457B2"/>
    <w:rsid w:val="001458AE"/>
    <w:rsid w:val="0014593F"/>
    <w:rsid w:val="001459DE"/>
    <w:rsid w:val="00145B10"/>
    <w:rsid w:val="00145B53"/>
    <w:rsid w:val="00145C0A"/>
    <w:rsid w:val="00145CFF"/>
    <w:rsid w:val="00145D01"/>
    <w:rsid w:val="00145D58"/>
    <w:rsid w:val="00145D99"/>
    <w:rsid w:val="00145F75"/>
    <w:rsid w:val="00145FAE"/>
    <w:rsid w:val="00145FF0"/>
    <w:rsid w:val="00146020"/>
    <w:rsid w:val="00146074"/>
    <w:rsid w:val="00146090"/>
    <w:rsid w:val="0014611C"/>
    <w:rsid w:val="001461B4"/>
    <w:rsid w:val="001461B7"/>
    <w:rsid w:val="00146201"/>
    <w:rsid w:val="0014645D"/>
    <w:rsid w:val="001465AE"/>
    <w:rsid w:val="001469D0"/>
    <w:rsid w:val="001469D9"/>
    <w:rsid w:val="00146B13"/>
    <w:rsid w:val="00146C3F"/>
    <w:rsid w:val="00146F3E"/>
    <w:rsid w:val="0014704E"/>
    <w:rsid w:val="0014714B"/>
    <w:rsid w:val="001472BF"/>
    <w:rsid w:val="001472DC"/>
    <w:rsid w:val="001473B6"/>
    <w:rsid w:val="001474E8"/>
    <w:rsid w:val="001474F7"/>
    <w:rsid w:val="0014760A"/>
    <w:rsid w:val="00147682"/>
    <w:rsid w:val="00147684"/>
    <w:rsid w:val="001476DB"/>
    <w:rsid w:val="00147917"/>
    <w:rsid w:val="00147928"/>
    <w:rsid w:val="001479BF"/>
    <w:rsid w:val="00147AF8"/>
    <w:rsid w:val="00147F6C"/>
    <w:rsid w:val="00147FE3"/>
    <w:rsid w:val="00150003"/>
    <w:rsid w:val="0015016F"/>
    <w:rsid w:val="00150226"/>
    <w:rsid w:val="001504E8"/>
    <w:rsid w:val="00150567"/>
    <w:rsid w:val="0015062B"/>
    <w:rsid w:val="00150833"/>
    <w:rsid w:val="001508CE"/>
    <w:rsid w:val="001509A6"/>
    <w:rsid w:val="00150D6A"/>
    <w:rsid w:val="00150F5E"/>
    <w:rsid w:val="00151324"/>
    <w:rsid w:val="001514BE"/>
    <w:rsid w:val="001515C4"/>
    <w:rsid w:val="001515CD"/>
    <w:rsid w:val="0015177D"/>
    <w:rsid w:val="00151861"/>
    <w:rsid w:val="00151BA1"/>
    <w:rsid w:val="00151FBB"/>
    <w:rsid w:val="001520B4"/>
    <w:rsid w:val="001520DB"/>
    <w:rsid w:val="0015215B"/>
    <w:rsid w:val="0015217E"/>
    <w:rsid w:val="001521BC"/>
    <w:rsid w:val="00152362"/>
    <w:rsid w:val="00152376"/>
    <w:rsid w:val="00152383"/>
    <w:rsid w:val="00152459"/>
    <w:rsid w:val="00152803"/>
    <w:rsid w:val="0015297F"/>
    <w:rsid w:val="00152A36"/>
    <w:rsid w:val="00152CC3"/>
    <w:rsid w:val="00152ED4"/>
    <w:rsid w:val="00153049"/>
    <w:rsid w:val="00153065"/>
    <w:rsid w:val="00153257"/>
    <w:rsid w:val="0015332D"/>
    <w:rsid w:val="00153477"/>
    <w:rsid w:val="0015351E"/>
    <w:rsid w:val="00153543"/>
    <w:rsid w:val="00153633"/>
    <w:rsid w:val="001536E1"/>
    <w:rsid w:val="00153964"/>
    <w:rsid w:val="00153DC7"/>
    <w:rsid w:val="00153E06"/>
    <w:rsid w:val="00153FF0"/>
    <w:rsid w:val="00154295"/>
    <w:rsid w:val="001543D5"/>
    <w:rsid w:val="00154498"/>
    <w:rsid w:val="001544B3"/>
    <w:rsid w:val="0015463C"/>
    <w:rsid w:val="00154778"/>
    <w:rsid w:val="001548A8"/>
    <w:rsid w:val="001548D2"/>
    <w:rsid w:val="0015499C"/>
    <w:rsid w:val="00154A74"/>
    <w:rsid w:val="00154BCF"/>
    <w:rsid w:val="00154C0D"/>
    <w:rsid w:val="00154C7B"/>
    <w:rsid w:val="00154EDA"/>
    <w:rsid w:val="00155071"/>
    <w:rsid w:val="00155099"/>
    <w:rsid w:val="001550B0"/>
    <w:rsid w:val="0015521C"/>
    <w:rsid w:val="0015525B"/>
    <w:rsid w:val="0015528A"/>
    <w:rsid w:val="0015533C"/>
    <w:rsid w:val="00155662"/>
    <w:rsid w:val="00155E9B"/>
    <w:rsid w:val="00155EDC"/>
    <w:rsid w:val="001560A6"/>
    <w:rsid w:val="00156314"/>
    <w:rsid w:val="001566F2"/>
    <w:rsid w:val="00156759"/>
    <w:rsid w:val="0015678E"/>
    <w:rsid w:val="00156AF9"/>
    <w:rsid w:val="00156B9C"/>
    <w:rsid w:val="00156D3A"/>
    <w:rsid w:val="00156D9D"/>
    <w:rsid w:val="00157002"/>
    <w:rsid w:val="00157021"/>
    <w:rsid w:val="00157145"/>
    <w:rsid w:val="001574A2"/>
    <w:rsid w:val="00157613"/>
    <w:rsid w:val="001578FA"/>
    <w:rsid w:val="00157E8E"/>
    <w:rsid w:val="00157EA7"/>
    <w:rsid w:val="00160125"/>
    <w:rsid w:val="00160403"/>
    <w:rsid w:val="00160562"/>
    <w:rsid w:val="001605F6"/>
    <w:rsid w:val="00160644"/>
    <w:rsid w:val="001606EE"/>
    <w:rsid w:val="0016077E"/>
    <w:rsid w:val="0016078D"/>
    <w:rsid w:val="00160955"/>
    <w:rsid w:val="00160C1D"/>
    <w:rsid w:val="00160DB6"/>
    <w:rsid w:val="00160F24"/>
    <w:rsid w:val="00160F32"/>
    <w:rsid w:val="001611CA"/>
    <w:rsid w:val="00161358"/>
    <w:rsid w:val="00161550"/>
    <w:rsid w:val="001615E0"/>
    <w:rsid w:val="0016181D"/>
    <w:rsid w:val="00161B2D"/>
    <w:rsid w:val="00161B40"/>
    <w:rsid w:val="00161C09"/>
    <w:rsid w:val="00161D1A"/>
    <w:rsid w:val="00161D55"/>
    <w:rsid w:val="0016203A"/>
    <w:rsid w:val="00162103"/>
    <w:rsid w:val="00162214"/>
    <w:rsid w:val="001622A3"/>
    <w:rsid w:val="001622D8"/>
    <w:rsid w:val="00162482"/>
    <w:rsid w:val="001624F1"/>
    <w:rsid w:val="00162946"/>
    <w:rsid w:val="0016296D"/>
    <w:rsid w:val="00162A6F"/>
    <w:rsid w:val="00162A9C"/>
    <w:rsid w:val="00162E26"/>
    <w:rsid w:val="0016301B"/>
    <w:rsid w:val="001632B6"/>
    <w:rsid w:val="001632F7"/>
    <w:rsid w:val="001633D3"/>
    <w:rsid w:val="0016368D"/>
    <w:rsid w:val="00163813"/>
    <w:rsid w:val="00163841"/>
    <w:rsid w:val="00163EA7"/>
    <w:rsid w:val="00163EC1"/>
    <w:rsid w:val="00163F11"/>
    <w:rsid w:val="00163F93"/>
    <w:rsid w:val="00163FED"/>
    <w:rsid w:val="00163FF4"/>
    <w:rsid w:val="00164055"/>
    <w:rsid w:val="0016408A"/>
    <w:rsid w:val="00164113"/>
    <w:rsid w:val="001643FA"/>
    <w:rsid w:val="00164515"/>
    <w:rsid w:val="001646F3"/>
    <w:rsid w:val="00164858"/>
    <w:rsid w:val="00164C4E"/>
    <w:rsid w:val="00164D76"/>
    <w:rsid w:val="00164DC1"/>
    <w:rsid w:val="00164F69"/>
    <w:rsid w:val="00164F96"/>
    <w:rsid w:val="00165030"/>
    <w:rsid w:val="00165141"/>
    <w:rsid w:val="001653DC"/>
    <w:rsid w:val="00165430"/>
    <w:rsid w:val="001654BD"/>
    <w:rsid w:val="00165595"/>
    <w:rsid w:val="001655AA"/>
    <w:rsid w:val="00165678"/>
    <w:rsid w:val="001656E4"/>
    <w:rsid w:val="00165762"/>
    <w:rsid w:val="00165832"/>
    <w:rsid w:val="001658F0"/>
    <w:rsid w:val="00165B15"/>
    <w:rsid w:val="00165FEA"/>
    <w:rsid w:val="00166073"/>
    <w:rsid w:val="001660D0"/>
    <w:rsid w:val="001661BA"/>
    <w:rsid w:val="0016623A"/>
    <w:rsid w:val="001663F6"/>
    <w:rsid w:val="0016659C"/>
    <w:rsid w:val="00166E7F"/>
    <w:rsid w:val="00166F69"/>
    <w:rsid w:val="0016701C"/>
    <w:rsid w:val="0016709A"/>
    <w:rsid w:val="001670D5"/>
    <w:rsid w:val="001674EE"/>
    <w:rsid w:val="001677C4"/>
    <w:rsid w:val="0016780C"/>
    <w:rsid w:val="001679F9"/>
    <w:rsid w:val="00167DBA"/>
    <w:rsid w:val="00167EE4"/>
    <w:rsid w:val="001687B6"/>
    <w:rsid w:val="0017002C"/>
    <w:rsid w:val="00170055"/>
    <w:rsid w:val="0017017B"/>
    <w:rsid w:val="00170205"/>
    <w:rsid w:val="00170651"/>
    <w:rsid w:val="0017082F"/>
    <w:rsid w:val="00170873"/>
    <w:rsid w:val="00170875"/>
    <w:rsid w:val="00170950"/>
    <w:rsid w:val="001709F2"/>
    <w:rsid w:val="00170F7F"/>
    <w:rsid w:val="00170FA5"/>
    <w:rsid w:val="00171185"/>
    <w:rsid w:val="00171212"/>
    <w:rsid w:val="00171278"/>
    <w:rsid w:val="001712B2"/>
    <w:rsid w:val="001714FB"/>
    <w:rsid w:val="001716AE"/>
    <w:rsid w:val="001718AC"/>
    <w:rsid w:val="001719BA"/>
    <w:rsid w:val="001719BC"/>
    <w:rsid w:val="001719C8"/>
    <w:rsid w:val="001719FC"/>
    <w:rsid w:val="00171A24"/>
    <w:rsid w:val="00171BDF"/>
    <w:rsid w:val="00171C5A"/>
    <w:rsid w:val="00171F61"/>
    <w:rsid w:val="00171F84"/>
    <w:rsid w:val="001722E7"/>
    <w:rsid w:val="00172304"/>
    <w:rsid w:val="00172425"/>
    <w:rsid w:val="00172464"/>
    <w:rsid w:val="00172547"/>
    <w:rsid w:val="00172647"/>
    <w:rsid w:val="001726B3"/>
    <w:rsid w:val="00172834"/>
    <w:rsid w:val="0017292E"/>
    <w:rsid w:val="00172A22"/>
    <w:rsid w:val="00172C24"/>
    <w:rsid w:val="00172C80"/>
    <w:rsid w:val="00172DA0"/>
    <w:rsid w:val="00173092"/>
    <w:rsid w:val="00173393"/>
    <w:rsid w:val="00173451"/>
    <w:rsid w:val="001738EE"/>
    <w:rsid w:val="001739E8"/>
    <w:rsid w:val="001739F7"/>
    <w:rsid w:val="00173C73"/>
    <w:rsid w:val="00173C9B"/>
    <w:rsid w:val="00173D65"/>
    <w:rsid w:val="00174076"/>
    <w:rsid w:val="0017413D"/>
    <w:rsid w:val="0017416E"/>
    <w:rsid w:val="0017419F"/>
    <w:rsid w:val="001742AB"/>
    <w:rsid w:val="001742F2"/>
    <w:rsid w:val="001745D8"/>
    <w:rsid w:val="00174684"/>
    <w:rsid w:val="001746FD"/>
    <w:rsid w:val="00174731"/>
    <w:rsid w:val="001748D5"/>
    <w:rsid w:val="00174CA6"/>
    <w:rsid w:val="00174D42"/>
    <w:rsid w:val="00174D5C"/>
    <w:rsid w:val="00174DC6"/>
    <w:rsid w:val="00174DDE"/>
    <w:rsid w:val="00174F06"/>
    <w:rsid w:val="00174F3C"/>
    <w:rsid w:val="00174F50"/>
    <w:rsid w:val="00174FB7"/>
    <w:rsid w:val="00174FE4"/>
    <w:rsid w:val="00175023"/>
    <w:rsid w:val="0017505A"/>
    <w:rsid w:val="001750DE"/>
    <w:rsid w:val="00175245"/>
    <w:rsid w:val="00175286"/>
    <w:rsid w:val="00175588"/>
    <w:rsid w:val="001755C7"/>
    <w:rsid w:val="00175839"/>
    <w:rsid w:val="00175870"/>
    <w:rsid w:val="00175A30"/>
    <w:rsid w:val="00175B1E"/>
    <w:rsid w:val="00175D17"/>
    <w:rsid w:val="00175F14"/>
    <w:rsid w:val="00175F88"/>
    <w:rsid w:val="00176292"/>
    <w:rsid w:val="00176531"/>
    <w:rsid w:val="00176788"/>
    <w:rsid w:val="00176849"/>
    <w:rsid w:val="00176D52"/>
    <w:rsid w:val="00176ECD"/>
    <w:rsid w:val="00176FB1"/>
    <w:rsid w:val="00177274"/>
    <w:rsid w:val="0017761A"/>
    <w:rsid w:val="00177638"/>
    <w:rsid w:val="00177734"/>
    <w:rsid w:val="001777AD"/>
    <w:rsid w:val="00177820"/>
    <w:rsid w:val="00177880"/>
    <w:rsid w:val="0017799C"/>
    <w:rsid w:val="00177C1B"/>
    <w:rsid w:val="00177C40"/>
    <w:rsid w:val="00177D36"/>
    <w:rsid w:val="00177D64"/>
    <w:rsid w:val="00177E30"/>
    <w:rsid w:val="00177EA7"/>
    <w:rsid w:val="0018000F"/>
    <w:rsid w:val="00180035"/>
    <w:rsid w:val="0018004C"/>
    <w:rsid w:val="00180159"/>
    <w:rsid w:val="00180481"/>
    <w:rsid w:val="00180632"/>
    <w:rsid w:val="001807AD"/>
    <w:rsid w:val="001809AE"/>
    <w:rsid w:val="001809AF"/>
    <w:rsid w:val="001809C6"/>
    <w:rsid w:val="00180B54"/>
    <w:rsid w:val="00180C5F"/>
    <w:rsid w:val="00180D54"/>
    <w:rsid w:val="0018126E"/>
    <w:rsid w:val="001812C2"/>
    <w:rsid w:val="00181362"/>
    <w:rsid w:val="0018147F"/>
    <w:rsid w:val="001814A7"/>
    <w:rsid w:val="00181526"/>
    <w:rsid w:val="0018173B"/>
    <w:rsid w:val="0018180E"/>
    <w:rsid w:val="00181881"/>
    <w:rsid w:val="001819F0"/>
    <w:rsid w:val="00181B4B"/>
    <w:rsid w:val="00181BD4"/>
    <w:rsid w:val="00181D48"/>
    <w:rsid w:val="00181EE6"/>
    <w:rsid w:val="00182035"/>
    <w:rsid w:val="00182046"/>
    <w:rsid w:val="0018214E"/>
    <w:rsid w:val="001824B7"/>
    <w:rsid w:val="00182705"/>
    <w:rsid w:val="00182740"/>
    <w:rsid w:val="00182779"/>
    <w:rsid w:val="0018290C"/>
    <w:rsid w:val="00182A5F"/>
    <w:rsid w:val="00182A93"/>
    <w:rsid w:val="00182AF0"/>
    <w:rsid w:val="00182B59"/>
    <w:rsid w:val="00182EF4"/>
    <w:rsid w:val="00183037"/>
    <w:rsid w:val="00183091"/>
    <w:rsid w:val="00183268"/>
    <w:rsid w:val="001832B1"/>
    <w:rsid w:val="001833AE"/>
    <w:rsid w:val="001834E3"/>
    <w:rsid w:val="001836A4"/>
    <w:rsid w:val="00183891"/>
    <w:rsid w:val="00183920"/>
    <w:rsid w:val="0018394F"/>
    <w:rsid w:val="0018395C"/>
    <w:rsid w:val="00183D95"/>
    <w:rsid w:val="00183E3D"/>
    <w:rsid w:val="00184288"/>
    <w:rsid w:val="0018445D"/>
    <w:rsid w:val="001844C5"/>
    <w:rsid w:val="0018478E"/>
    <w:rsid w:val="001847A5"/>
    <w:rsid w:val="001847F2"/>
    <w:rsid w:val="00184873"/>
    <w:rsid w:val="001848BD"/>
    <w:rsid w:val="00184A5E"/>
    <w:rsid w:val="00184C43"/>
    <w:rsid w:val="00184DB3"/>
    <w:rsid w:val="00184DC6"/>
    <w:rsid w:val="00184E8E"/>
    <w:rsid w:val="00185124"/>
    <w:rsid w:val="001852F7"/>
    <w:rsid w:val="00185520"/>
    <w:rsid w:val="001856CA"/>
    <w:rsid w:val="0018595B"/>
    <w:rsid w:val="00185E1D"/>
    <w:rsid w:val="00186051"/>
    <w:rsid w:val="00186079"/>
    <w:rsid w:val="001861A6"/>
    <w:rsid w:val="00186275"/>
    <w:rsid w:val="001864ED"/>
    <w:rsid w:val="0018678E"/>
    <w:rsid w:val="001869DB"/>
    <w:rsid w:val="00186AA2"/>
    <w:rsid w:val="00186C27"/>
    <w:rsid w:val="00186FE1"/>
    <w:rsid w:val="00187089"/>
    <w:rsid w:val="001873D2"/>
    <w:rsid w:val="001873FA"/>
    <w:rsid w:val="0018787E"/>
    <w:rsid w:val="00187896"/>
    <w:rsid w:val="001878F5"/>
    <w:rsid w:val="00187AFD"/>
    <w:rsid w:val="00187F7C"/>
    <w:rsid w:val="00187FAE"/>
    <w:rsid w:val="00187FEA"/>
    <w:rsid w:val="001900A4"/>
    <w:rsid w:val="00190108"/>
    <w:rsid w:val="0019013B"/>
    <w:rsid w:val="001905B1"/>
    <w:rsid w:val="001906F9"/>
    <w:rsid w:val="00190A86"/>
    <w:rsid w:val="00190B5E"/>
    <w:rsid w:val="00190BBA"/>
    <w:rsid w:val="00190CB1"/>
    <w:rsid w:val="00190CDB"/>
    <w:rsid w:val="001911B2"/>
    <w:rsid w:val="0019141B"/>
    <w:rsid w:val="00191472"/>
    <w:rsid w:val="00191585"/>
    <w:rsid w:val="001918E1"/>
    <w:rsid w:val="00191AE2"/>
    <w:rsid w:val="00191AF8"/>
    <w:rsid w:val="00191EDF"/>
    <w:rsid w:val="00191F13"/>
    <w:rsid w:val="00191F1E"/>
    <w:rsid w:val="00191FE2"/>
    <w:rsid w:val="0019209B"/>
    <w:rsid w:val="001920CB"/>
    <w:rsid w:val="001920F1"/>
    <w:rsid w:val="00192296"/>
    <w:rsid w:val="001924E7"/>
    <w:rsid w:val="00192524"/>
    <w:rsid w:val="00192528"/>
    <w:rsid w:val="001927D5"/>
    <w:rsid w:val="001928CB"/>
    <w:rsid w:val="00192B22"/>
    <w:rsid w:val="00192B81"/>
    <w:rsid w:val="00192B87"/>
    <w:rsid w:val="00192D4F"/>
    <w:rsid w:val="00192E06"/>
    <w:rsid w:val="00192F0F"/>
    <w:rsid w:val="0019311C"/>
    <w:rsid w:val="0019318A"/>
    <w:rsid w:val="00193265"/>
    <w:rsid w:val="001933B4"/>
    <w:rsid w:val="00193518"/>
    <w:rsid w:val="001936FC"/>
    <w:rsid w:val="001938A1"/>
    <w:rsid w:val="00193932"/>
    <w:rsid w:val="001939F8"/>
    <w:rsid w:val="00193ABA"/>
    <w:rsid w:val="00193B59"/>
    <w:rsid w:val="00193CFC"/>
    <w:rsid w:val="00193DB2"/>
    <w:rsid w:val="00193FC3"/>
    <w:rsid w:val="0019403E"/>
    <w:rsid w:val="001944D9"/>
    <w:rsid w:val="0019458B"/>
    <w:rsid w:val="001945D9"/>
    <w:rsid w:val="001945E5"/>
    <w:rsid w:val="001945F2"/>
    <w:rsid w:val="001946CA"/>
    <w:rsid w:val="00194836"/>
    <w:rsid w:val="001948B6"/>
    <w:rsid w:val="00194AA4"/>
    <w:rsid w:val="00194B36"/>
    <w:rsid w:val="00194DB8"/>
    <w:rsid w:val="00194E2C"/>
    <w:rsid w:val="00194EE2"/>
    <w:rsid w:val="00195348"/>
    <w:rsid w:val="00195484"/>
    <w:rsid w:val="0019580D"/>
    <w:rsid w:val="001959FF"/>
    <w:rsid w:val="00195A68"/>
    <w:rsid w:val="00195AF6"/>
    <w:rsid w:val="00195DB6"/>
    <w:rsid w:val="00195E6B"/>
    <w:rsid w:val="00195FE0"/>
    <w:rsid w:val="00196087"/>
    <w:rsid w:val="001961C8"/>
    <w:rsid w:val="0019632E"/>
    <w:rsid w:val="00196417"/>
    <w:rsid w:val="0019643E"/>
    <w:rsid w:val="00196579"/>
    <w:rsid w:val="0019658C"/>
    <w:rsid w:val="001965AF"/>
    <w:rsid w:val="0019666B"/>
    <w:rsid w:val="001967EC"/>
    <w:rsid w:val="001968A2"/>
    <w:rsid w:val="001969EA"/>
    <w:rsid w:val="00196B53"/>
    <w:rsid w:val="00196B56"/>
    <w:rsid w:val="00196DB1"/>
    <w:rsid w:val="00196DDB"/>
    <w:rsid w:val="00197119"/>
    <w:rsid w:val="00197333"/>
    <w:rsid w:val="00197432"/>
    <w:rsid w:val="001974BB"/>
    <w:rsid w:val="001974F1"/>
    <w:rsid w:val="0019764F"/>
    <w:rsid w:val="00197891"/>
    <w:rsid w:val="00197991"/>
    <w:rsid w:val="00197AC7"/>
    <w:rsid w:val="00197FF3"/>
    <w:rsid w:val="001A0364"/>
    <w:rsid w:val="001A03DF"/>
    <w:rsid w:val="001A03FD"/>
    <w:rsid w:val="001A0735"/>
    <w:rsid w:val="001A091A"/>
    <w:rsid w:val="001A097A"/>
    <w:rsid w:val="001A0A18"/>
    <w:rsid w:val="001A0C83"/>
    <w:rsid w:val="001A0CB1"/>
    <w:rsid w:val="001A0CB3"/>
    <w:rsid w:val="001A0D23"/>
    <w:rsid w:val="001A0DB2"/>
    <w:rsid w:val="001A0EC3"/>
    <w:rsid w:val="001A10D4"/>
    <w:rsid w:val="001A176F"/>
    <w:rsid w:val="001A1804"/>
    <w:rsid w:val="001A18B6"/>
    <w:rsid w:val="001A1A4B"/>
    <w:rsid w:val="001A1C64"/>
    <w:rsid w:val="001A1CDA"/>
    <w:rsid w:val="001A21D8"/>
    <w:rsid w:val="001A22A0"/>
    <w:rsid w:val="001A2605"/>
    <w:rsid w:val="001A29C3"/>
    <w:rsid w:val="001A29D3"/>
    <w:rsid w:val="001A2C2B"/>
    <w:rsid w:val="001A2D62"/>
    <w:rsid w:val="001A2E5F"/>
    <w:rsid w:val="001A2E63"/>
    <w:rsid w:val="001A3066"/>
    <w:rsid w:val="001A326D"/>
    <w:rsid w:val="001A32BA"/>
    <w:rsid w:val="001A32E7"/>
    <w:rsid w:val="001A3403"/>
    <w:rsid w:val="001A340F"/>
    <w:rsid w:val="001A3484"/>
    <w:rsid w:val="001A3495"/>
    <w:rsid w:val="001A3512"/>
    <w:rsid w:val="001A36DA"/>
    <w:rsid w:val="001A3B40"/>
    <w:rsid w:val="001A3B4F"/>
    <w:rsid w:val="001A3C66"/>
    <w:rsid w:val="001A426A"/>
    <w:rsid w:val="001A445B"/>
    <w:rsid w:val="001A457E"/>
    <w:rsid w:val="001A45F6"/>
    <w:rsid w:val="001A460A"/>
    <w:rsid w:val="001A469F"/>
    <w:rsid w:val="001A4A42"/>
    <w:rsid w:val="001A4BBF"/>
    <w:rsid w:val="001A4C72"/>
    <w:rsid w:val="001A4D09"/>
    <w:rsid w:val="001A50B8"/>
    <w:rsid w:val="001A51FD"/>
    <w:rsid w:val="001A52CE"/>
    <w:rsid w:val="001A5364"/>
    <w:rsid w:val="001A5726"/>
    <w:rsid w:val="001A58AE"/>
    <w:rsid w:val="001A5A29"/>
    <w:rsid w:val="001A5B3C"/>
    <w:rsid w:val="001A5D4C"/>
    <w:rsid w:val="001A5DA8"/>
    <w:rsid w:val="001A5F26"/>
    <w:rsid w:val="001A6117"/>
    <w:rsid w:val="001A61AC"/>
    <w:rsid w:val="001A6241"/>
    <w:rsid w:val="001A62D4"/>
    <w:rsid w:val="001A63BC"/>
    <w:rsid w:val="001A63FE"/>
    <w:rsid w:val="001A6403"/>
    <w:rsid w:val="001A643F"/>
    <w:rsid w:val="001A65AA"/>
    <w:rsid w:val="001A669C"/>
    <w:rsid w:val="001A687C"/>
    <w:rsid w:val="001A69AA"/>
    <w:rsid w:val="001A6AD2"/>
    <w:rsid w:val="001A6D5A"/>
    <w:rsid w:val="001A6E9B"/>
    <w:rsid w:val="001A6EB4"/>
    <w:rsid w:val="001A6FBE"/>
    <w:rsid w:val="001A705D"/>
    <w:rsid w:val="001A708A"/>
    <w:rsid w:val="001A70CA"/>
    <w:rsid w:val="001A73E7"/>
    <w:rsid w:val="001A7400"/>
    <w:rsid w:val="001A745F"/>
    <w:rsid w:val="001A758C"/>
    <w:rsid w:val="001A76E4"/>
    <w:rsid w:val="001A78C4"/>
    <w:rsid w:val="001A7C2C"/>
    <w:rsid w:val="001A7E6A"/>
    <w:rsid w:val="001A7F63"/>
    <w:rsid w:val="001B0010"/>
    <w:rsid w:val="001B014C"/>
    <w:rsid w:val="001B04AB"/>
    <w:rsid w:val="001B0634"/>
    <w:rsid w:val="001B0775"/>
    <w:rsid w:val="001B07EB"/>
    <w:rsid w:val="001B0D4D"/>
    <w:rsid w:val="001B0D63"/>
    <w:rsid w:val="001B0E09"/>
    <w:rsid w:val="001B0F5C"/>
    <w:rsid w:val="001B0F9E"/>
    <w:rsid w:val="001B112C"/>
    <w:rsid w:val="001B12D0"/>
    <w:rsid w:val="001B134E"/>
    <w:rsid w:val="001B13D3"/>
    <w:rsid w:val="001B140D"/>
    <w:rsid w:val="001B152B"/>
    <w:rsid w:val="001B1C01"/>
    <w:rsid w:val="001B1CC5"/>
    <w:rsid w:val="001B1DF8"/>
    <w:rsid w:val="001B1E20"/>
    <w:rsid w:val="001B23BE"/>
    <w:rsid w:val="001B2403"/>
    <w:rsid w:val="001B2437"/>
    <w:rsid w:val="001B2637"/>
    <w:rsid w:val="001B2649"/>
    <w:rsid w:val="001B2926"/>
    <w:rsid w:val="001B2BD1"/>
    <w:rsid w:val="001B2CF2"/>
    <w:rsid w:val="001B2D74"/>
    <w:rsid w:val="001B2DF7"/>
    <w:rsid w:val="001B2E6D"/>
    <w:rsid w:val="001B2E77"/>
    <w:rsid w:val="001B2FBB"/>
    <w:rsid w:val="001B311F"/>
    <w:rsid w:val="001B3152"/>
    <w:rsid w:val="001B31A0"/>
    <w:rsid w:val="001B31BE"/>
    <w:rsid w:val="001B31E9"/>
    <w:rsid w:val="001B33D7"/>
    <w:rsid w:val="001B38B9"/>
    <w:rsid w:val="001B395C"/>
    <w:rsid w:val="001B3968"/>
    <w:rsid w:val="001B3A56"/>
    <w:rsid w:val="001B3C50"/>
    <w:rsid w:val="001B3CAF"/>
    <w:rsid w:val="001B3CF8"/>
    <w:rsid w:val="001B3DC9"/>
    <w:rsid w:val="001B4085"/>
    <w:rsid w:val="001B42EF"/>
    <w:rsid w:val="001B4341"/>
    <w:rsid w:val="001B4450"/>
    <w:rsid w:val="001B45F2"/>
    <w:rsid w:val="001B4649"/>
    <w:rsid w:val="001B46C9"/>
    <w:rsid w:val="001B4762"/>
    <w:rsid w:val="001B47A0"/>
    <w:rsid w:val="001B47C0"/>
    <w:rsid w:val="001B4A91"/>
    <w:rsid w:val="001B4AF1"/>
    <w:rsid w:val="001B4B77"/>
    <w:rsid w:val="001B4D00"/>
    <w:rsid w:val="001B4DF3"/>
    <w:rsid w:val="001B4E1F"/>
    <w:rsid w:val="001B509C"/>
    <w:rsid w:val="001B5488"/>
    <w:rsid w:val="001B5499"/>
    <w:rsid w:val="001B5519"/>
    <w:rsid w:val="001B57E7"/>
    <w:rsid w:val="001B5DE2"/>
    <w:rsid w:val="001B5FB1"/>
    <w:rsid w:val="001B61B9"/>
    <w:rsid w:val="001B62EC"/>
    <w:rsid w:val="001B63B8"/>
    <w:rsid w:val="001B63DD"/>
    <w:rsid w:val="001B6671"/>
    <w:rsid w:val="001B6702"/>
    <w:rsid w:val="001B68F6"/>
    <w:rsid w:val="001B6AAE"/>
    <w:rsid w:val="001B6AE0"/>
    <w:rsid w:val="001B6B12"/>
    <w:rsid w:val="001B6ECF"/>
    <w:rsid w:val="001B6F20"/>
    <w:rsid w:val="001B6F5F"/>
    <w:rsid w:val="001B71A0"/>
    <w:rsid w:val="001B76B1"/>
    <w:rsid w:val="001B77B8"/>
    <w:rsid w:val="001B7D0D"/>
    <w:rsid w:val="001C00AE"/>
    <w:rsid w:val="001C0188"/>
    <w:rsid w:val="001C02E9"/>
    <w:rsid w:val="001C0385"/>
    <w:rsid w:val="001C0435"/>
    <w:rsid w:val="001C066C"/>
    <w:rsid w:val="001C0789"/>
    <w:rsid w:val="001C07A1"/>
    <w:rsid w:val="001C09D6"/>
    <w:rsid w:val="001C0E08"/>
    <w:rsid w:val="001C0F5F"/>
    <w:rsid w:val="001C0F8A"/>
    <w:rsid w:val="001C10F3"/>
    <w:rsid w:val="001C121E"/>
    <w:rsid w:val="001C14FA"/>
    <w:rsid w:val="001C1861"/>
    <w:rsid w:val="001C190E"/>
    <w:rsid w:val="001C1933"/>
    <w:rsid w:val="001C197A"/>
    <w:rsid w:val="001C19FD"/>
    <w:rsid w:val="001C1A03"/>
    <w:rsid w:val="001C1A0C"/>
    <w:rsid w:val="001C1A20"/>
    <w:rsid w:val="001C1DD6"/>
    <w:rsid w:val="001C245C"/>
    <w:rsid w:val="001C26B9"/>
    <w:rsid w:val="001C2A99"/>
    <w:rsid w:val="001C2B1F"/>
    <w:rsid w:val="001C2B30"/>
    <w:rsid w:val="001C2D55"/>
    <w:rsid w:val="001C2F15"/>
    <w:rsid w:val="001C2F43"/>
    <w:rsid w:val="001C33B5"/>
    <w:rsid w:val="001C33DB"/>
    <w:rsid w:val="001C3499"/>
    <w:rsid w:val="001C374D"/>
    <w:rsid w:val="001C38BC"/>
    <w:rsid w:val="001C3956"/>
    <w:rsid w:val="001C3A9B"/>
    <w:rsid w:val="001C3BEA"/>
    <w:rsid w:val="001C3CCA"/>
    <w:rsid w:val="001C3D9B"/>
    <w:rsid w:val="001C3DA6"/>
    <w:rsid w:val="001C3DB2"/>
    <w:rsid w:val="001C3FA3"/>
    <w:rsid w:val="001C4051"/>
    <w:rsid w:val="001C41C3"/>
    <w:rsid w:val="001C442A"/>
    <w:rsid w:val="001C448D"/>
    <w:rsid w:val="001C45F7"/>
    <w:rsid w:val="001C4634"/>
    <w:rsid w:val="001C46F9"/>
    <w:rsid w:val="001C476F"/>
    <w:rsid w:val="001C4841"/>
    <w:rsid w:val="001C48B0"/>
    <w:rsid w:val="001C4B0D"/>
    <w:rsid w:val="001C4BCA"/>
    <w:rsid w:val="001C4C5F"/>
    <w:rsid w:val="001C4E76"/>
    <w:rsid w:val="001C4FE1"/>
    <w:rsid w:val="001C50C6"/>
    <w:rsid w:val="001C50E6"/>
    <w:rsid w:val="001C5254"/>
    <w:rsid w:val="001C54D0"/>
    <w:rsid w:val="001C5534"/>
    <w:rsid w:val="001C5626"/>
    <w:rsid w:val="001C5699"/>
    <w:rsid w:val="001C57AC"/>
    <w:rsid w:val="001C57FA"/>
    <w:rsid w:val="001C5920"/>
    <w:rsid w:val="001C59E0"/>
    <w:rsid w:val="001C5B2A"/>
    <w:rsid w:val="001C5C0D"/>
    <w:rsid w:val="001C5CC4"/>
    <w:rsid w:val="001C5CD9"/>
    <w:rsid w:val="001C5D39"/>
    <w:rsid w:val="001C5D50"/>
    <w:rsid w:val="001C5DF2"/>
    <w:rsid w:val="001C62C5"/>
    <w:rsid w:val="001C62FD"/>
    <w:rsid w:val="001C66C5"/>
    <w:rsid w:val="001C68CB"/>
    <w:rsid w:val="001C69E6"/>
    <w:rsid w:val="001C6A90"/>
    <w:rsid w:val="001C6B23"/>
    <w:rsid w:val="001C6F89"/>
    <w:rsid w:val="001C731B"/>
    <w:rsid w:val="001C7346"/>
    <w:rsid w:val="001C747D"/>
    <w:rsid w:val="001C74D8"/>
    <w:rsid w:val="001C74ED"/>
    <w:rsid w:val="001C75B5"/>
    <w:rsid w:val="001C76B5"/>
    <w:rsid w:val="001C7940"/>
    <w:rsid w:val="001C79AA"/>
    <w:rsid w:val="001C7ABB"/>
    <w:rsid w:val="001C7B41"/>
    <w:rsid w:val="001C7BDF"/>
    <w:rsid w:val="001C7CDE"/>
    <w:rsid w:val="001C7E40"/>
    <w:rsid w:val="001C7EE5"/>
    <w:rsid w:val="001C7FA4"/>
    <w:rsid w:val="001C7FD2"/>
    <w:rsid w:val="001D001C"/>
    <w:rsid w:val="001D018A"/>
    <w:rsid w:val="001D02CB"/>
    <w:rsid w:val="001D0328"/>
    <w:rsid w:val="001D0465"/>
    <w:rsid w:val="001D0683"/>
    <w:rsid w:val="001D089B"/>
    <w:rsid w:val="001D09A9"/>
    <w:rsid w:val="001D0C42"/>
    <w:rsid w:val="001D0E73"/>
    <w:rsid w:val="001D0FB6"/>
    <w:rsid w:val="001D1201"/>
    <w:rsid w:val="001D12A0"/>
    <w:rsid w:val="001D12F4"/>
    <w:rsid w:val="001D134F"/>
    <w:rsid w:val="001D13F2"/>
    <w:rsid w:val="001D1408"/>
    <w:rsid w:val="001D155A"/>
    <w:rsid w:val="001D1657"/>
    <w:rsid w:val="001D1754"/>
    <w:rsid w:val="001D1881"/>
    <w:rsid w:val="001D1993"/>
    <w:rsid w:val="001D1A6D"/>
    <w:rsid w:val="001D1CBD"/>
    <w:rsid w:val="001D1CF9"/>
    <w:rsid w:val="001D1CFC"/>
    <w:rsid w:val="001D1DE2"/>
    <w:rsid w:val="001D2013"/>
    <w:rsid w:val="001D20C9"/>
    <w:rsid w:val="001D20F8"/>
    <w:rsid w:val="001D2241"/>
    <w:rsid w:val="001D2282"/>
    <w:rsid w:val="001D234F"/>
    <w:rsid w:val="001D261E"/>
    <w:rsid w:val="001D26CC"/>
    <w:rsid w:val="001D28D8"/>
    <w:rsid w:val="001D29B0"/>
    <w:rsid w:val="001D2A91"/>
    <w:rsid w:val="001D2BE4"/>
    <w:rsid w:val="001D2DD0"/>
    <w:rsid w:val="001D3120"/>
    <w:rsid w:val="001D347A"/>
    <w:rsid w:val="001D3698"/>
    <w:rsid w:val="001D38C0"/>
    <w:rsid w:val="001D398C"/>
    <w:rsid w:val="001D3A99"/>
    <w:rsid w:val="001D3F1A"/>
    <w:rsid w:val="001D4001"/>
    <w:rsid w:val="001D40AE"/>
    <w:rsid w:val="001D411E"/>
    <w:rsid w:val="001D41A8"/>
    <w:rsid w:val="001D42AB"/>
    <w:rsid w:val="001D4515"/>
    <w:rsid w:val="001D4524"/>
    <w:rsid w:val="001D46B5"/>
    <w:rsid w:val="001D4737"/>
    <w:rsid w:val="001D4810"/>
    <w:rsid w:val="001D4981"/>
    <w:rsid w:val="001D4B49"/>
    <w:rsid w:val="001D4B68"/>
    <w:rsid w:val="001D52DE"/>
    <w:rsid w:val="001D5363"/>
    <w:rsid w:val="001D5385"/>
    <w:rsid w:val="001D54B7"/>
    <w:rsid w:val="001D550F"/>
    <w:rsid w:val="001D5608"/>
    <w:rsid w:val="001D5687"/>
    <w:rsid w:val="001D57AE"/>
    <w:rsid w:val="001D5818"/>
    <w:rsid w:val="001D591D"/>
    <w:rsid w:val="001D5938"/>
    <w:rsid w:val="001D5B14"/>
    <w:rsid w:val="001D5C29"/>
    <w:rsid w:val="001D5C96"/>
    <w:rsid w:val="001D5E2D"/>
    <w:rsid w:val="001D6097"/>
    <w:rsid w:val="001D6355"/>
    <w:rsid w:val="001D6453"/>
    <w:rsid w:val="001D66BA"/>
    <w:rsid w:val="001D670B"/>
    <w:rsid w:val="001D6A79"/>
    <w:rsid w:val="001D6BB5"/>
    <w:rsid w:val="001D6C75"/>
    <w:rsid w:val="001D6E62"/>
    <w:rsid w:val="001D6E65"/>
    <w:rsid w:val="001D6F6F"/>
    <w:rsid w:val="001D714F"/>
    <w:rsid w:val="001D7170"/>
    <w:rsid w:val="001D7504"/>
    <w:rsid w:val="001D755F"/>
    <w:rsid w:val="001D7774"/>
    <w:rsid w:val="001D7A1C"/>
    <w:rsid w:val="001D7A91"/>
    <w:rsid w:val="001D7AC4"/>
    <w:rsid w:val="001D7B1A"/>
    <w:rsid w:val="001D7DC9"/>
    <w:rsid w:val="001D7F93"/>
    <w:rsid w:val="001D7FA7"/>
    <w:rsid w:val="001E01A5"/>
    <w:rsid w:val="001E0299"/>
    <w:rsid w:val="001E057E"/>
    <w:rsid w:val="001E05FD"/>
    <w:rsid w:val="001E07BD"/>
    <w:rsid w:val="001E08F4"/>
    <w:rsid w:val="001E0B44"/>
    <w:rsid w:val="001E0BD6"/>
    <w:rsid w:val="001E0D40"/>
    <w:rsid w:val="001E0E56"/>
    <w:rsid w:val="001E0FFE"/>
    <w:rsid w:val="001E11D8"/>
    <w:rsid w:val="001E1233"/>
    <w:rsid w:val="001E1505"/>
    <w:rsid w:val="001E1586"/>
    <w:rsid w:val="001E167F"/>
    <w:rsid w:val="001E17FC"/>
    <w:rsid w:val="001E188F"/>
    <w:rsid w:val="001E1B2A"/>
    <w:rsid w:val="001E1B81"/>
    <w:rsid w:val="001E1CE6"/>
    <w:rsid w:val="001E1FCE"/>
    <w:rsid w:val="001E207B"/>
    <w:rsid w:val="001E234E"/>
    <w:rsid w:val="001E237F"/>
    <w:rsid w:val="001E2397"/>
    <w:rsid w:val="001E23CF"/>
    <w:rsid w:val="001E23E4"/>
    <w:rsid w:val="001E2480"/>
    <w:rsid w:val="001E248F"/>
    <w:rsid w:val="001E2547"/>
    <w:rsid w:val="001E25F6"/>
    <w:rsid w:val="001E2937"/>
    <w:rsid w:val="001E2A0E"/>
    <w:rsid w:val="001E2A18"/>
    <w:rsid w:val="001E2D3C"/>
    <w:rsid w:val="001E2E59"/>
    <w:rsid w:val="001E3196"/>
    <w:rsid w:val="001E3200"/>
    <w:rsid w:val="001E37AB"/>
    <w:rsid w:val="001E387C"/>
    <w:rsid w:val="001E394A"/>
    <w:rsid w:val="001E39A8"/>
    <w:rsid w:val="001E3AF9"/>
    <w:rsid w:val="001E3B99"/>
    <w:rsid w:val="001E3C28"/>
    <w:rsid w:val="001E3C40"/>
    <w:rsid w:val="001E3CF2"/>
    <w:rsid w:val="001E3FA6"/>
    <w:rsid w:val="001E40E0"/>
    <w:rsid w:val="001E4363"/>
    <w:rsid w:val="001E4372"/>
    <w:rsid w:val="001E4375"/>
    <w:rsid w:val="001E446C"/>
    <w:rsid w:val="001E454F"/>
    <w:rsid w:val="001E48E7"/>
    <w:rsid w:val="001E492F"/>
    <w:rsid w:val="001E4994"/>
    <w:rsid w:val="001E4BEF"/>
    <w:rsid w:val="001E4C82"/>
    <w:rsid w:val="001E4DF1"/>
    <w:rsid w:val="001E4F6C"/>
    <w:rsid w:val="001E5203"/>
    <w:rsid w:val="001E526A"/>
    <w:rsid w:val="001E530E"/>
    <w:rsid w:val="001E5569"/>
    <w:rsid w:val="001E563C"/>
    <w:rsid w:val="001E56AE"/>
    <w:rsid w:val="001E588C"/>
    <w:rsid w:val="001E5ABB"/>
    <w:rsid w:val="001E5AE2"/>
    <w:rsid w:val="001E5AEC"/>
    <w:rsid w:val="001E5C2F"/>
    <w:rsid w:val="001E5D16"/>
    <w:rsid w:val="001E5F59"/>
    <w:rsid w:val="001E6012"/>
    <w:rsid w:val="001E60E4"/>
    <w:rsid w:val="001E6433"/>
    <w:rsid w:val="001E6435"/>
    <w:rsid w:val="001E6544"/>
    <w:rsid w:val="001E6659"/>
    <w:rsid w:val="001E6694"/>
    <w:rsid w:val="001E6873"/>
    <w:rsid w:val="001E6B58"/>
    <w:rsid w:val="001E6C2C"/>
    <w:rsid w:val="001E6CAC"/>
    <w:rsid w:val="001E6CEE"/>
    <w:rsid w:val="001E6DDD"/>
    <w:rsid w:val="001E6DF1"/>
    <w:rsid w:val="001E6F93"/>
    <w:rsid w:val="001E704E"/>
    <w:rsid w:val="001E71F1"/>
    <w:rsid w:val="001E72AD"/>
    <w:rsid w:val="001E742C"/>
    <w:rsid w:val="001E74B3"/>
    <w:rsid w:val="001E77D2"/>
    <w:rsid w:val="001E79F1"/>
    <w:rsid w:val="001E7AD4"/>
    <w:rsid w:val="001F002D"/>
    <w:rsid w:val="001F00B8"/>
    <w:rsid w:val="001F02E1"/>
    <w:rsid w:val="001F055D"/>
    <w:rsid w:val="001F05B4"/>
    <w:rsid w:val="001F0607"/>
    <w:rsid w:val="001F0612"/>
    <w:rsid w:val="001F064C"/>
    <w:rsid w:val="001F0783"/>
    <w:rsid w:val="001F085A"/>
    <w:rsid w:val="001F09D6"/>
    <w:rsid w:val="001F0BAA"/>
    <w:rsid w:val="001F0C41"/>
    <w:rsid w:val="001F0CE6"/>
    <w:rsid w:val="001F0E30"/>
    <w:rsid w:val="001F107C"/>
    <w:rsid w:val="001F10C5"/>
    <w:rsid w:val="001F1147"/>
    <w:rsid w:val="001F11A8"/>
    <w:rsid w:val="001F1300"/>
    <w:rsid w:val="001F13BF"/>
    <w:rsid w:val="001F173E"/>
    <w:rsid w:val="001F174D"/>
    <w:rsid w:val="001F17A3"/>
    <w:rsid w:val="001F1AF9"/>
    <w:rsid w:val="001F1CDB"/>
    <w:rsid w:val="001F1D77"/>
    <w:rsid w:val="001F1F03"/>
    <w:rsid w:val="001F1F4C"/>
    <w:rsid w:val="001F1F82"/>
    <w:rsid w:val="001F207C"/>
    <w:rsid w:val="001F209C"/>
    <w:rsid w:val="001F20CE"/>
    <w:rsid w:val="001F2221"/>
    <w:rsid w:val="001F2222"/>
    <w:rsid w:val="001F22E3"/>
    <w:rsid w:val="001F230B"/>
    <w:rsid w:val="001F239C"/>
    <w:rsid w:val="001F25A6"/>
    <w:rsid w:val="001F2784"/>
    <w:rsid w:val="001F2912"/>
    <w:rsid w:val="001F2986"/>
    <w:rsid w:val="001F2AB1"/>
    <w:rsid w:val="001F2CDC"/>
    <w:rsid w:val="001F2D78"/>
    <w:rsid w:val="001F2D8E"/>
    <w:rsid w:val="001F2E1F"/>
    <w:rsid w:val="001F2F6B"/>
    <w:rsid w:val="001F2F6D"/>
    <w:rsid w:val="001F2FE3"/>
    <w:rsid w:val="001F316F"/>
    <w:rsid w:val="001F345D"/>
    <w:rsid w:val="001F353D"/>
    <w:rsid w:val="001F35D9"/>
    <w:rsid w:val="001F3666"/>
    <w:rsid w:val="001F372D"/>
    <w:rsid w:val="001F378B"/>
    <w:rsid w:val="001F37D3"/>
    <w:rsid w:val="001F38F5"/>
    <w:rsid w:val="001F393D"/>
    <w:rsid w:val="001F3996"/>
    <w:rsid w:val="001F3BB2"/>
    <w:rsid w:val="001F3BC8"/>
    <w:rsid w:val="001F3DB1"/>
    <w:rsid w:val="001F405A"/>
    <w:rsid w:val="001F40B8"/>
    <w:rsid w:val="001F40E2"/>
    <w:rsid w:val="001F436A"/>
    <w:rsid w:val="001F458F"/>
    <w:rsid w:val="001F4846"/>
    <w:rsid w:val="001F498D"/>
    <w:rsid w:val="001F4B18"/>
    <w:rsid w:val="001F4D44"/>
    <w:rsid w:val="001F4DFC"/>
    <w:rsid w:val="001F4EA4"/>
    <w:rsid w:val="001F4EEB"/>
    <w:rsid w:val="001F4F00"/>
    <w:rsid w:val="001F4FA4"/>
    <w:rsid w:val="001F50C9"/>
    <w:rsid w:val="001F5242"/>
    <w:rsid w:val="001F54E3"/>
    <w:rsid w:val="001F5580"/>
    <w:rsid w:val="001F55B8"/>
    <w:rsid w:val="001F55DC"/>
    <w:rsid w:val="001F563A"/>
    <w:rsid w:val="001F56E2"/>
    <w:rsid w:val="001F580B"/>
    <w:rsid w:val="001F5832"/>
    <w:rsid w:val="001F5C91"/>
    <w:rsid w:val="001F5DC6"/>
    <w:rsid w:val="001F5E27"/>
    <w:rsid w:val="001F5F8A"/>
    <w:rsid w:val="001F6109"/>
    <w:rsid w:val="001F61B0"/>
    <w:rsid w:val="001F63A5"/>
    <w:rsid w:val="001F681D"/>
    <w:rsid w:val="001F687B"/>
    <w:rsid w:val="001F68E8"/>
    <w:rsid w:val="001F693B"/>
    <w:rsid w:val="001F6AA1"/>
    <w:rsid w:val="001F6B7E"/>
    <w:rsid w:val="001F6BD6"/>
    <w:rsid w:val="001F6CCD"/>
    <w:rsid w:val="001F70A5"/>
    <w:rsid w:val="001F7320"/>
    <w:rsid w:val="001F7334"/>
    <w:rsid w:val="001F73B1"/>
    <w:rsid w:val="001F748E"/>
    <w:rsid w:val="001F794A"/>
    <w:rsid w:val="001F7954"/>
    <w:rsid w:val="001F79ED"/>
    <w:rsid w:val="001F7B9F"/>
    <w:rsid w:val="001F7C85"/>
    <w:rsid w:val="001F7D1B"/>
    <w:rsid w:val="001F7D4C"/>
    <w:rsid w:val="001F7E14"/>
    <w:rsid w:val="001F7E71"/>
    <w:rsid w:val="001F7E91"/>
    <w:rsid w:val="00200014"/>
    <w:rsid w:val="002001EA"/>
    <w:rsid w:val="0020024E"/>
    <w:rsid w:val="00200481"/>
    <w:rsid w:val="0020057E"/>
    <w:rsid w:val="002007F1"/>
    <w:rsid w:val="0020083C"/>
    <w:rsid w:val="002008F1"/>
    <w:rsid w:val="00200A4A"/>
    <w:rsid w:val="00200C11"/>
    <w:rsid w:val="00200CA7"/>
    <w:rsid w:val="002010EE"/>
    <w:rsid w:val="00201204"/>
    <w:rsid w:val="0020131B"/>
    <w:rsid w:val="00201385"/>
    <w:rsid w:val="002013AB"/>
    <w:rsid w:val="002013C5"/>
    <w:rsid w:val="0020144B"/>
    <w:rsid w:val="002015D5"/>
    <w:rsid w:val="002016F3"/>
    <w:rsid w:val="002017B2"/>
    <w:rsid w:val="00201AAD"/>
    <w:rsid w:val="0020202E"/>
    <w:rsid w:val="00202194"/>
    <w:rsid w:val="00202356"/>
    <w:rsid w:val="00202499"/>
    <w:rsid w:val="002024A0"/>
    <w:rsid w:val="0020253A"/>
    <w:rsid w:val="002025A4"/>
    <w:rsid w:val="00202776"/>
    <w:rsid w:val="002027B0"/>
    <w:rsid w:val="002027EA"/>
    <w:rsid w:val="00202919"/>
    <w:rsid w:val="00202A85"/>
    <w:rsid w:val="00202C62"/>
    <w:rsid w:val="00202E5E"/>
    <w:rsid w:val="00202F1C"/>
    <w:rsid w:val="00202FB0"/>
    <w:rsid w:val="00203036"/>
    <w:rsid w:val="00203310"/>
    <w:rsid w:val="00203311"/>
    <w:rsid w:val="002033FA"/>
    <w:rsid w:val="00203562"/>
    <w:rsid w:val="00203565"/>
    <w:rsid w:val="00203AA5"/>
    <w:rsid w:val="00203BE1"/>
    <w:rsid w:val="00203C42"/>
    <w:rsid w:val="00203F36"/>
    <w:rsid w:val="00203FCD"/>
    <w:rsid w:val="0020420C"/>
    <w:rsid w:val="00204220"/>
    <w:rsid w:val="00204282"/>
    <w:rsid w:val="00204295"/>
    <w:rsid w:val="0020430F"/>
    <w:rsid w:val="0020434B"/>
    <w:rsid w:val="0020440E"/>
    <w:rsid w:val="00204551"/>
    <w:rsid w:val="00204789"/>
    <w:rsid w:val="0020482F"/>
    <w:rsid w:val="0020492E"/>
    <w:rsid w:val="00204B54"/>
    <w:rsid w:val="00204BE7"/>
    <w:rsid w:val="00204DAE"/>
    <w:rsid w:val="00204E7D"/>
    <w:rsid w:val="00204FAF"/>
    <w:rsid w:val="00205044"/>
    <w:rsid w:val="00205290"/>
    <w:rsid w:val="00205375"/>
    <w:rsid w:val="002053B0"/>
    <w:rsid w:val="0020544C"/>
    <w:rsid w:val="00205541"/>
    <w:rsid w:val="002057DF"/>
    <w:rsid w:val="00205806"/>
    <w:rsid w:val="00205850"/>
    <w:rsid w:val="002058C9"/>
    <w:rsid w:val="00205B32"/>
    <w:rsid w:val="00205D09"/>
    <w:rsid w:val="002060DA"/>
    <w:rsid w:val="00206170"/>
    <w:rsid w:val="0020631B"/>
    <w:rsid w:val="00206368"/>
    <w:rsid w:val="00206399"/>
    <w:rsid w:val="002063CF"/>
    <w:rsid w:val="0020641E"/>
    <w:rsid w:val="0020649B"/>
    <w:rsid w:val="00206637"/>
    <w:rsid w:val="002067D2"/>
    <w:rsid w:val="00206A59"/>
    <w:rsid w:val="00206B47"/>
    <w:rsid w:val="00206CED"/>
    <w:rsid w:val="00206E69"/>
    <w:rsid w:val="00206F9A"/>
    <w:rsid w:val="00207120"/>
    <w:rsid w:val="00207312"/>
    <w:rsid w:val="002074B7"/>
    <w:rsid w:val="00207557"/>
    <w:rsid w:val="00207817"/>
    <w:rsid w:val="002078E6"/>
    <w:rsid w:val="002079FA"/>
    <w:rsid w:val="00207A2B"/>
    <w:rsid w:val="00207B62"/>
    <w:rsid w:val="00207CDD"/>
    <w:rsid w:val="00207D5F"/>
    <w:rsid w:val="00207E76"/>
    <w:rsid w:val="00207F80"/>
    <w:rsid w:val="00210354"/>
    <w:rsid w:val="0021037A"/>
    <w:rsid w:val="002103D7"/>
    <w:rsid w:val="002104E9"/>
    <w:rsid w:val="0021054D"/>
    <w:rsid w:val="00210593"/>
    <w:rsid w:val="00210601"/>
    <w:rsid w:val="002106D9"/>
    <w:rsid w:val="0021075B"/>
    <w:rsid w:val="002107F1"/>
    <w:rsid w:val="002108BD"/>
    <w:rsid w:val="00210974"/>
    <w:rsid w:val="0021097E"/>
    <w:rsid w:val="002109F6"/>
    <w:rsid w:val="00210CCE"/>
    <w:rsid w:val="00210FDD"/>
    <w:rsid w:val="00210FF5"/>
    <w:rsid w:val="00211147"/>
    <w:rsid w:val="00211274"/>
    <w:rsid w:val="00211446"/>
    <w:rsid w:val="002114C3"/>
    <w:rsid w:val="0021179C"/>
    <w:rsid w:val="002117C6"/>
    <w:rsid w:val="0021184A"/>
    <w:rsid w:val="0021194A"/>
    <w:rsid w:val="00211ABA"/>
    <w:rsid w:val="00211B73"/>
    <w:rsid w:val="00211D27"/>
    <w:rsid w:val="00211F5F"/>
    <w:rsid w:val="00212045"/>
    <w:rsid w:val="0021209A"/>
    <w:rsid w:val="0021242C"/>
    <w:rsid w:val="0021251C"/>
    <w:rsid w:val="00212520"/>
    <w:rsid w:val="00212673"/>
    <w:rsid w:val="002127C5"/>
    <w:rsid w:val="002127EE"/>
    <w:rsid w:val="00212858"/>
    <w:rsid w:val="00212908"/>
    <w:rsid w:val="00212A0A"/>
    <w:rsid w:val="00212B61"/>
    <w:rsid w:val="00212BCF"/>
    <w:rsid w:val="002130BC"/>
    <w:rsid w:val="002131D2"/>
    <w:rsid w:val="002136DB"/>
    <w:rsid w:val="00213753"/>
    <w:rsid w:val="00213852"/>
    <w:rsid w:val="00213D90"/>
    <w:rsid w:val="00213DAE"/>
    <w:rsid w:val="00213DE8"/>
    <w:rsid w:val="00213DFC"/>
    <w:rsid w:val="00213FBE"/>
    <w:rsid w:val="00213FC3"/>
    <w:rsid w:val="00214054"/>
    <w:rsid w:val="00214182"/>
    <w:rsid w:val="0021434F"/>
    <w:rsid w:val="00214504"/>
    <w:rsid w:val="002145BE"/>
    <w:rsid w:val="002145E7"/>
    <w:rsid w:val="002147C1"/>
    <w:rsid w:val="00214A78"/>
    <w:rsid w:val="00214A9A"/>
    <w:rsid w:val="00214C7F"/>
    <w:rsid w:val="00214D66"/>
    <w:rsid w:val="00214DAC"/>
    <w:rsid w:val="00214E48"/>
    <w:rsid w:val="002150CC"/>
    <w:rsid w:val="002150D3"/>
    <w:rsid w:val="00215172"/>
    <w:rsid w:val="00215181"/>
    <w:rsid w:val="0021538C"/>
    <w:rsid w:val="0021549E"/>
    <w:rsid w:val="0021573E"/>
    <w:rsid w:val="00215878"/>
    <w:rsid w:val="00215AE8"/>
    <w:rsid w:val="00215D00"/>
    <w:rsid w:val="00215E65"/>
    <w:rsid w:val="0021608D"/>
    <w:rsid w:val="00216174"/>
    <w:rsid w:val="00216177"/>
    <w:rsid w:val="0021652A"/>
    <w:rsid w:val="0021685C"/>
    <w:rsid w:val="002168A9"/>
    <w:rsid w:val="00216947"/>
    <w:rsid w:val="00216963"/>
    <w:rsid w:val="00216A55"/>
    <w:rsid w:val="00216AE0"/>
    <w:rsid w:val="00216AFB"/>
    <w:rsid w:val="00216B29"/>
    <w:rsid w:val="00216CDB"/>
    <w:rsid w:val="00216E5C"/>
    <w:rsid w:val="00216EED"/>
    <w:rsid w:val="00216EF3"/>
    <w:rsid w:val="002170E2"/>
    <w:rsid w:val="002173D1"/>
    <w:rsid w:val="002174D7"/>
    <w:rsid w:val="002179E0"/>
    <w:rsid w:val="00217B07"/>
    <w:rsid w:val="00217B1C"/>
    <w:rsid w:val="00217C12"/>
    <w:rsid w:val="00217D1A"/>
    <w:rsid w:val="00217E79"/>
    <w:rsid w:val="00217F67"/>
    <w:rsid w:val="00220170"/>
    <w:rsid w:val="00220174"/>
    <w:rsid w:val="002203A3"/>
    <w:rsid w:val="00220441"/>
    <w:rsid w:val="00220657"/>
    <w:rsid w:val="0022078B"/>
    <w:rsid w:val="002207D0"/>
    <w:rsid w:val="002207FB"/>
    <w:rsid w:val="00220858"/>
    <w:rsid w:val="002208BE"/>
    <w:rsid w:val="00220B15"/>
    <w:rsid w:val="00220B5C"/>
    <w:rsid w:val="00220CF0"/>
    <w:rsid w:val="00220D24"/>
    <w:rsid w:val="00220D40"/>
    <w:rsid w:val="00220F4D"/>
    <w:rsid w:val="00220F99"/>
    <w:rsid w:val="00221065"/>
    <w:rsid w:val="0022107B"/>
    <w:rsid w:val="002210D0"/>
    <w:rsid w:val="002210E0"/>
    <w:rsid w:val="002211D5"/>
    <w:rsid w:val="0022120B"/>
    <w:rsid w:val="00221222"/>
    <w:rsid w:val="00221324"/>
    <w:rsid w:val="00221474"/>
    <w:rsid w:val="002216DA"/>
    <w:rsid w:val="00221872"/>
    <w:rsid w:val="0022193C"/>
    <w:rsid w:val="00221E26"/>
    <w:rsid w:val="00221F13"/>
    <w:rsid w:val="00221F33"/>
    <w:rsid w:val="00221FF8"/>
    <w:rsid w:val="0022201A"/>
    <w:rsid w:val="002220B4"/>
    <w:rsid w:val="002220E3"/>
    <w:rsid w:val="002220FF"/>
    <w:rsid w:val="00222148"/>
    <w:rsid w:val="002222F9"/>
    <w:rsid w:val="002224A1"/>
    <w:rsid w:val="002224B5"/>
    <w:rsid w:val="00222765"/>
    <w:rsid w:val="002228B7"/>
    <w:rsid w:val="00222B14"/>
    <w:rsid w:val="00222BE1"/>
    <w:rsid w:val="00222CA0"/>
    <w:rsid w:val="00222D4D"/>
    <w:rsid w:val="00222D59"/>
    <w:rsid w:val="00222ECF"/>
    <w:rsid w:val="00222F15"/>
    <w:rsid w:val="00222FAB"/>
    <w:rsid w:val="00222FBF"/>
    <w:rsid w:val="0022308A"/>
    <w:rsid w:val="00223125"/>
    <w:rsid w:val="0022320B"/>
    <w:rsid w:val="00223320"/>
    <w:rsid w:val="002236AE"/>
    <w:rsid w:val="002236D9"/>
    <w:rsid w:val="00223900"/>
    <w:rsid w:val="00223958"/>
    <w:rsid w:val="00223989"/>
    <w:rsid w:val="002239EF"/>
    <w:rsid w:val="00223A37"/>
    <w:rsid w:val="00223AD6"/>
    <w:rsid w:val="00223B54"/>
    <w:rsid w:val="00223C44"/>
    <w:rsid w:val="00223DB1"/>
    <w:rsid w:val="00224269"/>
    <w:rsid w:val="002242AA"/>
    <w:rsid w:val="00224301"/>
    <w:rsid w:val="00224586"/>
    <w:rsid w:val="00224ACF"/>
    <w:rsid w:val="00224B4C"/>
    <w:rsid w:val="00224BD8"/>
    <w:rsid w:val="00224E45"/>
    <w:rsid w:val="00224F52"/>
    <w:rsid w:val="00224F92"/>
    <w:rsid w:val="0022509A"/>
    <w:rsid w:val="00225291"/>
    <w:rsid w:val="00225471"/>
    <w:rsid w:val="00225598"/>
    <w:rsid w:val="00225607"/>
    <w:rsid w:val="00225942"/>
    <w:rsid w:val="00225AA5"/>
    <w:rsid w:val="00225B8A"/>
    <w:rsid w:val="00225D81"/>
    <w:rsid w:val="00225E23"/>
    <w:rsid w:val="00226074"/>
    <w:rsid w:val="00226208"/>
    <w:rsid w:val="00226249"/>
    <w:rsid w:val="00226290"/>
    <w:rsid w:val="00226307"/>
    <w:rsid w:val="002263A0"/>
    <w:rsid w:val="00226439"/>
    <w:rsid w:val="00226469"/>
    <w:rsid w:val="0022648B"/>
    <w:rsid w:val="00226617"/>
    <w:rsid w:val="00226751"/>
    <w:rsid w:val="0022687D"/>
    <w:rsid w:val="00226A92"/>
    <w:rsid w:val="00226AE8"/>
    <w:rsid w:val="00226D9D"/>
    <w:rsid w:val="00227156"/>
    <w:rsid w:val="0022723D"/>
    <w:rsid w:val="00227288"/>
    <w:rsid w:val="002275C2"/>
    <w:rsid w:val="002277B4"/>
    <w:rsid w:val="002278EC"/>
    <w:rsid w:val="00227B89"/>
    <w:rsid w:val="00227C37"/>
    <w:rsid w:val="00227C85"/>
    <w:rsid w:val="00227EC0"/>
    <w:rsid w:val="00227FCB"/>
    <w:rsid w:val="00230085"/>
    <w:rsid w:val="00230175"/>
    <w:rsid w:val="00230190"/>
    <w:rsid w:val="00230198"/>
    <w:rsid w:val="00230434"/>
    <w:rsid w:val="00230573"/>
    <w:rsid w:val="002306D9"/>
    <w:rsid w:val="00230C0C"/>
    <w:rsid w:val="00230DB2"/>
    <w:rsid w:val="00230DE4"/>
    <w:rsid w:val="00230F1A"/>
    <w:rsid w:val="00230F5F"/>
    <w:rsid w:val="00231035"/>
    <w:rsid w:val="00231169"/>
    <w:rsid w:val="002311E2"/>
    <w:rsid w:val="002314DD"/>
    <w:rsid w:val="00231532"/>
    <w:rsid w:val="00231698"/>
    <w:rsid w:val="002316C3"/>
    <w:rsid w:val="00231E22"/>
    <w:rsid w:val="00231F6C"/>
    <w:rsid w:val="00231F90"/>
    <w:rsid w:val="0023206C"/>
    <w:rsid w:val="00232338"/>
    <w:rsid w:val="002325C7"/>
    <w:rsid w:val="0023263B"/>
    <w:rsid w:val="0023263D"/>
    <w:rsid w:val="00232657"/>
    <w:rsid w:val="002326EB"/>
    <w:rsid w:val="00232A01"/>
    <w:rsid w:val="00232A66"/>
    <w:rsid w:val="00232A85"/>
    <w:rsid w:val="00232ABB"/>
    <w:rsid w:val="00232BD8"/>
    <w:rsid w:val="00232C05"/>
    <w:rsid w:val="00232CFF"/>
    <w:rsid w:val="00232E31"/>
    <w:rsid w:val="00232F0A"/>
    <w:rsid w:val="0023338A"/>
    <w:rsid w:val="002333F3"/>
    <w:rsid w:val="00233428"/>
    <w:rsid w:val="00233578"/>
    <w:rsid w:val="002335C0"/>
    <w:rsid w:val="002335F6"/>
    <w:rsid w:val="00233764"/>
    <w:rsid w:val="002337F3"/>
    <w:rsid w:val="00233851"/>
    <w:rsid w:val="00233A53"/>
    <w:rsid w:val="00233D0B"/>
    <w:rsid w:val="00233E41"/>
    <w:rsid w:val="00233E66"/>
    <w:rsid w:val="00233EE9"/>
    <w:rsid w:val="00234088"/>
    <w:rsid w:val="0023431A"/>
    <w:rsid w:val="002343BB"/>
    <w:rsid w:val="00234801"/>
    <w:rsid w:val="00234B55"/>
    <w:rsid w:val="00234CAB"/>
    <w:rsid w:val="00234CF1"/>
    <w:rsid w:val="00234D53"/>
    <w:rsid w:val="00234E82"/>
    <w:rsid w:val="00235013"/>
    <w:rsid w:val="00235062"/>
    <w:rsid w:val="00235143"/>
    <w:rsid w:val="0023520A"/>
    <w:rsid w:val="002352F2"/>
    <w:rsid w:val="002353DD"/>
    <w:rsid w:val="00235629"/>
    <w:rsid w:val="002356B4"/>
    <w:rsid w:val="00235865"/>
    <w:rsid w:val="002358ED"/>
    <w:rsid w:val="00235933"/>
    <w:rsid w:val="00235DD0"/>
    <w:rsid w:val="002360C8"/>
    <w:rsid w:val="0023619B"/>
    <w:rsid w:val="00236267"/>
    <w:rsid w:val="00236316"/>
    <w:rsid w:val="0023651A"/>
    <w:rsid w:val="0023653D"/>
    <w:rsid w:val="00236936"/>
    <w:rsid w:val="002369ED"/>
    <w:rsid w:val="00236C64"/>
    <w:rsid w:val="00236CF2"/>
    <w:rsid w:val="00236D11"/>
    <w:rsid w:val="00236EA3"/>
    <w:rsid w:val="00236FCC"/>
    <w:rsid w:val="0023702F"/>
    <w:rsid w:val="002370C0"/>
    <w:rsid w:val="002370C2"/>
    <w:rsid w:val="0023712C"/>
    <w:rsid w:val="002372D3"/>
    <w:rsid w:val="00237462"/>
    <w:rsid w:val="0023749B"/>
    <w:rsid w:val="0023749E"/>
    <w:rsid w:val="002374D9"/>
    <w:rsid w:val="0023750A"/>
    <w:rsid w:val="0023770B"/>
    <w:rsid w:val="00237901"/>
    <w:rsid w:val="00237BC2"/>
    <w:rsid w:val="00237C63"/>
    <w:rsid w:val="00237CC4"/>
    <w:rsid w:val="00237E2F"/>
    <w:rsid w:val="00237FCB"/>
    <w:rsid w:val="0024026F"/>
    <w:rsid w:val="00240349"/>
    <w:rsid w:val="00240377"/>
    <w:rsid w:val="002407E5"/>
    <w:rsid w:val="0024083F"/>
    <w:rsid w:val="002408FF"/>
    <w:rsid w:val="00240A02"/>
    <w:rsid w:val="00240BE3"/>
    <w:rsid w:val="00240D55"/>
    <w:rsid w:val="00240D8E"/>
    <w:rsid w:val="00241086"/>
    <w:rsid w:val="0024112E"/>
    <w:rsid w:val="002411E5"/>
    <w:rsid w:val="002412C4"/>
    <w:rsid w:val="00241318"/>
    <w:rsid w:val="0024137D"/>
    <w:rsid w:val="002414D6"/>
    <w:rsid w:val="00241823"/>
    <w:rsid w:val="0024189E"/>
    <w:rsid w:val="002418F2"/>
    <w:rsid w:val="00241B87"/>
    <w:rsid w:val="0024243C"/>
    <w:rsid w:val="0024248C"/>
    <w:rsid w:val="00242B50"/>
    <w:rsid w:val="00242CB9"/>
    <w:rsid w:val="00242D36"/>
    <w:rsid w:val="00242D5F"/>
    <w:rsid w:val="0024306F"/>
    <w:rsid w:val="00243241"/>
    <w:rsid w:val="00243309"/>
    <w:rsid w:val="00243365"/>
    <w:rsid w:val="002436CD"/>
    <w:rsid w:val="002437DF"/>
    <w:rsid w:val="00243877"/>
    <w:rsid w:val="0024388D"/>
    <w:rsid w:val="00243A4D"/>
    <w:rsid w:val="00243C33"/>
    <w:rsid w:val="00243D40"/>
    <w:rsid w:val="00243DC7"/>
    <w:rsid w:val="00243E9B"/>
    <w:rsid w:val="00243F20"/>
    <w:rsid w:val="00244127"/>
    <w:rsid w:val="00244158"/>
    <w:rsid w:val="0024431A"/>
    <w:rsid w:val="0024437F"/>
    <w:rsid w:val="002443A6"/>
    <w:rsid w:val="0024457B"/>
    <w:rsid w:val="002446E3"/>
    <w:rsid w:val="002448B6"/>
    <w:rsid w:val="002449F4"/>
    <w:rsid w:val="00244A47"/>
    <w:rsid w:val="00244ABF"/>
    <w:rsid w:val="00244BA2"/>
    <w:rsid w:val="00244D4A"/>
    <w:rsid w:val="00244D62"/>
    <w:rsid w:val="00244D76"/>
    <w:rsid w:val="00244E8A"/>
    <w:rsid w:val="00245437"/>
    <w:rsid w:val="00245676"/>
    <w:rsid w:val="002457A9"/>
    <w:rsid w:val="0024590E"/>
    <w:rsid w:val="002459F1"/>
    <w:rsid w:val="00245E8B"/>
    <w:rsid w:val="002460AF"/>
    <w:rsid w:val="002460DA"/>
    <w:rsid w:val="002462B3"/>
    <w:rsid w:val="002462F0"/>
    <w:rsid w:val="002462F4"/>
    <w:rsid w:val="00246308"/>
    <w:rsid w:val="0024630D"/>
    <w:rsid w:val="00246483"/>
    <w:rsid w:val="00246520"/>
    <w:rsid w:val="00246A68"/>
    <w:rsid w:val="00246A76"/>
    <w:rsid w:val="00246BA5"/>
    <w:rsid w:val="00246DD9"/>
    <w:rsid w:val="00247081"/>
    <w:rsid w:val="0024709E"/>
    <w:rsid w:val="0024717C"/>
    <w:rsid w:val="0024735F"/>
    <w:rsid w:val="0024744F"/>
    <w:rsid w:val="00247584"/>
    <w:rsid w:val="002475D1"/>
    <w:rsid w:val="0024762B"/>
    <w:rsid w:val="00247736"/>
    <w:rsid w:val="0024779F"/>
    <w:rsid w:val="002477A6"/>
    <w:rsid w:val="00247893"/>
    <w:rsid w:val="00247896"/>
    <w:rsid w:val="002478A4"/>
    <w:rsid w:val="002479C2"/>
    <w:rsid w:val="00247AB1"/>
    <w:rsid w:val="00247C29"/>
    <w:rsid w:val="00247FB5"/>
    <w:rsid w:val="00250001"/>
    <w:rsid w:val="002500DF"/>
    <w:rsid w:val="002502D1"/>
    <w:rsid w:val="0025053E"/>
    <w:rsid w:val="0025055F"/>
    <w:rsid w:val="002508B0"/>
    <w:rsid w:val="00250A08"/>
    <w:rsid w:val="00250CDB"/>
    <w:rsid w:val="00250FB6"/>
    <w:rsid w:val="00251184"/>
    <w:rsid w:val="00251541"/>
    <w:rsid w:val="00251649"/>
    <w:rsid w:val="0025170B"/>
    <w:rsid w:val="00251853"/>
    <w:rsid w:val="00251936"/>
    <w:rsid w:val="0025194B"/>
    <w:rsid w:val="002519BE"/>
    <w:rsid w:val="002519DD"/>
    <w:rsid w:val="00251A44"/>
    <w:rsid w:val="00251AA9"/>
    <w:rsid w:val="00251C17"/>
    <w:rsid w:val="00251E01"/>
    <w:rsid w:val="00251EFB"/>
    <w:rsid w:val="00252006"/>
    <w:rsid w:val="0025214E"/>
    <w:rsid w:val="0025222E"/>
    <w:rsid w:val="00252839"/>
    <w:rsid w:val="00252CFC"/>
    <w:rsid w:val="00252DBA"/>
    <w:rsid w:val="00253013"/>
    <w:rsid w:val="00253075"/>
    <w:rsid w:val="002532DC"/>
    <w:rsid w:val="00253441"/>
    <w:rsid w:val="00253442"/>
    <w:rsid w:val="0025350D"/>
    <w:rsid w:val="002536F9"/>
    <w:rsid w:val="00253C6A"/>
    <w:rsid w:val="00253DE9"/>
    <w:rsid w:val="00254395"/>
    <w:rsid w:val="00254583"/>
    <w:rsid w:val="002547C3"/>
    <w:rsid w:val="00254860"/>
    <w:rsid w:val="002548A6"/>
    <w:rsid w:val="00254C83"/>
    <w:rsid w:val="0025571B"/>
    <w:rsid w:val="0025581D"/>
    <w:rsid w:val="00255845"/>
    <w:rsid w:val="002559AD"/>
    <w:rsid w:val="00255BDE"/>
    <w:rsid w:val="00255F2A"/>
    <w:rsid w:val="00256080"/>
    <w:rsid w:val="002561F6"/>
    <w:rsid w:val="002563B3"/>
    <w:rsid w:val="00256715"/>
    <w:rsid w:val="00256C54"/>
    <w:rsid w:val="0025703C"/>
    <w:rsid w:val="002570F0"/>
    <w:rsid w:val="00257124"/>
    <w:rsid w:val="0025712B"/>
    <w:rsid w:val="00257257"/>
    <w:rsid w:val="00257367"/>
    <w:rsid w:val="00257415"/>
    <w:rsid w:val="00257752"/>
    <w:rsid w:val="002577C3"/>
    <w:rsid w:val="002578FC"/>
    <w:rsid w:val="0025790B"/>
    <w:rsid w:val="00257960"/>
    <w:rsid w:val="00257A6B"/>
    <w:rsid w:val="00257AF5"/>
    <w:rsid w:val="00257E02"/>
    <w:rsid w:val="00257F2F"/>
    <w:rsid w:val="00260431"/>
    <w:rsid w:val="002604F3"/>
    <w:rsid w:val="002605DA"/>
    <w:rsid w:val="00260619"/>
    <w:rsid w:val="002606FD"/>
    <w:rsid w:val="00260765"/>
    <w:rsid w:val="00260838"/>
    <w:rsid w:val="00260926"/>
    <w:rsid w:val="00260CF0"/>
    <w:rsid w:val="00260D29"/>
    <w:rsid w:val="00261024"/>
    <w:rsid w:val="00261069"/>
    <w:rsid w:val="002610A7"/>
    <w:rsid w:val="00261218"/>
    <w:rsid w:val="00261276"/>
    <w:rsid w:val="002612B5"/>
    <w:rsid w:val="0026134B"/>
    <w:rsid w:val="002614AC"/>
    <w:rsid w:val="002615E4"/>
    <w:rsid w:val="0026167E"/>
    <w:rsid w:val="00261716"/>
    <w:rsid w:val="0026185A"/>
    <w:rsid w:val="0026199D"/>
    <w:rsid w:val="00261C50"/>
    <w:rsid w:val="00261C5A"/>
    <w:rsid w:val="00261EFC"/>
    <w:rsid w:val="0026218D"/>
    <w:rsid w:val="002623C9"/>
    <w:rsid w:val="002623CB"/>
    <w:rsid w:val="002625CC"/>
    <w:rsid w:val="0026272A"/>
    <w:rsid w:val="00262796"/>
    <w:rsid w:val="0026293B"/>
    <w:rsid w:val="002629BD"/>
    <w:rsid w:val="00262A8A"/>
    <w:rsid w:val="00262B0B"/>
    <w:rsid w:val="00262E2B"/>
    <w:rsid w:val="00262F34"/>
    <w:rsid w:val="00262F50"/>
    <w:rsid w:val="00262FEC"/>
    <w:rsid w:val="0026306D"/>
    <w:rsid w:val="002631E6"/>
    <w:rsid w:val="0026320F"/>
    <w:rsid w:val="002634F3"/>
    <w:rsid w:val="00263731"/>
    <w:rsid w:val="0026377E"/>
    <w:rsid w:val="002637AF"/>
    <w:rsid w:val="002637D6"/>
    <w:rsid w:val="00263817"/>
    <w:rsid w:val="002638DE"/>
    <w:rsid w:val="00263974"/>
    <w:rsid w:val="00263AE1"/>
    <w:rsid w:val="00263B76"/>
    <w:rsid w:val="00263C48"/>
    <w:rsid w:val="00263D5A"/>
    <w:rsid w:val="002641A6"/>
    <w:rsid w:val="00264345"/>
    <w:rsid w:val="002643B6"/>
    <w:rsid w:val="00264411"/>
    <w:rsid w:val="002645E5"/>
    <w:rsid w:val="00264705"/>
    <w:rsid w:val="00264867"/>
    <w:rsid w:val="002649B8"/>
    <w:rsid w:val="00264B4F"/>
    <w:rsid w:val="00264CD7"/>
    <w:rsid w:val="00264DC0"/>
    <w:rsid w:val="00264E8B"/>
    <w:rsid w:val="00265068"/>
    <w:rsid w:val="002650BA"/>
    <w:rsid w:val="00265168"/>
    <w:rsid w:val="002651D3"/>
    <w:rsid w:val="002651FD"/>
    <w:rsid w:val="0026522E"/>
    <w:rsid w:val="002653EC"/>
    <w:rsid w:val="002654C4"/>
    <w:rsid w:val="00265881"/>
    <w:rsid w:val="00265C3C"/>
    <w:rsid w:val="00265C82"/>
    <w:rsid w:val="002660BD"/>
    <w:rsid w:val="00266150"/>
    <w:rsid w:val="002662A2"/>
    <w:rsid w:val="002662B7"/>
    <w:rsid w:val="002662BB"/>
    <w:rsid w:val="002663B8"/>
    <w:rsid w:val="0026659B"/>
    <w:rsid w:val="00266649"/>
    <w:rsid w:val="00266672"/>
    <w:rsid w:val="002666FB"/>
    <w:rsid w:val="00266747"/>
    <w:rsid w:val="002668A0"/>
    <w:rsid w:val="002668D7"/>
    <w:rsid w:val="002669A3"/>
    <w:rsid w:val="002669D4"/>
    <w:rsid w:val="00266C29"/>
    <w:rsid w:val="00266D7D"/>
    <w:rsid w:val="00266DF1"/>
    <w:rsid w:val="00266ECD"/>
    <w:rsid w:val="00267197"/>
    <w:rsid w:val="002671DD"/>
    <w:rsid w:val="002672FC"/>
    <w:rsid w:val="002673A9"/>
    <w:rsid w:val="00267663"/>
    <w:rsid w:val="002676A8"/>
    <w:rsid w:val="00267956"/>
    <w:rsid w:val="00267CBC"/>
    <w:rsid w:val="00267D54"/>
    <w:rsid w:val="00267D64"/>
    <w:rsid w:val="00267D77"/>
    <w:rsid w:val="00270228"/>
    <w:rsid w:val="00270651"/>
    <w:rsid w:val="00270727"/>
    <w:rsid w:val="00270735"/>
    <w:rsid w:val="002707D9"/>
    <w:rsid w:val="002708BB"/>
    <w:rsid w:val="00270998"/>
    <w:rsid w:val="00270A1A"/>
    <w:rsid w:val="00270A3E"/>
    <w:rsid w:val="00270AA6"/>
    <w:rsid w:val="00270ABE"/>
    <w:rsid w:val="00270BC2"/>
    <w:rsid w:val="00270C1A"/>
    <w:rsid w:val="00270C67"/>
    <w:rsid w:val="00270CC6"/>
    <w:rsid w:val="00270FD6"/>
    <w:rsid w:val="00271068"/>
    <w:rsid w:val="00271194"/>
    <w:rsid w:val="00271198"/>
    <w:rsid w:val="0027125D"/>
    <w:rsid w:val="0027131D"/>
    <w:rsid w:val="00271578"/>
    <w:rsid w:val="0027157E"/>
    <w:rsid w:val="00271822"/>
    <w:rsid w:val="00271A0B"/>
    <w:rsid w:val="00271A0E"/>
    <w:rsid w:val="00271EEE"/>
    <w:rsid w:val="00271F94"/>
    <w:rsid w:val="0027214F"/>
    <w:rsid w:val="002721C8"/>
    <w:rsid w:val="00272223"/>
    <w:rsid w:val="002723AA"/>
    <w:rsid w:val="00272668"/>
    <w:rsid w:val="002726BE"/>
    <w:rsid w:val="002728D4"/>
    <w:rsid w:val="00272973"/>
    <w:rsid w:val="00272C1F"/>
    <w:rsid w:val="00272D50"/>
    <w:rsid w:val="00272DF6"/>
    <w:rsid w:val="00272E19"/>
    <w:rsid w:val="00272F70"/>
    <w:rsid w:val="0027310C"/>
    <w:rsid w:val="0027346F"/>
    <w:rsid w:val="002734DC"/>
    <w:rsid w:val="00273578"/>
    <w:rsid w:val="00273616"/>
    <w:rsid w:val="0027388A"/>
    <w:rsid w:val="00273B5A"/>
    <w:rsid w:val="00273B78"/>
    <w:rsid w:val="00273CBB"/>
    <w:rsid w:val="00273CEC"/>
    <w:rsid w:val="00273E97"/>
    <w:rsid w:val="002740DE"/>
    <w:rsid w:val="002740EC"/>
    <w:rsid w:val="002743E2"/>
    <w:rsid w:val="0027440B"/>
    <w:rsid w:val="0027452A"/>
    <w:rsid w:val="002745D1"/>
    <w:rsid w:val="002745F6"/>
    <w:rsid w:val="00274634"/>
    <w:rsid w:val="002746C8"/>
    <w:rsid w:val="00274707"/>
    <w:rsid w:val="00274748"/>
    <w:rsid w:val="00274897"/>
    <w:rsid w:val="002749F7"/>
    <w:rsid w:val="00274A61"/>
    <w:rsid w:val="00274ACF"/>
    <w:rsid w:val="00274CAB"/>
    <w:rsid w:val="00274ED9"/>
    <w:rsid w:val="0027506A"/>
    <w:rsid w:val="0027521D"/>
    <w:rsid w:val="002753CC"/>
    <w:rsid w:val="00275706"/>
    <w:rsid w:val="0027577D"/>
    <w:rsid w:val="002759A0"/>
    <w:rsid w:val="00275FB3"/>
    <w:rsid w:val="00275FEC"/>
    <w:rsid w:val="002760FA"/>
    <w:rsid w:val="002760FE"/>
    <w:rsid w:val="00276190"/>
    <w:rsid w:val="0027624D"/>
    <w:rsid w:val="002766D7"/>
    <w:rsid w:val="00276CB3"/>
    <w:rsid w:val="00277442"/>
    <w:rsid w:val="0027776B"/>
    <w:rsid w:val="00277AC9"/>
    <w:rsid w:val="00277AD7"/>
    <w:rsid w:val="00277DE5"/>
    <w:rsid w:val="0028010E"/>
    <w:rsid w:val="00280207"/>
    <w:rsid w:val="00280242"/>
    <w:rsid w:val="00280257"/>
    <w:rsid w:val="0028025C"/>
    <w:rsid w:val="002803B4"/>
    <w:rsid w:val="0028050C"/>
    <w:rsid w:val="002805B2"/>
    <w:rsid w:val="00280696"/>
    <w:rsid w:val="00280845"/>
    <w:rsid w:val="00280890"/>
    <w:rsid w:val="00280952"/>
    <w:rsid w:val="00280CA2"/>
    <w:rsid w:val="00280CD6"/>
    <w:rsid w:val="00280F5A"/>
    <w:rsid w:val="00281100"/>
    <w:rsid w:val="002811E5"/>
    <w:rsid w:val="00281268"/>
    <w:rsid w:val="0028131E"/>
    <w:rsid w:val="002813B1"/>
    <w:rsid w:val="00281437"/>
    <w:rsid w:val="00281633"/>
    <w:rsid w:val="0028181A"/>
    <w:rsid w:val="0028199C"/>
    <w:rsid w:val="00281AE0"/>
    <w:rsid w:val="00281FBF"/>
    <w:rsid w:val="00282097"/>
    <w:rsid w:val="00282156"/>
    <w:rsid w:val="002821D7"/>
    <w:rsid w:val="002822E2"/>
    <w:rsid w:val="002823F0"/>
    <w:rsid w:val="00282669"/>
    <w:rsid w:val="002826AE"/>
    <w:rsid w:val="0028270B"/>
    <w:rsid w:val="002827E6"/>
    <w:rsid w:val="0028281D"/>
    <w:rsid w:val="002829FE"/>
    <w:rsid w:val="00282AEC"/>
    <w:rsid w:val="00282D56"/>
    <w:rsid w:val="00282E22"/>
    <w:rsid w:val="00282EC3"/>
    <w:rsid w:val="00282FE4"/>
    <w:rsid w:val="002831C1"/>
    <w:rsid w:val="00283233"/>
    <w:rsid w:val="00283467"/>
    <w:rsid w:val="002838C1"/>
    <w:rsid w:val="00283A05"/>
    <w:rsid w:val="00283AE0"/>
    <w:rsid w:val="00283C0D"/>
    <w:rsid w:val="00283C47"/>
    <w:rsid w:val="00283E77"/>
    <w:rsid w:val="00283F63"/>
    <w:rsid w:val="00283FC3"/>
    <w:rsid w:val="0028403A"/>
    <w:rsid w:val="002842B3"/>
    <w:rsid w:val="002842B7"/>
    <w:rsid w:val="0028444C"/>
    <w:rsid w:val="00284458"/>
    <w:rsid w:val="00284576"/>
    <w:rsid w:val="0028466F"/>
    <w:rsid w:val="002847CF"/>
    <w:rsid w:val="002849B8"/>
    <w:rsid w:val="00284A8C"/>
    <w:rsid w:val="00284AE1"/>
    <w:rsid w:val="00284BB1"/>
    <w:rsid w:val="00284CF5"/>
    <w:rsid w:val="00284ECB"/>
    <w:rsid w:val="00285137"/>
    <w:rsid w:val="00285153"/>
    <w:rsid w:val="002851C0"/>
    <w:rsid w:val="002852A5"/>
    <w:rsid w:val="002852B9"/>
    <w:rsid w:val="0028541D"/>
    <w:rsid w:val="002857B6"/>
    <w:rsid w:val="00285860"/>
    <w:rsid w:val="0028593D"/>
    <w:rsid w:val="00285AD2"/>
    <w:rsid w:val="00285BEC"/>
    <w:rsid w:val="00285C66"/>
    <w:rsid w:val="00285CC1"/>
    <w:rsid w:val="00285E13"/>
    <w:rsid w:val="00285E4C"/>
    <w:rsid w:val="00285F25"/>
    <w:rsid w:val="002863DC"/>
    <w:rsid w:val="0028674E"/>
    <w:rsid w:val="002869B3"/>
    <w:rsid w:val="00286AD6"/>
    <w:rsid w:val="00286EAB"/>
    <w:rsid w:val="00286ECD"/>
    <w:rsid w:val="00287005"/>
    <w:rsid w:val="0028711C"/>
    <w:rsid w:val="00287215"/>
    <w:rsid w:val="0028730A"/>
    <w:rsid w:val="0028740F"/>
    <w:rsid w:val="00287468"/>
    <w:rsid w:val="00287472"/>
    <w:rsid w:val="00287522"/>
    <w:rsid w:val="00287733"/>
    <w:rsid w:val="00287778"/>
    <w:rsid w:val="002877A8"/>
    <w:rsid w:val="00287923"/>
    <w:rsid w:val="00287B49"/>
    <w:rsid w:val="00287B4E"/>
    <w:rsid w:val="00287C3B"/>
    <w:rsid w:val="00287EA3"/>
    <w:rsid w:val="00287FCC"/>
    <w:rsid w:val="00287FD8"/>
    <w:rsid w:val="0029001E"/>
    <w:rsid w:val="0029010F"/>
    <w:rsid w:val="00290373"/>
    <w:rsid w:val="00290594"/>
    <w:rsid w:val="0029063C"/>
    <w:rsid w:val="002906BD"/>
    <w:rsid w:val="0029078F"/>
    <w:rsid w:val="00290934"/>
    <w:rsid w:val="00290970"/>
    <w:rsid w:val="00290D89"/>
    <w:rsid w:val="00290EC0"/>
    <w:rsid w:val="00290EF3"/>
    <w:rsid w:val="00290F14"/>
    <w:rsid w:val="0029105E"/>
    <w:rsid w:val="002911AC"/>
    <w:rsid w:val="0029121F"/>
    <w:rsid w:val="00291374"/>
    <w:rsid w:val="002917FE"/>
    <w:rsid w:val="00291941"/>
    <w:rsid w:val="00291952"/>
    <w:rsid w:val="00291A2C"/>
    <w:rsid w:val="00291AB7"/>
    <w:rsid w:val="00291E54"/>
    <w:rsid w:val="00291F6D"/>
    <w:rsid w:val="00291F94"/>
    <w:rsid w:val="0029238B"/>
    <w:rsid w:val="002924D5"/>
    <w:rsid w:val="00292558"/>
    <w:rsid w:val="00292660"/>
    <w:rsid w:val="0029278D"/>
    <w:rsid w:val="002927CC"/>
    <w:rsid w:val="0029289B"/>
    <w:rsid w:val="0029295E"/>
    <w:rsid w:val="00292960"/>
    <w:rsid w:val="00292964"/>
    <w:rsid w:val="0029298A"/>
    <w:rsid w:val="00292AE2"/>
    <w:rsid w:val="00292CEC"/>
    <w:rsid w:val="00292CF5"/>
    <w:rsid w:val="00292D03"/>
    <w:rsid w:val="00292F83"/>
    <w:rsid w:val="00293031"/>
    <w:rsid w:val="002931E4"/>
    <w:rsid w:val="0029322B"/>
    <w:rsid w:val="00293501"/>
    <w:rsid w:val="0029354F"/>
    <w:rsid w:val="00293609"/>
    <w:rsid w:val="00293631"/>
    <w:rsid w:val="002936AD"/>
    <w:rsid w:val="002936FF"/>
    <w:rsid w:val="00293A19"/>
    <w:rsid w:val="00293BE5"/>
    <w:rsid w:val="00293DB1"/>
    <w:rsid w:val="00293E45"/>
    <w:rsid w:val="00293F0B"/>
    <w:rsid w:val="00293F8E"/>
    <w:rsid w:val="002940F9"/>
    <w:rsid w:val="002942CF"/>
    <w:rsid w:val="002944CC"/>
    <w:rsid w:val="00294509"/>
    <w:rsid w:val="0029450C"/>
    <w:rsid w:val="00294530"/>
    <w:rsid w:val="00294669"/>
    <w:rsid w:val="00294701"/>
    <w:rsid w:val="002949BF"/>
    <w:rsid w:val="00294AC2"/>
    <w:rsid w:val="00294E2F"/>
    <w:rsid w:val="00294E74"/>
    <w:rsid w:val="00294E93"/>
    <w:rsid w:val="002950E3"/>
    <w:rsid w:val="00295121"/>
    <w:rsid w:val="002951D5"/>
    <w:rsid w:val="0029521C"/>
    <w:rsid w:val="0029548B"/>
    <w:rsid w:val="00295507"/>
    <w:rsid w:val="00295540"/>
    <w:rsid w:val="0029567D"/>
    <w:rsid w:val="00295791"/>
    <w:rsid w:val="00295880"/>
    <w:rsid w:val="00295A46"/>
    <w:rsid w:val="00295B91"/>
    <w:rsid w:val="00295D3A"/>
    <w:rsid w:val="00296075"/>
    <w:rsid w:val="002960C5"/>
    <w:rsid w:val="0029616A"/>
    <w:rsid w:val="00296310"/>
    <w:rsid w:val="0029644B"/>
    <w:rsid w:val="0029662F"/>
    <w:rsid w:val="0029682E"/>
    <w:rsid w:val="0029693A"/>
    <w:rsid w:val="00296A1E"/>
    <w:rsid w:val="00296B35"/>
    <w:rsid w:val="00296CE0"/>
    <w:rsid w:val="00296DE2"/>
    <w:rsid w:val="00296E2B"/>
    <w:rsid w:val="00296F05"/>
    <w:rsid w:val="00297252"/>
    <w:rsid w:val="0029761F"/>
    <w:rsid w:val="002977C8"/>
    <w:rsid w:val="002978A3"/>
    <w:rsid w:val="002978E8"/>
    <w:rsid w:val="00297AC1"/>
    <w:rsid w:val="00297B90"/>
    <w:rsid w:val="00297BE3"/>
    <w:rsid w:val="00297C5E"/>
    <w:rsid w:val="00297C77"/>
    <w:rsid w:val="00297D5E"/>
    <w:rsid w:val="00297E7C"/>
    <w:rsid w:val="002A0618"/>
    <w:rsid w:val="002A0620"/>
    <w:rsid w:val="002A0690"/>
    <w:rsid w:val="002A0715"/>
    <w:rsid w:val="002A08FD"/>
    <w:rsid w:val="002A0973"/>
    <w:rsid w:val="002A0A6D"/>
    <w:rsid w:val="002A0A93"/>
    <w:rsid w:val="002A0D22"/>
    <w:rsid w:val="002A0F23"/>
    <w:rsid w:val="002A0FE3"/>
    <w:rsid w:val="002A101B"/>
    <w:rsid w:val="002A11D3"/>
    <w:rsid w:val="002A1356"/>
    <w:rsid w:val="002A14AF"/>
    <w:rsid w:val="002A15A8"/>
    <w:rsid w:val="002A15E3"/>
    <w:rsid w:val="002A1921"/>
    <w:rsid w:val="002A19D0"/>
    <w:rsid w:val="002A1A1C"/>
    <w:rsid w:val="002A1A6E"/>
    <w:rsid w:val="002A1C97"/>
    <w:rsid w:val="002A1CF1"/>
    <w:rsid w:val="002A1DFD"/>
    <w:rsid w:val="002A1E87"/>
    <w:rsid w:val="002A2043"/>
    <w:rsid w:val="002A26DC"/>
    <w:rsid w:val="002A2802"/>
    <w:rsid w:val="002A28E9"/>
    <w:rsid w:val="002A28F1"/>
    <w:rsid w:val="002A2B90"/>
    <w:rsid w:val="002A2D29"/>
    <w:rsid w:val="002A2E7D"/>
    <w:rsid w:val="002A2EFD"/>
    <w:rsid w:val="002A33F7"/>
    <w:rsid w:val="002A3498"/>
    <w:rsid w:val="002A34F3"/>
    <w:rsid w:val="002A3516"/>
    <w:rsid w:val="002A3748"/>
    <w:rsid w:val="002A3763"/>
    <w:rsid w:val="002A380B"/>
    <w:rsid w:val="002A3967"/>
    <w:rsid w:val="002A3BC6"/>
    <w:rsid w:val="002A3C2E"/>
    <w:rsid w:val="002A3DC5"/>
    <w:rsid w:val="002A3DCB"/>
    <w:rsid w:val="002A3E60"/>
    <w:rsid w:val="002A3F6D"/>
    <w:rsid w:val="002A3FD4"/>
    <w:rsid w:val="002A4127"/>
    <w:rsid w:val="002A413A"/>
    <w:rsid w:val="002A415A"/>
    <w:rsid w:val="002A416E"/>
    <w:rsid w:val="002A41C3"/>
    <w:rsid w:val="002A4348"/>
    <w:rsid w:val="002A4443"/>
    <w:rsid w:val="002A45A6"/>
    <w:rsid w:val="002A474F"/>
    <w:rsid w:val="002A47A6"/>
    <w:rsid w:val="002A47DD"/>
    <w:rsid w:val="002A47E9"/>
    <w:rsid w:val="002A4925"/>
    <w:rsid w:val="002A4958"/>
    <w:rsid w:val="002A4AB8"/>
    <w:rsid w:val="002A4B39"/>
    <w:rsid w:val="002A4B7C"/>
    <w:rsid w:val="002A4D16"/>
    <w:rsid w:val="002A4E6C"/>
    <w:rsid w:val="002A50AE"/>
    <w:rsid w:val="002A5198"/>
    <w:rsid w:val="002A5241"/>
    <w:rsid w:val="002A5288"/>
    <w:rsid w:val="002A5316"/>
    <w:rsid w:val="002A535B"/>
    <w:rsid w:val="002A5379"/>
    <w:rsid w:val="002A5719"/>
    <w:rsid w:val="002A5807"/>
    <w:rsid w:val="002A5855"/>
    <w:rsid w:val="002A59CE"/>
    <w:rsid w:val="002A5B04"/>
    <w:rsid w:val="002A5B44"/>
    <w:rsid w:val="002A5C5E"/>
    <w:rsid w:val="002A5CA1"/>
    <w:rsid w:val="002A5CC5"/>
    <w:rsid w:val="002A5D16"/>
    <w:rsid w:val="002A5E4A"/>
    <w:rsid w:val="002A5F4B"/>
    <w:rsid w:val="002A5F7B"/>
    <w:rsid w:val="002A6170"/>
    <w:rsid w:val="002A61D5"/>
    <w:rsid w:val="002A644F"/>
    <w:rsid w:val="002A64AB"/>
    <w:rsid w:val="002A6504"/>
    <w:rsid w:val="002A66CF"/>
    <w:rsid w:val="002A67A1"/>
    <w:rsid w:val="002A6846"/>
    <w:rsid w:val="002A6955"/>
    <w:rsid w:val="002A6A16"/>
    <w:rsid w:val="002A6BF2"/>
    <w:rsid w:val="002A6E7D"/>
    <w:rsid w:val="002A6F9B"/>
    <w:rsid w:val="002A72DC"/>
    <w:rsid w:val="002A7360"/>
    <w:rsid w:val="002A73E1"/>
    <w:rsid w:val="002A740D"/>
    <w:rsid w:val="002A76CD"/>
    <w:rsid w:val="002A7709"/>
    <w:rsid w:val="002A7A0A"/>
    <w:rsid w:val="002A7AE4"/>
    <w:rsid w:val="002A7B4F"/>
    <w:rsid w:val="002A7B71"/>
    <w:rsid w:val="002A7BCA"/>
    <w:rsid w:val="002A7BE8"/>
    <w:rsid w:val="002A7C46"/>
    <w:rsid w:val="002A7C90"/>
    <w:rsid w:val="002A7CB9"/>
    <w:rsid w:val="002A7DC9"/>
    <w:rsid w:val="002A7E05"/>
    <w:rsid w:val="002A7F3D"/>
    <w:rsid w:val="002A7F86"/>
    <w:rsid w:val="002A8726"/>
    <w:rsid w:val="002B0159"/>
    <w:rsid w:val="002B019A"/>
    <w:rsid w:val="002B0213"/>
    <w:rsid w:val="002B02C0"/>
    <w:rsid w:val="002B0322"/>
    <w:rsid w:val="002B03A0"/>
    <w:rsid w:val="002B06B3"/>
    <w:rsid w:val="002B0912"/>
    <w:rsid w:val="002B0AFE"/>
    <w:rsid w:val="002B0C73"/>
    <w:rsid w:val="002B0CD5"/>
    <w:rsid w:val="002B0F2B"/>
    <w:rsid w:val="002B0F2F"/>
    <w:rsid w:val="002B110A"/>
    <w:rsid w:val="002B1388"/>
    <w:rsid w:val="002B13B4"/>
    <w:rsid w:val="002B1515"/>
    <w:rsid w:val="002B154B"/>
    <w:rsid w:val="002B1686"/>
    <w:rsid w:val="002B18FE"/>
    <w:rsid w:val="002B19DE"/>
    <w:rsid w:val="002B1B36"/>
    <w:rsid w:val="002B1B47"/>
    <w:rsid w:val="002B1D51"/>
    <w:rsid w:val="002B1D90"/>
    <w:rsid w:val="002B2062"/>
    <w:rsid w:val="002B215A"/>
    <w:rsid w:val="002B2261"/>
    <w:rsid w:val="002B22C7"/>
    <w:rsid w:val="002B2678"/>
    <w:rsid w:val="002B28A7"/>
    <w:rsid w:val="002B2CAE"/>
    <w:rsid w:val="002B2E28"/>
    <w:rsid w:val="002B2ED4"/>
    <w:rsid w:val="002B2EFF"/>
    <w:rsid w:val="002B31D4"/>
    <w:rsid w:val="002B3246"/>
    <w:rsid w:val="002B3397"/>
    <w:rsid w:val="002B33EF"/>
    <w:rsid w:val="002B341D"/>
    <w:rsid w:val="002B3562"/>
    <w:rsid w:val="002B382D"/>
    <w:rsid w:val="002B392B"/>
    <w:rsid w:val="002B3AC6"/>
    <w:rsid w:val="002B3C2E"/>
    <w:rsid w:val="002B3C84"/>
    <w:rsid w:val="002B3CCD"/>
    <w:rsid w:val="002B3D5B"/>
    <w:rsid w:val="002B3E8D"/>
    <w:rsid w:val="002B40A5"/>
    <w:rsid w:val="002B422C"/>
    <w:rsid w:val="002B447F"/>
    <w:rsid w:val="002B4588"/>
    <w:rsid w:val="002B467A"/>
    <w:rsid w:val="002B4800"/>
    <w:rsid w:val="002B4982"/>
    <w:rsid w:val="002B498D"/>
    <w:rsid w:val="002B4AAB"/>
    <w:rsid w:val="002B4AD2"/>
    <w:rsid w:val="002B4B23"/>
    <w:rsid w:val="002B4C16"/>
    <w:rsid w:val="002B4D1C"/>
    <w:rsid w:val="002B4D61"/>
    <w:rsid w:val="002B4EB8"/>
    <w:rsid w:val="002B505F"/>
    <w:rsid w:val="002B5069"/>
    <w:rsid w:val="002B50E6"/>
    <w:rsid w:val="002B5157"/>
    <w:rsid w:val="002B5189"/>
    <w:rsid w:val="002B5665"/>
    <w:rsid w:val="002B56FD"/>
    <w:rsid w:val="002B5740"/>
    <w:rsid w:val="002B5838"/>
    <w:rsid w:val="002B589C"/>
    <w:rsid w:val="002B596A"/>
    <w:rsid w:val="002B59A1"/>
    <w:rsid w:val="002B5A5F"/>
    <w:rsid w:val="002B5A9F"/>
    <w:rsid w:val="002B5C9C"/>
    <w:rsid w:val="002B5E3E"/>
    <w:rsid w:val="002B5E66"/>
    <w:rsid w:val="002B5EEC"/>
    <w:rsid w:val="002B62E0"/>
    <w:rsid w:val="002B65C0"/>
    <w:rsid w:val="002B687C"/>
    <w:rsid w:val="002B692D"/>
    <w:rsid w:val="002B6B59"/>
    <w:rsid w:val="002B6CB2"/>
    <w:rsid w:val="002B6CCB"/>
    <w:rsid w:val="002B6E40"/>
    <w:rsid w:val="002B6EAB"/>
    <w:rsid w:val="002B6EEF"/>
    <w:rsid w:val="002B6F9D"/>
    <w:rsid w:val="002B7132"/>
    <w:rsid w:val="002B71DE"/>
    <w:rsid w:val="002B7287"/>
    <w:rsid w:val="002B74F4"/>
    <w:rsid w:val="002B756A"/>
    <w:rsid w:val="002B78D9"/>
    <w:rsid w:val="002B79FC"/>
    <w:rsid w:val="002B7A01"/>
    <w:rsid w:val="002B7B4E"/>
    <w:rsid w:val="002B7F53"/>
    <w:rsid w:val="002C0281"/>
    <w:rsid w:val="002C02C7"/>
    <w:rsid w:val="002C079C"/>
    <w:rsid w:val="002C09E3"/>
    <w:rsid w:val="002C0F62"/>
    <w:rsid w:val="002C1053"/>
    <w:rsid w:val="002C134F"/>
    <w:rsid w:val="002C13C3"/>
    <w:rsid w:val="002C1590"/>
    <w:rsid w:val="002C15A3"/>
    <w:rsid w:val="002C1703"/>
    <w:rsid w:val="002C171A"/>
    <w:rsid w:val="002C1847"/>
    <w:rsid w:val="002C1933"/>
    <w:rsid w:val="002C1D4E"/>
    <w:rsid w:val="002C1D5F"/>
    <w:rsid w:val="002C1DB9"/>
    <w:rsid w:val="002C1F3A"/>
    <w:rsid w:val="002C200E"/>
    <w:rsid w:val="002C22AB"/>
    <w:rsid w:val="002C25CC"/>
    <w:rsid w:val="002C2693"/>
    <w:rsid w:val="002C2706"/>
    <w:rsid w:val="002C2851"/>
    <w:rsid w:val="002C291D"/>
    <w:rsid w:val="002C29E3"/>
    <w:rsid w:val="002C2A6E"/>
    <w:rsid w:val="002C2B8D"/>
    <w:rsid w:val="002C2CFD"/>
    <w:rsid w:val="002C2E0B"/>
    <w:rsid w:val="002C2E55"/>
    <w:rsid w:val="002C32A2"/>
    <w:rsid w:val="002C3380"/>
    <w:rsid w:val="002C33A0"/>
    <w:rsid w:val="002C33A9"/>
    <w:rsid w:val="002C33EC"/>
    <w:rsid w:val="002C3469"/>
    <w:rsid w:val="002C34A9"/>
    <w:rsid w:val="002C35DB"/>
    <w:rsid w:val="002C36D8"/>
    <w:rsid w:val="002C3A56"/>
    <w:rsid w:val="002C3C7C"/>
    <w:rsid w:val="002C3EDF"/>
    <w:rsid w:val="002C3FA0"/>
    <w:rsid w:val="002C3FA2"/>
    <w:rsid w:val="002C407F"/>
    <w:rsid w:val="002C4120"/>
    <w:rsid w:val="002C4166"/>
    <w:rsid w:val="002C44BB"/>
    <w:rsid w:val="002C4537"/>
    <w:rsid w:val="002C495F"/>
    <w:rsid w:val="002C4A0F"/>
    <w:rsid w:val="002C4A8F"/>
    <w:rsid w:val="002C4B8A"/>
    <w:rsid w:val="002C4EC2"/>
    <w:rsid w:val="002C4F8D"/>
    <w:rsid w:val="002C503C"/>
    <w:rsid w:val="002C54F1"/>
    <w:rsid w:val="002C5615"/>
    <w:rsid w:val="002C5834"/>
    <w:rsid w:val="002C59D7"/>
    <w:rsid w:val="002C5A19"/>
    <w:rsid w:val="002C5B71"/>
    <w:rsid w:val="002C5C03"/>
    <w:rsid w:val="002C5DB9"/>
    <w:rsid w:val="002C5E47"/>
    <w:rsid w:val="002C5FFF"/>
    <w:rsid w:val="002C60A1"/>
    <w:rsid w:val="002C635B"/>
    <w:rsid w:val="002C650A"/>
    <w:rsid w:val="002C6511"/>
    <w:rsid w:val="002C6516"/>
    <w:rsid w:val="002C667E"/>
    <w:rsid w:val="002C673B"/>
    <w:rsid w:val="002C673E"/>
    <w:rsid w:val="002C67C3"/>
    <w:rsid w:val="002C695A"/>
    <w:rsid w:val="002C6988"/>
    <w:rsid w:val="002C69B7"/>
    <w:rsid w:val="002C6BCF"/>
    <w:rsid w:val="002C6D1F"/>
    <w:rsid w:val="002C6D30"/>
    <w:rsid w:val="002C6F3F"/>
    <w:rsid w:val="002C708C"/>
    <w:rsid w:val="002C70A4"/>
    <w:rsid w:val="002C7310"/>
    <w:rsid w:val="002C7375"/>
    <w:rsid w:val="002C76CF"/>
    <w:rsid w:val="002C7720"/>
    <w:rsid w:val="002C78AE"/>
    <w:rsid w:val="002C7950"/>
    <w:rsid w:val="002C79E8"/>
    <w:rsid w:val="002C7B17"/>
    <w:rsid w:val="002C7C3D"/>
    <w:rsid w:val="002C7CC3"/>
    <w:rsid w:val="002C7D1D"/>
    <w:rsid w:val="002C7E4F"/>
    <w:rsid w:val="002C7E73"/>
    <w:rsid w:val="002C7FBF"/>
    <w:rsid w:val="002D007F"/>
    <w:rsid w:val="002D0745"/>
    <w:rsid w:val="002D08A2"/>
    <w:rsid w:val="002D0B37"/>
    <w:rsid w:val="002D0EB4"/>
    <w:rsid w:val="002D0EFC"/>
    <w:rsid w:val="002D145E"/>
    <w:rsid w:val="002D1518"/>
    <w:rsid w:val="002D16D7"/>
    <w:rsid w:val="002D17A2"/>
    <w:rsid w:val="002D1A8C"/>
    <w:rsid w:val="002D1B31"/>
    <w:rsid w:val="002D1E3C"/>
    <w:rsid w:val="002D1E81"/>
    <w:rsid w:val="002D1F77"/>
    <w:rsid w:val="002D2B6B"/>
    <w:rsid w:val="002D2BB8"/>
    <w:rsid w:val="002D2DBC"/>
    <w:rsid w:val="002D2F86"/>
    <w:rsid w:val="002D31E1"/>
    <w:rsid w:val="002D31F9"/>
    <w:rsid w:val="002D3236"/>
    <w:rsid w:val="002D32D1"/>
    <w:rsid w:val="002D33E2"/>
    <w:rsid w:val="002D353B"/>
    <w:rsid w:val="002D3653"/>
    <w:rsid w:val="002D36AD"/>
    <w:rsid w:val="002D38E4"/>
    <w:rsid w:val="002D39E0"/>
    <w:rsid w:val="002D3A37"/>
    <w:rsid w:val="002D3A6F"/>
    <w:rsid w:val="002D3CBE"/>
    <w:rsid w:val="002D3DA1"/>
    <w:rsid w:val="002D3F67"/>
    <w:rsid w:val="002D4041"/>
    <w:rsid w:val="002D4337"/>
    <w:rsid w:val="002D478E"/>
    <w:rsid w:val="002D49FB"/>
    <w:rsid w:val="002D4B5B"/>
    <w:rsid w:val="002D4F2A"/>
    <w:rsid w:val="002D508F"/>
    <w:rsid w:val="002D512B"/>
    <w:rsid w:val="002D547D"/>
    <w:rsid w:val="002D5576"/>
    <w:rsid w:val="002D55EB"/>
    <w:rsid w:val="002D56F5"/>
    <w:rsid w:val="002D5917"/>
    <w:rsid w:val="002D5AA3"/>
    <w:rsid w:val="002D5AE8"/>
    <w:rsid w:val="002D5B70"/>
    <w:rsid w:val="002D5C0F"/>
    <w:rsid w:val="002D5D7B"/>
    <w:rsid w:val="002D5E28"/>
    <w:rsid w:val="002D607C"/>
    <w:rsid w:val="002D614B"/>
    <w:rsid w:val="002D6215"/>
    <w:rsid w:val="002D62A9"/>
    <w:rsid w:val="002D6343"/>
    <w:rsid w:val="002D63E6"/>
    <w:rsid w:val="002D6445"/>
    <w:rsid w:val="002D6588"/>
    <w:rsid w:val="002D6777"/>
    <w:rsid w:val="002D6960"/>
    <w:rsid w:val="002D6A79"/>
    <w:rsid w:val="002D6A8E"/>
    <w:rsid w:val="002D6D6E"/>
    <w:rsid w:val="002D6DCE"/>
    <w:rsid w:val="002D6EB9"/>
    <w:rsid w:val="002D7076"/>
    <w:rsid w:val="002D70A0"/>
    <w:rsid w:val="002D7171"/>
    <w:rsid w:val="002D72C7"/>
    <w:rsid w:val="002D7321"/>
    <w:rsid w:val="002D7328"/>
    <w:rsid w:val="002D7596"/>
    <w:rsid w:val="002D7652"/>
    <w:rsid w:val="002D76C1"/>
    <w:rsid w:val="002D778B"/>
    <w:rsid w:val="002D7900"/>
    <w:rsid w:val="002D796A"/>
    <w:rsid w:val="002D7A13"/>
    <w:rsid w:val="002D7A1E"/>
    <w:rsid w:val="002D7B82"/>
    <w:rsid w:val="002D7CF2"/>
    <w:rsid w:val="002D7D56"/>
    <w:rsid w:val="002D7F19"/>
    <w:rsid w:val="002DA88D"/>
    <w:rsid w:val="002DCAAF"/>
    <w:rsid w:val="002E0072"/>
    <w:rsid w:val="002E011A"/>
    <w:rsid w:val="002E0288"/>
    <w:rsid w:val="002E03D6"/>
    <w:rsid w:val="002E0501"/>
    <w:rsid w:val="002E05C3"/>
    <w:rsid w:val="002E05E9"/>
    <w:rsid w:val="002E06FC"/>
    <w:rsid w:val="002E0A6D"/>
    <w:rsid w:val="002E0B09"/>
    <w:rsid w:val="002E0DB9"/>
    <w:rsid w:val="002E0DEA"/>
    <w:rsid w:val="002E10A1"/>
    <w:rsid w:val="002E12DF"/>
    <w:rsid w:val="002E131A"/>
    <w:rsid w:val="002E14F2"/>
    <w:rsid w:val="002E1597"/>
    <w:rsid w:val="002E169A"/>
    <w:rsid w:val="002E186A"/>
    <w:rsid w:val="002E199D"/>
    <w:rsid w:val="002E1A83"/>
    <w:rsid w:val="002E1BB7"/>
    <w:rsid w:val="002E1D2A"/>
    <w:rsid w:val="002E1EAA"/>
    <w:rsid w:val="002E2466"/>
    <w:rsid w:val="002E2692"/>
    <w:rsid w:val="002E275F"/>
    <w:rsid w:val="002E278C"/>
    <w:rsid w:val="002E2975"/>
    <w:rsid w:val="002E2B41"/>
    <w:rsid w:val="002E2B56"/>
    <w:rsid w:val="002E2CC7"/>
    <w:rsid w:val="002E2D8D"/>
    <w:rsid w:val="002E2D96"/>
    <w:rsid w:val="002E2DCF"/>
    <w:rsid w:val="002E2E44"/>
    <w:rsid w:val="002E2E4A"/>
    <w:rsid w:val="002E2EC9"/>
    <w:rsid w:val="002E2F0C"/>
    <w:rsid w:val="002E3026"/>
    <w:rsid w:val="002E31E6"/>
    <w:rsid w:val="002E33BD"/>
    <w:rsid w:val="002E3637"/>
    <w:rsid w:val="002E3746"/>
    <w:rsid w:val="002E39E7"/>
    <w:rsid w:val="002E3C32"/>
    <w:rsid w:val="002E3C5C"/>
    <w:rsid w:val="002E3D95"/>
    <w:rsid w:val="002E413C"/>
    <w:rsid w:val="002E43EA"/>
    <w:rsid w:val="002E4408"/>
    <w:rsid w:val="002E4621"/>
    <w:rsid w:val="002E46B4"/>
    <w:rsid w:val="002E46BE"/>
    <w:rsid w:val="002E4784"/>
    <w:rsid w:val="002E47D3"/>
    <w:rsid w:val="002E4829"/>
    <w:rsid w:val="002E4993"/>
    <w:rsid w:val="002E49EB"/>
    <w:rsid w:val="002E4BCC"/>
    <w:rsid w:val="002E4C4E"/>
    <w:rsid w:val="002E4D36"/>
    <w:rsid w:val="002E4D51"/>
    <w:rsid w:val="002E4DA6"/>
    <w:rsid w:val="002E4EC3"/>
    <w:rsid w:val="002E5060"/>
    <w:rsid w:val="002E514D"/>
    <w:rsid w:val="002E53F7"/>
    <w:rsid w:val="002E5411"/>
    <w:rsid w:val="002E5438"/>
    <w:rsid w:val="002E55C2"/>
    <w:rsid w:val="002E57FC"/>
    <w:rsid w:val="002E5C16"/>
    <w:rsid w:val="002E6021"/>
    <w:rsid w:val="002E6447"/>
    <w:rsid w:val="002E65D8"/>
    <w:rsid w:val="002E671B"/>
    <w:rsid w:val="002E6802"/>
    <w:rsid w:val="002E6A8E"/>
    <w:rsid w:val="002E6D1B"/>
    <w:rsid w:val="002E6DA2"/>
    <w:rsid w:val="002E6FAC"/>
    <w:rsid w:val="002E7039"/>
    <w:rsid w:val="002E7099"/>
    <w:rsid w:val="002E7152"/>
    <w:rsid w:val="002E726C"/>
    <w:rsid w:val="002E7461"/>
    <w:rsid w:val="002E7517"/>
    <w:rsid w:val="002E7549"/>
    <w:rsid w:val="002E77F3"/>
    <w:rsid w:val="002E781D"/>
    <w:rsid w:val="002E783D"/>
    <w:rsid w:val="002E7A7B"/>
    <w:rsid w:val="002E7BA5"/>
    <w:rsid w:val="002E7CE4"/>
    <w:rsid w:val="002E7F0B"/>
    <w:rsid w:val="002E9CA4"/>
    <w:rsid w:val="002F0185"/>
    <w:rsid w:val="002F021D"/>
    <w:rsid w:val="002F02A4"/>
    <w:rsid w:val="002F065B"/>
    <w:rsid w:val="002F06E5"/>
    <w:rsid w:val="002F0757"/>
    <w:rsid w:val="002F078C"/>
    <w:rsid w:val="002F07DC"/>
    <w:rsid w:val="002F0B93"/>
    <w:rsid w:val="002F0CC7"/>
    <w:rsid w:val="002F0EC5"/>
    <w:rsid w:val="002F0FD3"/>
    <w:rsid w:val="002F1044"/>
    <w:rsid w:val="002F11BD"/>
    <w:rsid w:val="002F142F"/>
    <w:rsid w:val="002F18C7"/>
    <w:rsid w:val="002F18DC"/>
    <w:rsid w:val="002F190C"/>
    <w:rsid w:val="002F1969"/>
    <w:rsid w:val="002F1AC4"/>
    <w:rsid w:val="002F1CD5"/>
    <w:rsid w:val="002F1EFD"/>
    <w:rsid w:val="002F1F37"/>
    <w:rsid w:val="002F20CD"/>
    <w:rsid w:val="002F20D0"/>
    <w:rsid w:val="002F20FC"/>
    <w:rsid w:val="002F2105"/>
    <w:rsid w:val="002F23B2"/>
    <w:rsid w:val="002F2470"/>
    <w:rsid w:val="002F24B3"/>
    <w:rsid w:val="002F2654"/>
    <w:rsid w:val="002F29D8"/>
    <w:rsid w:val="002F2A38"/>
    <w:rsid w:val="002F2D4B"/>
    <w:rsid w:val="002F2E60"/>
    <w:rsid w:val="002F30AE"/>
    <w:rsid w:val="002F30EF"/>
    <w:rsid w:val="002F3172"/>
    <w:rsid w:val="002F353A"/>
    <w:rsid w:val="002F3622"/>
    <w:rsid w:val="002F3683"/>
    <w:rsid w:val="002F372A"/>
    <w:rsid w:val="002F3854"/>
    <w:rsid w:val="002F3A0E"/>
    <w:rsid w:val="002F3A4E"/>
    <w:rsid w:val="002F3AB2"/>
    <w:rsid w:val="002F3BE0"/>
    <w:rsid w:val="002F3C50"/>
    <w:rsid w:val="002F3D66"/>
    <w:rsid w:val="002F3DA9"/>
    <w:rsid w:val="002F3DC7"/>
    <w:rsid w:val="002F3F58"/>
    <w:rsid w:val="002F3F63"/>
    <w:rsid w:val="002F41AC"/>
    <w:rsid w:val="002F41BB"/>
    <w:rsid w:val="002F41BE"/>
    <w:rsid w:val="002F42DF"/>
    <w:rsid w:val="002F46B1"/>
    <w:rsid w:val="002F4895"/>
    <w:rsid w:val="002F4A69"/>
    <w:rsid w:val="002F4FB8"/>
    <w:rsid w:val="002F5026"/>
    <w:rsid w:val="002F505D"/>
    <w:rsid w:val="002F50B0"/>
    <w:rsid w:val="002F5203"/>
    <w:rsid w:val="002F5208"/>
    <w:rsid w:val="002F5383"/>
    <w:rsid w:val="002F53C4"/>
    <w:rsid w:val="002F5474"/>
    <w:rsid w:val="002F56C6"/>
    <w:rsid w:val="002F56EA"/>
    <w:rsid w:val="002F5A39"/>
    <w:rsid w:val="002F5C9E"/>
    <w:rsid w:val="002F6108"/>
    <w:rsid w:val="002F612C"/>
    <w:rsid w:val="002F62A2"/>
    <w:rsid w:val="002F63F9"/>
    <w:rsid w:val="002F647C"/>
    <w:rsid w:val="002F64CC"/>
    <w:rsid w:val="002F65B6"/>
    <w:rsid w:val="002F65D5"/>
    <w:rsid w:val="002F675C"/>
    <w:rsid w:val="002F6796"/>
    <w:rsid w:val="002F6C0A"/>
    <w:rsid w:val="002F6CFB"/>
    <w:rsid w:val="002F6EA3"/>
    <w:rsid w:val="002F71BB"/>
    <w:rsid w:val="002F7534"/>
    <w:rsid w:val="002F773E"/>
    <w:rsid w:val="002F7A09"/>
    <w:rsid w:val="002F7AAD"/>
    <w:rsid w:val="002F7F74"/>
    <w:rsid w:val="00300019"/>
    <w:rsid w:val="003000A1"/>
    <w:rsid w:val="00300182"/>
    <w:rsid w:val="0030041F"/>
    <w:rsid w:val="003006E4"/>
    <w:rsid w:val="003007F9"/>
    <w:rsid w:val="00300A03"/>
    <w:rsid w:val="00300AEE"/>
    <w:rsid w:val="00300C21"/>
    <w:rsid w:val="00300DE4"/>
    <w:rsid w:val="00300EFF"/>
    <w:rsid w:val="00300F70"/>
    <w:rsid w:val="00300F86"/>
    <w:rsid w:val="00301016"/>
    <w:rsid w:val="0030102F"/>
    <w:rsid w:val="00301460"/>
    <w:rsid w:val="0030149E"/>
    <w:rsid w:val="00301514"/>
    <w:rsid w:val="00301528"/>
    <w:rsid w:val="003015E1"/>
    <w:rsid w:val="00301C54"/>
    <w:rsid w:val="00301E7D"/>
    <w:rsid w:val="00302169"/>
    <w:rsid w:val="00302215"/>
    <w:rsid w:val="0030229C"/>
    <w:rsid w:val="00302444"/>
    <w:rsid w:val="0030254C"/>
    <w:rsid w:val="003025D8"/>
    <w:rsid w:val="00302663"/>
    <w:rsid w:val="00302713"/>
    <w:rsid w:val="00302770"/>
    <w:rsid w:val="00303374"/>
    <w:rsid w:val="00303785"/>
    <w:rsid w:val="003037A9"/>
    <w:rsid w:val="003037F3"/>
    <w:rsid w:val="003038DF"/>
    <w:rsid w:val="00303965"/>
    <w:rsid w:val="003039D4"/>
    <w:rsid w:val="0030410B"/>
    <w:rsid w:val="003041EE"/>
    <w:rsid w:val="00304442"/>
    <w:rsid w:val="00304505"/>
    <w:rsid w:val="00304687"/>
    <w:rsid w:val="00304695"/>
    <w:rsid w:val="003046E1"/>
    <w:rsid w:val="003049C9"/>
    <w:rsid w:val="00304A8B"/>
    <w:rsid w:val="00304B16"/>
    <w:rsid w:val="00304D08"/>
    <w:rsid w:val="00305220"/>
    <w:rsid w:val="00305382"/>
    <w:rsid w:val="0030538C"/>
    <w:rsid w:val="00305449"/>
    <w:rsid w:val="003054AC"/>
    <w:rsid w:val="00305627"/>
    <w:rsid w:val="003057C1"/>
    <w:rsid w:val="00305832"/>
    <w:rsid w:val="003058A3"/>
    <w:rsid w:val="00305942"/>
    <w:rsid w:val="00305A07"/>
    <w:rsid w:val="00305B55"/>
    <w:rsid w:val="00305C70"/>
    <w:rsid w:val="00305D48"/>
    <w:rsid w:val="00305D9F"/>
    <w:rsid w:val="00305FB0"/>
    <w:rsid w:val="003062EE"/>
    <w:rsid w:val="00306618"/>
    <w:rsid w:val="0030675F"/>
    <w:rsid w:val="0030697F"/>
    <w:rsid w:val="003069C4"/>
    <w:rsid w:val="00306A33"/>
    <w:rsid w:val="00306AF6"/>
    <w:rsid w:val="00306BFB"/>
    <w:rsid w:val="00306C61"/>
    <w:rsid w:val="00306D01"/>
    <w:rsid w:val="00306E5F"/>
    <w:rsid w:val="00306E61"/>
    <w:rsid w:val="00306ECB"/>
    <w:rsid w:val="00306ED8"/>
    <w:rsid w:val="00306F91"/>
    <w:rsid w:val="00306F9E"/>
    <w:rsid w:val="00306FCC"/>
    <w:rsid w:val="00307126"/>
    <w:rsid w:val="0030721E"/>
    <w:rsid w:val="0030725E"/>
    <w:rsid w:val="003074DB"/>
    <w:rsid w:val="00307598"/>
    <w:rsid w:val="0030760F"/>
    <w:rsid w:val="0030774B"/>
    <w:rsid w:val="003077B0"/>
    <w:rsid w:val="00307834"/>
    <w:rsid w:val="00307898"/>
    <w:rsid w:val="003078D5"/>
    <w:rsid w:val="00307A9A"/>
    <w:rsid w:val="00307D11"/>
    <w:rsid w:val="00307DBB"/>
    <w:rsid w:val="00307E61"/>
    <w:rsid w:val="00307F11"/>
    <w:rsid w:val="003100DE"/>
    <w:rsid w:val="00310331"/>
    <w:rsid w:val="00310396"/>
    <w:rsid w:val="0031065A"/>
    <w:rsid w:val="003107A1"/>
    <w:rsid w:val="00310812"/>
    <w:rsid w:val="0031092F"/>
    <w:rsid w:val="00310936"/>
    <w:rsid w:val="0031093A"/>
    <w:rsid w:val="00310B9B"/>
    <w:rsid w:val="00310C40"/>
    <w:rsid w:val="00310DA3"/>
    <w:rsid w:val="00311190"/>
    <w:rsid w:val="00311240"/>
    <w:rsid w:val="003112AE"/>
    <w:rsid w:val="00311302"/>
    <w:rsid w:val="0031168C"/>
    <w:rsid w:val="00311858"/>
    <w:rsid w:val="00311990"/>
    <w:rsid w:val="00311A43"/>
    <w:rsid w:val="00311AB4"/>
    <w:rsid w:val="00311C5C"/>
    <w:rsid w:val="00311EAD"/>
    <w:rsid w:val="00311F49"/>
    <w:rsid w:val="00311FE1"/>
    <w:rsid w:val="0031206C"/>
    <w:rsid w:val="00312349"/>
    <w:rsid w:val="0031237F"/>
    <w:rsid w:val="00312405"/>
    <w:rsid w:val="003124B9"/>
    <w:rsid w:val="00312686"/>
    <w:rsid w:val="003128F7"/>
    <w:rsid w:val="00312911"/>
    <w:rsid w:val="00312A79"/>
    <w:rsid w:val="00312E01"/>
    <w:rsid w:val="00312FE1"/>
    <w:rsid w:val="00313020"/>
    <w:rsid w:val="0031308B"/>
    <w:rsid w:val="0031311D"/>
    <w:rsid w:val="00313460"/>
    <w:rsid w:val="003134EC"/>
    <w:rsid w:val="00313535"/>
    <w:rsid w:val="003135F6"/>
    <w:rsid w:val="00313732"/>
    <w:rsid w:val="0031375C"/>
    <w:rsid w:val="00313878"/>
    <w:rsid w:val="003139DD"/>
    <w:rsid w:val="00313D7D"/>
    <w:rsid w:val="00313DC7"/>
    <w:rsid w:val="00314057"/>
    <w:rsid w:val="00314068"/>
    <w:rsid w:val="0031418C"/>
    <w:rsid w:val="00314209"/>
    <w:rsid w:val="00314294"/>
    <w:rsid w:val="0031433C"/>
    <w:rsid w:val="00314581"/>
    <w:rsid w:val="00314B69"/>
    <w:rsid w:val="00314B6B"/>
    <w:rsid w:val="00314E55"/>
    <w:rsid w:val="00314EC7"/>
    <w:rsid w:val="00314FE7"/>
    <w:rsid w:val="0031509B"/>
    <w:rsid w:val="00315185"/>
    <w:rsid w:val="003151D6"/>
    <w:rsid w:val="0031534B"/>
    <w:rsid w:val="003153FB"/>
    <w:rsid w:val="0031542B"/>
    <w:rsid w:val="0031584C"/>
    <w:rsid w:val="00315C02"/>
    <w:rsid w:val="00315D67"/>
    <w:rsid w:val="00315DDD"/>
    <w:rsid w:val="00315FA4"/>
    <w:rsid w:val="0031609D"/>
    <w:rsid w:val="003160CD"/>
    <w:rsid w:val="003160FE"/>
    <w:rsid w:val="003161AB"/>
    <w:rsid w:val="00316440"/>
    <w:rsid w:val="003164A7"/>
    <w:rsid w:val="0031651B"/>
    <w:rsid w:val="00316692"/>
    <w:rsid w:val="00316CE7"/>
    <w:rsid w:val="00316DD4"/>
    <w:rsid w:val="00317018"/>
    <w:rsid w:val="0031710D"/>
    <w:rsid w:val="003173BE"/>
    <w:rsid w:val="003173E0"/>
    <w:rsid w:val="00317444"/>
    <w:rsid w:val="0031752D"/>
    <w:rsid w:val="00317AB6"/>
    <w:rsid w:val="00317CBA"/>
    <w:rsid w:val="00317D18"/>
    <w:rsid w:val="00317DB8"/>
    <w:rsid w:val="00317E37"/>
    <w:rsid w:val="00317ED0"/>
    <w:rsid w:val="00317F49"/>
    <w:rsid w:val="00317F73"/>
    <w:rsid w:val="00317F9A"/>
    <w:rsid w:val="00317FEC"/>
    <w:rsid w:val="003201BB"/>
    <w:rsid w:val="003201CE"/>
    <w:rsid w:val="0032028B"/>
    <w:rsid w:val="003202C8"/>
    <w:rsid w:val="00320381"/>
    <w:rsid w:val="00320889"/>
    <w:rsid w:val="00320890"/>
    <w:rsid w:val="003208EF"/>
    <w:rsid w:val="00320AAB"/>
    <w:rsid w:val="00320BA5"/>
    <w:rsid w:val="00320CE9"/>
    <w:rsid w:val="00320E37"/>
    <w:rsid w:val="00320E5C"/>
    <w:rsid w:val="00320FF2"/>
    <w:rsid w:val="00321027"/>
    <w:rsid w:val="003212A5"/>
    <w:rsid w:val="003216CD"/>
    <w:rsid w:val="00321DDE"/>
    <w:rsid w:val="00321E22"/>
    <w:rsid w:val="00321E85"/>
    <w:rsid w:val="003221ED"/>
    <w:rsid w:val="0032268C"/>
    <w:rsid w:val="00322724"/>
    <w:rsid w:val="00322A42"/>
    <w:rsid w:val="00322BC6"/>
    <w:rsid w:val="00322C19"/>
    <w:rsid w:val="00322C6C"/>
    <w:rsid w:val="00322F2A"/>
    <w:rsid w:val="00322F5F"/>
    <w:rsid w:val="003230E4"/>
    <w:rsid w:val="00323133"/>
    <w:rsid w:val="0032348B"/>
    <w:rsid w:val="003238A4"/>
    <w:rsid w:val="00323A38"/>
    <w:rsid w:val="00323BEB"/>
    <w:rsid w:val="00323C90"/>
    <w:rsid w:val="00323CE1"/>
    <w:rsid w:val="00323D77"/>
    <w:rsid w:val="00323E46"/>
    <w:rsid w:val="00323F9B"/>
    <w:rsid w:val="0032421A"/>
    <w:rsid w:val="00324567"/>
    <w:rsid w:val="003245C7"/>
    <w:rsid w:val="00324681"/>
    <w:rsid w:val="00324768"/>
    <w:rsid w:val="00324908"/>
    <w:rsid w:val="00324BD7"/>
    <w:rsid w:val="00324BE3"/>
    <w:rsid w:val="00324C6B"/>
    <w:rsid w:val="00324EA5"/>
    <w:rsid w:val="00325090"/>
    <w:rsid w:val="0032511D"/>
    <w:rsid w:val="00325128"/>
    <w:rsid w:val="0032528B"/>
    <w:rsid w:val="0032530D"/>
    <w:rsid w:val="00325377"/>
    <w:rsid w:val="00325632"/>
    <w:rsid w:val="00325892"/>
    <w:rsid w:val="003258BB"/>
    <w:rsid w:val="00325BCB"/>
    <w:rsid w:val="0032602F"/>
    <w:rsid w:val="0032619E"/>
    <w:rsid w:val="003261F0"/>
    <w:rsid w:val="0032627D"/>
    <w:rsid w:val="00326316"/>
    <w:rsid w:val="0032649E"/>
    <w:rsid w:val="00326531"/>
    <w:rsid w:val="0032657A"/>
    <w:rsid w:val="0032674A"/>
    <w:rsid w:val="0032675B"/>
    <w:rsid w:val="00326823"/>
    <w:rsid w:val="0032697E"/>
    <w:rsid w:val="00326A99"/>
    <w:rsid w:val="00326B70"/>
    <w:rsid w:val="00326B7A"/>
    <w:rsid w:val="00326CF7"/>
    <w:rsid w:val="00326EFD"/>
    <w:rsid w:val="003271AA"/>
    <w:rsid w:val="003274B2"/>
    <w:rsid w:val="0032770D"/>
    <w:rsid w:val="003277D7"/>
    <w:rsid w:val="0032788E"/>
    <w:rsid w:val="0032793C"/>
    <w:rsid w:val="003279D5"/>
    <w:rsid w:val="00327A06"/>
    <w:rsid w:val="00327B49"/>
    <w:rsid w:val="00327B7E"/>
    <w:rsid w:val="00327CAD"/>
    <w:rsid w:val="00327CE7"/>
    <w:rsid w:val="00327FB4"/>
    <w:rsid w:val="00330055"/>
    <w:rsid w:val="00330279"/>
    <w:rsid w:val="00330364"/>
    <w:rsid w:val="003303D2"/>
    <w:rsid w:val="003305B0"/>
    <w:rsid w:val="00330760"/>
    <w:rsid w:val="0033085F"/>
    <w:rsid w:val="003308D5"/>
    <w:rsid w:val="00330C05"/>
    <w:rsid w:val="00330C14"/>
    <w:rsid w:val="00330D80"/>
    <w:rsid w:val="003311AE"/>
    <w:rsid w:val="00331202"/>
    <w:rsid w:val="00331224"/>
    <w:rsid w:val="00331238"/>
    <w:rsid w:val="00331400"/>
    <w:rsid w:val="00331698"/>
    <w:rsid w:val="0033174C"/>
    <w:rsid w:val="00331958"/>
    <w:rsid w:val="0033198B"/>
    <w:rsid w:val="00331A41"/>
    <w:rsid w:val="00331A42"/>
    <w:rsid w:val="00331B7E"/>
    <w:rsid w:val="00331C3B"/>
    <w:rsid w:val="00332067"/>
    <w:rsid w:val="003320BD"/>
    <w:rsid w:val="003325AE"/>
    <w:rsid w:val="00332763"/>
    <w:rsid w:val="00332849"/>
    <w:rsid w:val="003328DD"/>
    <w:rsid w:val="003329C2"/>
    <w:rsid w:val="003329F7"/>
    <w:rsid w:val="00332DD8"/>
    <w:rsid w:val="00332DF4"/>
    <w:rsid w:val="003330E3"/>
    <w:rsid w:val="0033326F"/>
    <w:rsid w:val="003332DC"/>
    <w:rsid w:val="00333466"/>
    <w:rsid w:val="0033348A"/>
    <w:rsid w:val="0033350A"/>
    <w:rsid w:val="003335D7"/>
    <w:rsid w:val="00333834"/>
    <w:rsid w:val="003339AB"/>
    <w:rsid w:val="00333C18"/>
    <w:rsid w:val="003344A4"/>
    <w:rsid w:val="0033469E"/>
    <w:rsid w:val="00334902"/>
    <w:rsid w:val="003349E7"/>
    <w:rsid w:val="00334A81"/>
    <w:rsid w:val="00334AD9"/>
    <w:rsid w:val="00334B35"/>
    <w:rsid w:val="00334B5D"/>
    <w:rsid w:val="00334C52"/>
    <w:rsid w:val="00334D5C"/>
    <w:rsid w:val="00334E4C"/>
    <w:rsid w:val="00334EFD"/>
    <w:rsid w:val="00334FF2"/>
    <w:rsid w:val="00335088"/>
    <w:rsid w:val="003350CA"/>
    <w:rsid w:val="003351B1"/>
    <w:rsid w:val="00335291"/>
    <w:rsid w:val="003353BC"/>
    <w:rsid w:val="003356AF"/>
    <w:rsid w:val="00335835"/>
    <w:rsid w:val="00335856"/>
    <w:rsid w:val="00335A59"/>
    <w:rsid w:val="00335D06"/>
    <w:rsid w:val="00335DD7"/>
    <w:rsid w:val="00335F7C"/>
    <w:rsid w:val="003362BB"/>
    <w:rsid w:val="0033634A"/>
    <w:rsid w:val="00336937"/>
    <w:rsid w:val="0033694F"/>
    <w:rsid w:val="00336A55"/>
    <w:rsid w:val="00336CE9"/>
    <w:rsid w:val="00336E2A"/>
    <w:rsid w:val="003370E5"/>
    <w:rsid w:val="0033711C"/>
    <w:rsid w:val="00337127"/>
    <w:rsid w:val="0033759F"/>
    <w:rsid w:val="003375C0"/>
    <w:rsid w:val="00337891"/>
    <w:rsid w:val="00337AB3"/>
    <w:rsid w:val="00337AB4"/>
    <w:rsid w:val="00337B4A"/>
    <w:rsid w:val="00337CE3"/>
    <w:rsid w:val="00337D64"/>
    <w:rsid w:val="00337EB4"/>
    <w:rsid w:val="003400EE"/>
    <w:rsid w:val="0034011D"/>
    <w:rsid w:val="003401E9"/>
    <w:rsid w:val="0034027E"/>
    <w:rsid w:val="003403AE"/>
    <w:rsid w:val="003403F9"/>
    <w:rsid w:val="00340594"/>
    <w:rsid w:val="003405A3"/>
    <w:rsid w:val="003405EF"/>
    <w:rsid w:val="00340674"/>
    <w:rsid w:val="00340693"/>
    <w:rsid w:val="00340734"/>
    <w:rsid w:val="00340854"/>
    <w:rsid w:val="0034085E"/>
    <w:rsid w:val="00340905"/>
    <w:rsid w:val="00340A59"/>
    <w:rsid w:val="00340C72"/>
    <w:rsid w:val="00340CF5"/>
    <w:rsid w:val="00340D12"/>
    <w:rsid w:val="00340DC8"/>
    <w:rsid w:val="00341039"/>
    <w:rsid w:val="0034116B"/>
    <w:rsid w:val="00341533"/>
    <w:rsid w:val="00341BBE"/>
    <w:rsid w:val="00342180"/>
    <w:rsid w:val="003426E7"/>
    <w:rsid w:val="00342726"/>
    <w:rsid w:val="00342890"/>
    <w:rsid w:val="00342952"/>
    <w:rsid w:val="00342986"/>
    <w:rsid w:val="003429CC"/>
    <w:rsid w:val="00342A9B"/>
    <w:rsid w:val="00342BDB"/>
    <w:rsid w:val="00342C7D"/>
    <w:rsid w:val="00342DC9"/>
    <w:rsid w:val="00342E37"/>
    <w:rsid w:val="00342EC3"/>
    <w:rsid w:val="00342FB8"/>
    <w:rsid w:val="00342FBC"/>
    <w:rsid w:val="00343244"/>
    <w:rsid w:val="0034325E"/>
    <w:rsid w:val="003432DC"/>
    <w:rsid w:val="0034357D"/>
    <w:rsid w:val="003435DF"/>
    <w:rsid w:val="00343611"/>
    <w:rsid w:val="0034379C"/>
    <w:rsid w:val="0034387C"/>
    <w:rsid w:val="00343943"/>
    <w:rsid w:val="00343D10"/>
    <w:rsid w:val="00343DDA"/>
    <w:rsid w:val="00343DE5"/>
    <w:rsid w:val="00343EEE"/>
    <w:rsid w:val="00343F37"/>
    <w:rsid w:val="0034407A"/>
    <w:rsid w:val="00344090"/>
    <w:rsid w:val="003440AE"/>
    <w:rsid w:val="003440AF"/>
    <w:rsid w:val="003441C3"/>
    <w:rsid w:val="003442D2"/>
    <w:rsid w:val="00344329"/>
    <w:rsid w:val="003444B8"/>
    <w:rsid w:val="003445A7"/>
    <w:rsid w:val="003445B6"/>
    <w:rsid w:val="003446CE"/>
    <w:rsid w:val="003447DD"/>
    <w:rsid w:val="00344845"/>
    <w:rsid w:val="00344BCA"/>
    <w:rsid w:val="00344EB0"/>
    <w:rsid w:val="00344ED0"/>
    <w:rsid w:val="00344FFE"/>
    <w:rsid w:val="0034515B"/>
    <w:rsid w:val="003451C8"/>
    <w:rsid w:val="00345568"/>
    <w:rsid w:val="003455C5"/>
    <w:rsid w:val="00345777"/>
    <w:rsid w:val="003457AE"/>
    <w:rsid w:val="0034596C"/>
    <w:rsid w:val="00345AB9"/>
    <w:rsid w:val="00345B23"/>
    <w:rsid w:val="00345DD3"/>
    <w:rsid w:val="00345E8A"/>
    <w:rsid w:val="00345EA5"/>
    <w:rsid w:val="00345EFF"/>
    <w:rsid w:val="00345F50"/>
    <w:rsid w:val="003462DE"/>
    <w:rsid w:val="003463C2"/>
    <w:rsid w:val="0034651C"/>
    <w:rsid w:val="003467F3"/>
    <w:rsid w:val="0034689E"/>
    <w:rsid w:val="003468FB"/>
    <w:rsid w:val="003469DE"/>
    <w:rsid w:val="00346AAE"/>
    <w:rsid w:val="00346B6E"/>
    <w:rsid w:val="00346B80"/>
    <w:rsid w:val="00346BB5"/>
    <w:rsid w:val="00347019"/>
    <w:rsid w:val="0034718C"/>
    <w:rsid w:val="003472C6"/>
    <w:rsid w:val="00347366"/>
    <w:rsid w:val="003474F3"/>
    <w:rsid w:val="00347577"/>
    <w:rsid w:val="00347840"/>
    <w:rsid w:val="003478D9"/>
    <w:rsid w:val="00347C8F"/>
    <w:rsid w:val="00347E08"/>
    <w:rsid w:val="00347E29"/>
    <w:rsid w:val="00347F09"/>
    <w:rsid w:val="00347FDB"/>
    <w:rsid w:val="003504E7"/>
    <w:rsid w:val="0035057A"/>
    <w:rsid w:val="00350619"/>
    <w:rsid w:val="003508AD"/>
    <w:rsid w:val="003508E2"/>
    <w:rsid w:val="0035093B"/>
    <w:rsid w:val="003509CA"/>
    <w:rsid w:val="00350B4C"/>
    <w:rsid w:val="00350D06"/>
    <w:rsid w:val="00350D1B"/>
    <w:rsid w:val="00350E09"/>
    <w:rsid w:val="00350EA1"/>
    <w:rsid w:val="00350EFE"/>
    <w:rsid w:val="00350F5E"/>
    <w:rsid w:val="003511B1"/>
    <w:rsid w:val="003511BF"/>
    <w:rsid w:val="00351283"/>
    <w:rsid w:val="00351287"/>
    <w:rsid w:val="003512D8"/>
    <w:rsid w:val="003514EA"/>
    <w:rsid w:val="003515FF"/>
    <w:rsid w:val="00351744"/>
    <w:rsid w:val="003518E9"/>
    <w:rsid w:val="0035191D"/>
    <w:rsid w:val="0035191F"/>
    <w:rsid w:val="00351B97"/>
    <w:rsid w:val="00351EE0"/>
    <w:rsid w:val="00351FBE"/>
    <w:rsid w:val="00352071"/>
    <w:rsid w:val="003522CE"/>
    <w:rsid w:val="003523AB"/>
    <w:rsid w:val="003523EB"/>
    <w:rsid w:val="003524AE"/>
    <w:rsid w:val="003525FF"/>
    <w:rsid w:val="00352884"/>
    <w:rsid w:val="003528D5"/>
    <w:rsid w:val="00352A81"/>
    <w:rsid w:val="00352BD6"/>
    <w:rsid w:val="00352D72"/>
    <w:rsid w:val="00352DE4"/>
    <w:rsid w:val="00352E24"/>
    <w:rsid w:val="00352E6F"/>
    <w:rsid w:val="0035305A"/>
    <w:rsid w:val="003531F5"/>
    <w:rsid w:val="0035328B"/>
    <w:rsid w:val="00353401"/>
    <w:rsid w:val="003534BF"/>
    <w:rsid w:val="003536E4"/>
    <w:rsid w:val="00353744"/>
    <w:rsid w:val="00353762"/>
    <w:rsid w:val="003537A1"/>
    <w:rsid w:val="00353D93"/>
    <w:rsid w:val="003541A4"/>
    <w:rsid w:val="003541DC"/>
    <w:rsid w:val="003541F2"/>
    <w:rsid w:val="0035427C"/>
    <w:rsid w:val="0035431E"/>
    <w:rsid w:val="0035435A"/>
    <w:rsid w:val="0035435E"/>
    <w:rsid w:val="003543B5"/>
    <w:rsid w:val="00354746"/>
    <w:rsid w:val="00354823"/>
    <w:rsid w:val="00354AF8"/>
    <w:rsid w:val="00354BB3"/>
    <w:rsid w:val="00354C37"/>
    <w:rsid w:val="003550AF"/>
    <w:rsid w:val="003550C7"/>
    <w:rsid w:val="003552B9"/>
    <w:rsid w:val="0035535A"/>
    <w:rsid w:val="003553F8"/>
    <w:rsid w:val="003554F7"/>
    <w:rsid w:val="003555AD"/>
    <w:rsid w:val="003557FC"/>
    <w:rsid w:val="00355816"/>
    <w:rsid w:val="003559AA"/>
    <w:rsid w:val="00355B9C"/>
    <w:rsid w:val="003560C1"/>
    <w:rsid w:val="003560F1"/>
    <w:rsid w:val="00356366"/>
    <w:rsid w:val="00356371"/>
    <w:rsid w:val="003563A7"/>
    <w:rsid w:val="0035645B"/>
    <w:rsid w:val="003565F0"/>
    <w:rsid w:val="00356AD6"/>
    <w:rsid w:val="00356C76"/>
    <w:rsid w:val="00356D35"/>
    <w:rsid w:val="00356D72"/>
    <w:rsid w:val="00356EF1"/>
    <w:rsid w:val="0035721C"/>
    <w:rsid w:val="00357312"/>
    <w:rsid w:val="00357525"/>
    <w:rsid w:val="0035759B"/>
    <w:rsid w:val="003575AA"/>
    <w:rsid w:val="0035765C"/>
    <w:rsid w:val="003576AD"/>
    <w:rsid w:val="003579D5"/>
    <w:rsid w:val="00357AF6"/>
    <w:rsid w:val="00357BCE"/>
    <w:rsid w:val="00357D3D"/>
    <w:rsid w:val="00357DCE"/>
    <w:rsid w:val="00357DEF"/>
    <w:rsid w:val="00357EDD"/>
    <w:rsid w:val="00360047"/>
    <w:rsid w:val="0036010A"/>
    <w:rsid w:val="003601EF"/>
    <w:rsid w:val="00360497"/>
    <w:rsid w:val="00360577"/>
    <w:rsid w:val="00360638"/>
    <w:rsid w:val="00360EB8"/>
    <w:rsid w:val="00361081"/>
    <w:rsid w:val="003610E6"/>
    <w:rsid w:val="0036120A"/>
    <w:rsid w:val="00361211"/>
    <w:rsid w:val="00361562"/>
    <w:rsid w:val="003615D7"/>
    <w:rsid w:val="0036182B"/>
    <w:rsid w:val="003618F0"/>
    <w:rsid w:val="00361989"/>
    <w:rsid w:val="00361B2D"/>
    <w:rsid w:val="00361B61"/>
    <w:rsid w:val="00362113"/>
    <w:rsid w:val="00362402"/>
    <w:rsid w:val="0036259D"/>
    <w:rsid w:val="003628AB"/>
    <w:rsid w:val="00362947"/>
    <w:rsid w:val="003629F4"/>
    <w:rsid w:val="00362AA1"/>
    <w:rsid w:val="00362B01"/>
    <w:rsid w:val="00362CDF"/>
    <w:rsid w:val="00362DE1"/>
    <w:rsid w:val="00363264"/>
    <w:rsid w:val="003634A3"/>
    <w:rsid w:val="00363503"/>
    <w:rsid w:val="00363654"/>
    <w:rsid w:val="003637EA"/>
    <w:rsid w:val="003637F0"/>
    <w:rsid w:val="00363934"/>
    <w:rsid w:val="00363981"/>
    <w:rsid w:val="00363A6C"/>
    <w:rsid w:val="00363C32"/>
    <w:rsid w:val="00363D5E"/>
    <w:rsid w:val="00363D8E"/>
    <w:rsid w:val="00363ED0"/>
    <w:rsid w:val="0036408B"/>
    <w:rsid w:val="00364157"/>
    <w:rsid w:val="003641A7"/>
    <w:rsid w:val="003641C2"/>
    <w:rsid w:val="0036425B"/>
    <w:rsid w:val="00364314"/>
    <w:rsid w:val="00364404"/>
    <w:rsid w:val="00364459"/>
    <w:rsid w:val="003644EA"/>
    <w:rsid w:val="003644EF"/>
    <w:rsid w:val="003646B0"/>
    <w:rsid w:val="00364A51"/>
    <w:rsid w:val="00364A88"/>
    <w:rsid w:val="00364A9A"/>
    <w:rsid w:val="00364CE4"/>
    <w:rsid w:val="00364D19"/>
    <w:rsid w:val="00364D2E"/>
    <w:rsid w:val="00364F28"/>
    <w:rsid w:val="00364FD8"/>
    <w:rsid w:val="003651D7"/>
    <w:rsid w:val="003652F4"/>
    <w:rsid w:val="0036532E"/>
    <w:rsid w:val="003655FD"/>
    <w:rsid w:val="003656E5"/>
    <w:rsid w:val="00365789"/>
    <w:rsid w:val="0036599E"/>
    <w:rsid w:val="00365BF9"/>
    <w:rsid w:val="00365E8E"/>
    <w:rsid w:val="00366061"/>
    <w:rsid w:val="00366090"/>
    <w:rsid w:val="00366141"/>
    <w:rsid w:val="003662B6"/>
    <w:rsid w:val="00366489"/>
    <w:rsid w:val="003664C2"/>
    <w:rsid w:val="00366575"/>
    <w:rsid w:val="003668F7"/>
    <w:rsid w:val="003669FF"/>
    <w:rsid w:val="00366A71"/>
    <w:rsid w:val="00366DAD"/>
    <w:rsid w:val="00366EE9"/>
    <w:rsid w:val="00366F7E"/>
    <w:rsid w:val="0036742E"/>
    <w:rsid w:val="0036748E"/>
    <w:rsid w:val="0036754B"/>
    <w:rsid w:val="00367653"/>
    <w:rsid w:val="00367703"/>
    <w:rsid w:val="003677CD"/>
    <w:rsid w:val="003679AE"/>
    <w:rsid w:val="00367A4F"/>
    <w:rsid w:val="00367B77"/>
    <w:rsid w:val="00367D2D"/>
    <w:rsid w:val="00367DDA"/>
    <w:rsid w:val="00367E47"/>
    <w:rsid w:val="0036E3BC"/>
    <w:rsid w:val="003700C4"/>
    <w:rsid w:val="00370116"/>
    <w:rsid w:val="0037045F"/>
    <w:rsid w:val="0037056F"/>
    <w:rsid w:val="00370589"/>
    <w:rsid w:val="00370858"/>
    <w:rsid w:val="00370A4C"/>
    <w:rsid w:val="00370AAA"/>
    <w:rsid w:val="00370D88"/>
    <w:rsid w:val="00370D9A"/>
    <w:rsid w:val="00370FEE"/>
    <w:rsid w:val="00371169"/>
    <w:rsid w:val="00371174"/>
    <w:rsid w:val="0037120D"/>
    <w:rsid w:val="00371239"/>
    <w:rsid w:val="003713B9"/>
    <w:rsid w:val="00371427"/>
    <w:rsid w:val="0037143E"/>
    <w:rsid w:val="00371462"/>
    <w:rsid w:val="00371612"/>
    <w:rsid w:val="0037161B"/>
    <w:rsid w:val="0037191B"/>
    <w:rsid w:val="003719BA"/>
    <w:rsid w:val="00371C1A"/>
    <w:rsid w:val="00371CCF"/>
    <w:rsid w:val="00372174"/>
    <w:rsid w:val="00372246"/>
    <w:rsid w:val="003722C4"/>
    <w:rsid w:val="003722D6"/>
    <w:rsid w:val="003724CA"/>
    <w:rsid w:val="00372628"/>
    <w:rsid w:val="003726F9"/>
    <w:rsid w:val="003729AF"/>
    <w:rsid w:val="00372A0C"/>
    <w:rsid w:val="00372C39"/>
    <w:rsid w:val="00372DD9"/>
    <w:rsid w:val="00372FD6"/>
    <w:rsid w:val="00373033"/>
    <w:rsid w:val="00373090"/>
    <w:rsid w:val="003732C9"/>
    <w:rsid w:val="00373397"/>
    <w:rsid w:val="00373453"/>
    <w:rsid w:val="003734EA"/>
    <w:rsid w:val="00373626"/>
    <w:rsid w:val="00373665"/>
    <w:rsid w:val="00373678"/>
    <w:rsid w:val="00373811"/>
    <w:rsid w:val="00373863"/>
    <w:rsid w:val="003738D4"/>
    <w:rsid w:val="00373EC1"/>
    <w:rsid w:val="0037405B"/>
    <w:rsid w:val="00374494"/>
    <w:rsid w:val="003744DB"/>
    <w:rsid w:val="00374758"/>
    <w:rsid w:val="0037496B"/>
    <w:rsid w:val="00374F96"/>
    <w:rsid w:val="00375042"/>
    <w:rsid w:val="003750A7"/>
    <w:rsid w:val="0037540D"/>
    <w:rsid w:val="003754E7"/>
    <w:rsid w:val="0037583F"/>
    <w:rsid w:val="003758F2"/>
    <w:rsid w:val="00375A73"/>
    <w:rsid w:val="00375BC7"/>
    <w:rsid w:val="00375CCB"/>
    <w:rsid w:val="00375CCD"/>
    <w:rsid w:val="00376134"/>
    <w:rsid w:val="0037624D"/>
    <w:rsid w:val="003762E5"/>
    <w:rsid w:val="0037636F"/>
    <w:rsid w:val="003763FD"/>
    <w:rsid w:val="0037654A"/>
    <w:rsid w:val="00376583"/>
    <w:rsid w:val="0037669D"/>
    <w:rsid w:val="00376978"/>
    <w:rsid w:val="0037698A"/>
    <w:rsid w:val="00376A36"/>
    <w:rsid w:val="00376BAC"/>
    <w:rsid w:val="00376CFD"/>
    <w:rsid w:val="00376D0E"/>
    <w:rsid w:val="00376D92"/>
    <w:rsid w:val="00376DDA"/>
    <w:rsid w:val="00376E95"/>
    <w:rsid w:val="0037739D"/>
    <w:rsid w:val="003773CE"/>
    <w:rsid w:val="00377411"/>
    <w:rsid w:val="003774AD"/>
    <w:rsid w:val="003775B0"/>
    <w:rsid w:val="0037765A"/>
    <w:rsid w:val="00377833"/>
    <w:rsid w:val="00377E09"/>
    <w:rsid w:val="00377FD6"/>
    <w:rsid w:val="003803CE"/>
    <w:rsid w:val="003805A4"/>
    <w:rsid w:val="0038069E"/>
    <w:rsid w:val="00380786"/>
    <w:rsid w:val="003807C8"/>
    <w:rsid w:val="00380BA9"/>
    <w:rsid w:val="00380E7F"/>
    <w:rsid w:val="00380E95"/>
    <w:rsid w:val="00380EFF"/>
    <w:rsid w:val="00380F6C"/>
    <w:rsid w:val="00381026"/>
    <w:rsid w:val="003810E7"/>
    <w:rsid w:val="00381141"/>
    <w:rsid w:val="00381454"/>
    <w:rsid w:val="003816A8"/>
    <w:rsid w:val="00381A8F"/>
    <w:rsid w:val="00381AEA"/>
    <w:rsid w:val="00381E23"/>
    <w:rsid w:val="0038224B"/>
    <w:rsid w:val="0038234A"/>
    <w:rsid w:val="003824E3"/>
    <w:rsid w:val="00382605"/>
    <w:rsid w:val="003826FE"/>
    <w:rsid w:val="00382A70"/>
    <w:rsid w:val="00382A72"/>
    <w:rsid w:val="00382B8B"/>
    <w:rsid w:val="00382CCC"/>
    <w:rsid w:val="00382D6B"/>
    <w:rsid w:val="00382EC3"/>
    <w:rsid w:val="00382F8A"/>
    <w:rsid w:val="003831AF"/>
    <w:rsid w:val="00383233"/>
    <w:rsid w:val="003833F5"/>
    <w:rsid w:val="003834E2"/>
    <w:rsid w:val="00383517"/>
    <w:rsid w:val="003839FE"/>
    <w:rsid w:val="00383A2B"/>
    <w:rsid w:val="00383CE5"/>
    <w:rsid w:val="00384050"/>
    <w:rsid w:val="00384142"/>
    <w:rsid w:val="00384294"/>
    <w:rsid w:val="0038437F"/>
    <w:rsid w:val="0038443F"/>
    <w:rsid w:val="00384449"/>
    <w:rsid w:val="003844C8"/>
    <w:rsid w:val="0038451E"/>
    <w:rsid w:val="003846B8"/>
    <w:rsid w:val="0038485D"/>
    <w:rsid w:val="003849DA"/>
    <w:rsid w:val="00384A62"/>
    <w:rsid w:val="00384A85"/>
    <w:rsid w:val="00384AD8"/>
    <w:rsid w:val="00384BD6"/>
    <w:rsid w:val="00384BDD"/>
    <w:rsid w:val="00384C09"/>
    <w:rsid w:val="00384D90"/>
    <w:rsid w:val="00384EBA"/>
    <w:rsid w:val="00384F0B"/>
    <w:rsid w:val="00384FC7"/>
    <w:rsid w:val="003850FC"/>
    <w:rsid w:val="003857B4"/>
    <w:rsid w:val="00385877"/>
    <w:rsid w:val="003858CE"/>
    <w:rsid w:val="003859F4"/>
    <w:rsid w:val="00385AD8"/>
    <w:rsid w:val="00385BA3"/>
    <w:rsid w:val="00385E98"/>
    <w:rsid w:val="00386106"/>
    <w:rsid w:val="00386167"/>
    <w:rsid w:val="0038619F"/>
    <w:rsid w:val="003861FF"/>
    <w:rsid w:val="00386226"/>
    <w:rsid w:val="0038623E"/>
    <w:rsid w:val="003862D4"/>
    <w:rsid w:val="003863B4"/>
    <w:rsid w:val="00386656"/>
    <w:rsid w:val="00386762"/>
    <w:rsid w:val="00386827"/>
    <w:rsid w:val="0038696B"/>
    <w:rsid w:val="00386AB3"/>
    <w:rsid w:val="00386D10"/>
    <w:rsid w:val="00386D37"/>
    <w:rsid w:val="00386D74"/>
    <w:rsid w:val="0038706D"/>
    <w:rsid w:val="003873CD"/>
    <w:rsid w:val="0038749A"/>
    <w:rsid w:val="0038753E"/>
    <w:rsid w:val="003875A5"/>
    <w:rsid w:val="003875AA"/>
    <w:rsid w:val="0038770D"/>
    <w:rsid w:val="00387851"/>
    <w:rsid w:val="003878D9"/>
    <w:rsid w:val="003878F2"/>
    <w:rsid w:val="00387B1B"/>
    <w:rsid w:val="00387B2D"/>
    <w:rsid w:val="00387C11"/>
    <w:rsid w:val="00387C27"/>
    <w:rsid w:val="00387E02"/>
    <w:rsid w:val="003900C0"/>
    <w:rsid w:val="0039019B"/>
    <w:rsid w:val="003902B6"/>
    <w:rsid w:val="003902D7"/>
    <w:rsid w:val="00390391"/>
    <w:rsid w:val="003903BA"/>
    <w:rsid w:val="00390630"/>
    <w:rsid w:val="00390663"/>
    <w:rsid w:val="00390676"/>
    <w:rsid w:val="003906D9"/>
    <w:rsid w:val="0039077F"/>
    <w:rsid w:val="0039082C"/>
    <w:rsid w:val="003909C4"/>
    <w:rsid w:val="00390A11"/>
    <w:rsid w:val="00390B4B"/>
    <w:rsid w:val="00390BF2"/>
    <w:rsid w:val="00390C5D"/>
    <w:rsid w:val="00390D8C"/>
    <w:rsid w:val="00391163"/>
    <w:rsid w:val="00391224"/>
    <w:rsid w:val="0039133E"/>
    <w:rsid w:val="003913BF"/>
    <w:rsid w:val="00391610"/>
    <w:rsid w:val="00391615"/>
    <w:rsid w:val="0039169D"/>
    <w:rsid w:val="00391715"/>
    <w:rsid w:val="0039171C"/>
    <w:rsid w:val="003919D8"/>
    <w:rsid w:val="00391B9C"/>
    <w:rsid w:val="00391C48"/>
    <w:rsid w:val="00391D2C"/>
    <w:rsid w:val="00391F1D"/>
    <w:rsid w:val="00391FA1"/>
    <w:rsid w:val="00392209"/>
    <w:rsid w:val="00392280"/>
    <w:rsid w:val="00392286"/>
    <w:rsid w:val="00392372"/>
    <w:rsid w:val="00392446"/>
    <w:rsid w:val="0039253E"/>
    <w:rsid w:val="0039258A"/>
    <w:rsid w:val="003926D5"/>
    <w:rsid w:val="00392713"/>
    <w:rsid w:val="00392737"/>
    <w:rsid w:val="00392A7F"/>
    <w:rsid w:val="00392C55"/>
    <w:rsid w:val="00392CCD"/>
    <w:rsid w:val="00392CD0"/>
    <w:rsid w:val="00392DEF"/>
    <w:rsid w:val="00392FCB"/>
    <w:rsid w:val="003931D6"/>
    <w:rsid w:val="00393245"/>
    <w:rsid w:val="00393349"/>
    <w:rsid w:val="0039340F"/>
    <w:rsid w:val="00393681"/>
    <w:rsid w:val="0039382A"/>
    <w:rsid w:val="0039383E"/>
    <w:rsid w:val="00393AA0"/>
    <w:rsid w:val="00393C01"/>
    <w:rsid w:val="00393D5F"/>
    <w:rsid w:val="00393E8B"/>
    <w:rsid w:val="00394032"/>
    <w:rsid w:val="0039411A"/>
    <w:rsid w:val="003941AB"/>
    <w:rsid w:val="003942E7"/>
    <w:rsid w:val="00394380"/>
    <w:rsid w:val="0039468A"/>
    <w:rsid w:val="003946A2"/>
    <w:rsid w:val="00394884"/>
    <w:rsid w:val="0039497A"/>
    <w:rsid w:val="00394A0E"/>
    <w:rsid w:val="00394A7A"/>
    <w:rsid w:val="00394C37"/>
    <w:rsid w:val="00394DB6"/>
    <w:rsid w:val="00394E06"/>
    <w:rsid w:val="00394E83"/>
    <w:rsid w:val="00394EEA"/>
    <w:rsid w:val="00394FA5"/>
    <w:rsid w:val="0039526E"/>
    <w:rsid w:val="003953DD"/>
    <w:rsid w:val="00395458"/>
    <w:rsid w:val="00395505"/>
    <w:rsid w:val="00395530"/>
    <w:rsid w:val="00395621"/>
    <w:rsid w:val="00395708"/>
    <w:rsid w:val="00395784"/>
    <w:rsid w:val="00395CF8"/>
    <w:rsid w:val="00395DD1"/>
    <w:rsid w:val="00395DFF"/>
    <w:rsid w:val="0039614B"/>
    <w:rsid w:val="003964D8"/>
    <w:rsid w:val="00396531"/>
    <w:rsid w:val="003968DE"/>
    <w:rsid w:val="003969C5"/>
    <w:rsid w:val="003969DC"/>
    <w:rsid w:val="00396A10"/>
    <w:rsid w:val="00396BDE"/>
    <w:rsid w:val="00396DB8"/>
    <w:rsid w:val="00396DBB"/>
    <w:rsid w:val="00396F86"/>
    <w:rsid w:val="0039739D"/>
    <w:rsid w:val="003975C8"/>
    <w:rsid w:val="0039773C"/>
    <w:rsid w:val="00397745"/>
    <w:rsid w:val="003977AD"/>
    <w:rsid w:val="00397B1A"/>
    <w:rsid w:val="00397BC5"/>
    <w:rsid w:val="00397D25"/>
    <w:rsid w:val="00397DE8"/>
    <w:rsid w:val="00397F7A"/>
    <w:rsid w:val="003A00F9"/>
    <w:rsid w:val="003A0254"/>
    <w:rsid w:val="003A0432"/>
    <w:rsid w:val="003A04C7"/>
    <w:rsid w:val="003A0553"/>
    <w:rsid w:val="003A0672"/>
    <w:rsid w:val="003A07E7"/>
    <w:rsid w:val="003A093F"/>
    <w:rsid w:val="003A0AA4"/>
    <w:rsid w:val="003A0B87"/>
    <w:rsid w:val="003A0C5E"/>
    <w:rsid w:val="003A0CE6"/>
    <w:rsid w:val="003A0DE4"/>
    <w:rsid w:val="003A0ED1"/>
    <w:rsid w:val="003A0EF5"/>
    <w:rsid w:val="003A0F65"/>
    <w:rsid w:val="003A15C2"/>
    <w:rsid w:val="003A1612"/>
    <w:rsid w:val="003A1640"/>
    <w:rsid w:val="003A18BD"/>
    <w:rsid w:val="003A18CA"/>
    <w:rsid w:val="003A1979"/>
    <w:rsid w:val="003A1A6E"/>
    <w:rsid w:val="003A1CA0"/>
    <w:rsid w:val="003A1DF7"/>
    <w:rsid w:val="003A1F0E"/>
    <w:rsid w:val="003A216A"/>
    <w:rsid w:val="003A2455"/>
    <w:rsid w:val="003A267B"/>
    <w:rsid w:val="003A27E8"/>
    <w:rsid w:val="003A285D"/>
    <w:rsid w:val="003A2886"/>
    <w:rsid w:val="003A29B7"/>
    <w:rsid w:val="003A2A1E"/>
    <w:rsid w:val="003A2B73"/>
    <w:rsid w:val="003A2BEF"/>
    <w:rsid w:val="003A2E84"/>
    <w:rsid w:val="003A314A"/>
    <w:rsid w:val="003A32C0"/>
    <w:rsid w:val="003A32E0"/>
    <w:rsid w:val="003A34D3"/>
    <w:rsid w:val="003A34E5"/>
    <w:rsid w:val="003A34E7"/>
    <w:rsid w:val="003A36AD"/>
    <w:rsid w:val="003A3766"/>
    <w:rsid w:val="003A38B9"/>
    <w:rsid w:val="003A38C4"/>
    <w:rsid w:val="003A3975"/>
    <w:rsid w:val="003A3DBA"/>
    <w:rsid w:val="003A3F21"/>
    <w:rsid w:val="003A3F50"/>
    <w:rsid w:val="003A40AE"/>
    <w:rsid w:val="003A41C0"/>
    <w:rsid w:val="003A4356"/>
    <w:rsid w:val="003A438D"/>
    <w:rsid w:val="003A44BB"/>
    <w:rsid w:val="003A4599"/>
    <w:rsid w:val="003A4691"/>
    <w:rsid w:val="003A48DE"/>
    <w:rsid w:val="003A4956"/>
    <w:rsid w:val="003A499F"/>
    <w:rsid w:val="003A4C88"/>
    <w:rsid w:val="003A4D38"/>
    <w:rsid w:val="003A4D43"/>
    <w:rsid w:val="003A4F7B"/>
    <w:rsid w:val="003A4FBA"/>
    <w:rsid w:val="003A4FFE"/>
    <w:rsid w:val="003A51BE"/>
    <w:rsid w:val="003A526E"/>
    <w:rsid w:val="003A539C"/>
    <w:rsid w:val="003A53E6"/>
    <w:rsid w:val="003A5411"/>
    <w:rsid w:val="003A556A"/>
    <w:rsid w:val="003A5636"/>
    <w:rsid w:val="003A5699"/>
    <w:rsid w:val="003A5763"/>
    <w:rsid w:val="003A57EE"/>
    <w:rsid w:val="003A5813"/>
    <w:rsid w:val="003A58BF"/>
    <w:rsid w:val="003A5AEA"/>
    <w:rsid w:val="003A5B87"/>
    <w:rsid w:val="003A5C62"/>
    <w:rsid w:val="003A5D4D"/>
    <w:rsid w:val="003A5F66"/>
    <w:rsid w:val="003A5FD0"/>
    <w:rsid w:val="003A614D"/>
    <w:rsid w:val="003A6391"/>
    <w:rsid w:val="003A6493"/>
    <w:rsid w:val="003A67DE"/>
    <w:rsid w:val="003A6A86"/>
    <w:rsid w:val="003A6C21"/>
    <w:rsid w:val="003A6CE1"/>
    <w:rsid w:val="003A6DE8"/>
    <w:rsid w:val="003A6E86"/>
    <w:rsid w:val="003A718C"/>
    <w:rsid w:val="003A719A"/>
    <w:rsid w:val="003A7472"/>
    <w:rsid w:val="003A749D"/>
    <w:rsid w:val="003A7755"/>
    <w:rsid w:val="003A7B61"/>
    <w:rsid w:val="003A7BD8"/>
    <w:rsid w:val="003A7BFC"/>
    <w:rsid w:val="003A7D7E"/>
    <w:rsid w:val="003A7E0C"/>
    <w:rsid w:val="003A7F53"/>
    <w:rsid w:val="003B05B3"/>
    <w:rsid w:val="003B0602"/>
    <w:rsid w:val="003B0751"/>
    <w:rsid w:val="003B0955"/>
    <w:rsid w:val="003B0977"/>
    <w:rsid w:val="003B0A9B"/>
    <w:rsid w:val="003B0CB9"/>
    <w:rsid w:val="003B112E"/>
    <w:rsid w:val="003B138B"/>
    <w:rsid w:val="003B1426"/>
    <w:rsid w:val="003B15D1"/>
    <w:rsid w:val="003B1811"/>
    <w:rsid w:val="003B192C"/>
    <w:rsid w:val="003B1932"/>
    <w:rsid w:val="003B1C0E"/>
    <w:rsid w:val="003B1D28"/>
    <w:rsid w:val="003B1E42"/>
    <w:rsid w:val="003B21C2"/>
    <w:rsid w:val="003B2212"/>
    <w:rsid w:val="003B2415"/>
    <w:rsid w:val="003B2432"/>
    <w:rsid w:val="003B296A"/>
    <w:rsid w:val="003B2994"/>
    <w:rsid w:val="003B29EA"/>
    <w:rsid w:val="003B29FA"/>
    <w:rsid w:val="003B2AE9"/>
    <w:rsid w:val="003B2BB6"/>
    <w:rsid w:val="003B2DDD"/>
    <w:rsid w:val="003B2F80"/>
    <w:rsid w:val="003B3197"/>
    <w:rsid w:val="003B3225"/>
    <w:rsid w:val="003B329B"/>
    <w:rsid w:val="003B3455"/>
    <w:rsid w:val="003B37A0"/>
    <w:rsid w:val="003B3920"/>
    <w:rsid w:val="003B39C9"/>
    <w:rsid w:val="003B39DD"/>
    <w:rsid w:val="003B3C7E"/>
    <w:rsid w:val="003B3C81"/>
    <w:rsid w:val="003B3CCB"/>
    <w:rsid w:val="003B3CE8"/>
    <w:rsid w:val="003B3D15"/>
    <w:rsid w:val="003B3DDA"/>
    <w:rsid w:val="003B3E1F"/>
    <w:rsid w:val="003B3F3D"/>
    <w:rsid w:val="003B3F72"/>
    <w:rsid w:val="003B40BB"/>
    <w:rsid w:val="003B412B"/>
    <w:rsid w:val="003B41C1"/>
    <w:rsid w:val="003B43B0"/>
    <w:rsid w:val="003B44D3"/>
    <w:rsid w:val="003B45B9"/>
    <w:rsid w:val="003B49E5"/>
    <w:rsid w:val="003B4A54"/>
    <w:rsid w:val="003B4C56"/>
    <w:rsid w:val="003B4E6C"/>
    <w:rsid w:val="003B4FCF"/>
    <w:rsid w:val="003B53FD"/>
    <w:rsid w:val="003B54A0"/>
    <w:rsid w:val="003B5606"/>
    <w:rsid w:val="003B5619"/>
    <w:rsid w:val="003B5ABB"/>
    <w:rsid w:val="003B5BA2"/>
    <w:rsid w:val="003B602D"/>
    <w:rsid w:val="003B60EC"/>
    <w:rsid w:val="003B6310"/>
    <w:rsid w:val="003B6600"/>
    <w:rsid w:val="003B6651"/>
    <w:rsid w:val="003B68A1"/>
    <w:rsid w:val="003B68C7"/>
    <w:rsid w:val="003B69B3"/>
    <w:rsid w:val="003B69DF"/>
    <w:rsid w:val="003B6B94"/>
    <w:rsid w:val="003B6B9C"/>
    <w:rsid w:val="003B6FBE"/>
    <w:rsid w:val="003B72A4"/>
    <w:rsid w:val="003B73A7"/>
    <w:rsid w:val="003B744F"/>
    <w:rsid w:val="003B749F"/>
    <w:rsid w:val="003B76D7"/>
    <w:rsid w:val="003B793E"/>
    <w:rsid w:val="003B7C55"/>
    <w:rsid w:val="003B7CEF"/>
    <w:rsid w:val="003B7DB1"/>
    <w:rsid w:val="003B7F3B"/>
    <w:rsid w:val="003B7F91"/>
    <w:rsid w:val="003C000D"/>
    <w:rsid w:val="003C0187"/>
    <w:rsid w:val="003C02DC"/>
    <w:rsid w:val="003C046D"/>
    <w:rsid w:val="003C049D"/>
    <w:rsid w:val="003C05C7"/>
    <w:rsid w:val="003C05E1"/>
    <w:rsid w:val="003C07A8"/>
    <w:rsid w:val="003C0842"/>
    <w:rsid w:val="003C0BEB"/>
    <w:rsid w:val="003C0C1E"/>
    <w:rsid w:val="003C0D5E"/>
    <w:rsid w:val="003C0DE9"/>
    <w:rsid w:val="003C1086"/>
    <w:rsid w:val="003C10D7"/>
    <w:rsid w:val="003C11A3"/>
    <w:rsid w:val="003C1275"/>
    <w:rsid w:val="003C1279"/>
    <w:rsid w:val="003C12C3"/>
    <w:rsid w:val="003C150E"/>
    <w:rsid w:val="003C17CD"/>
    <w:rsid w:val="003C1A46"/>
    <w:rsid w:val="003C1A67"/>
    <w:rsid w:val="003C1A82"/>
    <w:rsid w:val="003C1BD6"/>
    <w:rsid w:val="003C1D59"/>
    <w:rsid w:val="003C1DA4"/>
    <w:rsid w:val="003C220D"/>
    <w:rsid w:val="003C22B7"/>
    <w:rsid w:val="003C22FC"/>
    <w:rsid w:val="003C23DB"/>
    <w:rsid w:val="003C23FA"/>
    <w:rsid w:val="003C2567"/>
    <w:rsid w:val="003C25E8"/>
    <w:rsid w:val="003C2748"/>
    <w:rsid w:val="003C2770"/>
    <w:rsid w:val="003C27B4"/>
    <w:rsid w:val="003C2C41"/>
    <w:rsid w:val="003C2C9C"/>
    <w:rsid w:val="003C2F50"/>
    <w:rsid w:val="003C302A"/>
    <w:rsid w:val="003C3230"/>
    <w:rsid w:val="003C33A7"/>
    <w:rsid w:val="003C350F"/>
    <w:rsid w:val="003C351F"/>
    <w:rsid w:val="003C358D"/>
    <w:rsid w:val="003C366A"/>
    <w:rsid w:val="003C3707"/>
    <w:rsid w:val="003C3725"/>
    <w:rsid w:val="003C389F"/>
    <w:rsid w:val="003C3A8F"/>
    <w:rsid w:val="003C3ABB"/>
    <w:rsid w:val="003C3BE2"/>
    <w:rsid w:val="003C3E42"/>
    <w:rsid w:val="003C3F55"/>
    <w:rsid w:val="003C3FA2"/>
    <w:rsid w:val="003C4024"/>
    <w:rsid w:val="003C4576"/>
    <w:rsid w:val="003C458A"/>
    <w:rsid w:val="003C4C31"/>
    <w:rsid w:val="003C4D09"/>
    <w:rsid w:val="003C4D0C"/>
    <w:rsid w:val="003C4D24"/>
    <w:rsid w:val="003C4E1C"/>
    <w:rsid w:val="003C4F3E"/>
    <w:rsid w:val="003C4FED"/>
    <w:rsid w:val="003C511C"/>
    <w:rsid w:val="003C516A"/>
    <w:rsid w:val="003C5474"/>
    <w:rsid w:val="003C5605"/>
    <w:rsid w:val="003C5671"/>
    <w:rsid w:val="003C567F"/>
    <w:rsid w:val="003C571C"/>
    <w:rsid w:val="003C59DF"/>
    <w:rsid w:val="003C5A8C"/>
    <w:rsid w:val="003C5C7F"/>
    <w:rsid w:val="003C5CF2"/>
    <w:rsid w:val="003C5D7D"/>
    <w:rsid w:val="003C6081"/>
    <w:rsid w:val="003C62B5"/>
    <w:rsid w:val="003C63B8"/>
    <w:rsid w:val="003C64FD"/>
    <w:rsid w:val="003C6836"/>
    <w:rsid w:val="003C69BD"/>
    <w:rsid w:val="003C6CC1"/>
    <w:rsid w:val="003C6D59"/>
    <w:rsid w:val="003C6D97"/>
    <w:rsid w:val="003C6E89"/>
    <w:rsid w:val="003C6F03"/>
    <w:rsid w:val="003C709A"/>
    <w:rsid w:val="003C7176"/>
    <w:rsid w:val="003C72B2"/>
    <w:rsid w:val="003C73D9"/>
    <w:rsid w:val="003C752E"/>
    <w:rsid w:val="003C771C"/>
    <w:rsid w:val="003C77E5"/>
    <w:rsid w:val="003C78C1"/>
    <w:rsid w:val="003C7905"/>
    <w:rsid w:val="003C7DC1"/>
    <w:rsid w:val="003C7EC3"/>
    <w:rsid w:val="003C7ECF"/>
    <w:rsid w:val="003C7F88"/>
    <w:rsid w:val="003D0133"/>
    <w:rsid w:val="003D013C"/>
    <w:rsid w:val="003D0151"/>
    <w:rsid w:val="003D0395"/>
    <w:rsid w:val="003D0522"/>
    <w:rsid w:val="003D0AEB"/>
    <w:rsid w:val="003D0BA7"/>
    <w:rsid w:val="003D0D7A"/>
    <w:rsid w:val="003D0F4D"/>
    <w:rsid w:val="003D11BF"/>
    <w:rsid w:val="003D13E6"/>
    <w:rsid w:val="003D1716"/>
    <w:rsid w:val="003D181A"/>
    <w:rsid w:val="003D181C"/>
    <w:rsid w:val="003D185B"/>
    <w:rsid w:val="003D190C"/>
    <w:rsid w:val="003D195A"/>
    <w:rsid w:val="003D19CD"/>
    <w:rsid w:val="003D1AF0"/>
    <w:rsid w:val="003D1B45"/>
    <w:rsid w:val="003D1C8D"/>
    <w:rsid w:val="003D1CA5"/>
    <w:rsid w:val="003D1CDE"/>
    <w:rsid w:val="003D1D34"/>
    <w:rsid w:val="003D1E8A"/>
    <w:rsid w:val="003D1E99"/>
    <w:rsid w:val="003D1F49"/>
    <w:rsid w:val="003D20E4"/>
    <w:rsid w:val="003D2206"/>
    <w:rsid w:val="003D2280"/>
    <w:rsid w:val="003D2406"/>
    <w:rsid w:val="003D24B3"/>
    <w:rsid w:val="003D281D"/>
    <w:rsid w:val="003D283E"/>
    <w:rsid w:val="003D2850"/>
    <w:rsid w:val="003D2A50"/>
    <w:rsid w:val="003D2D8D"/>
    <w:rsid w:val="003D2DEE"/>
    <w:rsid w:val="003D2F7E"/>
    <w:rsid w:val="003D3116"/>
    <w:rsid w:val="003D31F0"/>
    <w:rsid w:val="003D3236"/>
    <w:rsid w:val="003D332D"/>
    <w:rsid w:val="003D33EF"/>
    <w:rsid w:val="003D34E2"/>
    <w:rsid w:val="003D3763"/>
    <w:rsid w:val="003D37EC"/>
    <w:rsid w:val="003D38C1"/>
    <w:rsid w:val="003D39EE"/>
    <w:rsid w:val="003D3D52"/>
    <w:rsid w:val="003D424C"/>
    <w:rsid w:val="003D499C"/>
    <w:rsid w:val="003D4AD6"/>
    <w:rsid w:val="003D4D4D"/>
    <w:rsid w:val="003D4E5B"/>
    <w:rsid w:val="003D4F51"/>
    <w:rsid w:val="003D4F62"/>
    <w:rsid w:val="003D4F6C"/>
    <w:rsid w:val="003D4FD3"/>
    <w:rsid w:val="003D5002"/>
    <w:rsid w:val="003D501B"/>
    <w:rsid w:val="003D5356"/>
    <w:rsid w:val="003D54CA"/>
    <w:rsid w:val="003D561B"/>
    <w:rsid w:val="003D5888"/>
    <w:rsid w:val="003D5918"/>
    <w:rsid w:val="003D5B76"/>
    <w:rsid w:val="003D5C98"/>
    <w:rsid w:val="003D5F2B"/>
    <w:rsid w:val="003D5F79"/>
    <w:rsid w:val="003D5FA0"/>
    <w:rsid w:val="003D60F6"/>
    <w:rsid w:val="003D62AF"/>
    <w:rsid w:val="003D6364"/>
    <w:rsid w:val="003D64F1"/>
    <w:rsid w:val="003D6630"/>
    <w:rsid w:val="003D6725"/>
    <w:rsid w:val="003D6C62"/>
    <w:rsid w:val="003D6D79"/>
    <w:rsid w:val="003D70E2"/>
    <w:rsid w:val="003D7120"/>
    <w:rsid w:val="003D7143"/>
    <w:rsid w:val="003D72D7"/>
    <w:rsid w:val="003D748F"/>
    <w:rsid w:val="003D7553"/>
    <w:rsid w:val="003D78E1"/>
    <w:rsid w:val="003D7909"/>
    <w:rsid w:val="003D7958"/>
    <w:rsid w:val="003D7AEC"/>
    <w:rsid w:val="003D7CE1"/>
    <w:rsid w:val="003D7D82"/>
    <w:rsid w:val="003D7E96"/>
    <w:rsid w:val="003D7EDE"/>
    <w:rsid w:val="003E03C3"/>
    <w:rsid w:val="003E0424"/>
    <w:rsid w:val="003E0623"/>
    <w:rsid w:val="003E0636"/>
    <w:rsid w:val="003E0809"/>
    <w:rsid w:val="003E08A7"/>
    <w:rsid w:val="003E0A70"/>
    <w:rsid w:val="003E0AE3"/>
    <w:rsid w:val="003E0B06"/>
    <w:rsid w:val="003E0D67"/>
    <w:rsid w:val="003E0DB0"/>
    <w:rsid w:val="003E102B"/>
    <w:rsid w:val="003E103D"/>
    <w:rsid w:val="003E10C2"/>
    <w:rsid w:val="003E122C"/>
    <w:rsid w:val="003E152B"/>
    <w:rsid w:val="003E156A"/>
    <w:rsid w:val="003E156D"/>
    <w:rsid w:val="003E15CC"/>
    <w:rsid w:val="003E160B"/>
    <w:rsid w:val="003E1776"/>
    <w:rsid w:val="003E1873"/>
    <w:rsid w:val="003E1C56"/>
    <w:rsid w:val="003E1ECB"/>
    <w:rsid w:val="003E2087"/>
    <w:rsid w:val="003E2246"/>
    <w:rsid w:val="003E25EF"/>
    <w:rsid w:val="003E275F"/>
    <w:rsid w:val="003E27BF"/>
    <w:rsid w:val="003E286E"/>
    <w:rsid w:val="003E2A05"/>
    <w:rsid w:val="003E2B36"/>
    <w:rsid w:val="003E2B96"/>
    <w:rsid w:val="003E2CF4"/>
    <w:rsid w:val="003E2D4A"/>
    <w:rsid w:val="003E2E98"/>
    <w:rsid w:val="003E2EA4"/>
    <w:rsid w:val="003E2EE4"/>
    <w:rsid w:val="003E3382"/>
    <w:rsid w:val="003E3603"/>
    <w:rsid w:val="003E36C2"/>
    <w:rsid w:val="003E3712"/>
    <w:rsid w:val="003E38C4"/>
    <w:rsid w:val="003E3BD0"/>
    <w:rsid w:val="003E3C75"/>
    <w:rsid w:val="003E3E6B"/>
    <w:rsid w:val="003E424E"/>
    <w:rsid w:val="003E4267"/>
    <w:rsid w:val="003E4340"/>
    <w:rsid w:val="003E4749"/>
    <w:rsid w:val="003E47C7"/>
    <w:rsid w:val="003E4892"/>
    <w:rsid w:val="003E4F94"/>
    <w:rsid w:val="003E4FEA"/>
    <w:rsid w:val="003E5120"/>
    <w:rsid w:val="003E5168"/>
    <w:rsid w:val="003E5799"/>
    <w:rsid w:val="003E57BC"/>
    <w:rsid w:val="003E5929"/>
    <w:rsid w:val="003E5AD5"/>
    <w:rsid w:val="003E5AE6"/>
    <w:rsid w:val="003E5DBA"/>
    <w:rsid w:val="003E5E4C"/>
    <w:rsid w:val="003E6254"/>
    <w:rsid w:val="003E62A1"/>
    <w:rsid w:val="003E6359"/>
    <w:rsid w:val="003E6411"/>
    <w:rsid w:val="003E6780"/>
    <w:rsid w:val="003E67AD"/>
    <w:rsid w:val="003E69D0"/>
    <w:rsid w:val="003E6ABF"/>
    <w:rsid w:val="003E6B0A"/>
    <w:rsid w:val="003E6D61"/>
    <w:rsid w:val="003E6D8A"/>
    <w:rsid w:val="003E6E0A"/>
    <w:rsid w:val="003E6F61"/>
    <w:rsid w:val="003E7170"/>
    <w:rsid w:val="003E71CF"/>
    <w:rsid w:val="003E731A"/>
    <w:rsid w:val="003E732D"/>
    <w:rsid w:val="003E745A"/>
    <w:rsid w:val="003E745F"/>
    <w:rsid w:val="003E7494"/>
    <w:rsid w:val="003E762D"/>
    <w:rsid w:val="003E7692"/>
    <w:rsid w:val="003E7B68"/>
    <w:rsid w:val="003E7B86"/>
    <w:rsid w:val="003E7C36"/>
    <w:rsid w:val="003E7CAA"/>
    <w:rsid w:val="003E7CB3"/>
    <w:rsid w:val="003F02AF"/>
    <w:rsid w:val="003F033C"/>
    <w:rsid w:val="003F03CC"/>
    <w:rsid w:val="003F03CF"/>
    <w:rsid w:val="003F0545"/>
    <w:rsid w:val="003F05A1"/>
    <w:rsid w:val="003F06AB"/>
    <w:rsid w:val="003F0927"/>
    <w:rsid w:val="003F09C9"/>
    <w:rsid w:val="003F0B01"/>
    <w:rsid w:val="003F0BC5"/>
    <w:rsid w:val="003F0C98"/>
    <w:rsid w:val="003F0CB2"/>
    <w:rsid w:val="003F0EFA"/>
    <w:rsid w:val="003F103E"/>
    <w:rsid w:val="003F11FE"/>
    <w:rsid w:val="003F14BC"/>
    <w:rsid w:val="003F18B5"/>
    <w:rsid w:val="003F1901"/>
    <w:rsid w:val="003F1A46"/>
    <w:rsid w:val="003F1A52"/>
    <w:rsid w:val="003F1AFC"/>
    <w:rsid w:val="003F1D66"/>
    <w:rsid w:val="003F1E0C"/>
    <w:rsid w:val="003F20B7"/>
    <w:rsid w:val="003F23EF"/>
    <w:rsid w:val="003F245E"/>
    <w:rsid w:val="003F2629"/>
    <w:rsid w:val="003F2773"/>
    <w:rsid w:val="003F2889"/>
    <w:rsid w:val="003F2BB8"/>
    <w:rsid w:val="003F2BD4"/>
    <w:rsid w:val="003F2D3C"/>
    <w:rsid w:val="003F2D64"/>
    <w:rsid w:val="003F3001"/>
    <w:rsid w:val="003F3027"/>
    <w:rsid w:val="003F3229"/>
    <w:rsid w:val="003F3288"/>
    <w:rsid w:val="003F32F4"/>
    <w:rsid w:val="003F33A9"/>
    <w:rsid w:val="003F33B8"/>
    <w:rsid w:val="003F35B2"/>
    <w:rsid w:val="003F35CC"/>
    <w:rsid w:val="003F364E"/>
    <w:rsid w:val="003F3666"/>
    <w:rsid w:val="003F39EA"/>
    <w:rsid w:val="003F3B2B"/>
    <w:rsid w:val="003F3B33"/>
    <w:rsid w:val="003F3B99"/>
    <w:rsid w:val="003F3C53"/>
    <w:rsid w:val="003F3CC8"/>
    <w:rsid w:val="003F3D3D"/>
    <w:rsid w:val="003F406E"/>
    <w:rsid w:val="003F41E9"/>
    <w:rsid w:val="003F4218"/>
    <w:rsid w:val="003F4337"/>
    <w:rsid w:val="003F4381"/>
    <w:rsid w:val="003F469F"/>
    <w:rsid w:val="003F4761"/>
    <w:rsid w:val="003F4843"/>
    <w:rsid w:val="003F4866"/>
    <w:rsid w:val="003F4A4E"/>
    <w:rsid w:val="003F4B08"/>
    <w:rsid w:val="003F4EC3"/>
    <w:rsid w:val="003F4ED3"/>
    <w:rsid w:val="003F527E"/>
    <w:rsid w:val="003F5498"/>
    <w:rsid w:val="003F55F9"/>
    <w:rsid w:val="003F59BD"/>
    <w:rsid w:val="003F5D03"/>
    <w:rsid w:val="003F5D5B"/>
    <w:rsid w:val="003F5EC5"/>
    <w:rsid w:val="003F5F48"/>
    <w:rsid w:val="003F5F9F"/>
    <w:rsid w:val="003F6100"/>
    <w:rsid w:val="003F61B5"/>
    <w:rsid w:val="003F633A"/>
    <w:rsid w:val="003F642A"/>
    <w:rsid w:val="003F6453"/>
    <w:rsid w:val="003F6563"/>
    <w:rsid w:val="003F6572"/>
    <w:rsid w:val="003F66B7"/>
    <w:rsid w:val="003F69C2"/>
    <w:rsid w:val="003F69EC"/>
    <w:rsid w:val="003F6AEE"/>
    <w:rsid w:val="003F6B40"/>
    <w:rsid w:val="003F6C2B"/>
    <w:rsid w:val="003F6FFF"/>
    <w:rsid w:val="003F70EF"/>
    <w:rsid w:val="003F735B"/>
    <w:rsid w:val="003F75A5"/>
    <w:rsid w:val="003F76C4"/>
    <w:rsid w:val="003F77FC"/>
    <w:rsid w:val="003F79D8"/>
    <w:rsid w:val="003F7B81"/>
    <w:rsid w:val="003F7F0E"/>
    <w:rsid w:val="003F7F56"/>
    <w:rsid w:val="0040025D"/>
    <w:rsid w:val="0040037D"/>
    <w:rsid w:val="0040043B"/>
    <w:rsid w:val="004004B9"/>
    <w:rsid w:val="004004EC"/>
    <w:rsid w:val="00400585"/>
    <w:rsid w:val="004009EC"/>
    <w:rsid w:val="00401008"/>
    <w:rsid w:val="00401132"/>
    <w:rsid w:val="0040113A"/>
    <w:rsid w:val="00401192"/>
    <w:rsid w:val="004011AC"/>
    <w:rsid w:val="004012A1"/>
    <w:rsid w:val="004012EA"/>
    <w:rsid w:val="00401304"/>
    <w:rsid w:val="00401358"/>
    <w:rsid w:val="004013C9"/>
    <w:rsid w:val="00401A55"/>
    <w:rsid w:val="00401B43"/>
    <w:rsid w:val="00401C10"/>
    <w:rsid w:val="00401E79"/>
    <w:rsid w:val="00401E9A"/>
    <w:rsid w:val="00402065"/>
    <w:rsid w:val="00402187"/>
    <w:rsid w:val="004021C0"/>
    <w:rsid w:val="004022D5"/>
    <w:rsid w:val="0040232B"/>
    <w:rsid w:val="0040246C"/>
    <w:rsid w:val="0040249F"/>
    <w:rsid w:val="00402603"/>
    <w:rsid w:val="0040269B"/>
    <w:rsid w:val="0040287B"/>
    <w:rsid w:val="004028B9"/>
    <w:rsid w:val="004028BE"/>
    <w:rsid w:val="004028F7"/>
    <w:rsid w:val="00402956"/>
    <w:rsid w:val="00402C8E"/>
    <w:rsid w:val="00402D3C"/>
    <w:rsid w:val="00402F3A"/>
    <w:rsid w:val="00403218"/>
    <w:rsid w:val="00403301"/>
    <w:rsid w:val="00403328"/>
    <w:rsid w:val="004033B8"/>
    <w:rsid w:val="004033D6"/>
    <w:rsid w:val="0040347E"/>
    <w:rsid w:val="0040355C"/>
    <w:rsid w:val="004035C2"/>
    <w:rsid w:val="004038FB"/>
    <w:rsid w:val="00403B04"/>
    <w:rsid w:val="00403DC1"/>
    <w:rsid w:val="00403DFF"/>
    <w:rsid w:val="0040412D"/>
    <w:rsid w:val="004041F7"/>
    <w:rsid w:val="004042DE"/>
    <w:rsid w:val="004044C6"/>
    <w:rsid w:val="00404583"/>
    <w:rsid w:val="004046CB"/>
    <w:rsid w:val="00404910"/>
    <w:rsid w:val="0040491A"/>
    <w:rsid w:val="004049F2"/>
    <w:rsid w:val="00404E29"/>
    <w:rsid w:val="00404E3B"/>
    <w:rsid w:val="00404F9E"/>
    <w:rsid w:val="00404FBD"/>
    <w:rsid w:val="00405080"/>
    <w:rsid w:val="0040528B"/>
    <w:rsid w:val="004052FE"/>
    <w:rsid w:val="004053C8"/>
    <w:rsid w:val="0040569B"/>
    <w:rsid w:val="00405778"/>
    <w:rsid w:val="004058FC"/>
    <w:rsid w:val="00405ACF"/>
    <w:rsid w:val="00405B6A"/>
    <w:rsid w:val="00405B91"/>
    <w:rsid w:val="00405C63"/>
    <w:rsid w:val="00405D27"/>
    <w:rsid w:val="00405D5F"/>
    <w:rsid w:val="00405DD1"/>
    <w:rsid w:val="00405E04"/>
    <w:rsid w:val="00405E38"/>
    <w:rsid w:val="00405EE7"/>
    <w:rsid w:val="00405FD7"/>
    <w:rsid w:val="0040623E"/>
    <w:rsid w:val="004064F2"/>
    <w:rsid w:val="00406671"/>
    <w:rsid w:val="004066A8"/>
    <w:rsid w:val="004066C4"/>
    <w:rsid w:val="004066D0"/>
    <w:rsid w:val="004066DC"/>
    <w:rsid w:val="00406744"/>
    <w:rsid w:val="00406A6E"/>
    <w:rsid w:val="00406AF5"/>
    <w:rsid w:val="00406DB3"/>
    <w:rsid w:val="00406E6C"/>
    <w:rsid w:val="00406FB6"/>
    <w:rsid w:val="0040705F"/>
    <w:rsid w:val="0040714F"/>
    <w:rsid w:val="00407214"/>
    <w:rsid w:val="0040748E"/>
    <w:rsid w:val="00407671"/>
    <w:rsid w:val="004076C9"/>
    <w:rsid w:val="004077E6"/>
    <w:rsid w:val="00407B26"/>
    <w:rsid w:val="00407BD4"/>
    <w:rsid w:val="00407C88"/>
    <w:rsid w:val="00407EF7"/>
    <w:rsid w:val="00407F5C"/>
    <w:rsid w:val="00407FC8"/>
    <w:rsid w:val="00410048"/>
    <w:rsid w:val="004104C7"/>
    <w:rsid w:val="004105AB"/>
    <w:rsid w:val="004105BD"/>
    <w:rsid w:val="0041061A"/>
    <w:rsid w:val="00410653"/>
    <w:rsid w:val="004106CB"/>
    <w:rsid w:val="0041070B"/>
    <w:rsid w:val="004109B0"/>
    <w:rsid w:val="00410A13"/>
    <w:rsid w:val="00410B78"/>
    <w:rsid w:val="00410C45"/>
    <w:rsid w:val="00410CA7"/>
    <w:rsid w:val="00410E04"/>
    <w:rsid w:val="00410EA2"/>
    <w:rsid w:val="00410EE2"/>
    <w:rsid w:val="00411016"/>
    <w:rsid w:val="00411117"/>
    <w:rsid w:val="004112E0"/>
    <w:rsid w:val="00411345"/>
    <w:rsid w:val="0041139E"/>
    <w:rsid w:val="0041196D"/>
    <w:rsid w:val="004119D4"/>
    <w:rsid w:val="0041212D"/>
    <w:rsid w:val="00412316"/>
    <w:rsid w:val="0041231B"/>
    <w:rsid w:val="004123D4"/>
    <w:rsid w:val="00412567"/>
    <w:rsid w:val="004125A8"/>
    <w:rsid w:val="004125DA"/>
    <w:rsid w:val="004125E8"/>
    <w:rsid w:val="00412837"/>
    <w:rsid w:val="004128DC"/>
    <w:rsid w:val="00412B43"/>
    <w:rsid w:val="00412CF4"/>
    <w:rsid w:val="00412D21"/>
    <w:rsid w:val="004133B0"/>
    <w:rsid w:val="004135BF"/>
    <w:rsid w:val="004136E3"/>
    <w:rsid w:val="00413795"/>
    <w:rsid w:val="004139D6"/>
    <w:rsid w:val="00413A76"/>
    <w:rsid w:val="00413C7C"/>
    <w:rsid w:val="00413DB0"/>
    <w:rsid w:val="00413FD4"/>
    <w:rsid w:val="004141A2"/>
    <w:rsid w:val="0041421C"/>
    <w:rsid w:val="004143BF"/>
    <w:rsid w:val="00414427"/>
    <w:rsid w:val="00414486"/>
    <w:rsid w:val="00414490"/>
    <w:rsid w:val="0041450A"/>
    <w:rsid w:val="00414648"/>
    <w:rsid w:val="004146ED"/>
    <w:rsid w:val="004147D3"/>
    <w:rsid w:val="00414836"/>
    <w:rsid w:val="004148A1"/>
    <w:rsid w:val="0041492E"/>
    <w:rsid w:val="00414BEF"/>
    <w:rsid w:val="00414CAC"/>
    <w:rsid w:val="00414CB7"/>
    <w:rsid w:val="00414DE8"/>
    <w:rsid w:val="00414E8B"/>
    <w:rsid w:val="00414F67"/>
    <w:rsid w:val="00414FEA"/>
    <w:rsid w:val="00415194"/>
    <w:rsid w:val="0041524F"/>
    <w:rsid w:val="004154FB"/>
    <w:rsid w:val="0041559F"/>
    <w:rsid w:val="00415712"/>
    <w:rsid w:val="00415714"/>
    <w:rsid w:val="00415797"/>
    <w:rsid w:val="00415987"/>
    <w:rsid w:val="0041598B"/>
    <w:rsid w:val="00415ABD"/>
    <w:rsid w:val="00415C5E"/>
    <w:rsid w:val="00415FB0"/>
    <w:rsid w:val="00416045"/>
    <w:rsid w:val="004164A4"/>
    <w:rsid w:val="00416548"/>
    <w:rsid w:val="004165C6"/>
    <w:rsid w:val="004166E3"/>
    <w:rsid w:val="00416756"/>
    <w:rsid w:val="00416852"/>
    <w:rsid w:val="00416D99"/>
    <w:rsid w:val="00416EA0"/>
    <w:rsid w:val="00416EB9"/>
    <w:rsid w:val="00417051"/>
    <w:rsid w:val="0041705A"/>
    <w:rsid w:val="004170BA"/>
    <w:rsid w:val="0041769D"/>
    <w:rsid w:val="00417757"/>
    <w:rsid w:val="00417887"/>
    <w:rsid w:val="004178E8"/>
    <w:rsid w:val="00417940"/>
    <w:rsid w:val="0041799F"/>
    <w:rsid w:val="00417B02"/>
    <w:rsid w:val="00417F5E"/>
    <w:rsid w:val="00417F6F"/>
    <w:rsid w:val="004200A6"/>
    <w:rsid w:val="004201C3"/>
    <w:rsid w:val="004201F8"/>
    <w:rsid w:val="0042048F"/>
    <w:rsid w:val="00420617"/>
    <w:rsid w:val="00420801"/>
    <w:rsid w:val="004208EC"/>
    <w:rsid w:val="00420A84"/>
    <w:rsid w:val="00420B4A"/>
    <w:rsid w:val="00420C42"/>
    <w:rsid w:val="00420D5B"/>
    <w:rsid w:val="00420D73"/>
    <w:rsid w:val="00420D8D"/>
    <w:rsid w:val="00420E29"/>
    <w:rsid w:val="00420E8C"/>
    <w:rsid w:val="00420EF7"/>
    <w:rsid w:val="00420F4C"/>
    <w:rsid w:val="00420FB2"/>
    <w:rsid w:val="004210AD"/>
    <w:rsid w:val="0042112E"/>
    <w:rsid w:val="004211E7"/>
    <w:rsid w:val="004214BF"/>
    <w:rsid w:val="004214EA"/>
    <w:rsid w:val="00421841"/>
    <w:rsid w:val="00421922"/>
    <w:rsid w:val="00421EB5"/>
    <w:rsid w:val="00422157"/>
    <w:rsid w:val="0042259D"/>
    <w:rsid w:val="004229B6"/>
    <w:rsid w:val="00422B5C"/>
    <w:rsid w:val="00422BBB"/>
    <w:rsid w:val="00422DCC"/>
    <w:rsid w:val="004230DA"/>
    <w:rsid w:val="00423233"/>
    <w:rsid w:val="0042325E"/>
    <w:rsid w:val="00423323"/>
    <w:rsid w:val="00423560"/>
    <w:rsid w:val="004237B3"/>
    <w:rsid w:val="004238B9"/>
    <w:rsid w:val="0042397C"/>
    <w:rsid w:val="00423B1E"/>
    <w:rsid w:val="00423C88"/>
    <w:rsid w:val="00423D71"/>
    <w:rsid w:val="00423FA2"/>
    <w:rsid w:val="004241E3"/>
    <w:rsid w:val="0042421A"/>
    <w:rsid w:val="00424446"/>
    <w:rsid w:val="00424639"/>
    <w:rsid w:val="0042479F"/>
    <w:rsid w:val="004247A1"/>
    <w:rsid w:val="004247AE"/>
    <w:rsid w:val="00424823"/>
    <w:rsid w:val="00424877"/>
    <w:rsid w:val="004249F2"/>
    <w:rsid w:val="00424AC0"/>
    <w:rsid w:val="00424D0D"/>
    <w:rsid w:val="00424EB6"/>
    <w:rsid w:val="00424FCC"/>
    <w:rsid w:val="00424FDD"/>
    <w:rsid w:val="0042538A"/>
    <w:rsid w:val="004254DC"/>
    <w:rsid w:val="00425684"/>
    <w:rsid w:val="004256C8"/>
    <w:rsid w:val="0042585F"/>
    <w:rsid w:val="0042589A"/>
    <w:rsid w:val="00425C6D"/>
    <w:rsid w:val="00425CA5"/>
    <w:rsid w:val="0042606D"/>
    <w:rsid w:val="00426157"/>
    <w:rsid w:val="00426298"/>
    <w:rsid w:val="004263AF"/>
    <w:rsid w:val="004263BA"/>
    <w:rsid w:val="0042668C"/>
    <w:rsid w:val="004266E6"/>
    <w:rsid w:val="00426828"/>
    <w:rsid w:val="00426AD2"/>
    <w:rsid w:val="00426B0B"/>
    <w:rsid w:val="00426FAC"/>
    <w:rsid w:val="0042713E"/>
    <w:rsid w:val="00427274"/>
    <w:rsid w:val="00427302"/>
    <w:rsid w:val="00427592"/>
    <w:rsid w:val="00427689"/>
    <w:rsid w:val="00427703"/>
    <w:rsid w:val="0042772B"/>
    <w:rsid w:val="004277F9"/>
    <w:rsid w:val="00427AE0"/>
    <w:rsid w:val="00427B50"/>
    <w:rsid w:val="004300F3"/>
    <w:rsid w:val="00430114"/>
    <w:rsid w:val="004301BA"/>
    <w:rsid w:val="0043028B"/>
    <w:rsid w:val="0043036B"/>
    <w:rsid w:val="004303B6"/>
    <w:rsid w:val="004303E9"/>
    <w:rsid w:val="0043042A"/>
    <w:rsid w:val="004306BD"/>
    <w:rsid w:val="004306E5"/>
    <w:rsid w:val="00430743"/>
    <w:rsid w:val="0043077B"/>
    <w:rsid w:val="004307BC"/>
    <w:rsid w:val="004307F3"/>
    <w:rsid w:val="00430A0F"/>
    <w:rsid w:val="00430D1A"/>
    <w:rsid w:val="00430D4B"/>
    <w:rsid w:val="00430DD2"/>
    <w:rsid w:val="00430EFF"/>
    <w:rsid w:val="00430F94"/>
    <w:rsid w:val="00431047"/>
    <w:rsid w:val="00431223"/>
    <w:rsid w:val="00431247"/>
    <w:rsid w:val="004313F9"/>
    <w:rsid w:val="004316A9"/>
    <w:rsid w:val="00431753"/>
    <w:rsid w:val="004317C6"/>
    <w:rsid w:val="0043188F"/>
    <w:rsid w:val="00431A2E"/>
    <w:rsid w:val="00431ABD"/>
    <w:rsid w:val="00431B0D"/>
    <w:rsid w:val="00431D84"/>
    <w:rsid w:val="00432071"/>
    <w:rsid w:val="00432111"/>
    <w:rsid w:val="00432307"/>
    <w:rsid w:val="004323CF"/>
    <w:rsid w:val="00432477"/>
    <w:rsid w:val="0043253A"/>
    <w:rsid w:val="00432547"/>
    <w:rsid w:val="004325E6"/>
    <w:rsid w:val="004326B8"/>
    <w:rsid w:val="004327B1"/>
    <w:rsid w:val="00432903"/>
    <w:rsid w:val="00432B78"/>
    <w:rsid w:val="00432CD9"/>
    <w:rsid w:val="00432D30"/>
    <w:rsid w:val="00432DEE"/>
    <w:rsid w:val="00433023"/>
    <w:rsid w:val="00433151"/>
    <w:rsid w:val="00433359"/>
    <w:rsid w:val="00433560"/>
    <w:rsid w:val="004338B9"/>
    <w:rsid w:val="004338CF"/>
    <w:rsid w:val="00433A30"/>
    <w:rsid w:val="00433A88"/>
    <w:rsid w:val="0043426E"/>
    <w:rsid w:val="00434280"/>
    <w:rsid w:val="004342DA"/>
    <w:rsid w:val="0043453C"/>
    <w:rsid w:val="00434585"/>
    <w:rsid w:val="004346C4"/>
    <w:rsid w:val="00434865"/>
    <w:rsid w:val="004348DB"/>
    <w:rsid w:val="004349F0"/>
    <w:rsid w:val="00434A35"/>
    <w:rsid w:val="00434AC1"/>
    <w:rsid w:val="00434B5D"/>
    <w:rsid w:val="00434D8A"/>
    <w:rsid w:val="00435280"/>
    <w:rsid w:val="0043531B"/>
    <w:rsid w:val="004354B9"/>
    <w:rsid w:val="004355C1"/>
    <w:rsid w:val="00435729"/>
    <w:rsid w:val="0043591A"/>
    <w:rsid w:val="00435936"/>
    <w:rsid w:val="00435BF1"/>
    <w:rsid w:val="00435D96"/>
    <w:rsid w:val="00435E5D"/>
    <w:rsid w:val="004360C7"/>
    <w:rsid w:val="0043652D"/>
    <w:rsid w:val="0043669A"/>
    <w:rsid w:val="00436B1C"/>
    <w:rsid w:val="00436B25"/>
    <w:rsid w:val="00436B2A"/>
    <w:rsid w:val="00436B83"/>
    <w:rsid w:val="00436F8B"/>
    <w:rsid w:val="00437036"/>
    <w:rsid w:val="004370E0"/>
    <w:rsid w:val="00437389"/>
    <w:rsid w:val="004373DA"/>
    <w:rsid w:val="0043746C"/>
    <w:rsid w:val="0043763D"/>
    <w:rsid w:val="004377A9"/>
    <w:rsid w:val="00437834"/>
    <w:rsid w:val="004378E1"/>
    <w:rsid w:val="00437AF1"/>
    <w:rsid w:val="00437B04"/>
    <w:rsid w:val="00437BAF"/>
    <w:rsid w:val="00437C4D"/>
    <w:rsid w:val="00437CBA"/>
    <w:rsid w:val="004401AD"/>
    <w:rsid w:val="0044040A"/>
    <w:rsid w:val="0044071F"/>
    <w:rsid w:val="004407F3"/>
    <w:rsid w:val="00440889"/>
    <w:rsid w:val="00440A73"/>
    <w:rsid w:val="00440C03"/>
    <w:rsid w:val="00440DAB"/>
    <w:rsid w:val="00441168"/>
    <w:rsid w:val="004412B4"/>
    <w:rsid w:val="0044130A"/>
    <w:rsid w:val="0044133D"/>
    <w:rsid w:val="00441486"/>
    <w:rsid w:val="004414AC"/>
    <w:rsid w:val="00441694"/>
    <w:rsid w:val="0044176B"/>
    <w:rsid w:val="004418E0"/>
    <w:rsid w:val="0044191B"/>
    <w:rsid w:val="00441D0C"/>
    <w:rsid w:val="00441D9F"/>
    <w:rsid w:val="00442062"/>
    <w:rsid w:val="0044216C"/>
    <w:rsid w:val="00442248"/>
    <w:rsid w:val="00442281"/>
    <w:rsid w:val="00442288"/>
    <w:rsid w:val="00442348"/>
    <w:rsid w:val="00442A07"/>
    <w:rsid w:val="00442D31"/>
    <w:rsid w:val="00442FCA"/>
    <w:rsid w:val="0044313F"/>
    <w:rsid w:val="00443294"/>
    <w:rsid w:val="0044346A"/>
    <w:rsid w:val="00443566"/>
    <w:rsid w:val="004437EF"/>
    <w:rsid w:val="004438E0"/>
    <w:rsid w:val="0044390A"/>
    <w:rsid w:val="0044395A"/>
    <w:rsid w:val="00443A49"/>
    <w:rsid w:val="00443B46"/>
    <w:rsid w:val="00443E19"/>
    <w:rsid w:val="00443EF3"/>
    <w:rsid w:val="00443FBA"/>
    <w:rsid w:val="0044405A"/>
    <w:rsid w:val="004440B5"/>
    <w:rsid w:val="00444279"/>
    <w:rsid w:val="004442E3"/>
    <w:rsid w:val="004442F7"/>
    <w:rsid w:val="004443D1"/>
    <w:rsid w:val="00444590"/>
    <w:rsid w:val="004445B8"/>
    <w:rsid w:val="00444672"/>
    <w:rsid w:val="00444989"/>
    <w:rsid w:val="004449C7"/>
    <w:rsid w:val="00444A80"/>
    <w:rsid w:val="00444BF2"/>
    <w:rsid w:val="00444CB3"/>
    <w:rsid w:val="00444CC4"/>
    <w:rsid w:val="00444F57"/>
    <w:rsid w:val="00445060"/>
    <w:rsid w:val="004451EB"/>
    <w:rsid w:val="0044528C"/>
    <w:rsid w:val="00445458"/>
    <w:rsid w:val="00445526"/>
    <w:rsid w:val="004455A7"/>
    <w:rsid w:val="004456A4"/>
    <w:rsid w:val="004457EA"/>
    <w:rsid w:val="0044580E"/>
    <w:rsid w:val="00445871"/>
    <w:rsid w:val="00445ACB"/>
    <w:rsid w:val="00445C1D"/>
    <w:rsid w:val="00445E1B"/>
    <w:rsid w:val="004461C2"/>
    <w:rsid w:val="004462D5"/>
    <w:rsid w:val="0044632E"/>
    <w:rsid w:val="004463CF"/>
    <w:rsid w:val="00446451"/>
    <w:rsid w:val="004465E9"/>
    <w:rsid w:val="00446693"/>
    <w:rsid w:val="004466E8"/>
    <w:rsid w:val="0044689E"/>
    <w:rsid w:val="004469DE"/>
    <w:rsid w:val="00446A21"/>
    <w:rsid w:val="00446A9E"/>
    <w:rsid w:val="00446E02"/>
    <w:rsid w:val="00446E24"/>
    <w:rsid w:val="00447163"/>
    <w:rsid w:val="004471C9"/>
    <w:rsid w:val="0044724D"/>
    <w:rsid w:val="0044755C"/>
    <w:rsid w:val="004476D2"/>
    <w:rsid w:val="00447872"/>
    <w:rsid w:val="004479FE"/>
    <w:rsid w:val="00447AB9"/>
    <w:rsid w:val="00447B04"/>
    <w:rsid w:val="00447B7F"/>
    <w:rsid w:val="00447C94"/>
    <w:rsid w:val="00447CC1"/>
    <w:rsid w:val="00447DB0"/>
    <w:rsid w:val="00450027"/>
    <w:rsid w:val="004503A3"/>
    <w:rsid w:val="00450443"/>
    <w:rsid w:val="004504B1"/>
    <w:rsid w:val="0045059E"/>
    <w:rsid w:val="004508EE"/>
    <w:rsid w:val="0045094A"/>
    <w:rsid w:val="00450B38"/>
    <w:rsid w:val="00450C53"/>
    <w:rsid w:val="00450C85"/>
    <w:rsid w:val="00450DFA"/>
    <w:rsid w:val="0045112E"/>
    <w:rsid w:val="0045141B"/>
    <w:rsid w:val="004514D0"/>
    <w:rsid w:val="004516C9"/>
    <w:rsid w:val="004517A4"/>
    <w:rsid w:val="004517F9"/>
    <w:rsid w:val="00451A94"/>
    <w:rsid w:val="00451B62"/>
    <w:rsid w:val="00451C26"/>
    <w:rsid w:val="00451C8D"/>
    <w:rsid w:val="004520A2"/>
    <w:rsid w:val="004521EC"/>
    <w:rsid w:val="004522E7"/>
    <w:rsid w:val="004523CD"/>
    <w:rsid w:val="00452426"/>
    <w:rsid w:val="00452456"/>
    <w:rsid w:val="00452475"/>
    <w:rsid w:val="0045250F"/>
    <w:rsid w:val="0045253D"/>
    <w:rsid w:val="00452A7C"/>
    <w:rsid w:val="00452BCF"/>
    <w:rsid w:val="00452D03"/>
    <w:rsid w:val="00452E11"/>
    <w:rsid w:val="00452F2F"/>
    <w:rsid w:val="00452F98"/>
    <w:rsid w:val="00453343"/>
    <w:rsid w:val="004534E7"/>
    <w:rsid w:val="0045371A"/>
    <w:rsid w:val="00453882"/>
    <w:rsid w:val="00453B13"/>
    <w:rsid w:val="00453D49"/>
    <w:rsid w:val="00453D71"/>
    <w:rsid w:val="00453E77"/>
    <w:rsid w:val="00453F32"/>
    <w:rsid w:val="004541DF"/>
    <w:rsid w:val="004542CC"/>
    <w:rsid w:val="00454370"/>
    <w:rsid w:val="004543E0"/>
    <w:rsid w:val="00454421"/>
    <w:rsid w:val="00454423"/>
    <w:rsid w:val="004544BF"/>
    <w:rsid w:val="00454514"/>
    <w:rsid w:val="0045466C"/>
    <w:rsid w:val="00454674"/>
    <w:rsid w:val="00454943"/>
    <w:rsid w:val="0045507E"/>
    <w:rsid w:val="00455207"/>
    <w:rsid w:val="0045525F"/>
    <w:rsid w:val="004552C9"/>
    <w:rsid w:val="0045545F"/>
    <w:rsid w:val="0045546A"/>
    <w:rsid w:val="004556D6"/>
    <w:rsid w:val="00455703"/>
    <w:rsid w:val="00455835"/>
    <w:rsid w:val="004558CA"/>
    <w:rsid w:val="004559B3"/>
    <w:rsid w:val="004559F8"/>
    <w:rsid w:val="00455B6F"/>
    <w:rsid w:val="00455BD1"/>
    <w:rsid w:val="00455E39"/>
    <w:rsid w:val="00455E9B"/>
    <w:rsid w:val="00455F88"/>
    <w:rsid w:val="00455FEE"/>
    <w:rsid w:val="0045602A"/>
    <w:rsid w:val="00456523"/>
    <w:rsid w:val="004566A0"/>
    <w:rsid w:val="004566B1"/>
    <w:rsid w:val="004566B6"/>
    <w:rsid w:val="00456800"/>
    <w:rsid w:val="00456906"/>
    <w:rsid w:val="00456A9A"/>
    <w:rsid w:val="00456B90"/>
    <w:rsid w:val="00456CE8"/>
    <w:rsid w:val="00457096"/>
    <w:rsid w:val="00457288"/>
    <w:rsid w:val="0045740B"/>
    <w:rsid w:val="004574B5"/>
    <w:rsid w:val="00457810"/>
    <w:rsid w:val="00457884"/>
    <w:rsid w:val="00457B33"/>
    <w:rsid w:val="00457F1A"/>
    <w:rsid w:val="004600E5"/>
    <w:rsid w:val="004600EA"/>
    <w:rsid w:val="004600FA"/>
    <w:rsid w:val="00460345"/>
    <w:rsid w:val="0046058A"/>
    <w:rsid w:val="0046068A"/>
    <w:rsid w:val="0046074A"/>
    <w:rsid w:val="00460831"/>
    <w:rsid w:val="00460832"/>
    <w:rsid w:val="0046083E"/>
    <w:rsid w:val="00460995"/>
    <w:rsid w:val="00460A69"/>
    <w:rsid w:val="00460AF9"/>
    <w:rsid w:val="00460B21"/>
    <w:rsid w:val="00460C99"/>
    <w:rsid w:val="00460E2E"/>
    <w:rsid w:val="00460E97"/>
    <w:rsid w:val="00460F6A"/>
    <w:rsid w:val="004610CA"/>
    <w:rsid w:val="00461215"/>
    <w:rsid w:val="00461287"/>
    <w:rsid w:val="00461334"/>
    <w:rsid w:val="0046143D"/>
    <w:rsid w:val="0046163E"/>
    <w:rsid w:val="0046177E"/>
    <w:rsid w:val="004617F2"/>
    <w:rsid w:val="00461A97"/>
    <w:rsid w:val="00461F6C"/>
    <w:rsid w:val="004622CE"/>
    <w:rsid w:val="004623E8"/>
    <w:rsid w:val="00462452"/>
    <w:rsid w:val="00462651"/>
    <w:rsid w:val="004626B0"/>
    <w:rsid w:val="004626E5"/>
    <w:rsid w:val="0046285C"/>
    <w:rsid w:val="00462959"/>
    <w:rsid w:val="0046299F"/>
    <w:rsid w:val="00462C2A"/>
    <w:rsid w:val="00462C36"/>
    <w:rsid w:val="00462EB8"/>
    <w:rsid w:val="00463236"/>
    <w:rsid w:val="004633AF"/>
    <w:rsid w:val="004637C1"/>
    <w:rsid w:val="0046383A"/>
    <w:rsid w:val="00463C69"/>
    <w:rsid w:val="00463CCF"/>
    <w:rsid w:val="00463DCD"/>
    <w:rsid w:val="00463E4B"/>
    <w:rsid w:val="00463EFB"/>
    <w:rsid w:val="00463F70"/>
    <w:rsid w:val="00464004"/>
    <w:rsid w:val="0046437B"/>
    <w:rsid w:val="00464706"/>
    <w:rsid w:val="004647D6"/>
    <w:rsid w:val="004649EA"/>
    <w:rsid w:val="004649FF"/>
    <w:rsid w:val="00464B68"/>
    <w:rsid w:val="00464CB8"/>
    <w:rsid w:val="00464E1F"/>
    <w:rsid w:val="00464F28"/>
    <w:rsid w:val="00464F46"/>
    <w:rsid w:val="00464F70"/>
    <w:rsid w:val="004651A0"/>
    <w:rsid w:val="004651C5"/>
    <w:rsid w:val="00465224"/>
    <w:rsid w:val="00465246"/>
    <w:rsid w:val="0046563D"/>
    <w:rsid w:val="00465A2A"/>
    <w:rsid w:val="00465A32"/>
    <w:rsid w:val="00465B96"/>
    <w:rsid w:val="00465C1B"/>
    <w:rsid w:val="00465CD7"/>
    <w:rsid w:val="00465DB1"/>
    <w:rsid w:val="00466137"/>
    <w:rsid w:val="0046630D"/>
    <w:rsid w:val="0046655C"/>
    <w:rsid w:val="004666BD"/>
    <w:rsid w:val="004666C6"/>
    <w:rsid w:val="004667D2"/>
    <w:rsid w:val="0046694F"/>
    <w:rsid w:val="0046696D"/>
    <w:rsid w:val="00466993"/>
    <w:rsid w:val="004669A4"/>
    <w:rsid w:val="00466ABE"/>
    <w:rsid w:val="00466AF9"/>
    <w:rsid w:val="00466B2E"/>
    <w:rsid w:val="00466C42"/>
    <w:rsid w:val="00466CAC"/>
    <w:rsid w:val="00466CF2"/>
    <w:rsid w:val="00466D3B"/>
    <w:rsid w:val="00466E78"/>
    <w:rsid w:val="00466F9B"/>
    <w:rsid w:val="00466FA6"/>
    <w:rsid w:val="0046712C"/>
    <w:rsid w:val="0046723F"/>
    <w:rsid w:val="004674D7"/>
    <w:rsid w:val="00467524"/>
    <w:rsid w:val="00467579"/>
    <w:rsid w:val="00467B95"/>
    <w:rsid w:val="00467CB2"/>
    <w:rsid w:val="00467CD8"/>
    <w:rsid w:val="00467E0F"/>
    <w:rsid w:val="00467F60"/>
    <w:rsid w:val="00470082"/>
    <w:rsid w:val="00470148"/>
    <w:rsid w:val="0047029F"/>
    <w:rsid w:val="0047032D"/>
    <w:rsid w:val="00470334"/>
    <w:rsid w:val="0047042D"/>
    <w:rsid w:val="00470494"/>
    <w:rsid w:val="004704F8"/>
    <w:rsid w:val="0047051D"/>
    <w:rsid w:val="0047054B"/>
    <w:rsid w:val="0047068C"/>
    <w:rsid w:val="004708D8"/>
    <w:rsid w:val="004708ED"/>
    <w:rsid w:val="00470A3E"/>
    <w:rsid w:val="00470A6E"/>
    <w:rsid w:val="00470C60"/>
    <w:rsid w:val="00470CA3"/>
    <w:rsid w:val="00470CFC"/>
    <w:rsid w:val="00470DE3"/>
    <w:rsid w:val="00470EA7"/>
    <w:rsid w:val="00470EDB"/>
    <w:rsid w:val="00470EFF"/>
    <w:rsid w:val="00470F10"/>
    <w:rsid w:val="00470FC3"/>
    <w:rsid w:val="0047114B"/>
    <w:rsid w:val="004711A5"/>
    <w:rsid w:val="0047173F"/>
    <w:rsid w:val="004717EE"/>
    <w:rsid w:val="004718FC"/>
    <w:rsid w:val="00471944"/>
    <w:rsid w:val="00471997"/>
    <w:rsid w:val="004719E1"/>
    <w:rsid w:val="00471A1D"/>
    <w:rsid w:val="00471A38"/>
    <w:rsid w:val="00471E2A"/>
    <w:rsid w:val="00471F31"/>
    <w:rsid w:val="00472706"/>
    <w:rsid w:val="00472991"/>
    <w:rsid w:val="004729F4"/>
    <w:rsid w:val="00472AE4"/>
    <w:rsid w:val="00472B4A"/>
    <w:rsid w:val="00472C0D"/>
    <w:rsid w:val="00472C93"/>
    <w:rsid w:val="00472CA4"/>
    <w:rsid w:val="00472D5A"/>
    <w:rsid w:val="00472D80"/>
    <w:rsid w:val="00472EE8"/>
    <w:rsid w:val="00472F43"/>
    <w:rsid w:val="00472FF3"/>
    <w:rsid w:val="004730B7"/>
    <w:rsid w:val="004731FD"/>
    <w:rsid w:val="00473427"/>
    <w:rsid w:val="0047367C"/>
    <w:rsid w:val="00473932"/>
    <w:rsid w:val="004739D1"/>
    <w:rsid w:val="00473B94"/>
    <w:rsid w:val="00473C1F"/>
    <w:rsid w:val="00473D2E"/>
    <w:rsid w:val="00473E40"/>
    <w:rsid w:val="00473E59"/>
    <w:rsid w:val="00473E71"/>
    <w:rsid w:val="004741E2"/>
    <w:rsid w:val="00474261"/>
    <w:rsid w:val="00474279"/>
    <w:rsid w:val="0047427D"/>
    <w:rsid w:val="004742BD"/>
    <w:rsid w:val="004745A7"/>
    <w:rsid w:val="00474616"/>
    <w:rsid w:val="0047470B"/>
    <w:rsid w:val="004747CA"/>
    <w:rsid w:val="004748CF"/>
    <w:rsid w:val="0047490E"/>
    <w:rsid w:val="0047497D"/>
    <w:rsid w:val="004749F5"/>
    <w:rsid w:val="00474B33"/>
    <w:rsid w:val="00474D3E"/>
    <w:rsid w:val="00474DA5"/>
    <w:rsid w:val="004751A3"/>
    <w:rsid w:val="00475308"/>
    <w:rsid w:val="004754AB"/>
    <w:rsid w:val="004754AF"/>
    <w:rsid w:val="00475669"/>
    <w:rsid w:val="0047575C"/>
    <w:rsid w:val="00475AF7"/>
    <w:rsid w:val="00475B1B"/>
    <w:rsid w:val="00475BE5"/>
    <w:rsid w:val="00475CBF"/>
    <w:rsid w:val="00475F49"/>
    <w:rsid w:val="00475FC3"/>
    <w:rsid w:val="00476247"/>
    <w:rsid w:val="00476338"/>
    <w:rsid w:val="004767D1"/>
    <w:rsid w:val="00476908"/>
    <w:rsid w:val="00476A09"/>
    <w:rsid w:val="00476A4E"/>
    <w:rsid w:val="00476BF8"/>
    <w:rsid w:val="00476C10"/>
    <w:rsid w:val="00476C40"/>
    <w:rsid w:val="00476EB0"/>
    <w:rsid w:val="00476F7D"/>
    <w:rsid w:val="00477083"/>
    <w:rsid w:val="0047734B"/>
    <w:rsid w:val="0047743F"/>
    <w:rsid w:val="0047746F"/>
    <w:rsid w:val="004774AC"/>
    <w:rsid w:val="00477507"/>
    <w:rsid w:val="0047750D"/>
    <w:rsid w:val="0047757B"/>
    <w:rsid w:val="004776D7"/>
    <w:rsid w:val="004777D4"/>
    <w:rsid w:val="0047785E"/>
    <w:rsid w:val="00477946"/>
    <w:rsid w:val="00477CE1"/>
    <w:rsid w:val="00477D97"/>
    <w:rsid w:val="00477EF0"/>
    <w:rsid w:val="00477FA3"/>
    <w:rsid w:val="004800DD"/>
    <w:rsid w:val="004800F6"/>
    <w:rsid w:val="0048012C"/>
    <w:rsid w:val="004801AD"/>
    <w:rsid w:val="004802E9"/>
    <w:rsid w:val="004802EE"/>
    <w:rsid w:val="0048049C"/>
    <w:rsid w:val="004804E7"/>
    <w:rsid w:val="00480662"/>
    <w:rsid w:val="00480732"/>
    <w:rsid w:val="004807F7"/>
    <w:rsid w:val="00480A27"/>
    <w:rsid w:val="00480A86"/>
    <w:rsid w:val="00480C14"/>
    <w:rsid w:val="00480C82"/>
    <w:rsid w:val="00480E70"/>
    <w:rsid w:val="00480F67"/>
    <w:rsid w:val="0048108D"/>
    <w:rsid w:val="0048111D"/>
    <w:rsid w:val="0048114F"/>
    <w:rsid w:val="00481692"/>
    <w:rsid w:val="0048185F"/>
    <w:rsid w:val="004818FB"/>
    <w:rsid w:val="00481912"/>
    <w:rsid w:val="004819C2"/>
    <w:rsid w:val="00481AC2"/>
    <w:rsid w:val="00481C51"/>
    <w:rsid w:val="00481DA8"/>
    <w:rsid w:val="00481FF8"/>
    <w:rsid w:val="0048231B"/>
    <w:rsid w:val="00482675"/>
    <w:rsid w:val="004826F7"/>
    <w:rsid w:val="00482854"/>
    <w:rsid w:val="004828F2"/>
    <w:rsid w:val="00482A54"/>
    <w:rsid w:val="00482ADF"/>
    <w:rsid w:val="00482C06"/>
    <w:rsid w:val="00482CDE"/>
    <w:rsid w:val="00482D83"/>
    <w:rsid w:val="00482F67"/>
    <w:rsid w:val="00483023"/>
    <w:rsid w:val="00483181"/>
    <w:rsid w:val="00483436"/>
    <w:rsid w:val="0048380A"/>
    <w:rsid w:val="00483963"/>
    <w:rsid w:val="00483982"/>
    <w:rsid w:val="004839DD"/>
    <w:rsid w:val="00483ACC"/>
    <w:rsid w:val="00483BC8"/>
    <w:rsid w:val="00483BEF"/>
    <w:rsid w:val="00483C47"/>
    <w:rsid w:val="00483C72"/>
    <w:rsid w:val="00483D6A"/>
    <w:rsid w:val="00483E72"/>
    <w:rsid w:val="004840BB"/>
    <w:rsid w:val="004842C6"/>
    <w:rsid w:val="004845D1"/>
    <w:rsid w:val="00484AAD"/>
    <w:rsid w:val="00484B11"/>
    <w:rsid w:val="00484DC4"/>
    <w:rsid w:val="00484F66"/>
    <w:rsid w:val="004852D3"/>
    <w:rsid w:val="00485319"/>
    <w:rsid w:val="00485436"/>
    <w:rsid w:val="0048544B"/>
    <w:rsid w:val="004856C1"/>
    <w:rsid w:val="004856CB"/>
    <w:rsid w:val="0048588E"/>
    <w:rsid w:val="00485953"/>
    <w:rsid w:val="00485967"/>
    <w:rsid w:val="00485981"/>
    <w:rsid w:val="00485B8C"/>
    <w:rsid w:val="00485D20"/>
    <w:rsid w:val="00485DAB"/>
    <w:rsid w:val="0048603F"/>
    <w:rsid w:val="0048646D"/>
    <w:rsid w:val="004865D7"/>
    <w:rsid w:val="004866ED"/>
    <w:rsid w:val="00486748"/>
    <w:rsid w:val="00486772"/>
    <w:rsid w:val="0048680D"/>
    <w:rsid w:val="00486963"/>
    <w:rsid w:val="004869B2"/>
    <w:rsid w:val="00486B67"/>
    <w:rsid w:val="00486BCC"/>
    <w:rsid w:val="00486C48"/>
    <w:rsid w:val="00486F60"/>
    <w:rsid w:val="004870D7"/>
    <w:rsid w:val="0048715F"/>
    <w:rsid w:val="004872B8"/>
    <w:rsid w:val="00487338"/>
    <w:rsid w:val="0048740C"/>
    <w:rsid w:val="00487541"/>
    <w:rsid w:val="00487ADB"/>
    <w:rsid w:val="00487C68"/>
    <w:rsid w:val="00487CB8"/>
    <w:rsid w:val="00487E67"/>
    <w:rsid w:val="00487F42"/>
    <w:rsid w:val="00487FB4"/>
    <w:rsid w:val="0049006F"/>
    <w:rsid w:val="00490073"/>
    <w:rsid w:val="004901BB"/>
    <w:rsid w:val="00490512"/>
    <w:rsid w:val="00490516"/>
    <w:rsid w:val="0049061C"/>
    <w:rsid w:val="004909B0"/>
    <w:rsid w:val="00490A60"/>
    <w:rsid w:val="00490B1A"/>
    <w:rsid w:val="00490E4B"/>
    <w:rsid w:val="004910C4"/>
    <w:rsid w:val="00491143"/>
    <w:rsid w:val="00491514"/>
    <w:rsid w:val="0049156E"/>
    <w:rsid w:val="004916E3"/>
    <w:rsid w:val="004918A2"/>
    <w:rsid w:val="0049197D"/>
    <w:rsid w:val="004919BC"/>
    <w:rsid w:val="00491C1B"/>
    <w:rsid w:val="00491C77"/>
    <w:rsid w:val="00491D0C"/>
    <w:rsid w:val="00491EBB"/>
    <w:rsid w:val="004923D8"/>
    <w:rsid w:val="004923F6"/>
    <w:rsid w:val="00492670"/>
    <w:rsid w:val="00492887"/>
    <w:rsid w:val="004928E6"/>
    <w:rsid w:val="0049290F"/>
    <w:rsid w:val="00492B28"/>
    <w:rsid w:val="00492DB0"/>
    <w:rsid w:val="00493121"/>
    <w:rsid w:val="00493130"/>
    <w:rsid w:val="00493268"/>
    <w:rsid w:val="00493592"/>
    <w:rsid w:val="00493651"/>
    <w:rsid w:val="00493814"/>
    <w:rsid w:val="0049382B"/>
    <w:rsid w:val="0049383F"/>
    <w:rsid w:val="00493C90"/>
    <w:rsid w:val="00493FD2"/>
    <w:rsid w:val="00494057"/>
    <w:rsid w:val="0049451D"/>
    <w:rsid w:val="00494595"/>
    <w:rsid w:val="00494898"/>
    <w:rsid w:val="00494BDE"/>
    <w:rsid w:val="00494C0C"/>
    <w:rsid w:val="00494D93"/>
    <w:rsid w:val="00494DB1"/>
    <w:rsid w:val="00494E7F"/>
    <w:rsid w:val="00494FDB"/>
    <w:rsid w:val="00495189"/>
    <w:rsid w:val="00495312"/>
    <w:rsid w:val="00495387"/>
    <w:rsid w:val="004953FD"/>
    <w:rsid w:val="0049588B"/>
    <w:rsid w:val="004958C4"/>
    <w:rsid w:val="00495B01"/>
    <w:rsid w:val="00495C39"/>
    <w:rsid w:val="00495E6E"/>
    <w:rsid w:val="00495F57"/>
    <w:rsid w:val="00496012"/>
    <w:rsid w:val="004962F6"/>
    <w:rsid w:val="004962FB"/>
    <w:rsid w:val="0049638D"/>
    <w:rsid w:val="004963B4"/>
    <w:rsid w:val="004963FB"/>
    <w:rsid w:val="00496422"/>
    <w:rsid w:val="004964CF"/>
    <w:rsid w:val="004965F0"/>
    <w:rsid w:val="004966D9"/>
    <w:rsid w:val="00496A5E"/>
    <w:rsid w:val="00496A98"/>
    <w:rsid w:val="00496B95"/>
    <w:rsid w:val="00496C78"/>
    <w:rsid w:val="00496C81"/>
    <w:rsid w:val="00496E7D"/>
    <w:rsid w:val="00496FAD"/>
    <w:rsid w:val="00496FE2"/>
    <w:rsid w:val="00497019"/>
    <w:rsid w:val="0049718D"/>
    <w:rsid w:val="004971B8"/>
    <w:rsid w:val="004971E0"/>
    <w:rsid w:val="00497332"/>
    <w:rsid w:val="0049733B"/>
    <w:rsid w:val="004974EC"/>
    <w:rsid w:val="0049763E"/>
    <w:rsid w:val="00497733"/>
    <w:rsid w:val="004978E6"/>
    <w:rsid w:val="00497922"/>
    <w:rsid w:val="00497B0F"/>
    <w:rsid w:val="00497B64"/>
    <w:rsid w:val="00497CD5"/>
    <w:rsid w:val="00497D3B"/>
    <w:rsid w:val="00497EDF"/>
    <w:rsid w:val="0049A1C8"/>
    <w:rsid w:val="004A012E"/>
    <w:rsid w:val="004A0382"/>
    <w:rsid w:val="004A03DA"/>
    <w:rsid w:val="004A0468"/>
    <w:rsid w:val="004A04FE"/>
    <w:rsid w:val="004A0659"/>
    <w:rsid w:val="004A0736"/>
    <w:rsid w:val="004A0AD6"/>
    <w:rsid w:val="004A0B18"/>
    <w:rsid w:val="004A0B3E"/>
    <w:rsid w:val="004A0D49"/>
    <w:rsid w:val="004A10EE"/>
    <w:rsid w:val="004A1165"/>
    <w:rsid w:val="004A1221"/>
    <w:rsid w:val="004A1301"/>
    <w:rsid w:val="004A13E3"/>
    <w:rsid w:val="004A150A"/>
    <w:rsid w:val="004A1516"/>
    <w:rsid w:val="004A17BD"/>
    <w:rsid w:val="004A1807"/>
    <w:rsid w:val="004A181D"/>
    <w:rsid w:val="004A1BA9"/>
    <w:rsid w:val="004A1CEF"/>
    <w:rsid w:val="004A1F99"/>
    <w:rsid w:val="004A1FB8"/>
    <w:rsid w:val="004A1FCD"/>
    <w:rsid w:val="004A265D"/>
    <w:rsid w:val="004A2796"/>
    <w:rsid w:val="004A2B72"/>
    <w:rsid w:val="004A2CCF"/>
    <w:rsid w:val="004A2CE6"/>
    <w:rsid w:val="004A2E58"/>
    <w:rsid w:val="004A2EFB"/>
    <w:rsid w:val="004A2F5B"/>
    <w:rsid w:val="004A3189"/>
    <w:rsid w:val="004A31C7"/>
    <w:rsid w:val="004A3210"/>
    <w:rsid w:val="004A3289"/>
    <w:rsid w:val="004A32EE"/>
    <w:rsid w:val="004A34DE"/>
    <w:rsid w:val="004A3555"/>
    <w:rsid w:val="004A3623"/>
    <w:rsid w:val="004A3B18"/>
    <w:rsid w:val="004A3CC7"/>
    <w:rsid w:val="004A3F60"/>
    <w:rsid w:val="004A4252"/>
    <w:rsid w:val="004A429E"/>
    <w:rsid w:val="004A4501"/>
    <w:rsid w:val="004A4566"/>
    <w:rsid w:val="004A46D7"/>
    <w:rsid w:val="004A49D0"/>
    <w:rsid w:val="004A4AD7"/>
    <w:rsid w:val="004A4CC9"/>
    <w:rsid w:val="004A4F3C"/>
    <w:rsid w:val="004A5081"/>
    <w:rsid w:val="004A50E7"/>
    <w:rsid w:val="004A516D"/>
    <w:rsid w:val="004A5450"/>
    <w:rsid w:val="004A549F"/>
    <w:rsid w:val="004A5592"/>
    <w:rsid w:val="004A5617"/>
    <w:rsid w:val="004A573E"/>
    <w:rsid w:val="004A5A35"/>
    <w:rsid w:val="004A5AAF"/>
    <w:rsid w:val="004A5BC8"/>
    <w:rsid w:val="004A5CE8"/>
    <w:rsid w:val="004A5D90"/>
    <w:rsid w:val="004A60BA"/>
    <w:rsid w:val="004A61FD"/>
    <w:rsid w:val="004A6219"/>
    <w:rsid w:val="004A650D"/>
    <w:rsid w:val="004A6529"/>
    <w:rsid w:val="004A65DE"/>
    <w:rsid w:val="004A65F2"/>
    <w:rsid w:val="004A65F8"/>
    <w:rsid w:val="004A6A01"/>
    <w:rsid w:val="004A6A3D"/>
    <w:rsid w:val="004A6A8E"/>
    <w:rsid w:val="004A6A97"/>
    <w:rsid w:val="004A6AA6"/>
    <w:rsid w:val="004A6CDC"/>
    <w:rsid w:val="004A6E77"/>
    <w:rsid w:val="004A6F7E"/>
    <w:rsid w:val="004A6F9B"/>
    <w:rsid w:val="004A6FD5"/>
    <w:rsid w:val="004A71FD"/>
    <w:rsid w:val="004A7211"/>
    <w:rsid w:val="004A73AB"/>
    <w:rsid w:val="004A7455"/>
    <w:rsid w:val="004A779F"/>
    <w:rsid w:val="004A77C8"/>
    <w:rsid w:val="004A79F1"/>
    <w:rsid w:val="004A7A1C"/>
    <w:rsid w:val="004A7C2E"/>
    <w:rsid w:val="004A7DDC"/>
    <w:rsid w:val="004A7EC5"/>
    <w:rsid w:val="004A7FD8"/>
    <w:rsid w:val="004B01D5"/>
    <w:rsid w:val="004B0505"/>
    <w:rsid w:val="004B0558"/>
    <w:rsid w:val="004B06AC"/>
    <w:rsid w:val="004B085E"/>
    <w:rsid w:val="004B0978"/>
    <w:rsid w:val="004B0C18"/>
    <w:rsid w:val="004B0D9C"/>
    <w:rsid w:val="004B0DC1"/>
    <w:rsid w:val="004B0EA3"/>
    <w:rsid w:val="004B0EC1"/>
    <w:rsid w:val="004B0F01"/>
    <w:rsid w:val="004B1232"/>
    <w:rsid w:val="004B1544"/>
    <w:rsid w:val="004B1560"/>
    <w:rsid w:val="004B1715"/>
    <w:rsid w:val="004B195A"/>
    <w:rsid w:val="004B196B"/>
    <w:rsid w:val="004B1A4F"/>
    <w:rsid w:val="004B1C70"/>
    <w:rsid w:val="004B1F30"/>
    <w:rsid w:val="004B2125"/>
    <w:rsid w:val="004B2211"/>
    <w:rsid w:val="004B238B"/>
    <w:rsid w:val="004B2597"/>
    <w:rsid w:val="004B2686"/>
    <w:rsid w:val="004B2A11"/>
    <w:rsid w:val="004B2BC2"/>
    <w:rsid w:val="004B2C6B"/>
    <w:rsid w:val="004B2EBF"/>
    <w:rsid w:val="004B2F73"/>
    <w:rsid w:val="004B3025"/>
    <w:rsid w:val="004B31F1"/>
    <w:rsid w:val="004B39F5"/>
    <w:rsid w:val="004B3BAA"/>
    <w:rsid w:val="004B3DC3"/>
    <w:rsid w:val="004B3E23"/>
    <w:rsid w:val="004B3F6E"/>
    <w:rsid w:val="004B44D2"/>
    <w:rsid w:val="004B4677"/>
    <w:rsid w:val="004B46B0"/>
    <w:rsid w:val="004B46DB"/>
    <w:rsid w:val="004B47FD"/>
    <w:rsid w:val="004B4A1A"/>
    <w:rsid w:val="004B4B01"/>
    <w:rsid w:val="004B4D6D"/>
    <w:rsid w:val="004B4E27"/>
    <w:rsid w:val="004B4E2E"/>
    <w:rsid w:val="004B505D"/>
    <w:rsid w:val="004B5096"/>
    <w:rsid w:val="004B516B"/>
    <w:rsid w:val="004B518E"/>
    <w:rsid w:val="004B51D2"/>
    <w:rsid w:val="004B52E1"/>
    <w:rsid w:val="004B531B"/>
    <w:rsid w:val="004B58DF"/>
    <w:rsid w:val="004B5903"/>
    <w:rsid w:val="004B59CE"/>
    <w:rsid w:val="004B59E7"/>
    <w:rsid w:val="004B5A04"/>
    <w:rsid w:val="004B5A06"/>
    <w:rsid w:val="004B5AD2"/>
    <w:rsid w:val="004B5ADD"/>
    <w:rsid w:val="004B5C72"/>
    <w:rsid w:val="004B5D02"/>
    <w:rsid w:val="004B5D54"/>
    <w:rsid w:val="004B5EFA"/>
    <w:rsid w:val="004B613A"/>
    <w:rsid w:val="004B6157"/>
    <w:rsid w:val="004B6364"/>
    <w:rsid w:val="004B640D"/>
    <w:rsid w:val="004B643E"/>
    <w:rsid w:val="004B6459"/>
    <w:rsid w:val="004B647A"/>
    <w:rsid w:val="004B64BD"/>
    <w:rsid w:val="004B6640"/>
    <w:rsid w:val="004B6774"/>
    <w:rsid w:val="004B6830"/>
    <w:rsid w:val="004B6AEC"/>
    <w:rsid w:val="004B6AF1"/>
    <w:rsid w:val="004B6C56"/>
    <w:rsid w:val="004B6D21"/>
    <w:rsid w:val="004B6D95"/>
    <w:rsid w:val="004B7330"/>
    <w:rsid w:val="004B73DC"/>
    <w:rsid w:val="004B74F5"/>
    <w:rsid w:val="004B7670"/>
    <w:rsid w:val="004B7764"/>
    <w:rsid w:val="004B79AA"/>
    <w:rsid w:val="004B79B8"/>
    <w:rsid w:val="004B79EB"/>
    <w:rsid w:val="004B7B86"/>
    <w:rsid w:val="004B7EAF"/>
    <w:rsid w:val="004B7FC3"/>
    <w:rsid w:val="004C0027"/>
    <w:rsid w:val="004C0114"/>
    <w:rsid w:val="004C03E7"/>
    <w:rsid w:val="004C054B"/>
    <w:rsid w:val="004C0563"/>
    <w:rsid w:val="004C0795"/>
    <w:rsid w:val="004C0A8E"/>
    <w:rsid w:val="004C0A97"/>
    <w:rsid w:val="004C0BDA"/>
    <w:rsid w:val="004C0F3F"/>
    <w:rsid w:val="004C1015"/>
    <w:rsid w:val="004C1024"/>
    <w:rsid w:val="004C13A7"/>
    <w:rsid w:val="004C161C"/>
    <w:rsid w:val="004C166A"/>
    <w:rsid w:val="004C1736"/>
    <w:rsid w:val="004C187E"/>
    <w:rsid w:val="004C19B5"/>
    <w:rsid w:val="004C1A51"/>
    <w:rsid w:val="004C1DC9"/>
    <w:rsid w:val="004C1F20"/>
    <w:rsid w:val="004C1F95"/>
    <w:rsid w:val="004C20D1"/>
    <w:rsid w:val="004C21EA"/>
    <w:rsid w:val="004C21FB"/>
    <w:rsid w:val="004C2208"/>
    <w:rsid w:val="004C22EB"/>
    <w:rsid w:val="004C2804"/>
    <w:rsid w:val="004C2895"/>
    <w:rsid w:val="004C2955"/>
    <w:rsid w:val="004C295A"/>
    <w:rsid w:val="004C29D2"/>
    <w:rsid w:val="004C2A0F"/>
    <w:rsid w:val="004C2C29"/>
    <w:rsid w:val="004C2C88"/>
    <w:rsid w:val="004C2CA5"/>
    <w:rsid w:val="004C2D41"/>
    <w:rsid w:val="004C3039"/>
    <w:rsid w:val="004C3173"/>
    <w:rsid w:val="004C31D5"/>
    <w:rsid w:val="004C329B"/>
    <w:rsid w:val="004C3515"/>
    <w:rsid w:val="004C35BE"/>
    <w:rsid w:val="004C3A12"/>
    <w:rsid w:val="004C3CE1"/>
    <w:rsid w:val="004C3DEB"/>
    <w:rsid w:val="004C3E09"/>
    <w:rsid w:val="004C3E11"/>
    <w:rsid w:val="004C3F1B"/>
    <w:rsid w:val="004C3F7C"/>
    <w:rsid w:val="004C4056"/>
    <w:rsid w:val="004C409A"/>
    <w:rsid w:val="004C444B"/>
    <w:rsid w:val="004C4481"/>
    <w:rsid w:val="004C4546"/>
    <w:rsid w:val="004C4564"/>
    <w:rsid w:val="004C47C1"/>
    <w:rsid w:val="004C4C74"/>
    <w:rsid w:val="004C4CC2"/>
    <w:rsid w:val="004C4E65"/>
    <w:rsid w:val="004C4FDA"/>
    <w:rsid w:val="004C507F"/>
    <w:rsid w:val="004C524E"/>
    <w:rsid w:val="004C526D"/>
    <w:rsid w:val="004C539C"/>
    <w:rsid w:val="004C542E"/>
    <w:rsid w:val="004C5447"/>
    <w:rsid w:val="004C55DD"/>
    <w:rsid w:val="004C5637"/>
    <w:rsid w:val="004C5AF9"/>
    <w:rsid w:val="004C5D9E"/>
    <w:rsid w:val="004C5EE1"/>
    <w:rsid w:val="004C60CF"/>
    <w:rsid w:val="004C6157"/>
    <w:rsid w:val="004C6210"/>
    <w:rsid w:val="004C6283"/>
    <w:rsid w:val="004C6398"/>
    <w:rsid w:val="004C6713"/>
    <w:rsid w:val="004C6807"/>
    <w:rsid w:val="004C6995"/>
    <w:rsid w:val="004C6B30"/>
    <w:rsid w:val="004C6B95"/>
    <w:rsid w:val="004C6E72"/>
    <w:rsid w:val="004C6EEF"/>
    <w:rsid w:val="004C7035"/>
    <w:rsid w:val="004C727C"/>
    <w:rsid w:val="004C7348"/>
    <w:rsid w:val="004C73A0"/>
    <w:rsid w:val="004C7716"/>
    <w:rsid w:val="004C77F1"/>
    <w:rsid w:val="004C7B4A"/>
    <w:rsid w:val="004C7FB8"/>
    <w:rsid w:val="004D0018"/>
    <w:rsid w:val="004D0071"/>
    <w:rsid w:val="004D0221"/>
    <w:rsid w:val="004D0223"/>
    <w:rsid w:val="004D0644"/>
    <w:rsid w:val="004D08AC"/>
    <w:rsid w:val="004D08DC"/>
    <w:rsid w:val="004D0ADF"/>
    <w:rsid w:val="004D0B73"/>
    <w:rsid w:val="004D0F2D"/>
    <w:rsid w:val="004D12AB"/>
    <w:rsid w:val="004D13BE"/>
    <w:rsid w:val="004D1510"/>
    <w:rsid w:val="004D1661"/>
    <w:rsid w:val="004D16E2"/>
    <w:rsid w:val="004D184A"/>
    <w:rsid w:val="004D185D"/>
    <w:rsid w:val="004D1C38"/>
    <w:rsid w:val="004D1CE7"/>
    <w:rsid w:val="004D1D4F"/>
    <w:rsid w:val="004D1EA4"/>
    <w:rsid w:val="004D1FF6"/>
    <w:rsid w:val="004D2088"/>
    <w:rsid w:val="004D2163"/>
    <w:rsid w:val="004D223D"/>
    <w:rsid w:val="004D242D"/>
    <w:rsid w:val="004D2597"/>
    <w:rsid w:val="004D25E8"/>
    <w:rsid w:val="004D26CA"/>
    <w:rsid w:val="004D2738"/>
    <w:rsid w:val="004D27BB"/>
    <w:rsid w:val="004D29C3"/>
    <w:rsid w:val="004D2A2A"/>
    <w:rsid w:val="004D2AEA"/>
    <w:rsid w:val="004D2B41"/>
    <w:rsid w:val="004D2D3D"/>
    <w:rsid w:val="004D2F06"/>
    <w:rsid w:val="004D2F70"/>
    <w:rsid w:val="004D2F7B"/>
    <w:rsid w:val="004D305D"/>
    <w:rsid w:val="004D3172"/>
    <w:rsid w:val="004D3188"/>
    <w:rsid w:val="004D31BE"/>
    <w:rsid w:val="004D31D1"/>
    <w:rsid w:val="004D31F3"/>
    <w:rsid w:val="004D344B"/>
    <w:rsid w:val="004D34AF"/>
    <w:rsid w:val="004D350E"/>
    <w:rsid w:val="004D38F8"/>
    <w:rsid w:val="004D3A7D"/>
    <w:rsid w:val="004D3A91"/>
    <w:rsid w:val="004D3ABC"/>
    <w:rsid w:val="004D3B68"/>
    <w:rsid w:val="004D3C5A"/>
    <w:rsid w:val="004D3CA1"/>
    <w:rsid w:val="004D3D8C"/>
    <w:rsid w:val="004D3DC0"/>
    <w:rsid w:val="004D41EE"/>
    <w:rsid w:val="004D433B"/>
    <w:rsid w:val="004D452C"/>
    <w:rsid w:val="004D45FA"/>
    <w:rsid w:val="004D48C2"/>
    <w:rsid w:val="004D4924"/>
    <w:rsid w:val="004D4D26"/>
    <w:rsid w:val="004D4D61"/>
    <w:rsid w:val="004D4F59"/>
    <w:rsid w:val="004D51E3"/>
    <w:rsid w:val="004D52BF"/>
    <w:rsid w:val="004D5316"/>
    <w:rsid w:val="004D57EA"/>
    <w:rsid w:val="004D584B"/>
    <w:rsid w:val="004D58E4"/>
    <w:rsid w:val="004D595E"/>
    <w:rsid w:val="004D5B49"/>
    <w:rsid w:val="004D5D8E"/>
    <w:rsid w:val="004D6029"/>
    <w:rsid w:val="004D60D6"/>
    <w:rsid w:val="004D62E2"/>
    <w:rsid w:val="004D649F"/>
    <w:rsid w:val="004D67A0"/>
    <w:rsid w:val="004D6934"/>
    <w:rsid w:val="004D699F"/>
    <w:rsid w:val="004D69B8"/>
    <w:rsid w:val="004D6B1F"/>
    <w:rsid w:val="004D6C87"/>
    <w:rsid w:val="004D6D3D"/>
    <w:rsid w:val="004D70E8"/>
    <w:rsid w:val="004D7131"/>
    <w:rsid w:val="004D727D"/>
    <w:rsid w:val="004D7575"/>
    <w:rsid w:val="004D767D"/>
    <w:rsid w:val="004D76C4"/>
    <w:rsid w:val="004D7743"/>
    <w:rsid w:val="004D7A59"/>
    <w:rsid w:val="004D7B4A"/>
    <w:rsid w:val="004D7C2B"/>
    <w:rsid w:val="004D7C3D"/>
    <w:rsid w:val="004D7C90"/>
    <w:rsid w:val="004DACEF"/>
    <w:rsid w:val="004E006E"/>
    <w:rsid w:val="004E008E"/>
    <w:rsid w:val="004E00A4"/>
    <w:rsid w:val="004E0786"/>
    <w:rsid w:val="004E0AC0"/>
    <w:rsid w:val="004E0B33"/>
    <w:rsid w:val="004E0D48"/>
    <w:rsid w:val="004E0EB7"/>
    <w:rsid w:val="004E0FFB"/>
    <w:rsid w:val="004E1041"/>
    <w:rsid w:val="004E1240"/>
    <w:rsid w:val="004E12FB"/>
    <w:rsid w:val="004E1366"/>
    <w:rsid w:val="004E1367"/>
    <w:rsid w:val="004E13ED"/>
    <w:rsid w:val="004E141B"/>
    <w:rsid w:val="004E1446"/>
    <w:rsid w:val="004E1AA6"/>
    <w:rsid w:val="004E1D45"/>
    <w:rsid w:val="004E1E45"/>
    <w:rsid w:val="004E1ED5"/>
    <w:rsid w:val="004E1FAF"/>
    <w:rsid w:val="004E1FFF"/>
    <w:rsid w:val="004E201A"/>
    <w:rsid w:val="004E2155"/>
    <w:rsid w:val="004E21D1"/>
    <w:rsid w:val="004E2691"/>
    <w:rsid w:val="004E28CB"/>
    <w:rsid w:val="004E2D9A"/>
    <w:rsid w:val="004E2F4B"/>
    <w:rsid w:val="004E31DF"/>
    <w:rsid w:val="004E32BD"/>
    <w:rsid w:val="004E32E1"/>
    <w:rsid w:val="004E3305"/>
    <w:rsid w:val="004E3391"/>
    <w:rsid w:val="004E33B3"/>
    <w:rsid w:val="004E364E"/>
    <w:rsid w:val="004E3712"/>
    <w:rsid w:val="004E390E"/>
    <w:rsid w:val="004E3B81"/>
    <w:rsid w:val="004E3E5C"/>
    <w:rsid w:val="004E3F09"/>
    <w:rsid w:val="004E4119"/>
    <w:rsid w:val="004E4359"/>
    <w:rsid w:val="004E437A"/>
    <w:rsid w:val="004E4394"/>
    <w:rsid w:val="004E44AB"/>
    <w:rsid w:val="004E4526"/>
    <w:rsid w:val="004E456B"/>
    <w:rsid w:val="004E458E"/>
    <w:rsid w:val="004E45FF"/>
    <w:rsid w:val="004E49AA"/>
    <w:rsid w:val="004E49F9"/>
    <w:rsid w:val="004E4C7C"/>
    <w:rsid w:val="004E4DDC"/>
    <w:rsid w:val="004E4F18"/>
    <w:rsid w:val="004E4F43"/>
    <w:rsid w:val="004E5291"/>
    <w:rsid w:val="004E532A"/>
    <w:rsid w:val="004E56F6"/>
    <w:rsid w:val="004E58AE"/>
    <w:rsid w:val="004E5962"/>
    <w:rsid w:val="004E5A08"/>
    <w:rsid w:val="004E5A94"/>
    <w:rsid w:val="004E5C37"/>
    <w:rsid w:val="004E5CF4"/>
    <w:rsid w:val="004E5E7A"/>
    <w:rsid w:val="004E5E81"/>
    <w:rsid w:val="004E6160"/>
    <w:rsid w:val="004E626C"/>
    <w:rsid w:val="004E6570"/>
    <w:rsid w:val="004E65D9"/>
    <w:rsid w:val="004E689B"/>
    <w:rsid w:val="004E6BDB"/>
    <w:rsid w:val="004E6C24"/>
    <w:rsid w:val="004E6FA2"/>
    <w:rsid w:val="004E7233"/>
    <w:rsid w:val="004E72F4"/>
    <w:rsid w:val="004E7306"/>
    <w:rsid w:val="004E7406"/>
    <w:rsid w:val="004E7429"/>
    <w:rsid w:val="004E74B0"/>
    <w:rsid w:val="004E74DE"/>
    <w:rsid w:val="004E7539"/>
    <w:rsid w:val="004E78F8"/>
    <w:rsid w:val="004E7A66"/>
    <w:rsid w:val="004E7B40"/>
    <w:rsid w:val="004E7C17"/>
    <w:rsid w:val="004E7DEE"/>
    <w:rsid w:val="004E7F62"/>
    <w:rsid w:val="004F02C0"/>
    <w:rsid w:val="004F042A"/>
    <w:rsid w:val="004F070C"/>
    <w:rsid w:val="004F08B7"/>
    <w:rsid w:val="004F0966"/>
    <w:rsid w:val="004F09FE"/>
    <w:rsid w:val="004F0C22"/>
    <w:rsid w:val="004F0C77"/>
    <w:rsid w:val="004F0D21"/>
    <w:rsid w:val="004F0D4B"/>
    <w:rsid w:val="004F0E3E"/>
    <w:rsid w:val="004F0EF3"/>
    <w:rsid w:val="004F1010"/>
    <w:rsid w:val="004F13C9"/>
    <w:rsid w:val="004F14BF"/>
    <w:rsid w:val="004F1608"/>
    <w:rsid w:val="004F1A6B"/>
    <w:rsid w:val="004F1D26"/>
    <w:rsid w:val="004F1DB3"/>
    <w:rsid w:val="004F1EE7"/>
    <w:rsid w:val="004F1F14"/>
    <w:rsid w:val="004F1F51"/>
    <w:rsid w:val="004F2059"/>
    <w:rsid w:val="004F208C"/>
    <w:rsid w:val="004F2166"/>
    <w:rsid w:val="004F21D4"/>
    <w:rsid w:val="004F2232"/>
    <w:rsid w:val="004F23BA"/>
    <w:rsid w:val="004F247A"/>
    <w:rsid w:val="004F24E5"/>
    <w:rsid w:val="004F2517"/>
    <w:rsid w:val="004F2780"/>
    <w:rsid w:val="004F281F"/>
    <w:rsid w:val="004F2B14"/>
    <w:rsid w:val="004F2B98"/>
    <w:rsid w:val="004F2C21"/>
    <w:rsid w:val="004F2D8D"/>
    <w:rsid w:val="004F2DDC"/>
    <w:rsid w:val="004F2DFB"/>
    <w:rsid w:val="004F2E3B"/>
    <w:rsid w:val="004F2F1A"/>
    <w:rsid w:val="004F2F48"/>
    <w:rsid w:val="004F2FB8"/>
    <w:rsid w:val="004F3014"/>
    <w:rsid w:val="004F3071"/>
    <w:rsid w:val="004F3080"/>
    <w:rsid w:val="004F3134"/>
    <w:rsid w:val="004F3275"/>
    <w:rsid w:val="004F327B"/>
    <w:rsid w:val="004F34CE"/>
    <w:rsid w:val="004F3521"/>
    <w:rsid w:val="004F354F"/>
    <w:rsid w:val="004F3711"/>
    <w:rsid w:val="004F3C1F"/>
    <w:rsid w:val="004F3C93"/>
    <w:rsid w:val="004F3CC1"/>
    <w:rsid w:val="004F3D5D"/>
    <w:rsid w:val="004F3F35"/>
    <w:rsid w:val="004F43A8"/>
    <w:rsid w:val="004F43AE"/>
    <w:rsid w:val="004F4454"/>
    <w:rsid w:val="004F4468"/>
    <w:rsid w:val="004F44F4"/>
    <w:rsid w:val="004F452E"/>
    <w:rsid w:val="004F4555"/>
    <w:rsid w:val="004F4646"/>
    <w:rsid w:val="004F464D"/>
    <w:rsid w:val="004F4667"/>
    <w:rsid w:val="004F46C8"/>
    <w:rsid w:val="004F4CEF"/>
    <w:rsid w:val="004F4E33"/>
    <w:rsid w:val="004F5579"/>
    <w:rsid w:val="004F559F"/>
    <w:rsid w:val="004F5651"/>
    <w:rsid w:val="004F5AF3"/>
    <w:rsid w:val="004F5CBA"/>
    <w:rsid w:val="004F5E79"/>
    <w:rsid w:val="004F5F6B"/>
    <w:rsid w:val="004F5FCC"/>
    <w:rsid w:val="004F6010"/>
    <w:rsid w:val="004F6081"/>
    <w:rsid w:val="004F61E9"/>
    <w:rsid w:val="004F62AB"/>
    <w:rsid w:val="004F6393"/>
    <w:rsid w:val="004F64B1"/>
    <w:rsid w:val="004F64C8"/>
    <w:rsid w:val="004F6782"/>
    <w:rsid w:val="004F67C5"/>
    <w:rsid w:val="004F690B"/>
    <w:rsid w:val="004F6970"/>
    <w:rsid w:val="004F69FE"/>
    <w:rsid w:val="004F6B4E"/>
    <w:rsid w:val="004F6BC4"/>
    <w:rsid w:val="004F6BEC"/>
    <w:rsid w:val="004F6C7A"/>
    <w:rsid w:val="004F6CC7"/>
    <w:rsid w:val="004F6E66"/>
    <w:rsid w:val="004F6F23"/>
    <w:rsid w:val="004F6F7B"/>
    <w:rsid w:val="004F7125"/>
    <w:rsid w:val="004F735A"/>
    <w:rsid w:val="004F75BD"/>
    <w:rsid w:val="004F775E"/>
    <w:rsid w:val="004F78A2"/>
    <w:rsid w:val="004F78A6"/>
    <w:rsid w:val="004F7AF3"/>
    <w:rsid w:val="004F7C23"/>
    <w:rsid w:val="004F7DED"/>
    <w:rsid w:val="004F7F62"/>
    <w:rsid w:val="0050034E"/>
    <w:rsid w:val="0050048B"/>
    <w:rsid w:val="00500605"/>
    <w:rsid w:val="0050071F"/>
    <w:rsid w:val="00500765"/>
    <w:rsid w:val="0050099B"/>
    <w:rsid w:val="005009E8"/>
    <w:rsid w:val="00500A2A"/>
    <w:rsid w:val="00500AA3"/>
    <w:rsid w:val="00500AC2"/>
    <w:rsid w:val="00500B40"/>
    <w:rsid w:val="00500C35"/>
    <w:rsid w:val="00500CA6"/>
    <w:rsid w:val="00501062"/>
    <w:rsid w:val="00501218"/>
    <w:rsid w:val="005012BD"/>
    <w:rsid w:val="00501317"/>
    <w:rsid w:val="00501399"/>
    <w:rsid w:val="005013B6"/>
    <w:rsid w:val="00501625"/>
    <w:rsid w:val="0050180A"/>
    <w:rsid w:val="00501838"/>
    <w:rsid w:val="005018A3"/>
    <w:rsid w:val="00501948"/>
    <w:rsid w:val="0050198C"/>
    <w:rsid w:val="00501A5B"/>
    <w:rsid w:val="00501B2E"/>
    <w:rsid w:val="00501B7C"/>
    <w:rsid w:val="00501BB6"/>
    <w:rsid w:val="00501C9E"/>
    <w:rsid w:val="00501CF7"/>
    <w:rsid w:val="0050201F"/>
    <w:rsid w:val="005020F7"/>
    <w:rsid w:val="005021D1"/>
    <w:rsid w:val="00502533"/>
    <w:rsid w:val="00502831"/>
    <w:rsid w:val="005028CC"/>
    <w:rsid w:val="00502A5A"/>
    <w:rsid w:val="00502B0D"/>
    <w:rsid w:val="00502BEF"/>
    <w:rsid w:val="00502DC0"/>
    <w:rsid w:val="00502DDE"/>
    <w:rsid w:val="00503088"/>
    <w:rsid w:val="0050310F"/>
    <w:rsid w:val="0050359E"/>
    <w:rsid w:val="005035AD"/>
    <w:rsid w:val="0050365D"/>
    <w:rsid w:val="005037C1"/>
    <w:rsid w:val="005037CE"/>
    <w:rsid w:val="0050381D"/>
    <w:rsid w:val="005038E9"/>
    <w:rsid w:val="00503A65"/>
    <w:rsid w:val="00503DFB"/>
    <w:rsid w:val="00503EF1"/>
    <w:rsid w:val="00504105"/>
    <w:rsid w:val="0050415E"/>
    <w:rsid w:val="00504354"/>
    <w:rsid w:val="00504528"/>
    <w:rsid w:val="00504861"/>
    <w:rsid w:val="00504A03"/>
    <w:rsid w:val="00504AE0"/>
    <w:rsid w:val="00504CFB"/>
    <w:rsid w:val="00504DEC"/>
    <w:rsid w:val="00504E06"/>
    <w:rsid w:val="00504F1F"/>
    <w:rsid w:val="00505061"/>
    <w:rsid w:val="0050508A"/>
    <w:rsid w:val="005051BD"/>
    <w:rsid w:val="00505257"/>
    <w:rsid w:val="00505571"/>
    <w:rsid w:val="005055FB"/>
    <w:rsid w:val="0050563C"/>
    <w:rsid w:val="00505873"/>
    <w:rsid w:val="005059F0"/>
    <w:rsid w:val="00505B32"/>
    <w:rsid w:val="00505B64"/>
    <w:rsid w:val="00505B79"/>
    <w:rsid w:val="0050604F"/>
    <w:rsid w:val="00506110"/>
    <w:rsid w:val="00506121"/>
    <w:rsid w:val="005061EF"/>
    <w:rsid w:val="0050622C"/>
    <w:rsid w:val="00506437"/>
    <w:rsid w:val="00506594"/>
    <w:rsid w:val="005065CA"/>
    <w:rsid w:val="00506711"/>
    <w:rsid w:val="0050684E"/>
    <w:rsid w:val="0050684F"/>
    <w:rsid w:val="00506AAF"/>
    <w:rsid w:val="00506D87"/>
    <w:rsid w:val="00506F7E"/>
    <w:rsid w:val="005076EA"/>
    <w:rsid w:val="00507847"/>
    <w:rsid w:val="00507A3B"/>
    <w:rsid w:val="00507B6A"/>
    <w:rsid w:val="00507C1B"/>
    <w:rsid w:val="00507C2C"/>
    <w:rsid w:val="00507DF8"/>
    <w:rsid w:val="00507E4C"/>
    <w:rsid w:val="00507E77"/>
    <w:rsid w:val="00507F19"/>
    <w:rsid w:val="00507FE3"/>
    <w:rsid w:val="005087E1"/>
    <w:rsid w:val="005101E0"/>
    <w:rsid w:val="005102BC"/>
    <w:rsid w:val="00510405"/>
    <w:rsid w:val="0051040F"/>
    <w:rsid w:val="00510563"/>
    <w:rsid w:val="0051082B"/>
    <w:rsid w:val="0051098D"/>
    <w:rsid w:val="005109D9"/>
    <w:rsid w:val="00510B69"/>
    <w:rsid w:val="00510BC9"/>
    <w:rsid w:val="00510BF6"/>
    <w:rsid w:val="00510C2E"/>
    <w:rsid w:val="00510CEC"/>
    <w:rsid w:val="00510D61"/>
    <w:rsid w:val="0051142B"/>
    <w:rsid w:val="00511672"/>
    <w:rsid w:val="005117A6"/>
    <w:rsid w:val="00511879"/>
    <w:rsid w:val="005118AE"/>
    <w:rsid w:val="00511900"/>
    <w:rsid w:val="0051193F"/>
    <w:rsid w:val="00511A37"/>
    <w:rsid w:val="00511B61"/>
    <w:rsid w:val="00511CB4"/>
    <w:rsid w:val="00511D2E"/>
    <w:rsid w:val="00511D96"/>
    <w:rsid w:val="00511DB5"/>
    <w:rsid w:val="00511F42"/>
    <w:rsid w:val="00512035"/>
    <w:rsid w:val="0051222A"/>
    <w:rsid w:val="00512307"/>
    <w:rsid w:val="00512429"/>
    <w:rsid w:val="005124EC"/>
    <w:rsid w:val="005127AC"/>
    <w:rsid w:val="00512946"/>
    <w:rsid w:val="00512A95"/>
    <w:rsid w:val="00512A9E"/>
    <w:rsid w:val="00512AB4"/>
    <w:rsid w:val="00512C33"/>
    <w:rsid w:val="00512CEA"/>
    <w:rsid w:val="00512D58"/>
    <w:rsid w:val="00512D7A"/>
    <w:rsid w:val="00512E2C"/>
    <w:rsid w:val="00512F78"/>
    <w:rsid w:val="0051301C"/>
    <w:rsid w:val="0051308A"/>
    <w:rsid w:val="0051313D"/>
    <w:rsid w:val="00513184"/>
    <w:rsid w:val="00513223"/>
    <w:rsid w:val="005134A0"/>
    <w:rsid w:val="00513538"/>
    <w:rsid w:val="0051353E"/>
    <w:rsid w:val="0051354D"/>
    <w:rsid w:val="005136A1"/>
    <w:rsid w:val="005136AF"/>
    <w:rsid w:val="005137BC"/>
    <w:rsid w:val="0051383A"/>
    <w:rsid w:val="00513923"/>
    <w:rsid w:val="00513A6B"/>
    <w:rsid w:val="00513A82"/>
    <w:rsid w:val="00513B6F"/>
    <w:rsid w:val="00513C1B"/>
    <w:rsid w:val="00513CFF"/>
    <w:rsid w:val="00513E74"/>
    <w:rsid w:val="00514154"/>
    <w:rsid w:val="00514373"/>
    <w:rsid w:val="0051447E"/>
    <w:rsid w:val="005145CE"/>
    <w:rsid w:val="005145E7"/>
    <w:rsid w:val="005147C8"/>
    <w:rsid w:val="005148A6"/>
    <w:rsid w:val="00514CBF"/>
    <w:rsid w:val="00514EC0"/>
    <w:rsid w:val="005150B7"/>
    <w:rsid w:val="005150D6"/>
    <w:rsid w:val="0051510B"/>
    <w:rsid w:val="0051526B"/>
    <w:rsid w:val="00515321"/>
    <w:rsid w:val="005153BB"/>
    <w:rsid w:val="0051570F"/>
    <w:rsid w:val="0051579A"/>
    <w:rsid w:val="00515801"/>
    <w:rsid w:val="00515873"/>
    <w:rsid w:val="005158E6"/>
    <w:rsid w:val="00515A14"/>
    <w:rsid w:val="00515A19"/>
    <w:rsid w:val="00515AA9"/>
    <w:rsid w:val="00515AAE"/>
    <w:rsid w:val="00515D2C"/>
    <w:rsid w:val="005160C3"/>
    <w:rsid w:val="00516141"/>
    <w:rsid w:val="00516204"/>
    <w:rsid w:val="0051634D"/>
    <w:rsid w:val="00516594"/>
    <w:rsid w:val="0051685F"/>
    <w:rsid w:val="00516A51"/>
    <w:rsid w:val="00516AC6"/>
    <w:rsid w:val="00516C8C"/>
    <w:rsid w:val="00516DC5"/>
    <w:rsid w:val="00516E5C"/>
    <w:rsid w:val="00516F04"/>
    <w:rsid w:val="00517539"/>
    <w:rsid w:val="0051777B"/>
    <w:rsid w:val="005177E3"/>
    <w:rsid w:val="005178AA"/>
    <w:rsid w:val="00517A76"/>
    <w:rsid w:val="00517C89"/>
    <w:rsid w:val="00517FB2"/>
    <w:rsid w:val="005200D6"/>
    <w:rsid w:val="0052016E"/>
    <w:rsid w:val="005201D4"/>
    <w:rsid w:val="00520223"/>
    <w:rsid w:val="005205B7"/>
    <w:rsid w:val="005206D6"/>
    <w:rsid w:val="005207C6"/>
    <w:rsid w:val="005207E2"/>
    <w:rsid w:val="005208DB"/>
    <w:rsid w:val="00520A6F"/>
    <w:rsid w:val="00520BED"/>
    <w:rsid w:val="00520DA0"/>
    <w:rsid w:val="00520DE7"/>
    <w:rsid w:val="00521029"/>
    <w:rsid w:val="00521313"/>
    <w:rsid w:val="005213D5"/>
    <w:rsid w:val="00521405"/>
    <w:rsid w:val="0052173A"/>
    <w:rsid w:val="005218F2"/>
    <w:rsid w:val="00521951"/>
    <w:rsid w:val="00521C29"/>
    <w:rsid w:val="00521E43"/>
    <w:rsid w:val="005225BD"/>
    <w:rsid w:val="00522657"/>
    <w:rsid w:val="005227CD"/>
    <w:rsid w:val="0052281A"/>
    <w:rsid w:val="00522826"/>
    <w:rsid w:val="0052299F"/>
    <w:rsid w:val="00522C45"/>
    <w:rsid w:val="00522DA6"/>
    <w:rsid w:val="00522E97"/>
    <w:rsid w:val="00522F33"/>
    <w:rsid w:val="00522F96"/>
    <w:rsid w:val="00523128"/>
    <w:rsid w:val="0052319D"/>
    <w:rsid w:val="0052349F"/>
    <w:rsid w:val="005235E5"/>
    <w:rsid w:val="00523657"/>
    <w:rsid w:val="005236FA"/>
    <w:rsid w:val="00523A34"/>
    <w:rsid w:val="00523A3A"/>
    <w:rsid w:val="00523AF0"/>
    <w:rsid w:val="00523CC9"/>
    <w:rsid w:val="00523F27"/>
    <w:rsid w:val="0052408E"/>
    <w:rsid w:val="00524108"/>
    <w:rsid w:val="0052413A"/>
    <w:rsid w:val="0052417D"/>
    <w:rsid w:val="00524182"/>
    <w:rsid w:val="00524287"/>
    <w:rsid w:val="00524290"/>
    <w:rsid w:val="00524356"/>
    <w:rsid w:val="00524654"/>
    <w:rsid w:val="005247EF"/>
    <w:rsid w:val="00524811"/>
    <w:rsid w:val="005248DD"/>
    <w:rsid w:val="00524A18"/>
    <w:rsid w:val="00524C1E"/>
    <w:rsid w:val="00524D48"/>
    <w:rsid w:val="00524D76"/>
    <w:rsid w:val="00524E19"/>
    <w:rsid w:val="00524FB8"/>
    <w:rsid w:val="005251BF"/>
    <w:rsid w:val="005252FB"/>
    <w:rsid w:val="0052573A"/>
    <w:rsid w:val="00525763"/>
    <w:rsid w:val="005257AB"/>
    <w:rsid w:val="005258E3"/>
    <w:rsid w:val="005259E4"/>
    <w:rsid w:val="00525A5D"/>
    <w:rsid w:val="00525B3C"/>
    <w:rsid w:val="00525B74"/>
    <w:rsid w:val="00525BA2"/>
    <w:rsid w:val="00525C28"/>
    <w:rsid w:val="00525D00"/>
    <w:rsid w:val="00525DF1"/>
    <w:rsid w:val="00525E04"/>
    <w:rsid w:val="00525F9A"/>
    <w:rsid w:val="005262C3"/>
    <w:rsid w:val="00526428"/>
    <w:rsid w:val="00526436"/>
    <w:rsid w:val="005265CD"/>
    <w:rsid w:val="005266C3"/>
    <w:rsid w:val="00526760"/>
    <w:rsid w:val="0052690E"/>
    <w:rsid w:val="00526938"/>
    <w:rsid w:val="00526BD6"/>
    <w:rsid w:val="00526CE3"/>
    <w:rsid w:val="00526D10"/>
    <w:rsid w:val="00526E71"/>
    <w:rsid w:val="00526EE4"/>
    <w:rsid w:val="00526F6C"/>
    <w:rsid w:val="00526FD8"/>
    <w:rsid w:val="00527293"/>
    <w:rsid w:val="005274A7"/>
    <w:rsid w:val="0052754B"/>
    <w:rsid w:val="00527555"/>
    <w:rsid w:val="00527785"/>
    <w:rsid w:val="005278E5"/>
    <w:rsid w:val="00527A36"/>
    <w:rsid w:val="00527B34"/>
    <w:rsid w:val="00527BB8"/>
    <w:rsid w:val="00527BFC"/>
    <w:rsid w:val="00527CE1"/>
    <w:rsid w:val="00527E5E"/>
    <w:rsid w:val="00527F91"/>
    <w:rsid w:val="00530307"/>
    <w:rsid w:val="005303C3"/>
    <w:rsid w:val="00530402"/>
    <w:rsid w:val="0053057E"/>
    <w:rsid w:val="005305A6"/>
    <w:rsid w:val="0053067F"/>
    <w:rsid w:val="005308DC"/>
    <w:rsid w:val="005308F9"/>
    <w:rsid w:val="005309B2"/>
    <w:rsid w:val="00530ADD"/>
    <w:rsid w:val="00530F5D"/>
    <w:rsid w:val="00531169"/>
    <w:rsid w:val="005312CC"/>
    <w:rsid w:val="0053136C"/>
    <w:rsid w:val="00531591"/>
    <w:rsid w:val="005315C6"/>
    <w:rsid w:val="00531612"/>
    <w:rsid w:val="005317CE"/>
    <w:rsid w:val="00531854"/>
    <w:rsid w:val="00531970"/>
    <w:rsid w:val="00531A42"/>
    <w:rsid w:val="00531CF0"/>
    <w:rsid w:val="00531FCE"/>
    <w:rsid w:val="00532142"/>
    <w:rsid w:val="00532232"/>
    <w:rsid w:val="00532235"/>
    <w:rsid w:val="0053230F"/>
    <w:rsid w:val="00532457"/>
    <w:rsid w:val="0053253C"/>
    <w:rsid w:val="005326A8"/>
    <w:rsid w:val="0053282D"/>
    <w:rsid w:val="00532844"/>
    <w:rsid w:val="005328E0"/>
    <w:rsid w:val="005329EE"/>
    <w:rsid w:val="00532A7E"/>
    <w:rsid w:val="00532B52"/>
    <w:rsid w:val="00532BFB"/>
    <w:rsid w:val="00532CA3"/>
    <w:rsid w:val="00532CE6"/>
    <w:rsid w:val="00532DFB"/>
    <w:rsid w:val="00532F3E"/>
    <w:rsid w:val="00532FD4"/>
    <w:rsid w:val="00532FEF"/>
    <w:rsid w:val="0053313D"/>
    <w:rsid w:val="005331DE"/>
    <w:rsid w:val="005332A3"/>
    <w:rsid w:val="0053342E"/>
    <w:rsid w:val="0053343E"/>
    <w:rsid w:val="00533643"/>
    <w:rsid w:val="00533791"/>
    <w:rsid w:val="005338F3"/>
    <w:rsid w:val="00533BD2"/>
    <w:rsid w:val="00533D02"/>
    <w:rsid w:val="00533D18"/>
    <w:rsid w:val="005340B1"/>
    <w:rsid w:val="0053411C"/>
    <w:rsid w:val="00534287"/>
    <w:rsid w:val="00534390"/>
    <w:rsid w:val="00534499"/>
    <w:rsid w:val="005344BB"/>
    <w:rsid w:val="0053477E"/>
    <w:rsid w:val="00534801"/>
    <w:rsid w:val="00534877"/>
    <w:rsid w:val="005348A3"/>
    <w:rsid w:val="00534B36"/>
    <w:rsid w:val="00534C4E"/>
    <w:rsid w:val="00534D72"/>
    <w:rsid w:val="00534D88"/>
    <w:rsid w:val="00534F2C"/>
    <w:rsid w:val="00534F75"/>
    <w:rsid w:val="00535087"/>
    <w:rsid w:val="00535255"/>
    <w:rsid w:val="005354D2"/>
    <w:rsid w:val="005356D4"/>
    <w:rsid w:val="00535A36"/>
    <w:rsid w:val="00535C4E"/>
    <w:rsid w:val="00535D2B"/>
    <w:rsid w:val="00535F43"/>
    <w:rsid w:val="00535F9C"/>
    <w:rsid w:val="00536255"/>
    <w:rsid w:val="005362B7"/>
    <w:rsid w:val="00536342"/>
    <w:rsid w:val="005363D9"/>
    <w:rsid w:val="005365C4"/>
    <w:rsid w:val="00536633"/>
    <w:rsid w:val="0053675A"/>
    <w:rsid w:val="005367D1"/>
    <w:rsid w:val="0053680A"/>
    <w:rsid w:val="005368A8"/>
    <w:rsid w:val="00536977"/>
    <w:rsid w:val="005369A8"/>
    <w:rsid w:val="00536C26"/>
    <w:rsid w:val="00536C9A"/>
    <w:rsid w:val="00536CB5"/>
    <w:rsid w:val="00536D74"/>
    <w:rsid w:val="00536F99"/>
    <w:rsid w:val="005370BE"/>
    <w:rsid w:val="005370E2"/>
    <w:rsid w:val="005370EF"/>
    <w:rsid w:val="00537124"/>
    <w:rsid w:val="0053720D"/>
    <w:rsid w:val="0053721F"/>
    <w:rsid w:val="0053735E"/>
    <w:rsid w:val="005373D3"/>
    <w:rsid w:val="00537600"/>
    <w:rsid w:val="005379CB"/>
    <w:rsid w:val="00537BC8"/>
    <w:rsid w:val="00537BFD"/>
    <w:rsid w:val="00537D2C"/>
    <w:rsid w:val="00537D72"/>
    <w:rsid w:val="00537DAD"/>
    <w:rsid w:val="00537EFA"/>
    <w:rsid w:val="00537F3A"/>
    <w:rsid w:val="00537F4E"/>
    <w:rsid w:val="0054034E"/>
    <w:rsid w:val="00540530"/>
    <w:rsid w:val="00540607"/>
    <w:rsid w:val="00540773"/>
    <w:rsid w:val="00540AEB"/>
    <w:rsid w:val="00540BD6"/>
    <w:rsid w:val="00540BDE"/>
    <w:rsid w:val="00540C2F"/>
    <w:rsid w:val="00540CC9"/>
    <w:rsid w:val="00540CF4"/>
    <w:rsid w:val="00541027"/>
    <w:rsid w:val="00541427"/>
    <w:rsid w:val="005417D0"/>
    <w:rsid w:val="00541888"/>
    <w:rsid w:val="005419D9"/>
    <w:rsid w:val="00541BFA"/>
    <w:rsid w:val="00541C38"/>
    <w:rsid w:val="00541C50"/>
    <w:rsid w:val="00541CDD"/>
    <w:rsid w:val="00541F39"/>
    <w:rsid w:val="00541F74"/>
    <w:rsid w:val="005420D8"/>
    <w:rsid w:val="00542152"/>
    <w:rsid w:val="00542293"/>
    <w:rsid w:val="005422CE"/>
    <w:rsid w:val="005422D7"/>
    <w:rsid w:val="0054239E"/>
    <w:rsid w:val="0054245C"/>
    <w:rsid w:val="005424D9"/>
    <w:rsid w:val="0054267D"/>
    <w:rsid w:val="005426E9"/>
    <w:rsid w:val="00542715"/>
    <w:rsid w:val="00542803"/>
    <w:rsid w:val="00542820"/>
    <w:rsid w:val="00542907"/>
    <w:rsid w:val="00542952"/>
    <w:rsid w:val="00542CDE"/>
    <w:rsid w:val="00542CE5"/>
    <w:rsid w:val="00542D6F"/>
    <w:rsid w:val="00542E0B"/>
    <w:rsid w:val="00542E81"/>
    <w:rsid w:val="00542F3F"/>
    <w:rsid w:val="0054345B"/>
    <w:rsid w:val="0054356E"/>
    <w:rsid w:val="0054372F"/>
    <w:rsid w:val="005437E1"/>
    <w:rsid w:val="00543825"/>
    <w:rsid w:val="005438DB"/>
    <w:rsid w:val="00543A17"/>
    <w:rsid w:val="00543CBF"/>
    <w:rsid w:val="00543EB1"/>
    <w:rsid w:val="00543F74"/>
    <w:rsid w:val="0054400F"/>
    <w:rsid w:val="005442A3"/>
    <w:rsid w:val="005443BE"/>
    <w:rsid w:val="00544739"/>
    <w:rsid w:val="0054473E"/>
    <w:rsid w:val="00544944"/>
    <w:rsid w:val="00544976"/>
    <w:rsid w:val="00544ADD"/>
    <w:rsid w:val="00544C6E"/>
    <w:rsid w:val="00544CA2"/>
    <w:rsid w:val="00544CEC"/>
    <w:rsid w:val="00544E26"/>
    <w:rsid w:val="00544E5E"/>
    <w:rsid w:val="00544ED5"/>
    <w:rsid w:val="00544EE4"/>
    <w:rsid w:val="00545332"/>
    <w:rsid w:val="00545476"/>
    <w:rsid w:val="00545499"/>
    <w:rsid w:val="005454CD"/>
    <w:rsid w:val="00545504"/>
    <w:rsid w:val="005455E5"/>
    <w:rsid w:val="005457EB"/>
    <w:rsid w:val="00545B19"/>
    <w:rsid w:val="00545C1F"/>
    <w:rsid w:val="00545C34"/>
    <w:rsid w:val="00545D3A"/>
    <w:rsid w:val="00545D45"/>
    <w:rsid w:val="00545DC3"/>
    <w:rsid w:val="00545E42"/>
    <w:rsid w:val="0054627B"/>
    <w:rsid w:val="005462EE"/>
    <w:rsid w:val="0054642E"/>
    <w:rsid w:val="00546497"/>
    <w:rsid w:val="0054681B"/>
    <w:rsid w:val="005468B7"/>
    <w:rsid w:val="005468C5"/>
    <w:rsid w:val="005468E9"/>
    <w:rsid w:val="0054690C"/>
    <w:rsid w:val="0054692F"/>
    <w:rsid w:val="005469B4"/>
    <w:rsid w:val="005469E9"/>
    <w:rsid w:val="00546A6A"/>
    <w:rsid w:val="00546B4E"/>
    <w:rsid w:val="00546C41"/>
    <w:rsid w:val="00546C98"/>
    <w:rsid w:val="00546CD8"/>
    <w:rsid w:val="00546DAA"/>
    <w:rsid w:val="00546FBD"/>
    <w:rsid w:val="00546FDE"/>
    <w:rsid w:val="00547050"/>
    <w:rsid w:val="00547122"/>
    <w:rsid w:val="0054735F"/>
    <w:rsid w:val="00547676"/>
    <w:rsid w:val="0054772F"/>
    <w:rsid w:val="00547883"/>
    <w:rsid w:val="00547981"/>
    <w:rsid w:val="00547AD5"/>
    <w:rsid w:val="00547CD7"/>
    <w:rsid w:val="00547D75"/>
    <w:rsid w:val="00547EA1"/>
    <w:rsid w:val="00547FFA"/>
    <w:rsid w:val="0054C1D9"/>
    <w:rsid w:val="00550011"/>
    <w:rsid w:val="00550014"/>
    <w:rsid w:val="0055024F"/>
    <w:rsid w:val="00550537"/>
    <w:rsid w:val="005505B2"/>
    <w:rsid w:val="005506F1"/>
    <w:rsid w:val="0055072A"/>
    <w:rsid w:val="00550890"/>
    <w:rsid w:val="00550CDD"/>
    <w:rsid w:val="00550DB1"/>
    <w:rsid w:val="0055110E"/>
    <w:rsid w:val="005511CB"/>
    <w:rsid w:val="00551634"/>
    <w:rsid w:val="005517E6"/>
    <w:rsid w:val="005518D4"/>
    <w:rsid w:val="005519AF"/>
    <w:rsid w:val="00551A68"/>
    <w:rsid w:val="00551B8C"/>
    <w:rsid w:val="00551D02"/>
    <w:rsid w:val="00551EDD"/>
    <w:rsid w:val="00552028"/>
    <w:rsid w:val="0055203A"/>
    <w:rsid w:val="005523EC"/>
    <w:rsid w:val="00552561"/>
    <w:rsid w:val="00552792"/>
    <w:rsid w:val="00552867"/>
    <w:rsid w:val="005528AD"/>
    <w:rsid w:val="00552D95"/>
    <w:rsid w:val="00552F50"/>
    <w:rsid w:val="00553059"/>
    <w:rsid w:val="00553090"/>
    <w:rsid w:val="005530E7"/>
    <w:rsid w:val="0055325F"/>
    <w:rsid w:val="00553272"/>
    <w:rsid w:val="005532D6"/>
    <w:rsid w:val="005536C8"/>
    <w:rsid w:val="005536F5"/>
    <w:rsid w:val="00553A15"/>
    <w:rsid w:val="00553C7E"/>
    <w:rsid w:val="00553DE8"/>
    <w:rsid w:val="00553EFE"/>
    <w:rsid w:val="005541CA"/>
    <w:rsid w:val="0055439F"/>
    <w:rsid w:val="00554638"/>
    <w:rsid w:val="0055464B"/>
    <w:rsid w:val="005547B1"/>
    <w:rsid w:val="00554B53"/>
    <w:rsid w:val="00554CCA"/>
    <w:rsid w:val="00554D64"/>
    <w:rsid w:val="00554EAB"/>
    <w:rsid w:val="00554F43"/>
    <w:rsid w:val="00554FEA"/>
    <w:rsid w:val="00555138"/>
    <w:rsid w:val="00555392"/>
    <w:rsid w:val="005553FE"/>
    <w:rsid w:val="005554BA"/>
    <w:rsid w:val="005554C0"/>
    <w:rsid w:val="00555599"/>
    <w:rsid w:val="00555830"/>
    <w:rsid w:val="005558F8"/>
    <w:rsid w:val="00555AB7"/>
    <w:rsid w:val="00555B90"/>
    <w:rsid w:val="00555DCE"/>
    <w:rsid w:val="00555DDD"/>
    <w:rsid w:val="00556018"/>
    <w:rsid w:val="0055605C"/>
    <w:rsid w:val="00556074"/>
    <w:rsid w:val="00556088"/>
    <w:rsid w:val="005561D5"/>
    <w:rsid w:val="0055631D"/>
    <w:rsid w:val="00556853"/>
    <w:rsid w:val="005569BD"/>
    <w:rsid w:val="00556B45"/>
    <w:rsid w:val="00556E20"/>
    <w:rsid w:val="005571B0"/>
    <w:rsid w:val="005573C7"/>
    <w:rsid w:val="005573D4"/>
    <w:rsid w:val="0055753D"/>
    <w:rsid w:val="00557768"/>
    <w:rsid w:val="00557A96"/>
    <w:rsid w:val="00557AD6"/>
    <w:rsid w:val="00557D43"/>
    <w:rsid w:val="00557DF8"/>
    <w:rsid w:val="00557E2F"/>
    <w:rsid w:val="00557EAA"/>
    <w:rsid w:val="00557EB0"/>
    <w:rsid w:val="00557F73"/>
    <w:rsid w:val="00560042"/>
    <w:rsid w:val="00560582"/>
    <w:rsid w:val="0056058F"/>
    <w:rsid w:val="005605FA"/>
    <w:rsid w:val="0056074C"/>
    <w:rsid w:val="005608B4"/>
    <w:rsid w:val="005609DA"/>
    <w:rsid w:val="00560A19"/>
    <w:rsid w:val="00561088"/>
    <w:rsid w:val="00561131"/>
    <w:rsid w:val="005611BB"/>
    <w:rsid w:val="0056152C"/>
    <w:rsid w:val="005615FA"/>
    <w:rsid w:val="005616CE"/>
    <w:rsid w:val="0056175E"/>
    <w:rsid w:val="00561811"/>
    <w:rsid w:val="00561BD5"/>
    <w:rsid w:val="00561CB0"/>
    <w:rsid w:val="00561ED9"/>
    <w:rsid w:val="00561F76"/>
    <w:rsid w:val="0056227A"/>
    <w:rsid w:val="00562674"/>
    <w:rsid w:val="005629D4"/>
    <w:rsid w:val="00562AEF"/>
    <w:rsid w:val="00562C7D"/>
    <w:rsid w:val="00562D50"/>
    <w:rsid w:val="00563163"/>
    <w:rsid w:val="0056323E"/>
    <w:rsid w:val="005633A1"/>
    <w:rsid w:val="00563515"/>
    <w:rsid w:val="005635D7"/>
    <w:rsid w:val="00563686"/>
    <w:rsid w:val="00563760"/>
    <w:rsid w:val="005637B8"/>
    <w:rsid w:val="00563878"/>
    <w:rsid w:val="005638E2"/>
    <w:rsid w:val="0056395E"/>
    <w:rsid w:val="00563B4B"/>
    <w:rsid w:val="00563D4E"/>
    <w:rsid w:val="00563E00"/>
    <w:rsid w:val="00563E42"/>
    <w:rsid w:val="005641DA"/>
    <w:rsid w:val="0056442C"/>
    <w:rsid w:val="005645C5"/>
    <w:rsid w:val="005646FF"/>
    <w:rsid w:val="0056473D"/>
    <w:rsid w:val="005648AE"/>
    <w:rsid w:val="005648F7"/>
    <w:rsid w:val="00564A11"/>
    <w:rsid w:val="00565051"/>
    <w:rsid w:val="0056514E"/>
    <w:rsid w:val="00565372"/>
    <w:rsid w:val="005653E5"/>
    <w:rsid w:val="00565403"/>
    <w:rsid w:val="00565612"/>
    <w:rsid w:val="00565680"/>
    <w:rsid w:val="00565863"/>
    <w:rsid w:val="005659E0"/>
    <w:rsid w:val="00565CCD"/>
    <w:rsid w:val="00566111"/>
    <w:rsid w:val="0056629F"/>
    <w:rsid w:val="005663A2"/>
    <w:rsid w:val="005665C4"/>
    <w:rsid w:val="005666A3"/>
    <w:rsid w:val="005666B3"/>
    <w:rsid w:val="0056671C"/>
    <w:rsid w:val="0056676D"/>
    <w:rsid w:val="005668A6"/>
    <w:rsid w:val="00566975"/>
    <w:rsid w:val="00566AA3"/>
    <w:rsid w:val="00566AD9"/>
    <w:rsid w:val="00566B62"/>
    <w:rsid w:val="00566D7F"/>
    <w:rsid w:val="00566DD1"/>
    <w:rsid w:val="00566F15"/>
    <w:rsid w:val="005670D6"/>
    <w:rsid w:val="00567134"/>
    <w:rsid w:val="0056758F"/>
    <w:rsid w:val="005675D3"/>
    <w:rsid w:val="0056779A"/>
    <w:rsid w:val="00567866"/>
    <w:rsid w:val="00567893"/>
    <w:rsid w:val="00567944"/>
    <w:rsid w:val="005679D0"/>
    <w:rsid w:val="00567B88"/>
    <w:rsid w:val="00567BDA"/>
    <w:rsid w:val="00567DA0"/>
    <w:rsid w:val="00567ECB"/>
    <w:rsid w:val="00567FBA"/>
    <w:rsid w:val="00567FFA"/>
    <w:rsid w:val="00570007"/>
    <w:rsid w:val="005703CF"/>
    <w:rsid w:val="005703EF"/>
    <w:rsid w:val="005705DA"/>
    <w:rsid w:val="0057099D"/>
    <w:rsid w:val="005709A6"/>
    <w:rsid w:val="00570A79"/>
    <w:rsid w:val="00570B44"/>
    <w:rsid w:val="00570BA2"/>
    <w:rsid w:val="00570BBA"/>
    <w:rsid w:val="00570BD5"/>
    <w:rsid w:val="00570DBB"/>
    <w:rsid w:val="00570DED"/>
    <w:rsid w:val="005712CE"/>
    <w:rsid w:val="0057130C"/>
    <w:rsid w:val="0057162B"/>
    <w:rsid w:val="00571798"/>
    <w:rsid w:val="005717B7"/>
    <w:rsid w:val="005717E5"/>
    <w:rsid w:val="00571A3E"/>
    <w:rsid w:val="00571BAF"/>
    <w:rsid w:val="00571CDE"/>
    <w:rsid w:val="0057218A"/>
    <w:rsid w:val="005721CD"/>
    <w:rsid w:val="00572364"/>
    <w:rsid w:val="0057255E"/>
    <w:rsid w:val="005726A9"/>
    <w:rsid w:val="0057277A"/>
    <w:rsid w:val="00572794"/>
    <w:rsid w:val="005727D9"/>
    <w:rsid w:val="00572958"/>
    <w:rsid w:val="00572B02"/>
    <w:rsid w:val="00572BA2"/>
    <w:rsid w:val="00572C65"/>
    <w:rsid w:val="00573023"/>
    <w:rsid w:val="0057317F"/>
    <w:rsid w:val="00573364"/>
    <w:rsid w:val="005736FD"/>
    <w:rsid w:val="0057380C"/>
    <w:rsid w:val="0057385C"/>
    <w:rsid w:val="00573980"/>
    <w:rsid w:val="00573A1C"/>
    <w:rsid w:val="00573A2C"/>
    <w:rsid w:val="00573ABC"/>
    <w:rsid w:val="00573B0E"/>
    <w:rsid w:val="00573C9F"/>
    <w:rsid w:val="00573ED5"/>
    <w:rsid w:val="0057400A"/>
    <w:rsid w:val="00574208"/>
    <w:rsid w:val="00574627"/>
    <w:rsid w:val="005747C6"/>
    <w:rsid w:val="0057488B"/>
    <w:rsid w:val="005748E7"/>
    <w:rsid w:val="00574B0C"/>
    <w:rsid w:val="00574CE0"/>
    <w:rsid w:val="00574ECB"/>
    <w:rsid w:val="0057517B"/>
    <w:rsid w:val="00575A97"/>
    <w:rsid w:val="00575CAF"/>
    <w:rsid w:val="00575E1C"/>
    <w:rsid w:val="00576266"/>
    <w:rsid w:val="005763DB"/>
    <w:rsid w:val="00576969"/>
    <w:rsid w:val="00576AEA"/>
    <w:rsid w:val="00576BD7"/>
    <w:rsid w:val="00576BDA"/>
    <w:rsid w:val="00576C7E"/>
    <w:rsid w:val="00576CEF"/>
    <w:rsid w:val="00576F7E"/>
    <w:rsid w:val="00577004"/>
    <w:rsid w:val="005770D0"/>
    <w:rsid w:val="005770D7"/>
    <w:rsid w:val="0057722D"/>
    <w:rsid w:val="00577747"/>
    <w:rsid w:val="005778A7"/>
    <w:rsid w:val="005779D0"/>
    <w:rsid w:val="005779F6"/>
    <w:rsid w:val="00577AAB"/>
    <w:rsid w:val="00577C08"/>
    <w:rsid w:val="00577D59"/>
    <w:rsid w:val="00577F21"/>
    <w:rsid w:val="00577FCC"/>
    <w:rsid w:val="00577FF8"/>
    <w:rsid w:val="0058003C"/>
    <w:rsid w:val="0058033D"/>
    <w:rsid w:val="0058069E"/>
    <w:rsid w:val="005806F5"/>
    <w:rsid w:val="005807D2"/>
    <w:rsid w:val="00580D28"/>
    <w:rsid w:val="00580D56"/>
    <w:rsid w:val="00580D9C"/>
    <w:rsid w:val="005810C0"/>
    <w:rsid w:val="00581314"/>
    <w:rsid w:val="00581509"/>
    <w:rsid w:val="005816BF"/>
    <w:rsid w:val="00581756"/>
    <w:rsid w:val="005819E2"/>
    <w:rsid w:val="00581A1F"/>
    <w:rsid w:val="00581AD6"/>
    <w:rsid w:val="00581DE8"/>
    <w:rsid w:val="00581E40"/>
    <w:rsid w:val="00581E7C"/>
    <w:rsid w:val="0058238C"/>
    <w:rsid w:val="00582528"/>
    <w:rsid w:val="00582616"/>
    <w:rsid w:val="0058265A"/>
    <w:rsid w:val="0058269B"/>
    <w:rsid w:val="0058270A"/>
    <w:rsid w:val="005828C5"/>
    <w:rsid w:val="00582AAF"/>
    <w:rsid w:val="00582C30"/>
    <w:rsid w:val="00582C67"/>
    <w:rsid w:val="00582C8A"/>
    <w:rsid w:val="00582D10"/>
    <w:rsid w:val="00582EA6"/>
    <w:rsid w:val="00582FBE"/>
    <w:rsid w:val="005830FB"/>
    <w:rsid w:val="0058331D"/>
    <w:rsid w:val="005836AA"/>
    <w:rsid w:val="00583756"/>
    <w:rsid w:val="005837B2"/>
    <w:rsid w:val="005839C1"/>
    <w:rsid w:val="00583BA5"/>
    <w:rsid w:val="00583C7F"/>
    <w:rsid w:val="00583E95"/>
    <w:rsid w:val="0058400E"/>
    <w:rsid w:val="0058425F"/>
    <w:rsid w:val="00584395"/>
    <w:rsid w:val="00584493"/>
    <w:rsid w:val="005844D4"/>
    <w:rsid w:val="0058460A"/>
    <w:rsid w:val="00584AF7"/>
    <w:rsid w:val="00584B4E"/>
    <w:rsid w:val="00584C42"/>
    <w:rsid w:val="00584EBE"/>
    <w:rsid w:val="00584ED5"/>
    <w:rsid w:val="00584F58"/>
    <w:rsid w:val="00584FE6"/>
    <w:rsid w:val="005850B9"/>
    <w:rsid w:val="005852AF"/>
    <w:rsid w:val="005852DD"/>
    <w:rsid w:val="005855D7"/>
    <w:rsid w:val="0058566A"/>
    <w:rsid w:val="00585962"/>
    <w:rsid w:val="00585C31"/>
    <w:rsid w:val="00585E31"/>
    <w:rsid w:val="00585FAB"/>
    <w:rsid w:val="00586068"/>
    <w:rsid w:val="00586135"/>
    <w:rsid w:val="00586196"/>
    <w:rsid w:val="005863F1"/>
    <w:rsid w:val="0058648D"/>
    <w:rsid w:val="00586588"/>
    <w:rsid w:val="0058672F"/>
    <w:rsid w:val="005867F3"/>
    <w:rsid w:val="00586807"/>
    <w:rsid w:val="0058683F"/>
    <w:rsid w:val="00586A8B"/>
    <w:rsid w:val="00586AB7"/>
    <w:rsid w:val="00586CE0"/>
    <w:rsid w:val="00586CF1"/>
    <w:rsid w:val="00586EFC"/>
    <w:rsid w:val="00586F92"/>
    <w:rsid w:val="00586FDE"/>
    <w:rsid w:val="00586FF2"/>
    <w:rsid w:val="005870E6"/>
    <w:rsid w:val="005872F3"/>
    <w:rsid w:val="0058730B"/>
    <w:rsid w:val="005873B7"/>
    <w:rsid w:val="005879D9"/>
    <w:rsid w:val="00587AED"/>
    <w:rsid w:val="00587B3E"/>
    <w:rsid w:val="00587B93"/>
    <w:rsid w:val="00587C8B"/>
    <w:rsid w:val="00587CF2"/>
    <w:rsid w:val="00587D73"/>
    <w:rsid w:val="00587ED5"/>
    <w:rsid w:val="00587F47"/>
    <w:rsid w:val="00590055"/>
    <w:rsid w:val="0059022E"/>
    <w:rsid w:val="00590244"/>
    <w:rsid w:val="0059028D"/>
    <w:rsid w:val="00590305"/>
    <w:rsid w:val="005903D7"/>
    <w:rsid w:val="0059040D"/>
    <w:rsid w:val="00590547"/>
    <w:rsid w:val="005905D3"/>
    <w:rsid w:val="00590670"/>
    <w:rsid w:val="0059077F"/>
    <w:rsid w:val="00590E16"/>
    <w:rsid w:val="00590E34"/>
    <w:rsid w:val="00590E4A"/>
    <w:rsid w:val="00590F4F"/>
    <w:rsid w:val="00591092"/>
    <w:rsid w:val="005913BF"/>
    <w:rsid w:val="00591483"/>
    <w:rsid w:val="005914B1"/>
    <w:rsid w:val="0059160B"/>
    <w:rsid w:val="005918A4"/>
    <w:rsid w:val="005918A5"/>
    <w:rsid w:val="00591934"/>
    <w:rsid w:val="005919B9"/>
    <w:rsid w:val="00591EFC"/>
    <w:rsid w:val="00592124"/>
    <w:rsid w:val="00592185"/>
    <w:rsid w:val="005921A5"/>
    <w:rsid w:val="005922D2"/>
    <w:rsid w:val="005924A1"/>
    <w:rsid w:val="00592696"/>
    <w:rsid w:val="005928DF"/>
    <w:rsid w:val="00592A84"/>
    <w:rsid w:val="00592AA3"/>
    <w:rsid w:val="00592B28"/>
    <w:rsid w:val="00592B91"/>
    <w:rsid w:val="00592C47"/>
    <w:rsid w:val="00592CAE"/>
    <w:rsid w:val="00592E29"/>
    <w:rsid w:val="00592EC9"/>
    <w:rsid w:val="00592F82"/>
    <w:rsid w:val="005930A8"/>
    <w:rsid w:val="005930E0"/>
    <w:rsid w:val="00593152"/>
    <w:rsid w:val="005932C1"/>
    <w:rsid w:val="00593852"/>
    <w:rsid w:val="005938A0"/>
    <w:rsid w:val="00593A67"/>
    <w:rsid w:val="00593D06"/>
    <w:rsid w:val="00593DC0"/>
    <w:rsid w:val="00593F13"/>
    <w:rsid w:val="00593FCB"/>
    <w:rsid w:val="00593FFD"/>
    <w:rsid w:val="005940C5"/>
    <w:rsid w:val="005942C4"/>
    <w:rsid w:val="005943A5"/>
    <w:rsid w:val="00594503"/>
    <w:rsid w:val="0059465F"/>
    <w:rsid w:val="0059469D"/>
    <w:rsid w:val="005946CC"/>
    <w:rsid w:val="00594872"/>
    <w:rsid w:val="005948FB"/>
    <w:rsid w:val="00594AEF"/>
    <w:rsid w:val="00594F24"/>
    <w:rsid w:val="00594F87"/>
    <w:rsid w:val="0059500B"/>
    <w:rsid w:val="0059510E"/>
    <w:rsid w:val="005952EC"/>
    <w:rsid w:val="0059575B"/>
    <w:rsid w:val="005957A9"/>
    <w:rsid w:val="0059590A"/>
    <w:rsid w:val="005959F5"/>
    <w:rsid w:val="00595A55"/>
    <w:rsid w:val="00595A91"/>
    <w:rsid w:val="00595B4A"/>
    <w:rsid w:val="00595C06"/>
    <w:rsid w:val="00595DD3"/>
    <w:rsid w:val="00596123"/>
    <w:rsid w:val="00596261"/>
    <w:rsid w:val="00596529"/>
    <w:rsid w:val="005965F1"/>
    <w:rsid w:val="00596B1D"/>
    <w:rsid w:val="00596B30"/>
    <w:rsid w:val="00596CDB"/>
    <w:rsid w:val="005970DA"/>
    <w:rsid w:val="00597404"/>
    <w:rsid w:val="0059770C"/>
    <w:rsid w:val="005977C4"/>
    <w:rsid w:val="00597AE2"/>
    <w:rsid w:val="00597B43"/>
    <w:rsid w:val="00597BE7"/>
    <w:rsid w:val="00597CC5"/>
    <w:rsid w:val="00597D9B"/>
    <w:rsid w:val="00597EF9"/>
    <w:rsid w:val="00597F07"/>
    <w:rsid w:val="00597F45"/>
    <w:rsid w:val="00597F81"/>
    <w:rsid w:val="00597FB6"/>
    <w:rsid w:val="0059F202"/>
    <w:rsid w:val="005A0070"/>
    <w:rsid w:val="005A0170"/>
    <w:rsid w:val="005A02B3"/>
    <w:rsid w:val="005A0473"/>
    <w:rsid w:val="005A0597"/>
    <w:rsid w:val="005A06E6"/>
    <w:rsid w:val="005A07A2"/>
    <w:rsid w:val="005A0954"/>
    <w:rsid w:val="005A0974"/>
    <w:rsid w:val="005A09F0"/>
    <w:rsid w:val="005A0C01"/>
    <w:rsid w:val="005A0D65"/>
    <w:rsid w:val="005A0F5A"/>
    <w:rsid w:val="005A0FC8"/>
    <w:rsid w:val="005A106A"/>
    <w:rsid w:val="005A1072"/>
    <w:rsid w:val="005A10B4"/>
    <w:rsid w:val="005A1242"/>
    <w:rsid w:val="005A156F"/>
    <w:rsid w:val="005A15FD"/>
    <w:rsid w:val="005A169C"/>
    <w:rsid w:val="005A1747"/>
    <w:rsid w:val="005A176E"/>
    <w:rsid w:val="005A1906"/>
    <w:rsid w:val="005A19A4"/>
    <w:rsid w:val="005A1B05"/>
    <w:rsid w:val="005A1BDB"/>
    <w:rsid w:val="005A1CEA"/>
    <w:rsid w:val="005A1D79"/>
    <w:rsid w:val="005A1DF5"/>
    <w:rsid w:val="005A20F3"/>
    <w:rsid w:val="005A211A"/>
    <w:rsid w:val="005A2454"/>
    <w:rsid w:val="005A29D9"/>
    <w:rsid w:val="005A2AA1"/>
    <w:rsid w:val="005A2D7C"/>
    <w:rsid w:val="005A2E52"/>
    <w:rsid w:val="005A3083"/>
    <w:rsid w:val="005A30EF"/>
    <w:rsid w:val="005A321E"/>
    <w:rsid w:val="005A3281"/>
    <w:rsid w:val="005A33F3"/>
    <w:rsid w:val="005A368D"/>
    <w:rsid w:val="005A376E"/>
    <w:rsid w:val="005A3B49"/>
    <w:rsid w:val="005A3CF1"/>
    <w:rsid w:val="005A3DCC"/>
    <w:rsid w:val="005A3E65"/>
    <w:rsid w:val="005A3EC6"/>
    <w:rsid w:val="005A42BD"/>
    <w:rsid w:val="005A44B1"/>
    <w:rsid w:val="005A47C0"/>
    <w:rsid w:val="005A4918"/>
    <w:rsid w:val="005A495B"/>
    <w:rsid w:val="005A4967"/>
    <w:rsid w:val="005A4C6F"/>
    <w:rsid w:val="005A4CAA"/>
    <w:rsid w:val="005A4DB0"/>
    <w:rsid w:val="005A4E90"/>
    <w:rsid w:val="005A5119"/>
    <w:rsid w:val="005A511F"/>
    <w:rsid w:val="005A5149"/>
    <w:rsid w:val="005A5194"/>
    <w:rsid w:val="005A51E7"/>
    <w:rsid w:val="005A5314"/>
    <w:rsid w:val="005A549F"/>
    <w:rsid w:val="005A54B9"/>
    <w:rsid w:val="005A56B3"/>
    <w:rsid w:val="005A5884"/>
    <w:rsid w:val="005A5AB0"/>
    <w:rsid w:val="005A5B3A"/>
    <w:rsid w:val="005A5EDD"/>
    <w:rsid w:val="005A6169"/>
    <w:rsid w:val="005A619C"/>
    <w:rsid w:val="005A6238"/>
    <w:rsid w:val="005A626C"/>
    <w:rsid w:val="005A6567"/>
    <w:rsid w:val="005A65AA"/>
    <w:rsid w:val="005A66DB"/>
    <w:rsid w:val="005A66F1"/>
    <w:rsid w:val="005A6736"/>
    <w:rsid w:val="005A69D3"/>
    <w:rsid w:val="005A6AAB"/>
    <w:rsid w:val="005A6AAC"/>
    <w:rsid w:val="005A6AED"/>
    <w:rsid w:val="005A6B06"/>
    <w:rsid w:val="005A6BDD"/>
    <w:rsid w:val="005A6E71"/>
    <w:rsid w:val="005A6F3D"/>
    <w:rsid w:val="005A6F3F"/>
    <w:rsid w:val="005A705C"/>
    <w:rsid w:val="005A70CC"/>
    <w:rsid w:val="005A71A1"/>
    <w:rsid w:val="005A7706"/>
    <w:rsid w:val="005A7754"/>
    <w:rsid w:val="005A7775"/>
    <w:rsid w:val="005A777C"/>
    <w:rsid w:val="005A7866"/>
    <w:rsid w:val="005A7993"/>
    <w:rsid w:val="005A7A86"/>
    <w:rsid w:val="005A7AB8"/>
    <w:rsid w:val="005A7DD6"/>
    <w:rsid w:val="005A7E35"/>
    <w:rsid w:val="005B000C"/>
    <w:rsid w:val="005B0369"/>
    <w:rsid w:val="005B039A"/>
    <w:rsid w:val="005B03E6"/>
    <w:rsid w:val="005B040F"/>
    <w:rsid w:val="005B050B"/>
    <w:rsid w:val="005B0547"/>
    <w:rsid w:val="005B0591"/>
    <w:rsid w:val="005B0692"/>
    <w:rsid w:val="005B0787"/>
    <w:rsid w:val="005B09D4"/>
    <w:rsid w:val="005B0B5F"/>
    <w:rsid w:val="005B0B67"/>
    <w:rsid w:val="005B0BD6"/>
    <w:rsid w:val="005B0DA0"/>
    <w:rsid w:val="005B0FE0"/>
    <w:rsid w:val="005B10ED"/>
    <w:rsid w:val="005B1104"/>
    <w:rsid w:val="005B1169"/>
    <w:rsid w:val="005B1292"/>
    <w:rsid w:val="005B149D"/>
    <w:rsid w:val="005B15F6"/>
    <w:rsid w:val="005B1AB6"/>
    <w:rsid w:val="005B1C61"/>
    <w:rsid w:val="005B1C75"/>
    <w:rsid w:val="005B1D5D"/>
    <w:rsid w:val="005B1F71"/>
    <w:rsid w:val="005B1FDD"/>
    <w:rsid w:val="005B2049"/>
    <w:rsid w:val="005B20EE"/>
    <w:rsid w:val="005B22EF"/>
    <w:rsid w:val="005B2352"/>
    <w:rsid w:val="005B2443"/>
    <w:rsid w:val="005B2660"/>
    <w:rsid w:val="005B27B1"/>
    <w:rsid w:val="005B2838"/>
    <w:rsid w:val="005B2A11"/>
    <w:rsid w:val="005B2B94"/>
    <w:rsid w:val="005B2BA0"/>
    <w:rsid w:val="005B30BE"/>
    <w:rsid w:val="005B3147"/>
    <w:rsid w:val="005B31A0"/>
    <w:rsid w:val="005B3254"/>
    <w:rsid w:val="005B3378"/>
    <w:rsid w:val="005B3494"/>
    <w:rsid w:val="005B35F1"/>
    <w:rsid w:val="005B38CF"/>
    <w:rsid w:val="005B3946"/>
    <w:rsid w:val="005B3AAC"/>
    <w:rsid w:val="005B3B04"/>
    <w:rsid w:val="005B3BFD"/>
    <w:rsid w:val="005B3D20"/>
    <w:rsid w:val="005B3F9B"/>
    <w:rsid w:val="005B402E"/>
    <w:rsid w:val="005B434C"/>
    <w:rsid w:val="005B464D"/>
    <w:rsid w:val="005B4740"/>
    <w:rsid w:val="005B47BF"/>
    <w:rsid w:val="005B48D5"/>
    <w:rsid w:val="005B49F1"/>
    <w:rsid w:val="005B4CE6"/>
    <w:rsid w:val="005B4D7D"/>
    <w:rsid w:val="005B4D7F"/>
    <w:rsid w:val="005B4EBD"/>
    <w:rsid w:val="005B4EC7"/>
    <w:rsid w:val="005B502E"/>
    <w:rsid w:val="005B5035"/>
    <w:rsid w:val="005B506B"/>
    <w:rsid w:val="005B50D4"/>
    <w:rsid w:val="005B5100"/>
    <w:rsid w:val="005B596C"/>
    <w:rsid w:val="005B59F1"/>
    <w:rsid w:val="005B5C31"/>
    <w:rsid w:val="005B5F70"/>
    <w:rsid w:val="005B6033"/>
    <w:rsid w:val="005B6193"/>
    <w:rsid w:val="005B62E8"/>
    <w:rsid w:val="005B6545"/>
    <w:rsid w:val="005B65DE"/>
    <w:rsid w:val="005B6837"/>
    <w:rsid w:val="005B6984"/>
    <w:rsid w:val="005B69E9"/>
    <w:rsid w:val="005B6ACF"/>
    <w:rsid w:val="005B6B84"/>
    <w:rsid w:val="005B6C0E"/>
    <w:rsid w:val="005B6C6B"/>
    <w:rsid w:val="005B6CCE"/>
    <w:rsid w:val="005B6E11"/>
    <w:rsid w:val="005B6F4A"/>
    <w:rsid w:val="005B727A"/>
    <w:rsid w:val="005B735A"/>
    <w:rsid w:val="005B7393"/>
    <w:rsid w:val="005B7410"/>
    <w:rsid w:val="005B7690"/>
    <w:rsid w:val="005B7B5B"/>
    <w:rsid w:val="005B7E79"/>
    <w:rsid w:val="005B7E7D"/>
    <w:rsid w:val="005B7FE2"/>
    <w:rsid w:val="005C0098"/>
    <w:rsid w:val="005C01D2"/>
    <w:rsid w:val="005C01D6"/>
    <w:rsid w:val="005C02FB"/>
    <w:rsid w:val="005C03FF"/>
    <w:rsid w:val="005C0460"/>
    <w:rsid w:val="005C058F"/>
    <w:rsid w:val="005C07C6"/>
    <w:rsid w:val="005C0956"/>
    <w:rsid w:val="005C098E"/>
    <w:rsid w:val="005C0A3B"/>
    <w:rsid w:val="005C0B55"/>
    <w:rsid w:val="005C0C70"/>
    <w:rsid w:val="005C0CFC"/>
    <w:rsid w:val="005C0D10"/>
    <w:rsid w:val="005C0E83"/>
    <w:rsid w:val="005C0EA9"/>
    <w:rsid w:val="005C0F93"/>
    <w:rsid w:val="005C10D0"/>
    <w:rsid w:val="005C1152"/>
    <w:rsid w:val="005C118E"/>
    <w:rsid w:val="005C12AE"/>
    <w:rsid w:val="005C12D7"/>
    <w:rsid w:val="005C13B9"/>
    <w:rsid w:val="005C1566"/>
    <w:rsid w:val="005C1805"/>
    <w:rsid w:val="005C1A98"/>
    <w:rsid w:val="005C1B58"/>
    <w:rsid w:val="005C1BA0"/>
    <w:rsid w:val="005C1CD8"/>
    <w:rsid w:val="005C1D73"/>
    <w:rsid w:val="005C2206"/>
    <w:rsid w:val="005C23E3"/>
    <w:rsid w:val="005C242E"/>
    <w:rsid w:val="005C24D2"/>
    <w:rsid w:val="005C2729"/>
    <w:rsid w:val="005C2919"/>
    <w:rsid w:val="005C2B37"/>
    <w:rsid w:val="005C2B42"/>
    <w:rsid w:val="005C2B4C"/>
    <w:rsid w:val="005C2B9F"/>
    <w:rsid w:val="005C2BD8"/>
    <w:rsid w:val="005C3018"/>
    <w:rsid w:val="005C3277"/>
    <w:rsid w:val="005C340D"/>
    <w:rsid w:val="005C346B"/>
    <w:rsid w:val="005C3479"/>
    <w:rsid w:val="005C34A1"/>
    <w:rsid w:val="005C34D3"/>
    <w:rsid w:val="005C3708"/>
    <w:rsid w:val="005C380C"/>
    <w:rsid w:val="005C38C9"/>
    <w:rsid w:val="005C38E8"/>
    <w:rsid w:val="005C3916"/>
    <w:rsid w:val="005C3B42"/>
    <w:rsid w:val="005C3B82"/>
    <w:rsid w:val="005C3BD5"/>
    <w:rsid w:val="005C3EFE"/>
    <w:rsid w:val="005C3F32"/>
    <w:rsid w:val="005C400F"/>
    <w:rsid w:val="005C4298"/>
    <w:rsid w:val="005C42F6"/>
    <w:rsid w:val="005C436A"/>
    <w:rsid w:val="005C4638"/>
    <w:rsid w:val="005C488C"/>
    <w:rsid w:val="005C491D"/>
    <w:rsid w:val="005C49B9"/>
    <w:rsid w:val="005C49D7"/>
    <w:rsid w:val="005C4E7C"/>
    <w:rsid w:val="005C4EB5"/>
    <w:rsid w:val="005C4ED3"/>
    <w:rsid w:val="005C4FAC"/>
    <w:rsid w:val="005C503F"/>
    <w:rsid w:val="005C5137"/>
    <w:rsid w:val="005C51AA"/>
    <w:rsid w:val="005C52DE"/>
    <w:rsid w:val="005C53F9"/>
    <w:rsid w:val="005C5447"/>
    <w:rsid w:val="005C54FF"/>
    <w:rsid w:val="005C550F"/>
    <w:rsid w:val="005C55C0"/>
    <w:rsid w:val="005C560E"/>
    <w:rsid w:val="005C5933"/>
    <w:rsid w:val="005C5AFB"/>
    <w:rsid w:val="005C5CEE"/>
    <w:rsid w:val="005C5EF4"/>
    <w:rsid w:val="005C6133"/>
    <w:rsid w:val="005C62E1"/>
    <w:rsid w:val="005C62EA"/>
    <w:rsid w:val="005C6359"/>
    <w:rsid w:val="005C6407"/>
    <w:rsid w:val="005C641D"/>
    <w:rsid w:val="005C647E"/>
    <w:rsid w:val="005C651E"/>
    <w:rsid w:val="005C6675"/>
    <w:rsid w:val="005C668F"/>
    <w:rsid w:val="005C66A4"/>
    <w:rsid w:val="005C67E4"/>
    <w:rsid w:val="005C6898"/>
    <w:rsid w:val="005C694B"/>
    <w:rsid w:val="005C6C06"/>
    <w:rsid w:val="005C6C25"/>
    <w:rsid w:val="005C6C51"/>
    <w:rsid w:val="005C6D49"/>
    <w:rsid w:val="005C701C"/>
    <w:rsid w:val="005C7098"/>
    <w:rsid w:val="005C7123"/>
    <w:rsid w:val="005C718C"/>
    <w:rsid w:val="005C7195"/>
    <w:rsid w:val="005C71D5"/>
    <w:rsid w:val="005C7384"/>
    <w:rsid w:val="005C73F4"/>
    <w:rsid w:val="005C756B"/>
    <w:rsid w:val="005C7762"/>
    <w:rsid w:val="005C77E5"/>
    <w:rsid w:val="005C7A75"/>
    <w:rsid w:val="005C7BA4"/>
    <w:rsid w:val="005C7BB0"/>
    <w:rsid w:val="005C7BC0"/>
    <w:rsid w:val="005C7BD0"/>
    <w:rsid w:val="005C7BE6"/>
    <w:rsid w:val="005C7C5F"/>
    <w:rsid w:val="005C7D7E"/>
    <w:rsid w:val="005C7E4A"/>
    <w:rsid w:val="005C7F77"/>
    <w:rsid w:val="005C7FC8"/>
    <w:rsid w:val="005C8A95"/>
    <w:rsid w:val="005D00C6"/>
    <w:rsid w:val="005D0169"/>
    <w:rsid w:val="005D017A"/>
    <w:rsid w:val="005D0201"/>
    <w:rsid w:val="005D02B9"/>
    <w:rsid w:val="005D02EF"/>
    <w:rsid w:val="005D04D9"/>
    <w:rsid w:val="005D06AA"/>
    <w:rsid w:val="005D06E4"/>
    <w:rsid w:val="005D0982"/>
    <w:rsid w:val="005D0BB9"/>
    <w:rsid w:val="005D0D9E"/>
    <w:rsid w:val="005D0FBB"/>
    <w:rsid w:val="005D10F3"/>
    <w:rsid w:val="005D112C"/>
    <w:rsid w:val="005D1565"/>
    <w:rsid w:val="005D1639"/>
    <w:rsid w:val="005D17FA"/>
    <w:rsid w:val="005D190B"/>
    <w:rsid w:val="005D19C2"/>
    <w:rsid w:val="005D1B27"/>
    <w:rsid w:val="005D1B47"/>
    <w:rsid w:val="005D1B95"/>
    <w:rsid w:val="005D1D61"/>
    <w:rsid w:val="005D20F7"/>
    <w:rsid w:val="005D21B8"/>
    <w:rsid w:val="005D2285"/>
    <w:rsid w:val="005D2300"/>
    <w:rsid w:val="005D2403"/>
    <w:rsid w:val="005D253D"/>
    <w:rsid w:val="005D276C"/>
    <w:rsid w:val="005D290F"/>
    <w:rsid w:val="005D2979"/>
    <w:rsid w:val="005D2A54"/>
    <w:rsid w:val="005D2CAB"/>
    <w:rsid w:val="005D2CEA"/>
    <w:rsid w:val="005D2DCD"/>
    <w:rsid w:val="005D306C"/>
    <w:rsid w:val="005D3083"/>
    <w:rsid w:val="005D30A1"/>
    <w:rsid w:val="005D352D"/>
    <w:rsid w:val="005D3565"/>
    <w:rsid w:val="005D3576"/>
    <w:rsid w:val="005D36A3"/>
    <w:rsid w:val="005D3848"/>
    <w:rsid w:val="005D39E5"/>
    <w:rsid w:val="005D3ADF"/>
    <w:rsid w:val="005D3C31"/>
    <w:rsid w:val="005D3CCB"/>
    <w:rsid w:val="005D3FD7"/>
    <w:rsid w:val="005D402B"/>
    <w:rsid w:val="005D40C3"/>
    <w:rsid w:val="005D42D6"/>
    <w:rsid w:val="005D4340"/>
    <w:rsid w:val="005D4357"/>
    <w:rsid w:val="005D43F2"/>
    <w:rsid w:val="005D4448"/>
    <w:rsid w:val="005D454F"/>
    <w:rsid w:val="005D45A2"/>
    <w:rsid w:val="005D46A7"/>
    <w:rsid w:val="005D4777"/>
    <w:rsid w:val="005D499E"/>
    <w:rsid w:val="005D4CD7"/>
    <w:rsid w:val="005D4CF5"/>
    <w:rsid w:val="005D4EDC"/>
    <w:rsid w:val="005D5057"/>
    <w:rsid w:val="005D52B6"/>
    <w:rsid w:val="005D52FF"/>
    <w:rsid w:val="005D5450"/>
    <w:rsid w:val="005D54AE"/>
    <w:rsid w:val="005D58D7"/>
    <w:rsid w:val="005D5C19"/>
    <w:rsid w:val="005D5F6D"/>
    <w:rsid w:val="005D619B"/>
    <w:rsid w:val="005D634F"/>
    <w:rsid w:val="005D6397"/>
    <w:rsid w:val="005D63A1"/>
    <w:rsid w:val="005D63B4"/>
    <w:rsid w:val="005D6430"/>
    <w:rsid w:val="005D687F"/>
    <w:rsid w:val="005D699C"/>
    <w:rsid w:val="005D6E5D"/>
    <w:rsid w:val="005D6E93"/>
    <w:rsid w:val="005D70E2"/>
    <w:rsid w:val="005D72B8"/>
    <w:rsid w:val="005D73FE"/>
    <w:rsid w:val="005D769B"/>
    <w:rsid w:val="005D7772"/>
    <w:rsid w:val="005D781A"/>
    <w:rsid w:val="005D7A18"/>
    <w:rsid w:val="005D7BFF"/>
    <w:rsid w:val="005D7FB3"/>
    <w:rsid w:val="005E001E"/>
    <w:rsid w:val="005E006F"/>
    <w:rsid w:val="005E00AD"/>
    <w:rsid w:val="005E020E"/>
    <w:rsid w:val="005E036A"/>
    <w:rsid w:val="005E0421"/>
    <w:rsid w:val="005E063C"/>
    <w:rsid w:val="005E074A"/>
    <w:rsid w:val="005E0832"/>
    <w:rsid w:val="005E083A"/>
    <w:rsid w:val="005E0930"/>
    <w:rsid w:val="005E0EA8"/>
    <w:rsid w:val="005E0EDE"/>
    <w:rsid w:val="005E0F76"/>
    <w:rsid w:val="005E11A8"/>
    <w:rsid w:val="005E12FA"/>
    <w:rsid w:val="005E130A"/>
    <w:rsid w:val="005E1323"/>
    <w:rsid w:val="005E162F"/>
    <w:rsid w:val="005E16A9"/>
    <w:rsid w:val="005E16BC"/>
    <w:rsid w:val="005E178E"/>
    <w:rsid w:val="005E17AC"/>
    <w:rsid w:val="005E187E"/>
    <w:rsid w:val="005E1908"/>
    <w:rsid w:val="005E1927"/>
    <w:rsid w:val="005E1A12"/>
    <w:rsid w:val="005E1A4B"/>
    <w:rsid w:val="005E1E29"/>
    <w:rsid w:val="005E1F4C"/>
    <w:rsid w:val="005E1FD5"/>
    <w:rsid w:val="005E2160"/>
    <w:rsid w:val="005E2676"/>
    <w:rsid w:val="005E26E1"/>
    <w:rsid w:val="005E270A"/>
    <w:rsid w:val="005E272F"/>
    <w:rsid w:val="005E28D6"/>
    <w:rsid w:val="005E291E"/>
    <w:rsid w:val="005E2B45"/>
    <w:rsid w:val="005E2C51"/>
    <w:rsid w:val="005E2F57"/>
    <w:rsid w:val="005E2FB9"/>
    <w:rsid w:val="005E30CF"/>
    <w:rsid w:val="005E318C"/>
    <w:rsid w:val="005E338A"/>
    <w:rsid w:val="005E347B"/>
    <w:rsid w:val="005E3723"/>
    <w:rsid w:val="005E38A7"/>
    <w:rsid w:val="005E3A61"/>
    <w:rsid w:val="005E4008"/>
    <w:rsid w:val="005E415C"/>
    <w:rsid w:val="005E41CD"/>
    <w:rsid w:val="005E4233"/>
    <w:rsid w:val="005E4275"/>
    <w:rsid w:val="005E427A"/>
    <w:rsid w:val="005E42B9"/>
    <w:rsid w:val="005E42E3"/>
    <w:rsid w:val="005E44EE"/>
    <w:rsid w:val="005E453D"/>
    <w:rsid w:val="005E463E"/>
    <w:rsid w:val="005E47CE"/>
    <w:rsid w:val="005E4904"/>
    <w:rsid w:val="005E4AD5"/>
    <w:rsid w:val="005E4C31"/>
    <w:rsid w:val="005E5643"/>
    <w:rsid w:val="005E57CD"/>
    <w:rsid w:val="005E5987"/>
    <w:rsid w:val="005E59F0"/>
    <w:rsid w:val="005E5AA9"/>
    <w:rsid w:val="005E5B70"/>
    <w:rsid w:val="005E5C3C"/>
    <w:rsid w:val="005E5CDC"/>
    <w:rsid w:val="005E5D19"/>
    <w:rsid w:val="005E5EE6"/>
    <w:rsid w:val="005E5F75"/>
    <w:rsid w:val="005E5FDD"/>
    <w:rsid w:val="005E6268"/>
    <w:rsid w:val="005E630C"/>
    <w:rsid w:val="005E635D"/>
    <w:rsid w:val="005E6384"/>
    <w:rsid w:val="005E6691"/>
    <w:rsid w:val="005E66F4"/>
    <w:rsid w:val="005E68DF"/>
    <w:rsid w:val="005E6985"/>
    <w:rsid w:val="005E69A1"/>
    <w:rsid w:val="005E69D6"/>
    <w:rsid w:val="005E6B3D"/>
    <w:rsid w:val="005E6B60"/>
    <w:rsid w:val="005E6B8A"/>
    <w:rsid w:val="005E6D97"/>
    <w:rsid w:val="005E70B6"/>
    <w:rsid w:val="005E7100"/>
    <w:rsid w:val="005E717A"/>
    <w:rsid w:val="005E747D"/>
    <w:rsid w:val="005E74FA"/>
    <w:rsid w:val="005E76CD"/>
    <w:rsid w:val="005E7710"/>
    <w:rsid w:val="005E77E6"/>
    <w:rsid w:val="005E7A02"/>
    <w:rsid w:val="005E7B09"/>
    <w:rsid w:val="005E7D61"/>
    <w:rsid w:val="005E7EBF"/>
    <w:rsid w:val="005E7EC0"/>
    <w:rsid w:val="005EFB28"/>
    <w:rsid w:val="005F00B3"/>
    <w:rsid w:val="005F01B0"/>
    <w:rsid w:val="005F028E"/>
    <w:rsid w:val="005F0416"/>
    <w:rsid w:val="005F07D9"/>
    <w:rsid w:val="005F0A4D"/>
    <w:rsid w:val="005F0C3D"/>
    <w:rsid w:val="005F0C9E"/>
    <w:rsid w:val="005F0CA0"/>
    <w:rsid w:val="005F0D9F"/>
    <w:rsid w:val="005F0DF6"/>
    <w:rsid w:val="005F0FDE"/>
    <w:rsid w:val="005F10C4"/>
    <w:rsid w:val="005F1128"/>
    <w:rsid w:val="005F1130"/>
    <w:rsid w:val="005F11A0"/>
    <w:rsid w:val="005F11A5"/>
    <w:rsid w:val="005F150B"/>
    <w:rsid w:val="005F15F5"/>
    <w:rsid w:val="005F1761"/>
    <w:rsid w:val="005F1B0E"/>
    <w:rsid w:val="005F1B0F"/>
    <w:rsid w:val="005F1B3D"/>
    <w:rsid w:val="005F1B41"/>
    <w:rsid w:val="005F1BA3"/>
    <w:rsid w:val="005F1BAD"/>
    <w:rsid w:val="005F1C1D"/>
    <w:rsid w:val="005F1DAE"/>
    <w:rsid w:val="005F1FF9"/>
    <w:rsid w:val="005F225C"/>
    <w:rsid w:val="005F259D"/>
    <w:rsid w:val="005F279F"/>
    <w:rsid w:val="005F27BF"/>
    <w:rsid w:val="005F2911"/>
    <w:rsid w:val="005F2A85"/>
    <w:rsid w:val="005F2AF7"/>
    <w:rsid w:val="005F2BC0"/>
    <w:rsid w:val="005F2BE9"/>
    <w:rsid w:val="005F2D0F"/>
    <w:rsid w:val="005F2D75"/>
    <w:rsid w:val="005F3023"/>
    <w:rsid w:val="005F309C"/>
    <w:rsid w:val="005F3231"/>
    <w:rsid w:val="005F3238"/>
    <w:rsid w:val="005F332B"/>
    <w:rsid w:val="005F365A"/>
    <w:rsid w:val="005F378D"/>
    <w:rsid w:val="005F3980"/>
    <w:rsid w:val="005F39B3"/>
    <w:rsid w:val="005F39CC"/>
    <w:rsid w:val="005F39D4"/>
    <w:rsid w:val="005F3A1A"/>
    <w:rsid w:val="005F3A96"/>
    <w:rsid w:val="005F3C5F"/>
    <w:rsid w:val="005F3FD0"/>
    <w:rsid w:val="005F4399"/>
    <w:rsid w:val="005F43DF"/>
    <w:rsid w:val="005F44D1"/>
    <w:rsid w:val="005F450E"/>
    <w:rsid w:val="005F4711"/>
    <w:rsid w:val="005F4AC3"/>
    <w:rsid w:val="005F4F90"/>
    <w:rsid w:val="005F50EA"/>
    <w:rsid w:val="005F512D"/>
    <w:rsid w:val="005F524F"/>
    <w:rsid w:val="005F528B"/>
    <w:rsid w:val="005F53F7"/>
    <w:rsid w:val="005F57ED"/>
    <w:rsid w:val="005F5A6E"/>
    <w:rsid w:val="005F5D55"/>
    <w:rsid w:val="005F6105"/>
    <w:rsid w:val="005F6165"/>
    <w:rsid w:val="005F61F4"/>
    <w:rsid w:val="005F6339"/>
    <w:rsid w:val="005F6449"/>
    <w:rsid w:val="005F64EE"/>
    <w:rsid w:val="005F6565"/>
    <w:rsid w:val="005F661A"/>
    <w:rsid w:val="005F6A05"/>
    <w:rsid w:val="005F6A07"/>
    <w:rsid w:val="005F6B95"/>
    <w:rsid w:val="005F6BB9"/>
    <w:rsid w:val="005F6D88"/>
    <w:rsid w:val="005F6DC7"/>
    <w:rsid w:val="005F6DE6"/>
    <w:rsid w:val="005F6FDF"/>
    <w:rsid w:val="005F73A2"/>
    <w:rsid w:val="005F73C6"/>
    <w:rsid w:val="005F74B6"/>
    <w:rsid w:val="005F76C4"/>
    <w:rsid w:val="005F7769"/>
    <w:rsid w:val="005F77D6"/>
    <w:rsid w:val="005F788F"/>
    <w:rsid w:val="005F78BD"/>
    <w:rsid w:val="005F7985"/>
    <w:rsid w:val="005F7CDA"/>
    <w:rsid w:val="005F7D5D"/>
    <w:rsid w:val="005F7EEC"/>
    <w:rsid w:val="005F7FE1"/>
    <w:rsid w:val="00600029"/>
    <w:rsid w:val="006000CC"/>
    <w:rsid w:val="00600159"/>
    <w:rsid w:val="00600180"/>
    <w:rsid w:val="00600390"/>
    <w:rsid w:val="006003BB"/>
    <w:rsid w:val="00600695"/>
    <w:rsid w:val="00600A40"/>
    <w:rsid w:val="00600A73"/>
    <w:rsid w:val="00600AE9"/>
    <w:rsid w:val="00600B47"/>
    <w:rsid w:val="00600CF8"/>
    <w:rsid w:val="00600CFB"/>
    <w:rsid w:val="00600E70"/>
    <w:rsid w:val="006012F8"/>
    <w:rsid w:val="0060131D"/>
    <w:rsid w:val="00601430"/>
    <w:rsid w:val="00601450"/>
    <w:rsid w:val="006014AE"/>
    <w:rsid w:val="006015DD"/>
    <w:rsid w:val="0060187C"/>
    <w:rsid w:val="006019B4"/>
    <w:rsid w:val="00601A75"/>
    <w:rsid w:val="00601B67"/>
    <w:rsid w:val="00601C12"/>
    <w:rsid w:val="00601CA1"/>
    <w:rsid w:val="00601E0F"/>
    <w:rsid w:val="00601E9F"/>
    <w:rsid w:val="006021A0"/>
    <w:rsid w:val="0060236D"/>
    <w:rsid w:val="00602402"/>
    <w:rsid w:val="006028E2"/>
    <w:rsid w:val="00602BE6"/>
    <w:rsid w:val="00602E08"/>
    <w:rsid w:val="00602E75"/>
    <w:rsid w:val="0060302D"/>
    <w:rsid w:val="006034E6"/>
    <w:rsid w:val="0060399D"/>
    <w:rsid w:val="006039A2"/>
    <w:rsid w:val="006039EF"/>
    <w:rsid w:val="00603A1F"/>
    <w:rsid w:val="00603A5D"/>
    <w:rsid w:val="00603DCD"/>
    <w:rsid w:val="00603EEF"/>
    <w:rsid w:val="00603F56"/>
    <w:rsid w:val="00603FD9"/>
    <w:rsid w:val="00604084"/>
    <w:rsid w:val="006040E3"/>
    <w:rsid w:val="00604240"/>
    <w:rsid w:val="00604367"/>
    <w:rsid w:val="00604392"/>
    <w:rsid w:val="00604511"/>
    <w:rsid w:val="00604570"/>
    <w:rsid w:val="00604578"/>
    <w:rsid w:val="0060468D"/>
    <w:rsid w:val="006047BE"/>
    <w:rsid w:val="00604811"/>
    <w:rsid w:val="006049ED"/>
    <w:rsid w:val="00604D0A"/>
    <w:rsid w:val="00604FA2"/>
    <w:rsid w:val="0060501F"/>
    <w:rsid w:val="00605188"/>
    <w:rsid w:val="0060518E"/>
    <w:rsid w:val="006053FE"/>
    <w:rsid w:val="00605553"/>
    <w:rsid w:val="006057E3"/>
    <w:rsid w:val="006059D8"/>
    <w:rsid w:val="00605A9C"/>
    <w:rsid w:val="00605AC1"/>
    <w:rsid w:val="00605B7C"/>
    <w:rsid w:val="00605F48"/>
    <w:rsid w:val="006061BA"/>
    <w:rsid w:val="006064DD"/>
    <w:rsid w:val="006067F0"/>
    <w:rsid w:val="00606833"/>
    <w:rsid w:val="00606853"/>
    <w:rsid w:val="00606B4B"/>
    <w:rsid w:val="00606CF2"/>
    <w:rsid w:val="00606D88"/>
    <w:rsid w:val="00606F98"/>
    <w:rsid w:val="0060700A"/>
    <w:rsid w:val="006072D1"/>
    <w:rsid w:val="00607601"/>
    <w:rsid w:val="0060773B"/>
    <w:rsid w:val="006078C7"/>
    <w:rsid w:val="00607A2A"/>
    <w:rsid w:val="00607B05"/>
    <w:rsid w:val="00607B83"/>
    <w:rsid w:val="00607C7D"/>
    <w:rsid w:val="00607CCB"/>
    <w:rsid w:val="00607DEA"/>
    <w:rsid w:val="00607F52"/>
    <w:rsid w:val="00607FB3"/>
    <w:rsid w:val="00610149"/>
    <w:rsid w:val="00610484"/>
    <w:rsid w:val="006104C8"/>
    <w:rsid w:val="00610539"/>
    <w:rsid w:val="00610726"/>
    <w:rsid w:val="006108C6"/>
    <w:rsid w:val="00610945"/>
    <w:rsid w:val="00610A02"/>
    <w:rsid w:val="00610B54"/>
    <w:rsid w:val="00610CD3"/>
    <w:rsid w:val="00610FA6"/>
    <w:rsid w:val="00610FAF"/>
    <w:rsid w:val="0061109A"/>
    <w:rsid w:val="0061117D"/>
    <w:rsid w:val="00611323"/>
    <w:rsid w:val="00611433"/>
    <w:rsid w:val="0061188B"/>
    <w:rsid w:val="006118B6"/>
    <w:rsid w:val="00611A70"/>
    <w:rsid w:val="00611F51"/>
    <w:rsid w:val="00611FA4"/>
    <w:rsid w:val="0061212D"/>
    <w:rsid w:val="006121BD"/>
    <w:rsid w:val="006124E0"/>
    <w:rsid w:val="006125E2"/>
    <w:rsid w:val="00612693"/>
    <w:rsid w:val="006127F3"/>
    <w:rsid w:val="00612891"/>
    <w:rsid w:val="006128C1"/>
    <w:rsid w:val="006128C4"/>
    <w:rsid w:val="00612925"/>
    <w:rsid w:val="00612D84"/>
    <w:rsid w:val="00612DB1"/>
    <w:rsid w:val="00612E4F"/>
    <w:rsid w:val="00612F00"/>
    <w:rsid w:val="0061306E"/>
    <w:rsid w:val="0061320D"/>
    <w:rsid w:val="006132B5"/>
    <w:rsid w:val="00613431"/>
    <w:rsid w:val="006134C3"/>
    <w:rsid w:val="00613549"/>
    <w:rsid w:val="006135E4"/>
    <w:rsid w:val="00613665"/>
    <w:rsid w:val="006137B4"/>
    <w:rsid w:val="00613832"/>
    <w:rsid w:val="00613859"/>
    <w:rsid w:val="00613933"/>
    <w:rsid w:val="00613952"/>
    <w:rsid w:val="00613AEA"/>
    <w:rsid w:val="00613D17"/>
    <w:rsid w:val="00613DE6"/>
    <w:rsid w:val="00613E07"/>
    <w:rsid w:val="00613ECA"/>
    <w:rsid w:val="00613F2F"/>
    <w:rsid w:val="00613FB7"/>
    <w:rsid w:val="006140BB"/>
    <w:rsid w:val="006141C5"/>
    <w:rsid w:val="00614293"/>
    <w:rsid w:val="0061430D"/>
    <w:rsid w:val="006143D7"/>
    <w:rsid w:val="0061454D"/>
    <w:rsid w:val="006146BE"/>
    <w:rsid w:val="0061473C"/>
    <w:rsid w:val="00614809"/>
    <w:rsid w:val="0061492F"/>
    <w:rsid w:val="00614A7A"/>
    <w:rsid w:val="00614AC0"/>
    <w:rsid w:val="00614ACA"/>
    <w:rsid w:val="00614BDD"/>
    <w:rsid w:val="00614BDF"/>
    <w:rsid w:val="00614D17"/>
    <w:rsid w:val="00614D39"/>
    <w:rsid w:val="00614F7A"/>
    <w:rsid w:val="00615784"/>
    <w:rsid w:val="00615810"/>
    <w:rsid w:val="00615A0C"/>
    <w:rsid w:val="00615AC8"/>
    <w:rsid w:val="00615C01"/>
    <w:rsid w:val="00615C4F"/>
    <w:rsid w:val="00615CDC"/>
    <w:rsid w:val="00616059"/>
    <w:rsid w:val="006162CE"/>
    <w:rsid w:val="00616375"/>
    <w:rsid w:val="0061648E"/>
    <w:rsid w:val="006165BC"/>
    <w:rsid w:val="0061671E"/>
    <w:rsid w:val="0061694E"/>
    <w:rsid w:val="00616971"/>
    <w:rsid w:val="00616974"/>
    <w:rsid w:val="00616BA0"/>
    <w:rsid w:val="00616D3D"/>
    <w:rsid w:val="00616F16"/>
    <w:rsid w:val="00616FE4"/>
    <w:rsid w:val="00617128"/>
    <w:rsid w:val="00617190"/>
    <w:rsid w:val="006171C6"/>
    <w:rsid w:val="006173F8"/>
    <w:rsid w:val="00617424"/>
    <w:rsid w:val="006174D5"/>
    <w:rsid w:val="0061752F"/>
    <w:rsid w:val="006175A5"/>
    <w:rsid w:val="00617714"/>
    <w:rsid w:val="00617967"/>
    <w:rsid w:val="00617A2B"/>
    <w:rsid w:val="00617D7B"/>
    <w:rsid w:val="00617DB7"/>
    <w:rsid w:val="00617EC6"/>
    <w:rsid w:val="0062017E"/>
    <w:rsid w:val="006201D7"/>
    <w:rsid w:val="00620379"/>
    <w:rsid w:val="00620430"/>
    <w:rsid w:val="006204B0"/>
    <w:rsid w:val="006204DD"/>
    <w:rsid w:val="00620654"/>
    <w:rsid w:val="0062067F"/>
    <w:rsid w:val="006206DF"/>
    <w:rsid w:val="006208A5"/>
    <w:rsid w:val="006208F6"/>
    <w:rsid w:val="0062090E"/>
    <w:rsid w:val="00620A69"/>
    <w:rsid w:val="00620A75"/>
    <w:rsid w:val="00620CDA"/>
    <w:rsid w:val="00620DD0"/>
    <w:rsid w:val="006210E1"/>
    <w:rsid w:val="006211D4"/>
    <w:rsid w:val="006212F7"/>
    <w:rsid w:val="00621421"/>
    <w:rsid w:val="00621559"/>
    <w:rsid w:val="006215F0"/>
    <w:rsid w:val="00621600"/>
    <w:rsid w:val="00621620"/>
    <w:rsid w:val="00621831"/>
    <w:rsid w:val="006219C0"/>
    <w:rsid w:val="006219F9"/>
    <w:rsid w:val="00621C64"/>
    <w:rsid w:val="00621D51"/>
    <w:rsid w:val="00621E47"/>
    <w:rsid w:val="00621EB6"/>
    <w:rsid w:val="00621FB6"/>
    <w:rsid w:val="00621FBA"/>
    <w:rsid w:val="00622027"/>
    <w:rsid w:val="00622155"/>
    <w:rsid w:val="0062237D"/>
    <w:rsid w:val="006223A9"/>
    <w:rsid w:val="00622778"/>
    <w:rsid w:val="006228A6"/>
    <w:rsid w:val="00622986"/>
    <w:rsid w:val="00622A12"/>
    <w:rsid w:val="00622A2D"/>
    <w:rsid w:val="00622A8F"/>
    <w:rsid w:val="00622B48"/>
    <w:rsid w:val="00622B67"/>
    <w:rsid w:val="006230FF"/>
    <w:rsid w:val="0062327D"/>
    <w:rsid w:val="00623365"/>
    <w:rsid w:val="006233B0"/>
    <w:rsid w:val="006237D0"/>
    <w:rsid w:val="0062380A"/>
    <w:rsid w:val="00623A2B"/>
    <w:rsid w:val="00623D62"/>
    <w:rsid w:val="00623E03"/>
    <w:rsid w:val="00623E4D"/>
    <w:rsid w:val="00623F29"/>
    <w:rsid w:val="0062418F"/>
    <w:rsid w:val="006241BB"/>
    <w:rsid w:val="00624383"/>
    <w:rsid w:val="0062444C"/>
    <w:rsid w:val="00624619"/>
    <w:rsid w:val="00624624"/>
    <w:rsid w:val="00624759"/>
    <w:rsid w:val="006248F0"/>
    <w:rsid w:val="006249B9"/>
    <w:rsid w:val="00624B7C"/>
    <w:rsid w:val="00624B83"/>
    <w:rsid w:val="00624C08"/>
    <w:rsid w:val="00624E0C"/>
    <w:rsid w:val="00624E54"/>
    <w:rsid w:val="00624FA9"/>
    <w:rsid w:val="0062513D"/>
    <w:rsid w:val="00625296"/>
    <w:rsid w:val="0062534A"/>
    <w:rsid w:val="00625786"/>
    <w:rsid w:val="00625826"/>
    <w:rsid w:val="00625966"/>
    <w:rsid w:val="00625A8F"/>
    <w:rsid w:val="00625B49"/>
    <w:rsid w:val="00625C2A"/>
    <w:rsid w:val="00625CB1"/>
    <w:rsid w:val="00625DEC"/>
    <w:rsid w:val="00625E10"/>
    <w:rsid w:val="00625E33"/>
    <w:rsid w:val="00625E8B"/>
    <w:rsid w:val="00625EA3"/>
    <w:rsid w:val="00625FF8"/>
    <w:rsid w:val="00626125"/>
    <w:rsid w:val="00626234"/>
    <w:rsid w:val="0062647A"/>
    <w:rsid w:val="0062672B"/>
    <w:rsid w:val="006269C6"/>
    <w:rsid w:val="00626A1F"/>
    <w:rsid w:val="00626A72"/>
    <w:rsid w:val="00626B08"/>
    <w:rsid w:val="00626D10"/>
    <w:rsid w:val="00626E8C"/>
    <w:rsid w:val="00626F61"/>
    <w:rsid w:val="0062718C"/>
    <w:rsid w:val="00627276"/>
    <w:rsid w:val="006274BF"/>
    <w:rsid w:val="00627537"/>
    <w:rsid w:val="006276D0"/>
    <w:rsid w:val="0062780E"/>
    <w:rsid w:val="0062786D"/>
    <w:rsid w:val="00627878"/>
    <w:rsid w:val="0062788D"/>
    <w:rsid w:val="00627930"/>
    <w:rsid w:val="00627ABF"/>
    <w:rsid w:val="00627CB0"/>
    <w:rsid w:val="00627DB9"/>
    <w:rsid w:val="00627E3E"/>
    <w:rsid w:val="006302BD"/>
    <w:rsid w:val="0063069E"/>
    <w:rsid w:val="006306A1"/>
    <w:rsid w:val="006307E3"/>
    <w:rsid w:val="006308B4"/>
    <w:rsid w:val="00630928"/>
    <w:rsid w:val="0063097B"/>
    <w:rsid w:val="006309E7"/>
    <w:rsid w:val="00630A8D"/>
    <w:rsid w:val="00630B0A"/>
    <w:rsid w:val="00630C88"/>
    <w:rsid w:val="00630CAD"/>
    <w:rsid w:val="00630CF9"/>
    <w:rsid w:val="0063111E"/>
    <w:rsid w:val="0063182C"/>
    <w:rsid w:val="00631846"/>
    <w:rsid w:val="0063195E"/>
    <w:rsid w:val="006319BE"/>
    <w:rsid w:val="006319F6"/>
    <w:rsid w:val="00631EAB"/>
    <w:rsid w:val="00631FF4"/>
    <w:rsid w:val="0063203B"/>
    <w:rsid w:val="00632058"/>
    <w:rsid w:val="0063210A"/>
    <w:rsid w:val="00632254"/>
    <w:rsid w:val="0063246D"/>
    <w:rsid w:val="0063258D"/>
    <w:rsid w:val="00632997"/>
    <w:rsid w:val="006329B8"/>
    <w:rsid w:val="00632C9F"/>
    <w:rsid w:val="00632ED2"/>
    <w:rsid w:val="00633009"/>
    <w:rsid w:val="006331C0"/>
    <w:rsid w:val="006331E6"/>
    <w:rsid w:val="006335D1"/>
    <w:rsid w:val="00633898"/>
    <w:rsid w:val="00633AAC"/>
    <w:rsid w:val="00633AF1"/>
    <w:rsid w:val="00633C7D"/>
    <w:rsid w:val="00633F88"/>
    <w:rsid w:val="00633F9D"/>
    <w:rsid w:val="00634240"/>
    <w:rsid w:val="006342B6"/>
    <w:rsid w:val="006343BC"/>
    <w:rsid w:val="00634482"/>
    <w:rsid w:val="00634511"/>
    <w:rsid w:val="00634702"/>
    <w:rsid w:val="006349EE"/>
    <w:rsid w:val="00634A54"/>
    <w:rsid w:val="00634B07"/>
    <w:rsid w:val="00634B2C"/>
    <w:rsid w:val="00634B93"/>
    <w:rsid w:val="00634C04"/>
    <w:rsid w:val="00634D80"/>
    <w:rsid w:val="00634DE4"/>
    <w:rsid w:val="00634E90"/>
    <w:rsid w:val="00634FC6"/>
    <w:rsid w:val="0063517B"/>
    <w:rsid w:val="0063557B"/>
    <w:rsid w:val="006355F6"/>
    <w:rsid w:val="00635636"/>
    <w:rsid w:val="00635660"/>
    <w:rsid w:val="006356AD"/>
    <w:rsid w:val="006358B1"/>
    <w:rsid w:val="00635A79"/>
    <w:rsid w:val="00635B8C"/>
    <w:rsid w:val="00635E9E"/>
    <w:rsid w:val="00635EB9"/>
    <w:rsid w:val="00635F86"/>
    <w:rsid w:val="0063607D"/>
    <w:rsid w:val="006360BD"/>
    <w:rsid w:val="006361F2"/>
    <w:rsid w:val="0063632D"/>
    <w:rsid w:val="006363CA"/>
    <w:rsid w:val="006363EA"/>
    <w:rsid w:val="0063663F"/>
    <w:rsid w:val="0063671D"/>
    <w:rsid w:val="00636C0B"/>
    <w:rsid w:val="00636C57"/>
    <w:rsid w:val="00636CC7"/>
    <w:rsid w:val="00636F98"/>
    <w:rsid w:val="00636FAC"/>
    <w:rsid w:val="0063708B"/>
    <w:rsid w:val="00637135"/>
    <w:rsid w:val="00637306"/>
    <w:rsid w:val="0063740C"/>
    <w:rsid w:val="00637428"/>
    <w:rsid w:val="006378BE"/>
    <w:rsid w:val="006379FF"/>
    <w:rsid w:val="00637AC0"/>
    <w:rsid w:val="00637C7E"/>
    <w:rsid w:val="00637D39"/>
    <w:rsid w:val="00637DCA"/>
    <w:rsid w:val="006400BB"/>
    <w:rsid w:val="006400DF"/>
    <w:rsid w:val="00640164"/>
    <w:rsid w:val="006402F6"/>
    <w:rsid w:val="006403DE"/>
    <w:rsid w:val="00640672"/>
    <w:rsid w:val="006406C7"/>
    <w:rsid w:val="00640879"/>
    <w:rsid w:val="00640C14"/>
    <w:rsid w:val="00640C28"/>
    <w:rsid w:val="00640C42"/>
    <w:rsid w:val="00640D6E"/>
    <w:rsid w:val="00640D7D"/>
    <w:rsid w:val="00640E7C"/>
    <w:rsid w:val="0064118E"/>
    <w:rsid w:val="00641241"/>
    <w:rsid w:val="006415BD"/>
    <w:rsid w:val="006415BF"/>
    <w:rsid w:val="00641D12"/>
    <w:rsid w:val="00641DBE"/>
    <w:rsid w:val="00641E9D"/>
    <w:rsid w:val="00642096"/>
    <w:rsid w:val="0064221C"/>
    <w:rsid w:val="0064231B"/>
    <w:rsid w:val="0064236D"/>
    <w:rsid w:val="006424D9"/>
    <w:rsid w:val="00642609"/>
    <w:rsid w:val="006426BA"/>
    <w:rsid w:val="0064272E"/>
    <w:rsid w:val="006427A8"/>
    <w:rsid w:val="006427D9"/>
    <w:rsid w:val="00642936"/>
    <w:rsid w:val="0064294D"/>
    <w:rsid w:val="00642BCD"/>
    <w:rsid w:val="00642D9E"/>
    <w:rsid w:val="00642E64"/>
    <w:rsid w:val="00642FDB"/>
    <w:rsid w:val="00643104"/>
    <w:rsid w:val="00643198"/>
    <w:rsid w:val="006432CC"/>
    <w:rsid w:val="006432CE"/>
    <w:rsid w:val="00643596"/>
    <w:rsid w:val="006436A4"/>
    <w:rsid w:val="006436B6"/>
    <w:rsid w:val="00643891"/>
    <w:rsid w:val="00643B0A"/>
    <w:rsid w:val="00643B54"/>
    <w:rsid w:val="00643C73"/>
    <w:rsid w:val="00643ED8"/>
    <w:rsid w:val="00643F0A"/>
    <w:rsid w:val="00643FD5"/>
    <w:rsid w:val="00644176"/>
    <w:rsid w:val="00644299"/>
    <w:rsid w:val="006442E6"/>
    <w:rsid w:val="00644321"/>
    <w:rsid w:val="00644350"/>
    <w:rsid w:val="00644417"/>
    <w:rsid w:val="006445E4"/>
    <w:rsid w:val="006445ED"/>
    <w:rsid w:val="00644703"/>
    <w:rsid w:val="00644827"/>
    <w:rsid w:val="0064489F"/>
    <w:rsid w:val="00644917"/>
    <w:rsid w:val="006449BA"/>
    <w:rsid w:val="00644C22"/>
    <w:rsid w:val="00644E00"/>
    <w:rsid w:val="00644E21"/>
    <w:rsid w:val="00644EDF"/>
    <w:rsid w:val="00644F5F"/>
    <w:rsid w:val="00645054"/>
    <w:rsid w:val="00645108"/>
    <w:rsid w:val="006451C6"/>
    <w:rsid w:val="00645304"/>
    <w:rsid w:val="00645358"/>
    <w:rsid w:val="0064536A"/>
    <w:rsid w:val="006453C1"/>
    <w:rsid w:val="006456EB"/>
    <w:rsid w:val="00645898"/>
    <w:rsid w:val="00645919"/>
    <w:rsid w:val="00645A36"/>
    <w:rsid w:val="00645A3E"/>
    <w:rsid w:val="00645A8A"/>
    <w:rsid w:val="00645CA3"/>
    <w:rsid w:val="00645F6F"/>
    <w:rsid w:val="00645FC6"/>
    <w:rsid w:val="006460C2"/>
    <w:rsid w:val="00646215"/>
    <w:rsid w:val="0064622D"/>
    <w:rsid w:val="00646257"/>
    <w:rsid w:val="00646589"/>
    <w:rsid w:val="006465B1"/>
    <w:rsid w:val="00646754"/>
    <w:rsid w:val="006468AE"/>
    <w:rsid w:val="00646C23"/>
    <w:rsid w:val="0064704C"/>
    <w:rsid w:val="00647411"/>
    <w:rsid w:val="006474C0"/>
    <w:rsid w:val="00647555"/>
    <w:rsid w:val="0064755B"/>
    <w:rsid w:val="006475C5"/>
    <w:rsid w:val="006477D1"/>
    <w:rsid w:val="006478C5"/>
    <w:rsid w:val="006479D2"/>
    <w:rsid w:val="00647B32"/>
    <w:rsid w:val="00647E6A"/>
    <w:rsid w:val="00647F37"/>
    <w:rsid w:val="00650030"/>
    <w:rsid w:val="00650344"/>
    <w:rsid w:val="006504DA"/>
    <w:rsid w:val="0065070C"/>
    <w:rsid w:val="00650754"/>
    <w:rsid w:val="006507F8"/>
    <w:rsid w:val="00650859"/>
    <w:rsid w:val="006508EB"/>
    <w:rsid w:val="00650ABC"/>
    <w:rsid w:val="00650B5E"/>
    <w:rsid w:val="00650C1F"/>
    <w:rsid w:val="00650CAE"/>
    <w:rsid w:val="00650E05"/>
    <w:rsid w:val="00650EB1"/>
    <w:rsid w:val="006510CB"/>
    <w:rsid w:val="006511CC"/>
    <w:rsid w:val="006512D5"/>
    <w:rsid w:val="0065156E"/>
    <w:rsid w:val="00651631"/>
    <w:rsid w:val="00651A94"/>
    <w:rsid w:val="00651D44"/>
    <w:rsid w:val="00652004"/>
    <w:rsid w:val="00652189"/>
    <w:rsid w:val="0065236D"/>
    <w:rsid w:val="0065238D"/>
    <w:rsid w:val="006523BC"/>
    <w:rsid w:val="00652462"/>
    <w:rsid w:val="00652475"/>
    <w:rsid w:val="00652742"/>
    <w:rsid w:val="0065274C"/>
    <w:rsid w:val="006529C5"/>
    <w:rsid w:val="00652A41"/>
    <w:rsid w:val="00652B58"/>
    <w:rsid w:val="00652BBA"/>
    <w:rsid w:val="00652C21"/>
    <w:rsid w:val="00652C2E"/>
    <w:rsid w:val="00652C78"/>
    <w:rsid w:val="0065309B"/>
    <w:rsid w:val="00653260"/>
    <w:rsid w:val="0065337C"/>
    <w:rsid w:val="0065348F"/>
    <w:rsid w:val="006534BB"/>
    <w:rsid w:val="006534F8"/>
    <w:rsid w:val="00653790"/>
    <w:rsid w:val="00653824"/>
    <w:rsid w:val="0065386F"/>
    <w:rsid w:val="006539F6"/>
    <w:rsid w:val="00653BF4"/>
    <w:rsid w:val="00653CE3"/>
    <w:rsid w:val="00654004"/>
    <w:rsid w:val="0065444F"/>
    <w:rsid w:val="00654466"/>
    <w:rsid w:val="006544ED"/>
    <w:rsid w:val="00654539"/>
    <w:rsid w:val="006545B7"/>
    <w:rsid w:val="0065461D"/>
    <w:rsid w:val="006547C0"/>
    <w:rsid w:val="0065480B"/>
    <w:rsid w:val="0065497A"/>
    <w:rsid w:val="00654B53"/>
    <w:rsid w:val="00654BFE"/>
    <w:rsid w:val="00654E3F"/>
    <w:rsid w:val="00654F98"/>
    <w:rsid w:val="00654FD3"/>
    <w:rsid w:val="00655009"/>
    <w:rsid w:val="00655601"/>
    <w:rsid w:val="006556C8"/>
    <w:rsid w:val="00655CA9"/>
    <w:rsid w:val="00655F9F"/>
    <w:rsid w:val="006561FA"/>
    <w:rsid w:val="0065631C"/>
    <w:rsid w:val="006563EA"/>
    <w:rsid w:val="00656964"/>
    <w:rsid w:val="00656A9F"/>
    <w:rsid w:val="00656B71"/>
    <w:rsid w:val="00656CE9"/>
    <w:rsid w:val="00656D56"/>
    <w:rsid w:val="00656D5E"/>
    <w:rsid w:val="00657083"/>
    <w:rsid w:val="00657174"/>
    <w:rsid w:val="006571EF"/>
    <w:rsid w:val="00657203"/>
    <w:rsid w:val="006572C7"/>
    <w:rsid w:val="00657663"/>
    <w:rsid w:val="006577A1"/>
    <w:rsid w:val="00657891"/>
    <w:rsid w:val="006579AE"/>
    <w:rsid w:val="00657BE5"/>
    <w:rsid w:val="00657C16"/>
    <w:rsid w:val="00657DC7"/>
    <w:rsid w:val="006600C3"/>
    <w:rsid w:val="00660126"/>
    <w:rsid w:val="00660167"/>
    <w:rsid w:val="006602B6"/>
    <w:rsid w:val="006602F5"/>
    <w:rsid w:val="006605A9"/>
    <w:rsid w:val="006606D9"/>
    <w:rsid w:val="00660834"/>
    <w:rsid w:val="006609E6"/>
    <w:rsid w:val="00660A7E"/>
    <w:rsid w:val="00660AB1"/>
    <w:rsid w:val="00660AE1"/>
    <w:rsid w:val="00660B60"/>
    <w:rsid w:val="00660DEB"/>
    <w:rsid w:val="00660E07"/>
    <w:rsid w:val="00660FB6"/>
    <w:rsid w:val="006615F3"/>
    <w:rsid w:val="006616DD"/>
    <w:rsid w:val="006616E1"/>
    <w:rsid w:val="00661728"/>
    <w:rsid w:val="006619D4"/>
    <w:rsid w:val="00661AC5"/>
    <w:rsid w:val="00661BD4"/>
    <w:rsid w:val="00661E5D"/>
    <w:rsid w:val="00662000"/>
    <w:rsid w:val="00662236"/>
    <w:rsid w:val="00662370"/>
    <w:rsid w:val="006623B5"/>
    <w:rsid w:val="006624B5"/>
    <w:rsid w:val="0066253B"/>
    <w:rsid w:val="00662598"/>
    <w:rsid w:val="0066261A"/>
    <w:rsid w:val="0066266D"/>
    <w:rsid w:val="0066267E"/>
    <w:rsid w:val="006627EC"/>
    <w:rsid w:val="00662AE5"/>
    <w:rsid w:val="00662DB3"/>
    <w:rsid w:val="00662FA0"/>
    <w:rsid w:val="0066325D"/>
    <w:rsid w:val="0066345E"/>
    <w:rsid w:val="00663499"/>
    <w:rsid w:val="00663689"/>
    <w:rsid w:val="0066382E"/>
    <w:rsid w:val="00663911"/>
    <w:rsid w:val="00663A44"/>
    <w:rsid w:val="00663B00"/>
    <w:rsid w:val="00663C48"/>
    <w:rsid w:val="00663CFE"/>
    <w:rsid w:val="00663E38"/>
    <w:rsid w:val="006640F6"/>
    <w:rsid w:val="00664168"/>
    <w:rsid w:val="0066416B"/>
    <w:rsid w:val="00664197"/>
    <w:rsid w:val="006641BE"/>
    <w:rsid w:val="00664248"/>
    <w:rsid w:val="006643BA"/>
    <w:rsid w:val="00664453"/>
    <w:rsid w:val="00664566"/>
    <w:rsid w:val="00664580"/>
    <w:rsid w:val="00664595"/>
    <w:rsid w:val="0066467B"/>
    <w:rsid w:val="00664773"/>
    <w:rsid w:val="0066478C"/>
    <w:rsid w:val="00664810"/>
    <w:rsid w:val="006649F0"/>
    <w:rsid w:val="00664A74"/>
    <w:rsid w:val="00664BE1"/>
    <w:rsid w:val="00664CD9"/>
    <w:rsid w:val="00664E38"/>
    <w:rsid w:val="00664EEF"/>
    <w:rsid w:val="0066505F"/>
    <w:rsid w:val="00665428"/>
    <w:rsid w:val="00665503"/>
    <w:rsid w:val="006657EA"/>
    <w:rsid w:val="006657F3"/>
    <w:rsid w:val="00665887"/>
    <w:rsid w:val="006659AD"/>
    <w:rsid w:val="00665CD4"/>
    <w:rsid w:val="00665E17"/>
    <w:rsid w:val="00665E3B"/>
    <w:rsid w:val="00665EA3"/>
    <w:rsid w:val="00665EC9"/>
    <w:rsid w:val="006660D5"/>
    <w:rsid w:val="0066623A"/>
    <w:rsid w:val="0066644E"/>
    <w:rsid w:val="00666676"/>
    <w:rsid w:val="0066669F"/>
    <w:rsid w:val="00666869"/>
    <w:rsid w:val="006668A6"/>
    <w:rsid w:val="00666902"/>
    <w:rsid w:val="00666AA7"/>
    <w:rsid w:val="00666ADD"/>
    <w:rsid w:val="00666B65"/>
    <w:rsid w:val="00666B9C"/>
    <w:rsid w:val="00667043"/>
    <w:rsid w:val="00667181"/>
    <w:rsid w:val="006672FE"/>
    <w:rsid w:val="0066734E"/>
    <w:rsid w:val="006673E2"/>
    <w:rsid w:val="00667408"/>
    <w:rsid w:val="0066753D"/>
    <w:rsid w:val="006675B1"/>
    <w:rsid w:val="006676C2"/>
    <w:rsid w:val="006677CD"/>
    <w:rsid w:val="00667901"/>
    <w:rsid w:val="006679AC"/>
    <w:rsid w:val="00667AD1"/>
    <w:rsid w:val="00667B9C"/>
    <w:rsid w:val="00667C15"/>
    <w:rsid w:val="006704CE"/>
    <w:rsid w:val="00670555"/>
    <w:rsid w:val="00670CB3"/>
    <w:rsid w:val="00670D0E"/>
    <w:rsid w:val="00670E76"/>
    <w:rsid w:val="00671005"/>
    <w:rsid w:val="006711B5"/>
    <w:rsid w:val="006714B7"/>
    <w:rsid w:val="00671685"/>
    <w:rsid w:val="0067196F"/>
    <w:rsid w:val="006719FF"/>
    <w:rsid w:val="00671A64"/>
    <w:rsid w:val="00671C0A"/>
    <w:rsid w:val="00671C8D"/>
    <w:rsid w:val="00671CB1"/>
    <w:rsid w:val="00671EAB"/>
    <w:rsid w:val="00671F41"/>
    <w:rsid w:val="0067208D"/>
    <w:rsid w:val="006720C5"/>
    <w:rsid w:val="006722D3"/>
    <w:rsid w:val="00672305"/>
    <w:rsid w:val="00672334"/>
    <w:rsid w:val="00672652"/>
    <w:rsid w:val="00672854"/>
    <w:rsid w:val="00672A03"/>
    <w:rsid w:val="00672A3B"/>
    <w:rsid w:val="00672A75"/>
    <w:rsid w:val="00672E06"/>
    <w:rsid w:val="00672FD9"/>
    <w:rsid w:val="00673310"/>
    <w:rsid w:val="006733D4"/>
    <w:rsid w:val="006734E9"/>
    <w:rsid w:val="006734ED"/>
    <w:rsid w:val="006735F8"/>
    <w:rsid w:val="00673600"/>
    <w:rsid w:val="0067372F"/>
    <w:rsid w:val="00673A40"/>
    <w:rsid w:val="00673BAD"/>
    <w:rsid w:val="00673CF0"/>
    <w:rsid w:val="00673D15"/>
    <w:rsid w:val="00673DA9"/>
    <w:rsid w:val="00673F43"/>
    <w:rsid w:val="0067406B"/>
    <w:rsid w:val="006741E5"/>
    <w:rsid w:val="0067465D"/>
    <w:rsid w:val="0067466B"/>
    <w:rsid w:val="006747BA"/>
    <w:rsid w:val="00674819"/>
    <w:rsid w:val="006748AB"/>
    <w:rsid w:val="00674FEF"/>
    <w:rsid w:val="006752EA"/>
    <w:rsid w:val="00675381"/>
    <w:rsid w:val="00675519"/>
    <w:rsid w:val="00675560"/>
    <w:rsid w:val="006756DA"/>
    <w:rsid w:val="006758E4"/>
    <w:rsid w:val="00675B3A"/>
    <w:rsid w:val="00675B41"/>
    <w:rsid w:val="00675C0F"/>
    <w:rsid w:val="0067611C"/>
    <w:rsid w:val="00676325"/>
    <w:rsid w:val="00676437"/>
    <w:rsid w:val="00676526"/>
    <w:rsid w:val="006765FD"/>
    <w:rsid w:val="006766FB"/>
    <w:rsid w:val="0067677B"/>
    <w:rsid w:val="00676850"/>
    <w:rsid w:val="00676942"/>
    <w:rsid w:val="00676A35"/>
    <w:rsid w:val="00676B02"/>
    <w:rsid w:val="00676B61"/>
    <w:rsid w:val="00676DD0"/>
    <w:rsid w:val="00676E00"/>
    <w:rsid w:val="00676F07"/>
    <w:rsid w:val="0067749E"/>
    <w:rsid w:val="006778C8"/>
    <w:rsid w:val="00677B1B"/>
    <w:rsid w:val="00677CCE"/>
    <w:rsid w:val="00677DD7"/>
    <w:rsid w:val="00677E14"/>
    <w:rsid w:val="0067AA5C"/>
    <w:rsid w:val="00680141"/>
    <w:rsid w:val="006805B8"/>
    <w:rsid w:val="006805BF"/>
    <w:rsid w:val="00680603"/>
    <w:rsid w:val="006806A8"/>
    <w:rsid w:val="00680BC7"/>
    <w:rsid w:val="00680C62"/>
    <w:rsid w:val="00680D87"/>
    <w:rsid w:val="00680DD2"/>
    <w:rsid w:val="00680EAC"/>
    <w:rsid w:val="006811B6"/>
    <w:rsid w:val="006814F9"/>
    <w:rsid w:val="00681540"/>
    <w:rsid w:val="00681681"/>
    <w:rsid w:val="00681738"/>
    <w:rsid w:val="006818EB"/>
    <w:rsid w:val="006818EF"/>
    <w:rsid w:val="00681CCE"/>
    <w:rsid w:val="00681D60"/>
    <w:rsid w:val="00681F39"/>
    <w:rsid w:val="006820D1"/>
    <w:rsid w:val="0068219D"/>
    <w:rsid w:val="006821FD"/>
    <w:rsid w:val="0068252D"/>
    <w:rsid w:val="0068274E"/>
    <w:rsid w:val="0068296E"/>
    <w:rsid w:val="00682980"/>
    <w:rsid w:val="00682A80"/>
    <w:rsid w:val="00682A91"/>
    <w:rsid w:val="00682B4B"/>
    <w:rsid w:val="00682C00"/>
    <w:rsid w:val="00682C1E"/>
    <w:rsid w:val="00683061"/>
    <w:rsid w:val="00683199"/>
    <w:rsid w:val="0068320A"/>
    <w:rsid w:val="00683237"/>
    <w:rsid w:val="00683241"/>
    <w:rsid w:val="006832E8"/>
    <w:rsid w:val="006832EA"/>
    <w:rsid w:val="006833FC"/>
    <w:rsid w:val="006839A8"/>
    <w:rsid w:val="0068401E"/>
    <w:rsid w:val="00684021"/>
    <w:rsid w:val="006841BF"/>
    <w:rsid w:val="00684506"/>
    <w:rsid w:val="00684624"/>
    <w:rsid w:val="00684693"/>
    <w:rsid w:val="006847DA"/>
    <w:rsid w:val="00684AC1"/>
    <w:rsid w:val="00684C0E"/>
    <w:rsid w:val="00684CA2"/>
    <w:rsid w:val="00684D54"/>
    <w:rsid w:val="00684E2A"/>
    <w:rsid w:val="006850B8"/>
    <w:rsid w:val="00685253"/>
    <w:rsid w:val="0068526C"/>
    <w:rsid w:val="006852E6"/>
    <w:rsid w:val="0068531F"/>
    <w:rsid w:val="006853D4"/>
    <w:rsid w:val="0068556D"/>
    <w:rsid w:val="006855B5"/>
    <w:rsid w:val="00685628"/>
    <w:rsid w:val="0068564C"/>
    <w:rsid w:val="00685756"/>
    <w:rsid w:val="006857E5"/>
    <w:rsid w:val="006858CA"/>
    <w:rsid w:val="00685928"/>
    <w:rsid w:val="00685978"/>
    <w:rsid w:val="00685B48"/>
    <w:rsid w:val="00685BB1"/>
    <w:rsid w:val="00685CE5"/>
    <w:rsid w:val="00685F05"/>
    <w:rsid w:val="00685F80"/>
    <w:rsid w:val="00686065"/>
    <w:rsid w:val="00686417"/>
    <w:rsid w:val="0068643E"/>
    <w:rsid w:val="006864E6"/>
    <w:rsid w:val="00686558"/>
    <w:rsid w:val="006865AC"/>
    <w:rsid w:val="00686753"/>
    <w:rsid w:val="00686952"/>
    <w:rsid w:val="00686973"/>
    <w:rsid w:val="00686A1D"/>
    <w:rsid w:val="00686AA4"/>
    <w:rsid w:val="00686AA8"/>
    <w:rsid w:val="00686B81"/>
    <w:rsid w:val="00686C44"/>
    <w:rsid w:val="00686EEF"/>
    <w:rsid w:val="00686FEF"/>
    <w:rsid w:val="006870A1"/>
    <w:rsid w:val="006872CD"/>
    <w:rsid w:val="00687442"/>
    <w:rsid w:val="00687497"/>
    <w:rsid w:val="0068787C"/>
    <w:rsid w:val="00687926"/>
    <w:rsid w:val="0068797B"/>
    <w:rsid w:val="00687A57"/>
    <w:rsid w:val="00687C7B"/>
    <w:rsid w:val="00687E99"/>
    <w:rsid w:val="00687EEB"/>
    <w:rsid w:val="00688CE4"/>
    <w:rsid w:val="00690150"/>
    <w:rsid w:val="00690583"/>
    <w:rsid w:val="00690679"/>
    <w:rsid w:val="006906BD"/>
    <w:rsid w:val="006907A5"/>
    <w:rsid w:val="0069095B"/>
    <w:rsid w:val="00690A70"/>
    <w:rsid w:val="00690A75"/>
    <w:rsid w:val="00690AA4"/>
    <w:rsid w:val="00690E06"/>
    <w:rsid w:val="00691022"/>
    <w:rsid w:val="006912A9"/>
    <w:rsid w:val="00691500"/>
    <w:rsid w:val="006918B9"/>
    <w:rsid w:val="006918F8"/>
    <w:rsid w:val="00691907"/>
    <w:rsid w:val="006919D1"/>
    <w:rsid w:val="006919FB"/>
    <w:rsid w:val="00691A51"/>
    <w:rsid w:val="00691B88"/>
    <w:rsid w:val="00691DB7"/>
    <w:rsid w:val="0069242A"/>
    <w:rsid w:val="006924DA"/>
    <w:rsid w:val="00692520"/>
    <w:rsid w:val="006927B4"/>
    <w:rsid w:val="00692919"/>
    <w:rsid w:val="0069297E"/>
    <w:rsid w:val="00692A55"/>
    <w:rsid w:val="00692F52"/>
    <w:rsid w:val="00692FB5"/>
    <w:rsid w:val="006932B3"/>
    <w:rsid w:val="0069355D"/>
    <w:rsid w:val="00693581"/>
    <w:rsid w:val="006935D1"/>
    <w:rsid w:val="00693731"/>
    <w:rsid w:val="006937CF"/>
    <w:rsid w:val="0069387B"/>
    <w:rsid w:val="006939D6"/>
    <w:rsid w:val="00693E9F"/>
    <w:rsid w:val="00693EF2"/>
    <w:rsid w:val="0069419E"/>
    <w:rsid w:val="00694290"/>
    <w:rsid w:val="00694558"/>
    <w:rsid w:val="0069466C"/>
    <w:rsid w:val="006947D6"/>
    <w:rsid w:val="00694AAF"/>
    <w:rsid w:val="00694ACD"/>
    <w:rsid w:val="00694ADC"/>
    <w:rsid w:val="00694BF4"/>
    <w:rsid w:val="00694D21"/>
    <w:rsid w:val="0069518F"/>
    <w:rsid w:val="0069530B"/>
    <w:rsid w:val="006954CA"/>
    <w:rsid w:val="00695543"/>
    <w:rsid w:val="00695568"/>
    <w:rsid w:val="006955C0"/>
    <w:rsid w:val="006956F6"/>
    <w:rsid w:val="00695725"/>
    <w:rsid w:val="0069576A"/>
    <w:rsid w:val="00695A71"/>
    <w:rsid w:val="00695E7B"/>
    <w:rsid w:val="00695F7C"/>
    <w:rsid w:val="00696141"/>
    <w:rsid w:val="0069649A"/>
    <w:rsid w:val="0069652F"/>
    <w:rsid w:val="00696565"/>
    <w:rsid w:val="0069685C"/>
    <w:rsid w:val="006969C0"/>
    <w:rsid w:val="00696A9D"/>
    <w:rsid w:val="00696AA5"/>
    <w:rsid w:val="00696B48"/>
    <w:rsid w:val="00696C46"/>
    <w:rsid w:val="00696CD9"/>
    <w:rsid w:val="00696D89"/>
    <w:rsid w:val="00697258"/>
    <w:rsid w:val="006973B5"/>
    <w:rsid w:val="006974C6"/>
    <w:rsid w:val="0069760B"/>
    <w:rsid w:val="006978A3"/>
    <w:rsid w:val="00697B37"/>
    <w:rsid w:val="00697C79"/>
    <w:rsid w:val="00697E13"/>
    <w:rsid w:val="00697E25"/>
    <w:rsid w:val="00697FBC"/>
    <w:rsid w:val="00697FD7"/>
    <w:rsid w:val="006A0256"/>
    <w:rsid w:val="006A03BA"/>
    <w:rsid w:val="006A03DD"/>
    <w:rsid w:val="006A04C2"/>
    <w:rsid w:val="006A062F"/>
    <w:rsid w:val="006A0A9F"/>
    <w:rsid w:val="006A0DAD"/>
    <w:rsid w:val="006A10AA"/>
    <w:rsid w:val="006A1113"/>
    <w:rsid w:val="006A1166"/>
    <w:rsid w:val="006A1353"/>
    <w:rsid w:val="006A149F"/>
    <w:rsid w:val="006A1976"/>
    <w:rsid w:val="006A19CD"/>
    <w:rsid w:val="006A1A06"/>
    <w:rsid w:val="006A1A15"/>
    <w:rsid w:val="006A1CF4"/>
    <w:rsid w:val="006A2052"/>
    <w:rsid w:val="006A215E"/>
    <w:rsid w:val="006A2181"/>
    <w:rsid w:val="006A21DA"/>
    <w:rsid w:val="006A2289"/>
    <w:rsid w:val="006A23E3"/>
    <w:rsid w:val="006A242C"/>
    <w:rsid w:val="006A2710"/>
    <w:rsid w:val="006A275C"/>
    <w:rsid w:val="006A293E"/>
    <w:rsid w:val="006A295A"/>
    <w:rsid w:val="006A2AF8"/>
    <w:rsid w:val="006A2BE5"/>
    <w:rsid w:val="006A2CD2"/>
    <w:rsid w:val="006A2E16"/>
    <w:rsid w:val="006A2E83"/>
    <w:rsid w:val="006A2E96"/>
    <w:rsid w:val="006A2FC2"/>
    <w:rsid w:val="006A30B7"/>
    <w:rsid w:val="006A313A"/>
    <w:rsid w:val="006A31CD"/>
    <w:rsid w:val="006A32E9"/>
    <w:rsid w:val="006A338A"/>
    <w:rsid w:val="006A3407"/>
    <w:rsid w:val="006A3589"/>
    <w:rsid w:val="006A38E5"/>
    <w:rsid w:val="006A3C7A"/>
    <w:rsid w:val="006A3D3F"/>
    <w:rsid w:val="006A4037"/>
    <w:rsid w:val="006A42B3"/>
    <w:rsid w:val="006A4418"/>
    <w:rsid w:val="006A4446"/>
    <w:rsid w:val="006A463F"/>
    <w:rsid w:val="006A47D4"/>
    <w:rsid w:val="006A48E5"/>
    <w:rsid w:val="006A4A2B"/>
    <w:rsid w:val="006A4A3C"/>
    <w:rsid w:val="006A4B83"/>
    <w:rsid w:val="006A4D7E"/>
    <w:rsid w:val="006A4E69"/>
    <w:rsid w:val="006A4E81"/>
    <w:rsid w:val="006A514B"/>
    <w:rsid w:val="006A52EB"/>
    <w:rsid w:val="006A5365"/>
    <w:rsid w:val="006A5655"/>
    <w:rsid w:val="006A589E"/>
    <w:rsid w:val="006A58CF"/>
    <w:rsid w:val="006A590F"/>
    <w:rsid w:val="006A5924"/>
    <w:rsid w:val="006A5950"/>
    <w:rsid w:val="006A5AB1"/>
    <w:rsid w:val="006A5C0A"/>
    <w:rsid w:val="006A5E83"/>
    <w:rsid w:val="006A631E"/>
    <w:rsid w:val="006A6748"/>
    <w:rsid w:val="006A69C5"/>
    <w:rsid w:val="006A6B3F"/>
    <w:rsid w:val="006A6B8F"/>
    <w:rsid w:val="006A6C56"/>
    <w:rsid w:val="006A6FCC"/>
    <w:rsid w:val="006A6FDF"/>
    <w:rsid w:val="006A6FFB"/>
    <w:rsid w:val="006A7191"/>
    <w:rsid w:val="006A768D"/>
    <w:rsid w:val="006A796D"/>
    <w:rsid w:val="006A79B6"/>
    <w:rsid w:val="006A7A7A"/>
    <w:rsid w:val="006A7A90"/>
    <w:rsid w:val="006A7A99"/>
    <w:rsid w:val="006A7C35"/>
    <w:rsid w:val="006A7FC4"/>
    <w:rsid w:val="006AE90E"/>
    <w:rsid w:val="006B04A2"/>
    <w:rsid w:val="006B050A"/>
    <w:rsid w:val="006B06CD"/>
    <w:rsid w:val="006B06EA"/>
    <w:rsid w:val="006B0729"/>
    <w:rsid w:val="006B09B5"/>
    <w:rsid w:val="006B0A36"/>
    <w:rsid w:val="006B0A80"/>
    <w:rsid w:val="006B0A87"/>
    <w:rsid w:val="006B0B8B"/>
    <w:rsid w:val="006B0D44"/>
    <w:rsid w:val="006B0D9A"/>
    <w:rsid w:val="006B0DB5"/>
    <w:rsid w:val="006B0E0C"/>
    <w:rsid w:val="006B0E43"/>
    <w:rsid w:val="006B0EB3"/>
    <w:rsid w:val="006B111F"/>
    <w:rsid w:val="006B117E"/>
    <w:rsid w:val="006B11B0"/>
    <w:rsid w:val="006B11D0"/>
    <w:rsid w:val="006B13C6"/>
    <w:rsid w:val="006B13CD"/>
    <w:rsid w:val="006B1503"/>
    <w:rsid w:val="006B150C"/>
    <w:rsid w:val="006B150E"/>
    <w:rsid w:val="006B1541"/>
    <w:rsid w:val="006B161E"/>
    <w:rsid w:val="006B1761"/>
    <w:rsid w:val="006B1ADF"/>
    <w:rsid w:val="006B1B51"/>
    <w:rsid w:val="006B1D7E"/>
    <w:rsid w:val="006B1E62"/>
    <w:rsid w:val="006B1FF1"/>
    <w:rsid w:val="006B2221"/>
    <w:rsid w:val="006B226B"/>
    <w:rsid w:val="006B2524"/>
    <w:rsid w:val="006B27FA"/>
    <w:rsid w:val="006B28A2"/>
    <w:rsid w:val="006B2BEA"/>
    <w:rsid w:val="006B2E92"/>
    <w:rsid w:val="006B2EBB"/>
    <w:rsid w:val="006B2EDA"/>
    <w:rsid w:val="006B2EFD"/>
    <w:rsid w:val="006B2FDC"/>
    <w:rsid w:val="006B31BE"/>
    <w:rsid w:val="006B31D2"/>
    <w:rsid w:val="006B328C"/>
    <w:rsid w:val="006B33A2"/>
    <w:rsid w:val="006B33AA"/>
    <w:rsid w:val="006B34EE"/>
    <w:rsid w:val="006B35AC"/>
    <w:rsid w:val="006B376B"/>
    <w:rsid w:val="006B3776"/>
    <w:rsid w:val="006B384E"/>
    <w:rsid w:val="006B38A7"/>
    <w:rsid w:val="006B38CD"/>
    <w:rsid w:val="006B39BB"/>
    <w:rsid w:val="006B3A48"/>
    <w:rsid w:val="006B3B06"/>
    <w:rsid w:val="006B3BF2"/>
    <w:rsid w:val="006B3C98"/>
    <w:rsid w:val="006B3D63"/>
    <w:rsid w:val="006B3E2D"/>
    <w:rsid w:val="006B3EC4"/>
    <w:rsid w:val="006B3F1F"/>
    <w:rsid w:val="006B418F"/>
    <w:rsid w:val="006B4250"/>
    <w:rsid w:val="006B4369"/>
    <w:rsid w:val="006B4561"/>
    <w:rsid w:val="006B45BD"/>
    <w:rsid w:val="006B4786"/>
    <w:rsid w:val="006B48FC"/>
    <w:rsid w:val="006B4A58"/>
    <w:rsid w:val="006B4C81"/>
    <w:rsid w:val="006B4C8E"/>
    <w:rsid w:val="006B4F22"/>
    <w:rsid w:val="006B4F33"/>
    <w:rsid w:val="006B4FB2"/>
    <w:rsid w:val="006B526D"/>
    <w:rsid w:val="006B55EA"/>
    <w:rsid w:val="006B57C1"/>
    <w:rsid w:val="006B5809"/>
    <w:rsid w:val="006B583F"/>
    <w:rsid w:val="006B58CB"/>
    <w:rsid w:val="006B59CF"/>
    <w:rsid w:val="006B5BBA"/>
    <w:rsid w:val="006B5D09"/>
    <w:rsid w:val="006B5D33"/>
    <w:rsid w:val="006B5EED"/>
    <w:rsid w:val="006B5F83"/>
    <w:rsid w:val="006B6052"/>
    <w:rsid w:val="006B616A"/>
    <w:rsid w:val="006B6375"/>
    <w:rsid w:val="006B643B"/>
    <w:rsid w:val="006B644B"/>
    <w:rsid w:val="006B655B"/>
    <w:rsid w:val="006B66BC"/>
    <w:rsid w:val="006B697E"/>
    <w:rsid w:val="006B6989"/>
    <w:rsid w:val="006B6AE3"/>
    <w:rsid w:val="006B6CDD"/>
    <w:rsid w:val="006B6E12"/>
    <w:rsid w:val="006B6E2B"/>
    <w:rsid w:val="006B6ED1"/>
    <w:rsid w:val="006B6ED3"/>
    <w:rsid w:val="006B7215"/>
    <w:rsid w:val="006B7233"/>
    <w:rsid w:val="006B72A6"/>
    <w:rsid w:val="006B751B"/>
    <w:rsid w:val="006B75E4"/>
    <w:rsid w:val="006B7644"/>
    <w:rsid w:val="006B7692"/>
    <w:rsid w:val="006B78A9"/>
    <w:rsid w:val="006B7BEC"/>
    <w:rsid w:val="006B7C39"/>
    <w:rsid w:val="006B7FEE"/>
    <w:rsid w:val="006C052D"/>
    <w:rsid w:val="006C0562"/>
    <w:rsid w:val="006C05C3"/>
    <w:rsid w:val="006C06E3"/>
    <w:rsid w:val="006C0A7B"/>
    <w:rsid w:val="006C0AA7"/>
    <w:rsid w:val="006C0B60"/>
    <w:rsid w:val="006C0B6A"/>
    <w:rsid w:val="006C0C1A"/>
    <w:rsid w:val="006C0E91"/>
    <w:rsid w:val="006C0EE0"/>
    <w:rsid w:val="006C0FCA"/>
    <w:rsid w:val="006C10AC"/>
    <w:rsid w:val="006C115B"/>
    <w:rsid w:val="006C1582"/>
    <w:rsid w:val="006C1589"/>
    <w:rsid w:val="006C178A"/>
    <w:rsid w:val="006C19A1"/>
    <w:rsid w:val="006C1AF1"/>
    <w:rsid w:val="006C1C0C"/>
    <w:rsid w:val="006C1C6F"/>
    <w:rsid w:val="006C1CE0"/>
    <w:rsid w:val="006C1D67"/>
    <w:rsid w:val="006C1DFD"/>
    <w:rsid w:val="006C1E18"/>
    <w:rsid w:val="006C22D3"/>
    <w:rsid w:val="006C23C7"/>
    <w:rsid w:val="006C24A3"/>
    <w:rsid w:val="006C253E"/>
    <w:rsid w:val="006C258A"/>
    <w:rsid w:val="006C2740"/>
    <w:rsid w:val="006C2774"/>
    <w:rsid w:val="006C2851"/>
    <w:rsid w:val="006C287E"/>
    <w:rsid w:val="006C28EF"/>
    <w:rsid w:val="006C290A"/>
    <w:rsid w:val="006C2A24"/>
    <w:rsid w:val="006C2CEE"/>
    <w:rsid w:val="006C2E1B"/>
    <w:rsid w:val="006C2ED8"/>
    <w:rsid w:val="006C307C"/>
    <w:rsid w:val="006C3377"/>
    <w:rsid w:val="006C33F0"/>
    <w:rsid w:val="006C3766"/>
    <w:rsid w:val="006C3822"/>
    <w:rsid w:val="006C392F"/>
    <w:rsid w:val="006C3962"/>
    <w:rsid w:val="006C3BDC"/>
    <w:rsid w:val="006C3C8C"/>
    <w:rsid w:val="006C3CA1"/>
    <w:rsid w:val="006C3CB7"/>
    <w:rsid w:val="006C3CD9"/>
    <w:rsid w:val="006C3F19"/>
    <w:rsid w:val="006C3F1C"/>
    <w:rsid w:val="006C4150"/>
    <w:rsid w:val="006C4740"/>
    <w:rsid w:val="006C480A"/>
    <w:rsid w:val="006C4C43"/>
    <w:rsid w:val="006C4E64"/>
    <w:rsid w:val="006C4F0A"/>
    <w:rsid w:val="006C4FAF"/>
    <w:rsid w:val="006C4FBE"/>
    <w:rsid w:val="006C4FED"/>
    <w:rsid w:val="006C50C1"/>
    <w:rsid w:val="006C515A"/>
    <w:rsid w:val="006C52FE"/>
    <w:rsid w:val="006C5555"/>
    <w:rsid w:val="006C55BF"/>
    <w:rsid w:val="006C5721"/>
    <w:rsid w:val="006C5925"/>
    <w:rsid w:val="006C5A23"/>
    <w:rsid w:val="006C5A62"/>
    <w:rsid w:val="006C5DC3"/>
    <w:rsid w:val="006C5EEC"/>
    <w:rsid w:val="006C5F87"/>
    <w:rsid w:val="006C5FAD"/>
    <w:rsid w:val="006C648D"/>
    <w:rsid w:val="006C659E"/>
    <w:rsid w:val="006C67B0"/>
    <w:rsid w:val="006C6B8A"/>
    <w:rsid w:val="006C6D4E"/>
    <w:rsid w:val="006C6E30"/>
    <w:rsid w:val="006C6E7A"/>
    <w:rsid w:val="006C6F68"/>
    <w:rsid w:val="006C7071"/>
    <w:rsid w:val="006C739E"/>
    <w:rsid w:val="006C74BA"/>
    <w:rsid w:val="006C75BC"/>
    <w:rsid w:val="006C7803"/>
    <w:rsid w:val="006C79C2"/>
    <w:rsid w:val="006C7AD7"/>
    <w:rsid w:val="006C7BA7"/>
    <w:rsid w:val="006C7C7B"/>
    <w:rsid w:val="006C7CF4"/>
    <w:rsid w:val="006C7E98"/>
    <w:rsid w:val="006C7F0A"/>
    <w:rsid w:val="006C7FE8"/>
    <w:rsid w:val="006D0057"/>
    <w:rsid w:val="006D00D3"/>
    <w:rsid w:val="006D01A4"/>
    <w:rsid w:val="006D020E"/>
    <w:rsid w:val="006D027F"/>
    <w:rsid w:val="006D0324"/>
    <w:rsid w:val="006D05DD"/>
    <w:rsid w:val="006D064A"/>
    <w:rsid w:val="006D0824"/>
    <w:rsid w:val="006D0A50"/>
    <w:rsid w:val="006D0A7F"/>
    <w:rsid w:val="006D0AF9"/>
    <w:rsid w:val="006D0B3F"/>
    <w:rsid w:val="006D0C66"/>
    <w:rsid w:val="006D121E"/>
    <w:rsid w:val="006D1238"/>
    <w:rsid w:val="006D1290"/>
    <w:rsid w:val="006D1533"/>
    <w:rsid w:val="006D1599"/>
    <w:rsid w:val="006D16AC"/>
    <w:rsid w:val="006D1733"/>
    <w:rsid w:val="006D17CC"/>
    <w:rsid w:val="006D1A43"/>
    <w:rsid w:val="006D1A7B"/>
    <w:rsid w:val="006D1A92"/>
    <w:rsid w:val="006D1AFD"/>
    <w:rsid w:val="006D1F9E"/>
    <w:rsid w:val="006D2041"/>
    <w:rsid w:val="006D20FF"/>
    <w:rsid w:val="006D21B3"/>
    <w:rsid w:val="006D22CF"/>
    <w:rsid w:val="006D2432"/>
    <w:rsid w:val="006D245D"/>
    <w:rsid w:val="006D24AA"/>
    <w:rsid w:val="006D25EC"/>
    <w:rsid w:val="006D27FF"/>
    <w:rsid w:val="006D2844"/>
    <w:rsid w:val="006D286C"/>
    <w:rsid w:val="006D2A4E"/>
    <w:rsid w:val="006D2A65"/>
    <w:rsid w:val="006D2DC3"/>
    <w:rsid w:val="006D2EDE"/>
    <w:rsid w:val="006D2F0E"/>
    <w:rsid w:val="006D2FC1"/>
    <w:rsid w:val="006D3284"/>
    <w:rsid w:val="006D334A"/>
    <w:rsid w:val="006D367A"/>
    <w:rsid w:val="006D3727"/>
    <w:rsid w:val="006D3889"/>
    <w:rsid w:val="006D38EC"/>
    <w:rsid w:val="006D3967"/>
    <w:rsid w:val="006D3AC9"/>
    <w:rsid w:val="006D3B94"/>
    <w:rsid w:val="006D3C29"/>
    <w:rsid w:val="006D3C2E"/>
    <w:rsid w:val="006D3D3E"/>
    <w:rsid w:val="006D3D4E"/>
    <w:rsid w:val="006D3D90"/>
    <w:rsid w:val="006D3E09"/>
    <w:rsid w:val="006D3F37"/>
    <w:rsid w:val="006D40E7"/>
    <w:rsid w:val="006D4754"/>
    <w:rsid w:val="006D4761"/>
    <w:rsid w:val="006D477C"/>
    <w:rsid w:val="006D479F"/>
    <w:rsid w:val="006D4857"/>
    <w:rsid w:val="006D4905"/>
    <w:rsid w:val="006D4A74"/>
    <w:rsid w:val="006D4B4B"/>
    <w:rsid w:val="006D4D54"/>
    <w:rsid w:val="006D4D9B"/>
    <w:rsid w:val="006D4F83"/>
    <w:rsid w:val="006D536B"/>
    <w:rsid w:val="006D546B"/>
    <w:rsid w:val="006D54AB"/>
    <w:rsid w:val="006D550A"/>
    <w:rsid w:val="006D55FB"/>
    <w:rsid w:val="006D5A53"/>
    <w:rsid w:val="006D5C04"/>
    <w:rsid w:val="006D5DB5"/>
    <w:rsid w:val="006D5E4B"/>
    <w:rsid w:val="006D5E50"/>
    <w:rsid w:val="006D5F15"/>
    <w:rsid w:val="006D5F8E"/>
    <w:rsid w:val="006D5FBB"/>
    <w:rsid w:val="006D60B5"/>
    <w:rsid w:val="006D614A"/>
    <w:rsid w:val="006D64BD"/>
    <w:rsid w:val="006D65D0"/>
    <w:rsid w:val="006D66A3"/>
    <w:rsid w:val="006D6730"/>
    <w:rsid w:val="006D673B"/>
    <w:rsid w:val="006D679C"/>
    <w:rsid w:val="006D685C"/>
    <w:rsid w:val="006D68F1"/>
    <w:rsid w:val="006D69E7"/>
    <w:rsid w:val="006D6A3C"/>
    <w:rsid w:val="006D6E99"/>
    <w:rsid w:val="006D71D0"/>
    <w:rsid w:val="006D722D"/>
    <w:rsid w:val="006D72B5"/>
    <w:rsid w:val="006D730C"/>
    <w:rsid w:val="006D7397"/>
    <w:rsid w:val="006D753A"/>
    <w:rsid w:val="006D75D7"/>
    <w:rsid w:val="006D773E"/>
    <w:rsid w:val="006D77D1"/>
    <w:rsid w:val="006D78CF"/>
    <w:rsid w:val="006D7CA7"/>
    <w:rsid w:val="006D7F81"/>
    <w:rsid w:val="006E04BA"/>
    <w:rsid w:val="006E05E2"/>
    <w:rsid w:val="006E061B"/>
    <w:rsid w:val="006E0908"/>
    <w:rsid w:val="006E0E08"/>
    <w:rsid w:val="006E0E0D"/>
    <w:rsid w:val="006E0E25"/>
    <w:rsid w:val="006E0E60"/>
    <w:rsid w:val="006E0E90"/>
    <w:rsid w:val="006E1060"/>
    <w:rsid w:val="006E1098"/>
    <w:rsid w:val="006E1160"/>
    <w:rsid w:val="006E1424"/>
    <w:rsid w:val="006E15DC"/>
    <w:rsid w:val="006E17C5"/>
    <w:rsid w:val="006E187A"/>
    <w:rsid w:val="006E192B"/>
    <w:rsid w:val="006E19F3"/>
    <w:rsid w:val="006E1DEB"/>
    <w:rsid w:val="006E1FB0"/>
    <w:rsid w:val="006E2033"/>
    <w:rsid w:val="006E2137"/>
    <w:rsid w:val="006E2294"/>
    <w:rsid w:val="006E2327"/>
    <w:rsid w:val="006E260A"/>
    <w:rsid w:val="006E26A2"/>
    <w:rsid w:val="006E2704"/>
    <w:rsid w:val="006E27AA"/>
    <w:rsid w:val="006E286E"/>
    <w:rsid w:val="006E28F1"/>
    <w:rsid w:val="006E2905"/>
    <w:rsid w:val="006E2D07"/>
    <w:rsid w:val="006E2DDB"/>
    <w:rsid w:val="006E2E3C"/>
    <w:rsid w:val="006E30D3"/>
    <w:rsid w:val="006E31D5"/>
    <w:rsid w:val="006E3245"/>
    <w:rsid w:val="006E330B"/>
    <w:rsid w:val="006E331B"/>
    <w:rsid w:val="006E335A"/>
    <w:rsid w:val="006E346C"/>
    <w:rsid w:val="006E361A"/>
    <w:rsid w:val="006E366C"/>
    <w:rsid w:val="006E3740"/>
    <w:rsid w:val="006E38C2"/>
    <w:rsid w:val="006E3A19"/>
    <w:rsid w:val="006E3A60"/>
    <w:rsid w:val="006E3BEB"/>
    <w:rsid w:val="006E3D98"/>
    <w:rsid w:val="006E3E06"/>
    <w:rsid w:val="006E3E98"/>
    <w:rsid w:val="006E3F54"/>
    <w:rsid w:val="006E3F74"/>
    <w:rsid w:val="006E419B"/>
    <w:rsid w:val="006E41F5"/>
    <w:rsid w:val="006E439B"/>
    <w:rsid w:val="006E4633"/>
    <w:rsid w:val="006E466E"/>
    <w:rsid w:val="006E467A"/>
    <w:rsid w:val="006E473E"/>
    <w:rsid w:val="006E47B4"/>
    <w:rsid w:val="006E4B3D"/>
    <w:rsid w:val="006E4BD5"/>
    <w:rsid w:val="006E4D66"/>
    <w:rsid w:val="006E4DA3"/>
    <w:rsid w:val="006E4EEE"/>
    <w:rsid w:val="006E5170"/>
    <w:rsid w:val="006E5306"/>
    <w:rsid w:val="006E5358"/>
    <w:rsid w:val="006E539A"/>
    <w:rsid w:val="006E56A3"/>
    <w:rsid w:val="006E56C9"/>
    <w:rsid w:val="006E581A"/>
    <w:rsid w:val="006E5899"/>
    <w:rsid w:val="006E59C6"/>
    <w:rsid w:val="006E5AEA"/>
    <w:rsid w:val="006E6095"/>
    <w:rsid w:val="006E6127"/>
    <w:rsid w:val="006E617F"/>
    <w:rsid w:val="006E6444"/>
    <w:rsid w:val="006E68BA"/>
    <w:rsid w:val="006E68F4"/>
    <w:rsid w:val="006E6944"/>
    <w:rsid w:val="006E6968"/>
    <w:rsid w:val="006E6C65"/>
    <w:rsid w:val="006E6D93"/>
    <w:rsid w:val="006E6DEA"/>
    <w:rsid w:val="006E6E06"/>
    <w:rsid w:val="006E6F0A"/>
    <w:rsid w:val="006E6FBF"/>
    <w:rsid w:val="006E6FFB"/>
    <w:rsid w:val="006E708F"/>
    <w:rsid w:val="006E72CC"/>
    <w:rsid w:val="006E72EF"/>
    <w:rsid w:val="006E74D7"/>
    <w:rsid w:val="006E7689"/>
    <w:rsid w:val="006E7B4D"/>
    <w:rsid w:val="006E7B54"/>
    <w:rsid w:val="006E7B5E"/>
    <w:rsid w:val="006E7D32"/>
    <w:rsid w:val="006E7D80"/>
    <w:rsid w:val="006E7D99"/>
    <w:rsid w:val="006E7E76"/>
    <w:rsid w:val="006F00C9"/>
    <w:rsid w:val="006F0100"/>
    <w:rsid w:val="006F0154"/>
    <w:rsid w:val="006F0193"/>
    <w:rsid w:val="006F019D"/>
    <w:rsid w:val="006F01AF"/>
    <w:rsid w:val="006F01C7"/>
    <w:rsid w:val="006F045D"/>
    <w:rsid w:val="006F05DB"/>
    <w:rsid w:val="006F06E2"/>
    <w:rsid w:val="006F0719"/>
    <w:rsid w:val="006F0983"/>
    <w:rsid w:val="006F09FB"/>
    <w:rsid w:val="006F0D6C"/>
    <w:rsid w:val="006F0EBA"/>
    <w:rsid w:val="006F0FA9"/>
    <w:rsid w:val="006F10EF"/>
    <w:rsid w:val="006F1482"/>
    <w:rsid w:val="006F1617"/>
    <w:rsid w:val="006F16AA"/>
    <w:rsid w:val="006F16BF"/>
    <w:rsid w:val="006F1767"/>
    <w:rsid w:val="006F185B"/>
    <w:rsid w:val="006F195D"/>
    <w:rsid w:val="006F1964"/>
    <w:rsid w:val="006F1965"/>
    <w:rsid w:val="006F1A20"/>
    <w:rsid w:val="006F1AE8"/>
    <w:rsid w:val="006F1C66"/>
    <w:rsid w:val="006F1C67"/>
    <w:rsid w:val="006F1CC7"/>
    <w:rsid w:val="006F1D2E"/>
    <w:rsid w:val="006F1F45"/>
    <w:rsid w:val="006F1FC8"/>
    <w:rsid w:val="006F23BD"/>
    <w:rsid w:val="006F243C"/>
    <w:rsid w:val="006F26A0"/>
    <w:rsid w:val="006F26C2"/>
    <w:rsid w:val="006F2743"/>
    <w:rsid w:val="006F28CB"/>
    <w:rsid w:val="006F2971"/>
    <w:rsid w:val="006F2A27"/>
    <w:rsid w:val="006F2C50"/>
    <w:rsid w:val="006F2C96"/>
    <w:rsid w:val="006F2E74"/>
    <w:rsid w:val="006F3129"/>
    <w:rsid w:val="006F3220"/>
    <w:rsid w:val="006F3321"/>
    <w:rsid w:val="006F33C2"/>
    <w:rsid w:val="006F34CD"/>
    <w:rsid w:val="006F35A7"/>
    <w:rsid w:val="006F35E3"/>
    <w:rsid w:val="006F36E2"/>
    <w:rsid w:val="006F370F"/>
    <w:rsid w:val="006F3732"/>
    <w:rsid w:val="006F3745"/>
    <w:rsid w:val="006F3833"/>
    <w:rsid w:val="006F3843"/>
    <w:rsid w:val="006F38CB"/>
    <w:rsid w:val="006F3BB2"/>
    <w:rsid w:val="006F3D1F"/>
    <w:rsid w:val="006F3DE9"/>
    <w:rsid w:val="006F3E85"/>
    <w:rsid w:val="006F3F30"/>
    <w:rsid w:val="006F3F7B"/>
    <w:rsid w:val="006F422E"/>
    <w:rsid w:val="006F4276"/>
    <w:rsid w:val="006F42AA"/>
    <w:rsid w:val="006F42F8"/>
    <w:rsid w:val="006F4401"/>
    <w:rsid w:val="006F4419"/>
    <w:rsid w:val="006F45F9"/>
    <w:rsid w:val="006F46D6"/>
    <w:rsid w:val="006F46F0"/>
    <w:rsid w:val="006F4804"/>
    <w:rsid w:val="006F4945"/>
    <w:rsid w:val="006F498B"/>
    <w:rsid w:val="006F4AF8"/>
    <w:rsid w:val="006F4B20"/>
    <w:rsid w:val="006F4C0A"/>
    <w:rsid w:val="006F4C25"/>
    <w:rsid w:val="006F4CA2"/>
    <w:rsid w:val="006F4CE2"/>
    <w:rsid w:val="006F4D1C"/>
    <w:rsid w:val="006F4DD4"/>
    <w:rsid w:val="006F4E20"/>
    <w:rsid w:val="006F4E3B"/>
    <w:rsid w:val="006F4EE0"/>
    <w:rsid w:val="006F4F47"/>
    <w:rsid w:val="006F50A4"/>
    <w:rsid w:val="006F51EE"/>
    <w:rsid w:val="006F5204"/>
    <w:rsid w:val="006F55DD"/>
    <w:rsid w:val="006F59C2"/>
    <w:rsid w:val="006F5A25"/>
    <w:rsid w:val="006F5B75"/>
    <w:rsid w:val="006F5CBE"/>
    <w:rsid w:val="006F5F08"/>
    <w:rsid w:val="006F5FB3"/>
    <w:rsid w:val="006F608C"/>
    <w:rsid w:val="006F60C7"/>
    <w:rsid w:val="006F61D5"/>
    <w:rsid w:val="006F6264"/>
    <w:rsid w:val="006F633B"/>
    <w:rsid w:val="006F64B1"/>
    <w:rsid w:val="006F667D"/>
    <w:rsid w:val="006F677C"/>
    <w:rsid w:val="006F6836"/>
    <w:rsid w:val="006F6BDC"/>
    <w:rsid w:val="006F6C75"/>
    <w:rsid w:val="006F6D36"/>
    <w:rsid w:val="006F6E3F"/>
    <w:rsid w:val="006F713E"/>
    <w:rsid w:val="006F71B3"/>
    <w:rsid w:val="006F772B"/>
    <w:rsid w:val="006F7732"/>
    <w:rsid w:val="006F7866"/>
    <w:rsid w:val="006F7985"/>
    <w:rsid w:val="006F7AC2"/>
    <w:rsid w:val="006F7B2D"/>
    <w:rsid w:val="006F7B67"/>
    <w:rsid w:val="006F7CC9"/>
    <w:rsid w:val="006F7EA9"/>
    <w:rsid w:val="006F7FC6"/>
    <w:rsid w:val="007000C3"/>
    <w:rsid w:val="007004DD"/>
    <w:rsid w:val="0070055E"/>
    <w:rsid w:val="007005D3"/>
    <w:rsid w:val="0070074B"/>
    <w:rsid w:val="007008A0"/>
    <w:rsid w:val="0070098D"/>
    <w:rsid w:val="00700AA4"/>
    <w:rsid w:val="00700B89"/>
    <w:rsid w:val="00700F47"/>
    <w:rsid w:val="00700FD9"/>
    <w:rsid w:val="0070100D"/>
    <w:rsid w:val="007010A1"/>
    <w:rsid w:val="0070115C"/>
    <w:rsid w:val="00701342"/>
    <w:rsid w:val="007015E1"/>
    <w:rsid w:val="007016BF"/>
    <w:rsid w:val="007016CD"/>
    <w:rsid w:val="00701714"/>
    <w:rsid w:val="007019EC"/>
    <w:rsid w:val="00701E2D"/>
    <w:rsid w:val="00702279"/>
    <w:rsid w:val="0070227B"/>
    <w:rsid w:val="0070236B"/>
    <w:rsid w:val="007023BB"/>
    <w:rsid w:val="007024BB"/>
    <w:rsid w:val="007026E9"/>
    <w:rsid w:val="00702975"/>
    <w:rsid w:val="00702A11"/>
    <w:rsid w:val="00702ACF"/>
    <w:rsid w:val="00702B9C"/>
    <w:rsid w:val="00702D83"/>
    <w:rsid w:val="00702D9C"/>
    <w:rsid w:val="00702D9D"/>
    <w:rsid w:val="00702E0F"/>
    <w:rsid w:val="00702F86"/>
    <w:rsid w:val="0070340B"/>
    <w:rsid w:val="0070349E"/>
    <w:rsid w:val="007035C3"/>
    <w:rsid w:val="0070387F"/>
    <w:rsid w:val="0070392B"/>
    <w:rsid w:val="007039E4"/>
    <w:rsid w:val="00703B1E"/>
    <w:rsid w:val="00703D38"/>
    <w:rsid w:val="00703D5C"/>
    <w:rsid w:val="00703EC5"/>
    <w:rsid w:val="00703FEA"/>
    <w:rsid w:val="007040F9"/>
    <w:rsid w:val="00704268"/>
    <w:rsid w:val="007042F0"/>
    <w:rsid w:val="007043A8"/>
    <w:rsid w:val="00704410"/>
    <w:rsid w:val="00704535"/>
    <w:rsid w:val="00704593"/>
    <w:rsid w:val="007045CF"/>
    <w:rsid w:val="007046E6"/>
    <w:rsid w:val="00704789"/>
    <w:rsid w:val="0070497E"/>
    <w:rsid w:val="00704AE1"/>
    <w:rsid w:val="00704AED"/>
    <w:rsid w:val="00704B14"/>
    <w:rsid w:val="00704B5F"/>
    <w:rsid w:val="00704C46"/>
    <w:rsid w:val="00704C50"/>
    <w:rsid w:val="00704EFB"/>
    <w:rsid w:val="00704F55"/>
    <w:rsid w:val="00705390"/>
    <w:rsid w:val="007053CD"/>
    <w:rsid w:val="00705423"/>
    <w:rsid w:val="007054D5"/>
    <w:rsid w:val="007055DA"/>
    <w:rsid w:val="00705ABD"/>
    <w:rsid w:val="00705B62"/>
    <w:rsid w:val="00705B9D"/>
    <w:rsid w:val="00705BBB"/>
    <w:rsid w:val="00705CAC"/>
    <w:rsid w:val="00705D49"/>
    <w:rsid w:val="00705F15"/>
    <w:rsid w:val="00705F71"/>
    <w:rsid w:val="0070602E"/>
    <w:rsid w:val="007062DA"/>
    <w:rsid w:val="007064B1"/>
    <w:rsid w:val="0070662C"/>
    <w:rsid w:val="0070680C"/>
    <w:rsid w:val="00706854"/>
    <w:rsid w:val="00706890"/>
    <w:rsid w:val="007068B2"/>
    <w:rsid w:val="0070697A"/>
    <w:rsid w:val="00706B3B"/>
    <w:rsid w:val="00706DE8"/>
    <w:rsid w:val="0070725B"/>
    <w:rsid w:val="00707443"/>
    <w:rsid w:val="007074CB"/>
    <w:rsid w:val="0070753A"/>
    <w:rsid w:val="007077C2"/>
    <w:rsid w:val="0070784C"/>
    <w:rsid w:val="007078BE"/>
    <w:rsid w:val="00707B26"/>
    <w:rsid w:val="00707F64"/>
    <w:rsid w:val="00707FA2"/>
    <w:rsid w:val="0071003C"/>
    <w:rsid w:val="0071010E"/>
    <w:rsid w:val="007105C0"/>
    <w:rsid w:val="007105FD"/>
    <w:rsid w:val="00710688"/>
    <w:rsid w:val="007107A3"/>
    <w:rsid w:val="00710AA0"/>
    <w:rsid w:val="00710BCE"/>
    <w:rsid w:val="00710BD6"/>
    <w:rsid w:val="00710D1C"/>
    <w:rsid w:val="00710E46"/>
    <w:rsid w:val="00710E75"/>
    <w:rsid w:val="00710EAE"/>
    <w:rsid w:val="00710FD8"/>
    <w:rsid w:val="00711045"/>
    <w:rsid w:val="00711193"/>
    <w:rsid w:val="00711566"/>
    <w:rsid w:val="007117C8"/>
    <w:rsid w:val="007117F2"/>
    <w:rsid w:val="007119A4"/>
    <w:rsid w:val="00711A3D"/>
    <w:rsid w:val="00711B28"/>
    <w:rsid w:val="00711DDF"/>
    <w:rsid w:val="00711DE9"/>
    <w:rsid w:val="007121AE"/>
    <w:rsid w:val="00712232"/>
    <w:rsid w:val="0071237E"/>
    <w:rsid w:val="007124A3"/>
    <w:rsid w:val="007124F5"/>
    <w:rsid w:val="00712621"/>
    <w:rsid w:val="0071276F"/>
    <w:rsid w:val="007127E4"/>
    <w:rsid w:val="00712835"/>
    <w:rsid w:val="00712856"/>
    <w:rsid w:val="00712888"/>
    <w:rsid w:val="00712A24"/>
    <w:rsid w:val="00712DDC"/>
    <w:rsid w:val="00712E34"/>
    <w:rsid w:val="00712E77"/>
    <w:rsid w:val="00712E7E"/>
    <w:rsid w:val="00712F2F"/>
    <w:rsid w:val="0071300A"/>
    <w:rsid w:val="0071301E"/>
    <w:rsid w:val="007131F6"/>
    <w:rsid w:val="00713255"/>
    <w:rsid w:val="00713297"/>
    <w:rsid w:val="007133A8"/>
    <w:rsid w:val="00713655"/>
    <w:rsid w:val="0071374E"/>
    <w:rsid w:val="00713C26"/>
    <w:rsid w:val="00713DDE"/>
    <w:rsid w:val="00714022"/>
    <w:rsid w:val="00714023"/>
    <w:rsid w:val="0071427D"/>
    <w:rsid w:val="007142CC"/>
    <w:rsid w:val="00714346"/>
    <w:rsid w:val="007143BE"/>
    <w:rsid w:val="00714465"/>
    <w:rsid w:val="0071449C"/>
    <w:rsid w:val="007144D1"/>
    <w:rsid w:val="007145ED"/>
    <w:rsid w:val="00714680"/>
    <w:rsid w:val="007148A2"/>
    <w:rsid w:val="00714AD0"/>
    <w:rsid w:val="00714C6B"/>
    <w:rsid w:val="00714FDD"/>
    <w:rsid w:val="00714FEC"/>
    <w:rsid w:val="00714FF6"/>
    <w:rsid w:val="007151CB"/>
    <w:rsid w:val="007155BC"/>
    <w:rsid w:val="00715AB7"/>
    <w:rsid w:val="00715B2E"/>
    <w:rsid w:val="00715BAE"/>
    <w:rsid w:val="00715E53"/>
    <w:rsid w:val="00715E74"/>
    <w:rsid w:val="00715F65"/>
    <w:rsid w:val="00715FEA"/>
    <w:rsid w:val="00716144"/>
    <w:rsid w:val="00716281"/>
    <w:rsid w:val="0071656D"/>
    <w:rsid w:val="00716887"/>
    <w:rsid w:val="00716A0F"/>
    <w:rsid w:val="00716AC7"/>
    <w:rsid w:val="00716CDA"/>
    <w:rsid w:val="00716E4A"/>
    <w:rsid w:val="00717010"/>
    <w:rsid w:val="00717022"/>
    <w:rsid w:val="007170BE"/>
    <w:rsid w:val="0071733C"/>
    <w:rsid w:val="00717439"/>
    <w:rsid w:val="007178E2"/>
    <w:rsid w:val="00717AE4"/>
    <w:rsid w:val="00717D60"/>
    <w:rsid w:val="00717D7A"/>
    <w:rsid w:val="00717DA3"/>
    <w:rsid w:val="00717E25"/>
    <w:rsid w:val="00717E90"/>
    <w:rsid w:val="00717ECB"/>
    <w:rsid w:val="00717F14"/>
    <w:rsid w:val="00717F30"/>
    <w:rsid w:val="00720049"/>
    <w:rsid w:val="007202A1"/>
    <w:rsid w:val="00720349"/>
    <w:rsid w:val="0072042A"/>
    <w:rsid w:val="007204B9"/>
    <w:rsid w:val="00720566"/>
    <w:rsid w:val="00720613"/>
    <w:rsid w:val="00720638"/>
    <w:rsid w:val="007206DC"/>
    <w:rsid w:val="007206FA"/>
    <w:rsid w:val="007207A9"/>
    <w:rsid w:val="007208AE"/>
    <w:rsid w:val="007209BD"/>
    <w:rsid w:val="00720BE3"/>
    <w:rsid w:val="00720BE7"/>
    <w:rsid w:val="00720C2E"/>
    <w:rsid w:val="00721004"/>
    <w:rsid w:val="007210D8"/>
    <w:rsid w:val="0072132B"/>
    <w:rsid w:val="00721598"/>
    <w:rsid w:val="00721633"/>
    <w:rsid w:val="00721692"/>
    <w:rsid w:val="00721700"/>
    <w:rsid w:val="007219A0"/>
    <w:rsid w:val="00721A10"/>
    <w:rsid w:val="00721A37"/>
    <w:rsid w:val="00721A75"/>
    <w:rsid w:val="00721B3E"/>
    <w:rsid w:val="00721DDF"/>
    <w:rsid w:val="00721E3A"/>
    <w:rsid w:val="00721EC9"/>
    <w:rsid w:val="00721F87"/>
    <w:rsid w:val="00721FD1"/>
    <w:rsid w:val="00722231"/>
    <w:rsid w:val="007222D9"/>
    <w:rsid w:val="00722682"/>
    <w:rsid w:val="007226C9"/>
    <w:rsid w:val="007226F5"/>
    <w:rsid w:val="007227B8"/>
    <w:rsid w:val="0072285E"/>
    <w:rsid w:val="00722A17"/>
    <w:rsid w:val="00722ABA"/>
    <w:rsid w:val="00722AF8"/>
    <w:rsid w:val="00722C16"/>
    <w:rsid w:val="00722F60"/>
    <w:rsid w:val="00722F7F"/>
    <w:rsid w:val="00722FF9"/>
    <w:rsid w:val="0072317B"/>
    <w:rsid w:val="0072321B"/>
    <w:rsid w:val="007232E3"/>
    <w:rsid w:val="007233F7"/>
    <w:rsid w:val="00723663"/>
    <w:rsid w:val="0072377A"/>
    <w:rsid w:val="007239C7"/>
    <w:rsid w:val="00723AA8"/>
    <w:rsid w:val="00723D37"/>
    <w:rsid w:val="00723D88"/>
    <w:rsid w:val="00723E03"/>
    <w:rsid w:val="00723FD0"/>
    <w:rsid w:val="0072414D"/>
    <w:rsid w:val="00724164"/>
    <w:rsid w:val="00724463"/>
    <w:rsid w:val="00724670"/>
    <w:rsid w:val="007246E6"/>
    <w:rsid w:val="007247A3"/>
    <w:rsid w:val="007247D8"/>
    <w:rsid w:val="00724A48"/>
    <w:rsid w:val="00724D1D"/>
    <w:rsid w:val="00724EF6"/>
    <w:rsid w:val="00725039"/>
    <w:rsid w:val="007252C7"/>
    <w:rsid w:val="00725512"/>
    <w:rsid w:val="0072553A"/>
    <w:rsid w:val="00725A58"/>
    <w:rsid w:val="00725BFD"/>
    <w:rsid w:val="00725C53"/>
    <w:rsid w:val="00725EE1"/>
    <w:rsid w:val="0072615A"/>
    <w:rsid w:val="00726208"/>
    <w:rsid w:val="007262EE"/>
    <w:rsid w:val="0072633D"/>
    <w:rsid w:val="0072636C"/>
    <w:rsid w:val="0072666E"/>
    <w:rsid w:val="0072667A"/>
    <w:rsid w:val="007269CA"/>
    <w:rsid w:val="007269E2"/>
    <w:rsid w:val="00726AE9"/>
    <w:rsid w:val="00726BBA"/>
    <w:rsid w:val="00726D64"/>
    <w:rsid w:val="00726DAB"/>
    <w:rsid w:val="00726DB8"/>
    <w:rsid w:val="00726DD7"/>
    <w:rsid w:val="00726E56"/>
    <w:rsid w:val="007273ED"/>
    <w:rsid w:val="00727485"/>
    <w:rsid w:val="00727709"/>
    <w:rsid w:val="007279EA"/>
    <w:rsid w:val="00727A84"/>
    <w:rsid w:val="00727C30"/>
    <w:rsid w:val="00727CD0"/>
    <w:rsid w:val="00727E4F"/>
    <w:rsid w:val="00727EFE"/>
    <w:rsid w:val="00727F35"/>
    <w:rsid w:val="00730059"/>
    <w:rsid w:val="007300D3"/>
    <w:rsid w:val="00730168"/>
    <w:rsid w:val="007301C8"/>
    <w:rsid w:val="00730359"/>
    <w:rsid w:val="007304AD"/>
    <w:rsid w:val="00730770"/>
    <w:rsid w:val="007308E8"/>
    <w:rsid w:val="00730944"/>
    <w:rsid w:val="00730A2B"/>
    <w:rsid w:val="00730AAC"/>
    <w:rsid w:val="00730B86"/>
    <w:rsid w:val="00730C13"/>
    <w:rsid w:val="00730CC6"/>
    <w:rsid w:val="00730CE4"/>
    <w:rsid w:val="00730CEA"/>
    <w:rsid w:val="00730E0A"/>
    <w:rsid w:val="00730EC8"/>
    <w:rsid w:val="00730EF3"/>
    <w:rsid w:val="007311DF"/>
    <w:rsid w:val="007313AD"/>
    <w:rsid w:val="007313E9"/>
    <w:rsid w:val="007313F9"/>
    <w:rsid w:val="007314D9"/>
    <w:rsid w:val="007319CE"/>
    <w:rsid w:val="00731BDE"/>
    <w:rsid w:val="00731D19"/>
    <w:rsid w:val="00731D92"/>
    <w:rsid w:val="00731F81"/>
    <w:rsid w:val="007320EC"/>
    <w:rsid w:val="00732226"/>
    <w:rsid w:val="00732334"/>
    <w:rsid w:val="007324DB"/>
    <w:rsid w:val="00732504"/>
    <w:rsid w:val="00732525"/>
    <w:rsid w:val="0073259D"/>
    <w:rsid w:val="007325DA"/>
    <w:rsid w:val="007326E6"/>
    <w:rsid w:val="00732882"/>
    <w:rsid w:val="00732B00"/>
    <w:rsid w:val="00732B8B"/>
    <w:rsid w:val="00732BE0"/>
    <w:rsid w:val="00732DEC"/>
    <w:rsid w:val="00732EB4"/>
    <w:rsid w:val="00732F83"/>
    <w:rsid w:val="00733023"/>
    <w:rsid w:val="00733083"/>
    <w:rsid w:val="007330D3"/>
    <w:rsid w:val="0073315A"/>
    <w:rsid w:val="00733266"/>
    <w:rsid w:val="00733353"/>
    <w:rsid w:val="00733473"/>
    <w:rsid w:val="007335D9"/>
    <w:rsid w:val="007335FA"/>
    <w:rsid w:val="00733687"/>
    <w:rsid w:val="0073379D"/>
    <w:rsid w:val="00733862"/>
    <w:rsid w:val="00733A8D"/>
    <w:rsid w:val="00733A8E"/>
    <w:rsid w:val="00733B71"/>
    <w:rsid w:val="00733DFA"/>
    <w:rsid w:val="00733E7A"/>
    <w:rsid w:val="00733FEB"/>
    <w:rsid w:val="00734096"/>
    <w:rsid w:val="007341C4"/>
    <w:rsid w:val="0073455C"/>
    <w:rsid w:val="00734B2B"/>
    <w:rsid w:val="00734C1A"/>
    <w:rsid w:val="00734C79"/>
    <w:rsid w:val="00734D41"/>
    <w:rsid w:val="00734D8B"/>
    <w:rsid w:val="00734F0B"/>
    <w:rsid w:val="00734F17"/>
    <w:rsid w:val="00735031"/>
    <w:rsid w:val="00735136"/>
    <w:rsid w:val="007351FF"/>
    <w:rsid w:val="007352FE"/>
    <w:rsid w:val="00735433"/>
    <w:rsid w:val="00735531"/>
    <w:rsid w:val="007356B5"/>
    <w:rsid w:val="007357B6"/>
    <w:rsid w:val="00735908"/>
    <w:rsid w:val="00735B08"/>
    <w:rsid w:val="00735BC6"/>
    <w:rsid w:val="00735D29"/>
    <w:rsid w:val="007361CC"/>
    <w:rsid w:val="007361E2"/>
    <w:rsid w:val="007366E5"/>
    <w:rsid w:val="0073687C"/>
    <w:rsid w:val="00736C97"/>
    <w:rsid w:val="00736DC2"/>
    <w:rsid w:val="00736DF9"/>
    <w:rsid w:val="00736F50"/>
    <w:rsid w:val="0073703F"/>
    <w:rsid w:val="0073715C"/>
    <w:rsid w:val="007372EF"/>
    <w:rsid w:val="00737490"/>
    <w:rsid w:val="0073773E"/>
    <w:rsid w:val="0073776A"/>
    <w:rsid w:val="00737824"/>
    <w:rsid w:val="00737831"/>
    <w:rsid w:val="007378B5"/>
    <w:rsid w:val="007379DE"/>
    <w:rsid w:val="007379E3"/>
    <w:rsid w:val="00737A34"/>
    <w:rsid w:val="00737A7C"/>
    <w:rsid w:val="00737AEB"/>
    <w:rsid w:val="00737B8E"/>
    <w:rsid w:val="00737BB0"/>
    <w:rsid w:val="00737C63"/>
    <w:rsid w:val="00737D9A"/>
    <w:rsid w:val="00737FAF"/>
    <w:rsid w:val="00737FBF"/>
    <w:rsid w:val="0074003D"/>
    <w:rsid w:val="007401EA"/>
    <w:rsid w:val="00740376"/>
    <w:rsid w:val="0074053A"/>
    <w:rsid w:val="007405E3"/>
    <w:rsid w:val="0074061A"/>
    <w:rsid w:val="00740A41"/>
    <w:rsid w:val="00740D69"/>
    <w:rsid w:val="007412F2"/>
    <w:rsid w:val="0074165C"/>
    <w:rsid w:val="007416E6"/>
    <w:rsid w:val="00741779"/>
    <w:rsid w:val="007417D1"/>
    <w:rsid w:val="00741834"/>
    <w:rsid w:val="00741B25"/>
    <w:rsid w:val="00741B27"/>
    <w:rsid w:val="00741D16"/>
    <w:rsid w:val="00741DEA"/>
    <w:rsid w:val="00742002"/>
    <w:rsid w:val="00742024"/>
    <w:rsid w:val="007420CC"/>
    <w:rsid w:val="0074220C"/>
    <w:rsid w:val="0074224A"/>
    <w:rsid w:val="0074227B"/>
    <w:rsid w:val="007423DF"/>
    <w:rsid w:val="0074252E"/>
    <w:rsid w:val="007425BF"/>
    <w:rsid w:val="0074276E"/>
    <w:rsid w:val="007428C8"/>
    <w:rsid w:val="007429D5"/>
    <w:rsid w:val="00742BD2"/>
    <w:rsid w:val="00742C16"/>
    <w:rsid w:val="00742D80"/>
    <w:rsid w:val="00743041"/>
    <w:rsid w:val="0074345A"/>
    <w:rsid w:val="0074365E"/>
    <w:rsid w:val="00743766"/>
    <w:rsid w:val="00743808"/>
    <w:rsid w:val="00743DB8"/>
    <w:rsid w:val="00743EA7"/>
    <w:rsid w:val="00743F50"/>
    <w:rsid w:val="00743F5D"/>
    <w:rsid w:val="007440A8"/>
    <w:rsid w:val="00744115"/>
    <w:rsid w:val="00744185"/>
    <w:rsid w:val="00744392"/>
    <w:rsid w:val="007443D4"/>
    <w:rsid w:val="007444AC"/>
    <w:rsid w:val="007444F4"/>
    <w:rsid w:val="00744548"/>
    <w:rsid w:val="0074466B"/>
    <w:rsid w:val="00744703"/>
    <w:rsid w:val="007447D2"/>
    <w:rsid w:val="00744BE1"/>
    <w:rsid w:val="00744BE5"/>
    <w:rsid w:val="0074528E"/>
    <w:rsid w:val="0074562F"/>
    <w:rsid w:val="0074574C"/>
    <w:rsid w:val="007457E8"/>
    <w:rsid w:val="00745B38"/>
    <w:rsid w:val="00745C85"/>
    <w:rsid w:val="00745CF3"/>
    <w:rsid w:val="00745D53"/>
    <w:rsid w:val="00745DEC"/>
    <w:rsid w:val="00745E8F"/>
    <w:rsid w:val="00745F2C"/>
    <w:rsid w:val="00745FA4"/>
    <w:rsid w:val="00746068"/>
    <w:rsid w:val="0074613F"/>
    <w:rsid w:val="007462C1"/>
    <w:rsid w:val="00746365"/>
    <w:rsid w:val="00746380"/>
    <w:rsid w:val="007464B4"/>
    <w:rsid w:val="007465B4"/>
    <w:rsid w:val="007467A4"/>
    <w:rsid w:val="00746822"/>
    <w:rsid w:val="007468CA"/>
    <w:rsid w:val="00746936"/>
    <w:rsid w:val="00746AA5"/>
    <w:rsid w:val="00746C54"/>
    <w:rsid w:val="007471B1"/>
    <w:rsid w:val="00747245"/>
    <w:rsid w:val="00747596"/>
    <w:rsid w:val="007476D1"/>
    <w:rsid w:val="00747B1F"/>
    <w:rsid w:val="00747C6B"/>
    <w:rsid w:val="00747EE8"/>
    <w:rsid w:val="00747EEC"/>
    <w:rsid w:val="0074E6D9"/>
    <w:rsid w:val="007500FF"/>
    <w:rsid w:val="00750264"/>
    <w:rsid w:val="007505E1"/>
    <w:rsid w:val="00750770"/>
    <w:rsid w:val="00750774"/>
    <w:rsid w:val="00750802"/>
    <w:rsid w:val="0075088E"/>
    <w:rsid w:val="00750ADF"/>
    <w:rsid w:val="00750C15"/>
    <w:rsid w:val="00750C7D"/>
    <w:rsid w:val="00750CBB"/>
    <w:rsid w:val="00750DFD"/>
    <w:rsid w:val="00750E8F"/>
    <w:rsid w:val="00750EAE"/>
    <w:rsid w:val="00750EC6"/>
    <w:rsid w:val="00751035"/>
    <w:rsid w:val="00751261"/>
    <w:rsid w:val="00751370"/>
    <w:rsid w:val="007516CA"/>
    <w:rsid w:val="00751800"/>
    <w:rsid w:val="00751833"/>
    <w:rsid w:val="007519D2"/>
    <w:rsid w:val="00751B20"/>
    <w:rsid w:val="00751C00"/>
    <w:rsid w:val="00751C24"/>
    <w:rsid w:val="00751CDB"/>
    <w:rsid w:val="00751D87"/>
    <w:rsid w:val="007522CA"/>
    <w:rsid w:val="0075245B"/>
    <w:rsid w:val="0075266B"/>
    <w:rsid w:val="007527CF"/>
    <w:rsid w:val="00752895"/>
    <w:rsid w:val="00752BA9"/>
    <w:rsid w:val="00752BCD"/>
    <w:rsid w:val="00752C32"/>
    <w:rsid w:val="00752E53"/>
    <w:rsid w:val="00752EB3"/>
    <w:rsid w:val="00752EC3"/>
    <w:rsid w:val="00752EE9"/>
    <w:rsid w:val="00753092"/>
    <w:rsid w:val="0075313D"/>
    <w:rsid w:val="007531D6"/>
    <w:rsid w:val="007531FD"/>
    <w:rsid w:val="007532BE"/>
    <w:rsid w:val="00753419"/>
    <w:rsid w:val="0075348E"/>
    <w:rsid w:val="00753564"/>
    <w:rsid w:val="0075372C"/>
    <w:rsid w:val="00753753"/>
    <w:rsid w:val="0075379E"/>
    <w:rsid w:val="0075382F"/>
    <w:rsid w:val="00753888"/>
    <w:rsid w:val="0075399C"/>
    <w:rsid w:val="00753B78"/>
    <w:rsid w:val="00753C39"/>
    <w:rsid w:val="00753C88"/>
    <w:rsid w:val="00753C9F"/>
    <w:rsid w:val="00753CB9"/>
    <w:rsid w:val="00753D0F"/>
    <w:rsid w:val="00753D8A"/>
    <w:rsid w:val="00753F4A"/>
    <w:rsid w:val="00753F86"/>
    <w:rsid w:val="0075404B"/>
    <w:rsid w:val="007542A5"/>
    <w:rsid w:val="007543D0"/>
    <w:rsid w:val="0075440D"/>
    <w:rsid w:val="007544FB"/>
    <w:rsid w:val="00754662"/>
    <w:rsid w:val="007546FC"/>
    <w:rsid w:val="007547F7"/>
    <w:rsid w:val="00754BAD"/>
    <w:rsid w:val="00754BB5"/>
    <w:rsid w:val="00754EC2"/>
    <w:rsid w:val="007550CB"/>
    <w:rsid w:val="0075515D"/>
    <w:rsid w:val="007552FC"/>
    <w:rsid w:val="0075534B"/>
    <w:rsid w:val="007555B3"/>
    <w:rsid w:val="00755689"/>
    <w:rsid w:val="007558AA"/>
    <w:rsid w:val="007558B0"/>
    <w:rsid w:val="00755B77"/>
    <w:rsid w:val="00755BB0"/>
    <w:rsid w:val="0075613D"/>
    <w:rsid w:val="007561F7"/>
    <w:rsid w:val="00756278"/>
    <w:rsid w:val="007563BC"/>
    <w:rsid w:val="00756418"/>
    <w:rsid w:val="0075658B"/>
    <w:rsid w:val="007566B3"/>
    <w:rsid w:val="00756718"/>
    <w:rsid w:val="00756D60"/>
    <w:rsid w:val="00756F07"/>
    <w:rsid w:val="00756F68"/>
    <w:rsid w:val="00756F96"/>
    <w:rsid w:val="00757123"/>
    <w:rsid w:val="0075727E"/>
    <w:rsid w:val="00757380"/>
    <w:rsid w:val="0075745B"/>
    <w:rsid w:val="00757477"/>
    <w:rsid w:val="0075749F"/>
    <w:rsid w:val="0075751D"/>
    <w:rsid w:val="00757775"/>
    <w:rsid w:val="007578F4"/>
    <w:rsid w:val="00757A09"/>
    <w:rsid w:val="00757B9E"/>
    <w:rsid w:val="00757CF1"/>
    <w:rsid w:val="00757CF4"/>
    <w:rsid w:val="00757E74"/>
    <w:rsid w:val="00760019"/>
    <w:rsid w:val="00760042"/>
    <w:rsid w:val="007600BB"/>
    <w:rsid w:val="00760105"/>
    <w:rsid w:val="0076015E"/>
    <w:rsid w:val="007603CE"/>
    <w:rsid w:val="00760572"/>
    <w:rsid w:val="00760816"/>
    <w:rsid w:val="00760AB4"/>
    <w:rsid w:val="00760CBA"/>
    <w:rsid w:val="00761051"/>
    <w:rsid w:val="007610B6"/>
    <w:rsid w:val="0076115F"/>
    <w:rsid w:val="0076145E"/>
    <w:rsid w:val="007614B7"/>
    <w:rsid w:val="00761514"/>
    <w:rsid w:val="007615F8"/>
    <w:rsid w:val="00761665"/>
    <w:rsid w:val="00761666"/>
    <w:rsid w:val="007616C0"/>
    <w:rsid w:val="00761768"/>
    <w:rsid w:val="007619EE"/>
    <w:rsid w:val="00761AA5"/>
    <w:rsid w:val="00761CE7"/>
    <w:rsid w:val="00761E21"/>
    <w:rsid w:val="00761E9D"/>
    <w:rsid w:val="007620A9"/>
    <w:rsid w:val="0076240E"/>
    <w:rsid w:val="007624A8"/>
    <w:rsid w:val="007624AD"/>
    <w:rsid w:val="007626CB"/>
    <w:rsid w:val="007628B6"/>
    <w:rsid w:val="007629D9"/>
    <w:rsid w:val="00762A04"/>
    <w:rsid w:val="00762AAE"/>
    <w:rsid w:val="00762B71"/>
    <w:rsid w:val="00762D61"/>
    <w:rsid w:val="00763168"/>
    <w:rsid w:val="007634C4"/>
    <w:rsid w:val="00763686"/>
    <w:rsid w:val="007636E6"/>
    <w:rsid w:val="007639C8"/>
    <w:rsid w:val="00763B16"/>
    <w:rsid w:val="00763C31"/>
    <w:rsid w:val="00763C37"/>
    <w:rsid w:val="00763CD8"/>
    <w:rsid w:val="00763D3A"/>
    <w:rsid w:val="00763FEC"/>
    <w:rsid w:val="007641C1"/>
    <w:rsid w:val="007641DD"/>
    <w:rsid w:val="00764310"/>
    <w:rsid w:val="00764348"/>
    <w:rsid w:val="007644FF"/>
    <w:rsid w:val="0076451A"/>
    <w:rsid w:val="007645F7"/>
    <w:rsid w:val="007646B2"/>
    <w:rsid w:val="007647F8"/>
    <w:rsid w:val="0076497C"/>
    <w:rsid w:val="00764BF8"/>
    <w:rsid w:val="00764D7D"/>
    <w:rsid w:val="00764E90"/>
    <w:rsid w:val="00764F99"/>
    <w:rsid w:val="00765051"/>
    <w:rsid w:val="007650D9"/>
    <w:rsid w:val="0076517A"/>
    <w:rsid w:val="007651F6"/>
    <w:rsid w:val="00765260"/>
    <w:rsid w:val="00765395"/>
    <w:rsid w:val="007653E9"/>
    <w:rsid w:val="00765921"/>
    <w:rsid w:val="00765AFD"/>
    <w:rsid w:val="00765C4F"/>
    <w:rsid w:val="00765D74"/>
    <w:rsid w:val="00765DA2"/>
    <w:rsid w:val="00765DC9"/>
    <w:rsid w:val="00765DD4"/>
    <w:rsid w:val="00765EC9"/>
    <w:rsid w:val="007661D9"/>
    <w:rsid w:val="00766227"/>
    <w:rsid w:val="00766490"/>
    <w:rsid w:val="00766503"/>
    <w:rsid w:val="0076664E"/>
    <w:rsid w:val="007667CD"/>
    <w:rsid w:val="00766879"/>
    <w:rsid w:val="007668EA"/>
    <w:rsid w:val="0076697B"/>
    <w:rsid w:val="0076697C"/>
    <w:rsid w:val="00766F9A"/>
    <w:rsid w:val="00767067"/>
    <w:rsid w:val="007670B9"/>
    <w:rsid w:val="00767724"/>
    <w:rsid w:val="00767729"/>
    <w:rsid w:val="00767751"/>
    <w:rsid w:val="00767A19"/>
    <w:rsid w:val="00767A4B"/>
    <w:rsid w:val="00767E4A"/>
    <w:rsid w:val="00767EF9"/>
    <w:rsid w:val="00767F3E"/>
    <w:rsid w:val="007700B1"/>
    <w:rsid w:val="007700CD"/>
    <w:rsid w:val="0077017F"/>
    <w:rsid w:val="0077024E"/>
    <w:rsid w:val="00770290"/>
    <w:rsid w:val="0077029F"/>
    <w:rsid w:val="00770300"/>
    <w:rsid w:val="0077038A"/>
    <w:rsid w:val="0077040E"/>
    <w:rsid w:val="0077047E"/>
    <w:rsid w:val="00770579"/>
    <w:rsid w:val="00770634"/>
    <w:rsid w:val="00770691"/>
    <w:rsid w:val="007707AA"/>
    <w:rsid w:val="00770BA9"/>
    <w:rsid w:val="00770E1C"/>
    <w:rsid w:val="00770E8B"/>
    <w:rsid w:val="00770EA0"/>
    <w:rsid w:val="007710D1"/>
    <w:rsid w:val="007711B2"/>
    <w:rsid w:val="00771257"/>
    <w:rsid w:val="007712C0"/>
    <w:rsid w:val="00771308"/>
    <w:rsid w:val="00771437"/>
    <w:rsid w:val="00771556"/>
    <w:rsid w:val="00771599"/>
    <w:rsid w:val="0077168A"/>
    <w:rsid w:val="00771725"/>
    <w:rsid w:val="00771C76"/>
    <w:rsid w:val="00771C79"/>
    <w:rsid w:val="00771EF1"/>
    <w:rsid w:val="007720B0"/>
    <w:rsid w:val="00772110"/>
    <w:rsid w:val="00772336"/>
    <w:rsid w:val="0077252C"/>
    <w:rsid w:val="007727F5"/>
    <w:rsid w:val="00772B9E"/>
    <w:rsid w:val="00772C6B"/>
    <w:rsid w:val="007730CC"/>
    <w:rsid w:val="00773169"/>
    <w:rsid w:val="00773224"/>
    <w:rsid w:val="0077361A"/>
    <w:rsid w:val="0077362B"/>
    <w:rsid w:val="0077367E"/>
    <w:rsid w:val="007739D7"/>
    <w:rsid w:val="00773A2C"/>
    <w:rsid w:val="00773A5A"/>
    <w:rsid w:val="00773ADF"/>
    <w:rsid w:val="00773D15"/>
    <w:rsid w:val="00773D33"/>
    <w:rsid w:val="00773EBE"/>
    <w:rsid w:val="00773F96"/>
    <w:rsid w:val="00774088"/>
    <w:rsid w:val="0077414E"/>
    <w:rsid w:val="007742A1"/>
    <w:rsid w:val="00774310"/>
    <w:rsid w:val="00774498"/>
    <w:rsid w:val="007745F3"/>
    <w:rsid w:val="00774628"/>
    <w:rsid w:val="00774846"/>
    <w:rsid w:val="007748C3"/>
    <w:rsid w:val="00774A71"/>
    <w:rsid w:val="00774AF5"/>
    <w:rsid w:val="00774BD6"/>
    <w:rsid w:val="00774C8C"/>
    <w:rsid w:val="00774CCE"/>
    <w:rsid w:val="00774D5E"/>
    <w:rsid w:val="00774DAC"/>
    <w:rsid w:val="00774DEA"/>
    <w:rsid w:val="0077500B"/>
    <w:rsid w:val="0077505F"/>
    <w:rsid w:val="007750F5"/>
    <w:rsid w:val="00775277"/>
    <w:rsid w:val="00775343"/>
    <w:rsid w:val="0077549B"/>
    <w:rsid w:val="0077553F"/>
    <w:rsid w:val="007755D5"/>
    <w:rsid w:val="007756FB"/>
    <w:rsid w:val="00775976"/>
    <w:rsid w:val="00775A85"/>
    <w:rsid w:val="00775B0A"/>
    <w:rsid w:val="00775D7A"/>
    <w:rsid w:val="00775F27"/>
    <w:rsid w:val="00776324"/>
    <w:rsid w:val="007763F7"/>
    <w:rsid w:val="00776423"/>
    <w:rsid w:val="0077650C"/>
    <w:rsid w:val="007766CB"/>
    <w:rsid w:val="007767FA"/>
    <w:rsid w:val="00776843"/>
    <w:rsid w:val="0077686B"/>
    <w:rsid w:val="007768DF"/>
    <w:rsid w:val="00776A35"/>
    <w:rsid w:val="00776B20"/>
    <w:rsid w:val="00776B2A"/>
    <w:rsid w:val="00776BC5"/>
    <w:rsid w:val="00776DA6"/>
    <w:rsid w:val="00776EC5"/>
    <w:rsid w:val="00776F9E"/>
    <w:rsid w:val="00777128"/>
    <w:rsid w:val="007771BB"/>
    <w:rsid w:val="00777296"/>
    <w:rsid w:val="0077744B"/>
    <w:rsid w:val="0077749A"/>
    <w:rsid w:val="007774A9"/>
    <w:rsid w:val="007774BB"/>
    <w:rsid w:val="007776E1"/>
    <w:rsid w:val="007777CE"/>
    <w:rsid w:val="007778EB"/>
    <w:rsid w:val="00777B33"/>
    <w:rsid w:val="00777B88"/>
    <w:rsid w:val="00777C39"/>
    <w:rsid w:val="00777D2D"/>
    <w:rsid w:val="00777D35"/>
    <w:rsid w:val="00777E9E"/>
    <w:rsid w:val="0078036B"/>
    <w:rsid w:val="007808A9"/>
    <w:rsid w:val="00780B9B"/>
    <w:rsid w:val="00780BB7"/>
    <w:rsid w:val="00780BC3"/>
    <w:rsid w:val="00780F5C"/>
    <w:rsid w:val="00781419"/>
    <w:rsid w:val="0078154B"/>
    <w:rsid w:val="0078171B"/>
    <w:rsid w:val="0078194C"/>
    <w:rsid w:val="00781958"/>
    <w:rsid w:val="00781975"/>
    <w:rsid w:val="00781CF9"/>
    <w:rsid w:val="007821C3"/>
    <w:rsid w:val="00782256"/>
    <w:rsid w:val="0078248D"/>
    <w:rsid w:val="00782513"/>
    <w:rsid w:val="007826E8"/>
    <w:rsid w:val="00782797"/>
    <w:rsid w:val="007828F8"/>
    <w:rsid w:val="00782951"/>
    <w:rsid w:val="007829AA"/>
    <w:rsid w:val="00782D13"/>
    <w:rsid w:val="00782D4E"/>
    <w:rsid w:val="00782DC4"/>
    <w:rsid w:val="00782E98"/>
    <w:rsid w:val="00782F77"/>
    <w:rsid w:val="0078396B"/>
    <w:rsid w:val="00783A77"/>
    <w:rsid w:val="00783C1A"/>
    <w:rsid w:val="00783DB8"/>
    <w:rsid w:val="00783E63"/>
    <w:rsid w:val="00783E64"/>
    <w:rsid w:val="00784242"/>
    <w:rsid w:val="007842D4"/>
    <w:rsid w:val="00784430"/>
    <w:rsid w:val="00784546"/>
    <w:rsid w:val="007845C7"/>
    <w:rsid w:val="0078460F"/>
    <w:rsid w:val="00784694"/>
    <w:rsid w:val="00784882"/>
    <w:rsid w:val="007849DE"/>
    <w:rsid w:val="00784B5A"/>
    <w:rsid w:val="00784C4D"/>
    <w:rsid w:val="00784C65"/>
    <w:rsid w:val="00784C8D"/>
    <w:rsid w:val="00784D74"/>
    <w:rsid w:val="00784DDB"/>
    <w:rsid w:val="00784E1C"/>
    <w:rsid w:val="00785059"/>
    <w:rsid w:val="00785126"/>
    <w:rsid w:val="0078516F"/>
    <w:rsid w:val="00785219"/>
    <w:rsid w:val="0078545E"/>
    <w:rsid w:val="007856CE"/>
    <w:rsid w:val="0078580C"/>
    <w:rsid w:val="00785850"/>
    <w:rsid w:val="0078590B"/>
    <w:rsid w:val="00785A63"/>
    <w:rsid w:val="00785B62"/>
    <w:rsid w:val="00785D30"/>
    <w:rsid w:val="00785D7C"/>
    <w:rsid w:val="00785E78"/>
    <w:rsid w:val="00785E9E"/>
    <w:rsid w:val="00785F61"/>
    <w:rsid w:val="00786066"/>
    <w:rsid w:val="00786163"/>
    <w:rsid w:val="0078626A"/>
    <w:rsid w:val="00786367"/>
    <w:rsid w:val="0078653E"/>
    <w:rsid w:val="00786554"/>
    <w:rsid w:val="00786602"/>
    <w:rsid w:val="007866C0"/>
    <w:rsid w:val="007866E7"/>
    <w:rsid w:val="0078686D"/>
    <w:rsid w:val="0078688B"/>
    <w:rsid w:val="007868EB"/>
    <w:rsid w:val="00786901"/>
    <w:rsid w:val="00786AB2"/>
    <w:rsid w:val="00786BA0"/>
    <w:rsid w:val="00786BB1"/>
    <w:rsid w:val="00786C1E"/>
    <w:rsid w:val="00786DF8"/>
    <w:rsid w:val="00786E3D"/>
    <w:rsid w:val="00786EFD"/>
    <w:rsid w:val="007872D6"/>
    <w:rsid w:val="007874A8"/>
    <w:rsid w:val="007874E9"/>
    <w:rsid w:val="00787749"/>
    <w:rsid w:val="007878A1"/>
    <w:rsid w:val="00787934"/>
    <w:rsid w:val="00787AB9"/>
    <w:rsid w:val="00787B6A"/>
    <w:rsid w:val="0078AA76"/>
    <w:rsid w:val="00790349"/>
    <w:rsid w:val="00790376"/>
    <w:rsid w:val="007904B6"/>
    <w:rsid w:val="00790727"/>
    <w:rsid w:val="007907B3"/>
    <w:rsid w:val="0079092C"/>
    <w:rsid w:val="00790991"/>
    <w:rsid w:val="007909E8"/>
    <w:rsid w:val="00790DE8"/>
    <w:rsid w:val="00790E38"/>
    <w:rsid w:val="00790EC5"/>
    <w:rsid w:val="00790EF4"/>
    <w:rsid w:val="00791460"/>
    <w:rsid w:val="007914BC"/>
    <w:rsid w:val="007915C2"/>
    <w:rsid w:val="007917C0"/>
    <w:rsid w:val="007918C9"/>
    <w:rsid w:val="0079197D"/>
    <w:rsid w:val="00791A75"/>
    <w:rsid w:val="00791C9C"/>
    <w:rsid w:val="00791CA4"/>
    <w:rsid w:val="00791D73"/>
    <w:rsid w:val="00791DB7"/>
    <w:rsid w:val="00791DE9"/>
    <w:rsid w:val="00791EF4"/>
    <w:rsid w:val="00791EFF"/>
    <w:rsid w:val="00792263"/>
    <w:rsid w:val="00792442"/>
    <w:rsid w:val="0079248A"/>
    <w:rsid w:val="0079250B"/>
    <w:rsid w:val="007928D5"/>
    <w:rsid w:val="007928EC"/>
    <w:rsid w:val="00792D04"/>
    <w:rsid w:val="00792EA9"/>
    <w:rsid w:val="007931DF"/>
    <w:rsid w:val="007933AB"/>
    <w:rsid w:val="007933AE"/>
    <w:rsid w:val="007933BE"/>
    <w:rsid w:val="00793427"/>
    <w:rsid w:val="00793557"/>
    <w:rsid w:val="00793617"/>
    <w:rsid w:val="00793624"/>
    <w:rsid w:val="007936C6"/>
    <w:rsid w:val="007936CC"/>
    <w:rsid w:val="007938EF"/>
    <w:rsid w:val="0079396D"/>
    <w:rsid w:val="00793BF8"/>
    <w:rsid w:val="00793D49"/>
    <w:rsid w:val="00793D9B"/>
    <w:rsid w:val="00794023"/>
    <w:rsid w:val="0079430E"/>
    <w:rsid w:val="00794432"/>
    <w:rsid w:val="007944BB"/>
    <w:rsid w:val="00794685"/>
    <w:rsid w:val="00794817"/>
    <w:rsid w:val="00794995"/>
    <w:rsid w:val="007949C2"/>
    <w:rsid w:val="007949CF"/>
    <w:rsid w:val="00794E1B"/>
    <w:rsid w:val="00794E67"/>
    <w:rsid w:val="00794F79"/>
    <w:rsid w:val="00795127"/>
    <w:rsid w:val="00795415"/>
    <w:rsid w:val="00795481"/>
    <w:rsid w:val="007955BC"/>
    <w:rsid w:val="00795750"/>
    <w:rsid w:val="00795B56"/>
    <w:rsid w:val="00795D4C"/>
    <w:rsid w:val="0079602D"/>
    <w:rsid w:val="00796131"/>
    <w:rsid w:val="0079613C"/>
    <w:rsid w:val="0079621E"/>
    <w:rsid w:val="007963B2"/>
    <w:rsid w:val="007964D6"/>
    <w:rsid w:val="00796562"/>
    <w:rsid w:val="0079656B"/>
    <w:rsid w:val="007965B8"/>
    <w:rsid w:val="007966CA"/>
    <w:rsid w:val="00796A52"/>
    <w:rsid w:val="00796C04"/>
    <w:rsid w:val="00796E8B"/>
    <w:rsid w:val="00796F95"/>
    <w:rsid w:val="00796FF8"/>
    <w:rsid w:val="00797007"/>
    <w:rsid w:val="0079700D"/>
    <w:rsid w:val="00797242"/>
    <w:rsid w:val="0079724E"/>
    <w:rsid w:val="00797685"/>
    <w:rsid w:val="0079769E"/>
    <w:rsid w:val="00797726"/>
    <w:rsid w:val="007977EE"/>
    <w:rsid w:val="0079781E"/>
    <w:rsid w:val="007979CA"/>
    <w:rsid w:val="00797BB4"/>
    <w:rsid w:val="00797C02"/>
    <w:rsid w:val="00797D6F"/>
    <w:rsid w:val="00797D86"/>
    <w:rsid w:val="00797E4D"/>
    <w:rsid w:val="00797FEC"/>
    <w:rsid w:val="007A0022"/>
    <w:rsid w:val="007A009B"/>
    <w:rsid w:val="007A00FC"/>
    <w:rsid w:val="007A027B"/>
    <w:rsid w:val="007A02CF"/>
    <w:rsid w:val="007A0306"/>
    <w:rsid w:val="007A0362"/>
    <w:rsid w:val="007A037F"/>
    <w:rsid w:val="007A058D"/>
    <w:rsid w:val="007A0729"/>
    <w:rsid w:val="007A0B6A"/>
    <w:rsid w:val="007A0B94"/>
    <w:rsid w:val="007A0BE8"/>
    <w:rsid w:val="007A0C17"/>
    <w:rsid w:val="007A0C40"/>
    <w:rsid w:val="007A0D9B"/>
    <w:rsid w:val="007A0F3E"/>
    <w:rsid w:val="007A13DB"/>
    <w:rsid w:val="007A17F9"/>
    <w:rsid w:val="007A192A"/>
    <w:rsid w:val="007A1963"/>
    <w:rsid w:val="007A1994"/>
    <w:rsid w:val="007A19B0"/>
    <w:rsid w:val="007A19D6"/>
    <w:rsid w:val="007A1B28"/>
    <w:rsid w:val="007A2148"/>
    <w:rsid w:val="007A2196"/>
    <w:rsid w:val="007A21E3"/>
    <w:rsid w:val="007A22F0"/>
    <w:rsid w:val="007A23BE"/>
    <w:rsid w:val="007A2516"/>
    <w:rsid w:val="007A2585"/>
    <w:rsid w:val="007A2809"/>
    <w:rsid w:val="007A2943"/>
    <w:rsid w:val="007A2A81"/>
    <w:rsid w:val="007A2BF2"/>
    <w:rsid w:val="007A2EBF"/>
    <w:rsid w:val="007A3059"/>
    <w:rsid w:val="007A3180"/>
    <w:rsid w:val="007A3572"/>
    <w:rsid w:val="007A3662"/>
    <w:rsid w:val="007A3675"/>
    <w:rsid w:val="007A36BA"/>
    <w:rsid w:val="007A36D8"/>
    <w:rsid w:val="007A3705"/>
    <w:rsid w:val="007A3781"/>
    <w:rsid w:val="007A37D4"/>
    <w:rsid w:val="007A3A58"/>
    <w:rsid w:val="007A3A82"/>
    <w:rsid w:val="007A3BEB"/>
    <w:rsid w:val="007A3C95"/>
    <w:rsid w:val="007A3CDE"/>
    <w:rsid w:val="007A3CF7"/>
    <w:rsid w:val="007A3D75"/>
    <w:rsid w:val="007A3D85"/>
    <w:rsid w:val="007A3E55"/>
    <w:rsid w:val="007A3FDC"/>
    <w:rsid w:val="007A415A"/>
    <w:rsid w:val="007A42DA"/>
    <w:rsid w:val="007A449F"/>
    <w:rsid w:val="007A456C"/>
    <w:rsid w:val="007A4673"/>
    <w:rsid w:val="007A4704"/>
    <w:rsid w:val="007A472E"/>
    <w:rsid w:val="007A4899"/>
    <w:rsid w:val="007A4A4D"/>
    <w:rsid w:val="007A4A81"/>
    <w:rsid w:val="007A4CC0"/>
    <w:rsid w:val="007A5063"/>
    <w:rsid w:val="007A51CA"/>
    <w:rsid w:val="007A52C2"/>
    <w:rsid w:val="007A56A8"/>
    <w:rsid w:val="007A57E1"/>
    <w:rsid w:val="007A5A2E"/>
    <w:rsid w:val="007A6147"/>
    <w:rsid w:val="007A61EA"/>
    <w:rsid w:val="007A627C"/>
    <w:rsid w:val="007A64AE"/>
    <w:rsid w:val="007A64C0"/>
    <w:rsid w:val="007A65B1"/>
    <w:rsid w:val="007A660E"/>
    <w:rsid w:val="007A66D5"/>
    <w:rsid w:val="007A6739"/>
    <w:rsid w:val="007A68A4"/>
    <w:rsid w:val="007A6903"/>
    <w:rsid w:val="007A691C"/>
    <w:rsid w:val="007A6A3A"/>
    <w:rsid w:val="007A6A52"/>
    <w:rsid w:val="007A6B2D"/>
    <w:rsid w:val="007A6E51"/>
    <w:rsid w:val="007A6EFB"/>
    <w:rsid w:val="007A7045"/>
    <w:rsid w:val="007A752B"/>
    <w:rsid w:val="007A7689"/>
    <w:rsid w:val="007A7774"/>
    <w:rsid w:val="007A78C2"/>
    <w:rsid w:val="007A7947"/>
    <w:rsid w:val="007A7960"/>
    <w:rsid w:val="007A7A51"/>
    <w:rsid w:val="007A7A68"/>
    <w:rsid w:val="007A7BB3"/>
    <w:rsid w:val="007A7F95"/>
    <w:rsid w:val="007B00E2"/>
    <w:rsid w:val="007B027D"/>
    <w:rsid w:val="007B040F"/>
    <w:rsid w:val="007B05AF"/>
    <w:rsid w:val="007B05D6"/>
    <w:rsid w:val="007B06B9"/>
    <w:rsid w:val="007B07D5"/>
    <w:rsid w:val="007B08D9"/>
    <w:rsid w:val="007B0922"/>
    <w:rsid w:val="007B0A41"/>
    <w:rsid w:val="007B0B60"/>
    <w:rsid w:val="007B0BA6"/>
    <w:rsid w:val="007B0E13"/>
    <w:rsid w:val="007B0F55"/>
    <w:rsid w:val="007B0F63"/>
    <w:rsid w:val="007B1211"/>
    <w:rsid w:val="007B1380"/>
    <w:rsid w:val="007B16FF"/>
    <w:rsid w:val="007B191E"/>
    <w:rsid w:val="007B1BC6"/>
    <w:rsid w:val="007B1C44"/>
    <w:rsid w:val="007B1E50"/>
    <w:rsid w:val="007B1F54"/>
    <w:rsid w:val="007B20CC"/>
    <w:rsid w:val="007B20CF"/>
    <w:rsid w:val="007B245B"/>
    <w:rsid w:val="007B2569"/>
    <w:rsid w:val="007B2629"/>
    <w:rsid w:val="007B276A"/>
    <w:rsid w:val="007B2BBE"/>
    <w:rsid w:val="007B2C3F"/>
    <w:rsid w:val="007B2CC2"/>
    <w:rsid w:val="007B2E07"/>
    <w:rsid w:val="007B3361"/>
    <w:rsid w:val="007B337D"/>
    <w:rsid w:val="007B34A9"/>
    <w:rsid w:val="007B3562"/>
    <w:rsid w:val="007B35F9"/>
    <w:rsid w:val="007B3768"/>
    <w:rsid w:val="007B3841"/>
    <w:rsid w:val="007B3C13"/>
    <w:rsid w:val="007B3C97"/>
    <w:rsid w:val="007B3E21"/>
    <w:rsid w:val="007B40C2"/>
    <w:rsid w:val="007B438F"/>
    <w:rsid w:val="007B4A5E"/>
    <w:rsid w:val="007B4B88"/>
    <w:rsid w:val="007B4D5B"/>
    <w:rsid w:val="007B50FC"/>
    <w:rsid w:val="007B514A"/>
    <w:rsid w:val="007B5304"/>
    <w:rsid w:val="007B55E1"/>
    <w:rsid w:val="007B5723"/>
    <w:rsid w:val="007B59F9"/>
    <w:rsid w:val="007B5D0F"/>
    <w:rsid w:val="007B5E27"/>
    <w:rsid w:val="007B5F7F"/>
    <w:rsid w:val="007B5F90"/>
    <w:rsid w:val="007B60B7"/>
    <w:rsid w:val="007B6136"/>
    <w:rsid w:val="007B61C9"/>
    <w:rsid w:val="007B649C"/>
    <w:rsid w:val="007B66A1"/>
    <w:rsid w:val="007B699D"/>
    <w:rsid w:val="007B6B52"/>
    <w:rsid w:val="007B7556"/>
    <w:rsid w:val="007B756D"/>
    <w:rsid w:val="007B7826"/>
    <w:rsid w:val="007B7886"/>
    <w:rsid w:val="007B78A5"/>
    <w:rsid w:val="007B7954"/>
    <w:rsid w:val="007B7B56"/>
    <w:rsid w:val="007B7B64"/>
    <w:rsid w:val="007B7D27"/>
    <w:rsid w:val="007B7D38"/>
    <w:rsid w:val="007B7E5F"/>
    <w:rsid w:val="007B7FC6"/>
    <w:rsid w:val="007C0025"/>
    <w:rsid w:val="007C028B"/>
    <w:rsid w:val="007C0418"/>
    <w:rsid w:val="007C0433"/>
    <w:rsid w:val="007C0604"/>
    <w:rsid w:val="007C063B"/>
    <w:rsid w:val="007C0826"/>
    <w:rsid w:val="007C0915"/>
    <w:rsid w:val="007C0A38"/>
    <w:rsid w:val="007C0B90"/>
    <w:rsid w:val="007C0BB6"/>
    <w:rsid w:val="007C0BCA"/>
    <w:rsid w:val="007C0C51"/>
    <w:rsid w:val="007C0C65"/>
    <w:rsid w:val="007C0C80"/>
    <w:rsid w:val="007C0D9B"/>
    <w:rsid w:val="007C112A"/>
    <w:rsid w:val="007C1199"/>
    <w:rsid w:val="007C136A"/>
    <w:rsid w:val="007C1498"/>
    <w:rsid w:val="007C1812"/>
    <w:rsid w:val="007C1972"/>
    <w:rsid w:val="007C19E3"/>
    <w:rsid w:val="007C1A30"/>
    <w:rsid w:val="007C1CA5"/>
    <w:rsid w:val="007C1D49"/>
    <w:rsid w:val="007C20FD"/>
    <w:rsid w:val="007C215D"/>
    <w:rsid w:val="007C2205"/>
    <w:rsid w:val="007C2316"/>
    <w:rsid w:val="007C2332"/>
    <w:rsid w:val="007C29B1"/>
    <w:rsid w:val="007C2AF2"/>
    <w:rsid w:val="007C347D"/>
    <w:rsid w:val="007C37C0"/>
    <w:rsid w:val="007C37FD"/>
    <w:rsid w:val="007C3B36"/>
    <w:rsid w:val="007C3C1A"/>
    <w:rsid w:val="007C3D50"/>
    <w:rsid w:val="007C3D84"/>
    <w:rsid w:val="007C428D"/>
    <w:rsid w:val="007C42E1"/>
    <w:rsid w:val="007C4375"/>
    <w:rsid w:val="007C43A4"/>
    <w:rsid w:val="007C44CC"/>
    <w:rsid w:val="007C4599"/>
    <w:rsid w:val="007C45B0"/>
    <w:rsid w:val="007C45BE"/>
    <w:rsid w:val="007C4978"/>
    <w:rsid w:val="007C497D"/>
    <w:rsid w:val="007C4C09"/>
    <w:rsid w:val="007C4DB3"/>
    <w:rsid w:val="007C4EFF"/>
    <w:rsid w:val="007C4FC0"/>
    <w:rsid w:val="007C4FC8"/>
    <w:rsid w:val="007C5056"/>
    <w:rsid w:val="007C53CF"/>
    <w:rsid w:val="007C54FB"/>
    <w:rsid w:val="007C56F1"/>
    <w:rsid w:val="007C5728"/>
    <w:rsid w:val="007C587D"/>
    <w:rsid w:val="007C587E"/>
    <w:rsid w:val="007C59B9"/>
    <w:rsid w:val="007C5A53"/>
    <w:rsid w:val="007C5BE1"/>
    <w:rsid w:val="007C5D4C"/>
    <w:rsid w:val="007C5F24"/>
    <w:rsid w:val="007C5F61"/>
    <w:rsid w:val="007C5FBF"/>
    <w:rsid w:val="007C60FB"/>
    <w:rsid w:val="007C61F8"/>
    <w:rsid w:val="007C6573"/>
    <w:rsid w:val="007C6707"/>
    <w:rsid w:val="007C674F"/>
    <w:rsid w:val="007C67D2"/>
    <w:rsid w:val="007C67FD"/>
    <w:rsid w:val="007C6A47"/>
    <w:rsid w:val="007C6B7A"/>
    <w:rsid w:val="007C6B7E"/>
    <w:rsid w:val="007C6BE3"/>
    <w:rsid w:val="007C6CE1"/>
    <w:rsid w:val="007C6DC6"/>
    <w:rsid w:val="007C6E49"/>
    <w:rsid w:val="007C70FC"/>
    <w:rsid w:val="007C735E"/>
    <w:rsid w:val="007C75CB"/>
    <w:rsid w:val="007C77B1"/>
    <w:rsid w:val="007C782E"/>
    <w:rsid w:val="007C78FB"/>
    <w:rsid w:val="007C7903"/>
    <w:rsid w:val="007C7907"/>
    <w:rsid w:val="007C7AA5"/>
    <w:rsid w:val="007C7B6F"/>
    <w:rsid w:val="007D02E3"/>
    <w:rsid w:val="007D0328"/>
    <w:rsid w:val="007D0559"/>
    <w:rsid w:val="007D057A"/>
    <w:rsid w:val="007D05FB"/>
    <w:rsid w:val="007D06DA"/>
    <w:rsid w:val="007D0780"/>
    <w:rsid w:val="007D08FE"/>
    <w:rsid w:val="007D0958"/>
    <w:rsid w:val="007D09A3"/>
    <w:rsid w:val="007D0E6C"/>
    <w:rsid w:val="007D0EDE"/>
    <w:rsid w:val="007D0FD5"/>
    <w:rsid w:val="007D1006"/>
    <w:rsid w:val="007D11C8"/>
    <w:rsid w:val="007D13DB"/>
    <w:rsid w:val="007D1518"/>
    <w:rsid w:val="007D1CAC"/>
    <w:rsid w:val="007D1E8B"/>
    <w:rsid w:val="007D1F3E"/>
    <w:rsid w:val="007D20E6"/>
    <w:rsid w:val="007D2102"/>
    <w:rsid w:val="007D212A"/>
    <w:rsid w:val="007D2308"/>
    <w:rsid w:val="007D2322"/>
    <w:rsid w:val="007D2332"/>
    <w:rsid w:val="007D2417"/>
    <w:rsid w:val="007D241D"/>
    <w:rsid w:val="007D25A4"/>
    <w:rsid w:val="007D2601"/>
    <w:rsid w:val="007D2672"/>
    <w:rsid w:val="007D2B88"/>
    <w:rsid w:val="007D2C13"/>
    <w:rsid w:val="007D2E29"/>
    <w:rsid w:val="007D2E79"/>
    <w:rsid w:val="007D30AE"/>
    <w:rsid w:val="007D31A4"/>
    <w:rsid w:val="007D31A6"/>
    <w:rsid w:val="007D31A7"/>
    <w:rsid w:val="007D328A"/>
    <w:rsid w:val="007D331C"/>
    <w:rsid w:val="007D3322"/>
    <w:rsid w:val="007D358E"/>
    <w:rsid w:val="007D35B3"/>
    <w:rsid w:val="007D36E9"/>
    <w:rsid w:val="007D37E1"/>
    <w:rsid w:val="007D3A35"/>
    <w:rsid w:val="007D3E9C"/>
    <w:rsid w:val="007D3FB1"/>
    <w:rsid w:val="007D403C"/>
    <w:rsid w:val="007D4614"/>
    <w:rsid w:val="007D4ACD"/>
    <w:rsid w:val="007D4C69"/>
    <w:rsid w:val="007D4D4E"/>
    <w:rsid w:val="007D4EB1"/>
    <w:rsid w:val="007D50A2"/>
    <w:rsid w:val="007D5208"/>
    <w:rsid w:val="007D529B"/>
    <w:rsid w:val="007D540B"/>
    <w:rsid w:val="007D5438"/>
    <w:rsid w:val="007D54C5"/>
    <w:rsid w:val="007D55BC"/>
    <w:rsid w:val="007D55BF"/>
    <w:rsid w:val="007D584A"/>
    <w:rsid w:val="007D5968"/>
    <w:rsid w:val="007D5A62"/>
    <w:rsid w:val="007D5AEC"/>
    <w:rsid w:val="007D5C84"/>
    <w:rsid w:val="007D5CC5"/>
    <w:rsid w:val="007D5DE1"/>
    <w:rsid w:val="007D5E8B"/>
    <w:rsid w:val="007D5FE2"/>
    <w:rsid w:val="007D5FE7"/>
    <w:rsid w:val="007D6486"/>
    <w:rsid w:val="007D651C"/>
    <w:rsid w:val="007D65FF"/>
    <w:rsid w:val="007D6677"/>
    <w:rsid w:val="007D6C31"/>
    <w:rsid w:val="007D6D9C"/>
    <w:rsid w:val="007D6E25"/>
    <w:rsid w:val="007D707B"/>
    <w:rsid w:val="007D7093"/>
    <w:rsid w:val="007D7311"/>
    <w:rsid w:val="007D777C"/>
    <w:rsid w:val="007D78D1"/>
    <w:rsid w:val="007D7934"/>
    <w:rsid w:val="007D7979"/>
    <w:rsid w:val="007D7986"/>
    <w:rsid w:val="007D7C0E"/>
    <w:rsid w:val="007D7D2B"/>
    <w:rsid w:val="007E00CC"/>
    <w:rsid w:val="007E02A5"/>
    <w:rsid w:val="007E02B0"/>
    <w:rsid w:val="007E02EF"/>
    <w:rsid w:val="007E068C"/>
    <w:rsid w:val="007E0720"/>
    <w:rsid w:val="007E074F"/>
    <w:rsid w:val="007E0870"/>
    <w:rsid w:val="007E0B67"/>
    <w:rsid w:val="007E0D9E"/>
    <w:rsid w:val="007E0EA9"/>
    <w:rsid w:val="007E0F85"/>
    <w:rsid w:val="007E103C"/>
    <w:rsid w:val="007E11B8"/>
    <w:rsid w:val="007E1233"/>
    <w:rsid w:val="007E1308"/>
    <w:rsid w:val="007E15C9"/>
    <w:rsid w:val="007E1719"/>
    <w:rsid w:val="007E19FB"/>
    <w:rsid w:val="007E19FD"/>
    <w:rsid w:val="007E1A2A"/>
    <w:rsid w:val="007E1E16"/>
    <w:rsid w:val="007E1E9D"/>
    <w:rsid w:val="007E1F6E"/>
    <w:rsid w:val="007E1F8F"/>
    <w:rsid w:val="007E1FB7"/>
    <w:rsid w:val="007E1FC2"/>
    <w:rsid w:val="007E1FDC"/>
    <w:rsid w:val="007E212C"/>
    <w:rsid w:val="007E222D"/>
    <w:rsid w:val="007E2328"/>
    <w:rsid w:val="007E2449"/>
    <w:rsid w:val="007E2506"/>
    <w:rsid w:val="007E2608"/>
    <w:rsid w:val="007E27DD"/>
    <w:rsid w:val="007E28B2"/>
    <w:rsid w:val="007E2923"/>
    <w:rsid w:val="007E2B4C"/>
    <w:rsid w:val="007E2CE2"/>
    <w:rsid w:val="007E2D06"/>
    <w:rsid w:val="007E2F2E"/>
    <w:rsid w:val="007E2F68"/>
    <w:rsid w:val="007E3039"/>
    <w:rsid w:val="007E3151"/>
    <w:rsid w:val="007E32DB"/>
    <w:rsid w:val="007E3315"/>
    <w:rsid w:val="007E3412"/>
    <w:rsid w:val="007E351D"/>
    <w:rsid w:val="007E3730"/>
    <w:rsid w:val="007E3A99"/>
    <w:rsid w:val="007E3AAE"/>
    <w:rsid w:val="007E3AF6"/>
    <w:rsid w:val="007E3AFE"/>
    <w:rsid w:val="007E3B18"/>
    <w:rsid w:val="007E3D74"/>
    <w:rsid w:val="007E3ECA"/>
    <w:rsid w:val="007E40B2"/>
    <w:rsid w:val="007E40C6"/>
    <w:rsid w:val="007E41A2"/>
    <w:rsid w:val="007E41F9"/>
    <w:rsid w:val="007E4335"/>
    <w:rsid w:val="007E43F5"/>
    <w:rsid w:val="007E45D3"/>
    <w:rsid w:val="007E45E4"/>
    <w:rsid w:val="007E4791"/>
    <w:rsid w:val="007E4823"/>
    <w:rsid w:val="007E4970"/>
    <w:rsid w:val="007E4B29"/>
    <w:rsid w:val="007E4C13"/>
    <w:rsid w:val="007E4EC2"/>
    <w:rsid w:val="007E52B2"/>
    <w:rsid w:val="007E52E6"/>
    <w:rsid w:val="007E5301"/>
    <w:rsid w:val="007E539E"/>
    <w:rsid w:val="007E54C2"/>
    <w:rsid w:val="007E5537"/>
    <w:rsid w:val="007E57DF"/>
    <w:rsid w:val="007E5BE8"/>
    <w:rsid w:val="007E5D95"/>
    <w:rsid w:val="007E5E5D"/>
    <w:rsid w:val="007E605F"/>
    <w:rsid w:val="007E625D"/>
    <w:rsid w:val="007E6299"/>
    <w:rsid w:val="007E62D7"/>
    <w:rsid w:val="007E62FA"/>
    <w:rsid w:val="007E63CC"/>
    <w:rsid w:val="007E647B"/>
    <w:rsid w:val="007E6976"/>
    <w:rsid w:val="007E698C"/>
    <w:rsid w:val="007E6A28"/>
    <w:rsid w:val="007E6D99"/>
    <w:rsid w:val="007E6DE3"/>
    <w:rsid w:val="007E6F70"/>
    <w:rsid w:val="007E6FF7"/>
    <w:rsid w:val="007E7016"/>
    <w:rsid w:val="007E7092"/>
    <w:rsid w:val="007E7257"/>
    <w:rsid w:val="007E731C"/>
    <w:rsid w:val="007E760A"/>
    <w:rsid w:val="007E771F"/>
    <w:rsid w:val="007E779B"/>
    <w:rsid w:val="007E77F7"/>
    <w:rsid w:val="007E78B7"/>
    <w:rsid w:val="007E7AEC"/>
    <w:rsid w:val="007E7BCD"/>
    <w:rsid w:val="007E7E7F"/>
    <w:rsid w:val="007F00CB"/>
    <w:rsid w:val="007F00DD"/>
    <w:rsid w:val="007F0146"/>
    <w:rsid w:val="007F016E"/>
    <w:rsid w:val="007F027F"/>
    <w:rsid w:val="007F03C0"/>
    <w:rsid w:val="007F0498"/>
    <w:rsid w:val="007F0508"/>
    <w:rsid w:val="007F071E"/>
    <w:rsid w:val="007F077C"/>
    <w:rsid w:val="007F07FB"/>
    <w:rsid w:val="007F0B0E"/>
    <w:rsid w:val="007F0B9D"/>
    <w:rsid w:val="007F0C19"/>
    <w:rsid w:val="007F0FFA"/>
    <w:rsid w:val="007F10B5"/>
    <w:rsid w:val="007F1187"/>
    <w:rsid w:val="007F11EF"/>
    <w:rsid w:val="007F11F0"/>
    <w:rsid w:val="007F125F"/>
    <w:rsid w:val="007F12A7"/>
    <w:rsid w:val="007F131E"/>
    <w:rsid w:val="007F1432"/>
    <w:rsid w:val="007F1608"/>
    <w:rsid w:val="007F1679"/>
    <w:rsid w:val="007F1735"/>
    <w:rsid w:val="007F1876"/>
    <w:rsid w:val="007F18B0"/>
    <w:rsid w:val="007F1B2B"/>
    <w:rsid w:val="007F1DC0"/>
    <w:rsid w:val="007F214F"/>
    <w:rsid w:val="007F21AC"/>
    <w:rsid w:val="007F21E6"/>
    <w:rsid w:val="007F2231"/>
    <w:rsid w:val="007F2277"/>
    <w:rsid w:val="007F26B9"/>
    <w:rsid w:val="007F2713"/>
    <w:rsid w:val="007F285B"/>
    <w:rsid w:val="007F285F"/>
    <w:rsid w:val="007F2862"/>
    <w:rsid w:val="007F2C33"/>
    <w:rsid w:val="007F2D5A"/>
    <w:rsid w:val="007F2D5C"/>
    <w:rsid w:val="007F2F7B"/>
    <w:rsid w:val="007F30FA"/>
    <w:rsid w:val="007F3679"/>
    <w:rsid w:val="007F36CB"/>
    <w:rsid w:val="007F36CF"/>
    <w:rsid w:val="007F390D"/>
    <w:rsid w:val="007F3B49"/>
    <w:rsid w:val="007F3D31"/>
    <w:rsid w:val="007F3F03"/>
    <w:rsid w:val="007F4052"/>
    <w:rsid w:val="007F42F2"/>
    <w:rsid w:val="007F45A3"/>
    <w:rsid w:val="007F4849"/>
    <w:rsid w:val="007F48C5"/>
    <w:rsid w:val="007F48DB"/>
    <w:rsid w:val="007F48FD"/>
    <w:rsid w:val="007F4C05"/>
    <w:rsid w:val="007F4CCD"/>
    <w:rsid w:val="007F512D"/>
    <w:rsid w:val="007F51F4"/>
    <w:rsid w:val="007F521D"/>
    <w:rsid w:val="007F5477"/>
    <w:rsid w:val="007F54B0"/>
    <w:rsid w:val="007F54FE"/>
    <w:rsid w:val="007F5845"/>
    <w:rsid w:val="007F586D"/>
    <w:rsid w:val="007F597A"/>
    <w:rsid w:val="007F597F"/>
    <w:rsid w:val="007F5986"/>
    <w:rsid w:val="007F5A38"/>
    <w:rsid w:val="007F5C3F"/>
    <w:rsid w:val="007F606B"/>
    <w:rsid w:val="007F6267"/>
    <w:rsid w:val="007F63EF"/>
    <w:rsid w:val="007F6773"/>
    <w:rsid w:val="007F689B"/>
    <w:rsid w:val="007F68B0"/>
    <w:rsid w:val="007F6950"/>
    <w:rsid w:val="007F6999"/>
    <w:rsid w:val="007F699A"/>
    <w:rsid w:val="007F6AEA"/>
    <w:rsid w:val="007F6DAE"/>
    <w:rsid w:val="007F6DE5"/>
    <w:rsid w:val="007F6EC1"/>
    <w:rsid w:val="007F6EDD"/>
    <w:rsid w:val="007F704C"/>
    <w:rsid w:val="007F71EE"/>
    <w:rsid w:val="007F7262"/>
    <w:rsid w:val="007F72E2"/>
    <w:rsid w:val="007F749C"/>
    <w:rsid w:val="007F7829"/>
    <w:rsid w:val="007F7881"/>
    <w:rsid w:val="007F7885"/>
    <w:rsid w:val="007F7990"/>
    <w:rsid w:val="007F7BA9"/>
    <w:rsid w:val="007F7CCD"/>
    <w:rsid w:val="008000DB"/>
    <w:rsid w:val="008000EA"/>
    <w:rsid w:val="008003A2"/>
    <w:rsid w:val="00800684"/>
    <w:rsid w:val="00800690"/>
    <w:rsid w:val="00800956"/>
    <w:rsid w:val="00800A99"/>
    <w:rsid w:val="00800BA4"/>
    <w:rsid w:val="00800D1E"/>
    <w:rsid w:val="0080126B"/>
    <w:rsid w:val="008015BE"/>
    <w:rsid w:val="0080177C"/>
    <w:rsid w:val="00801BD3"/>
    <w:rsid w:val="00801D75"/>
    <w:rsid w:val="00801E19"/>
    <w:rsid w:val="00801E34"/>
    <w:rsid w:val="00801E90"/>
    <w:rsid w:val="00801F64"/>
    <w:rsid w:val="00801FAD"/>
    <w:rsid w:val="00802115"/>
    <w:rsid w:val="0080220E"/>
    <w:rsid w:val="00802363"/>
    <w:rsid w:val="00802454"/>
    <w:rsid w:val="008024A6"/>
    <w:rsid w:val="008024D0"/>
    <w:rsid w:val="00802847"/>
    <w:rsid w:val="0080286D"/>
    <w:rsid w:val="008028C8"/>
    <w:rsid w:val="00802DB1"/>
    <w:rsid w:val="00802EBB"/>
    <w:rsid w:val="00802FDD"/>
    <w:rsid w:val="00803023"/>
    <w:rsid w:val="0080310F"/>
    <w:rsid w:val="008032C4"/>
    <w:rsid w:val="00803328"/>
    <w:rsid w:val="0080332A"/>
    <w:rsid w:val="00803552"/>
    <w:rsid w:val="008038EE"/>
    <w:rsid w:val="00803ABD"/>
    <w:rsid w:val="00803B3F"/>
    <w:rsid w:val="00803B74"/>
    <w:rsid w:val="00803C7B"/>
    <w:rsid w:val="00803CFB"/>
    <w:rsid w:val="00803E63"/>
    <w:rsid w:val="008043B0"/>
    <w:rsid w:val="008043DE"/>
    <w:rsid w:val="00804420"/>
    <w:rsid w:val="008044E8"/>
    <w:rsid w:val="008044F2"/>
    <w:rsid w:val="008045B1"/>
    <w:rsid w:val="00804754"/>
    <w:rsid w:val="00804989"/>
    <w:rsid w:val="00804B21"/>
    <w:rsid w:val="00804BDE"/>
    <w:rsid w:val="00804BF3"/>
    <w:rsid w:val="00804C0C"/>
    <w:rsid w:val="00804C23"/>
    <w:rsid w:val="00804D6C"/>
    <w:rsid w:val="00804ECF"/>
    <w:rsid w:val="00805141"/>
    <w:rsid w:val="0080524B"/>
    <w:rsid w:val="00805310"/>
    <w:rsid w:val="008055C4"/>
    <w:rsid w:val="00805612"/>
    <w:rsid w:val="0080561E"/>
    <w:rsid w:val="008057B3"/>
    <w:rsid w:val="00805FE7"/>
    <w:rsid w:val="00806049"/>
    <w:rsid w:val="00806484"/>
    <w:rsid w:val="0080651A"/>
    <w:rsid w:val="008068A6"/>
    <w:rsid w:val="00806A06"/>
    <w:rsid w:val="00806A66"/>
    <w:rsid w:val="00806B12"/>
    <w:rsid w:val="00806C7B"/>
    <w:rsid w:val="00807056"/>
    <w:rsid w:val="00807681"/>
    <w:rsid w:val="00807756"/>
    <w:rsid w:val="008078BB"/>
    <w:rsid w:val="00807920"/>
    <w:rsid w:val="00807992"/>
    <w:rsid w:val="008079D1"/>
    <w:rsid w:val="008079F0"/>
    <w:rsid w:val="00807B26"/>
    <w:rsid w:val="00807C7E"/>
    <w:rsid w:val="00807E88"/>
    <w:rsid w:val="00810050"/>
    <w:rsid w:val="0081040F"/>
    <w:rsid w:val="008109CF"/>
    <w:rsid w:val="00810DBC"/>
    <w:rsid w:val="00810DF3"/>
    <w:rsid w:val="0081101C"/>
    <w:rsid w:val="00811039"/>
    <w:rsid w:val="00811050"/>
    <w:rsid w:val="00811214"/>
    <w:rsid w:val="008112BE"/>
    <w:rsid w:val="0081132B"/>
    <w:rsid w:val="008113DA"/>
    <w:rsid w:val="008115BC"/>
    <w:rsid w:val="008118AD"/>
    <w:rsid w:val="00811B73"/>
    <w:rsid w:val="00811C5E"/>
    <w:rsid w:val="00811D88"/>
    <w:rsid w:val="00811DDF"/>
    <w:rsid w:val="00811DF9"/>
    <w:rsid w:val="00812019"/>
    <w:rsid w:val="008120E3"/>
    <w:rsid w:val="00812357"/>
    <w:rsid w:val="008123FE"/>
    <w:rsid w:val="008126D4"/>
    <w:rsid w:val="00812B48"/>
    <w:rsid w:val="00812C2A"/>
    <w:rsid w:val="00812ED4"/>
    <w:rsid w:val="00812F56"/>
    <w:rsid w:val="00812FDB"/>
    <w:rsid w:val="0081315D"/>
    <w:rsid w:val="00813201"/>
    <w:rsid w:val="00813352"/>
    <w:rsid w:val="00813434"/>
    <w:rsid w:val="0081343D"/>
    <w:rsid w:val="0081346F"/>
    <w:rsid w:val="008134CF"/>
    <w:rsid w:val="00813508"/>
    <w:rsid w:val="00813517"/>
    <w:rsid w:val="008135F6"/>
    <w:rsid w:val="00813711"/>
    <w:rsid w:val="0081390F"/>
    <w:rsid w:val="00813924"/>
    <w:rsid w:val="00813948"/>
    <w:rsid w:val="008139D0"/>
    <w:rsid w:val="00813BC8"/>
    <w:rsid w:val="00813C5C"/>
    <w:rsid w:val="00813CAC"/>
    <w:rsid w:val="00813CF0"/>
    <w:rsid w:val="00813D71"/>
    <w:rsid w:val="00813F54"/>
    <w:rsid w:val="00814007"/>
    <w:rsid w:val="008140A9"/>
    <w:rsid w:val="00814166"/>
    <w:rsid w:val="00814397"/>
    <w:rsid w:val="0081443C"/>
    <w:rsid w:val="00814724"/>
    <w:rsid w:val="00814972"/>
    <w:rsid w:val="00814A53"/>
    <w:rsid w:val="00814CD7"/>
    <w:rsid w:val="00814DC7"/>
    <w:rsid w:val="00814EA1"/>
    <w:rsid w:val="00814EEC"/>
    <w:rsid w:val="00815187"/>
    <w:rsid w:val="00815405"/>
    <w:rsid w:val="00815480"/>
    <w:rsid w:val="008155EA"/>
    <w:rsid w:val="008157F5"/>
    <w:rsid w:val="008158BA"/>
    <w:rsid w:val="00815917"/>
    <w:rsid w:val="00815A69"/>
    <w:rsid w:val="00815B1B"/>
    <w:rsid w:val="00815CB3"/>
    <w:rsid w:val="00815E8F"/>
    <w:rsid w:val="00816207"/>
    <w:rsid w:val="00816252"/>
    <w:rsid w:val="00816284"/>
    <w:rsid w:val="008163BC"/>
    <w:rsid w:val="008164A8"/>
    <w:rsid w:val="00816772"/>
    <w:rsid w:val="008167E8"/>
    <w:rsid w:val="008168A3"/>
    <w:rsid w:val="008169B4"/>
    <w:rsid w:val="00816B65"/>
    <w:rsid w:val="00816BE3"/>
    <w:rsid w:val="00816D32"/>
    <w:rsid w:val="00816E8A"/>
    <w:rsid w:val="008170CE"/>
    <w:rsid w:val="008171AC"/>
    <w:rsid w:val="008171F1"/>
    <w:rsid w:val="00817261"/>
    <w:rsid w:val="0081730E"/>
    <w:rsid w:val="008175B6"/>
    <w:rsid w:val="008175DD"/>
    <w:rsid w:val="008175EF"/>
    <w:rsid w:val="008178B3"/>
    <w:rsid w:val="008179B9"/>
    <w:rsid w:val="008179E2"/>
    <w:rsid w:val="00817A5C"/>
    <w:rsid w:val="00817C5E"/>
    <w:rsid w:val="00817F44"/>
    <w:rsid w:val="00817F7D"/>
    <w:rsid w:val="008200AE"/>
    <w:rsid w:val="008203E0"/>
    <w:rsid w:val="00820481"/>
    <w:rsid w:val="008204C3"/>
    <w:rsid w:val="008205D6"/>
    <w:rsid w:val="00820B4D"/>
    <w:rsid w:val="00820BD0"/>
    <w:rsid w:val="00820EFE"/>
    <w:rsid w:val="00820F63"/>
    <w:rsid w:val="00821304"/>
    <w:rsid w:val="00821666"/>
    <w:rsid w:val="00821856"/>
    <w:rsid w:val="00821CA7"/>
    <w:rsid w:val="00821D6A"/>
    <w:rsid w:val="00821FA6"/>
    <w:rsid w:val="008221A6"/>
    <w:rsid w:val="008222AC"/>
    <w:rsid w:val="008223F5"/>
    <w:rsid w:val="00822572"/>
    <w:rsid w:val="00822630"/>
    <w:rsid w:val="00822671"/>
    <w:rsid w:val="008227E6"/>
    <w:rsid w:val="008228FF"/>
    <w:rsid w:val="0082295A"/>
    <w:rsid w:val="00822A02"/>
    <w:rsid w:val="00822B80"/>
    <w:rsid w:val="00822CEA"/>
    <w:rsid w:val="00822DBD"/>
    <w:rsid w:val="00822EE4"/>
    <w:rsid w:val="00822F3B"/>
    <w:rsid w:val="00823003"/>
    <w:rsid w:val="0082317C"/>
    <w:rsid w:val="00823190"/>
    <w:rsid w:val="008232A6"/>
    <w:rsid w:val="00823324"/>
    <w:rsid w:val="008235E7"/>
    <w:rsid w:val="00823997"/>
    <w:rsid w:val="00823A45"/>
    <w:rsid w:val="00823AB2"/>
    <w:rsid w:val="00823EAD"/>
    <w:rsid w:val="00823EE1"/>
    <w:rsid w:val="008240E1"/>
    <w:rsid w:val="00824253"/>
    <w:rsid w:val="0082437C"/>
    <w:rsid w:val="008243CE"/>
    <w:rsid w:val="00824458"/>
    <w:rsid w:val="008244A4"/>
    <w:rsid w:val="008245F0"/>
    <w:rsid w:val="00824838"/>
    <w:rsid w:val="0082484D"/>
    <w:rsid w:val="00824922"/>
    <w:rsid w:val="0082497D"/>
    <w:rsid w:val="00824A8D"/>
    <w:rsid w:val="00824B70"/>
    <w:rsid w:val="00824C61"/>
    <w:rsid w:val="00824EA5"/>
    <w:rsid w:val="00824FE0"/>
    <w:rsid w:val="008250B7"/>
    <w:rsid w:val="00825256"/>
    <w:rsid w:val="008252D9"/>
    <w:rsid w:val="00825518"/>
    <w:rsid w:val="008255B2"/>
    <w:rsid w:val="0082561F"/>
    <w:rsid w:val="00825968"/>
    <w:rsid w:val="00825A2F"/>
    <w:rsid w:val="00825AB7"/>
    <w:rsid w:val="00826104"/>
    <w:rsid w:val="00826226"/>
    <w:rsid w:val="008262A2"/>
    <w:rsid w:val="00826335"/>
    <w:rsid w:val="00826485"/>
    <w:rsid w:val="00826577"/>
    <w:rsid w:val="0082669E"/>
    <w:rsid w:val="008266FB"/>
    <w:rsid w:val="008267FC"/>
    <w:rsid w:val="00826906"/>
    <w:rsid w:val="00826A6C"/>
    <w:rsid w:val="00826D29"/>
    <w:rsid w:val="00826D33"/>
    <w:rsid w:val="00826D53"/>
    <w:rsid w:val="0082708C"/>
    <w:rsid w:val="008270E1"/>
    <w:rsid w:val="008270E3"/>
    <w:rsid w:val="00827273"/>
    <w:rsid w:val="00827319"/>
    <w:rsid w:val="00827342"/>
    <w:rsid w:val="008277D9"/>
    <w:rsid w:val="008278A8"/>
    <w:rsid w:val="008279B0"/>
    <w:rsid w:val="00827A05"/>
    <w:rsid w:val="00827AC4"/>
    <w:rsid w:val="00827B9B"/>
    <w:rsid w:val="00827D21"/>
    <w:rsid w:val="00827D83"/>
    <w:rsid w:val="00830052"/>
    <w:rsid w:val="00830070"/>
    <w:rsid w:val="00830108"/>
    <w:rsid w:val="00830179"/>
    <w:rsid w:val="00830250"/>
    <w:rsid w:val="008302F8"/>
    <w:rsid w:val="008303AA"/>
    <w:rsid w:val="008304C7"/>
    <w:rsid w:val="0083059B"/>
    <w:rsid w:val="00830674"/>
    <w:rsid w:val="0083067E"/>
    <w:rsid w:val="00830976"/>
    <w:rsid w:val="00830C84"/>
    <w:rsid w:val="00830D20"/>
    <w:rsid w:val="00830E6B"/>
    <w:rsid w:val="00830E72"/>
    <w:rsid w:val="0083106F"/>
    <w:rsid w:val="0083109B"/>
    <w:rsid w:val="00831347"/>
    <w:rsid w:val="008316A1"/>
    <w:rsid w:val="00831842"/>
    <w:rsid w:val="00831912"/>
    <w:rsid w:val="0083199E"/>
    <w:rsid w:val="00831A2D"/>
    <w:rsid w:val="00831A3A"/>
    <w:rsid w:val="00831A68"/>
    <w:rsid w:val="00831C75"/>
    <w:rsid w:val="00831C88"/>
    <w:rsid w:val="00831D4E"/>
    <w:rsid w:val="00831D88"/>
    <w:rsid w:val="00831DED"/>
    <w:rsid w:val="00831E11"/>
    <w:rsid w:val="00832056"/>
    <w:rsid w:val="0083206D"/>
    <w:rsid w:val="0083243B"/>
    <w:rsid w:val="00832582"/>
    <w:rsid w:val="0083271C"/>
    <w:rsid w:val="0083275D"/>
    <w:rsid w:val="00832831"/>
    <w:rsid w:val="0083295A"/>
    <w:rsid w:val="00832AF7"/>
    <w:rsid w:val="00832D82"/>
    <w:rsid w:val="00832E1F"/>
    <w:rsid w:val="00832F5D"/>
    <w:rsid w:val="008331D0"/>
    <w:rsid w:val="00833256"/>
    <w:rsid w:val="008333CD"/>
    <w:rsid w:val="008333F2"/>
    <w:rsid w:val="008336BA"/>
    <w:rsid w:val="008336BC"/>
    <w:rsid w:val="008336EF"/>
    <w:rsid w:val="00833A3B"/>
    <w:rsid w:val="00833C0F"/>
    <w:rsid w:val="00833D7F"/>
    <w:rsid w:val="00833E08"/>
    <w:rsid w:val="00833EA4"/>
    <w:rsid w:val="00833F63"/>
    <w:rsid w:val="00833FAC"/>
    <w:rsid w:val="0083407E"/>
    <w:rsid w:val="0083410E"/>
    <w:rsid w:val="0083412A"/>
    <w:rsid w:val="00834157"/>
    <w:rsid w:val="00834307"/>
    <w:rsid w:val="008343E3"/>
    <w:rsid w:val="00834579"/>
    <w:rsid w:val="00834757"/>
    <w:rsid w:val="008347EE"/>
    <w:rsid w:val="00834A2F"/>
    <w:rsid w:val="00834CE4"/>
    <w:rsid w:val="0083503F"/>
    <w:rsid w:val="008350B6"/>
    <w:rsid w:val="008353F6"/>
    <w:rsid w:val="00835572"/>
    <w:rsid w:val="008355E2"/>
    <w:rsid w:val="008355EB"/>
    <w:rsid w:val="008357E2"/>
    <w:rsid w:val="00835872"/>
    <w:rsid w:val="00835A03"/>
    <w:rsid w:val="00835C48"/>
    <w:rsid w:val="00835D9B"/>
    <w:rsid w:val="00835E24"/>
    <w:rsid w:val="00835EC2"/>
    <w:rsid w:val="00835F09"/>
    <w:rsid w:val="00835F35"/>
    <w:rsid w:val="0083611F"/>
    <w:rsid w:val="00836137"/>
    <w:rsid w:val="0083615A"/>
    <w:rsid w:val="008362DE"/>
    <w:rsid w:val="0083649F"/>
    <w:rsid w:val="00836A37"/>
    <w:rsid w:val="00836A4B"/>
    <w:rsid w:val="00836BD8"/>
    <w:rsid w:val="00836C1E"/>
    <w:rsid w:val="00836D96"/>
    <w:rsid w:val="00836DF2"/>
    <w:rsid w:val="00836E9B"/>
    <w:rsid w:val="00836EC3"/>
    <w:rsid w:val="00837246"/>
    <w:rsid w:val="0083729F"/>
    <w:rsid w:val="008375F2"/>
    <w:rsid w:val="0083782E"/>
    <w:rsid w:val="00837D89"/>
    <w:rsid w:val="00837DC1"/>
    <w:rsid w:val="00837E5B"/>
    <w:rsid w:val="00837E7C"/>
    <w:rsid w:val="0084022A"/>
    <w:rsid w:val="00840234"/>
    <w:rsid w:val="008402D8"/>
    <w:rsid w:val="0084044A"/>
    <w:rsid w:val="008404CC"/>
    <w:rsid w:val="008405F4"/>
    <w:rsid w:val="0084072D"/>
    <w:rsid w:val="00840897"/>
    <w:rsid w:val="00840A1A"/>
    <w:rsid w:val="00840A47"/>
    <w:rsid w:val="00840C47"/>
    <w:rsid w:val="00840D42"/>
    <w:rsid w:val="00841294"/>
    <w:rsid w:val="00841395"/>
    <w:rsid w:val="008419CF"/>
    <w:rsid w:val="00841A10"/>
    <w:rsid w:val="00841ABF"/>
    <w:rsid w:val="00841B20"/>
    <w:rsid w:val="00841B34"/>
    <w:rsid w:val="00841BAF"/>
    <w:rsid w:val="00841BE2"/>
    <w:rsid w:val="00841D76"/>
    <w:rsid w:val="008422E2"/>
    <w:rsid w:val="00842492"/>
    <w:rsid w:val="00842673"/>
    <w:rsid w:val="0084268E"/>
    <w:rsid w:val="008426CE"/>
    <w:rsid w:val="0084290E"/>
    <w:rsid w:val="00842A61"/>
    <w:rsid w:val="00842AF3"/>
    <w:rsid w:val="00842B52"/>
    <w:rsid w:val="00842C33"/>
    <w:rsid w:val="00842C54"/>
    <w:rsid w:val="00842CD6"/>
    <w:rsid w:val="00842F41"/>
    <w:rsid w:val="00843063"/>
    <w:rsid w:val="008430C7"/>
    <w:rsid w:val="00843192"/>
    <w:rsid w:val="008432B4"/>
    <w:rsid w:val="0084358B"/>
    <w:rsid w:val="0084362D"/>
    <w:rsid w:val="008438F7"/>
    <w:rsid w:val="00843A20"/>
    <w:rsid w:val="00843B12"/>
    <w:rsid w:val="00843B7F"/>
    <w:rsid w:val="00843C39"/>
    <w:rsid w:val="00843C7A"/>
    <w:rsid w:val="008440E1"/>
    <w:rsid w:val="008440F0"/>
    <w:rsid w:val="008441C4"/>
    <w:rsid w:val="008443BB"/>
    <w:rsid w:val="00844535"/>
    <w:rsid w:val="00844645"/>
    <w:rsid w:val="008449F4"/>
    <w:rsid w:val="00844CC4"/>
    <w:rsid w:val="00844D46"/>
    <w:rsid w:val="00844DC8"/>
    <w:rsid w:val="00844E75"/>
    <w:rsid w:val="008450BA"/>
    <w:rsid w:val="008453C2"/>
    <w:rsid w:val="008453D4"/>
    <w:rsid w:val="008453F0"/>
    <w:rsid w:val="008453F9"/>
    <w:rsid w:val="00845485"/>
    <w:rsid w:val="0084551E"/>
    <w:rsid w:val="0084575F"/>
    <w:rsid w:val="008457FE"/>
    <w:rsid w:val="00845991"/>
    <w:rsid w:val="00845A07"/>
    <w:rsid w:val="00845C8D"/>
    <w:rsid w:val="00845FD8"/>
    <w:rsid w:val="0084609B"/>
    <w:rsid w:val="00846263"/>
    <w:rsid w:val="008462C2"/>
    <w:rsid w:val="00846316"/>
    <w:rsid w:val="008465B4"/>
    <w:rsid w:val="0084682C"/>
    <w:rsid w:val="0084686B"/>
    <w:rsid w:val="008469A3"/>
    <w:rsid w:val="00846B0D"/>
    <w:rsid w:val="00846BEA"/>
    <w:rsid w:val="00846CF9"/>
    <w:rsid w:val="00846E2C"/>
    <w:rsid w:val="00846F47"/>
    <w:rsid w:val="00846F77"/>
    <w:rsid w:val="00847000"/>
    <w:rsid w:val="0084710A"/>
    <w:rsid w:val="0084728C"/>
    <w:rsid w:val="008473CE"/>
    <w:rsid w:val="008473E6"/>
    <w:rsid w:val="00847443"/>
    <w:rsid w:val="0084749C"/>
    <w:rsid w:val="00847663"/>
    <w:rsid w:val="0084785B"/>
    <w:rsid w:val="00847861"/>
    <w:rsid w:val="00847887"/>
    <w:rsid w:val="008478E9"/>
    <w:rsid w:val="0084794F"/>
    <w:rsid w:val="00847A47"/>
    <w:rsid w:val="00847BFD"/>
    <w:rsid w:val="00847D0C"/>
    <w:rsid w:val="00847DC5"/>
    <w:rsid w:val="00847F1C"/>
    <w:rsid w:val="00847F3D"/>
    <w:rsid w:val="00847F9B"/>
    <w:rsid w:val="00847FAE"/>
    <w:rsid w:val="00847FF8"/>
    <w:rsid w:val="0085010C"/>
    <w:rsid w:val="00850385"/>
    <w:rsid w:val="0085063B"/>
    <w:rsid w:val="00850654"/>
    <w:rsid w:val="00850834"/>
    <w:rsid w:val="008509B7"/>
    <w:rsid w:val="00850B3E"/>
    <w:rsid w:val="00850BAE"/>
    <w:rsid w:val="00850C1E"/>
    <w:rsid w:val="00850DAC"/>
    <w:rsid w:val="00850F74"/>
    <w:rsid w:val="008512F1"/>
    <w:rsid w:val="008513EC"/>
    <w:rsid w:val="0085144F"/>
    <w:rsid w:val="0085153E"/>
    <w:rsid w:val="00851778"/>
    <w:rsid w:val="00851884"/>
    <w:rsid w:val="00851899"/>
    <w:rsid w:val="00851A47"/>
    <w:rsid w:val="00851D62"/>
    <w:rsid w:val="00851E16"/>
    <w:rsid w:val="00851EE3"/>
    <w:rsid w:val="00852046"/>
    <w:rsid w:val="00852135"/>
    <w:rsid w:val="008521F1"/>
    <w:rsid w:val="00852493"/>
    <w:rsid w:val="008524F8"/>
    <w:rsid w:val="008525E9"/>
    <w:rsid w:val="008526A7"/>
    <w:rsid w:val="008526FE"/>
    <w:rsid w:val="008527B3"/>
    <w:rsid w:val="00852813"/>
    <w:rsid w:val="00852BF0"/>
    <w:rsid w:val="00852D1F"/>
    <w:rsid w:val="00852D39"/>
    <w:rsid w:val="00852D44"/>
    <w:rsid w:val="00852F2C"/>
    <w:rsid w:val="00852F55"/>
    <w:rsid w:val="008533C2"/>
    <w:rsid w:val="00853547"/>
    <w:rsid w:val="008537FD"/>
    <w:rsid w:val="00853911"/>
    <w:rsid w:val="00853B0C"/>
    <w:rsid w:val="00853BAB"/>
    <w:rsid w:val="00853C6E"/>
    <w:rsid w:val="00853C80"/>
    <w:rsid w:val="00853D01"/>
    <w:rsid w:val="00853D96"/>
    <w:rsid w:val="00853FF1"/>
    <w:rsid w:val="008541AF"/>
    <w:rsid w:val="008543BD"/>
    <w:rsid w:val="00854451"/>
    <w:rsid w:val="0085447D"/>
    <w:rsid w:val="008544B5"/>
    <w:rsid w:val="008544E4"/>
    <w:rsid w:val="008546CA"/>
    <w:rsid w:val="00854B55"/>
    <w:rsid w:val="00854BDA"/>
    <w:rsid w:val="00854C30"/>
    <w:rsid w:val="00854C93"/>
    <w:rsid w:val="00854D4C"/>
    <w:rsid w:val="00854E09"/>
    <w:rsid w:val="00854F06"/>
    <w:rsid w:val="00855006"/>
    <w:rsid w:val="0085508F"/>
    <w:rsid w:val="008551CC"/>
    <w:rsid w:val="00855244"/>
    <w:rsid w:val="0085532A"/>
    <w:rsid w:val="00855614"/>
    <w:rsid w:val="008559DA"/>
    <w:rsid w:val="00855A7B"/>
    <w:rsid w:val="00855AB3"/>
    <w:rsid w:val="00855BA9"/>
    <w:rsid w:val="00855D19"/>
    <w:rsid w:val="00855D55"/>
    <w:rsid w:val="00855D63"/>
    <w:rsid w:val="00855F44"/>
    <w:rsid w:val="00855FFE"/>
    <w:rsid w:val="0085622A"/>
    <w:rsid w:val="0085625F"/>
    <w:rsid w:val="00856385"/>
    <w:rsid w:val="008563EE"/>
    <w:rsid w:val="008564BF"/>
    <w:rsid w:val="008569A8"/>
    <w:rsid w:val="00856A06"/>
    <w:rsid w:val="00856A4F"/>
    <w:rsid w:val="00856D90"/>
    <w:rsid w:val="00856F9E"/>
    <w:rsid w:val="00857107"/>
    <w:rsid w:val="00857133"/>
    <w:rsid w:val="0085749A"/>
    <w:rsid w:val="008574C8"/>
    <w:rsid w:val="00857523"/>
    <w:rsid w:val="0085773B"/>
    <w:rsid w:val="00857829"/>
    <w:rsid w:val="00857861"/>
    <w:rsid w:val="00857A2D"/>
    <w:rsid w:val="00857D0D"/>
    <w:rsid w:val="00857F78"/>
    <w:rsid w:val="00857F90"/>
    <w:rsid w:val="0086004C"/>
    <w:rsid w:val="008600FA"/>
    <w:rsid w:val="00860238"/>
    <w:rsid w:val="00860475"/>
    <w:rsid w:val="0086048D"/>
    <w:rsid w:val="008604B3"/>
    <w:rsid w:val="008606CF"/>
    <w:rsid w:val="00860766"/>
    <w:rsid w:val="008607BB"/>
    <w:rsid w:val="00860956"/>
    <w:rsid w:val="00860AE3"/>
    <w:rsid w:val="00860B0C"/>
    <w:rsid w:val="00860B55"/>
    <w:rsid w:val="00860BDA"/>
    <w:rsid w:val="00860E57"/>
    <w:rsid w:val="00860F9A"/>
    <w:rsid w:val="00860FCC"/>
    <w:rsid w:val="00860FFB"/>
    <w:rsid w:val="0086106B"/>
    <w:rsid w:val="0086137E"/>
    <w:rsid w:val="00861437"/>
    <w:rsid w:val="008615B5"/>
    <w:rsid w:val="0086161C"/>
    <w:rsid w:val="00861746"/>
    <w:rsid w:val="008618C8"/>
    <w:rsid w:val="00861ACF"/>
    <w:rsid w:val="00861DB2"/>
    <w:rsid w:val="00861DD0"/>
    <w:rsid w:val="00861EDD"/>
    <w:rsid w:val="00861F3E"/>
    <w:rsid w:val="008620AD"/>
    <w:rsid w:val="0086230B"/>
    <w:rsid w:val="0086237D"/>
    <w:rsid w:val="008623B6"/>
    <w:rsid w:val="008624E9"/>
    <w:rsid w:val="008626B6"/>
    <w:rsid w:val="008626BA"/>
    <w:rsid w:val="00862700"/>
    <w:rsid w:val="00862710"/>
    <w:rsid w:val="0086276C"/>
    <w:rsid w:val="00862B96"/>
    <w:rsid w:val="00862D0C"/>
    <w:rsid w:val="00863220"/>
    <w:rsid w:val="008633D8"/>
    <w:rsid w:val="00863642"/>
    <w:rsid w:val="00863947"/>
    <w:rsid w:val="00863AFA"/>
    <w:rsid w:val="00863F65"/>
    <w:rsid w:val="00863FA8"/>
    <w:rsid w:val="00864041"/>
    <w:rsid w:val="008640D3"/>
    <w:rsid w:val="00864181"/>
    <w:rsid w:val="008641AD"/>
    <w:rsid w:val="0086429C"/>
    <w:rsid w:val="008643B5"/>
    <w:rsid w:val="008644B5"/>
    <w:rsid w:val="00864569"/>
    <w:rsid w:val="008646B4"/>
    <w:rsid w:val="00864786"/>
    <w:rsid w:val="008647A5"/>
    <w:rsid w:val="0086497E"/>
    <w:rsid w:val="00864AF6"/>
    <w:rsid w:val="00864D4F"/>
    <w:rsid w:val="00864F20"/>
    <w:rsid w:val="00864F9B"/>
    <w:rsid w:val="00864FCA"/>
    <w:rsid w:val="008651EB"/>
    <w:rsid w:val="00865360"/>
    <w:rsid w:val="008654E1"/>
    <w:rsid w:val="008654E4"/>
    <w:rsid w:val="00865617"/>
    <w:rsid w:val="0086574C"/>
    <w:rsid w:val="00865AA1"/>
    <w:rsid w:val="00865BEB"/>
    <w:rsid w:val="00865CE8"/>
    <w:rsid w:val="00865D09"/>
    <w:rsid w:val="00865D8F"/>
    <w:rsid w:val="00865F0B"/>
    <w:rsid w:val="00865FFC"/>
    <w:rsid w:val="008661E3"/>
    <w:rsid w:val="00866886"/>
    <w:rsid w:val="00866923"/>
    <w:rsid w:val="00866BAD"/>
    <w:rsid w:val="00866BDE"/>
    <w:rsid w:val="00866D03"/>
    <w:rsid w:val="00866D61"/>
    <w:rsid w:val="00866DA7"/>
    <w:rsid w:val="008670F8"/>
    <w:rsid w:val="00867542"/>
    <w:rsid w:val="008676AD"/>
    <w:rsid w:val="0086772A"/>
    <w:rsid w:val="008677A3"/>
    <w:rsid w:val="008677E5"/>
    <w:rsid w:val="00867879"/>
    <w:rsid w:val="008678C6"/>
    <w:rsid w:val="0086795E"/>
    <w:rsid w:val="00867E3D"/>
    <w:rsid w:val="00867FF7"/>
    <w:rsid w:val="008700F0"/>
    <w:rsid w:val="008702A4"/>
    <w:rsid w:val="0087037C"/>
    <w:rsid w:val="00870442"/>
    <w:rsid w:val="008704AF"/>
    <w:rsid w:val="0087071E"/>
    <w:rsid w:val="00870AF5"/>
    <w:rsid w:val="00870B5C"/>
    <w:rsid w:val="00870B78"/>
    <w:rsid w:val="00870B89"/>
    <w:rsid w:val="00870C32"/>
    <w:rsid w:val="00870D2E"/>
    <w:rsid w:val="00870D4B"/>
    <w:rsid w:val="00870DBC"/>
    <w:rsid w:val="00871034"/>
    <w:rsid w:val="0087125C"/>
    <w:rsid w:val="008712A2"/>
    <w:rsid w:val="008713C6"/>
    <w:rsid w:val="00871425"/>
    <w:rsid w:val="00871491"/>
    <w:rsid w:val="008714FB"/>
    <w:rsid w:val="00871628"/>
    <w:rsid w:val="00871A7F"/>
    <w:rsid w:val="00871B90"/>
    <w:rsid w:val="00871BED"/>
    <w:rsid w:val="00871E2F"/>
    <w:rsid w:val="00871EF0"/>
    <w:rsid w:val="00871FD3"/>
    <w:rsid w:val="00872065"/>
    <w:rsid w:val="00872075"/>
    <w:rsid w:val="00872171"/>
    <w:rsid w:val="008721DC"/>
    <w:rsid w:val="0087225A"/>
    <w:rsid w:val="008722B3"/>
    <w:rsid w:val="0087233F"/>
    <w:rsid w:val="008723A1"/>
    <w:rsid w:val="008723EC"/>
    <w:rsid w:val="008724C3"/>
    <w:rsid w:val="00872509"/>
    <w:rsid w:val="008725F0"/>
    <w:rsid w:val="008725FA"/>
    <w:rsid w:val="008727C4"/>
    <w:rsid w:val="00872948"/>
    <w:rsid w:val="0087299A"/>
    <w:rsid w:val="008729CF"/>
    <w:rsid w:val="00872AA2"/>
    <w:rsid w:val="00872E3E"/>
    <w:rsid w:val="00872E60"/>
    <w:rsid w:val="00872E64"/>
    <w:rsid w:val="00872EE7"/>
    <w:rsid w:val="00873002"/>
    <w:rsid w:val="0087339F"/>
    <w:rsid w:val="008734F2"/>
    <w:rsid w:val="00873629"/>
    <w:rsid w:val="008736CD"/>
    <w:rsid w:val="008739E4"/>
    <w:rsid w:val="00873A0D"/>
    <w:rsid w:val="00873A79"/>
    <w:rsid w:val="00873B5A"/>
    <w:rsid w:val="00873C9E"/>
    <w:rsid w:val="00873D44"/>
    <w:rsid w:val="00873FA6"/>
    <w:rsid w:val="00874031"/>
    <w:rsid w:val="008740EE"/>
    <w:rsid w:val="00874115"/>
    <w:rsid w:val="0087456F"/>
    <w:rsid w:val="00874747"/>
    <w:rsid w:val="008747A8"/>
    <w:rsid w:val="0087490D"/>
    <w:rsid w:val="00874AF3"/>
    <w:rsid w:val="00874B11"/>
    <w:rsid w:val="00874CB8"/>
    <w:rsid w:val="00874D1B"/>
    <w:rsid w:val="00874D6E"/>
    <w:rsid w:val="00874EB2"/>
    <w:rsid w:val="00874EB9"/>
    <w:rsid w:val="00875176"/>
    <w:rsid w:val="008751A9"/>
    <w:rsid w:val="0087529C"/>
    <w:rsid w:val="00875339"/>
    <w:rsid w:val="00875397"/>
    <w:rsid w:val="008755EC"/>
    <w:rsid w:val="008758D9"/>
    <w:rsid w:val="00875D51"/>
    <w:rsid w:val="00875DC6"/>
    <w:rsid w:val="00875E22"/>
    <w:rsid w:val="00875FFF"/>
    <w:rsid w:val="00876136"/>
    <w:rsid w:val="0087647F"/>
    <w:rsid w:val="008764AC"/>
    <w:rsid w:val="00876534"/>
    <w:rsid w:val="00876AA7"/>
    <w:rsid w:val="00876BA6"/>
    <w:rsid w:val="00876BCA"/>
    <w:rsid w:val="00876C44"/>
    <w:rsid w:val="00876F52"/>
    <w:rsid w:val="00876FF1"/>
    <w:rsid w:val="00877257"/>
    <w:rsid w:val="008772A2"/>
    <w:rsid w:val="008772B6"/>
    <w:rsid w:val="00877740"/>
    <w:rsid w:val="008777E9"/>
    <w:rsid w:val="00877808"/>
    <w:rsid w:val="0087783D"/>
    <w:rsid w:val="0087789E"/>
    <w:rsid w:val="0087794A"/>
    <w:rsid w:val="00877985"/>
    <w:rsid w:val="008779E1"/>
    <w:rsid w:val="00877B26"/>
    <w:rsid w:val="00877B2C"/>
    <w:rsid w:val="00877BBA"/>
    <w:rsid w:val="00877C96"/>
    <w:rsid w:val="00877D9B"/>
    <w:rsid w:val="00877DA0"/>
    <w:rsid w:val="00877DA8"/>
    <w:rsid w:val="00877DDA"/>
    <w:rsid w:val="00877F90"/>
    <w:rsid w:val="008800F9"/>
    <w:rsid w:val="0088047F"/>
    <w:rsid w:val="008806A6"/>
    <w:rsid w:val="00880A84"/>
    <w:rsid w:val="00880B23"/>
    <w:rsid w:val="00880CDF"/>
    <w:rsid w:val="00880E6A"/>
    <w:rsid w:val="00880FA0"/>
    <w:rsid w:val="008811F2"/>
    <w:rsid w:val="008812D6"/>
    <w:rsid w:val="008812EC"/>
    <w:rsid w:val="008813E3"/>
    <w:rsid w:val="008813FF"/>
    <w:rsid w:val="00881445"/>
    <w:rsid w:val="0088159D"/>
    <w:rsid w:val="00881740"/>
    <w:rsid w:val="0088176A"/>
    <w:rsid w:val="00881899"/>
    <w:rsid w:val="00881CB5"/>
    <w:rsid w:val="00881CC3"/>
    <w:rsid w:val="00881DC6"/>
    <w:rsid w:val="008822AC"/>
    <w:rsid w:val="00882398"/>
    <w:rsid w:val="008823A6"/>
    <w:rsid w:val="00882464"/>
    <w:rsid w:val="008824F9"/>
    <w:rsid w:val="008827A1"/>
    <w:rsid w:val="00882832"/>
    <w:rsid w:val="008828B1"/>
    <w:rsid w:val="0088295E"/>
    <w:rsid w:val="0088298E"/>
    <w:rsid w:val="00882B42"/>
    <w:rsid w:val="00882CC5"/>
    <w:rsid w:val="00882D39"/>
    <w:rsid w:val="00882D47"/>
    <w:rsid w:val="0088337C"/>
    <w:rsid w:val="00883528"/>
    <w:rsid w:val="0088352F"/>
    <w:rsid w:val="00883A96"/>
    <w:rsid w:val="00883B90"/>
    <w:rsid w:val="00883C07"/>
    <w:rsid w:val="00883C84"/>
    <w:rsid w:val="00883EAE"/>
    <w:rsid w:val="00884101"/>
    <w:rsid w:val="00884346"/>
    <w:rsid w:val="008844F2"/>
    <w:rsid w:val="0088453B"/>
    <w:rsid w:val="008845BF"/>
    <w:rsid w:val="008846B7"/>
    <w:rsid w:val="00884806"/>
    <w:rsid w:val="0088487A"/>
    <w:rsid w:val="008849B6"/>
    <w:rsid w:val="00884F17"/>
    <w:rsid w:val="00884F78"/>
    <w:rsid w:val="00884FB7"/>
    <w:rsid w:val="00885118"/>
    <w:rsid w:val="0088526B"/>
    <w:rsid w:val="0088527B"/>
    <w:rsid w:val="008852EB"/>
    <w:rsid w:val="008853EF"/>
    <w:rsid w:val="008855E4"/>
    <w:rsid w:val="008855F1"/>
    <w:rsid w:val="00885857"/>
    <w:rsid w:val="00885CA6"/>
    <w:rsid w:val="00885DF3"/>
    <w:rsid w:val="00885E73"/>
    <w:rsid w:val="00885F55"/>
    <w:rsid w:val="00885FA9"/>
    <w:rsid w:val="00885FF6"/>
    <w:rsid w:val="0088600A"/>
    <w:rsid w:val="0088602C"/>
    <w:rsid w:val="008860E8"/>
    <w:rsid w:val="00886226"/>
    <w:rsid w:val="008862FE"/>
    <w:rsid w:val="0088657F"/>
    <w:rsid w:val="008865BE"/>
    <w:rsid w:val="008868DF"/>
    <w:rsid w:val="00886946"/>
    <w:rsid w:val="00886B0E"/>
    <w:rsid w:val="00886BBF"/>
    <w:rsid w:val="00886C72"/>
    <w:rsid w:val="00886D6B"/>
    <w:rsid w:val="00886D8B"/>
    <w:rsid w:val="00886EC0"/>
    <w:rsid w:val="00886FD9"/>
    <w:rsid w:val="00886FF0"/>
    <w:rsid w:val="00887097"/>
    <w:rsid w:val="008870D6"/>
    <w:rsid w:val="008871E3"/>
    <w:rsid w:val="008872F6"/>
    <w:rsid w:val="00887755"/>
    <w:rsid w:val="008878FC"/>
    <w:rsid w:val="008879B7"/>
    <w:rsid w:val="008879C4"/>
    <w:rsid w:val="00887A03"/>
    <w:rsid w:val="00887E2F"/>
    <w:rsid w:val="00887EFB"/>
    <w:rsid w:val="00890008"/>
    <w:rsid w:val="0089011F"/>
    <w:rsid w:val="0089039A"/>
    <w:rsid w:val="0089050A"/>
    <w:rsid w:val="0089059B"/>
    <w:rsid w:val="008905AE"/>
    <w:rsid w:val="0089063F"/>
    <w:rsid w:val="0089079E"/>
    <w:rsid w:val="008907C9"/>
    <w:rsid w:val="00890ABB"/>
    <w:rsid w:val="00890D60"/>
    <w:rsid w:val="00891115"/>
    <w:rsid w:val="00891444"/>
    <w:rsid w:val="0089155E"/>
    <w:rsid w:val="008917F0"/>
    <w:rsid w:val="0089183E"/>
    <w:rsid w:val="00891A16"/>
    <w:rsid w:val="00891DCE"/>
    <w:rsid w:val="0089214D"/>
    <w:rsid w:val="0089220B"/>
    <w:rsid w:val="008924FB"/>
    <w:rsid w:val="008925AA"/>
    <w:rsid w:val="00892605"/>
    <w:rsid w:val="008926CE"/>
    <w:rsid w:val="00892705"/>
    <w:rsid w:val="0089286D"/>
    <w:rsid w:val="008928F9"/>
    <w:rsid w:val="00892974"/>
    <w:rsid w:val="00892996"/>
    <w:rsid w:val="008929C8"/>
    <w:rsid w:val="00892B89"/>
    <w:rsid w:val="00892C26"/>
    <w:rsid w:val="00892C3D"/>
    <w:rsid w:val="00892C5E"/>
    <w:rsid w:val="00892E26"/>
    <w:rsid w:val="0089330C"/>
    <w:rsid w:val="00893399"/>
    <w:rsid w:val="008937AC"/>
    <w:rsid w:val="00893860"/>
    <w:rsid w:val="0089396A"/>
    <w:rsid w:val="008939A9"/>
    <w:rsid w:val="00893A1D"/>
    <w:rsid w:val="00893BBF"/>
    <w:rsid w:val="00893D49"/>
    <w:rsid w:val="00893FE7"/>
    <w:rsid w:val="00894002"/>
    <w:rsid w:val="0089400D"/>
    <w:rsid w:val="0089409B"/>
    <w:rsid w:val="008942AD"/>
    <w:rsid w:val="008942B8"/>
    <w:rsid w:val="0089432C"/>
    <w:rsid w:val="00894344"/>
    <w:rsid w:val="00894443"/>
    <w:rsid w:val="00894477"/>
    <w:rsid w:val="008944AD"/>
    <w:rsid w:val="008946B2"/>
    <w:rsid w:val="008948D6"/>
    <w:rsid w:val="008948F7"/>
    <w:rsid w:val="00894937"/>
    <w:rsid w:val="00895052"/>
    <w:rsid w:val="0089512C"/>
    <w:rsid w:val="0089544C"/>
    <w:rsid w:val="008954D5"/>
    <w:rsid w:val="0089588C"/>
    <w:rsid w:val="00895AF2"/>
    <w:rsid w:val="00895B8D"/>
    <w:rsid w:val="00895E82"/>
    <w:rsid w:val="0089606E"/>
    <w:rsid w:val="00896084"/>
    <w:rsid w:val="008960D6"/>
    <w:rsid w:val="0089633C"/>
    <w:rsid w:val="00896A20"/>
    <w:rsid w:val="00896BD0"/>
    <w:rsid w:val="00896E82"/>
    <w:rsid w:val="00896FFA"/>
    <w:rsid w:val="0089711F"/>
    <w:rsid w:val="00897124"/>
    <w:rsid w:val="0089735A"/>
    <w:rsid w:val="0089738B"/>
    <w:rsid w:val="008974F1"/>
    <w:rsid w:val="00897569"/>
    <w:rsid w:val="008975E1"/>
    <w:rsid w:val="008975E2"/>
    <w:rsid w:val="008977FE"/>
    <w:rsid w:val="00897816"/>
    <w:rsid w:val="0089787E"/>
    <w:rsid w:val="0089788A"/>
    <w:rsid w:val="00897CA2"/>
    <w:rsid w:val="00897D5B"/>
    <w:rsid w:val="00897E13"/>
    <w:rsid w:val="00897EA6"/>
    <w:rsid w:val="00897F86"/>
    <w:rsid w:val="008A0569"/>
    <w:rsid w:val="008A0592"/>
    <w:rsid w:val="008A07E7"/>
    <w:rsid w:val="008A0840"/>
    <w:rsid w:val="008A0A07"/>
    <w:rsid w:val="008A0A94"/>
    <w:rsid w:val="008A0B73"/>
    <w:rsid w:val="008A0B97"/>
    <w:rsid w:val="008A0C23"/>
    <w:rsid w:val="008A0CAA"/>
    <w:rsid w:val="008A0F23"/>
    <w:rsid w:val="008A1103"/>
    <w:rsid w:val="008A15E3"/>
    <w:rsid w:val="008A162F"/>
    <w:rsid w:val="008A166C"/>
    <w:rsid w:val="008A1696"/>
    <w:rsid w:val="008A177B"/>
    <w:rsid w:val="008A1813"/>
    <w:rsid w:val="008A1832"/>
    <w:rsid w:val="008A19B9"/>
    <w:rsid w:val="008A1A44"/>
    <w:rsid w:val="008A1AB5"/>
    <w:rsid w:val="008A1B31"/>
    <w:rsid w:val="008A1C64"/>
    <w:rsid w:val="008A1D57"/>
    <w:rsid w:val="008A1DFC"/>
    <w:rsid w:val="008A1E62"/>
    <w:rsid w:val="008A1E8E"/>
    <w:rsid w:val="008A1F51"/>
    <w:rsid w:val="008A1F7D"/>
    <w:rsid w:val="008A229C"/>
    <w:rsid w:val="008A22E4"/>
    <w:rsid w:val="008A22F6"/>
    <w:rsid w:val="008A2337"/>
    <w:rsid w:val="008A2426"/>
    <w:rsid w:val="008A24A8"/>
    <w:rsid w:val="008A2525"/>
    <w:rsid w:val="008A2541"/>
    <w:rsid w:val="008A2586"/>
    <w:rsid w:val="008A2636"/>
    <w:rsid w:val="008A2652"/>
    <w:rsid w:val="008A26EA"/>
    <w:rsid w:val="008A26F5"/>
    <w:rsid w:val="008A280D"/>
    <w:rsid w:val="008A2BB6"/>
    <w:rsid w:val="008A2BFF"/>
    <w:rsid w:val="008A2E0A"/>
    <w:rsid w:val="008A2EC6"/>
    <w:rsid w:val="008A2FE7"/>
    <w:rsid w:val="008A3164"/>
    <w:rsid w:val="008A322B"/>
    <w:rsid w:val="008A3384"/>
    <w:rsid w:val="008A3464"/>
    <w:rsid w:val="008A3547"/>
    <w:rsid w:val="008A35B4"/>
    <w:rsid w:val="008A3779"/>
    <w:rsid w:val="008A37C6"/>
    <w:rsid w:val="008A3A82"/>
    <w:rsid w:val="008A3FC4"/>
    <w:rsid w:val="008A4175"/>
    <w:rsid w:val="008A41E6"/>
    <w:rsid w:val="008A41F5"/>
    <w:rsid w:val="008A429A"/>
    <w:rsid w:val="008A4308"/>
    <w:rsid w:val="008A456A"/>
    <w:rsid w:val="008A46F1"/>
    <w:rsid w:val="008A4775"/>
    <w:rsid w:val="008A495E"/>
    <w:rsid w:val="008A4A71"/>
    <w:rsid w:val="008A4C32"/>
    <w:rsid w:val="008A4CC5"/>
    <w:rsid w:val="008A4D2F"/>
    <w:rsid w:val="008A4DE3"/>
    <w:rsid w:val="008A4E2B"/>
    <w:rsid w:val="008A4E48"/>
    <w:rsid w:val="008A4F0A"/>
    <w:rsid w:val="008A51AF"/>
    <w:rsid w:val="008A523E"/>
    <w:rsid w:val="008A5444"/>
    <w:rsid w:val="008A554F"/>
    <w:rsid w:val="008A559A"/>
    <w:rsid w:val="008A55AB"/>
    <w:rsid w:val="008A565E"/>
    <w:rsid w:val="008A5718"/>
    <w:rsid w:val="008A581D"/>
    <w:rsid w:val="008A58BC"/>
    <w:rsid w:val="008A5A6F"/>
    <w:rsid w:val="008A5CC6"/>
    <w:rsid w:val="008A5CDF"/>
    <w:rsid w:val="008A5E8F"/>
    <w:rsid w:val="008A5EB0"/>
    <w:rsid w:val="008A6013"/>
    <w:rsid w:val="008A6055"/>
    <w:rsid w:val="008A60F9"/>
    <w:rsid w:val="008A63D6"/>
    <w:rsid w:val="008A6514"/>
    <w:rsid w:val="008A67CF"/>
    <w:rsid w:val="008A6821"/>
    <w:rsid w:val="008A700B"/>
    <w:rsid w:val="008A711A"/>
    <w:rsid w:val="008A71AD"/>
    <w:rsid w:val="008A7236"/>
    <w:rsid w:val="008A729C"/>
    <w:rsid w:val="008A72B2"/>
    <w:rsid w:val="008A7504"/>
    <w:rsid w:val="008A75A9"/>
    <w:rsid w:val="008A76CC"/>
    <w:rsid w:val="008A77B9"/>
    <w:rsid w:val="008A7879"/>
    <w:rsid w:val="008A79EA"/>
    <w:rsid w:val="008A7C96"/>
    <w:rsid w:val="008A7D04"/>
    <w:rsid w:val="008A7DD7"/>
    <w:rsid w:val="008A7E14"/>
    <w:rsid w:val="008A7E75"/>
    <w:rsid w:val="008A7E83"/>
    <w:rsid w:val="008A7FC3"/>
    <w:rsid w:val="008A7FFB"/>
    <w:rsid w:val="008B025F"/>
    <w:rsid w:val="008B054D"/>
    <w:rsid w:val="008B05EF"/>
    <w:rsid w:val="008B07ED"/>
    <w:rsid w:val="008B0870"/>
    <w:rsid w:val="008B0A42"/>
    <w:rsid w:val="008B0B2F"/>
    <w:rsid w:val="008B0C3C"/>
    <w:rsid w:val="008B0D30"/>
    <w:rsid w:val="008B0E90"/>
    <w:rsid w:val="008B114E"/>
    <w:rsid w:val="008B11CF"/>
    <w:rsid w:val="008B1299"/>
    <w:rsid w:val="008B12F0"/>
    <w:rsid w:val="008B1436"/>
    <w:rsid w:val="008B16DE"/>
    <w:rsid w:val="008B179B"/>
    <w:rsid w:val="008B1861"/>
    <w:rsid w:val="008B1A0E"/>
    <w:rsid w:val="008B1BA0"/>
    <w:rsid w:val="008B1EFA"/>
    <w:rsid w:val="008B1F1F"/>
    <w:rsid w:val="008B1F39"/>
    <w:rsid w:val="008B1FA8"/>
    <w:rsid w:val="008B23E6"/>
    <w:rsid w:val="008B2770"/>
    <w:rsid w:val="008B278B"/>
    <w:rsid w:val="008B2A0B"/>
    <w:rsid w:val="008B2E19"/>
    <w:rsid w:val="008B2F07"/>
    <w:rsid w:val="008B2F7E"/>
    <w:rsid w:val="008B30A5"/>
    <w:rsid w:val="008B3173"/>
    <w:rsid w:val="008B31A3"/>
    <w:rsid w:val="008B3243"/>
    <w:rsid w:val="008B33BD"/>
    <w:rsid w:val="008B3642"/>
    <w:rsid w:val="008B366B"/>
    <w:rsid w:val="008B3694"/>
    <w:rsid w:val="008B37CC"/>
    <w:rsid w:val="008B3B31"/>
    <w:rsid w:val="008B3C08"/>
    <w:rsid w:val="008B3C74"/>
    <w:rsid w:val="008B3D1C"/>
    <w:rsid w:val="008B3D83"/>
    <w:rsid w:val="008B3DEB"/>
    <w:rsid w:val="008B3E82"/>
    <w:rsid w:val="008B40CC"/>
    <w:rsid w:val="008B4101"/>
    <w:rsid w:val="008B4166"/>
    <w:rsid w:val="008B4213"/>
    <w:rsid w:val="008B42FC"/>
    <w:rsid w:val="008B4384"/>
    <w:rsid w:val="008B43A7"/>
    <w:rsid w:val="008B43CF"/>
    <w:rsid w:val="008B43F7"/>
    <w:rsid w:val="008B47D0"/>
    <w:rsid w:val="008B494C"/>
    <w:rsid w:val="008B49D5"/>
    <w:rsid w:val="008B4A10"/>
    <w:rsid w:val="008B4A32"/>
    <w:rsid w:val="008B4A35"/>
    <w:rsid w:val="008B4BEC"/>
    <w:rsid w:val="008B4C1E"/>
    <w:rsid w:val="008B4F24"/>
    <w:rsid w:val="008B4FDD"/>
    <w:rsid w:val="008B52B8"/>
    <w:rsid w:val="008B559D"/>
    <w:rsid w:val="008B575C"/>
    <w:rsid w:val="008B575E"/>
    <w:rsid w:val="008B57C0"/>
    <w:rsid w:val="008B580C"/>
    <w:rsid w:val="008B583A"/>
    <w:rsid w:val="008B5BA3"/>
    <w:rsid w:val="008B5C44"/>
    <w:rsid w:val="008B5C53"/>
    <w:rsid w:val="008B5D1F"/>
    <w:rsid w:val="008B601C"/>
    <w:rsid w:val="008B60A0"/>
    <w:rsid w:val="008B61B8"/>
    <w:rsid w:val="008B62E3"/>
    <w:rsid w:val="008B6308"/>
    <w:rsid w:val="008B6363"/>
    <w:rsid w:val="008B6639"/>
    <w:rsid w:val="008B67D4"/>
    <w:rsid w:val="008B6A8A"/>
    <w:rsid w:val="008B6B78"/>
    <w:rsid w:val="008B6E4E"/>
    <w:rsid w:val="008B6EA1"/>
    <w:rsid w:val="008B6F1E"/>
    <w:rsid w:val="008B70BF"/>
    <w:rsid w:val="008B71E6"/>
    <w:rsid w:val="008B7283"/>
    <w:rsid w:val="008B72B6"/>
    <w:rsid w:val="008B72E9"/>
    <w:rsid w:val="008B733E"/>
    <w:rsid w:val="008B78C8"/>
    <w:rsid w:val="008B78ED"/>
    <w:rsid w:val="008B79BE"/>
    <w:rsid w:val="008B7AB7"/>
    <w:rsid w:val="008B7C12"/>
    <w:rsid w:val="008B7E43"/>
    <w:rsid w:val="008B7F7F"/>
    <w:rsid w:val="008C0163"/>
    <w:rsid w:val="008C019D"/>
    <w:rsid w:val="008C030E"/>
    <w:rsid w:val="008C056B"/>
    <w:rsid w:val="008C06AB"/>
    <w:rsid w:val="008C0777"/>
    <w:rsid w:val="008C0809"/>
    <w:rsid w:val="008C0A65"/>
    <w:rsid w:val="008C0B84"/>
    <w:rsid w:val="008C0CE6"/>
    <w:rsid w:val="008C0F27"/>
    <w:rsid w:val="008C0FAB"/>
    <w:rsid w:val="008C0FD5"/>
    <w:rsid w:val="008C1669"/>
    <w:rsid w:val="008C1711"/>
    <w:rsid w:val="008C182F"/>
    <w:rsid w:val="008C1843"/>
    <w:rsid w:val="008C1862"/>
    <w:rsid w:val="008C19BB"/>
    <w:rsid w:val="008C1ABB"/>
    <w:rsid w:val="008C1B21"/>
    <w:rsid w:val="008C1B61"/>
    <w:rsid w:val="008C1B9F"/>
    <w:rsid w:val="008C1CD1"/>
    <w:rsid w:val="008C1E4B"/>
    <w:rsid w:val="008C1F1D"/>
    <w:rsid w:val="008C1FBB"/>
    <w:rsid w:val="008C2141"/>
    <w:rsid w:val="008C2164"/>
    <w:rsid w:val="008C21A5"/>
    <w:rsid w:val="008C22C0"/>
    <w:rsid w:val="008C24E0"/>
    <w:rsid w:val="008C2511"/>
    <w:rsid w:val="008C2553"/>
    <w:rsid w:val="008C264C"/>
    <w:rsid w:val="008C266A"/>
    <w:rsid w:val="008C26E4"/>
    <w:rsid w:val="008C27F5"/>
    <w:rsid w:val="008C2929"/>
    <w:rsid w:val="008C2B88"/>
    <w:rsid w:val="008C2BFD"/>
    <w:rsid w:val="008C2C30"/>
    <w:rsid w:val="008C2C4C"/>
    <w:rsid w:val="008C2DAF"/>
    <w:rsid w:val="008C30E5"/>
    <w:rsid w:val="008C331D"/>
    <w:rsid w:val="008C346D"/>
    <w:rsid w:val="008C3626"/>
    <w:rsid w:val="008C372B"/>
    <w:rsid w:val="008C3773"/>
    <w:rsid w:val="008C38A0"/>
    <w:rsid w:val="008C3905"/>
    <w:rsid w:val="008C39FB"/>
    <w:rsid w:val="008C3AC9"/>
    <w:rsid w:val="008C3C12"/>
    <w:rsid w:val="008C3C92"/>
    <w:rsid w:val="008C3C9F"/>
    <w:rsid w:val="008C3DB0"/>
    <w:rsid w:val="008C3E1D"/>
    <w:rsid w:val="008C3F7D"/>
    <w:rsid w:val="008C416D"/>
    <w:rsid w:val="008C419B"/>
    <w:rsid w:val="008C4238"/>
    <w:rsid w:val="008C43C1"/>
    <w:rsid w:val="008C453A"/>
    <w:rsid w:val="008C4862"/>
    <w:rsid w:val="008C4879"/>
    <w:rsid w:val="008C4949"/>
    <w:rsid w:val="008C49D8"/>
    <w:rsid w:val="008C4BE5"/>
    <w:rsid w:val="008C4C3A"/>
    <w:rsid w:val="008C4D33"/>
    <w:rsid w:val="008C4E3B"/>
    <w:rsid w:val="008C4F44"/>
    <w:rsid w:val="008C52B2"/>
    <w:rsid w:val="008C52C3"/>
    <w:rsid w:val="008C53B5"/>
    <w:rsid w:val="008C53C5"/>
    <w:rsid w:val="008C57BD"/>
    <w:rsid w:val="008C5933"/>
    <w:rsid w:val="008C598F"/>
    <w:rsid w:val="008C5A4F"/>
    <w:rsid w:val="008C5A69"/>
    <w:rsid w:val="008C5B13"/>
    <w:rsid w:val="008C5B56"/>
    <w:rsid w:val="008C5CAA"/>
    <w:rsid w:val="008C5D22"/>
    <w:rsid w:val="008C6093"/>
    <w:rsid w:val="008C61F0"/>
    <w:rsid w:val="008C6408"/>
    <w:rsid w:val="008C65E9"/>
    <w:rsid w:val="008C664D"/>
    <w:rsid w:val="008C6875"/>
    <w:rsid w:val="008C699B"/>
    <w:rsid w:val="008C6A93"/>
    <w:rsid w:val="008C6C0B"/>
    <w:rsid w:val="008C6CA7"/>
    <w:rsid w:val="008C6CB5"/>
    <w:rsid w:val="008C6D76"/>
    <w:rsid w:val="008C6D93"/>
    <w:rsid w:val="008C6E1C"/>
    <w:rsid w:val="008C7166"/>
    <w:rsid w:val="008C72E8"/>
    <w:rsid w:val="008C751E"/>
    <w:rsid w:val="008C77A0"/>
    <w:rsid w:val="008C787E"/>
    <w:rsid w:val="008C790C"/>
    <w:rsid w:val="008C7C78"/>
    <w:rsid w:val="008C7DC4"/>
    <w:rsid w:val="008C7F5D"/>
    <w:rsid w:val="008D000E"/>
    <w:rsid w:val="008D00D4"/>
    <w:rsid w:val="008D02EF"/>
    <w:rsid w:val="008D05E9"/>
    <w:rsid w:val="008D0697"/>
    <w:rsid w:val="008D0C21"/>
    <w:rsid w:val="008D0C42"/>
    <w:rsid w:val="008D0CA3"/>
    <w:rsid w:val="008D0D65"/>
    <w:rsid w:val="008D0EDB"/>
    <w:rsid w:val="008D1149"/>
    <w:rsid w:val="008D123D"/>
    <w:rsid w:val="008D138A"/>
    <w:rsid w:val="008D16BD"/>
    <w:rsid w:val="008D1A6C"/>
    <w:rsid w:val="008D1AAA"/>
    <w:rsid w:val="008D1AE3"/>
    <w:rsid w:val="008D1BB1"/>
    <w:rsid w:val="008D1DF3"/>
    <w:rsid w:val="008D1E2B"/>
    <w:rsid w:val="008D20E7"/>
    <w:rsid w:val="008D2196"/>
    <w:rsid w:val="008D23D8"/>
    <w:rsid w:val="008D27E9"/>
    <w:rsid w:val="008D2810"/>
    <w:rsid w:val="008D2860"/>
    <w:rsid w:val="008D2BBB"/>
    <w:rsid w:val="008D2CC1"/>
    <w:rsid w:val="008D2FA3"/>
    <w:rsid w:val="008D2FC0"/>
    <w:rsid w:val="008D31DA"/>
    <w:rsid w:val="008D32AD"/>
    <w:rsid w:val="008D346B"/>
    <w:rsid w:val="008D38C3"/>
    <w:rsid w:val="008D390A"/>
    <w:rsid w:val="008D39DA"/>
    <w:rsid w:val="008D3CA9"/>
    <w:rsid w:val="008D3E80"/>
    <w:rsid w:val="008D3EC4"/>
    <w:rsid w:val="008D3EE2"/>
    <w:rsid w:val="008D3FB6"/>
    <w:rsid w:val="008D4041"/>
    <w:rsid w:val="008D4405"/>
    <w:rsid w:val="008D4470"/>
    <w:rsid w:val="008D455D"/>
    <w:rsid w:val="008D4596"/>
    <w:rsid w:val="008D4912"/>
    <w:rsid w:val="008D4D94"/>
    <w:rsid w:val="008D4ED5"/>
    <w:rsid w:val="008D5294"/>
    <w:rsid w:val="008D52CA"/>
    <w:rsid w:val="008D5341"/>
    <w:rsid w:val="008D537D"/>
    <w:rsid w:val="008D53AC"/>
    <w:rsid w:val="008D5559"/>
    <w:rsid w:val="008D5563"/>
    <w:rsid w:val="008D55F3"/>
    <w:rsid w:val="008D5856"/>
    <w:rsid w:val="008D59B3"/>
    <w:rsid w:val="008D5B71"/>
    <w:rsid w:val="008D5BD9"/>
    <w:rsid w:val="008D5E64"/>
    <w:rsid w:val="008D5EAF"/>
    <w:rsid w:val="008D5F7A"/>
    <w:rsid w:val="008D61CE"/>
    <w:rsid w:val="008D6242"/>
    <w:rsid w:val="008D643F"/>
    <w:rsid w:val="008D64C7"/>
    <w:rsid w:val="008D6847"/>
    <w:rsid w:val="008D6855"/>
    <w:rsid w:val="008D6B32"/>
    <w:rsid w:val="008D6BE6"/>
    <w:rsid w:val="008D6CF1"/>
    <w:rsid w:val="008D6E6A"/>
    <w:rsid w:val="008D6EBC"/>
    <w:rsid w:val="008D7318"/>
    <w:rsid w:val="008D74C6"/>
    <w:rsid w:val="008D74DF"/>
    <w:rsid w:val="008D74FD"/>
    <w:rsid w:val="008D75E9"/>
    <w:rsid w:val="008D7680"/>
    <w:rsid w:val="008D77A6"/>
    <w:rsid w:val="008D7BBF"/>
    <w:rsid w:val="008D7C7D"/>
    <w:rsid w:val="008D7E49"/>
    <w:rsid w:val="008D7FF9"/>
    <w:rsid w:val="008DF6EF"/>
    <w:rsid w:val="008E0078"/>
    <w:rsid w:val="008E00A9"/>
    <w:rsid w:val="008E01B7"/>
    <w:rsid w:val="008E01F6"/>
    <w:rsid w:val="008E0307"/>
    <w:rsid w:val="008E032D"/>
    <w:rsid w:val="008E0484"/>
    <w:rsid w:val="008E0598"/>
    <w:rsid w:val="008E065B"/>
    <w:rsid w:val="008E08BB"/>
    <w:rsid w:val="008E09F2"/>
    <w:rsid w:val="008E0BB0"/>
    <w:rsid w:val="008E0D95"/>
    <w:rsid w:val="008E126F"/>
    <w:rsid w:val="008E1402"/>
    <w:rsid w:val="008E14B8"/>
    <w:rsid w:val="008E15E3"/>
    <w:rsid w:val="008E1607"/>
    <w:rsid w:val="008E195B"/>
    <w:rsid w:val="008E1B4B"/>
    <w:rsid w:val="008E1B4C"/>
    <w:rsid w:val="008E1C88"/>
    <w:rsid w:val="008E1CF5"/>
    <w:rsid w:val="008E1FBE"/>
    <w:rsid w:val="008E2375"/>
    <w:rsid w:val="008E23C4"/>
    <w:rsid w:val="008E2878"/>
    <w:rsid w:val="008E28D3"/>
    <w:rsid w:val="008E2958"/>
    <w:rsid w:val="008E2BC7"/>
    <w:rsid w:val="008E2DD1"/>
    <w:rsid w:val="008E312A"/>
    <w:rsid w:val="008E319E"/>
    <w:rsid w:val="008E377F"/>
    <w:rsid w:val="008E37A4"/>
    <w:rsid w:val="008E391D"/>
    <w:rsid w:val="008E3A3F"/>
    <w:rsid w:val="008E3C3D"/>
    <w:rsid w:val="008E3C40"/>
    <w:rsid w:val="008E3C78"/>
    <w:rsid w:val="008E3E3B"/>
    <w:rsid w:val="008E410C"/>
    <w:rsid w:val="008E4139"/>
    <w:rsid w:val="008E4189"/>
    <w:rsid w:val="008E427B"/>
    <w:rsid w:val="008E42BC"/>
    <w:rsid w:val="008E44C1"/>
    <w:rsid w:val="008E4612"/>
    <w:rsid w:val="008E4861"/>
    <w:rsid w:val="008E4935"/>
    <w:rsid w:val="008E4A38"/>
    <w:rsid w:val="008E4A83"/>
    <w:rsid w:val="008E4C08"/>
    <w:rsid w:val="008E4D34"/>
    <w:rsid w:val="008E4D8A"/>
    <w:rsid w:val="008E50E4"/>
    <w:rsid w:val="008E5156"/>
    <w:rsid w:val="008E5164"/>
    <w:rsid w:val="008E5193"/>
    <w:rsid w:val="008E51E3"/>
    <w:rsid w:val="008E51EA"/>
    <w:rsid w:val="008E54BE"/>
    <w:rsid w:val="008E556F"/>
    <w:rsid w:val="008E5660"/>
    <w:rsid w:val="008E5706"/>
    <w:rsid w:val="008E583F"/>
    <w:rsid w:val="008E593E"/>
    <w:rsid w:val="008E60FD"/>
    <w:rsid w:val="008E63FB"/>
    <w:rsid w:val="008E6C29"/>
    <w:rsid w:val="008E6D66"/>
    <w:rsid w:val="008E6D79"/>
    <w:rsid w:val="008E7081"/>
    <w:rsid w:val="008E72AE"/>
    <w:rsid w:val="008E7318"/>
    <w:rsid w:val="008E7408"/>
    <w:rsid w:val="008E742D"/>
    <w:rsid w:val="008E7443"/>
    <w:rsid w:val="008E7519"/>
    <w:rsid w:val="008E7590"/>
    <w:rsid w:val="008E7592"/>
    <w:rsid w:val="008E75CD"/>
    <w:rsid w:val="008E77C5"/>
    <w:rsid w:val="008E7816"/>
    <w:rsid w:val="008E7823"/>
    <w:rsid w:val="008E7861"/>
    <w:rsid w:val="008E7865"/>
    <w:rsid w:val="008E7933"/>
    <w:rsid w:val="008E7ABF"/>
    <w:rsid w:val="008E7DAB"/>
    <w:rsid w:val="008E7FB4"/>
    <w:rsid w:val="008E7FD9"/>
    <w:rsid w:val="008F00A4"/>
    <w:rsid w:val="008F022D"/>
    <w:rsid w:val="008F0260"/>
    <w:rsid w:val="008F028D"/>
    <w:rsid w:val="008F0292"/>
    <w:rsid w:val="008F031F"/>
    <w:rsid w:val="008F065B"/>
    <w:rsid w:val="008F079F"/>
    <w:rsid w:val="008F08DF"/>
    <w:rsid w:val="008F0A84"/>
    <w:rsid w:val="008F0B52"/>
    <w:rsid w:val="008F0F37"/>
    <w:rsid w:val="008F169F"/>
    <w:rsid w:val="008F16E8"/>
    <w:rsid w:val="008F1759"/>
    <w:rsid w:val="008F17B3"/>
    <w:rsid w:val="008F1836"/>
    <w:rsid w:val="008F1963"/>
    <w:rsid w:val="008F1A2C"/>
    <w:rsid w:val="008F1BBE"/>
    <w:rsid w:val="008F1E36"/>
    <w:rsid w:val="008F1F5E"/>
    <w:rsid w:val="008F1F74"/>
    <w:rsid w:val="008F22FB"/>
    <w:rsid w:val="008F2336"/>
    <w:rsid w:val="008F245A"/>
    <w:rsid w:val="008F2600"/>
    <w:rsid w:val="008F2669"/>
    <w:rsid w:val="008F2691"/>
    <w:rsid w:val="008F2B46"/>
    <w:rsid w:val="008F2C6E"/>
    <w:rsid w:val="008F2CAB"/>
    <w:rsid w:val="008F2CEB"/>
    <w:rsid w:val="008F2DE1"/>
    <w:rsid w:val="008F2DFB"/>
    <w:rsid w:val="008F2F89"/>
    <w:rsid w:val="008F304A"/>
    <w:rsid w:val="008F3072"/>
    <w:rsid w:val="008F3156"/>
    <w:rsid w:val="008F328E"/>
    <w:rsid w:val="008F3415"/>
    <w:rsid w:val="008F34EA"/>
    <w:rsid w:val="008F364E"/>
    <w:rsid w:val="008F3987"/>
    <w:rsid w:val="008F39A9"/>
    <w:rsid w:val="008F3A67"/>
    <w:rsid w:val="008F3B65"/>
    <w:rsid w:val="008F3B88"/>
    <w:rsid w:val="008F3D12"/>
    <w:rsid w:val="008F4327"/>
    <w:rsid w:val="008F4362"/>
    <w:rsid w:val="008F43C4"/>
    <w:rsid w:val="008F4554"/>
    <w:rsid w:val="008F4651"/>
    <w:rsid w:val="008F4786"/>
    <w:rsid w:val="008F4A16"/>
    <w:rsid w:val="008F4BCA"/>
    <w:rsid w:val="008F4BE0"/>
    <w:rsid w:val="008F4C19"/>
    <w:rsid w:val="008F4E15"/>
    <w:rsid w:val="008F4E9D"/>
    <w:rsid w:val="008F508E"/>
    <w:rsid w:val="008F54A1"/>
    <w:rsid w:val="008F551A"/>
    <w:rsid w:val="008F55C4"/>
    <w:rsid w:val="008F581F"/>
    <w:rsid w:val="008F5856"/>
    <w:rsid w:val="008F59D9"/>
    <w:rsid w:val="008F59E0"/>
    <w:rsid w:val="008F5E30"/>
    <w:rsid w:val="008F60A1"/>
    <w:rsid w:val="008F60F0"/>
    <w:rsid w:val="008F62BE"/>
    <w:rsid w:val="008F644B"/>
    <w:rsid w:val="008F685F"/>
    <w:rsid w:val="008F6B89"/>
    <w:rsid w:val="008F6D40"/>
    <w:rsid w:val="008F6DF7"/>
    <w:rsid w:val="008F6EA5"/>
    <w:rsid w:val="008F7156"/>
    <w:rsid w:val="008F71FC"/>
    <w:rsid w:val="008F7222"/>
    <w:rsid w:val="008F72BD"/>
    <w:rsid w:val="008F73A3"/>
    <w:rsid w:val="008F752B"/>
    <w:rsid w:val="008F756C"/>
    <w:rsid w:val="008F75CE"/>
    <w:rsid w:val="008F76BA"/>
    <w:rsid w:val="008F76F0"/>
    <w:rsid w:val="008F7882"/>
    <w:rsid w:val="008F78F2"/>
    <w:rsid w:val="008F7958"/>
    <w:rsid w:val="008F79D4"/>
    <w:rsid w:val="008F7B81"/>
    <w:rsid w:val="008F7CFD"/>
    <w:rsid w:val="008F7EC6"/>
    <w:rsid w:val="008F7F37"/>
    <w:rsid w:val="009000D5"/>
    <w:rsid w:val="00900129"/>
    <w:rsid w:val="00900339"/>
    <w:rsid w:val="0090038D"/>
    <w:rsid w:val="00900450"/>
    <w:rsid w:val="009006AA"/>
    <w:rsid w:val="009006E5"/>
    <w:rsid w:val="009008A9"/>
    <w:rsid w:val="0090093C"/>
    <w:rsid w:val="009009D9"/>
    <w:rsid w:val="00900DC4"/>
    <w:rsid w:val="00900E6E"/>
    <w:rsid w:val="00901074"/>
    <w:rsid w:val="0090138C"/>
    <w:rsid w:val="0090140F"/>
    <w:rsid w:val="0090151B"/>
    <w:rsid w:val="0090170B"/>
    <w:rsid w:val="009017C5"/>
    <w:rsid w:val="0090183C"/>
    <w:rsid w:val="009019F2"/>
    <w:rsid w:val="00901D86"/>
    <w:rsid w:val="00901EEA"/>
    <w:rsid w:val="00901EF9"/>
    <w:rsid w:val="00901F0D"/>
    <w:rsid w:val="0090207C"/>
    <w:rsid w:val="00902420"/>
    <w:rsid w:val="00902481"/>
    <w:rsid w:val="00902583"/>
    <w:rsid w:val="0090259D"/>
    <w:rsid w:val="00902680"/>
    <w:rsid w:val="00902858"/>
    <w:rsid w:val="00902A4C"/>
    <w:rsid w:val="00902AE4"/>
    <w:rsid w:val="00902C2F"/>
    <w:rsid w:val="00902CA3"/>
    <w:rsid w:val="00902D8F"/>
    <w:rsid w:val="00902E78"/>
    <w:rsid w:val="00902F55"/>
    <w:rsid w:val="0090303D"/>
    <w:rsid w:val="0090305E"/>
    <w:rsid w:val="00903169"/>
    <w:rsid w:val="009031C5"/>
    <w:rsid w:val="009033A6"/>
    <w:rsid w:val="009037A1"/>
    <w:rsid w:val="009037C7"/>
    <w:rsid w:val="00903A30"/>
    <w:rsid w:val="00903A37"/>
    <w:rsid w:val="00903A75"/>
    <w:rsid w:val="00903B56"/>
    <w:rsid w:val="00903BA9"/>
    <w:rsid w:val="00903C6E"/>
    <w:rsid w:val="00903EB7"/>
    <w:rsid w:val="009042FC"/>
    <w:rsid w:val="0090446B"/>
    <w:rsid w:val="0090447C"/>
    <w:rsid w:val="00904498"/>
    <w:rsid w:val="0090469E"/>
    <w:rsid w:val="00904878"/>
    <w:rsid w:val="00904A4B"/>
    <w:rsid w:val="00904B54"/>
    <w:rsid w:val="00904DE2"/>
    <w:rsid w:val="00904E13"/>
    <w:rsid w:val="00904E75"/>
    <w:rsid w:val="00905143"/>
    <w:rsid w:val="009055F6"/>
    <w:rsid w:val="00905634"/>
    <w:rsid w:val="00905730"/>
    <w:rsid w:val="009058C0"/>
    <w:rsid w:val="009059D1"/>
    <w:rsid w:val="00905CE6"/>
    <w:rsid w:val="00905D92"/>
    <w:rsid w:val="00905E09"/>
    <w:rsid w:val="009060F6"/>
    <w:rsid w:val="009061A6"/>
    <w:rsid w:val="0090626E"/>
    <w:rsid w:val="009062C4"/>
    <w:rsid w:val="00906424"/>
    <w:rsid w:val="009066E5"/>
    <w:rsid w:val="00906892"/>
    <w:rsid w:val="00906BDB"/>
    <w:rsid w:val="00906C08"/>
    <w:rsid w:val="00906CC9"/>
    <w:rsid w:val="00906E9D"/>
    <w:rsid w:val="009070D2"/>
    <w:rsid w:val="0090714B"/>
    <w:rsid w:val="00907253"/>
    <w:rsid w:val="009072D4"/>
    <w:rsid w:val="00907551"/>
    <w:rsid w:val="00907643"/>
    <w:rsid w:val="00907A35"/>
    <w:rsid w:val="00907A5D"/>
    <w:rsid w:val="00907DCD"/>
    <w:rsid w:val="009100E7"/>
    <w:rsid w:val="00910135"/>
    <w:rsid w:val="009101C4"/>
    <w:rsid w:val="00910224"/>
    <w:rsid w:val="0091022F"/>
    <w:rsid w:val="0091025C"/>
    <w:rsid w:val="009102E5"/>
    <w:rsid w:val="00910683"/>
    <w:rsid w:val="009106C6"/>
    <w:rsid w:val="0091090E"/>
    <w:rsid w:val="009109EB"/>
    <w:rsid w:val="00910C29"/>
    <w:rsid w:val="00910E97"/>
    <w:rsid w:val="00910F8D"/>
    <w:rsid w:val="0091113C"/>
    <w:rsid w:val="00911294"/>
    <w:rsid w:val="0091129A"/>
    <w:rsid w:val="00911333"/>
    <w:rsid w:val="00911607"/>
    <w:rsid w:val="009116E8"/>
    <w:rsid w:val="009116F6"/>
    <w:rsid w:val="00911963"/>
    <w:rsid w:val="00911BD8"/>
    <w:rsid w:val="00911CF3"/>
    <w:rsid w:val="00911FA2"/>
    <w:rsid w:val="0091209F"/>
    <w:rsid w:val="00912197"/>
    <w:rsid w:val="00912264"/>
    <w:rsid w:val="009122F3"/>
    <w:rsid w:val="00912334"/>
    <w:rsid w:val="00912611"/>
    <w:rsid w:val="00912702"/>
    <w:rsid w:val="00912AA1"/>
    <w:rsid w:val="00912B55"/>
    <w:rsid w:val="00912B9E"/>
    <w:rsid w:val="00912BD9"/>
    <w:rsid w:val="00912C80"/>
    <w:rsid w:val="00912CFA"/>
    <w:rsid w:val="00912E25"/>
    <w:rsid w:val="00912F93"/>
    <w:rsid w:val="0091312C"/>
    <w:rsid w:val="00913137"/>
    <w:rsid w:val="009131BD"/>
    <w:rsid w:val="009131CB"/>
    <w:rsid w:val="00913255"/>
    <w:rsid w:val="0091339A"/>
    <w:rsid w:val="009134C3"/>
    <w:rsid w:val="00913693"/>
    <w:rsid w:val="0091372F"/>
    <w:rsid w:val="009137C5"/>
    <w:rsid w:val="009137C8"/>
    <w:rsid w:val="009139FF"/>
    <w:rsid w:val="00913A40"/>
    <w:rsid w:val="00913B5C"/>
    <w:rsid w:val="00913C14"/>
    <w:rsid w:val="00913C89"/>
    <w:rsid w:val="00913FC4"/>
    <w:rsid w:val="00914061"/>
    <w:rsid w:val="00914152"/>
    <w:rsid w:val="00914334"/>
    <w:rsid w:val="0091435D"/>
    <w:rsid w:val="0091437B"/>
    <w:rsid w:val="0091479F"/>
    <w:rsid w:val="00914B70"/>
    <w:rsid w:val="00914BD8"/>
    <w:rsid w:val="00914C65"/>
    <w:rsid w:val="00914CB0"/>
    <w:rsid w:val="00914CF3"/>
    <w:rsid w:val="00914D1E"/>
    <w:rsid w:val="00914DD8"/>
    <w:rsid w:val="00914E6F"/>
    <w:rsid w:val="009152B6"/>
    <w:rsid w:val="00915369"/>
    <w:rsid w:val="0091545F"/>
    <w:rsid w:val="0091550F"/>
    <w:rsid w:val="00915B6A"/>
    <w:rsid w:val="00915CD0"/>
    <w:rsid w:val="00915E12"/>
    <w:rsid w:val="00915FEA"/>
    <w:rsid w:val="009160D4"/>
    <w:rsid w:val="0091633B"/>
    <w:rsid w:val="0091639E"/>
    <w:rsid w:val="00916404"/>
    <w:rsid w:val="0091661F"/>
    <w:rsid w:val="009167A1"/>
    <w:rsid w:val="009167B5"/>
    <w:rsid w:val="0091681E"/>
    <w:rsid w:val="009169DE"/>
    <w:rsid w:val="00916A83"/>
    <w:rsid w:val="00916AD8"/>
    <w:rsid w:val="00916ADF"/>
    <w:rsid w:val="00916AE1"/>
    <w:rsid w:val="0091702E"/>
    <w:rsid w:val="009170C8"/>
    <w:rsid w:val="009170D9"/>
    <w:rsid w:val="009170F8"/>
    <w:rsid w:val="0091745C"/>
    <w:rsid w:val="0091778D"/>
    <w:rsid w:val="00917A33"/>
    <w:rsid w:val="00917C5A"/>
    <w:rsid w:val="00917C61"/>
    <w:rsid w:val="00917F98"/>
    <w:rsid w:val="00917FF0"/>
    <w:rsid w:val="009200C0"/>
    <w:rsid w:val="009201F7"/>
    <w:rsid w:val="00920445"/>
    <w:rsid w:val="009205DC"/>
    <w:rsid w:val="009206EA"/>
    <w:rsid w:val="009207EC"/>
    <w:rsid w:val="0092081F"/>
    <w:rsid w:val="00920820"/>
    <w:rsid w:val="0092089C"/>
    <w:rsid w:val="00920BEC"/>
    <w:rsid w:val="00920FEA"/>
    <w:rsid w:val="0092103A"/>
    <w:rsid w:val="009212CD"/>
    <w:rsid w:val="0092149D"/>
    <w:rsid w:val="0092154B"/>
    <w:rsid w:val="00921693"/>
    <w:rsid w:val="0092176F"/>
    <w:rsid w:val="0092178E"/>
    <w:rsid w:val="0092190A"/>
    <w:rsid w:val="00921A54"/>
    <w:rsid w:val="00921A5D"/>
    <w:rsid w:val="00921C93"/>
    <w:rsid w:val="00921D2E"/>
    <w:rsid w:val="00922109"/>
    <w:rsid w:val="00922138"/>
    <w:rsid w:val="00922209"/>
    <w:rsid w:val="00922683"/>
    <w:rsid w:val="0092283A"/>
    <w:rsid w:val="00922BFF"/>
    <w:rsid w:val="00922D09"/>
    <w:rsid w:val="00922D2A"/>
    <w:rsid w:val="00922F88"/>
    <w:rsid w:val="00922FCF"/>
    <w:rsid w:val="009234C2"/>
    <w:rsid w:val="009235CA"/>
    <w:rsid w:val="00923889"/>
    <w:rsid w:val="009238ED"/>
    <w:rsid w:val="00923906"/>
    <w:rsid w:val="00923968"/>
    <w:rsid w:val="00923B27"/>
    <w:rsid w:val="00923E13"/>
    <w:rsid w:val="00923FF3"/>
    <w:rsid w:val="0092405B"/>
    <w:rsid w:val="009240B9"/>
    <w:rsid w:val="0092412D"/>
    <w:rsid w:val="009241D2"/>
    <w:rsid w:val="009241D8"/>
    <w:rsid w:val="009243EA"/>
    <w:rsid w:val="00924427"/>
    <w:rsid w:val="00924437"/>
    <w:rsid w:val="00924653"/>
    <w:rsid w:val="009249B7"/>
    <w:rsid w:val="00924A2E"/>
    <w:rsid w:val="00924CBC"/>
    <w:rsid w:val="00924E24"/>
    <w:rsid w:val="00925062"/>
    <w:rsid w:val="009252B7"/>
    <w:rsid w:val="0092532C"/>
    <w:rsid w:val="009254BA"/>
    <w:rsid w:val="0092552B"/>
    <w:rsid w:val="00925649"/>
    <w:rsid w:val="0092566D"/>
    <w:rsid w:val="00925767"/>
    <w:rsid w:val="00925818"/>
    <w:rsid w:val="00925B36"/>
    <w:rsid w:val="00925BB3"/>
    <w:rsid w:val="00925CB5"/>
    <w:rsid w:val="00925EFB"/>
    <w:rsid w:val="009260B7"/>
    <w:rsid w:val="009263C4"/>
    <w:rsid w:val="00926566"/>
    <w:rsid w:val="009265CA"/>
    <w:rsid w:val="00926710"/>
    <w:rsid w:val="0092687E"/>
    <w:rsid w:val="00926933"/>
    <w:rsid w:val="00926A4C"/>
    <w:rsid w:val="00926BAE"/>
    <w:rsid w:val="00926DFE"/>
    <w:rsid w:val="00926EC2"/>
    <w:rsid w:val="00926ECE"/>
    <w:rsid w:val="00926ED8"/>
    <w:rsid w:val="00926EF7"/>
    <w:rsid w:val="00927006"/>
    <w:rsid w:val="00927043"/>
    <w:rsid w:val="0092715A"/>
    <w:rsid w:val="0092754C"/>
    <w:rsid w:val="009276B4"/>
    <w:rsid w:val="00927725"/>
    <w:rsid w:val="0092773A"/>
    <w:rsid w:val="00927800"/>
    <w:rsid w:val="009279A9"/>
    <w:rsid w:val="00927A51"/>
    <w:rsid w:val="00927A76"/>
    <w:rsid w:val="00927BB4"/>
    <w:rsid w:val="00927BBD"/>
    <w:rsid w:val="00927C38"/>
    <w:rsid w:val="00927C43"/>
    <w:rsid w:val="00927E96"/>
    <w:rsid w:val="00930174"/>
    <w:rsid w:val="009303FC"/>
    <w:rsid w:val="009304E9"/>
    <w:rsid w:val="0093064C"/>
    <w:rsid w:val="00930A20"/>
    <w:rsid w:val="00930A45"/>
    <w:rsid w:val="00930A5A"/>
    <w:rsid w:val="00930ADA"/>
    <w:rsid w:val="00930B65"/>
    <w:rsid w:val="00930F3E"/>
    <w:rsid w:val="00931098"/>
    <w:rsid w:val="00931166"/>
    <w:rsid w:val="0093145F"/>
    <w:rsid w:val="00931586"/>
    <w:rsid w:val="00931698"/>
    <w:rsid w:val="00931814"/>
    <w:rsid w:val="009318CF"/>
    <w:rsid w:val="009318F0"/>
    <w:rsid w:val="00931D21"/>
    <w:rsid w:val="00931E4A"/>
    <w:rsid w:val="00931E9C"/>
    <w:rsid w:val="00931FF0"/>
    <w:rsid w:val="0093204B"/>
    <w:rsid w:val="009321E6"/>
    <w:rsid w:val="00932219"/>
    <w:rsid w:val="009322B4"/>
    <w:rsid w:val="0093239C"/>
    <w:rsid w:val="0093254F"/>
    <w:rsid w:val="00932683"/>
    <w:rsid w:val="009328D0"/>
    <w:rsid w:val="00932A3F"/>
    <w:rsid w:val="00932B77"/>
    <w:rsid w:val="00932CE7"/>
    <w:rsid w:val="00932D21"/>
    <w:rsid w:val="00932E32"/>
    <w:rsid w:val="00932EE6"/>
    <w:rsid w:val="00932F1C"/>
    <w:rsid w:val="0093302C"/>
    <w:rsid w:val="009330C1"/>
    <w:rsid w:val="0093350A"/>
    <w:rsid w:val="009335A5"/>
    <w:rsid w:val="009335FE"/>
    <w:rsid w:val="009337DB"/>
    <w:rsid w:val="00933EA2"/>
    <w:rsid w:val="00933F17"/>
    <w:rsid w:val="00933F29"/>
    <w:rsid w:val="00934246"/>
    <w:rsid w:val="00934712"/>
    <w:rsid w:val="009347B7"/>
    <w:rsid w:val="00934827"/>
    <w:rsid w:val="00934A88"/>
    <w:rsid w:val="00934AD6"/>
    <w:rsid w:val="00934D3B"/>
    <w:rsid w:val="00934D54"/>
    <w:rsid w:val="00934D8C"/>
    <w:rsid w:val="00934DA8"/>
    <w:rsid w:val="00934DA9"/>
    <w:rsid w:val="00934F97"/>
    <w:rsid w:val="00934FDD"/>
    <w:rsid w:val="009350FB"/>
    <w:rsid w:val="0093512A"/>
    <w:rsid w:val="00935150"/>
    <w:rsid w:val="009354CA"/>
    <w:rsid w:val="009355EE"/>
    <w:rsid w:val="00935653"/>
    <w:rsid w:val="00935D1C"/>
    <w:rsid w:val="00935DCC"/>
    <w:rsid w:val="00935E90"/>
    <w:rsid w:val="00935F84"/>
    <w:rsid w:val="00936049"/>
    <w:rsid w:val="0093604E"/>
    <w:rsid w:val="0093633E"/>
    <w:rsid w:val="0093684C"/>
    <w:rsid w:val="0093691D"/>
    <w:rsid w:val="00936971"/>
    <w:rsid w:val="00936AC1"/>
    <w:rsid w:val="00936B4A"/>
    <w:rsid w:val="00936B86"/>
    <w:rsid w:val="00936FD1"/>
    <w:rsid w:val="009373E0"/>
    <w:rsid w:val="009373E3"/>
    <w:rsid w:val="009376A7"/>
    <w:rsid w:val="00937DE3"/>
    <w:rsid w:val="00940038"/>
    <w:rsid w:val="00940110"/>
    <w:rsid w:val="0094015A"/>
    <w:rsid w:val="0094037C"/>
    <w:rsid w:val="00940775"/>
    <w:rsid w:val="009407C1"/>
    <w:rsid w:val="009407F1"/>
    <w:rsid w:val="00940882"/>
    <w:rsid w:val="00940891"/>
    <w:rsid w:val="009409D2"/>
    <w:rsid w:val="00940A88"/>
    <w:rsid w:val="00940AD6"/>
    <w:rsid w:val="00940B08"/>
    <w:rsid w:val="00940D2A"/>
    <w:rsid w:val="009411F9"/>
    <w:rsid w:val="00941227"/>
    <w:rsid w:val="009418A7"/>
    <w:rsid w:val="00941989"/>
    <w:rsid w:val="00941A5E"/>
    <w:rsid w:val="00941C59"/>
    <w:rsid w:val="00941E43"/>
    <w:rsid w:val="00941E67"/>
    <w:rsid w:val="0094223A"/>
    <w:rsid w:val="009428AB"/>
    <w:rsid w:val="00942A2E"/>
    <w:rsid w:val="00942A60"/>
    <w:rsid w:val="00942B46"/>
    <w:rsid w:val="00942B82"/>
    <w:rsid w:val="00942C56"/>
    <w:rsid w:val="00942C63"/>
    <w:rsid w:val="00942CD6"/>
    <w:rsid w:val="00942FCF"/>
    <w:rsid w:val="00943032"/>
    <w:rsid w:val="00943041"/>
    <w:rsid w:val="0094311D"/>
    <w:rsid w:val="009432B6"/>
    <w:rsid w:val="009433AC"/>
    <w:rsid w:val="009433CE"/>
    <w:rsid w:val="00943449"/>
    <w:rsid w:val="00943487"/>
    <w:rsid w:val="009435A0"/>
    <w:rsid w:val="00943602"/>
    <w:rsid w:val="009439C7"/>
    <w:rsid w:val="00943AB8"/>
    <w:rsid w:val="00943FD3"/>
    <w:rsid w:val="0094417A"/>
    <w:rsid w:val="00944288"/>
    <w:rsid w:val="009442E1"/>
    <w:rsid w:val="0094435F"/>
    <w:rsid w:val="009445ED"/>
    <w:rsid w:val="0094477F"/>
    <w:rsid w:val="0094478E"/>
    <w:rsid w:val="009448E0"/>
    <w:rsid w:val="00944E67"/>
    <w:rsid w:val="00944F30"/>
    <w:rsid w:val="00944F5E"/>
    <w:rsid w:val="00945021"/>
    <w:rsid w:val="0094506B"/>
    <w:rsid w:val="00945220"/>
    <w:rsid w:val="009452BA"/>
    <w:rsid w:val="009453C5"/>
    <w:rsid w:val="0094545C"/>
    <w:rsid w:val="009455E8"/>
    <w:rsid w:val="0094561A"/>
    <w:rsid w:val="0094563D"/>
    <w:rsid w:val="00945B0B"/>
    <w:rsid w:val="00945B60"/>
    <w:rsid w:val="00945D87"/>
    <w:rsid w:val="00945DA7"/>
    <w:rsid w:val="00945E09"/>
    <w:rsid w:val="00946214"/>
    <w:rsid w:val="00946264"/>
    <w:rsid w:val="0094637C"/>
    <w:rsid w:val="009463C1"/>
    <w:rsid w:val="00946909"/>
    <w:rsid w:val="0094693E"/>
    <w:rsid w:val="009469BC"/>
    <w:rsid w:val="00946BA6"/>
    <w:rsid w:val="00946C23"/>
    <w:rsid w:val="00946D1E"/>
    <w:rsid w:val="00946D35"/>
    <w:rsid w:val="00946DAF"/>
    <w:rsid w:val="00946DCE"/>
    <w:rsid w:val="00946E69"/>
    <w:rsid w:val="00946F39"/>
    <w:rsid w:val="00946FD3"/>
    <w:rsid w:val="009470A7"/>
    <w:rsid w:val="009470BF"/>
    <w:rsid w:val="009472B1"/>
    <w:rsid w:val="0094731B"/>
    <w:rsid w:val="009477F1"/>
    <w:rsid w:val="00947898"/>
    <w:rsid w:val="00947EF3"/>
    <w:rsid w:val="00947F27"/>
    <w:rsid w:val="00947F91"/>
    <w:rsid w:val="00947FF8"/>
    <w:rsid w:val="009500E9"/>
    <w:rsid w:val="00950114"/>
    <w:rsid w:val="009501D0"/>
    <w:rsid w:val="009502F2"/>
    <w:rsid w:val="00950429"/>
    <w:rsid w:val="009504D2"/>
    <w:rsid w:val="009504D6"/>
    <w:rsid w:val="0095058E"/>
    <w:rsid w:val="0095089F"/>
    <w:rsid w:val="00950974"/>
    <w:rsid w:val="009509F6"/>
    <w:rsid w:val="00950B70"/>
    <w:rsid w:val="00950BCD"/>
    <w:rsid w:val="00950C26"/>
    <w:rsid w:val="00950D2D"/>
    <w:rsid w:val="00950D38"/>
    <w:rsid w:val="00950D8B"/>
    <w:rsid w:val="00950F6A"/>
    <w:rsid w:val="00951059"/>
    <w:rsid w:val="00951160"/>
    <w:rsid w:val="009512AB"/>
    <w:rsid w:val="00951398"/>
    <w:rsid w:val="00951529"/>
    <w:rsid w:val="00951732"/>
    <w:rsid w:val="00951795"/>
    <w:rsid w:val="00951839"/>
    <w:rsid w:val="00951AE1"/>
    <w:rsid w:val="00951DCB"/>
    <w:rsid w:val="00951E04"/>
    <w:rsid w:val="00951EA6"/>
    <w:rsid w:val="00951EBD"/>
    <w:rsid w:val="00951F37"/>
    <w:rsid w:val="009520E6"/>
    <w:rsid w:val="009521F3"/>
    <w:rsid w:val="0095228C"/>
    <w:rsid w:val="009523E6"/>
    <w:rsid w:val="00952664"/>
    <w:rsid w:val="0095276B"/>
    <w:rsid w:val="009528A0"/>
    <w:rsid w:val="00952937"/>
    <w:rsid w:val="00952992"/>
    <w:rsid w:val="00952ACD"/>
    <w:rsid w:val="00952B08"/>
    <w:rsid w:val="00952F16"/>
    <w:rsid w:val="00952F58"/>
    <w:rsid w:val="00952F9D"/>
    <w:rsid w:val="009530F5"/>
    <w:rsid w:val="00953285"/>
    <w:rsid w:val="00953336"/>
    <w:rsid w:val="0095334C"/>
    <w:rsid w:val="009533C5"/>
    <w:rsid w:val="0095397C"/>
    <w:rsid w:val="00953A15"/>
    <w:rsid w:val="00953C36"/>
    <w:rsid w:val="00953DBD"/>
    <w:rsid w:val="00953EDC"/>
    <w:rsid w:val="00953F51"/>
    <w:rsid w:val="00953FEC"/>
    <w:rsid w:val="009541A8"/>
    <w:rsid w:val="009542A3"/>
    <w:rsid w:val="009543EF"/>
    <w:rsid w:val="0095448E"/>
    <w:rsid w:val="0095466D"/>
    <w:rsid w:val="00954867"/>
    <w:rsid w:val="00954A2A"/>
    <w:rsid w:val="00954A3D"/>
    <w:rsid w:val="00954B5E"/>
    <w:rsid w:val="00954B84"/>
    <w:rsid w:val="00954C45"/>
    <w:rsid w:val="00954DEC"/>
    <w:rsid w:val="00955060"/>
    <w:rsid w:val="0095536A"/>
    <w:rsid w:val="0095537E"/>
    <w:rsid w:val="009553CF"/>
    <w:rsid w:val="009554C6"/>
    <w:rsid w:val="009558CE"/>
    <w:rsid w:val="00955931"/>
    <w:rsid w:val="009559B0"/>
    <w:rsid w:val="009559E5"/>
    <w:rsid w:val="00955A1E"/>
    <w:rsid w:val="00955AE6"/>
    <w:rsid w:val="00955C07"/>
    <w:rsid w:val="00955C5D"/>
    <w:rsid w:val="00955CEC"/>
    <w:rsid w:val="00955D83"/>
    <w:rsid w:val="00955E33"/>
    <w:rsid w:val="00955E39"/>
    <w:rsid w:val="00956130"/>
    <w:rsid w:val="0095634C"/>
    <w:rsid w:val="0095637C"/>
    <w:rsid w:val="00956AD5"/>
    <w:rsid w:val="00956AF3"/>
    <w:rsid w:val="00956B74"/>
    <w:rsid w:val="00956D09"/>
    <w:rsid w:val="009571B8"/>
    <w:rsid w:val="00957251"/>
    <w:rsid w:val="00957282"/>
    <w:rsid w:val="009577F4"/>
    <w:rsid w:val="00957965"/>
    <w:rsid w:val="00957AD5"/>
    <w:rsid w:val="00957BF7"/>
    <w:rsid w:val="00957C36"/>
    <w:rsid w:val="00957D16"/>
    <w:rsid w:val="00957D3D"/>
    <w:rsid w:val="00957D82"/>
    <w:rsid w:val="00957DB9"/>
    <w:rsid w:val="00957DF9"/>
    <w:rsid w:val="00960009"/>
    <w:rsid w:val="00960069"/>
    <w:rsid w:val="009600BD"/>
    <w:rsid w:val="0096010E"/>
    <w:rsid w:val="009602B6"/>
    <w:rsid w:val="00960375"/>
    <w:rsid w:val="00960471"/>
    <w:rsid w:val="00960481"/>
    <w:rsid w:val="00960518"/>
    <w:rsid w:val="00960535"/>
    <w:rsid w:val="00960579"/>
    <w:rsid w:val="009606B0"/>
    <w:rsid w:val="00960723"/>
    <w:rsid w:val="0096082E"/>
    <w:rsid w:val="00960899"/>
    <w:rsid w:val="00960B01"/>
    <w:rsid w:val="00960BD1"/>
    <w:rsid w:val="00960CE4"/>
    <w:rsid w:val="00960CF7"/>
    <w:rsid w:val="00960E39"/>
    <w:rsid w:val="009612B6"/>
    <w:rsid w:val="00961639"/>
    <w:rsid w:val="009616BB"/>
    <w:rsid w:val="009619C4"/>
    <w:rsid w:val="00961ECF"/>
    <w:rsid w:val="00961F0D"/>
    <w:rsid w:val="00961F34"/>
    <w:rsid w:val="00961F8B"/>
    <w:rsid w:val="009620BB"/>
    <w:rsid w:val="00962364"/>
    <w:rsid w:val="00962572"/>
    <w:rsid w:val="0096267D"/>
    <w:rsid w:val="009626E9"/>
    <w:rsid w:val="0096274D"/>
    <w:rsid w:val="0096278F"/>
    <w:rsid w:val="00962C4F"/>
    <w:rsid w:val="00962CA2"/>
    <w:rsid w:val="00962DFB"/>
    <w:rsid w:val="00962F16"/>
    <w:rsid w:val="00963269"/>
    <w:rsid w:val="00963337"/>
    <w:rsid w:val="0096374F"/>
    <w:rsid w:val="009637A9"/>
    <w:rsid w:val="00963B76"/>
    <w:rsid w:val="00963CD5"/>
    <w:rsid w:val="00963D09"/>
    <w:rsid w:val="00963E2D"/>
    <w:rsid w:val="00963E52"/>
    <w:rsid w:val="00963FB6"/>
    <w:rsid w:val="009641CD"/>
    <w:rsid w:val="00964335"/>
    <w:rsid w:val="00964379"/>
    <w:rsid w:val="0096448F"/>
    <w:rsid w:val="00964503"/>
    <w:rsid w:val="009645BB"/>
    <w:rsid w:val="009647D1"/>
    <w:rsid w:val="009649DB"/>
    <w:rsid w:val="00964B53"/>
    <w:rsid w:val="00964B6C"/>
    <w:rsid w:val="00964C2C"/>
    <w:rsid w:val="00964D34"/>
    <w:rsid w:val="00965258"/>
    <w:rsid w:val="00965379"/>
    <w:rsid w:val="009653F8"/>
    <w:rsid w:val="00965A44"/>
    <w:rsid w:val="00965C25"/>
    <w:rsid w:val="00965E52"/>
    <w:rsid w:val="00965F52"/>
    <w:rsid w:val="00965F99"/>
    <w:rsid w:val="0096603A"/>
    <w:rsid w:val="0096620B"/>
    <w:rsid w:val="00966292"/>
    <w:rsid w:val="0096632B"/>
    <w:rsid w:val="009663A3"/>
    <w:rsid w:val="009663F7"/>
    <w:rsid w:val="00966418"/>
    <w:rsid w:val="009667AA"/>
    <w:rsid w:val="0096691B"/>
    <w:rsid w:val="009669DF"/>
    <w:rsid w:val="00966B6D"/>
    <w:rsid w:val="00966D27"/>
    <w:rsid w:val="00967013"/>
    <w:rsid w:val="0096713A"/>
    <w:rsid w:val="00967172"/>
    <w:rsid w:val="009671C0"/>
    <w:rsid w:val="00967757"/>
    <w:rsid w:val="00967782"/>
    <w:rsid w:val="0096795D"/>
    <w:rsid w:val="00967A85"/>
    <w:rsid w:val="00967AA4"/>
    <w:rsid w:val="00967B02"/>
    <w:rsid w:val="00967B2D"/>
    <w:rsid w:val="00967B55"/>
    <w:rsid w:val="00967C2F"/>
    <w:rsid w:val="00967C92"/>
    <w:rsid w:val="009700C0"/>
    <w:rsid w:val="009700F8"/>
    <w:rsid w:val="009702EA"/>
    <w:rsid w:val="009703AA"/>
    <w:rsid w:val="00970402"/>
    <w:rsid w:val="0097041B"/>
    <w:rsid w:val="00970559"/>
    <w:rsid w:val="009709D6"/>
    <w:rsid w:val="00970AB0"/>
    <w:rsid w:val="00970BD6"/>
    <w:rsid w:val="00970C29"/>
    <w:rsid w:val="00970CB7"/>
    <w:rsid w:val="00970E58"/>
    <w:rsid w:val="00970EF7"/>
    <w:rsid w:val="00971109"/>
    <w:rsid w:val="0097114F"/>
    <w:rsid w:val="00971189"/>
    <w:rsid w:val="009711C7"/>
    <w:rsid w:val="00971227"/>
    <w:rsid w:val="0097137D"/>
    <w:rsid w:val="00971640"/>
    <w:rsid w:val="009716DE"/>
    <w:rsid w:val="009716EC"/>
    <w:rsid w:val="00971760"/>
    <w:rsid w:val="009718CB"/>
    <w:rsid w:val="009719FD"/>
    <w:rsid w:val="00971A23"/>
    <w:rsid w:val="00971E25"/>
    <w:rsid w:val="00971E71"/>
    <w:rsid w:val="0097209F"/>
    <w:rsid w:val="00972246"/>
    <w:rsid w:val="009722F0"/>
    <w:rsid w:val="00972502"/>
    <w:rsid w:val="009726E7"/>
    <w:rsid w:val="00972860"/>
    <w:rsid w:val="00972874"/>
    <w:rsid w:val="00972B23"/>
    <w:rsid w:val="00972F26"/>
    <w:rsid w:val="00972F5D"/>
    <w:rsid w:val="009730E1"/>
    <w:rsid w:val="00973197"/>
    <w:rsid w:val="00973421"/>
    <w:rsid w:val="0097348A"/>
    <w:rsid w:val="0097351F"/>
    <w:rsid w:val="0097372F"/>
    <w:rsid w:val="00973988"/>
    <w:rsid w:val="00973AC5"/>
    <w:rsid w:val="00973D1E"/>
    <w:rsid w:val="00973D78"/>
    <w:rsid w:val="00973D8B"/>
    <w:rsid w:val="00973DBD"/>
    <w:rsid w:val="00973E64"/>
    <w:rsid w:val="00973E9F"/>
    <w:rsid w:val="00973F0C"/>
    <w:rsid w:val="00973F2B"/>
    <w:rsid w:val="00973F4E"/>
    <w:rsid w:val="0097413E"/>
    <w:rsid w:val="00974261"/>
    <w:rsid w:val="00974395"/>
    <w:rsid w:val="009743A9"/>
    <w:rsid w:val="00974419"/>
    <w:rsid w:val="00974676"/>
    <w:rsid w:val="0097473B"/>
    <w:rsid w:val="009747B7"/>
    <w:rsid w:val="0097501C"/>
    <w:rsid w:val="0097523A"/>
    <w:rsid w:val="009752AF"/>
    <w:rsid w:val="009754D2"/>
    <w:rsid w:val="009755D3"/>
    <w:rsid w:val="00975618"/>
    <w:rsid w:val="009757EC"/>
    <w:rsid w:val="00975A45"/>
    <w:rsid w:val="00975AA0"/>
    <w:rsid w:val="00975B12"/>
    <w:rsid w:val="00975E3B"/>
    <w:rsid w:val="00975E91"/>
    <w:rsid w:val="00975F86"/>
    <w:rsid w:val="00976057"/>
    <w:rsid w:val="00976747"/>
    <w:rsid w:val="00976B41"/>
    <w:rsid w:val="00976C75"/>
    <w:rsid w:val="00976C7A"/>
    <w:rsid w:val="00976D58"/>
    <w:rsid w:val="00976D5D"/>
    <w:rsid w:val="0097723D"/>
    <w:rsid w:val="0097770C"/>
    <w:rsid w:val="00977710"/>
    <w:rsid w:val="009777E0"/>
    <w:rsid w:val="009778F0"/>
    <w:rsid w:val="00977904"/>
    <w:rsid w:val="00977A22"/>
    <w:rsid w:val="00977BA3"/>
    <w:rsid w:val="00977C9A"/>
    <w:rsid w:val="00977D36"/>
    <w:rsid w:val="00977D8F"/>
    <w:rsid w:val="00977ED3"/>
    <w:rsid w:val="00977FDF"/>
    <w:rsid w:val="009800C0"/>
    <w:rsid w:val="009801F4"/>
    <w:rsid w:val="00980228"/>
    <w:rsid w:val="00980445"/>
    <w:rsid w:val="00980804"/>
    <w:rsid w:val="00980915"/>
    <w:rsid w:val="009809F8"/>
    <w:rsid w:val="00980A57"/>
    <w:rsid w:val="00980A69"/>
    <w:rsid w:val="00980A95"/>
    <w:rsid w:val="00980BE1"/>
    <w:rsid w:val="00980CE9"/>
    <w:rsid w:val="00980D19"/>
    <w:rsid w:val="00980D7D"/>
    <w:rsid w:val="00980DF3"/>
    <w:rsid w:val="00981261"/>
    <w:rsid w:val="009813A2"/>
    <w:rsid w:val="00981543"/>
    <w:rsid w:val="009815C2"/>
    <w:rsid w:val="00981620"/>
    <w:rsid w:val="00981660"/>
    <w:rsid w:val="009818FD"/>
    <w:rsid w:val="009819AC"/>
    <w:rsid w:val="00981BB1"/>
    <w:rsid w:val="00981CE4"/>
    <w:rsid w:val="0098206F"/>
    <w:rsid w:val="00982416"/>
    <w:rsid w:val="0098246F"/>
    <w:rsid w:val="009824D2"/>
    <w:rsid w:val="009824D5"/>
    <w:rsid w:val="0098275D"/>
    <w:rsid w:val="009827C3"/>
    <w:rsid w:val="00982875"/>
    <w:rsid w:val="00982B7A"/>
    <w:rsid w:val="00982C6E"/>
    <w:rsid w:val="00982D6E"/>
    <w:rsid w:val="00982EE4"/>
    <w:rsid w:val="00982F37"/>
    <w:rsid w:val="009830A3"/>
    <w:rsid w:val="009831F9"/>
    <w:rsid w:val="0098335F"/>
    <w:rsid w:val="00983536"/>
    <w:rsid w:val="00983631"/>
    <w:rsid w:val="0098374A"/>
    <w:rsid w:val="00983AC0"/>
    <w:rsid w:val="00983AFE"/>
    <w:rsid w:val="00983B69"/>
    <w:rsid w:val="00983C80"/>
    <w:rsid w:val="00983CB6"/>
    <w:rsid w:val="00983E11"/>
    <w:rsid w:val="00983E52"/>
    <w:rsid w:val="0098416C"/>
    <w:rsid w:val="009843CC"/>
    <w:rsid w:val="009843CF"/>
    <w:rsid w:val="00984459"/>
    <w:rsid w:val="0098445A"/>
    <w:rsid w:val="0098453B"/>
    <w:rsid w:val="009846EB"/>
    <w:rsid w:val="00984822"/>
    <w:rsid w:val="00984A4A"/>
    <w:rsid w:val="00984A8C"/>
    <w:rsid w:val="00984AC9"/>
    <w:rsid w:val="00984D0D"/>
    <w:rsid w:val="00984E76"/>
    <w:rsid w:val="00984EFD"/>
    <w:rsid w:val="00985050"/>
    <w:rsid w:val="009851CE"/>
    <w:rsid w:val="00985609"/>
    <w:rsid w:val="00985642"/>
    <w:rsid w:val="00985698"/>
    <w:rsid w:val="0098570C"/>
    <w:rsid w:val="009857C6"/>
    <w:rsid w:val="0098582D"/>
    <w:rsid w:val="00985B1F"/>
    <w:rsid w:val="00985CE0"/>
    <w:rsid w:val="00986604"/>
    <w:rsid w:val="0098671E"/>
    <w:rsid w:val="00986881"/>
    <w:rsid w:val="009868EC"/>
    <w:rsid w:val="00986B72"/>
    <w:rsid w:val="00986C4A"/>
    <w:rsid w:val="00986D85"/>
    <w:rsid w:val="00986EF0"/>
    <w:rsid w:val="00986F4F"/>
    <w:rsid w:val="009870AF"/>
    <w:rsid w:val="009871EC"/>
    <w:rsid w:val="009872A8"/>
    <w:rsid w:val="009872EC"/>
    <w:rsid w:val="009875D0"/>
    <w:rsid w:val="009877C8"/>
    <w:rsid w:val="009877F8"/>
    <w:rsid w:val="00987805"/>
    <w:rsid w:val="0098796B"/>
    <w:rsid w:val="00987B32"/>
    <w:rsid w:val="00987B55"/>
    <w:rsid w:val="00987C83"/>
    <w:rsid w:val="00987D94"/>
    <w:rsid w:val="00987FEB"/>
    <w:rsid w:val="0099002F"/>
    <w:rsid w:val="009901F7"/>
    <w:rsid w:val="009902B8"/>
    <w:rsid w:val="00990383"/>
    <w:rsid w:val="00990422"/>
    <w:rsid w:val="00990524"/>
    <w:rsid w:val="0099055D"/>
    <w:rsid w:val="00990622"/>
    <w:rsid w:val="009906B1"/>
    <w:rsid w:val="00990BAA"/>
    <w:rsid w:val="00990C79"/>
    <w:rsid w:val="00990E73"/>
    <w:rsid w:val="00991055"/>
    <w:rsid w:val="00991231"/>
    <w:rsid w:val="009915FD"/>
    <w:rsid w:val="00991689"/>
    <w:rsid w:val="00991783"/>
    <w:rsid w:val="009917B3"/>
    <w:rsid w:val="0099184E"/>
    <w:rsid w:val="009918C0"/>
    <w:rsid w:val="009918DF"/>
    <w:rsid w:val="0099193F"/>
    <w:rsid w:val="00991A85"/>
    <w:rsid w:val="00991C5B"/>
    <w:rsid w:val="00991DC9"/>
    <w:rsid w:val="00991E3B"/>
    <w:rsid w:val="00991FC8"/>
    <w:rsid w:val="00991FDA"/>
    <w:rsid w:val="0099217D"/>
    <w:rsid w:val="00992241"/>
    <w:rsid w:val="00992257"/>
    <w:rsid w:val="009923AA"/>
    <w:rsid w:val="00992418"/>
    <w:rsid w:val="00992459"/>
    <w:rsid w:val="009924C4"/>
    <w:rsid w:val="009924E9"/>
    <w:rsid w:val="00992581"/>
    <w:rsid w:val="00992608"/>
    <w:rsid w:val="009926E6"/>
    <w:rsid w:val="009927ED"/>
    <w:rsid w:val="00992C0C"/>
    <w:rsid w:val="00992D4F"/>
    <w:rsid w:val="00992E63"/>
    <w:rsid w:val="0099323D"/>
    <w:rsid w:val="009932E1"/>
    <w:rsid w:val="00993422"/>
    <w:rsid w:val="00993462"/>
    <w:rsid w:val="00993688"/>
    <w:rsid w:val="009938BD"/>
    <w:rsid w:val="00993A50"/>
    <w:rsid w:val="00993BD6"/>
    <w:rsid w:val="00993EAB"/>
    <w:rsid w:val="00993F62"/>
    <w:rsid w:val="00994283"/>
    <w:rsid w:val="0099436A"/>
    <w:rsid w:val="009944A2"/>
    <w:rsid w:val="009944AE"/>
    <w:rsid w:val="0099452E"/>
    <w:rsid w:val="009946CA"/>
    <w:rsid w:val="00994705"/>
    <w:rsid w:val="009947A5"/>
    <w:rsid w:val="00994A8A"/>
    <w:rsid w:val="00994B2A"/>
    <w:rsid w:val="00994C35"/>
    <w:rsid w:val="00994D2F"/>
    <w:rsid w:val="00994F1C"/>
    <w:rsid w:val="00994F7C"/>
    <w:rsid w:val="009950CF"/>
    <w:rsid w:val="00995108"/>
    <w:rsid w:val="0099529B"/>
    <w:rsid w:val="0099549A"/>
    <w:rsid w:val="00995510"/>
    <w:rsid w:val="00995588"/>
    <w:rsid w:val="00995794"/>
    <w:rsid w:val="00995815"/>
    <w:rsid w:val="00995A9B"/>
    <w:rsid w:val="00995DDA"/>
    <w:rsid w:val="00996092"/>
    <w:rsid w:val="0099618C"/>
    <w:rsid w:val="00996220"/>
    <w:rsid w:val="0099627B"/>
    <w:rsid w:val="00996485"/>
    <w:rsid w:val="009964F3"/>
    <w:rsid w:val="00996660"/>
    <w:rsid w:val="009968CB"/>
    <w:rsid w:val="00996D0D"/>
    <w:rsid w:val="00996EE5"/>
    <w:rsid w:val="00996F02"/>
    <w:rsid w:val="0099700A"/>
    <w:rsid w:val="0099717B"/>
    <w:rsid w:val="0099729F"/>
    <w:rsid w:val="0099733E"/>
    <w:rsid w:val="00997427"/>
    <w:rsid w:val="0099746C"/>
    <w:rsid w:val="009976E7"/>
    <w:rsid w:val="00997804"/>
    <w:rsid w:val="0099781B"/>
    <w:rsid w:val="009978D0"/>
    <w:rsid w:val="009978D9"/>
    <w:rsid w:val="0099793A"/>
    <w:rsid w:val="00997993"/>
    <w:rsid w:val="00997AB7"/>
    <w:rsid w:val="00997B11"/>
    <w:rsid w:val="00997F07"/>
    <w:rsid w:val="00997F89"/>
    <w:rsid w:val="009A0009"/>
    <w:rsid w:val="009A005A"/>
    <w:rsid w:val="009A0093"/>
    <w:rsid w:val="009A00CA"/>
    <w:rsid w:val="009A0439"/>
    <w:rsid w:val="009A049B"/>
    <w:rsid w:val="009A04C0"/>
    <w:rsid w:val="009A059B"/>
    <w:rsid w:val="009A0BDC"/>
    <w:rsid w:val="009A0CC5"/>
    <w:rsid w:val="009A0D0F"/>
    <w:rsid w:val="009A0EF7"/>
    <w:rsid w:val="009A0F87"/>
    <w:rsid w:val="009A10D6"/>
    <w:rsid w:val="009A1263"/>
    <w:rsid w:val="009A1306"/>
    <w:rsid w:val="009A1365"/>
    <w:rsid w:val="009A152C"/>
    <w:rsid w:val="009A154A"/>
    <w:rsid w:val="009A16CB"/>
    <w:rsid w:val="009A1B78"/>
    <w:rsid w:val="009A1B8C"/>
    <w:rsid w:val="009A1BCE"/>
    <w:rsid w:val="009A1BD5"/>
    <w:rsid w:val="009A1D91"/>
    <w:rsid w:val="009A2044"/>
    <w:rsid w:val="009A2079"/>
    <w:rsid w:val="009A216F"/>
    <w:rsid w:val="009A22A6"/>
    <w:rsid w:val="009A2414"/>
    <w:rsid w:val="009A24BF"/>
    <w:rsid w:val="009A257D"/>
    <w:rsid w:val="009A2D68"/>
    <w:rsid w:val="009A2F45"/>
    <w:rsid w:val="009A3297"/>
    <w:rsid w:val="009A337A"/>
    <w:rsid w:val="009A34C3"/>
    <w:rsid w:val="009A34DC"/>
    <w:rsid w:val="009A358F"/>
    <w:rsid w:val="009A376D"/>
    <w:rsid w:val="009A3833"/>
    <w:rsid w:val="009A3861"/>
    <w:rsid w:val="009A3C64"/>
    <w:rsid w:val="009A3CD0"/>
    <w:rsid w:val="009A3D19"/>
    <w:rsid w:val="009A3F3C"/>
    <w:rsid w:val="009A439E"/>
    <w:rsid w:val="009A43DB"/>
    <w:rsid w:val="009A44C2"/>
    <w:rsid w:val="009A45D8"/>
    <w:rsid w:val="009A4633"/>
    <w:rsid w:val="009A4780"/>
    <w:rsid w:val="009A49BB"/>
    <w:rsid w:val="009A4DA5"/>
    <w:rsid w:val="009A4DB5"/>
    <w:rsid w:val="009A4E4E"/>
    <w:rsid w:val="009A50BF"/>
    <w:rsid w:val="009A50E2"/>
    <w:rsid w:val="009A51B8"/>
    <w:rsid w:val="009A5302"/>
    <w:rsid w:val="009A5344"/>
    <w:rsid w:val="009A537D"/>
    <w:rsid w:val="009A54D2"/>
    <w:rsid w:val="009A5819"/>
    <w:rsid w:val="009A58AB"/>
    <w:rsid w:val="009A5B7B"/>
    <w:rsid w:val="009A5D2F"/>
    <w:rsid w:val="009A5EA7"/>
    <w:rsid w:val="009A632C"/>
    <w:rsid w:val="009A6350"/>
    <w:rsid w:val="009A6452"/>
    <w:rsid w:val="009A64E3"/>
    <w:rsid w:val="009A6762"/>
    <w:rsid w:val="009A6836"/>
    <w:rsid w:val="009A684F"/>
    <w:rsid w:val="009A68E3"/>
    <w:rsid w:val="009A69C1"/>
    <w:rsid w:val="009A6A6C"/>
    <w:rsid w:val="009A6CC7"/>
    <w:rsid w:val="009A6D37"/>
    <w:rsid w:val="009A6DCB"/>
    <w:rsid w:val="009A70D8"/>
    <w:rsid w:val="009A71F8"/>
    <w:rsid w:val="009A742E"/>
    <w:rsid w:val="009A74C1"/>
    <w:rsid w:val="009A7533"/>
    <w:rsid w:val="009A75DA"/>
    <w:rsid w:val="009A7725"/>
    <w:rsid w:val="009A7A16"/>
    <w:rsid w:val="009A7AD1"/>
    <w:rsid w:val="009A7DB2"/>
    <w:rsid w:val="009A7DE9"/>
    <w:rsid w:val="009A7F1F"/>
    <w:rsid w:val="009A7FDA"/>
    <w:rsid w:val="009B004D"/>
    <w:rsid w:val="009B0080"/>
    <w:rsid w:val="009B026B"/>
    <w:rsid w:val="009B028A"/>
    <w:rsid w:val="009B077D"/>
    <w:rsid w:val="009B08B0"/>
    <w:rsid w:val="009B08B1"/>
    <w:rsid w:val="009B0960"/>
    <w:rsid w:val="009B0A2F"/>
    <w:rsid w:val="009B0A9B"/>
    <w:rsid w:val="009B0B8B"/>
    <w:rsid w:val="009B0E62"/>
    <w:rsid w:val="009B10B3"/>
    <w:rsid w:val="009B131F"/>
    <w:rsid w:val="009B14A9"/>
    <w:rsid w:val="009B1704"/>
    <w:rsid w:val="009B19DF"/>
    <w:rsid w:val="009B1ABE"/>
    <w:rsid w:val="009B1C7B"/>
    <w:rsid w:val="009B200A"/>
    <w:rsid w:val="009B2010"/>
    <w:rsid w:val="009B2160"/>
    <w:rsid w:val="009B2291"/>
    <w:rsid w:val="009B237A"/>
    <w:rsid w:val="009B24F5"/>
    <w:rsid w:val="009B25BE"/>
    <w:rsid w:val="009B29C7"/>
    <w:rsid w:val="009B2A24"/>
    <w:rsid w:val="009B2BF2"/>
    <w:rsid w:val="009B2DDB"/>
    <w:rsid w:val="009B2E50"/>
    <w:rsid w:val="009B2FCE"/>
    <w:rsid w:val="009B3599"/>
    <w:rsid w:val="009B37FC"/>
    <w:rsid w:val="009B3A31"/>
    <w:rsid w:val="009B3A4D"/>
    <w:rsid w:val="009B3AFD"/>
    <w:rsid w:val="009B3E39"/>
    <w:rsid w:val="009B3FC0"/>
    <w:rsid w:val="009B4232"/>
    <w:rsid w:val="009B4405"/>
    <w:rsid w:val="009B4543"/>
    <w:rsid w:val="009B4553"/>
    <w:rsid w:val="009B467C"/>
    <w:rsid w:val="009B474F"/>
    <w:rsid w:val="009B4803"/>
    <w:rsid w:val="009B49C2"/>
    <w:rsid w:val="009B4B22"/>
    <w:rsid w:val="009B4B53"/>
    <w:rsid w:val="009B4B5F"/>
    <w:rsid w:val="009B4CF7"/>
    <w:rsid w:val="009B4D15"/>
    <w:rsid w:val="009B4D95"/>
    <w:rsid w:val="009B4DD6"/>
    <w:rsid w:val="009B4F85"/>
    <w:rsid w:val="009B5022"/>
    <w:rsid w:val="009B50B2"/>
    <w:rsid w:val="009B51E1"/>
    <w:rsid w:val="009B52E1"/>
    <w:rsid w:val="009B541D"/>
    <w:rsid w:val="009B5480"/>
    <w:rsid w:val="009B561C"/>
    <w:rsid w:val="009B5A9C"/>
    <w:rsid w:val="009B5B30"/>
    <w:rsid w:val="009B5D56"/>
    <w:rsid w:val="009B5DB0"/>
    <w:rsid w:val="009B5E7A"/>
    <w:rsid w:val="009B5E9C"/>
    <w:rsid w:val="009B5E9F"/>
    <w:rsid w:val="009B6080"/>
    <w:rsid w:val="009B6155"/>
    <w:rsid w:val="009B66A5"/>
    <w:rsid w:val="009B6716"/>
    <w:rsid w:val="009B6992"/>
    <w:rsid w:val="009B6C2D"/>
    <w:rsid w:val="009B6C5E"/>
    <w:rsid w:val="009B6FFD"/>
    <w:rsid w:val="009B70A9"/>
    <w:rsid w:val="009B7323"/>
    <w:rsid w:val="009B7367"/>
    <w:rsid w:val="009B73DC"/>
    <w:rsid w:val="009B7501"/>
    <w:rsid w:val="009B75D2"/>
    <w:rsid w:val="009B76AE"/>
    <w:rsid w:val="009B78D7"/>
    <w:rsid w:val="009B7A0A"/>
    <w:rsid w:val="009B7C37"/>
    <w:rsid w:val="009B7CEE"/>
    <w:rsid w:val="009B7E7E"/>
    <w:rsid w:val="009B7EB1"/>
    <w:rsid w:val="009C014E"/>
    <w:rsid w:val="009C0257"/>
    <w:rsid w:val="009C0260"/>
    <w:rsid w:val="009C0296"/>
    <w:rsid w:val="009C0425"/>
    <w:rsid w:val="009C05E0"/>
    <w:rsid w:val="009C0782"/>
    <w:rsid w:val="009C085B"/>
    <w:rsid w:val="009C0977"/>
    <w:rsid w:val="009C09B3"/>
    <w:rsid w:val="009C0A44"/>
    <w:rsid w:val="009C0A8C"/>
    <w:rsid w:val="009C0B89"/>
    <w:rsid w:val="009C0B91"/>
    <w:rsid w:val="009C0EDE"/>
    <w:rsid w:val="009C0FC6"/>
    <w:rsid w:val="009C10A2"/>
    <w:rsid w:val="009C16D5"/>
    <w:rsid w:val="009C16E1"/>
    <w:rsid w:val="009C173A"/>
    <w:rsid w:val="009C19C4"/>
    <w:rsid w:val="009C1A33"/>
    <w:rsid w:val="009C1D55"/>
    <w:rsid w:val="009C1D74"/>
    <w:rsid w:val="009C1EEF"/>
    <w:rsid w:val="009C1F5B"/>
    <w:rsid w:val="009C1F8B"/>
    <w:rsid w:val="009C1F8F"/>
    <w:rsid w:val="009C23F1"/>
    <w:rsid w:val="009C23FA"/>
    <w:rsid w:val="009C25C8"/>
    <w:rsid w:val="009C2604"/>
    <w:rsid w:val="009C27E8"/>
    <w:rsid w:val="009C2816"/>
    <w:rsid w:val="009C2875"/>
    <w:rsid w:val="009C2897"/>
    <w:rsid w:val="009C28D0"/>
    <w:rsid w:val="009C2A98"/>
    <w:rsid w:val="009C2CEB"/>
    <w:rsid w:val="009C2D15"/>
    <w:rsid w:val="009C2EB8"/>
    <w:rsid w:val="009C2F9B"/>
    <w:rsid w:val="009C321C"/>
    <w:rsid w:val="009C339B"/>
    <w:rsid w:val="009C34A5"/>
    <w:rsid w:val="009C3538"/>
    <w:rsid w:val="009C3560"/>
    <w:rsid w:val="009C3744"/>
    <w:rsid w:val="009C3815"/>
    <w:rsid w:val="009C3871"/>
    <w:rsid w:val="009C38C0"/>
    <w:rsid w:val="009C3EAC"/>
    <w:rsid w:val="009C423E"/>
    <w:rsid w:val="009C44DE"/>
    <w:rsid w:val="009C44EA"/>
    <w:rsid w:val="009C450F"/>
    <w:rsid w:val="009C4661"/>
    <w:rsid w:val="009C4A64"/>
    <w:rsid w:val="009C4AED"/>
    <w:rsid w:val="009C4AFB"/>
    <w:rsid w:val="009C4DA1"/>
    <w:rsid w:val="009C4DF6"/>
    <w:rsid w:val="009C52D8"/>
    <w:rsid w:val="009C5371"/>
    <w:rsid w:val="009C53DA"/>
    <w:rsid w:val="009C557C"/>
    <w:rsid w:val="009C5665"/>
    <w:rsid w:val="009C5748"/>
    <w:rsid w:val="009C5866"/>
    <w:rsid w:val="009C58B4"/>
    <w:rsid w:val="009C5A8A"/>
    <w:rsid w:val="009C5C6D"/>
    <w:rsid w:val="009C5CD0"/>
    <w:rsid w:val="009C5CEC"/>
    <w:rsid w:val="009C5DB0"/>
    <w:rsid w:val="009C5F2B"/>
    <w:rsid w:val="009C5F94"/>
    <w:rsid w:val="009C60B1"/>
    <w:rsid w:val="009C61AD"/>
    <w:rsid w:val="009C61F6"/>
    <w:rsid w:val="009C62F2"/>
    <w:rsid w:val="009C63B3"/>
    <w:rsid w:val="009C6460"/>
    <w:rsid w:val="009C64B5"/>
    <w:rsid w:val="009C66BD"/>
    <w:rsid w:val="009C6940"/>
    <w:rsid w:val="009C6AA9"/>
    <w:rsid w:val="009C6BA1"/>
    <w:rsid w:val="009C6CE1"/>
    <w:rsid w:val="009C6D30"/>
    <w:rsid w:val="009C6E50"/>
    <w:rsid w:val="009C6EE7"/>
    <w:rsid w:val="009C70F1"/>
    <w:rsid w:val="009C7129"/>
    <w:rsid w:val="009C72C5"/>
    <w:rsid w:val="009C7386"/>
    <w:rsid w:val="009C76F8"/>
    <w:rsid w:val="009C78C2"/>
    <w:rsid w:val="009C79CB"/>
    <w:rsid w:val="009C7EA9"/>
    <w:rsid w:val="009C7EDF"/>
    <w:rsid w:val="009D0322"/>
    <w:rsid w:val="009D03A4"/>
    <w:rsid w:val="009D0539"/>
    <w:rsid w:val="009D06A8"/>
    <w:rsid w:val="009D0820"/>
    <w:rsid w:val="009D0848"/>
    <w:rsid w:val="009D0889"/>
    <w:rsid w:val="009D08B6"/>
    <w:rsid w:val="009D0955"/>
    <w:rsid w:val="009D0C35"/>
    <w:rsid w:val="009D1071"/>
    <w:rsid w:val="009D12AF"/>
    <w:rsid w:val="009D1616"/>
    <w:rsid w:val="009D1A21"/>
    <w:rsid w:val="009D1AA4"/>
    <w:rsid w:val="009D1B10"/>
    <w:rsid w:val="009D1C44"/>
    <w:rsid w:val="009D1ECE"/>
    <w:rsid w:val="009D1FEB"/>
    <w:rsid w:val="009D2355"/>
    <w:rsid w:val="009D24CB"/>
    <w:rsid w:val="009D262C"/>
    <w:rsid w:val="009D269D"/>
    <w:rsid w:val="009D26AF"/>
    <w:rsid w:val="009D26CE"/>
    <w:rsid w:val="009D282F"/>
    <w:rsid w:val="009D2834"/>
    <w:rsid w:val="009D288B"/>
    <w:rsid w:val="009D2AD1"/>
    <w:rsid w:val="009D2CB3"/>
    <w:rsid w:val="009D2CBB"/>
    <w:rsid w:val="009D2F7C"/>
    <w:rsid w:val="009D2FD6"/>
    <w:rsid w:val="009D30CF"/>
    <w:rsid w:val="009D311F"/>
    <w:rsid w:val="009D3150"/>
    <w:rsid w:val="009D350F"/>
    <w:rsid w:val="009D3551"/>
    <w:rsid w:val="009D3677"/>
    <w:rsid w:val="009D397D"/>
    <w:rsid w:val="009D3B71"/>
    <w:rsid w:val="009D3CAF"/>
    <w:rsid w:val="009D3ED4"/>
    <w:rsid w:val="009D41B1"/>
    <w:rsid w:val="009D42B4"/>
    <w:rsid w:val="009D4444"/>
    <w:rsid w:val="009D45DE"/>
    <w:rsid w:val="009D4667"/>
    <w:rsid w:val="009D46A6"/>
    <w:rsid w:val="009D4721"/>
    <w:rsid w:val="009D4769"/>
    <w:rsid w:val="009D4791"/>
    <w:rsid w:val="009D4BBD"/>
    <w:rsid w:val="009D4EF7"/>
    <w:rsid w:val="009D5006"/>
    <w:rsid w:val="009D5203"/>
    <w:rsid w:val="009D532F"/>
    <w:rsid w:val="009D5375"/>
    <w:rsid w:val="009D53D0"/>
    <w:rsid w:val="009D5587"/>
    <w:rsid w:val="009D559D"/>
    <w:rsid w:val="009D57CB"/>
    <w:rsid w:val="009D584C"/>
    <w:rsid w:val="009D58E6"/>
    <w:rsid w:val="009D58FA"/>
    <w:rsid w:val="009D592D"/>
    <w:rsid w:val="009D5ABC"/>
    <w:rsid w:val="009D5B67"/>
    <w:rsid w:val="009D5D45"/>
    <w:rsid w:val="009D5F39"/>
    <w:rsid w:val="009D60E4"/>
    <w:rsid w:val="009D6139"/>
    <w:rsid w:val="009D6239"/>
    <w:rsid w:val="009D6755"/>
    <w:rsid w:val="009D6929"/>
    <w:rsid w:val="009D69D0"/>
    <w:rsid w:val="009D6AEB"/>
    <w:rsid w:val="009D6B56"/>
    <w:rsid w:val="009D6D25"/>
    <w:rsid w:val="009D6EB0"/>
    <w:rsid w:val="009D6F67"/>
    <w:rsid w:val="009D70E9"/>
    <w:rsid w:val="009D7136"/>
    <w:rsid w:val="009D744D"/>
    <w:rsid w:val="009D745E"/>
    <w:rsid w:val="009D7589"/>
    <w:rsid w:val="009D761C"/>
    <w:rsid w:val="009D7632"/>
    <w:rsid w:val="009D7689"/>
    <w:rsid w:val="009D76D5"/>
    <w:rsid w:val="009D78B1"/>
    <w:rsid w:val="009D78B6"/>
    <w:rsid w:val="009D7B0A"/>
    <w:rsid w:val="009D7C6F"/>
    <w:rsid w:val="009D7D75"/>
    <w:rsid w:val="009D7E04"/>
    <w:rsid w:val="009D7FC7"/>
    <w:rsid w:val="009E0217"/>
    <w:rsid w:val="009E021E"/>
    <w:rsid w:val="009E03C9"/>
    <w:rsid w:val="009E0743"/>
    <w:rsid w:val="009E0823"/>
    <w:rsid w:val="009E085E"/>
    <w:rsid w:val="009E0A72"/>
    <w:rsid w:val="009E0A7F"/>
    <w:rsid w:val="009E0BE3"/>
    <w:rsid w:val="009E0D9E"/>
    <w:rsid w:val="009E0DDC"/>
    <w:rsid w:val="009E1365"/>
    <w:rsid w:val="009E14AB"/>
    <w:rsid w:val="009E1512"/>
    <w:rsid w:val="009E16A4"/>
    <w:rsid w:val="009E1770"/>
    <w:rsid w:val="009E17DC"/>
    <w:rsid w:val="009E1843"/>
    <w:rsid w:val="009E1910"/>
    <w:rsid w:val="009E1959"/>
    <w:rsid w:val="009E1A9E"/>
    <w:rsid w:val="009E1AA4"/>
    <w:rsid w:val="009E1AD5"/>
    <w:rsid w:val="009E1D19"/>
    <w:rsid w:val="009E1EC4"/>
    <w:rsid w:val="009E1F34"/>
    <w:rsid w:val="009E1FC3"/>
    <w:rsid w:val="009E230A"/>
    <w:rsid w:val="009E2318"/>
    <w:rsid w:val="009E2340"/>
    <w:rsid w:val="009E2384"/>
    <w:rsid w:val="009E25F1"/>
    <w:rsid w:val="009E2663"/>
    <w:rsid w:val="009E26CA"/>
    <w:rsid w:val="009E27BB"/>
    <w:rsid w:val="009E2921"/>
    <w:rsid w:val="009E2988"/>
    <w:rsid w:val="009E29AD"/>
    <w:rsid w:val="009E2B01"/>
    <w:rsid w:val="009E2B35"/>
    <w:rsid w:val="009E2BC3"/>
    <w:rsid w:val="009E2BF2"/>
    <w:rsid w:val="009E2D17"/>
    <w:rsid w:val="009E2E32"/>
    <w:rsid w:val="009E2F40"/>
    <w:rsid w:val="009E326E"/>
    <w:rsid w:val="009E3373"/>
    <w:rsid w:val="009E33FB"/>
    <w:rsid w:val="009E3635"/>
    <w:rsid w:val="009E3727"/>
    <w:rsid w:val="009E390B"/>
    <w:rsid w:val="009E3986"/>
    <w:rsid w:val="009E3A30"/>
    <w:rsid w:val="009E3B9C"/>
    <w:rsid w:val="009E3C83"/>
    <w:rsid w:val="009E3E88"/>
    <w:rsid w:val="009E3F17"/>
    <w:rsid w:val="009E3FFF"/>
    <w:rsid w:val="009E432D"/>
    <w:rsid w:val="009E4334"/>
    <w:rsid w:val="009E43C1"/>
    <w:rsid w:val="009E470E"/>
    <w:rsid w:val="009E4ACC"/>
    <w:rsid w:val="009E4AD5"/>
    <w:rsid w:val="009E4B94"/>
    <w:rsid w:val="009E4BA9"/>
    <w:rsid w:val="009E4DD7"/>
    <w:rsid w:val="009E5177"/>
    <w:rsid w:val="009E51C2"/>
    <w:rsid w:val="009E52AA"/>
    <w:rsid w:val="009E52E3"/>
    <w:rsid w:val="009E5548"/>
    <w:rsid w:val="009E559A"/>
    <w:rsid w:val="009E55FD"/>
    <w:rsid w:val="009E56F0"/>
    <w:rsid w:val="009E56F6"/>
    <w:rsid w:val="009E5720"/>
    <w:rsid w:val="009E5867"/>
    <w:rsid w:val="009E5872"/>
    <w:rsid w:val="009E5993"/>
    <w:rsid w:val="009E5AF9"/>
    <w:rsid w:val="009E5E5C"/>
    <w:rsid w:val="009E5E8D"/>
    <w:rsid w:val="009E604D"/>
    <w:rsid w:val="009E605F"/>
    <w:rsid w:val="009E60E3"/>
    <w:rsid w:val="009E6287"/>
    <w:rsid w:val="009E62BD"/>
    <w:rsid w:val="009E630D"/>
    <w:rsid w:val="009E631C"/>
    <w:rsid w:val="009E6324"/>
    <w:rsid w:val="009E6394"/>
    <w:rsid w:val="009E64DE"/>
    <w:rsid w:val="009E65EA"/>
    <w:rsid w:val="009E6699"/>
    <w:rsid w:val="009E67DD"/>
    <w:rsid w:val="009E68AF"/>
    <w:rsid w:val="009E68EB"/>
    <w:rsid w:val="009E69A9"/>
    <w:rsid w:val="009E69CE"/>
    <w:rsid w:val="009E6A6D"/>
    <w:rsid w:val="009E6C6F"/>
    <w:rsid w:val="009E6D8C"/>
    <w:rsid w:val="009E6E81"/>
    <w:rsid w:val="009E6EC5"/>
    <w:rsid w:val="009E6F30"/>
    <w:rsid w:val="009E7093"/>
    <w:rsid w:val="009E7167"/>
    <w:rsid w:val="009E7324"/>
    <w:rsid w:val="009E75FB"/>
    <w:rsid w:val="009E78A5"/>
    <w:rsid w:val="009E78D1"/>
    <w:rsid w:val="009E7E7C"/>
    <w:rsid w:val="009E7EE1"/>
    <w:rsid w:val="009E7F2B"/>
    <w:rsid w:val="009F0038"/>
    <w:rsid w:val="009F01B1"/>
    <w:rsid w:val="009F0213"/>
    <w:rsid w:val="009F0416"/>
    <w:rsid w:val="009F0473"/>
    <w:rsid w:val="009F07D5"/>
    <w:rsid w:val="009F0808"/>
    <w:rsid w:val="009F0BB3"/>
    <w:rsid w:val="009F0C2B"/>
    <w:rsid w:val="009F0C77"/>
    <w:rsid w:val="009F0D1F"/>
    <w:rsid w:val="009F125D"/>
    <w:rsid w:val="009F12C0"/>
    <w:rsid w:val="009F13B7"/>
    <w:rsid w:val="009F13CB"/>
    <w:rsid w:val="009F1790"/>
    <w:rsid w:val="009F1AEC"/>
    <w:rsid w:val="009F1E4C"/>
    <w:rsid w:val="009F1F5C"/>
    <w:rsid w:val="009F20CD"/>
    <w:rsid w:val="009F2428"/>
    <w:rsid w:val="009F2439"/>
    <w:rsid w:val="009F2757"/>
    <w:rsid w:val="009F276B"/>
    <w:rsid w:val="009F276E"/>
    <w:rsid w:val="009F278A"/>
    <w:rsid w:val="009F27CC"/>
    <w:rsid w:val="009F28E1"/>
    <w:rsid w:val="009F2A42"/>
    <w:rsid w:val="009F2B4C"/>
    <w:rsid w:val="009F2B90"/>
    <w:rsid w:val="009F2BB1"/>
    <w:rsid w:val="009F2C49"/>
    <w:rsid w:val="009F2D1F"/>
    <w:rsid w:val="009F3001"/>
    <w:rsid w:val="009F3303"/>
    <w:rsid w:val="009F331B"/>
    <w:rsid w:val="009F333A"/>
    <w:rsid w:val="009F3402"/>
    <w:rsid w:val="009F3525"/>
    <w:rsid w:val="009F376F"/>
    <w:rsid w:val="009F386C"/>
    <w:rsid w:val="009F3898"/>
    <w:rsid w:val="009F39A5"/>
    <w:rsid w:val="009F3A1B"/>
    <w:rsid w:val="009F3A44"/>
    <w:rsid w:val="009F3CAC"/>
    <w:rsid w:val="009F3DA7"/>
    <w:rsid w:val="009F426F"/>
    <w:rsid w:val="009F4516"/>
    <w:rsid w:val="009F459D"/>
    <w:rsid w:val="009F45BB"/>
    <w:rsid w:val="009F46CC"/>
    <w:rsid w:val="009F4789"/>
    <w:rsid w:val="009F485E"/>
    <w:rsid w:val="009F48B9"/>
    <w:rsid w:val="009F48BE"/>
    <w:rsid w:val="009F4B27"/>
    <w:rsid w:val="009F4BE0"/>
    <w:rsid w:val="009F4E4E"/>
    <w:rsid w:val="009F4F4C"/>
    <w:rsid w:val="009F5034"/>
    <w:rsid w:val="009F5062"/>
    <w:rsid w:val="009F50AC"/>
    <w:rsid w:val="009F51C1"/>
    <w:rsid w:val="009F534F"/>
    <w:rsid w:val="009F5382"/>
    <w:rsid w:val="009F5811"/>
    <w:rsid w:val="009F5C60"/>
    <w:rsid w:val="009F60E0"/>
    <w:rsid w:val="009F62A8"/>
    <w:rsid w:val="009F62BD"/>
    <w:rsid w:val="009F632F"/>
    <w:rsid w:val="009F66A5"/>
    <w:rsid w:val="009F67BB"/>
    <w:rsid w:val="009F68F5"/>
    <w:rsid w:val="009F6BCF"/>
    <w:rsid w:val="009F6C1B"/>
    <w:rsid w:val="009F6F40"/>
    <w:rsid w:val="009F71D5"/>
    <w:rsid w:val="009F71FC"/>
    <w:rsid w:val="009F7327"/>
    <w:rsid w:val="009F7441"/>
    <w:rsid w:val="009F74AE"/>
    <w:rsid w:val="009F752D"/>
    <w:rsid w:val="009F75AE"/>
    <w:rsid w:val="009F7653"/>
    <w:rsid w:val="009F76BC"/>
    <w:rsid w:val="009F7706"/>
    <w:rsid w:val="009F781F"/>
    <w:rsid w:val="009F7A7E"/>
    <w:rsid w:val="009F7AC2"/>
    <w:rsid w:val="009F7B54"/>
    <w:rsid w:val="009F7B86"/>
    <w:rsid w:val="009F7E46"/>
    <w:rsid w:val="00A002F2"/>
    <w:rsid w:val="00A00403"/>
    <w:rsid w:val="00A0045C"/>
    <w:rsid w:val="00A0052F"/>
    <w:rsid w:val="00A00543"/>
    <w:rsid w:val="00A008B9"/>
    <w:rsid w:val="00A0096D"/>
    <w:rsid w:val="00A009F7"/>
    <w:rsid w:val="00A00ABB"/>
    <w:rsid w:val="00A00BBD"/>
    <w:rsid w:val="00A00EC3"/>
    <w:rsid w:val="00A00FC7"/>
    <w:rsid w:val="00A01137"/>
    <w:rsid w:val="00A01382"/>
    <w:rsid w:val="00A014A0"/>
    <w:rsid w:val="00A014E7"/>
    <w:rsid w:val="00A01558"/>
    <w:rsid w:val="00A017A5"/>
    <w:rsid w:val="00A01948"/>
    <w:rsid w:val="00A019CA"/>
    <w:rsid w:val="00A01ACF"/>
    <w:rsid w:val="00A01E8C"/>
    <w:rsid w:val="00A01FCC"/>
    <w:rsid w:val="00A0204B"/>
    <w:rsid w:val="00A0229B"/>
    <w:rsid w:val="00A0234D"/>
    <w:rsid w:val="00A02780"/>
    <w:rsid w:val="00A027BD"/>
    <w:rsid w:val="00A02920"/>
    <w:rsid w:val="00A02A0F"/>
    <w:rsid w:val="00A02A2F"/>
    <w:rsid w:val="00A02C43"/>
    <w:rsid w:val="00A02D73"/>
    <w:rsid w:val="00A02DA8"/>
    <w:rsid w:val="00A030C4"/>
    <w:rsid w:val="00A031F6"/>
    <w:rsid w:val="00A032F5"/>
    <w:rsid w:val="00A032FD"/>
    <w:rsid w:val="00A0337C"/>
    <w:rsid w:val="00A034B0"/>
    <w:rsid w:val="00A035E4"/>
    <w:rsid w:val="00A036B8"/>
    <w:rsid w:val="00A03727"/>
    <w:rsid w:val="00A0380B"/>
    <w:rsid w:val="00A03E48"/>
    <w:rsid w:val="00A04019"/>
    <w:rsid w:val="00A04086"/>
    <w:rsid w:val="00A0455E"/>
    <w:rsid w:val="00A04584"/>
    <w:rsid w:val="00A045DE"/>
    <w:rsid w:val="00A04658"/>
    <w:rsid w:val="00A048E2"/>
    <w:rsid w:val="00A04AF6"/>
    <w:rsid w:val="00A04B92"/>
    <w:rsid w:val="00A04C8C"/>
    <w:rsid w:val="00A04CF2"/>
    <w:rsid w:val="00A04D2C"/>
    <w:rsid w:val="00A04EEF"/>
    <w:rsid w:val="00A051D9"/>
    <w:rsid w:val="00A051F5"/>
    <w:rsid w:val="00A05342"/>
    <w:rsid w:val="00A0552C"/>
    <w:rsid w:val="00A0563E"/>
    <w:rsid w:val="00A0588C"/>
    <w:rsid w:val="00A058E8"/>
    <w:rsid w:val="00A05B51"/>
    <w:rsid w:val="00A05C5B"/>
    <w:rsid w:val="00A05C63"/>
    <w:rsid w:val="00A05D52"/>
    <w:rsid w:val="00A06221"/>
    <w:rsid w:val="00A0636A"/>
    <w:rsid w:val="00A063DC"/>
    <w:rsid w:val="00A0667E"/>
    <w:rsid w:val="00A06770"/>
    <w:rsid w:val="00A06834"/>
    <w:rsid w:val="00A06A99"/>
    <w:rsid w:val="00A06C14"/>
    <w:rsid w:val="00A06C43"/>
    <w:rsid w:val="00A06C71"/>
    <w:rsid w:val="00A06CF2"/>
    <w:rsid w:val="00A06DD3"/>
    <w:rsid w:val="00A07084"/>
    <w:rsid w:val="00A07200"/>
    <w:rsid w:val="00A07225"/>
    <w:rsid w:val="00A07429"/>
    <w:rsid w:val="00A07486"/>
    <w:rsid w:val="00A074B7"/>
    <w:rsid w:val="00A0784D"/>
    <w:rsid w:val="00A07940"/>
    <w:rsid w:val="00A079D7"/>
    <w:rsid w:val="00A07ACB"/>
    <w:rsid w:val="00A07CCB"/>
    <w:rsid w:val="00A07CD3"/>
    <w:rsid w:val="00A07E92"/>
    <w:rsid w:val="00A07FC9"/>
    <w:rsid w:val="00A10124"/>
    <w:rsid w:val="00A102E9"/>
    <w:rsid w:val="00A10350"/>
    <w:rsid w:val="00A106CA"/>
    <w:rsid w:val="00A1078F"/>
    <w:rsid w:val="00A107DD"/>
    <w:rsid w:val="00A10848"/>
    <w:rsid w:val="00A10A24"/>
    <w:rsid w:val="00A10F20"/>
    <w:rsid w:val="00A11130"/>
    <w:rsid w:val="00A111EB"/>
    <w:rsid w:val="00A11478"/>
    <w:rsid w:val="00A1167F"/>
    <w:rsid w:val="00A11738"/>
    <w:rsid w:val="00A1174A"/>
    <w:rsid w:val="00A11765"/>
    <w:rsid w:val="00A11895"/>
    <w:rsid w:val="00A119C0"/>
    <w:rsid w:val="00A11C1D"/>
    <w:rsid w:val="00A11F18"/>
    <w:rsid w:val="00A120D2"/>
    <w:rsid w:val="00A1214C"/>
    <w:rsid w:val="00A12270"/>
    <w:rsid w:val="00A122E9"/>
    <w:rsid w:val="00A12369"/>
    <w:rsid w:val="00A12507"/>
    <w:rsid w:val="00A12570"/>
    <w:rsid w:val="00A12600"/>
    <w:rsid w:val="00A128C6"/>
    <w:rsid w:val="00A12AB5"/>
    <w:rsid w:val="00A12DC1"/>
    <w:rsid w:val="00A12EF8"/>
    <w:rsid w:val="00A132F2"/>
    <w:rsid w:val="00A133E3"/>
    <w:rsid w:val="00A13483"/>
    <w:rsid w:val="00A13579"/>
    <w:rsid w:val="00A1378F"/>
    <w:rsid w:val="00A1385E"/>
    <w:rsid w:val="00A13995"/>
    <w:rsid w:val="00A13A19"/>
    <w:rsid w:val="00A13A58"/>
    <w:rsid w:val="00A13C12"/>
    <w:rsid w:val="00A13C31"/>
    <w:rsid w:val="00A13CC2"/>
    <w:rsid w:val="00A13D69"/>
    <w:rsid w:val="00A13D6F"/>
    <w:rsid w:val="00A13FFF"/>
    <w:rsid w:val="00A1419A"/>
    <w:rsid w:val="00A14890"/>
    <w:rsid w:val="00A1492B"/>
    <w:rsid w:val="00A14964"/>
    <w:rsid w:val="00A14D92"/>
    <w:rsid w:val="00A14DDD"/>
    <w:rsid w:val="00A14DF9"/>
    <w:rsid w:val="00A14E2C"/>
    <w:rsid w:val="00A14E91"/>
    <w:rsid w:val="00A15463"/>
    <w:rsid w:val="00A1558C"/>
    <w:rsid w:val="00A155C4"/>
    <w:rsid w:val="00A156FC"/>
    <w:rsid w:val="00A15763"/>
    <w:rsid w:val="00A158DD"/>
    <w:rsid w:val="00A15901"/>
    <w:rsid w:val="00A15A04"/>
    <w:rsid w:val="00A15A50"/>
    <w:rsid w:val="00A15C39"/>
    <w:rsid w:val="00A15FC4"/>
    <w:rsid w:val="00A1605A"/>
    <w:rsid w:val="00A16151"/>
    <w:rsid w:val="00A163CA"/>
    <w:rsid w:val="00A164BE"/>
    <w:rsid w:val="00A164D6"/>
    <w:rsid w:val="00A166C9"/>
    <w:rsid w:val="00A168B2"/>
    <w:rsid w:val="00A16B36"/>
    <w:rsid w:val="00A16B51"/>
    <w:rsid w:val="00A16D4A"/>
    <w:rsid w:val="00A16D58"/>
    <w:rsid w:val="00A16DA5"/>
    <w:rsid w:val="00A16E3B"/>
    <w:rsid w:val="00A16F78"/>
    <w:rsid w:val="00A17124"/>
    <w:rsid w:val="00A1717C"/>
    <w:rsid w:val="00A17188"/>
    <w:rsid w:val="00A1720A"/>
    <w:rsid w:val="00A17605"/>
    <w:rsid w:val="00A17668"/>
    <w:rsid w:val="00A17813"/>
    <w:rsid w:val="00A1797B"/>
    <w:rsid w:val="00A17ABB"/>
    <w:rsid w:val="00A17C64"/>
    <w:rsid w:val="00A17CDC"/>
    <w:rsid w:val="00A17D53"/>
    <w:rsid w:val="00A17DF9"/>
    <w:rsid w:val="00A17E6F"/>
    <w:rsid w:val="00A17E89"/>
    <w:rsid w:val="00A17F05"/>
    <w:rsid w:val="00A17F91"/>
    <w:rsid w:val="00A20097"/>
    <w:rsid w:val="00A200B7"/>
    <w:rsid w:val="00A201D1"/>
    <w:rsid w:val="00A202C5"/>
    <w:rsid w:val="00A2066B"/>
    <w:rsid w:val="00A20888"/>
    <w:rsid w:val="00A208B8"/>
    <w:rsid w:val="00A209B2"/>
    <w:rsid w:val="00A20C07"/>
    <w:rsid w:val="00A20DC5"/>
    <w:rsid w:val="00A20E26"/>
    <w:rsid w:val="00A20F10"/>
    <w:rsid w:val="00A210F8"/>
    <w:rsid w:val="00A21352"/>
    <w:rsid w:val="00A21486"/>
    <w:rsid w:val="00A2148F"/>
    <w:rsid w:val="00A215DD"/>
    <w:rsid w:val="00A21656"/>
    <w:rsid w:val="00A216A0"/>
    <w:rsid w:val="00A21764"/>
    <w:rsid w:val="00A21887"/>
    <w:rsid w:val="00A218D9"/>
    <w:rsid w:val="00A21978"/>
    <w:rsid w:val="00A21A46"/>
    <w:rsid w:val="00A21B82"/>
    <w:rsid w:val="00A21F54"/>
    <w:rsid w:val="00A2218A"/>
    <w:rsid w:val="00A22192"/>
    <w:rsid w:val="00A223AE"/>
    <w:rsid w:val="00A223D4"/>
    <w:rsid w:val="00A22417"/>
    <w:rsid w:val="00A22774"/>
    <w:rsid w:val="00A227D6"/>
    <w:rsid w:val="00A228A0"/>
    <w:rsid w:val="00A228B6"/>
    <w:rsid w:val="00A22B71"/>
    <w:rsid w:val="00A22D02"/>
    <w:rsid w:val="00A22DF8"/>
    <w:rsid w:val="00A22E78"/>
    <w:rsid w:val="00A22EC4"/>
    <w:rsid w:val="00A230A9"/>
    <w:rsid w:val="00A2310F"/>
    <w:rsid w:val="00A23125"/>
    <w:rsid w:val="00A23185"/>
    <w:rsid w:val="00A23410"/>
    <w:rsid w:val="00A2343A"/>
    <w:rsid w:val="00A234A4"/>
    <w:rsid w:val="00A234BE"/>
    <w:rsid w:val="00A2388B"/>
    <w:rsid w:val="00A238D0"/>
    <w:rsid w:val="00A23CBA"/>
    <w:rsid w:val="00A23DC4"/>
    <w:rsid w:val="00A23E11"/>
    <w:rsid w:val="00A23F55"/>
    <w:rsid w:val="00A24030"/>
    <w:rsid w:val="00A24067"/>
    <w:rsid w:val="00A242B2"/>
    <w:rsid w:val="00A243CB"/>
    <w:rsid w:val="00A24576"/>
    <w:rsid w:val="00A246BA"/>
    <w:rsid w:val="00A24723"/>
    <w:rsid w:val="00A2480C"/>
    <w:rsid w:val="00A2498D"/>
    <w:rsid w:val="00A249C2"/>
    <w:rsid w:val="00A24AEE"/>
    <w:rsid w:val="00A24B11"/>
    <w:rsid w:val="00A24D13"/>
    <w:rsid w:val="00A24DA9"/>
    <w:rsid w:val="00A24FB5"/>
    <w:rsid w:val="00A25294"/>
    <w:rsid w:val="00A2529B"/>
    <w:rsid w:val="00A25354"/>
    <w:rsid w:val="00A256AF"/>
    <w:rsid w:val="00A25706"/>
    <w:rsid w:val="00A2582E"/>
    <w:rsid w:val="00A258FB"/>
    <w:rsid w:val="00A25964"/>
    <w:rsid w:val="00A259C9"/>
    <w:rsid w:val="00A25C64"/>
    <w:rsid w:val="00A25D0A"/>
    <w:rsid w:val="00A25F97"/>
    <w:rsid w:val="00A2618F"/>
    <w:rsid w:val="00A26262"/>
    <w:rsid w:val="00A26281"/>
    <w:rsid w:val="00A26585"/>
    <w:rsid w:val="00A265E5"/>
    <w:rsid w:val="00A2697C"/>
    <w:rsid w:val="00A26AB0"/>
    <w:rsid w:val="00A26BDE"/>
    <w:rsid w:val="00A26BE4"/>
    <w:rsid w:val="00A26C3B"/>
    <w:rsid w:val="00A26D10"/>
    <w:rsid w:val="00A26DF6"/>
    <w:rsid w:val="00A26E6C"/>
    <w:rsid w:val="00A26F84"/>
    <w:rsid w:val="00A270F0"/>
    <w:rsid w:val="00A2716E"/>
    <w:rsid w:val="00A274BD"/>
    <w:rsid w:val="00A274D0"/>
    <w:rsid w:val="00A275A5"/>
    <w:rsid w:val="00A275E4"/>
    <w:rsid w:val="00A27804"/>
    <w:rsid w:val="00A27B63"/>
    <w:rsid w:val="00A27CB2"/>
    <w:rsid w:val="00A27F62"/>
    <w:rsid w:val="00A3012F"/>
    <w:rsid w:val="00A30141"/>
    <w:rsid w:val="00A30244"/>
    <w:rsid w:val="00A305A1"/>
    <w:rsid w:val="00A30733"/>
    <w:rsid w:val="00A30966"/>
    <w:rsid w:val="00A30983"/>
    <w:rsid w:val="00A309F1"/>
    <w:rsid w:val="00A30A8B"/>
    <w:rsid w:val="00A30AE0"/>
    <w:rsid w:val="00A30C0A"/>
    <w:rsid w:val="00A30C10"/>
    <w:rsid w:val="00A30E78"/>
    <w:rsid w:val="00A30ECB"/>
    <w:rsid w:val="00A30F9B"/>
    <w:rsid w:val="00A3108E"/>
    <w:rsid w:val="00A3110D"/>
    <w:rsid w:val="00A31141"/>
    <w:rsid w:val="00A3128F"/>
    <w:rsid w:val="00A312DA"/>
    <w:rsid w:val="00A31659"/>
    <w:rsid w:val="00A31809"/>
    <w:rsid w:val="00A31889"/>
    <w:rsid w:val="00A31920"/>
    <w:rsid w:val="00A319A2"/>
    <w:rsid w:val="00A31B70"/>
    <w:rsid w:val="00A31BFE"/>
    <w:rsid w:val="00A31C95"/>
    <w:rsid w:val="00A31D36"/>
    <w:rsid w:val="00A31F06"/>
    <w:rsid w:val="00A31F41"/>
    <w:rsid w:val="00A3204F"/>
    <w:rsid w:val="00A32069"/>
    <w:rsid w:val="00A320BA"/>
    <w:rsid w:val="00A32285"/>
    <w:rsid w:val="00A327C4"/>
    <w:rsid w:val="00A32836"/>
    <w:rsid w:val="00A3290F"/>
    <w:rsid w:val="00A32914"/>
    <w:rsid w:val="00A32AE3"/>
    <w:rsid w:val="00A32C55"/>
    <w:rsid w:val="00A32C79"/>
    <w:rsid w:val="00A32E14"/>
    <w:rsid w:val="00A32E96"/>
    <w:rsid w:val="00A32F55"/>
    <w:rsid w:val="00A32FB1"/>
    <w:rsid w:val="00A333E6"/>
    <w:rsid w:val="00A3348F"/>
    <w:rsid w:val="00A33650"/>
    <w:rsid w:val="00A33730"/>
    <w:rsid w:val="00A339D4"/>
    <w:rsid w:val="00A33B5C"/>
    <w:rsid w:val="00A33C7E"/>
    <w:rsid w:val="00A33CC8"/>
    <w:rsid w:val="00A33CDC"/>
    <w:rsid w:val="00A33D3D"/>
    <w:rsid w:val="00A3409B"/>
    <w:rsid w:val="00A342CA"/>
    <w:rsid w:val="00A34380"/>
    <w:rsid w:val="00A343A6"/>
    <w:rsid w:val="00A344AC"/>
    <w:rsid w:val="00A34514"/>
    <w:rsid w:val="00A3452F"/>
    <w:rsid w:val="00A34805"/>
    <w:rsid w:val="00A34ACA"/>
    <w:rsid w:val="00A34B07"/>
    <w:rsid w:val="00A34C18"/>
    <w:rsid w:val="00A34C24"/>
    <w:rsid w:val="00A34F51"/>
    <w:rsid w:val="00A34FB4"/>
    <w:rsid w:val="00A34FBF"/>
    <w:rsid w:val="00A3513E"/>
    <w:rsid w:val="00A351A5"/>
    <w:rsid w:val="00A353C3"/>
    <w:rsid w:val="00A35508"/>
    <w:rsid w:val="00A355A2"/>
    <w:rsid w:val="00A35610"/>
    <w:rsid w:val="00A356D1"/>
    <w:rsid w:val="00A35829"/>
    <w:rsid w:val="00A35853"/>
    <w:rsid w:val="00A358F9"/>
    <w:rsid w:val="00A35A40"/>
    <w:rsid w:val="00A35A9E"/>
    <w:rsid w:val="00A35B64"/>
    <w:rsid w:val="00A35C40"/>
    <w:rsid w:val="00A35C86"/>
    <w:rsid w:val="00A35CCE"/>
    <w:rsid w:val="00A35D69"/>
    <w:rsid w:val="00A35F74"/>
    <w:rsid w:val="00A35FF8"/>
    <w:rsid w:val="00A360F6"/>
    <w:rsid w:val="00A361A1"/>
    <w:rsid w:val="00A362A6"/>
    <w:rsid w:val="00A36325"/>
    <w:rsid w:val="00A3635D"/>
    <w:rsid w:val="00A364DE"/>
    <w:rsid w:val="00A365E8"/>
    <w:rsid w:val="00A36B22"/>
    <w:rsid w:val="00A36D2B"/>
    <w:rsid w:val="00A37040"/>
    <w:rsid w:val="00A372C7"/>
    <w:rsid w:val="00A37446"/>
    <w:rsid w:val="00A37713"/>
    <w:rsid w:val="00A37AD5"/>
    <w:rsid w:val="00A37B08"/>
    <w:rsid w:val="00A37B86"/>
    <w:rsid w:val="00A37BBA"/>
    <w:rsid w:val="00A37CBE"/>
    <w:rsid w:val="00A37CE6"/>
    <w:rsid w:val="00A37D74"/>
    <w:rsid w:val="00A37E28"/>
    <w:rsid w:val="00A37E2F"/>
    <w:rsid w:val="00A37F89"/>
    <w:rsid w:val="00A40067"/>
    <w:rsid w:val="00A40319"/>
    <w:rsid w:val="00A4037E"/>
    <w:rsid w:val="00A40524"/>
    <w:rsid w:val="00A40680"/>
    <w:rsid w:val="00A40777"/>
    <w:rsid w:val="00A407FA"/>
    <w:rsid w:val="00A408D8"/>
    <w:rsid w:val="00A4099B"/>
    <w:rsid w:val="00A40A77"/>
    <w:rsid w:val="00A40B05"/>
    <w:rsid w:val="00A40BFC"/>
    <w:rsid w:val="00A40C5C"/>
    <w:rsid w:val="00A40CCE"/>
    <w:rsid w:val="00A40DB2"/>
    <w:rsid w:val="00A40E38"/>
    <w:rsid w:val="00A41208"/>
    <w:rsid w:val="00A412CC"/>
    <w:rsid w:val="00A41453"/>
    <w:rsid w:val="00A41471"/>
    <w:rsid w:val="00A4148A"/>
    <w:rsid w:val="00A414B6"/>
    <w:rsid w:val="00A418A0"/>
    <w:rsid w:val="00A41939"/>
    <w:rsid w:val="00A41A51"/>
    <w:rsid w:val="00A41BDC"/>
    <w:rsid w:val="00A41C37"/>
    <w:rsid w:val="00A41D51"/>
    <w:rsid w:val="00A41EB8"/>
    <w:rsid w:val="00A41FAE"/>
    <w:rsid w:val="00A4225E"/>
    <w:rsid w:val="00A42481"/>
    <w:rsid w:val="00A424F7"/>
    <w:rsid w:val="00A42543"/>
    <w:rsid w:val="00A426F7"/>
    <w:rsid w:val="00A42837"/>
    <w:rsid w:val="00A42988"/>
    <w:rsid w:val="00A429BC"/>
    <w:rsid w:val="00A42A88"/>
    <w:rsid w:val="00A42AFE"/>
    <w:rsid w:val="00A42C08"/>
    <w:rsid w:val="00A42D84"/>
    <w:rsid w:val="00A42DA6"/>
    <w:rsid w:val="00A43317"/>
    <w:rsid w:val="00A43326"/>
    <w:rsid w:val="00A43444"/>
    <w:rsid w:val="00A4347F"/>
    <w:rsid w:val="00A434E4"/>
    <w:rsid w:val="00A435B6"/>
    <w:rsid w:val="00A436DD"/>
    <w:rsid w:val="00A43960"/>
    <w:rsid w:val="00A43A86"/>
    <w:rsid w:val="00A43AB8"/>
    <w:rsid w:val="00A440D6"/>
    <w:rsid w:val="00A441C9"/>
    <w:rsid w:val="00A44305"/>
    <w:rsid w:val="00A443FB"/>
    <w:rsid w:val="00A44554"/>
    <w:rsid w:val="00A4459C"/>
    <w:rsid w:val="00A44665"/>
    <w:rsid w:val="00A4470E"/>
    <w:rsid w:val="00A44787"/>
    <w:rsid w:val="00A44869"/>
    <w:rsid w:val="00A448A7"/>
    <w:rsid w:val="00A44A67"/>
    <w:rsid w:val="00A44C3C"/>
    <w:rsid w:val="00A44C88"/>
    <w:rsid w:val="00A44D23"/>
    <w:rsid w:val="00A44DC3"/>
    <w:rsid w:val="00A44F3D"/>
    <w:rsid w:val="00A44F9F"/>
    <w:rsid w:val="00A45006"/>
    <w:rsid w:val="00A450CF"/>
    <w:rsid w:val="00A455F6"/>
    <w:rsid w:val="00A45675"/>
    <w:rsid w:val="00A456A9"/>
    <w:rsid w:val="00A458FE"/>
    <w:rsid w:val="00A459FF"/>
    <w:rsid w:val="00A45B37"/>
    <w:rsid w:val="00A45B8E"/>
    <w:rsid w:val="00A45C7F"/>
    <w:rsid w:val="00A45C85"/>
    <w:rsid w:val="00A45DAC"/>
    <w:rsid w:val="00A45E47"/>
    <w:rsid w:val="00A45FC9"/>
    <w:rsid w:val="00A4617B"/>
    <w:rsid w:val="00A46198"/>
    <w:rsid w:val="00A463D9"/>
    <w:rsid w:val="00A46436"/>
    <w:rsid w:val="00A46515"/>
    <w:rsid w:val="00A46963"/>
    <w:rsid w:val="00A46ABD"/>
    <w:rsid w:val="00A46B51"/>
    <w:rsid w:val="00A46D27"/>
    <w:rsid w:val="00A46F71"/>
    <w:rsid w:val="00A47110"/>
    <w:rsid w:val="00A471B3"/>
    <w:rsid w:val="00A47365"/>
    <w:rsid w:val="00A47639"/>
    <w:rsid w:val="00A476A1"/>
    <w:rsid w:val="00A4789E"/>
    <w:rsid w:val="00A47BFC"/>
    <w:rsid w:val="00A47EE3"/>
    <w:rsid w:val="00A47EFC"/>
    <w:rsid w:val="00A47F38"/>
    <w:rsid w:val="00A50333"/>
    <w:rsid w:val="00A50386"/>
    <w:rsid w:val="00A504C5"/>
    <w:rsid w:val="00A50526"/>
    <w:rsid w:val="00A50650"/>
    <w:rsid w:val="00A50655"/>
    <w:rsid w:val="00A50897"/>
    <w:rsid w:val="00A509DE"/>
    <w:rsid w:val="00A50A29"/>
    <w:rsid w:val="00A50AA3"/>
    <w:rsid w:val="00A50C62"/>
    <w:rsid w:val="00A50D91"/>
    <w:rsid w:val="00A51027"/>
    <w:rsid w:val="00A51361"/>
    <w:rsid w:val="00A51395"/>
    <w:rsid w:val="00A514DA"/>
    <w:rsid w:val="00A5150C"/>
    <w:rsid w:val="00A5150D"/>
    <w:rsid w:val="00A51610"/>
    <w:rsid w:val="00A51706"/>
    <w:rsid w:val="00A51708"/>
    <w:rsid w:val="00A5171C"/>
    <w:rsid w:val="00A5185C"/>
    <w:rsid w:val="00A5187A"/>
    <w:rsid w:val="00A51AF8"/>
    <w:rsid w:val="00A51BB0"/>
    <w:rsid w:val="00A51C85"/>
    <w:rsid w:val="00A51EBF"/>
    <w:rsid w:val="00A52085"/>
    <w:rsid w:val="00A52109"/>
    <w:rsid w:val="00A52187"/>
    <w:rsid w:val="00A522F2"/>
    <w:rsid w:val="00A5235E"/>
    <w:rsid w:val="00A52388"/>
    <w:rsid w:val="00A52593"/>
    <w:rsid w:val="00A526BD"/>
    <w:rsid w:val="00A526FC"/>
    <w:rsid w:val="00A52ADE"/>
    <w:rsid w:val="00A52B8B"/>
    <w:rsid w:val="00A52C82"/>
    <w:rsid w:val="00A52D40"/>
    <w:rsid w:val="00A52DB2"/>
    <w:rsid w:val="00A52EC0"/>
    <w:rsid w:val="00A52ED5"/>
    <w:rsid w:val="00A52FB6"/>
    <w:rsid w:val="00A531D1"/>
    <w:rsid w:val="00A53529"/>
    <w:rsid w:val="00A535FB"/>
    <w:rsid w:val="00A538CD"/>
    <w:rsid w:val="00A539DA"/>
    <w:rsid w:val="00A53B75"/>
    <w:rsid w:val="00A53C3D"/>
    <w:rsid w:val="00A53C78"/>
    <w:rsid w:val="00A53CC6"/>
    <w:rsid w:val="00A53DB6"/>
    <w:rsid w:val="00A53E1E"/>
    <w:rsid w:val="00A53ECD"/>
    <w:rsid w:val="00A53F1C"/>
    <w:rsid w:val="00A5411F"/>
    <w:rsid w:val="00A54135"/>
    <w:rsid w:val="00A541A3"/>
    <w:rsid w:val="00A5451C"/>
    <w:rsid w:val="00A545D4"/>
    <w:rsid w:val="00A5487F"/>
    <w:rsid w:val="00A54A7F"/>
    <w:rsid w:val="00A54ACF"/>
    <w:rsid w:val="00A54B26"/>
    <w:rsid w:val="00A54B2C"/>
    <w:rsid w:val="00A54D20"/>
    <w:rsid w:val="00A54E34"/>
    <w:rsid w:val="00A54ED1"/>
    <w:rsid w:val="00A5511A"/>
    <w:rsid w:val="00A551C5"/>
    <w:rsid w:val="00A55236"/>
    <w:rsid w:val="00A5589A"/>
    <w:rsid w:val="00A55A06"/>
    <w:rsid w:val="00A55B02"/>
    <w:rsid w:val="00A55CA7"/>
    <w:rsid w:val="00A55D78"/>
    <w:rsid w:val="00A55DBD"/>
    <w:rsid w:val="00A55ECE"/>
    <w:rsid w:val="00A560E7"/>
    <w:rsid w:val="00A5619B"/>
    <w:rsid w:val="00A561B5"/>
    <w:rsid w:val="00A561C7"/>
    <w:rsid w:val="00A562C0"/>
    <w:rsid w:val="00A56322"/>
    <w:rsid w:val="00A5644D"/>
    <w:rsid w:val="00A56499"/>
    <w:rsid w:val="00A56559"/>
    <w:rsid w:val="00A56649"/>
    <w:rsid w:val="00A56758"/>
    <w:rsid w:val="00A567B5"/>
    <w:rsid w:val="00A5688A"/>
    <w:rsid w:val="00A569D2"/>
    <w:rsid w:val="00A56A86"/>
    <w:rsid w:val="00A56AB6"/>
    <w:rsid w:val="00A56ACA"/>
    <w:rsid w:val="00A56CB3"/>
    <w:rsid w:val="00A56CC6"/>
    <w:rsid w:val="00A56E12"/>
    <w:rsid w:val="00A5708C"/>
    <w:rsid w:val="00A57221"/>
    <w:rsid w:val="00A572B8"/>
    <w:rsid w:val="00A57325"/>
    <w:rsid w:val="00A57334"/>
    <w:rsid w:val="00A573E4"/>
    <w:rsid w:val="00A5754A"/>
    <w:rsid w:val="00A57582"/>
    <w:rsid w:val="00A578BD"/>
    <w:rsid w:val="00A57AD9"/>
    <w:rsid w:val="00A57C2E"/>
    <w:rsid w:val="00A57E2A"/>
    <w:rsid w:val="00A601ED"/>
    <w:rsid w:val="00A60280"/>
    <w:rsid w:val="00A60299"/>
    <w:rsid w:val="00A6030B"/>
    <w:rsid w:val="00A60524"/>
    <w:rsid w:val="00A605F1"/>
    <w:rsid w:val="00A608C2"/>
    <w:rsid w:val="00A60945"/>
    <w:rsid w:val="00A60970"/>
    <w:rsid w:val="00A60FE4"/>
    <w:rsid w:val="00A6119E"/>
    <w:rsid w:val="00A6138B"/>
    <w:rsid w:val="00A613A8"/>
    <w:rsid w:val="00A61472"/>
    <w:rsid w:val="00A614BF"/>
    <w:rsid w:val="00A61593"/>
    <w:rsid w:val="00A6185F"/>
    <w:rsid w:val="00A61A72"/>
    <w:rsid w:val="00A61C06"/>
    <w:rsid w:val="00A61FB7"/>
    <w:rsid w:val="00A621D9"/>
    <w:rsid w:val="00A622B3"/>
    <w:rsid w:val="00A62385"/>
    <w:rsid w:val="00A6248A"/>
    <w:rsid w:val="00A624A1"/>
    <w:rsid w:val="00A625D3"/>
    <w:rsid w:val="00A625D8"/>
    <w:rsid w:val="00A62615"/>
    <w:rsid w:val="00A62832"/>
    <w:rsid w:val="00A62967"/>
    <w:rsid w:val="00A62C2F"/>
    <w:rsid w:val="00A62C44"/>
    <w:rsid w:val="00A62F17"/>
    <w:rsid w:val="00A62FC8"/>
    <w:rsid w:val="00A63260"/>
    <w:rsid w:val="00A63434"/>
    <w:rsid w:val="00A63571"/>
    <w:rsid w:val="00A635C1"/>
    <w:rsid w:val="00A63A89"/>
    <w:rsid w:val="00A63DC6"/>
    <w:rsid w:val="00A63E73"/>
    <w:rsid w:val="00A6415E"/>
    <w:rsid w:val="00A6418B"/>
    <w:rsid w:val="00A6425F"/>
    <w:rsid w:val="00A64291"/>
    <w:rsid w:val="00A64361"/>
    <w:rsid w:val="00A6436F"/>
    <w:rsid w:val="00A6454E"/>
    <w:rsid w:val="00A6456B"/>
    <w:rsid w:val="00A646B6"/>
    <w:rsid w:val="00A64CAE"/>
    <w:rsid w:val="00A64D67"/>
    <w:rsid w:val="00A64FDD"/>
    <w:rsid w:val="00A6506E"/>
    <w:rsid w:val="00A650D0"/>
    <w:rsid w:val="00A653A2"/>
    <w:rsid w:val="00A655A3"/>
    <w:rsid w:val="00A65B33"/>
    <w:rsid w:val="00A65B9F"/>
    <w:rsid w:val="00A65E94"/>
    <w:rsid w:val="00A65F2A"/>
    <w:rsid w:val="00A65FA0"/>
    <w:rsid w:val="00A66685"/>
    <w:rsid w:val="00A666D9"/>
    <w:rsid w:val="00A66797"/>
    <w:rsid w:val="00A66A3D"/>
    <w:rsid w:val="00A66ABA"/>
    <w:rsid w:val="00A66B43"/>
    <w:rsid w:val="00A66C4B"/>
    <w:rsid w:val="00A66CE3"/>
    <w:rsid w:val="00A66E06"/>
    <w:rsid w:val="00A66EA8"/>
    <w:rsid w:val="00A66EDB"/>
    <w:rsid w:val="00A66FFA"/>
    <w:rsid w:val="00A676AC"/>
    <w:rsid w:val="00A676C5"/>
    <w:rsid w:val="00A6778B"/>
    <w:rsid w:val="00A67A34"/>
    <w:rsid w:val="00A67AD5"/>
    <w:rsid w:val="00A67B2D"/>
    <w:rsid w:val="00A67C53"/>
    <w:rsid w:val="00A67E12"/>
    <w:rsid w:val="00A67ECF"/>
    <w:rsid w:val="00A70073"/>
    <w:rsid w:val="00A703BB"/>
    <w:rsid w:val="00A70575"/>
    <w:rsid w:val="00A706AA"/>
    <w:rsid w:val="00A70ABD"/>
    <w:rsid w:val="00A70D80"/>
    <w:rsid w:val="00A70F19"/>
    <w:rsid w:val="00A710D3"/>
    <w:rsid w:val="00A7129E"/>
    <w:rsid w:val="00A713F0"/>
    <w:rsid w:val="00A7158E"/>
    <w:rsid w:val="00A71B33"/>
    <w:rsid w:val="00A71D7A"/>
    <w:rsid w:val="00A71E8B"/>
    <w:rsid w:val="00A72016"/>
    <w:rsid w:val="00A72052"/>
    <w:rsid w:val="00A72293"/>
    <w:rsid w:val="00A722BD"/>
    <w:rsid w:val="00A722CD"/>
    <w:rsid w:val="00A7273E"/>
    <w:rsid w:val="00A727C8"/>
    <w:rsid w:val="00A72880"/>
    <w:rsid w:val="00A728D4"/>
    <w:rsid w:val="00A72907"/>
    <w:rsid w:val="00A729DE"/>
    <w:rsid w:val="00A72AA5"/>
    <w:rsid w:val="00A72B3A"/>
    <w:rsid w:val="00A72B93"/>
    <w:rsid w:val="00A72DEE"/>
    <w:rsid w:val="00A72E03"/>
    <w:rsid w:val="00A7316C"/>
    <w:rsid w:val="00A7341D"/>
    <w:rsid w:val="00A73501"/>
    <w:rsid w:val="00A73703"/>
    <w:rsid w:val="00A738C5"/>
    <w:rsid w:val="00A73A26"/>
    <w:rsid w:val="00A73B63"/>
    <w:rsid w:val="00A73EDE"/>
    <w:rsid w:val="00A73F8A"/>
    <w:rsid w:val="00A73F93"/>
    <w:rsid w:val="00A74178"/>
    <w:rsid w:val="00A7455D"/>
    <w:rsid w:val="00A74635"/>
    <w:rsid w:val="00A746C8"/>
    <w:rsid w:val="00A74840"/>
    <w:rsid w:val="00A74B49"/>
    <w:rsid w:val="00A74C97"/>
    <w:rsid w:val="00A74EC5"/>
    <w:rsid w:val="00A752CD"/>
    <w:rsid w:val="00A75531"/>
    <w:rsid w:val="00A75602"/>
    <w:rsid w:val="00A75770"/>
    <w:rsid w:val="00A7597F"/>
    <w:rsid w:val="00A75AA2"/>
    <w:rsid w:val="00A75B91"/>
    <w:rsid w:val="00A75C35"/>
    <w:rsid w:val="00A75F5E"/>
    <w:rsid w:val="00A75F6C"/>
    <w:rsid w:val="00A7625D"/>
    <w:rsid w:val="00A7656E"/>
    <w:rsid w:val="00A7674F"/>
    <w:rsid w:val="00A7680F"/>
    <w:rsid w:val="00A76860"/>
    <w:rsid w:val="00A768D1"/>
    <w:rsid w:val="00A76A74"/>
    <w:rsid w:val="00A76C95"/>
    <w:rsid w:val="00A76E07"/>
    <w:rsid w:val="00A76FA4"/>
    <w:rsid w:val="00A77122"/>
    <w:rsid w:val="00A774D9"/>
    <w:rsid w:val="00A775DA"/>
    <w:rsid w:val="00A7761B"/>
    <w:rsid w:val="00A7792D"/>
    <w:rsid w:val="00A77A1C"/>
    <w:rsid w:val="00A77A29"/>
    <w:rsid w:val="00A77A3D"/>
    <w:rsid w:val="00A77AF9"/>
    <w:rsid w:val="00A77BA6"/>
    <w:rsid w:val="00A77CDF"/>
    <w:rsid w:val="00A77E0F"/>
    <w:rsid w:val="00A77E6C"/>
    <w:rsid w:val="00A77EEA"/>
    <w:rsid w:val="00A8007B"/>
    <w:rsid w:val="00A802F4"/>
    <w:rsid w:val="00A8035B"/>
    <w:rsid w:val="00A80366"/>
    <w:rsid w:val="00A80437"/>
    <w:rsid w:val="00A806BD"/>
    <w:rsid w:val="00A808E8"/>
    <w:rsid w:val="00A80985"/>
    <w:rsid w:val="00A809E9"/>
    <w:rsid w:val="00A80B80"/>
    <w:rsid w:val="00A80BFF"/>
    <w:rsid w:val="00A80CED"/>
    <w:rsid w:val="00A80DAD"/>
    <w:rsid w:val="00A80DF0"/>
    <w:rsid w:val="00A80EB2"/>
    <w:rsid w:val="00A80FCC"/>
    <w:rsid w:val="00A8104D"/>
    <w:rsid w:val="00A8110B"/>
    <w:rsid w:val="00A8123D"/>
    <w:rsid w:val="00A81282"/>
    <w:rsid w:val="00A812BE"/>
    <w:rsid w:val="00A81334"/>
    <w:rsid w:val="00A8165A"/>
    <w:rsid w:val="00A817B1"/>
    <w:rsid w:val="00A818B3"/>
    <w:rsid w:val="00A819E7"/>
    <w:rsid w:val="00A81A63"/>
    <w:rsid w:val="00A81CD6"/>
    <w:rsid w:val="00A8202B"/>
    <w:rsid w:val="00A82175"/>
    <w:rsid w:val="00A8223A"/>
    <w:rsid w:val="00A82282"/>
    <w:rsid w:val="00A822D2"/>
    <w:rsid w:val="00A823D7"/>
    <w:rsid w:val="00A82838"/>
    <w:rsid w:val="00A82BB4"/>
    <w:rsid w:val="00A82BBC"/>
    <w:rsid w:val="00A82BF0"/>
    <w:rsid w:val="00A82E9F"/>
    <w:rsid w:val="00A8337F"/>
    <w:rsid w:val="00A833D6"/>
    <w:rsid w:val="00A835BF"/>
    <w:rsid w:val="00A837D2"/>
    <w:rsid w:val="00A83B6C"/>
    <w:rsid w:val="00A83BB0"/>
    <w:rsid w:val="00A83E76"/>
    <w:rsid w:val="00A83FAF"/>
    <w:rsid w:val="00A841B9"/>
    <w:rsid w:val="00A841C0"/>
    <w:rsid w:val="00A84273"/>
    <w:rsid w:val="00A843EE"/>
    <w:rsid w:val="00A845AD"/>
    <w:rsid w:val="00A84876"/>
    <w:rsid w:val="00A84AD4"/>
    <w:rsid w:val="00A84AFD"/>
    <w:rsid w:val="00A84B5E"/>
    <w:rsid w:val="00A84D64"/>
    <w:rsid w:val="00A8502A"/>
    <w:rsid w:val="00A850B5"/>
    <w:rsid w:val="00A85129"/>
    <w:rsid w:val="00A85133"/>
    <w:rsid w:val="00A85190"/>
    <w:rsid w:val="00A851C7"/>
    <w:rsid w:val="00A85524"/>
    <w:rsid w:val="00A8561D"/>
    <w:rsid w:val="00A85743"/>
    <w:rsid w:val="00A8574E"/>
    <w:rsid w:val="00A8579D"/>
    <w:rsid w:val="00A85A9E"/>
    <w:rsid w:val="00A85AF0"/>
    <w:rsid w:val="00A85B31"/>
    <w:rsid w:val="00A85BB2"/>
    <w:rsid w:val="00A85C47"/>
    <w:rsid w:val="00A860A5"/>
    <w:rsid w:val="00A8610D"/>
    <w:rsid w:val="00A86167"/>
    <w:rsid w:val="00A86172"/>
    <w:rsid w:val="00A864A4"/>
    <w:rsid w:val="00A864C9"/>
    <w:rsid w:val="00A86626"/>
    <w:rsid w:val="00A86AB1"/>
    <w:rsid w:val="00A86C47"/>
    <w:rsid w:val="00A8715A"/>
    <w:rsid w:val="00A87319"/>
    <w:rsid w:val="00A873AE"/>
    <w:rsid w:val="00A875A7"/>
    <w:rsid w:val="00A8766C"/>
    <w:rsid w:val="00A8771F"/>
    <w:rsid w:val="00A87815"/>
    <w:rsid w:val="00A8798D"/>
    <w:rsid w:val="00A87A41"/>
    <w:rsid w:val="00A87DC7"/>
    <w:rsid w:val="00A901B4"/>
    <w:rsid w:val="00A90353"/>
    <w:rsid w:val="00A906D8"/>
    <w:rsid w:val="00A906DD"/>
    <w:rsid w:val="00A9073F"/>
    <w:rsid w:val="00A908E7"/>
    <w:rsid w:val="00A90961"/>
    <w:rsid w:val="00A90AB9"/>
    <w:rsid w:val="00A90B2D"/>
    <w:rsid w:val="00A90C7F"/>
    <w:rsid w:val="00A90E45"/>
    <w:rsid w:val="00A90E80"/>
    <w:rsid w:val="00A912C1"/>
    <w:rsid w:val="00A9138E"/>
    <w:rsid w:val="00A9144C"/>
    <w:rsid w:val="00A918A7"/>
    <w:rsid w:val="00A91A1E"/>
    <w:rsid w:val="00A91BD2"/>
    <w:rsid w:val="00A91C96"/>
    <w:rsid w:val="00A920B8"/>
    <w:rsid w:val="00A92157"/>
    <w:rsid w:val="00A9218B"/>
    <w:rsid w:val="00A92214"/>
    <w:rsid w:val="00A92344"/>
    <w:rsid w:val="00A92624"/>
    <w:rsid w:val="00A926EB"/>
    <w:rsid w:val="00A927B8"/>
    <w:rsid w:val="00A92886"/>
    <w:rsid w:val="00A928DE"/>
    <w:rsid w:val="00A92916"/>
    <w:rsid w:val="00A92940"/>
    <w:rsid w:val="00A929DF"/>
    <w:rsid w:val="00A929FD"/>
    <w:rsid w:val="00A92B94"/>
    <w:rsid w:val="00A92DA0"/>
    <w:rsid w:val="00A92E04"/>
    <w:rsid w:val="00A92E8D"/>
    <w:rsid w:val="00A92F3D"/>
    <w:rsid w:val="00A92F47"/>
    <w:rsid w:val="00A92FDC"/>
    <w:rsid w:val="00A9325E"/>
    <w:rsid w:val="00A932C0"/>
    <w:rsid w:val="00A9342C"/>
    <w:rsid w:val="00A934C1"/>
    <w:rsid w:val="00A935DF"/>
    <w:rsid w:val="00A936ED"/>
    <w:rsid w:val="00A93961"/>
    <w:rsid w:val="00A939CA"/>
    <w:rsid w:val="00A93AF5"/>
    <w:rsid w:val="00A93DF6"/>
    <w:rsid w:val="00A93E04"/>
    <w:rsid w:val="00A93E35"/>
    <w:rsid w:val="00A93F4F"/>
    <w:rsid w:val="00A940E8"/>
    <w:rsid w:val="00A94321"/>
    <w:rsid w:val="00A9453C"/>
    <w:rsid w:val="00A94553"/>
    <w:rsid w:val="00A9462B"/>
    <w:rsid w:val="00A947B0"/>
    <w:rsid w:val="00A94B75"/>
    <w:rsid w:val="00A94BCD"/>
    <w:rsid w:val="00A94CBE"/>
    <w:rsid w:val="00A94D27"/>
    <w:rsid w:val="00A94FA6"/>
    <w:rsid w:val="00A95189"/>
    <w:rsid w:val="00A952F8"/>
    <w:rsid w:val="00A9536C"/>
    <w:rsid w:val="00A955A2"/>
    <w:rsid w:val="00A955F2"/>
    <w:rsid w:val="00A956F5"/>
    <w:rsid w:val="00A95767"/>
    <w:rsid w:val="00A959D4"/>
    <w:rsid w:val="00A959E3"/>
    <w:rsid w:val="00A95BC3"/>
    <w:rsid w:val="00A95D7A"/>
    <w:rsid w:val="00A95D9E"/>
    <w:rsid w:val="00A95DF7"/>
    <w:rsid w:val="00A95EFA"/>
    <w:rsid w:val="00A95FB4"/>
    <w:rsid w:val="00A95FE9"/>
    <w:rsid w:val="00A96093"/>
    <w:rsid w:val="00A96136"/>
    <w:rsid w:val="00A96363"/>
    <w:rsid w:val="00A963D7"/>
    <w:rsid w:val="00A9650A"/>
    <w:rsid w:val="00A965C9"/>
    <w:rsid w:val="00A966A7"/>
    <w:rsid w:val="00A96803"/>
    <w:rsid w:val="00A9684C"/>
    <w:rsid w:val="00A96A12"/>
    <w:rsid w:val="00A96B37"/>
    <w:rsid w:val="00A96B88"/>
    <w:rsid w:val="00A96C4B"/>
    <w:rsid w:val="00A96DA4"/>
    <w:rsid w:val="00A96E2A"/>
    <w:rsid w:val="00A96E97"/>
    <w:rsid w:val="00A96F0B"/>
    <w:rsid w:val="00A970A2"/>
    <w:rsid w:val="00A973C3"/>
    <w:rsid w:val="00A9741C"/>
    <w:rsid w:val="00A9742E"/>
    <w:rsid w:val="00A97530"/>
    <w:rsid w:val="00A9762E"/>
    <w:rsid w:val="00A97922"/>
    <w:rsid w:val="00A97A85"/>
    <w:rsid w:val="00A97AB0"/>
    <w:rsid w:val="00A97B87"/>
    <w:rsid w:val="00A97C93"/>
    <w:rsid w:val="00A97CCC"/>
    <w:rsid w:val="00A97EC5"/>
    <w:rsid w:val="00A97F53"/>
    <w:rsid w:val="00AA01D0"/>
    <w:rsid w:val="00AA01F3"/>
    <w:rsid w:val="00AA02E7"/>
    <w:rsid w:val="00AA0365"/>
    <w:rsid w:val="00AA052E"/>
    <w:rsid w:val="00AA05E5"/>
    <w:rsid w:val="00AA06B2"/>
    <w:rsid w:val="00AA0852"/>
    <w:rsid w:val="00AA08EF"/>
    <w:rsid w:val="00AA096F"/>
    <w:rsid w:val="00AA0A18"/>
    <w:rsid w:val="00AA0E30"/>
    <w:rsid w:val="00AA0E9E"/>
    <w:rsid w:val="00AA0EC5"/>
    <w:rsid w:val="00AA10E9"/>
    <w:rsid w:val="00AA1121"/>
    <w:rsid w:val="00AA1607"/>
    <w:rsid w:val="00AA16C0"/>
    <w:rsid w:val="00AA19D9"/>
    <w:rsid w:val="00AA1AC0"/>
    <w:rsid w:val="00AA1D39"/>
    <w:rsid w:val="00AA1D48"/>
    <w:rsid w:val="00AA1F28"/>
    <w:rsid w:val="00AA1FBC"/>
    <w:rsid w:val="00AA21C6"/>
    <w:rsid w:val="00AA2218"/>
    <w:rsid w:val="00AA236B"/>
    <w:rsid w:val="00AA2696"/>
    <w:rsid w:val="00AA2912"/>
    <w:rsid w:val="00AA2C63"/>
    <w:rsid w:val="00AA2CA2"/>
    <w:rsid w:val="00AA2D7C"/>
    <w:rsid w:val="00AA2E31"/>
    <w:rsid w:val="00AA2F51"/>
    <w:rsid w:val="00AA2F87"/>
    <w:rsid w:val="00AA305F"/>
    <w:rsid w:val="00AA3127"/>
    <w:rsid w:val="00AA3141"/>
    <w:rsid w:val="00AA32E4"/>
    <w:rsid w:val="00AA3403"/>
    <w:rsid w:val="00AA340B"/>
    <w:rsid w:val="00AA364C"/>
    <w:rsid w:val="00AA3823"/>
    <w:rsid w:val="00AA3895"/>
    <w:rsid w:val="00AA3976"/>
    <w:rsid w:val="00AA3DF5"/>
    <w:rsid w:val="00AA409F"/>
    <w:rsid w:val="00AA4160"/>
    <w:rsid w:val="00AA4181"/>
    <w:rsid w:val="00AA4202"/>
    <w:rsid w:val="00AA43E2"/>
    <w:rsid w:val="00AA44A1"/>
    <w:rsid w:val="00AA44A3"/>
    <w:rsid w:val="00AA460D"/>
    <w:rsid w:val="00AA48B5"/>
    <w:rsid w:val="00AA48CF"/>
    <w:rsid w:val="00AA4A54"/>
    <w:rsid w:val="00AA4A92"/>
    <w:rsid w:val="00AA4B43"/>
    <w:rsid w:val="00AA4B5B"/>
    <w:rsid w:val="00AA4C87"/>
    <w:rsid w:val="00AA4D40"/>
    <w:rsid w:val="00AA4DAA"/>
    <w:rsid w:val="00AA5042"/>
    <w:rsid w:val="00AA513E"/>
    <w:rsid w:val="00AA5585"/>
    <w:rsid w:val="00AA55C5"/>
    <w:rsid w:val="00AA56D2"/>
    <w:rsid w:val="00AA57F3"/>
    <w:rsid w:val="00AA5B48"/>
    <w:rsid w:val="00AA5CD9"/>
    <w:rsid w:val="00AA5CE8"/>
    <w:rsid w:val="00AA5EAC"/>
    <w:rsid w:val="00AA6016"/>
    <w:rsid w:val="00AA6031"/>
    <w:rsid w:val="00AA605E"/>
    <w:rsid w:val="00AA6067"/>
    <w:rsid w:val="00AA61A0"/>
    <w:rsid w:val="00AA6330"/>
    <w:rsid w:val="00AA67BE"/>
    <w:rsid w:val="00AA67F0"/>
    <w:rsid w:val="00AA69EB"/>
    <w:rsid w:val="00AA6A9E"/>
    <w:rsid w:val="00AA6C2C"/>
    <w:rsid w:val="00AA6CB6"/>
    <w:rsid w:val="00AA6DBD"/>
    <w:rsid w:val="00AA6F06"/>
    <w:rsid w:val="00AA737A"/>
    <w:rsid w:val="00AA7416"/>
    <w:rsid w:val="00AA74CB"/>
    <w:rsid w:val="00AA7521"/>
    <w:rsid w:val="00AA753E"/>
    <w:rsid w:val="00AA7551"/>
    <w:rsid w:val="00AA75E5"/>
    <w:rsid w:val="00AA7640"/>
    <w:rsid w:val="00AA7673"/>
    <w:rsid w:val="00AA769C"/>
    <w:rsid w:val="00AA7773"/>
    <w:rsid w:val="00AA7864"/>
    <w:rsid w:val="00AA78E6"/>
    <w:rsid w:val="00AA7948"/>
    <w:rsid w:val="00AA79C8"/>
    <w:rsid w:val="00AA7B8F"/>
    <w:rsid w:val="00AA7C1C"/>
    <w:rsid w:val="00AA7C40"/>
    <w:rsid w:val="00AA7F12"/>
    <w:rsid w:val="00AA7F21"/>
    <w:rsid w:val="00AA7F6A"/>
    <w:rsid w:val="00AA7FA3"/>
    <w:rsid w:val="00AB013C"/>
    <w:rsid w:val="00AB0173"/>
    <w:rsid w:val="00AB0181"/>
    <w:rsid w:val="00AB03E3"/>
    <w:rsid w:val="00AB0536"/>
    <w:rsid w:val="00AB08CC"/>
    <w:rsid w:val="00AB0955"/>
    <w:rsid w:val="00AB09E5"/>
    <w:rsid w:val="00AB0A1E"/>
    <w:rsid w:val="00AB0B63"/>
    <w:rsid w:val="00AB0C25"/>
    <w:rsid w:val="00AB0E55"/>
    <w:rsid w:val="00AB0F24"/>
    <w:rsid w:val="00AB1110"/>
    <w:rsid w:val="00AB121C"/>
    <w:rsid w:val="00AB1406"/>
    <w:rsid w:val="00AB152F"/>
    <w:rsid w:val="00AB1761"/>
    <w:rsid w:val="00AB1853"/>
    <w:rsid w:val="00AB192A"/>
    <w:rsid w:val="00AB1963"/>
    <w:rsid w:val="00AB1B1D"/>
    <w:rsid w:val="00AB1C1F"/>
    <w:rsid w:val="00AB1D45"/>
    <w:rsid w:val="00AB2048"/>
    <w:rsid w:val="00AB2072"/>
    <w:rsid w:val="00AB2203"/>
    <w:rsid w:val="00AB239B"/>
    <w:rsid w:val="00AB2637"/>
    <w:rsid w:val="00AB27DE"/>
    <w:rsid w:val="00AB2A7D"/>
    <w:rsid w:val="00AB2CA6"/>
    <w:rsid w:val="00AB2DD8"/>
    <w:rsid w:val="00AB2E0C"/>
    <w:rsid w:val="00AB2EBD"/>
    <w:rsid w:val="00AB2FDF"/>
    <w:rsid w:val="00AB2FE4"/>
    <w:rsid w:val="00AB304A"/>
    <w:rsid w:val="00AB3114"/>
    <w:rsid w:val="00AB320C"/>
    <w:rsid w:val="00AB324B"/>
    <w:rsid w:val="00AB32BC"/>
    <w:rsid w:val="00AB3393"/>
    <w:rsid w:val="00AB3641"/>
    <w:rsid w:val="00AB3651"/>
    <w:rsid w:val="00AB36F2"/>
    <w:rsid w:val="00AB3735"/>
    <w:rsid w:val="00AB37C5"/>
    <w:rsid w:val="00AB385B"/>
    <w:rsid w:val="00AB3880"/>
    <w:rsid w:val="00AB3B45"/>
    <w:rsid w:val="00AB3B79"/>
    <w:rsid w:val="00AB3CBC"/>
    <w:rsid w:val="00AB3F14"/>
    <w:rsid w:val="00AB3F28"/>
    <w:rsid w:val="00AB426A"/>
    <w:rsid w:val="00AB455B"/>
    <w:rsid w:val="00AB45FD"/>
    <w:rsid w:val="00AB48B5"/>
    <w:rsid w:val="00AB4A4F"/>
    <w:rsid w:val="00AB4B75"/>
    <w:rsid w:val="00AB4C9D"/>
    <w:rsid w:val="00AB4DC9"/>
    <w:rsid w:val="00AB5011"/>
    <w:rsid w:val="00AB506C"/>
    <w:rsid w:val="00AB529E"/>
    <w:rsid w:val="00AB53A0"/>
    <w:rsid w:val="00AB54EA"/>
    <w:rsid w:val="00AB561B"/>
    <w:rsid w:val="00AB5844"/>
    <w:rsid w:val="00AB59DC"/>
    <w:rsid w:val="00AB5A82"/>
    <w:rsid w:val="00AB5C9B"/>
    <w:rsid w:val="00AB5DA1"/>
    <w:rsid w:val="00AB60C0"/>
    <w:rsid w:val="00AB61AF"/>
    <w:rsid w:val="00AB647A"/>
    <w:rsid w:val="00AB64D6"/>
    <w:rsid w:val="00AB6568"/>
    <w:rsid w:val="00AB65A6"/>
    <w:rsid w:val="00AB6629"/>
    <w:rsid w:val="00AB665F"/>
    <w:rsid w:val="00AB6A12"/>
    <w:rsid w:val="00AB6ABD"/>
    <w:rsid w:val="00AB6AE4"/>
    <w:rsid w:val="00AB6B59"/>
    <w:rsid w:val="00AB6BC6"/>
    <w:rsid w:val="00AB7032"/>
    <w:rsid w:val="00AB70DB"/>
    <w:rsid w:val="00AB7187"/>
    <w:rsid w:val="00AB7363"/>
    <w:rsid w:val="00AB7365"/>
    <w:rsid w:val="00AB752B"/>
    <w:rsid w:val="00AB7619"/>
    <w:rsid w:val="00AB76F3"/>
    <w:rsid w:val="00AB7714"/>
    <w:rsid w:val="00AB7839"/>
    <w:rsid w:val="00AB799F"/>
    <w:rsid w:val="00AB7AEE"/>
    <w:rsid w:val="00AB7B69"/>
    <w:rsid w:val="00AB7C4A"/>
    <w:rsid w:val="00AB7DBD"/>
    <w:rsid w:val="00AB7DE9"/>
    <w:rsid w:val="00AB7F83"/>
    <w:rsid w:val="00AB7FDF"/>
    <w:rsid w:val="00AC00F3"/>
    <w:rsid w:val="00AC01E7"/>
    <w:rsid w:val="00AC03A0"/>
    <w:rsid w:val="00AC03EE"/>
    <w:rsid w:val="00AC0465"/>
    <w:rsid w:val="00AC04B1"/>
    <w:rsid w:val="00AC05E9"/>
    <w:rsid w:val="00AC0724"/>
    <w:rsid w:val="00AC09A5"/>
    <w:rsid w:val="00AC0AD2"/>
    <w:rsid w:val="00AC0BEF"/>
    <w:rsid w:val="00AC0D49"/>
    <w:rsid w:val="00AC0F8E"/>
    <w:rsid w:val="00AC12DD"/>
    <w:rsid w:val="00AC14C4"/>
    <w:rsid w:val="00AC1799"/>
    <w:rsid w:val="00AC1847"/>
    <w:rsid w:val="00AC188B"/>
    <w:rsid w:val="00AC1B59"/>
    <w:rsid w:val="00AC1B92"/>
    <w:rsid w:val="00AC1C4E"/>
    <w:rsid w:val="00AC1DBC"/>
    <w:rsid w:val="00AC1F89"/>
    <w:rsid w:val="00AC245A"/>
    <w:rsid w:val="00AC2529"/>
    <w:rsid w:val="00AC2750"/>
    <w:rsid w:val="00AC2770"/>
    <w:rsid w:val="00AC28DC"/>
    <w:rsid w:val="00AC2974"/>
    <w:rsid w:val="00AC2A20"/>
    <w:rsid w:val="00AC2B6B"/>
    <w:rsid w:val="00AC2C16"/>
    <w:rsid w:val="00AC2C5D"/>
    <w:rsid w:val="00AC315C"/>
    <w:rsid w:val="00AC31DB"/>
    <w:rsid w:val="00AC33E8"/>
    <w:rsid w:val="00AC34EB"/>
    <w:rsid w:val="00AC354A"/>
    <w:rsid w:val="00AC365E"/>
    <w:rsid w:val="00AC37AE"/>
    <w:rsid w:val="00AC38B3"/>
    <w:rsid w:val="00AC396E"/>
    <w:rsid w:val="00AC39B1"/>
    <w:rsid w:val="00AC3AEC"/>
    <w:rsid w:val="00AC3B36"/>
    <w:rsid w:val="00AC3CA3"/>
    <w:rsid w:val="00AC3DD7"/>
    <w:rsid w:val="00AC3E0F"/>
    <w:rsid w:val="00AC409F"/>
    <w:rsid w:val="00AC40CB"/>
    <w:rsid w:val="00AC4189"/>
    <w:rsid w:val="00AC41CE"/>
    <w:rsid w:val="00AC4232"/>
    <w:rsid w:val="00AC42AB"/>
    <w:rsid w:val="00AC42F9"/>
    <w:rsid w:val="00AC4450"/>
    <w:rsid w:val="00AC4525"/>
    <w:rsid w:val="00AC45F2"/>
    <w:rsid w:val="00AC4B99"/>
    <w:rsid w:val="00AC4C3B"/>
    <w:rsid w:val="00AC5070"/>
    <w:rsid w:val="00AC5130"/>
    <w:rsid w:val="00AC539A"/>
    <w:rsid w:val="00AC53B1"/>
    <w:rsid w:val="00AC55C9"/>
    <w:rsid w:val="00AC57EC"/>
    <w:rsid w:val="00AC5967"/>
    <w:rsid w:val="00AC59C9"/>
    <w:rsid w:val="00AC5A24"/>
    <w:rsid w:val="00AC5AEF"/>
    <w:rsid w:val="00AC5BEF"/>
    <w:rsid w:val="00AC5C8E"/>
    <w:rsid w:val="00AC5CAE"/>
    <w:rsid w:val="00AC5FEA"/>
    <w:rsid w:val="00AC5FF8"/>
    <w:rsid w:val="00AC6119"/>
    <w:rsid w:val="00AC62ED"/>
    <w:rsid w:val="00AC64A7"/>
    <w:rsid w:val="00AC64F3"/>
    <w:rsid w:val="00AC65F9"/>
    <w:rsid w:val="00AC673C"/>
    <w:rsid w:val="00AC6789"/>
    <w:rsid w:val="00AC69AF"/>
    <w:rsid w:val="00AC6ADA"/>
    <w:rsid w:val="00AC6C7C"/>
    <w:rsid w:val="00AC6E48"/>
    <w:rsid w:val="00AC6F23"/>
    <w:rsid w:val="00AC71A0"/>
    <w:rsid w:val="00AC72C0"/>
    <w:rsid w:val="00AC7476"/>
    <w:rsid w:val="00AC751F"/>
    <w:rsid w:val="00AC7629"/>
    <w:rsid w:val="00AC7683"/>
    <w:rsid w:val="00AC79A8"/>
    <w:rsid w:val="00AC7A05"/>
    <w:rsid w:val="00AC7A48"/>
    <w:rsid w:val="00AC7CE6"/>
    <w:rsid w:val="00AC7E23"/>
    <w:rsid w:val="00AC7E96"/>
    <w:rsid w:val="00ACBC17"/>
    <w:rsid w:val="00AD00BF"/>
    <w:rsid w:val="00AD00E0"/>
    <w:rsid w:val="00AD00E7"/>
    <w:rsid w:val="00AD01B2"/>
    <w:rsid w:val="00AD01DA"/>
    <w:rsid w:val="00AD047F"/>
    <w:rsid w:val="00AD0514"/>
    <w:rsid w:val="00AD0696"/>
    <w:rsid w:val="00AD0878"/>
    <w:rsid w:val="00AD0ED8"/>
    <w:rsid w:val="00AD0F39"/>
    <w:rsid w:val="00AD124E"/>
    <w:rsid w:val="00AD13B1"/>
    <w:rsid w:val="00AD1477"/>
    <w:rsid w:val="00AD17E4"/>
    <w:rsid w:val="00AD1830"/>
    <w:rsid w:val="00AD1869"/>
    <w:rsid w:val="00AD196E"/>
    <w:rsid w:val="00AD19B2"/>
    <w:rsid w:val="00AD1A47"/>
    <w:rsid w:val="00AD1B9B"/>
    <w:rsid w:val="00AD20BF"/>
    <w:rsid w:val="00AD2267"/>
    <w:rsid w:val="00AD2318"/>
    <w:rsid w:val="00AD2322"/>
    <w:rsid w:val="00AD2410"/>
    <w:rsid w:val="00AD2415"/>
    <w:rsid w:val="00AD249C"/>
    <w:rsid w:val="00AD24F0"/>
    <w:rsid w:val="00AD275F"/>
    <w:rsid w:val="00AD27AD"/>
    <w:rsid w:val="00AD2857"/>
    <w:rsid w:val="00AD2883"/>
    <w:rsid w:val="00AD28DF"/>
    <w:rsid w:val="00AD2B00"/>
    <w:rsid w:val="00AD2B5D"/>
    <w:rsid w:val="00AD2C68"/>
    <w:rsid w:val="00AD2FDD"/>
    <w:rsid w:val="00AD3148"/>
    <w:rsid w:val="00AD334F"/>
    <w:rsid w:val="00AD34B4"/>
    <w:rsid w:val="00AD34C9"/>
    <w:rsid w:val="00AD35CA"/>
    <w:rsid w:val="00AD3635"/>
    <w:rsid w:val="00AD3754"/>
    <w:rsid w:val="00AD3773"/>
    <w:rsid w:val="00AD38AC"/>
    <w:rsid w:val="00AD3B56"/>
    <w:rsid w:val="00AD3D92"/>
    <w:rsid w:val="00AD3FB2"/>
    <w:rsid w:val="00AD40FD"/>
    <w:rsid w:val="00AD4181"/>
    <w:rsid w:val="00AD42F7"/>
    <w:rsid w:val="00AD47BF"/>
    <w:rsid w:val="00AD4959"/>
    <w:rsid w:val="00AD498B"/>
    <w:rsid w:val="00AD4BAD"/>
    <w:rsid w:val="00AD4FDA"/>
    <w:rsid w:val="00AD501E"/>
    <w:rsid w:val="00AD5593"/>
    <w:rsid w:val="00AD55D2"/>
    <w:rsid w:val="00AD5A71"/>
    <w:rsid w:val="00AD5BD5"/>
    <w:rsid w:val="00AD5D59"/>
    <w:rsid w:val="00AD5DA1"/>
    <w:rsid w:val="00AD6007"/>
    <w:rsid w:val="00AD66E0"/>
    <w:rsid w:val="00AD6733"/>
    <w:rsid w:val="00AD6944"/>
    <w:rsid w:val="00AD6B6D"/>
    <w:rsid w:val="00AD6D3E"/>
    <w:rsid w:val="00AD6DDA"/>
    <w:rsid w:val="00AD6F7C"/>
    <w:rsid w:val="00AD6FD5"/>
    <w:rsid w:val="00AD7003"/>
    <w:rsid w:val="00AD7103"/>
    <w:rsid w:val="00AD718F"/>
    <w:rsid w:val="00AD727F"/>
    <w:rsid w:val="00AD738B"/>
    <w:rsid w:val="00AD73F6"/>
    <w:rsid w:val="00AD7478"/>
    <w:rsid w:val="00AD7560"/>
    <w:rsid w:val="00AD758F"/>
    <w:rsid w:val="00AD75A8"/>
    <w:rsid w:val="00AD78C8"/>
    <w:rsid w:val="00AD7990"/>
    <w:rsid w:val="00AD7A77"/>
    <w:rsid w:val="00AD7C7B"/>
    <w:rsid w:val="00AD7CE0"/>
    <w:rsid w:val="00AD7EBA"/>
    <w:rsid w:val="00AD7F6B"/>
    <w:rsid w:val="00AD7FA1"/>
    <w:rsid w:val="00ADC1BC"/>
    <w:rsid w:val="00AE0155"/>
    <w:rsid w:val="00AE039C"/>
    <w:rsid w:val="00AE04A0"/>
    <w:rsid w:val="00AE04BA"/>
    <w:rsid w:val="00AE05CC"/>
    <w:rsid w:val="00AE05FC"/>
    <w:rsid w:val="00AE0697"/>
    <w:rsid w:val="00AE084E"/>
    <w:rsid w:val="00AE0A1D"/>
    <w:rsid w:val="00AE0B08"/>
    <w:rsid w:val="00AE0B2F"/>
    <w:rsid w:val="00AE0C76"/>
    <w:rsid w:val="00AE0DD1"/>
    <w:rsid w:val="00AE0EEF"/>
    <w:rsid w:val="00AE0F33"/>
    <w:rsid w:val="00AE0FB1"/>
    <w:rsid w:val="00AE11E8"/>
    <w:rsid w:val="00AE12C0"/>
    <w:rsid w:val="00AE12DB"/>
    <w:rsid w:val="00AE148A"/>
    <w:rsid w:val="00AE14B2"/>
    <w:rsid w:val="00AE1546"/>
    <w:rsid w:val="00AE15CB"/>
    <w:rsid w:val="00AE160A"/>
    <w:rsid w:val="00AE161F"/>
    <w:rsid w:val="00AE16DA"/>
    <w:rsid w:val="00AE1817"/>
    <w:rsid w:val="00AE1991"/>
    <w:rsid w:val="00AE1A3E"/>
    <w:rsid w:val="00AE1B9B"/>
    <w:rsid w:val="00AE1BC3"/>
    <w:rsid w:val="00AE1D33"/>
    <w:rsid w:val="00AE1D78"/>
    <w:rsid w:val="00AE1FE1"/>
    <w:rsid w:val="00AE2363"/>
    <w:rsid w:val="00AE2378"/>
    <w:rsid w:val="00AE2495"/>
    <w:rsid w:val="00AE24CB"/>
    <w:rsid w:val="00AE25C0"/>
    <w:rsid w:val="00AE26CB"/>
    <w:rsid w:val="00AE2916"/>
    <w:rsid w:val="00AE2ABB"/>
    <w:rsid w:val="00AE2C7B"/>
    <w:rsid w:val="00AE2DBD"/>
    <w:rsid w:val="00AE2DC0"/>
    <w:rsid w:val="00AE3222"/>
    <w:rsid w:val="00AE3240"/>
    <w:rsid w:val="00AE34E6"/>
    <w:rsid w:val="00AE35D5"/>
    <w:rsid w:val="00AE3624"/>
    <w:rsid w:val="00AE3A5D"/>
    <w:rsid w:val="00AE3C49"/>
    <w:rsid w:val="00AE3D69"/>
    <w:rsid w:val="00AE3E1C"/>
    <w:rsid w:val="00AE41A2"/>
    <w:rsid w:val="00AE41B6"/>
    <w:rsid w:val="00AE41D1"/>
    <w:rsid w:val="00AE4271"/>
    <w:rsid w:val="00AE4291"/>
    <w:rsid w:val="00AE42BF"/>
    <w:rsid w:val="00AE432F"/>
    <w:rsid w:val="00AE43D8"/>
    <w:rsid w:val="00AE44F9"/>
    <w:rsid w:val="00AE45A5"/>
    <w:rsid w:val="00AE482C"/>
    <w:rsid w:val="00AE491D"/>
    <w:rsid w:val="00AE4AB2"/>
    <w:rsid w:val="00AE4B2A"/>
    <w:rsid w:val="00AE4B31"/>
    <w:rsid w:val="00AE4CA1"/>
    <w:rsid w:val="00AE4F5A"/>
    <w:rsid w:val="00AE523B"/>
    <w:rsid w:val="00AE52A6"/>
    <w:rsid w:val="00AE53B3"/>
    <w:rsid w:val="00AE54E1"/>
    <w:rsid w:val="00AE566D"/>
    <w:rsid w:val="00AE569B"/>
    <w:rsid w:val="00AE5833"/>
    <w:rsid w:val="00AE59FF"/>
    <w:rsid w:val="00AE5A2B"/>
    <w:rsid w:val="00AE5B06"/>
    <w:rsid w:val="00AE5C96"/>
    <w:rsid w:val="00AE5D4A"/>
    <w:rsid w:val="00AE5DD4"/>
    <w:rsid w:val="00AE5E5B"/>
    <w:rsid w:val="00AE5EFB"/>
    <w:rsid w:val="00AE624B"/>
    <w:rsid w:val="00AE624E"/>
    <w:rsid w:val="00AE6361"/>
    <w:rsid w:val="00AE65EB"/>
    <w:rsid w:val="00AE67E1"/>
    <w:rsid w:val="00AE687E"/>
    <w:rsid w:val="00AE6BA3"/>
    <w:rsid w:val="00AE6DA3"/>
    <w:rsid w:val="00AE6F75"/>
    <w:rsid w:val="00AE7117"/>
    <w:rsid w:val="00AE7231"/>
    <w:rsid w:val="00AE72D7"/>
    <w:rsid w:val="00AE73E0"/>
    <w:rsid w:val="00AE7406"/>
    <w:rsid w:val="00AE7577"/>
    <w:rsid w:val="00AE767F"/>
    <w:rsid w:val="00AE7692"/>
    <w:rsid w:val="00AE79AE"/>
    <w:rsid w:val="00AE7B52"/>
    <w:rsid w:val="00AE7CD9"/>
    <w:rsid w:val="00AE7E8D"/>
    <w:rsid w:val="00AF02B1"/>
    <w:rsid w:val="00AF03E6"/>
    <w:rsid w:val="00AF04E1"/>
    <w:rsid w:val="00AF0755"/>
    <w:rsid w:val="00AF0794"/>
    <w:rsid w:val="00AF07FE"/>
    <w:rsid w:val="00AF0C17"/>
    <w:rsid w:val="00AF0C43"/>
    <w:rsid w:val="00AF102C"/>
    <w:rsid w:val="00AF15A2"/>
    <w:rsid w:val="00AF1632"/>
    <w:rsid w:val="00AF16F4"/>
    <w:rsid w:val="00AF17D6"/>
    <w:rsid w:val="00AF1946"/>
    <w:rsid w:val="00AF1966"/>
    <w:rsid w:val="00AF1EC2"/>
    <w:rsid w:val="00AF1F57"/>
    <w:rsid w:val="00AF1F8D"/>
    <w:rsid w:val="00AF205C"/>
    <w:rsid w:val="00AF21C4"/>
    <w:rsid w:val="00AF21F2"/>
    <w:rsid w:val="00AF221D"/>
    <w:rsid w:val="00AF228B"/>
    <w:rsid w:val="00AF2360"/>
    <w:rsid w:val="00AF237C"/>
    <w:rsid w:val="00AF248B"/>
    <w:rsid w:val="00AF24F5"/>
    <w:rsid w:val="00AF25DA"/>
    <w:rsid w:val="00AF276C"/>
    <w:rsid w:val="00AF28D1"/>
    <w:rsid w:val="00AF2A77"/>
    <w:rsid w:val="00AF2A81"/>
    <w:rsid w:val="00AF2BE0"/>
    <w:rsid w:val="00AF2CAB"/>
    <w:rsid w:val="00AF2D11"/>
    <w:rsid w:val="00AF2E8A"/>
    <w:rsid w:val="00AF2F34"/>
    <w:rsid w:val="00AF301A"/>
    <w:rsid w:val="00AF33B1"/>
    <w:rsid w:val="00AF34E5"/>
    <w:rsid w:val="00AF36AB"/>
    <w:rsid w:val="00AF39C8"/>
    <w:rsid w:val="00AF3A8C"/>
    <w:rsid w:val="00AF3BC7"/>
    <w:rsid w:val="00AF3C62"/>
    <w:rsid w:val="00AF3D6B"/>
    <w:rsid w:val="00AF3DDC"/>
    <w:rsid w:val="00AF3DE5"/>
    <w:rsid w:val="00AF427E"/>
    <w:rsid w:val="00AF4317"/>
    <w:rsid w:val="00AF440B"/>
    <w:rsid w:val="00AF4453"/>
    <w:rsid w:val="00AF44C7"/>
    <w:rsid w:val="00AF45B4"/>
    <w:rsid w:val="00AF4794"/>
    <w:rsid w:val="00AF47E0"/>
    <w:rsid w:val="00AF498F"/>
    <w:rsid w:val="00AF4B22"/>
    <w:rsid w:val="00AF4BA5"/>
    <w:rsid w:val="00AF4F94"/>
    <w:rsid w:val="00AF5137"/>
    <w:rsid w:val="00AF5169"/>
    <w:rsid w:val="00AF53E8"/>
    <w:rsid w:val="00AF55A4"/>
    <w:rsid w:val="00AF57DD"/>
    <w:rsid w:val="00AF5A14"/>
    <w:rsid w:val="00AF5A16"/>
    <w:rsid w:val="00AF5A6F"/>
    <w:rsid w:val="00AF5A75"/>
    <w:rsid w:val="00AF5B27"/>
    <w:rsid w:val="00AF5DCC"/>
    <w:rsid w:val="00AF5ECA"/>
    <w:rsid w:val="00AF60A1"/>
    <w:rsid w:val="00AF60A3"/>
    <w:rsid w:val="00AF6121"/>
    <w:rsid w:val="00AF61B9"/>
    <w:rsid w:val="00AF62B8"/>
    <w:rsid w:val="00AF6628"/>
    <w:rsid w:val="00AF68D3"/>
    <w:rsid w:val="00AF6A27"/>
    <w:rsid w:val="00AF6A2E"/>
    <w:rsid w:val="00AF6A3B"/>
    <w:rsid w:val="00AF6BC0"/>
    <w:rsid w:val="00AF6BE5"/>
    <w:rsid w:val="00AF6CBC"/>
    <w:rsid w:val="00AF6CC2"/>
    <w:rsid w:val="00AF6E31"/>
    <w:rsid w:val="00AF6EAF"/>
    <w:rsid w:val="00AF6ED3"/>
    <w:rsid w:val="00AF71BC"/>
    <w:rsid w:val="00AF7324"/>
    <w:rsid w:val="00AF7348"/>
    <w:rsid w:val="00AF73AC"/>
    <w:rsid w:val="00AF74F1"/>
    <w:rsid w:val="00AF78B0"/>
    <w:rsid w:val="00AF78EF"/>
    <w:rsid w:val="00AF795C"/>
    <w:rsid w:val="00AF7B65"/>
    <w:rsid w:val="00AF7B76"/>
    <w:rsid w:val="00AF7DD0"/>
    <w:rsid w:val="00AF7DF7"/>
    <w:rsid w:val="00AF7E63"/>
    <w:rsid w:val="00AF7F77"/>
    <w:rsid w:val="00B003E2"/>
    <w:rsid w:val="00B0043E"/>
    <w:rsid w:val="00B00456"/>
    <w:rsid w:val="00B00512"/>
    <w:rsid w:val="00B00576"/>
    <w:rsid w:val="00B00616"/>
    <w:rsid w:val="00B0089B"/>
    <w:rsid w:val="00B00E95"/>
    <w:rsid w:val="00B00ED3"/>
    <w:rsid w:val="00B00EDE"/>
    <w:rsid w:val="00B00F19"/>
    <w:rsid w:val="00B010C5"/>
    <w:rsid w:val="00B011F5"/>
    <w:rsid w:val="00B013F3"/>
    <w:rsid w:val="00B015A6"/>
    <w:rsid w:val="00B01724"/>
    <w:rsid w:val="00B0186A"/>
    <w:rsid w:val="00B01968"/>
    <w:rsid w:val="00B01B8B"/>
    <w:rsid w:val="00B01CB2"/>
    <w:rsid w:val="00B01ECF"/>
    <w:rsid w:val="00B02115"/>
    <w:rsid w:val="00B02186"/>
    <w:rsid w:val="00B021E0"/>
    <w:rsid w:val="00B0251C"/>
    <w:rsid w:val="00B02678"/>
    <w:rsid w:val="00B02682"/>
    <w:rsid w:val="00B0278B"/>
    <w:rsid w:val="00B0285A"/>
    <w:rsid w:val="00B029CD"/>
    <w:rsid w:val="00B02CAD"/>
    <w:rsid w:val="00B02CB6"/>
    <w:rsid w:val="00B02D7E"/>
    <w:rsid w:val="00B02DB1"/>
    <w:rsid w:val="00B02EFE"/>
    <w:rsid w:val="00B030FC"/>
    <w:rsid w:val="00B03222"/>
    <w:rsid w:val="00B03259"/>
    <w:rsid w:val="00B03273"/>
    <w:rsid w:val="00B032C0"/>
    <w:rsid w:val="00B0337D"/>
    <w:rsid w:val="00B0358D"/>
    <w:rsid w:val="00B035D4"/>
    <w:rsid w:val="00B036D7"/>
    <w:rsid w:val="00B03794"/>
    <w:rsid w:val="00B037A1"/>
    <w:rsid w:val="00B037A8"/>
    <w:rsid w:val="00B037F2"/>
    <w:rsid w:val="00B037FA"/>
    <w:rsid w:val="00B038FD"/>
    <w:rsid w:val="00B03A6B"/>
    <w:rsid w:val="00B03B0B"/>
    <w:rsid w:val="00B03B44"/>
    <w:rsid w:val="00B03C99"/>
    <w:rsid w:val="00B03F70"/>
    <w:rsid w:val="00B0425E"/>
    <w:rsid w:val="00B042A4"/>
    <w:rsid w:val="00B043D7"/>
    <w:rsid w:val="00B04490"/>
    <w:rsid w:val="00B048B5"/>
    <w:rsid w:val="00B04A08"/>
    <w:rsid w:val="00B04AB3"/>
    <w:rsid w:val="00B04ABA"/>
    <w:rsid w:val="00B04C76"/>
    <w:rsid w:val="00B04EC5"/>
    <w:rsid w:val="00B0520B"/>
    <w:rsid w:val="00B05333"/>
    <w:rsid w:val="00B0547D"/>
    <w:rsid w:val="00B0549A"/>
    <w:rsid w:val="00B055CD"/>
    <w:rsid w:val="00B056BD"/>
    <w:rsid w:val="00B057D6"/>
    <w:rsid w:val="00B0581D"/>
    <w:rsid w:val="00B05821"/>
    <w:rsid w:val="00B0583F"/>
    <w:rsid w:val="00B058EA"/>
    <w:rsid w:val="00B05986"/>
    <w:rsid w:val="00B0598B"/>
    <w:rsid w:val="00B059F3"/>
    <w:rsid w:val="00B05BF7"/>
    <w:rsid w:val="00B05E9B"/>
    <w:rsid w:val="00B05E9E"/>
    <w:rsid w:val="00B0622A"/>
    <w:rsid w:val="00B063D9"/>
    <w:rsid w:val="00B066DA"/>
    <w:rsid w:val="00B06A82"/>
    <w:rsid w:val="00B06AB0"/>
    <w:rsid w:val="00B06B79"/>
    <w:rsid w:val="00B06C2D"/>
    <w:rsid w:val="00B06E99"/>
    <w:rsid w:val="00B06F5A"/>
    <w:rsid w:val="00B06F98"/>
    <w:rsid w:val="00B0705A"/>
    <w:rsid w:val="00B07164"/>
    <w:rsid w:val="00B0718B"/>
    <w:rsid w:val="00B071BC"/>
    <w:rsid w:val="00B074D5"/>
    <w:rsid w:val="00B07626"/>
    <w:rsid w:val="00B0764E"/>
    <w:rsid w:val="00B07734"/>
    <w:rsid w:val="00B078EA"/>
    <w:rsid w:val="00B07B87"/>
    <w:rsid w:val="00B07E31"/>
    <w:rsid w:val="00B07FE7"/>
    <w:rsid w:val="00B10064"/>
    <w:rsid w:val="00B10299"/>
    <w:rsid w:val="00B10B7D"/>
    <w:rsid w:val="00B10F92"/>
    <w:rsid w:val="00B1106B"/>
    <w:rsid w:val="00B11078"/>
    <w:rsid w:val="00B1121F"/>
    <w:rsid w:val="00B1164E"/>
    <w:rsid w:val="00B117D5"/>
    <w:rsid w:val="00B119A0"/>
    <w:rsid w:val="00B11B8C"/>
    <w:rsid w:val="00B11F07"/>
    <w:rsid w:val="00B12195"/>
    <w:rsid w:val="00B12200"/>
    <w:rsid w:val="00B12226"/>
    <w:rsid w:val="00B1236C"/>
    <w:rsid w:val="00B12621"/>
    <w:rsid w:val="00B1263D"/>
    <w:rsid w:val="00B127F0"/>
    <w:rsid w:val="00B12829"/>
    <w:rsid w:val="00B12850"/>
    <w:rsid w:val="00B12898"/>
    <w:rsid w:val="00B12B48"/>
    <w:rsid w:val="00B12C3A"/>
    <w:rsid w:val="00B12D2D"/>
    <w:rsid w:val="00B12D44"/>
    <w:rsid w:val="00B12DCF"/>
    <w:rsid w:val="00B12DD0"/>
    <w:rsid w:val="00B12FF6"/>
    <w:rsid w:val="00B1304F"/>
    <w:rsid w:val="00B13079"/>
    <w:rsid w:val="00B13335"/>
    <w:rsid w:val="00B13420"/>
    <w:rsid w:val="00B13428"/>
    <w:rsid w:val="00B134B0"/>
    <w:rsid w:val="00B134E6"/>
    <w:rsid w:val="00B135CE"/>
    <w:rsid w:val="00B136ED"/>
    <w:rsid w:val="00B1388E"/>
    <w:rsid w:val="00B13F91"/>
    <w:rsid w:val="00B1415F"/>
    <w:rsid w:val="00B14243"/>
    <w:rsid w:val="00B1424B"/>
    <w:rsid w:val="00B14265"/>
    <w:rsid w:val="00B1440C"/>
    <w:rsid w:val="00B1454F"/>
    <w:rsid w:val="00B149D4"/>
    <w:rsid w:val="00B149ED"/>
    <w:rsid w:val="00B14A9E"/>
    <w:rsid w:val="00B14AC7"/>
    <w:rsid w:val="00B14B42"/>
    <w:rsid w:val="00B14B70"/>
    <w:rsid w:val="00B14CFB"/>
    <w:rsid w:val="00B14D61"/>
    <w:rsid w:val="00B14F3E"/>
    <w:rsid w:val="00B150C2"/>
    <w:rsid w:val="00B15163"/>
    <w:rsid w:val="00B151EA"/>
    <w:rsid w:val="00B15430"/>
    <w:rsid w:val="00B1549E"/>
    <w:rsid w:val="00B1557B"/>
    <w:rsid w:val="00B157FA"/>
    <w:rsid w:val="00B159ED"/>
    <w:rsid w:val="00B15C52"/>
    <w:rsid w:val="00B15D4A"/>
    <w:rsid w:val="00B15F54"/>
    <w:rsid w:val="00B16164"/>
    <w:rsid w:val="00B16170"/>
    <w:rsid w:val="00B161C0"/>
    <w:rsid w:val="00B1661E"/>
    <w:rsid w:val="00B16858"/>
    <w:rsid w:val="00B16A89"/>
    <w:rsid w:val="00B16BEA"/>
    <w:rsid w:val="00B16EA1"/>
    <w:rsid w:val="00B16F04"/>
    <w:rsid w:val="00B171B0"/>
    <w:rsid w:val="00B171F6"/>
    <w:rsid w:val="00B1723C"/>
    <w:rsid w:val="00B1735F"/>
    <w:rsid w:val="00B1736E"/>
    <w:rsid w:val="00B17387"/>
    <w:rsid w:val="00B17477"/>
    <w:rsid w:val="00B174D3"/>
    <w:rsid w:val="00B175A5"/>
    <w:rsid w:val="00B17853"/>
    <w:rsid w:val="00B1792C"/>
    <w:rsid w:val="00B17A0E"/>
    <w:rsid w:val="00B17AE0"/>
    <w:rsid w:val="00B17BB5"/>
    <w:rsid w:val="00B17BB8"/>
    <w:rsid w:val="00B17F78"/>
    <w:rsid w:val="00B17F95"/>
    <w:rsid w:val="00B20623"/>
    <w:rsid w:val="00B20727"/>
    <w:rsid w:val="00B20AD7"/>
    <w:rsid w:val="00B20CC6"/>
    <w:rsid w:val="00B20CE9"/>
    <w:rsid w:val="00B20D6C"/>
    <w:rsid w:val="00B20DCA"/>
    <w:rsid w:val="00B2102B"/>
    <w:rsid w:val="00B211AE"/>
    <w:rsid w:val="00B2123F"/>
    <w:rsid w:val="00B2127D"/>
    <w:rsid w:val="00B213CE"/>
    <w:rsid w:val="00B21489"/>
    <w:rsid w:val="00B214ED"/>
    <w:rsid w:val="00B215E6"/>
    <w:rsid w:val="00B2175F"/>
    <w:rsid w:val="00B218EB"/>
    <w:rsid w:val="00B218FD"/>
    <w:rsid w:val="00B21926"/>
    <w:rsid w:val="00B21A38"/>
    <w:rsid w:val="00B21B4E"/>
    <w:rsid w:val="00B21CD0"/>
    <w:rsid w:val="00B21D3D"/>
    <w:rsid w:val="00B21EA0"/>
    <w:rsid w:val="00B22086"/>
    <w:rsid w:val="00B22199"/>
    <w:rsid w:val="00B224BD"/>
    <w:rsid w:val="00B22870"/>
    <w:rsid w:val="00B229AC"/>
    <w:rsid w:val="00B22A53"/>
    <w:rsid w:val="00B22B32"/>
    <w:rsid w:val="00B22CD8"/>
    <w:rsid w:val="00B22D51"/>
    <w:rsid w:val="00B22EAC"/>
    <w:rsid w:val="00B23117"/>
    <w:rsid w:val="00B23330"/>
    <w:rsid w:val="00B237C7"/>
    <w:rsid w:val="00B2380F"/>
    <w:rsid w:val="00B2394E"/>
    <w:rsid w:val="00B2395C"/>
    <w:rsid w:val="00B23981"/>
    <w:rsid w:val="00B23B96"/>
    <w:rsid w:val="00B24152"/>
    <w:rsid w:val="00B243B8"/>
    <w:rsid w:val="00B2443A"/>
    <w:rsid w:val="00B24447"/>
    <w:rsid w:val="00B24560"/>
    <w:rsid w:val="00B24581"/>
    <w:rsid w:val="00B245A5"/>
    <w:rsid w:val="00B24700"/>
    <w:rsid w:val="00B247CC"/>
    <w:rsid w:val="00B24847"/>
    <w:rsid w:val="00B2489A"/>
    <w:rsid w:val="00B24A12"/>
    <w:rsid w:val="00B24A8B"/>
    <w:rsid w:val="00B24C17"/>
    <w:rsid w:val="00B24FCE"/>
    <w:rsid w:val="00B25115"/>
    <w:rsid w:val="00B25160"/>
    <w:rsid w:val="00B251EC"/>
    <w:rsid w:val="00B25438"/>
    <w:rsid w:val="00B254ED"/>
    <w:rsid w:val="00B255FA"/>
    <w:rsid w:val="00B256C9"/>
    <w:rsid w:val="00B25882"/>
    <w:rsid w:val="00B2594A"/>
    <w:rsid w:val="00B25A46"/>
    <w:rsid w:val="00B25E36"/>
    <w:rsid w:val="00B26136"/>
    <w:rsid w:val="00B261FE"/>
    <w:rsid w:val="00B26502"/>
    <w:rsid w:val="00B26570"/>
    <w:rsid w:val="00B2681E"/>
    <w:rsid w:val="00B26915"/>
    <w:rsid w:val="00B2697D"/>
    <w:rsid w:val="00B26E12"/>
    <w:rsid w:val="00B27319"/>
    <w:rsid w:val="00B27546"/>
    <w:rsid w:val="00B2768B"/>
    <w:rsid w:val="00B276A5"/>
    <w:rsid w:val="00B27950"/>
    <w:rsid w:val="00B27D50"/>
    <w:rsid w:val="00B27DC3"/>
    <w:rsid w:val="00B27DD5"/>
    <w:rsid w:val="00B27E0A"/>
    <w:rsid w:val="00B27E22"/>
    <w:rsid w:val="00B27E3F"/>
    <w:rsid w:val="00B27E64"/>
    <w:rsid w:val="00B27FC1"/>
    <w:rsid w:val="00B301AF"/>
    <w:rsid w:val="00B30230"/>
    <w:rsid w:val="00B3028E"/>
    <w:rsid w:val="00B302E5"/>
    <w:rsid w:val="00B3035B"/>
    <w:rsid w:val="00B3045B"/>
    <w:rsid w:val="00B30486"/>
    <w:rsid w:val="00B3048B"/>
    <w:rsid w:val="00B3077F"/>
    <w:rsid w:val="00B308EA"/>
    <w:rsid w:val="00B30952"/>
    <w:rsid w:val="00B3095E"/>
    <w:rsid w:val="00B30BD9"/>
    <w:rsid w:val="00B30FC4"/>
    <w:rsid w:val="00B312F6"/>
    <w:rsid w:val="00B3137C"/>
    <w:rsid w:val="00B3176A"/>
    <w:rsid w:val="00B31986"/>
    <w:rsid w:val="00B31A11"/>
    <w:rsid w:val="00B31A43"/>
    <w:rsid w:val="00B31AF3"/>
    <w:rsid w:val="00B31C8F"/>
    <w:rsid w:val="00B31D09"/>
    <w:rsid w:val="00B31D76"/>
    <w:rsid w:val="00B31DA8"/>
    <w:rsid w:val="00B31E1D"/>
    <w:rsid w:val="00B31EAD"/>
    <w:rsid w:val="00B323FA"/>
    <w:rsid w:val="00B32470"/>
    <w:rsid w:val="00B325BD"/>
    <w:rsid w:val="00B3264D"/>
    <w:rsid w:val="00B328E6"/>
    <w:rsid w:val="00B328FA"/>
    <w:rsid w:val="00B32A76"/>
    <w:rsid w:val="00B32ABE"/>
    <w:rsid w:val="00B32B15"/>
    <w:rsid w:val="00B32CD9"/>
    <w:rsid w:val="00B32FC3"/>
    <w:rsid w:val="00B330A3"/>
    <w:rsid w:val="00B330DA"/>
    <w:rsid w:val="00B3323F"/>
    <w:rsid w:val="00B3344D"/>
    <w:rsid w:val="00B3356D"/>
    <w:rsid w:val="00B3359A"/>
    <w:rsid w:val="00B3376B"/>
    <w:rsid w:val="00B339E5"/>
    <w:rsid w:val="00B33A1A"/>
    <w:rsid w:val="00B33A6C"/>
    <w:rsid w:val="00B33ACA"/>
    <w:rsid w:val="00B33CA1"/>
    <w:rsid w:val="00B33CA6"/>
    <w:rsid w:val="00B34087"/>
    <w:rsid w:val="00B340F6"/>
    <w:rsid w:val="00B34198"/>
    <w:rsid w:val="00B341BC"/>
    <w:rsid w:val="00B341D9"/>
    <w:rsid w:val="00B34370"/>
    <w:rsid w:val="00B343D8"/>
    <w:rsid w:val="00B34A08"/>
    <w:rsid w:val="00B34A18"/>
    <w:rsid w:val="00B34AE6"/>
    <w:rsid w:val="00B34EBB"/>
    <w:rsid w:val="00B350DE"/>
    <w:rsid w:val="00B35214"/>
    <w:rsid w:val="00B3521E"/>
    <w:rsid w:val="00B3522C"/>
    <w:rsid w:val="00B352C4"/>
    <w:rsid w:val="00B352D8"/>
    <w:rsid w:val="00B353C4"/>
    <w:rsid w:val="00B35612"/>
    <w:rsid w:val="00B3561C"/>
    <w:rsid w:val="00B357B2"/>
    <w:rsid w:val="00B35857"/>
    <w:rsid w:val="00B358EA"/>
    <w:rsid w:val="00B3595F"/>
    <w:rsid w:val="00B35BB4"/>
    <w:rsid w:val="00B35C7C"/>
    <w:rsid w:val="00B35CEE"/>
    <w:rsid w:val="00B363F1"/>
    <w:rsid w:val="00B36474"/>
    <w:rsid w:val="00B36486"/>
    <w:rsid w:val="00B36642"/>
    <w:rsid w:val="00B3665B"/>
    <w:rsid w:val="00B366DB"/>
    <w:rsid w:val="00B3670F"/>
    <w:rsid w:val="00B36747"/>
    <w:rsid w:val="00B36923"/>
    <w:rsid w:val="00B36B3D"/>
    <w:rsid w:val="00B36C30"/>
    <w:rsid w:val="00B36C39"/>
    <w:rsid w:val="00B36D1C"/>
    <w:rsid w:val="00B36E7B"/>
    <w:rsid w:val="00B370E9"/>
    <w:rsid w:val="00B37151"/>
    <w:rsid w:val="00B37184"/>
    <w:rsid w:val="00B372C0"/>
    <w:rsid w:val="00B3735D"/>
    <w:rsid w:val="00B373A2"/>
    <w:rsid w:val="00B376A7"/>
    <w:rsid w:val="00B37879"/>
    <w:rsid w:val="00B37A10"/>
    <w:rsid w:val="00B403A9"/>
    <w:rsid w:val="00B40481"/>
    <w:rsid w:val="00B404EB"/>
    <w:rsid w:val="00B405AA"/>
    <w:rsid w:val="00B40796"/>
    <w:rsid w:val="00B40810"/>
    <w:rsid w:val="00B40853"/>
    <w:rsid w:val="00B40905"/>
    <w:rsid w:val="00B4097A"/>
    <w:rsid w:val="00B40996"/>
    <w:rsid w:val="00B40A2E"/>
    <w:rsid w:val="00B40BB4"/>
    <w:rsid w:val="00B40E28"/>
    <w:rsid w:val="00B40FEB"/>
    <w:rsid w:val="00B41100"/>
    <w:rsid w:val="00B4122D"/>
    <w:rsid w:val="00B4135F"/>
    <w:rsid w:val="00B413D2"/>
    <w:rsid w:val="00B4169A"/>
    <w:rsid w:val="00B417F6"/>
    <w:rsid w:val="00B418F0"/>
    <w:rsid w:val="00B41A1E"/>
    <w:rsid w:val="00B41B25"/>
    <w:rsid w:val="00B41C1D"/>
    <w:rsid w:val="00B41CE2"/>
    <w:rsid w:val="00B41DBE"/>
    <w:rsid w:val="00B41F05"/>
    <w:rsid w:val="00B42092"/>
    <w:rsid w:val="00B423A8"/>
    <w:rsid w:val="00B4261A"/>
    <w:rsid w:val="00B42662"/>
    <w:rsid w:val="00B426CC"/>
    <w:rsid w:val="00B428AE"/>
    <w:rsid w:val="00B428FE"/>
    <w:rsid w:val="00B42BFD"/>
    <w:rsid w:val="00B42C7B"/>
    <w:rsid w:val="00B43345"/>
    <w:rsid w:val="00B434C6"/>
    <w:rsid w:val="00B434D3"/>
    <w:rsid w:val="00B43554"/>
    <w:rsid w:val="00B43612"/>
    <w:rsid w:val="00B437E1"/>
    <w:rsid w:val="00B4392A"/>
    <w:rsid w:val="00B439AC"/>
    <w:rsid w:val="00B43C5E"/>
    <w:rsid w:val="00B43D6F"/>
    <w:rsid w:val="00B43E58"/>
    <w:rsid w:val="00B44023"/>
    <w:rsid w:val="00B44188"/>
    <w:rsid w:val="00B443EA"/>
    <w:rsid w:val="00B44646"/>
    <w:rsid w:val="00B44666"/>
    <w:rsid w:val="00B44673"/>
    <w:rsid w:val="00B446D8"/>
    <w:rsid w:val="00B44769"/>
    <w:rsid w:val="00B447D6"/>
    <w:rsid w:val="00B4492C"/>
    <w:rsid w:val="00B449EC"/>
    <w:rsid w:val="00B44A54"/>
    <w:rsid w:val="00B44CE0"/>
    <w:rsid w:val="00B44EEE"/>
    <w:rsid w:val="00B45035"/>
    <w:rsid w:val="00B45072"/>
    <w:rsid w:val="00B45146"/>
    <w:rsid w:val="00B452EE"/>
    <w:rsid w:val="00B45378"/>
    <w:rsid w:val="00B453FD"/>
    <w:rsid w:val="00B454F2"/>
    <w:rsid w:val="00B45641"/>
    <w:rsid w:val="00B4579D"/>
    <w:rsid w:val="00B457F8"/>
    <w:rsid w:val="00B45887"/>
    <w:rsid w:val="00B458CC"/>
    <w:rsid w:val="00B4597C"/>
    <w:rsid w:val="00B459B2"/>
    <w:rsid w:val="00B45A92"/>
    <w:rsid w:val="00B45BF3"/>
    <w:rsid w:val="00B45C6D"/>
    <w:rsid w:val="00B45CF0"/>
    <w:rsid w:val="00B45DB7"/>
    <w:rsid w:val="00B45E5C"/>
    <w:rsid w:val="00B45F02"/>
    <w:rsid w:val="00B45F4B"/>
    <w:rsid w:val="00B45FFA"/>
    <w:rsid w:val="00B461A1"/>
    <w:rsid w:val="00B461DD"/>
    <w:rsid w:val="00B4625D"/>
    <w:rsid w:val="00B46638"/>
    <w:rsid w:val="00B46651"/>
    <w:rsid w:val="00B4695C"/>
    <w:rsid w:val="00B4698F"/>
    <w:rsid w:val="00B46A51"/>
    <w:rsid w:val="00B46AB8"/>
    <w:rsid w:val="00B46B3B"/>
    <w:rsid w:val="00B46C6E"/>
    <w:rsid w:val="00B46C8F"/>
    <w:rsid w:val="00B46DDA"/>
    <w:rsid w:val="00B46DEA"/>
    <w:rsid w:val="00B46F94"/>
    <w:rsid w:val="00B472BB"/>
    <w:rsid w:val="00B47331"/>
    <w:rsid w:val="00B47453"/>
    <w:rsid w:val="00B4764D"/>
    <w:rsid w:val="00B47662"/>
    <w:rsid w:val="00B476A3"/>
    <w:rsid w:val="00B47769"/>
    <w:rsid w:val="00B47931"/>
    <w:rsid w:val="00B479AD"/>
    <w:rsid w:val="00B479E2"/>
    <w:rsid w:val="00B47B3A"/>
    <w:rsid w:val="00B47DD4"/>
    <w:rsid w:val="00B47EA2"/>
    <w:rsid w:val="00B47F2A"/>
    <w:rsid w:val="00B50076"/>
    <w:rsid w:val="00B5021B"/>
    <w:rsid w:val="00B50491"/>
    <w:rsid w:val="00B509C2"/>
    <w:rsid w:val="00B509D8"/>
    <w:rsid w:val="00B50B41"/>
    <w:rsid w:val="00B50CD8"/>
    <w:rsid w:val="00B50F30"/>
    <w:rsid w:val="00B50F82"/>
    <w:rsid w:val="00B510A2"/>
    <w:rsid w:val="00B51126"/>
    <w:rsid w:val="00B512D6"/>
    <w:rsid w:val="00B5142C"/>
    <w:rsid w:val="00B51467"/>
    <w:rsid w:val="00B519E1"/>
    <w:rsid w:val="00B51A55"/>
    <w:rsid w:val="00B51CD7"/>
    <w:rsid w:val="00B51E19"/>
    <w:rsid w:val="00B51E8D"/>
    <w:rsid w:val="00B52056"/>
    <w:rsid w:val="00B520B0"/>
    <w:rsid w:val="00B52187"/>
    <w:rsid w:val="00B52380"/>
    <w:rsid w:val="00B523CA"/>
    <w:rsid w:val="00B5259A"/>
    <w:rsid w:val="00B525D8"/>
    <w:rsid w:val="00B527CA"/>
    <w:rsid w:val="00B5285D"/>
    <w:rsid w:val="00B528EC"/>
    <w:rsid w:val="00B52941"/>
    <w:rsid w:val="00B5294D"/>
    <w:rsid w:val="00B52B74"/>
    <w:rsid w:val="00B52BAF"/>
    <w:rsid w:val="00B52D02"/>
    <w:rsid w:val="00B52DDD"/>
    <w:rsid w:val="00B52E52"/>
    <w:rsid w:val="00B53032"/>
    <w:rsid w:val="00B530F2"/>
    <w:rsid w:val="00B533E0"/>
    <w:rsid w:val="00B53725"/>
    <w:rsid w:val="00B539AE"/>
    <w:rsid w:val="00B53D08"/>
    <w:rsid w:val="00B53F54"/>
    <w:rsid w:val="00B540F7"/>
    <w:rsid w:val="00B541AC"/>
    <w:rsid w:val="00B542FE"/>
    <w:rsid w:val="00B54342"/>
    <w:rsid w:val="00B5457B"/>
    <w:rsid w:val="00B547C1"/>
    <w:rsid w:val="00B54888"/>
    <w:rsid w:val="00B54A92"/>
    <w:rsid w:val="00B54B08"/>
    <w:rsid w:val="00B54DE8"/>
    <w:rsid w:val="00B54F64"/>
    <w:rsid w:val="00B55501"/>
    <w:rsid w:val="00B5550C"/>
    <w:rsid w:val="00B556BC"/>
    <w:rsid w:val="00B55705"/>
    <w:rsid w:val="00B55746"/>
    <w:rsid w:val="00B55918"/>
    <w:rsid w:val="00B55AFB"/>
    <w:rsid w:val="00B55B77"/>
    <w:rsid w:val="00B55BA9"/>
    <w:rsid w:val="00B55E05"/>
    <w:rsid w:val="00B55EFE"/>
    <w:rsid w:val="00B55FA9"/>
    <w:rsid w:val="00B56065"/>
    <w:rsid w:val="00B56115"/>
    <w:rsid w:val="00B5645E"/>
    <w:rsid w:val="00B565BC"/>
    <w:rsid w:val="00B56621"/>
    <w:rsid w:val="00B56717"/>
    <w:rsid w:val="00B56754"/>
    <w:rsid w:val="00B567FD"/>
    <w:rsid w:val="00B5695B"/>
    <w:rsid w:val="00B56980"/>
    <w:rsid w:val="00B569E4"/>
    <w:rsid w:val="00B56B70"/>
    <w:rsid w:val="00B56CFC"/>
    <w:rsid w:val="00B56DDD"/>
    <w:rsid w:val="00B56F44"/>
    <w:rsid w:val="00B5722D"/>
    <w:rsid w:val="00B57258"/>
    <w:rsid w:val="00B57525"/>
    <w:rsid w:val="00B575C7"/>
    <w:rsid w:val="00B57957"/>
    <w:rsid w:val="00B57A7E"/>
    <w:rsid w:val="00B57FEF"/>
    <w:rsid w:val="00B57FFA"/>
    <w:rsid w:val="00B5CC28"/>
    <w:rsid w:val="00B60102"/>
    <w:rsid w:val="00B601DE"/>
    <w:rsid w:val="00B601EF"/>
    <w:rsid w:val="00B60580"/>
    <w:rsid w:val="00B60689"/>
    <w:rsid w:val="00B60724"/>
    <w:rsid w:val="00B607BB"/>
    <w:rsid w:val="00B6088E"/>
    <w:rsid w:val="00B609D7"/>
    <w:rsid w:val="00B609DA"/>
    <w:rsid w:val="00B609EE"/>
    <w:rsid w:val="00B60C9A"/>
    <w:rsid w:val="00B60E51"/>
    <w:rsid w:val="00B60E92"/>
    <w:rsid w:val="00B60E94"/>
    <w:rsid w:val="00B60EDF"/>
    <w:rsid w:val="00B61098"/>
    <w:rsid w:val="00B610FB"/>
    <w:rsid w:val="00B61334"/>
    <w:rsid w:val="00B61A06"/>
    <w:rsid w:val="00B61A09"/>
    <w:rsid w:val="00B61B01"/>
    <w:rsid w:val="00B61D82"/>
    <w:rsid w:val="00B62006"/>
    <w:rsid w:val="00B62148"/>
    <w:rsid w:val="00B62178"/>
    <w:rsid w:val="00B621DA"/>
    <w:rsid w:val="00B623A2"/>
    <w:rsid w:val="00B623D3"/>
    <w:rsid w:val="00B624C7"/>
    <w:rsid w:val="00B6264E"/>
    <w:rsid w:val="00B627EE"/>
    <w:rsid w:val="00B62901"/>
    <w:rsid w:val="00B629E0"/>
    <w:rsid w:val="00B62AB7"/>
    <w:rsid w:val="00B62AC5"/>
    <w:rsid w:val="00B62AF9"/>
    <w:rsid w:val="00B62B0B"/>
    <w:rsid w:val="00B62B2C"/>
    <w:rsid w:val="00B62B87"/>
    <w:rsid w:val="00B62C12"/>
    <w:rsid w:val="00B62D0A"/>
    <w:rsid w:val="00B62D37"/>
    <w:rsid w:val="00B62DAA"/>
    <w:rsid w:val="00B62F60"/>
    <w:rsid w:val="00B62F95"/>
    <w:rsid w:val="00B62F9F"/>
    <w:rsid w:val="00B62FDE"/>
    <w:rsid w:val="00B63549"/>
    <w:rsid w:val="00B6359D"/>
    <w:rsid w:val="00B63A04"/>
    <w:rsid w:val="00B63A6B"/>
    <w:rsid w:val="00B63A91"/>
    <w:rsid w:val="00B63BC3"/>
    <w:rsid w:val="00B63C04"/>
    <w:rsid w:val="00B63D0D"/>
    <w:rsid w:val="00B63D66"/>
    <w:rsid w:val="00B63D9D"/>
    <w:rsid w:val="00B63DDA"/>
    <w:rsid w:val="00B63E6A"/>
    <w:rsid w:val="00B640BD"/>
    <w:rsid w:val="00B642D9"/>
    <w:rsid w:val="00B642E1"/>
    <w:rsid w:val="00B6432F"/>
    <w:rsid w:val="00B644BD"/>
    <w:rsid w:val="00B6452F"/>
    <w:rsid w:val="00B6464C"/>
    <w:rsid w:val="00B6467B"/>
    <w:rsid w:val="00B6479A"/>
    <w:rsid w:val="00B6494D"/>
    <w:rsid w:val="00B64A58"/>
    <w:rsid w:val="00B64A5D"/>
    <w:rsid w:val="00B64ABC"/>
    <w:rsid w:val="00B64E7B"/>
    <w:rsid w:val="00B65506"/>
    <w:rsid w:val="00B659DE"/>
    <w:rsid w:val="00B65A2B"/>
    <w:rsid w:val="00B65C21"/>
    <w:rsid w:val="00B65CC6"/>
    <w:rsid w:val="00B65D2D"/>
    <w:rsid w:val="00B65DD3"/>
    <w:rsid w:val="00B65E39"/>
    <w:rsid w:val="00B65FEC"/>
    <w:rsid w:val="00B6601C"/>
    <w:rsid w:val="00B66229"/>
    <w:rsid w:val="00B66262"/>
    <w:rsid w:val="00B662F2"/>
    <w:rsid w:val="00B663B5"/>
    <w:rsid w:val="00B66554"/>
    <w:rsid w:val="00B6663F"/>
    <w:rsid w:val="00B66793"/>
    <w:rsid w:val="00B66C54"/>
    <w:rsid w:val="00B66C6C"/>
    <w:rsid w:val="00B66EF3"/>
    <w:rsid w:val="00B6719B"/>
    <w:rsid w:val="00B6727D"/>
    <w:rsid w:val="00B6743B"/>
    <w:rsid w:val="00B6769F"/>
    <w:rsid w:val="00B676FE"/>
    <w:rsid w:val="00B67773"/>
    <w:rsid w:val="00B677FE"/>
    <w:rsid w:val="00B67816"/>
    <w:rsid w:val="00B67B2A"/>
    <w:rsid w:val="00B67B2C"/>
    <w:rsid w:val="00B67B8B"/>
    <w:rsid w:val="00B67BB5"/>
    <w:rsid w:val="00B67C01"/>
    <w:rsid w:val="00B67CA7"/>
    <w:rsid w:val="00B67CCA"/>
    <w:rsid w:val="00B67DEE"/>
    <w:rsid w:val="00B67F60"/>
    <w:rsid w:val="00B700F6"/>
    <w:rsid w:val="00B7035E"/>
    <w:rsid w:val="00B70364"/>
    <w:rsid w:val="00B7043B"/>
    <w:rsid w:val="00B70483"/>
    <w:rsid w:val="00B70554"/>
    <w:rsid w:val="00B7059C"/>
    <w:rsid w:val="00B705A7"/>
    <w:rsid w:val="00B707CE"/>
    <w:rsid w:val="00B70802"/>
    <w:rsid w:val="00B70904"/>
    <w:rsid w:val="00B709DD"/>
    <w:rsid w:val="00B70A71"/>
    <w:rsid w:val="00B70C2F"/>
    <w:rsid w:val="00B7107D"/>
    <w:rsid w:val="00B710A9"/>
    <w:rsid w:val="00B71250"/>
    <w:rsid w:val="00B71496"/>
    <w:rsid w:val="00B71606"/>
    <w:rsid w:val="00B7169B"/>
    <w:rsid w:val="00B717DE"/>
    <w:rsid w:val="00B71B05"/>
    <w:rsid w:val="00B71B77"/>
    <w:rsid w:val="00B71C45"/>
    <w:rsid w:val="00B71C84"/>
    <w:rsid w:val="00B71CED"/>
    <w:rsid w:val="00B71EF7"/>
    <w:rsid w:val="00B72058"/>
    <w:rsid w:val="00B720DE"/>
    <w:rsid w:val="00B7217C"/>
    <w:rsid w:val="00B723FC"/>
    <w:rsid w:val="00B725AB"/>
    <w:rsid w:val="00B72631"/>
    <w:rsid w:val="00B7269D"/>
    <w:rsid w:val="00B7289E"/>
    <w:rsid w:val="00B728D3"/>
    <w:rsid w:val="00B7297A"/>
    <w:rsid w:val="00B72A69"/>
    <w:rsid w:val="00B72AB9"/>
    <w:rsid w:val="00B72B42"/>
    <w:rsid w:val="00B72BEE"/>
    <w:rsid w:val="00B72D67"/>
    <w:rsid w:val="00B72E42"/>
    <w:rsid w:val="00B72F8C"/>
    <w:rsid w:val="00B72F9B"/>
    <w:rsid w:val="00B7310A"/>
    <w:rsid w:val="00B734E9"/>
    <w:rsid w:val="00B736C1"/>
    <w:rsid w:val="00B737C4"/>
    <w:rsid w:val="00B737E7"/>
    <w:rsid w:val="00B73869"/>
    <w:rsid w:val="00B7391C"/>
    <w:rsid w:val="00B739E1"/>
    <w:rsid w:val="00B73B55"/>
    <w:rsid w:val="00B73B6D"/>
    <w:rsid w:val="00B73BC9"/>
    <w:rsid w:val="00B73CFB"/>
    <w:rsid w:val="00B73D29"/>
    <w:rsid w:val="00B73F83"/>
    <w:rsid w:val="00B74045"/>
    <w:rsid w:val="00B7434D"/>
    <w:rsid w:val="00B743C1"/>
    <w:rsid w:val="00B74431"/>
    <w:rsid w:val="00B744BC"/>
    <w:rsid w:val="00B74584"/>
    <w:rsid w:val="00B74599"/>
    <w:rsid w:val="00B7473F"/>
    <w:rsid w:val="00B749D8"/>
    <w:rsid w:val="00B749DA"/>
    <w:rsid w:val="00B74AAB"/>
    <w:rsid w:val="00B74AB0"/>
    <w:rsid w:val="00B74B44"/>
    <w:rsid w:val="00B74B54"/>
    <w:rsid w:val="00B74D8C"/>
    <w:rsid w:val="00B74EEA"/>
    <w:rsid w:val="00B74F02"/>
    <w:rsid w:val="00B74F0F"/>
    <w:rsid w:val="00B74F62"/>
    <w:rsid w:val="00B74F73"/>
    <w:rsid w:val="00B75176"/>
    <w:rsid w:val="00B75237"/>
    <w:rsid w:val="00B75355"/>
    <w:rsid w:val="00B75459"/>
    <w:rsid w:val="00B755F7"/>
    <w:rsid w:val="00B757AC"/>
    <w:rsid w:val="00B75890"/>
    <w:rsid w:val="00B759BC"/>
    <w:rsid w:val="00B759C4"/>
    <w:rsid w:val="00B759DF"/>
    <w:rsid w:val="00B759F7"/>
    <w:rsid w:val="00B75A56"/>
    <w:rsid w:val="00B75A8D"/>
    <w:rsid w:val="00B75AA4"/>
    <w:rsid w:val="00B76001"/>
    <w:rsid w:val="00B763F7"/>
    <w:rsid w:val="00B76482"/>
    <w:rsid w:val="00B7649E"/>
    <w:rsid w:val="00B76525"/>
    <w:rsid w:val="00B76579"/>
    <w:rsid w:val="00B76611"/>
    <w:rsid w:val="00B7664B"/>
    <w:rsid w:val="00B7680A"/>
    <w:rsid w:val="00B7680C"/>
    <w:rsid w:val="00B768BA"/>
    <w:rsid w:val="00B76B2A"/>
    <w:rsid w:val="00B76BA4"/>
    <w:rsid w:val="00B76CEE"/>
    <w:rsid w:val="00B76ED4"/>
    <w:rsid w:val="00B76F3A"/>
    <w:rsid w:val="00B76F5C"/>
    <w:rsid w:val="00B772F7"/>
    <w:rsid w:val="00B77501"/>
    <w:rsid w:val="00B7793B"/>
    <w:rsid w:val="00B779DF"/>
    <w:rsid w:val="00B77A27"/>
    <w:rsid w:val="00B77A40"/>
    <w:rsid w:val="00B77ADE"/>
    <w:rsid w:val="00B77B30"/>
    <w:rsid w:val="00B77C2A"/>
    <w:rsid w:val="00B77DB3"/>
    <w:rsid w:val="00B77E11"/>
    <w:rsid w:val="00B77ED5"/>
    <w:rsid w:val="00B8011C"/>
    <w:rsid w:val="00B80399"/>
    <w:rsid w:val="00B80633"/>
    <w:rsid w:val="00B80946"/>
    <w:rsid w:val="00B80986"/>
    <w:rsid w:val="00B80B1C"/>
    <w:rsid w:val="00B80B32"/>
    <w:rsid w:val="00B80C3B"/>
    <w:rsid w:val="00B80CC5"/>
    <w:rsid w:val="00B80D59"/>
    <w:rsid w:val="00B80E41"/>
    <w:rsid w:val="00B80FC7"/>
    <w:rsid w:val="00B81173"/>
    <w:rsid w:val="00B8138A"/>
    <w:rsid w:val="00B8140A"/>
    <w:rsid w:val="00B814C9"/>
    <w:rsid w:val="00B814E0"/>
    <w:rsid w:val="00B816E6"/>
    <w:rsid w:val="00B8189E"/>
    <w:rsid w:val="00B819C7"/>
    <w:rsid w:val="00B81A92"/>
    <w:rsid w:val="00B81AF3"/>
    <w:rsid w:val="00B81BB8"/>
    <w:rsid w:val="00B81E90"/>
    <w:rsid w:val="00B8215F"/>
    <w:rsid w:val="00B82178"/>
    <w:rsid w:val="00B8219F"/>
    <w:rsid w:val="00B82210"/>
    <w:rsid w:val="00B823A6"/>
    <w:rsid w:val="00B824AD"/>
    <w:rsid w:val="00B82611"/>
    <w:rsid w:val="00B8262D"/>
    <w:rsid w:val="00B8271A"/>
    <w:rsid w:val="00B82BAA"/>
    <w:rsid w:val="00B82C82"/>
    <w:rsid w:val="00B82F1B"/>
    <w:rsid w:val="00B82FF6"/>
    <w:rsid w:val="00B83051"/>
    <w:rsid w:val="00B83197"/>
    <w:rsid w:val="00B83289"/>
    <w:rsid w:val="00B83395"/>
    <w:rsid w:val="00B837B6"/>
    <w:rsid w:val="00B8388C"/>
    <w:rsid w:val="00B83A68"/>
    <w:rsid w:val="00B83AD5"/>
    <w:rsid w:val="00B83DF1"/>
    <w:rsid w:val="00B83E7A"/>
    <w:rsid w:val="00B83EBF"/>
    <w:rsid w:val="00B83FA1"/>
    <w:rsid w:val="00B84048"/>
    <w:rsid w:val="00B84290"/>
    <w:rsid w:val="00B84703"/>
    <w:rsid w:val="00B849CC"/>
    <w:rsid w:val="00B84AC9"/>
    <w:rsid w:val="00B84CB7"/>
    <w:rsid w:val="00B84EAC"/>
    <w:rsid w:val="00B85228"/>
    <w:rsid w:val="00B85259"/>
    <w:rsid w:val="00B8546B"/>
    <w:rsid w:val="00B855A8"/>
    <w:rsid w:val="00B857F0"/>
    <w:rsid w:val="00B85868"/>
    <w:rsid w:val="00B858B6"/>
    <w:rsid w:val="00B85AC5"/>
    <w:rsid w:val="00B85B7D"/>
    <w:rsid w:val="00B85E67"/>
    <w:rsid w:val="00B86239"/>
    <w:rsid w:val="00B865B5"/>
    <w:rsid w:val="00B869D1"/>
    <w:rsid w:val="00B86D18"/>
    <w:rsid w:val="00B86FB0"/>
    <w:rsid w:val="00B871A4"/>
    <w:rsid w:val="00B8727F"/>
    <w:rsid w:val="00B873EB"/>
    <w:rsid w:val="00B87533"/>
    <w:rsid w:val="00B875DF"/>
    <w:rsid w:val="00B8762A"/>
    <w:rsid w:val="00B87639"/>
    <w:rsid w:val="00B876D9"/>
    <w:rsid w:val="00B87870"/>
    <w:rsid w:val="00B8790F"/>
    <w:rsid w:val="00B87A5D"/>
    <w:rsid w:val="00B87B8B"/>
    <w:rsid w:val="00B87B96"/>
    <w:rsid w:val="00B87C11"/>
    <w:rsid w:val="00B87F50"/>
    <w:rsid w:val="00B87F61"/>
    <w:rsid w:val="00B87FAE"/>
    <w:rsid w:val="00B90106"/>
    <w:rsid w:val="00B9010B"/>
    <w:rsid w:val="00B9040A"/>
    <w:rsid w:val="00B90825"/>
    <w:rsid w:val="00B90D0F"/>
    <w:rsid w:val="00B90E23"/>
    <w:rsid w:val="00B90E7F"/>
    <w:rsid w:val="00B90EFC"/>
    <w:rsid w:val="00B90FCA"/>
    <w:rsid w:val="00B9100C"/>
    <w:rsid w:val="00B91193"/>
    <w:rsid w:val="00B9140E"/>
    <w:rsid w:val="00B91578"/>
    <w:rsid w:val="00B915B8"/>
    <w:rsid w:val="00B91916"/>
    <w:rsid w:val="00B91B56"/>
    <w:rsid w:val="00B91BBE"/>
    <w:rsid w:val="00B91C61"/>
    <w:rsid w:val="00B91D45"/>
    <w:rsid w:val="00B91E43"/>
    <w:rsid w:val="00B91E47"/>
    <w:rsid w:val="00B91EB1"/>
    <w:rsid w:val="00B91F14"/>
    <w:rsid w:val="00B9219B"/>
    <w:rsid w:val="00B92411"/>
    <w:rsid w:val="00B9272B"/>
    <w:rsid w:val="00B927AD"/>
    <w:rsid w:val="00B928EF"/>
    <w:rsid w:val="00B92935"/>
    <w:rsid w:val="00B929EF"/>
    <w:rsid w:val="00B92D01"/>
    <w:rsid w:val="00B92F06"/>
    <w:rsid w:val="00B930BB"/>
    <w:rsid w:val="00B932B3"/>
    <w:rsid w:val="00B93331"/>
    <w:rsid w:val="00B933D7"/>
    <w:rsid w:val="00B9341F"/>
    <w:rsid w:val="00B93483"/>
    <w:rsid w:val="00B9353B"/>
    <w:rsid w:val="00B93595"/>
    <w:rsid w:val="00B9366D"/>
    <w:rsid w:val="00B93683"/>
    <w:rsid w:val="00B936B9"/>
    <w:rsid w:val="00B93790"/>
    <w:rsid w:val="00B93A6B"/>
    <w:rsid w:val="00B93B4F"/>
    <w:rsid w:val="00B93C59"/>
    <w:rsid w:val="00B93C68"/>
    <w:rsid w:val="00B93DB8"/>
    <w:rsid w:val="00B93E5D"/>
    <w:rsid w:val="00B93EAE"/>
    <w:rsid w:val="00B93F01"/>
    <w:rsid w:val="00B93F4C"/>
    <w:rsid w:val="00B9400D"/>
    <w:rsid w:val="00B94141"/>
    <w:rsid w:val="00B941B2"/>
    <w:rsid w:val="00B941B3"/>
    <w:rsid w:val="00B94301"/>
    <w:rsid w:val="00B94515"/>
    <w:rsid w:val="00B9463C"/>
    <w:rsid w:val="00B9496B"/>
    <w:rsid w:val="00B94BE6"/>
    <w:rsid w:val="00B94BFA"/>
    <w:rsid w:val="00B94C15"/>
    <w:rsid w:val="00B94CAB"/>
    <w:rsid w:val="00B94D52"/>
    <w:rsid w:val="00B94E81"/>
    <w:rsid w:val="00B95193"/>
    <w:rsid w:val="00B9521C"/>
    <w:rsid w:val="00B95293"/>
    <w:rsid w:val="00B952E6"/>
    <w:rsid w:val="00B95442"/>
    <w:rsid w:val="00B95543"/>
    <w:rsid w:val="00B9556A"/>
    <w:rsid w:val="00B9563A"/>
    <w:rsid w:val="00B956D2"/>
    <w:rsid w:val="00B95B95"/>
    <w:rsid w:val="00B95BE8"/>
    <w:rsid w:val="00B95C6A"/>
    <w:rsid w:val="00B95CF8"/>
    <w:rsid w:val="00B95D35"/>
    <w:rsid w:val="00B95F1B"/>
    <w:rsid w:val="00B95FEC"/>
    <w:rsid w:val="00B96028"/>
    <w:rsid w:val="00B96099"/>
    <w:rsid w:val="00B960A0"/>
    <w:rsid w:val="00B9610B"/>
    <w:rsid w:val="00B96169"/>
    <w:rsid w:val="00B96310"/>
    <w:rsid w:val="00B96328"/>
    <w:rsid w:val="00B9664C"/>
    <w:rsid w:val="00B967FB"/>
    <w:rsid w:val="00B96809"/>
    <w:rsid w:val="00B96CA1"/>
    <w:rsid w:val="00B970B6"/>
    <w:rsid w:val="00B970CE"/>
    <w:rsid w:val="00B973C5"/>
    <w:rsid w:val="00B97447"/>
    <w:rsid w:val="00B97501"/>
    <w:rsid w:val="00B9780E"/>
    <w:rsid w:val="00B97833"/>
    <w:rsid w:val="00B979BC"/>
    <w:rsid w:val="00B97A1A"/>
    <w:rsid w:val="00B97C03"/>
    <w:rsid w:val="00B97D58"/>
    <w:rsid w:val="00B97E2C"/>
    <w:rsid w:val="00B97E3D"/>
    <w:rsid w:val="00BA028E"/>
    <w:rsid w:val="00BA05B6"/>
    <w:rsid w:val="00BA060D"/>
    <w:rsid w:val="00BA0638"/>
    <w:rsid w:val="00BA0669"/>
    <w:rsid w:val="00BA07A0"/>
    <w:rsid w:val="00BA0925"/>
    <w:rsid w:val="00BA09DA"/>
    <w:rsid w:val="00BA0A55"/>
    <w:rsid w:val="00BA0CA4"/>
    <w:rsid w:val="00BA0CDE"/>
    <w:rsid w:val="00BA0CE7"/>
    <w:rsid w:val="00BA0D43"/>
    <w:rsid w:val="00BA0E04"/>
    <w:rsid w:val="00BA0EA0"/>
    <w:rsid w:val="00BA1067"/>
    <w:rsid w:val="00BA117F"/>
    <w:rsid w:val="00BA1186"/>
    <w:rsid w:val="00BA13E9"/>
    <w:rsid w:val="00BA13F5"/>
    <w:rsid w:val="00BA1536"/>
    <w:rsid w:val="00BA1813"/>
    <w:rsid w:val="00BA1849"/>
    <w:rsid w:val="00BA189B"/>
    <w:rsid w:val="00BA198F"/>
    <w:rsid w:val="00BA1BB5"/>
    <w:rsid w:val="00BA1E59"/>
    <w:rsid w:val="00BA1F44"/>
    <w:rsid w:val="00BA2015"/>
    <w:rsid w:val="00BA211E"/>
    <w:rsid w:val="00BA213A"/>
    <w:rsid w:val="00BA22F7"/>
    <w:rsid w:val="00BA234F"/>
    <w:rsid w:val="00BA24B3"/>
    <w:rsid w:val="00BA2663"/>
    <w:rsid w:val="00BA28DD"/>
    <w:rsid w:val="00BA2B6E"/>
    <w:rsid w:val="00BA2BA4"/>
    <w:rsid w:val="00BA2D43"/>
    <w:rsid w:val="00BA2EC8"/>
    <w:rsid w:val="00BA2FB5"/>
    <w:rsid w:val="00BA31A1"/>
    <w:rsid w:val="00BA3234"/>
    <w:rsid w:val="00BA34BD"/>
    <w:rsid w:val="00BA3704"/>
    <w:rsid w:val="00BA3A4D"/>
    <w:rsid w:val="00BA3C07"/>
    <w:rsid w:val="00BA3CDE"/>
    <w:rsid w:val="00BA3DCB"/>
    <w:rsid w:val="00BA3E08"/>
    <w:rsid w:val="00BA3E1A"/>
    <w:rsid w:val="00BA3E58"/>
    <w:rsid w:val="00BA40D0"/>
    <w:rsid w:val="00BA40E5"/>
    <w:rsid w:val="00BA4274"/>
    <w:rsid w:val="00BA441B"/>
    <w:rsid w:val="00BA4478"/>
    <w:rsid w:val="00BA4515"/>
    <w:rsid w:val="00BA4525"/>
    <w:rsid w:val="00BA47B5"/>
    <w:rsid w:val="00BA47D9"/>
    <w:rsid w:val="00BA482F"/>
    <w:rsid w:val="00BA4841"/>
    <w:rsid w:val="00BA487F"/>
    <w:rsid w:val="00BA4E2C"/>
    <w:rsid w:val="00BA4EAC"/>
    <w:rsid w:val="00BA4ED6"/>
    <w:rsid w:val="00BA4F7E"/>
    <w:rsid w:val="00BA5152"/>
    <w:rsid w:val="00BA5215"/>
    <w:rsid w:val="00BA52BF"/>
    <w:rsid w:val="00BA5302"/>
    <w:rsid w:val="00BA53A0"/>
    <w:rsid w:val="00BA554B"/>
    <w:rsid w:val="00BA5588"/>
    <w:rsid w:val="00BA5643"/>
    <w:rsid w:val="00BA5653"/>
    <w:rsid w:val="00BA599F"/>
    <w:rsid w:val="00BA5A46"/>
    <w:rsid w:val="00BA5ADC"/>
    <w:rsid w:val="00BA5C41"/>
    <w:rsid w:val="00BA5E45"/>
    <w:rsid w:val="00BA5F2E"/>
    <w:rsid w:val="00BA642C"/>
    <w:rsid w:val="00BA6563"/>
    <w:rsid w:val="00BA66DE"/>
    <w:rsid w:val="00BA6858"/>
    <w:rsid w:val="00BA69AA"/>
    <w:rsid w:val="00BA69F2"/>
    <w:rsid w:val="00BA6AA1"/>
    <w:rsid w:val="00BA6B38"/>
    <w:rsid w:val="00BA6B66"/>
    <w:rsid w:val="00BA6DA2"/>
    <w:rsid w:val="00BA6EBB"/>
    <w:rsid w:val="00BA6EEE"/>
    <w:rsid w:val="00BA6F39"/>
    <w:rsid w:val="00BA6FB4"/>
    <w:rsid w:val="00BA7054"/>
    <w:rsid w:val="00BA70FD"/>
    <w:rsid w:val="00BA717E"/>
    <w:rsid w:val="00BA732B"/>
    <w:rsid w:val="00BA7393"/>
    <w:rsid w:val="00BA73A0"/>
    <w:rsid w:val="00BA740A"/>
    <w:rsid w:val="00BA743F"/>
    <w:rsid w:val="00BA772A"/>
    <w:rsid w:val="00BA7A0E"/>
    <w:rsid w:val="00BA7A88"/>
    <w:rsid w:val="00BA7BBC"/>
    <w:rsid w:val="00BA7D7F"/>
    <w:rsid w:val="00BA7F0E"/>
    <w:rsid w:val="00BB0189"/>
    <w:rsid w:val="00BB01C5"/>
    <w:rsid w:val="00BB0711"/>
    <w:rsid w:val="00BB080F"/>
    <w:rsid w:val="00BB0A05"/>
    <w:rsid w:val="00BB0BA5"/>
    <w:rsid w:val="00BB0CED"/>
    <w:rsid w:val="00BB0FDA"/>
    <w:rsid w:val="00BB0FDD"/>
    <w:rsid w:val="00BB128C"/>
    <w:rsid w:val="00BB149E"/>
    <w:rsid w:val="00BB1589"/>
    <w:rsid w:val="00BB15FB"/>
    <w:rsid w:val="00BB1B19"/>
    <w:rsid w:val="00BB1B6F"/>
    <w:rsid w:val="00BB1BB5"/>
    <w:rsid w:val="00BB1C2D"/>
    <w:rsid w:val="00BB1C41"/>
    <w:rsid w:val="00BB1ECD"/>
    <w:rsid w:val="00BB1F20"/>
    <w:rsid w:val="00BB2089"/>
    <w:rsid w:val="00BB20EC"/>
    <w:rsid w:val="00BB211B"/>
    <w:rsid w:val="00BB22BF"/>
    <w:rsid w:val="00BB22C2"/>
    <w:rsid w:val="00BB25AA"/>
    <w:rsid w:val="00BB25DF"/>
    <w:rsid w:val="00BB265C"/>
    <w:rsid w:val="00BB29C4"/>
    <w:rsid w:val="00BB2C89"/>
    <w:rsid w:val="00BB2FC9"/>
    <w:rsid w:val="00BB31A5"/>
    <w:rsid w:val="00BB31B3"/>
    <w:rsid w:val="00BB3468"/>
    <w:rsid w:val="00BB3635"/>
    <w:rsid w:val="00BB369C"/>
    <w:rsid w:val="00BB3C20"/>
    <w:rsid w:val="00BB3EC9"/>
    <w:rsid w:val="00BB3F79"/>
    <w:rsid w:val="00BB3F88"/>
    <w:rsid w:val="00BB3FEC"/>
    <w:rsid w:val="00BB4019"/>
    <w:rsid w:val="00BB4147"/>
    <w:rsid w:val="00BB417D"/>
    <w:rsid w:val="00BB41F5"/>
    <w:rsid w:val="00BB421A"/>
    <w:rsid w:val="00BB45CA"/>
    <w:rsid w:val="00BB4637"/>
    <w:rsid w:val="00BB464C"/>
    <w:rsid w:val="00BB46A8"/>
    <w:rsid w:val="00BB475B"/>
    <w:rsid w:val="00BB47E8"/>
    <w:rsid w:val="00BB4804"/>
    <w:rsid w:val="00BB487A"/>
    <w:rsid w:val="00BB4981"/>
    <w:rsid w:val="00BB4AC4"/>
    <w:rsid w:val="00BB4AE3"/>
    <w:rsid w:val="00BB4B8E"/>
    <w:rsid w:val="00BB4C24"/>
    <w:rsid w:val="00BB4C38"/>
    <w:rsid w:val="00BB4CD9"/>
    <w:rsid w:val="00BB4D0E"/>
    <w:rsid w:val="00BB52EA"/>
    <w:rsid w:val="00BB549B"/>
    <w:rsid w:val="00BB54A9"/>
    <w:rsid w:val="00BB55DF"/>
    <w:rsid w:val="00BB5622"/>
    <w:rsid w:val="00BB57F9"/>
    <w:rsid w:val="00BB5926"/>
    <w:rsid w:val="00BB5A8D"/>
    <w:rsid w:val="00BB5AB3"/>
    <w:rsid w:val="00BB5B8B"/>
    <w:rsid w:val="00BB5D03"/>
    <w:rsid w:val="00BB5D35"/>
    <w:rsid w:val="00BB5F0B"/>
    <w:rsid w:val="00BB60B4"/>
    <w:rsid w:val="00BB611D"/>
    <w:rsid w:val="00BB6243"/>
    <w:rsid w:val="00BB633F"/>
    <w:rsid w:val="00BB63F3"/>
    <w:rsid w:val="00BB663E"/>
    <w:rsid w:val="00BB66E0"/>
    <w:rsid w:val="00BB6847"/>
    <w:rsid w:val="00BB68F4"/>
    <w:rsid w:val="00BB6924"/>
    <w:rsid w:val="00BB6925"/>
    <w:rsid w:val="00BB6936"/>
    <w:rsid w:val="00BB696C"/>
    <w:rsid w:val="00BB6AD3"/>
    <w:rsid w:val="00BB6B0E"/>
    <w:rsid w:val="00BB6C72"/>
    <w:rsid w:val="00BB6CC8"/>
    <w:rsid w:val="00BB6D17"/>
    <w:rsid w:val="00BB6D50"/>
    <w:rsid w:val="00BB6D8B"/>
    <w:rsid w:val="00BB7429"/>
    <w:rsid w:val="00BB76CB"/>
    <w:rsid w:val="00BB781B"/>
    <w:rsid w:val="00BB789F"/>
    <w:rsid w:val="00BB7D3B"/>
    <w:rsid w:val="00BB7DFD"/>
    <w:rsid w:val="00BB7E12"/>
    <w:rsid w:val="00BB7E3D"/>
    <w:rsid w:val="00BB7E8E"/>
    <w:rsid w:val="00BB7FB6"/>
    <w:rsid w:val="00BC005B"/>
    <w:rsid w:val="00BC0299"/>
    <w:rsid w:val="00BC034C"/>
    <w:rsid w:val="00BC03DA"/>
    <w:rsid w:val="00BC0535"/>
    <w:rsid w:val="00BC05ED"/>
    <w:rsid w:val="00BC06AC"/>
    <w:rsid w:val="00BC06B6"/>
    <w:rsid w:val="00BC0981"/>
    <w:rsid w:val="00BC0A98"/>
    <w:rsid w:val="00BC0B8E"/>
    <w:rsid w:val="00BC0CA5"/>
    <w:rsid w:val="00BC0D8A"/>
    <w:rsid w:val="00BC0DE3"/>
    <w:rsid w:val="00BC0EEE"/>
    <w:rsid w:val="00BC0F8E"/>
    <w:rsid w:val="00BC0F94"/>
    <w:rsid w:val="00BC1130"/>
    <w:rsid w:val="00BC1172"/>
    <w:rsid w:val="00BC124F"/>
    <w:rsid w:val="00BC12C8"/>
    <w:rsid w:val="00BC16D7"/>
    <w:rsid w:val="00BC19ED"/>
    <w:rsid w:val="00BC1D8B"/>
    <w:rsid w:val="00BC1F5D"/>
    <w:rsid w:val="00BC2204"/>
    <w:rsid w:val="00BC2228"/>
    <w:rsid w:val="00BC264A"/>
    <w:rsid w:val="00BC26D2"/>
    <w:rsid w:val="00BC26E3"/>
    <w:rsid w:val="00BC272A"/>
    <w:rsid w:val="00BC289B"/>
    <w:rsid w:val="00BC29D2"/>
    <w:rsid w:val="00BC2BC2"/>
    <w:rsid w:val="00BC2C89"/>
    <w:rsid w:val="00BC2CAB"/>
    <w:rsid w:val="00BC3004"/>
    <w:rsid w:val="00BC33B4"/>
    <w:rsid w:val="00BC3497"/>
    <w:rsid w:val="00BC34A1"/>
    <w:rsid w:val="00BC35C5"/>
    <w:rsid w:val="00BC35F3"/>
    <w:rsid w:val="00BC38C3"/>
    <w:rsid w:val="00BC39F7"/>
    <w:rsid w:val="00BC3A13"/>
    <w:rsid w:val="00BC3BA5"/>
    <w:rsid w:val="00BC3BDB"/>
    <w:rsid w:val="00BC3CC9"/>
    <w:rsid w:val="00BC3D90"/>
    <w:rsid w:val="00BC3DCC"/>
    <w:rsid w:val="00BC3F3A"/>
    <w:rsid w:val="00BC3FB1"/>
    <w:rsid w:val="00BC43ED"/>
    <w:rsid w:val="00BC485F"/>
    <w:rsid w:val="00BC49EC"/>
    <w:rsid w:val="00BC4AD8"/>
    <w:rsid w:val="00BC4AF9"/>
    <w:rsid w:val="00BC4C90"/>
    <w:rsid w:val="00BC4FBD"/>
    <w:rsid w:val="00BC5545"/>
    <w:rsid w:val="00BC5548"/>
    <w:rsid w:val="00BC55DA"/>
    <w:rsid w:val="00BC5635"/>
    <w:rsid w:val="00BC565E"/>
    <w:rsid w:val="00BC5708"/>
    <w:rsid w:val="00BC57E6"/>
    <w:rsid w:val="00BC583F"/>
    <w:rsid w:val="00BC59B5"/>
    <w:rsid w:val="00BC5AE2"/>
    <w:rsid w:val="00BC5D37"/>
    <w:rsid w:val="00BC5D51"/>
    <w:rsid w:val="00BC6460"/>
    <w:rsid w:val="00BC650D"/>
    <w:rsid w:val="00BC66C0"/>
    <w:rsid w:val="00BC6817"/>
    <w:rsid w:val="00BC70B8"/>
    <w:rsid w:val="00BC7299"/>
    <w:rsid w:val="00BC7385"/>
    <w:rsid w:val="00BC73ED"/>
    <w:rsid w:val="00BC73F3"/>
    <w:rsid w:val="00BC74D6"/>
    <w:rsid w:val="00BC756F"/>
    <w:rsid w:val="00BC7651"/>
    <w:rsid w:val="00BC7842"/>
    <w:rsid w:val="00BC795D"/>
    <w:rsid w:val="00BC7AB7"/>
    <w:rsid w:val="00BC7CC6"/>
    <w:rsid w:val="00BC7CF2"/>
    <w:rsid w:val="00BC7E4E"/>
    <w:rsid w:val="00BD0058"/>
    <w:rsid w:val="00BD0302"/>
    <w:rsid w:val="00BD0372"/>
    <w:rsid w:val="00BD0645"/>
    <w:rsid w:val="00BD07D1"/>
    <w:rsid w:val="00BD088A"/>
    <w:rsid w:val="00BD0892"/>
    <w:rsid w:val="00BD0924"/>
    <w:rsid w:val="00BD09B0"/>
    <w:rsid w:val="00BD0B11"/>
    <w:rsid w:val="00BD0C41"/>
    <w:rsid w:val="00BD0CB5"/>
    <w:rsid w:val="00BD1067"/>
    <w:rsid w:val="00BD1081"/>
    <w:rsid w:val="00BD127F"/>
    <w:rsid w:val="00BD14AB"/>
    <w:rsid w:val="00BD14F4"/>
    <w:rsid w:val="00BD1625"/>
    <w:rsid w:val="00BD162E"/>
    <w:rsid w:val="00BD169E"/>
    <w:rsid w:val="00BD16F3"/>
    <w:rsid w:val="00BD173C"/>
    <w:rsid w:val="00BD1A40"/>
    <w:rsid w:val="00BD1AED"/>
    <w:rsid w:val="00BD1CF1"/>
    <w:rsid w:val="00BD1E06"/>
    <w:rsid w:val="00BD1E18"/>
    <w:rsid w:val="00BD1F5F"/>
    <w:rsid w:val="00BD20EF"/>
    <w:rsid w:val="00BD21BB"/>
    <w:rsid w:val="00BD23E8"/>
    <w:rsid w:val="00BD27A8"/>
    <w:rsid w:val="00BD29FA"/>
    <w:rsid w:val="00BD2A73"/>
    <w:rsid w:val="00BD2D1B"/>
    <w:rsid w:val="00BD2D22"/>
    <w:rsid w:val="00BD2DC9"/>
    <w:rsid w:val="00BD2E05"/>
    <w:rsid w:val="00BD2FA1"/>
    <w:rsid w:val="00BD311C"/>
    <w:rsid w:val="00BD3125"/>
    <w:rsid w:val="00BD334C"/>
    <w:rsid w:val="00BD351E"/>
    <w:rsid w:val="00BD368B"/>
    <w:rsid w:val="00BD3759"/>
    <w:rsid w:val="00BD3791"/>
    <w:rsid w:val="00BD37F9"/>
    <w:rsid w:val="00BD38C2"/>
    <w:rsid w:val="00BD393D"/>
    <w:rsid w:val="00BD3A5C"/>
    <w:rsid w:val="00BD3E7B"/>
    <w:rsid w:val="00BD3F5F"/>
    <w:rsid w:val="00BD40FF"/>
    <w:rsid w:val="00BD426B"/>
    <w:rsid w:val="00BD4336"/>
    <w:rsid w:val="00BD434A"/>
    <w:rsid w:val="00BD43B4"/>
    <w:rsid w:val="00BD4919"/>
    <w:rsid w:val="00BD4AAF"/>
    <w:rsid w:val="00BD4CD8"/>
    <w:rsid w:val="00BD4F83"/>
    <w:rsid w:val="00BD5375"/>
    <w:rsid w:val="00BD5476"/>
    <w:rsid w:val="00BD55B6"/>
    <w:rsid w:val="00BD55C0"/>
    <w:rsid w:val="00BD56A1"/>
    <w:rsid w:val="00BD5A73"/>
    <w:rsid w:val="00BD5B1F"/>
    <w:rsid w:val="00BD5C59"/>
    <w:rsid w:val="00BD5CDB"/>
    <w:rsid w:val="00BD5D13"/>
    <w:rsid w:val="00BD5DDE"/>
    <w:rsid w:val="00BD5ED6"/>
    <w:rsid w:val="00BD5F5F"/>
    <w:rsid w:val="00BD60F8"/>
    <w:rsid w:val="00BD61BB"/>
    <w:rsid w:val="00BD63A6"/>
    <w:rsid w:val="00BD63B8"/>
    <w:rsid w:val="00BD6405"/>
    <w:rsid w:val="00BD64E7"/>
    <w:rsid w:val="00BD66FE"/>
    <w:rsid w:val="00BD6717"/>
    <w:rsid w:val="00BD6732"/>
    <w:rsid w:val="00BD6926"/>
    <w:rsid w:val="00BD6C45"/>
    <w:rsid w:val="00BD6CE6"/>
    <w:rsid w:val="00BD6DBC"/>
    <w:rsid w:val="00BD6E07"/>
    <w:rsid w:val="00BD7359"/>
    <w:rsid w:val="00BD7561"/>
    <w:rsid w:val="00BD75C7"/>
    <w:rsid w:val="00BD774A"/>
    <w:rsid w:val="00BD7849"/>
    <w:rsid w:val="00BD7ACA"/>
    <w:rsid w:val="00BD7B51"/>
    <w:rsid w:val="00BD7BAF"/>
    <w:rsid w:val="00BD7C0B"/>
    <w:rsid w:val="00BD7C7E"/>
    <w:rsid w:val="00BD7CE4"/>
    <w:rsid w:val="00BD7DDE"/>
    <w:rsid w:val="00BD7E21"/>
    <w:rsid w:val="00BD7EED"/>
    <w:rsid w:val="00BE0106"/>
    <w:rsid w:val="00BE0167"/>
    <w:rsid w:val="00BE06D2"/>
    <w:rsid w:val="00BE06FA"/>
    <w:rsid w:val="00BE0947"/>
    <w:rsid w:val="00BE09F9"/>
    <w:rsid w:val="00BE0A9B"/>
    <w:rsid w:val="00BE0CD8"/>
    <w:rsid w:val="00BE0D4C"/>
    <w:rsid w:val="00BE1125"/>
    <w:rsid w:val="00BE1270"/>
    <w:rsid w:val="00BE139D"/>
    <w:rsid w:val="00BE15AC"/>
    <w:rsid w:val="00BE196E"/>
    <w:rsid w:val="00BE1B70"/>
    <w:rsid w:val="00BE1CEF"/>
    <w:rsid w:val="00BE1F27"/>
    <w:rsid w:val="00BE1FBF"/>
    <w:rsid w:val="00BE2287"/>
    <w:rsid w:val="00BE2288"/>
    <w:rsid w:val="00BE22A4"/>
    <w:rsid w:val="00BE231A"/>
    <w:rsid w:val="00BE25A8"/>
    <w:rsid w:val="00BE25C9"/>
    <w:rsid w:val="00BE2650"/>
    <w:rsid w:val="00BE2671"/>
    <w:rsid w:val="00BE282B"/>
    <w:rsid w:val="00BE283E"/>
    <w:rsid w:val="00BE29BF"/>
    <w:rsid w:val="00BE29D5"/>
    <w:rsid w:val="00BE2C6C"/>
    <w:rsid w:val="00BE2DF9"/>
    <w:rsid w:val="00BE2E35"/>
    <w:rsid w:val="00BE30DA"/>
    <w:rsid w:val="00BE30EF"/>
    <w:rsid w:val="00BE3390"/>
    <w:rsid w:val="00BE33D0"/>
    <w:rsid w:val="00BE3522"/>
    <w:rsid w:val="00BE37C1"/>
    <w:rsid w:val="00BE3862"/>
    <w:rsid w:val="00BE3894"/>
    <w:rsid w:val="00BE3946"/>
    <w:rsid w:val="00BE399A"/>
    <w:rsid w:val="00BE3A48"/>
    <w:rsid w:val="00BE3B56"/>
    <w:rsid w:val="00BE3DF2"/>
    <w:rsid w:val="00BE3E5A"/>
    <w:rsid w:val="00BE4059"/>
    <w:rsid w:val="00BE40A5"/>
    <w:rsid w:val="00BE41AB"/>
    <w:rsid w:val="00BE42CC"/>
    <w:rsid w:val="00BE4413"/>
    <w:rsid w:val="00BE448D"/>
    <w:rsid w:val="00BE4775"/>
    <w:rsid w:val="00BE4839"/>
    <w:rsid w:val="00BE4855"/>
    <w:rsid w:val="00BE4946"/>
    <w:rsid w:val="00BE4C0A"/>
    <w:rsid w:val="00BE4CBF"/>
    <w:rsid w:val="00BE4CD0"/>
    <w:rsid w:val="00BE4CF3"/>
    <w:rsid w:val="00BE4E3F"/>
    <w:rsid w:val="00BE4F59"/>
    <w:rsid w:val="00BE4FE7"/>
    <w:rsid w:val="00BE502A"/>
    <w:rsid w:val="00BE589A"/>
    <w:rsid w:val="00BE5B92"/>
    <w:rsid w:val="00BE5BED"/>
    <w:rsid w:val="00BE5C4F"/>
    <w:rsid w:val="00BE5CDC"/>
    <w:rsid w:val="00BE5D44"/>
    <w:rsid w:val="00BE5F60"/>
    <w:rsid w:val="00BE5F94"/>
    <w:rsid w:val="00BE602D"/>
    <w:rsid w:val="00BE605B"/>
    <w:rsid w:val="00BE6352"/>
    <w:rsid w:val="00BE6431"/>
    <w:rsid w:val="00BE66D5"/>
    <w:rsid w:val="00BE67A8"/>
    <w:rsid w:val="00BE68D2"/>
    <w:rsid w:val="00BE6A8B"/>
    <w:rsid w:val="00BE6B04"/>
    <w:rsid w:val="00BE6BC0"/>
    <w:rsid w:val="00BE6BD0"/>
    <w:rsid w:val="00BE6DF2"/>
    <w:rsid w:val="00BE6F69"/>
    <w:rsid w:val="00BE6F81"/>
    <w:rsid w:val="00BE7248"/>
    <w:rsid w:val="00BE73F2"/>
    <w:rsid w:val="00BE74AF"/>
    <w:rsid w:val="00BE75DA"/>
    <w:rsid w:val="00BE75FE"/>
    <w:rsid w:val="00BE7964"/>
    <w:rsid w:val="00BE7C07"/>
    <w:rsid w:val="00BE7D65"/>
    <w:rsid w:val="00BF003D"/>
    <w:rsid w:val="00BF0168"/>
    <w:rsid w:val="00BF035A"/>
    <w:rsid w:val="00BF0512"/>
    <w:rsid w:val="00BF0529"/>
    <w:rsid w:val="00BF056C"/>
    <w:rsid w:val="00BF06BF"/>
    <w:rsid w:val="00BF0775"/>
    <w:rsid w:val="00BF08EC"/>
    <w:rsid w:val="00BF096E"/>
    <w:rsid w:val="00BF09F5"/>
    <w:rsid w:val="00BF0E6D"/>
    <w:rsid w:val="00BF0E8B"/>
    <w:rsid w:val="00BF10F3"/>
    <w:rsid w:val="00BF10FB"/>
    <w:rsid w:val="00BF117E"/>
    <w:rsid w:val="00BF1D09"/>
    <w:rsid w:val="00BF1E3C"/>
    <w:rsid w:val="00BF1EF3"/>
    <w:rsid w:val="00BF1F15"/>
    <w:rsid w:val="00BF2152"/>
    <w:rsid w:val="00BF24D7"/>
    <w:rsid w:val="00BF277F"/>
    <w:rsid w:val="00BF2791"/>
    <w:rsid w:val="00BF2958"/>
    <w:rsid w:val="00BF2B86"/>
    <w:rsid w:val="00BF2C07"/>
    <w:rsid w:val="00BF2D6A"/>
    <w:rsid w:val="00BF2EBE"/>
    <w:rsid w:val="00BF2F3F"/>
    <w:rsid w:val="00BF30AD"/>
    <w:rsid w:val="00BF3121"/>
    <w:rsid w:val="00BF31B1"/>
    <w:rsid w:val="00BF3382"/>
    <w:rsid w:val="00BF358A"/>
    <w:rsid w:val="00BF35BF"/>
    <w:rsid w:val="00BF3667"/>
    <w:rsid w:val="00BF3A82"/>
    <w:rsid w:val="00BF3B5A"/>
    <w:rsid w:val="00BF3C09"/>
    <w:rsid w:val="00BF3D41"/>
    <w:rsid w:val="00BF4123"/>
    <w:rsid w:val="00BF4169"/>
    <w:rsid w:val="00BF426E"/>
    <w:rsid w:val="00BF42D1"/>
    <w:rsid w:val="00BF4348"/>
    <w:rsid w:val="00BF43EE"/>
    <w:rsid w:val="00BF4490"/>
    <w:rsid w:val="00BF4557"/>
    <w:rsid w:val="00BF45E0"/>
    <w:rsid w:val="00BF49F8"/>
    <w:rsid w:val="00BF4C8E"/>
    <w:rsid w:val="00BF4E09"/>
    <w:rsid w:val="00BF4F43"/>
    <w:rsid w:val="00BF4F55"/>
    <w:rsid w:val="00BF5001"/>
    <w:rsid w:val="00BF51B6"/>
    <w:rsid w:val="00BF5352"/>
    <w:rsid w:val="00BF559E"/>
    <w:rsid w:val="00BF584D"/>
    <w:rsid w:val="00BF5A4D"/>
    <w:rsid w:val="00BF5BA5"/>
    <w:rsid w:val="00BF5C3C"/>
    <w:rsid w:val="00BF5D26"/>
    <w:rsid w:val="00BF5D28"/>
    <w:rsid w:val="00BF5E5B"/>
    <w:rsid w:val="00BF5F0F"/>
    <w:rsid w:val="00BF6132"/>
    <w:rsid w:val="00BF6397"/>
    <w:rsid w:val="00BF63EE"/>
    <w:rsid w:val="00BF6AAD"/>
    <w:rsid w:val="00BF6AFA"/>
    <w:rsid w:val="00BF6B51"/>
    <w:rsid w:val="00BF6D75"/>
    <w:rsid w:val="00BF7126"/>
    <w:rsid w:val="00BF7182"/>
    <w:rsid w:val="00BF72A2"/>
    <w:rsid w:val="00BF732E"/>
    <w:rsid w:val="00BF7484"/>
    <w:rsid w:val="00BF7795"/>
    <w:rsid w:val="00BF7DD8"/>
    <w:rsid w:val="00BF7EA5"/>
    <w:rsid w:val="00BF7F56"/>
    <w:rsid w:val="00BF7F7F"/>
    <w:rsid w:val="00C001FC"/>
    <w:rsid w:val="00C0020A"/>
    <w:rsid w:val="00C0026E"/>
    <w:rsid w:val="00C0035A"/>
    <w:rsid w:val="00C003B7"/>
    <w:rsid w:val="00C0057B"/>
    <w:rsid w:val="00C00611"/>
    <w:rsid w:val="00C006E8"/>
    <w:rsid w:val="00C007A0"/>
    <w:rsid w:val="00C00836"/>
    <w:rsid w:val="00C0083A"/>
    <w:rsid w:val="00C008C4"/>
    <w:rsid w:val="00C00B31"/>
    <w:rsid w:val="00C00D9B"/>
    <w:rsid w:val="00C00DEB"/>
    <w:rsid w:val="00C01042"/>
    <w:rsid w:val="00C012B6"/>
    <w:rsid w:val="00C0135C"/>
    <w:rsid w:val="00C0140B"/>
    <w:rsid w:val="00C0155F"/>
    <w:rsid w:val="00C0158D"/>
    <w:rsid w:val="00C015C4"/>
    <w:rsid w:val="00C018D0"/>
    <w:rsid w:val="00C01944"/>
    <w:rsid w:val="00C01996"/>
    <w:rsid w:val="00C01A69"/>
    <w:rsid w:val="00C01ABA"/>
    <w:rsid w:val="00C01AE1"/>
    <w:rsid w:val="00C01CE3"/>
    <w:rsid w:val="00C01F04"/>
    <w:rsid w:val="00C02250"/>
    <w:rsid w:val="00C022C5"/>
    <w:rsid w:val="00C0237D"/>
    <w:rsid w:val="00C02459"/>
    <w:rsid w:val="00C02471"/>
    <w:rsid w:val="00C0263E"/>
    <w:rsid w:val="00C026AB"/>
    <w:rsid w:val="00C02889"/>
    <w:rsid w:val="00C0295A"/>
    <w:rsid w:val="00C02AC9"/>
    <w:rsid w:val="00C02C83"/>
    <w:rsid w:val="00C02CBA"/>
    <w:rsid w:val="00C02D43"/>
    <w:rsid w:val="00C02ED8"/>
    <w:rsid w:val="00C030FB"/>
    <w:rsid w:val="00C03189"/>
    <w:rsid w:val="00C03516"/>
    <w:rsid w:val="00C03590"/>
    <w:rsid w:val="00C03719"/>
    <w:rsid w:val="00C038BC"/>
    <w:rsid w:val="00C03CEF"/>
    <w:rsid w:val="00C03D4C"/>
    <w:rsid w:val="00C03FA8"/>
    <w:rsid w:val="00C03FAF"/>
    <w:rsid w:val="00C04443"/>
    <w:rsid w:val="00C045E7"/>
    <w:rsid w:val="00C0461A"/>
    <w:rsid w:val="00C0498A"/>
    <w:rsid w:val="00C049BF"/>
    <w:rsid w:val="00C04A47"/>
    <w:rsid w:val="00C04B5C"/>
    <w:rsid w:val="00C04CAC"/>
    <w:rsid w:val="00C04EF4"/>
    <w:rsid w:val="00C04FB1"/>
    <w:rsid w:val="00C04FFA"/>
    <w:rsid w:val="00C050A3"/>
    <w:rsid w:val="00C051C4"/>
    <w:rsid w:val="00C054CF"/>
    <w:rsid w:val="00C05518"/>
    <w:rsid w:val="00C05637"/>
    <w:rsid w:val="00C0582E"/>
    <w:rsid w:val="00C05B99"/>
    <w:rsid w:val="00C060D8"/>
    <w:rsid w:val="00C06114"/>
    <w:rsid w:val="00C0617D"/>
    <w:rsid w:val="00C062DD"/>
    <w:rsid w:val="00C06353"/>
    <w:rsid w:val="00C06557"/>
    <w:rsid w:val="00C065AF"/>
    <w:rsid w:val="00C066E2"/>
    <w:rsid w:val="00C067E3"/>
    <w:rsid w:val="00C06821"/>
    <w:rsid w:val="00C06855"/>
    <w:rsid w:val="00C068F5"/>
    <w:rsid w:val="00C0695C"/>
    <w:rsid w:val="00C069AB"/>
    <w:rsid w:val="00C06A51"/>
    <w:rsid w:val="00C06A8D"/>
    <w:rsid w:val="00C06D8C"/>
    <w:rsid w:val="00C06F3F"/>
    <w:rsid w:val="00C06F48"/>
    <w:rsid w:val="00C07085"/>
    <w:rsid w:val="00C07188"/>
    <w:rsid w:val="00C0719C"/>
    <w:rsid w:val="00C07380"/>
    <w:rsid w:val="00C073D0"/>
    <w:rsid w:val="00C073DB"/>
    <w:rsid w:val="00C074C5"/>
    <w:rsid w:val="00C07544"/>
    <w:rsid w:val="00C075C1"/>
    <w:rsid w:val="00C076C8"/>
    <w:rsid w:val="00C07899"/>
    <w:rsid w:val="00C078F3"/>
    <w:rsid w:val="00C0793B"/>
    <w:rsid w:val="00C0795F"/>
    <w:rsid w:val="00C079D3"/>
    <w:rsid w:val="00C07B26"/>
    <w:rsid w:val="00C07BB6"/>
    <w:rsid w:val="00C07BF1"/>
    <w:rsid w:val="00C07C16"/>
    <w:rsid w:val="00C10092"/>
    <w:rsid w:val="00C100D7"/>
    <w:rsid w:val="00C10174"/>
    <w:rsid w:val="00C10342"/>
    <w:rsid w:val="00C106E3"/>
    <w:rsid w:val="00C107A4"/>
    <w:rsid w:val="00C1092A"/>
    <w:rsid w:val="00C1092C"/>
    <w:rsid w:val="00C10930"/>
    <w:rsid w:val="00C10959"/>
    <w:rsid w:val="00C10AC1"/>
    <w:rsid w:val="00C10AD8"/>
    <w:rsid w:val="00C10ADA"/>
    <w:rsid w:val="00C10BE4"/>
    <w:rsid w:val="00C10C47"/>
    <w:rsid w:val="00C10D1C"/>
    <w:rsid w:val="00C10E1E"/>
    <w:rsid w:val="00C10E34"/>
    <w:rsid w:val="00C11073"/>
    <w:rsid w:val="00C1140E"/>
    <w:rsid w:val="00C11574"/>
    <w:rsid w:val="00C115DB"/>
    <w:rsid w:val="00C11631"/>
    <w:rsid w:val="00C1175E"/>
    <w:rsid w:val="00C11801"/>
    <w:rsid w:val="00C11A5C"/>
    <w:rsid w:val="00C11A91"/>
    <w:rsid w:val="00C11BD8"/>
    <w:rsid w:val="00C11CBD"/>
    <w:rsid w:val="00C11CF6"/>
    <w:rsid w:val="00C11F32"/>
    <w:rsid w:val="00C125A9"/>
    <w:rsid w:val="00C127A7"/>
    <w:rsid w:val="00C127B9"/>
    <w:rsid w:val="00C12C7F"/>
    <w:rsid w:val="00C13047"/>
    <w:rsid w:val="00C1317B"/>
    <w:rsid w:val="00C132B6"/>
    <w:rsid w:val="00C133EF"/>
    <w:rsid w:val="00C134C4"/>
    <w:rsid w:val="00C1397B"/>
    <w:rsid w:val="00C13AA8"/>
    <w:rsid w:val="00C13AB9"/>
    <w:rsid w:val="00C13B29"/>
    <w:rsid w:val="00C13B69"/>
    <w:rsid w:val="00C13C10"/>
    <w:rsid w:val="00C13F39"/>
    <w:rsid w:val="00C13F71"/>
    <w:rsid w:val="00C13F9E"/>
    <w:rsid w:val="00C13FC7"/>
    <w:rsid w:val="00C14263"/>
    <w:rsid w:val="00C143DF"/>
    <w:rsid w:val="00C143F2"/>
    <w:rsid w:val="00C149D8"/>
    <w:rsid w:val="00C14A1B"/>
    <w:rsid w:val="00C14A90"/>
    <w:rsid w:val="00C14B62"/>
    <w:rsid w:val="00C14BFD"/>
    <w:rsid w:val="00C14D03"/>
    <w:rsid w:val="00C14D33"/>
    <w:rsid w:val="00C14DF5"/>
    <w:rsid w:val="00C14F49"/>
    <w:rsid w:val="00C1500A"/>
    <w:rsid w:val="00C150C2"/>
    <w:rsid w:val="00C150FE"/>
    <w:rsid w:val="00C15103"/>
    <w:rsid w:val="00C156C9"/>
    <w:rsid w:val="00C156E4"/>
    <w:rsid w:val="00C157C7"/>
    <w:rsid w:val="00C15980"/>
    <w:rsid w:val="00C159BE"/>
    <w:rsid w:val="00C15C70"/>
    <w:rsid w:val="00C15CA5"/>
    <w:rsid w:val="00C15D31"/>
    <w:rsid w:val="00C15E45"/>
    <w:rsid w:val="00C15EA5"/>
    <w:rsid w:val="00C15F06"/>
    <w:rsid w:val="00C1606C"/>
    <w:rsid w:val="00C1615F"/>
    <w:rsid w:val="00C162D9"/>
    <w:rsid w:val="00C1643D"/>
    <w:rsid w:val="00C16520"/>
    <w:rsid w:val="00C165B5"/>
    <w:rsid w:val="00C166E8"/>
    <w:rsid w:val="00C168C2"/>
    <w:rsid w:val="00C1696A"/>
    <w:rsid w:val="00C16D14"/>
    <w:rsid w:val="00C16DFA"/>
    <w:rsid w:val="00C17284"/>
    <w:rsid w:val="00C17416"/>
    <w:rsid w:val="00C17638"/>
    <w:rsid w:val="00C1776F"/>
    <w:rsid w:val="00C17793"/>
    <w:rsid w:val="00C177BB"/>
    <w:rsid w:val="00C17968"/>
    <w:rsid w:val="00C17B1D"/>
    <w:rsid w:val="00C17C36"/>
    <w:rsid w:val="00C17D62"/>
    <w:rsid w:val="00C17E38"/>
    <w:rsid w:val="00C17E8D"/>
    <w:rsid w:val="00C20111"/>
    <w:rsid w:val="00C201BD"/>
    <w:rsid w:val="00C2022C"/>
    <w:rsid w:val="00C20250"/>
    <w:rsid w:val="00C20285"/>
    <w:rsid w:val="00C20769"/>
    <w:rsid w:val="00C20A09"/>
    <w:rsid w:val="00C20B7A"/>
    <w:rsid w:val="00C20C71"/>
    <w:rsid w:val="00C20D3D"/>
    <w:rsid w:val="00C20F1D"/>
    <w:rsid w:val="00C20FC3"/>
    <w:rsid w:val="00C21002"/>
    <w:rsid w:val="00C2109E"/>
    <w:rsid w:val="00C210F7"/>
    <w:rsid w:val="00C212A0"/>
    <w:rsid w:val="00C213C5"/>
    <w:rsid w:val="00C2145E"/>
    <w:rsid w:val="00C2148B"/>
    <w:rsid w:val="00C214E1"/>
    <w:rsid w:val="00C21589"/>
    <w:rsid w:val="00C21782"/>
    <w:rsid w:val="00C21ABB"/>
    <w:rsid w:val="00C21AD1"/>
    <w:rsid w:val="00C21D89"/>
    <w:rsid w:val="00C21E38"/>
    <w:rsid w:val="00C21F3F"/>
    <w:rsid w:val="00C221B5"/>
    <w:rsid w:val="00C22306"/>
    <w:rsid w:val="00C22439"/>
    <w:rsid w:val="00C22566"/>
    <w:rsid w:val="00C22590"/>
    <w:rsid w:val="00C2267B"/>
    <w:rsid w:val="00C2273A"/>
    <w:rsid w:val="00C2275A"/>
    <w:rsid w:val="00C227D4"/>
    <w:rsid w:val="00C227DC"/>
    <w:rsid w:val="00C22926"/>
    <w:rsid w:val="00C22B4F"/>
    <w:rsid w:val="00C22CF2"/>
    <w:rsid w:val="00C22E9F"/>
    <w:rsid w:val="00C23081"/>
    <w:rsid w:val="00C233C1"/>
    <w:rsid w:val="00C23544"/>
    <w:rsid w:val="00C2395C"/>
    <w:rsid w:val="00C239B5"/>
    <w:rsid w:val="00C23A20"/>
    <w:rsid w:val="00C23A8F"/>
    <w:rsid w:val="00C23AB0"/>
    <w:rsid w:val="00C23D2E"/>
    <w:rsid w:val="00C23F97"/>
    <w:rsid w:val="00C23FB5"/>
    <w:rsid w:val="00C2401F"/>
    <w:rsid w:val="00C2407E"/>
    <w:rsid w:val="00C24119"/>
    <w:rsid w:val="00C241BE"/>
    <w:rsid w:val="00C244CE"/>
    <w:rsid w:val="00C246FF"/>
    <w:rsid w:val="00C247AF"/>
    <w:rsid w:val="00C24834"/>
    <w:rsid w:val="00C24925"/>
    <w:rsid w:val="00C24D2A"/>
    <w:rsid w:val="00C24D4A"/>
    <w:rsid w:val="00C24D98"/>
    <w:rsid w:val="00C24DCE"/>
    <w:rsid w:val="00C250E3"/>
    <w:rsid w:val="00C251A6"/>
    <w:rsid w:val="00C2536F"/>
    <w:rsid w:val="00C25633"/>
    <w:rsid w:val="00C25A91"/>
    <w:rsid w:val="00C25B7C"/>
    <w:rsid w:val="00C25B9C"/>
    <w:rsid w:val="00C25C1D"/>
    <w:rsid w:val="00C25C99"/>
    <w:rsid w:val="00C25CC9"/>
    <w:rsid w:val="00C25E03"/>
    <w:rsid w:val="00C25FB0"/>
    <w:rsid w:val="00C261FA"/>
    <w:rsid w:val="00C2621D"/>
    <w:rsid w:val="00C262E6"/>
    <w:rsid w:val="00C26388"/>
    <w:rsid w:val="00C264A8"/>
    <w:rsid w:val="00C2655A"/>
    <w:rsid w:val="00C26660"/>
    <w:rsid w:val="00C267DC"/>
    <w:rsid w:val="00C26817"/>
    <w:rsid w:val="00C26858"/>
    <w:rsid w:val="00C26944"/>
    <w:rsid w:val="00C269DE"/>
    <w:rsid w:val="00C26AA2"/>
    <w:rsid w:val="00C26AB9"/>
    <w:rsid w:val="00C26B99"/>
    <w:rsid w:val="00C26C7A"/>
    <w:rsid w:val="00C26C93"/>
    <w:rsid w:val="00C26CAA"/>
    <w:rsid w:val="00C26D3F"/>
    <w:rsid w:val="00C26DC6"/>
    <w:rsid w:val="00C26E4B"/>
    <w:rsid w:val="00C27006"/>
    <w:rsid w:val="00C27099"/>
    <w:rsid w:val="00C276ED"/>
    <w:rsid w:val="00C2783B"/>
    <w:rsid w:val="00C279B3"/>
    <w:rsid w:val="00C27A0E"/>
    <w:rsid w:val="00C27ABB"/>
    <w:rsid w:val="00C27BCF"/>
    <w:rsid w:val="00C27D7B"/>
    <w:rsid w:val="00C27E54"/>
    <w:rsid w:val="00C27F88"/>
    <w:rsid w:val="00C2F4F0"/>
    <w:rsid w:val="00C30292"/>
    <w:rsid w:val="00C303CA"/>
    <w:rsid w:val="00C3040E"/>
    <w:rsid w:val="00C3052B"/>
    <w:rsid w:val="00C3064C"/>
    <w:rsid w:val="00C30742"/>
    <w:rsid w:val="00C3086E"/>
    <w:rsid w:val="00C30CA4"/>
    <w:rsid w:val="00C30EAB"/>
    <w:rsid w:val="00C30EB0"/>
    <w:rsid w:val="00C31038"/>
    <w:rsid w:val="00C312F3"/>
    <w:rsid w:val="00C31322"/>
    <w:rsid w:val="00C3138B"/>
    <w:rsid w:val="00C313DC"/>
    <w:rsid w:val="00C31650"/>
    <w:rsid w:val="00C316CB"/>
    <w:rsid w:val="00C31714"/>
    <w:rsid w:val="00C3173F"/>
    <w:rsid w:val="00C317CC"/>
    <w:rsid w:val="00C31819"/>
    <w:rsid w:val="00C319D1"/>
    <w:rsid w:val="00C31A05"/>
    <w:rsid w:val="00C31A32"/>
    <w:rsid w:val="00C31C76"/>
    <w:rsid w:val="00C31D6E"/>
    <w:rsid w:val="00C31DEA"/>
    <w:rsid w:val="00C3211A"/>
    <w:rsid w:val="00C3213A"/>
    <w:rsid w:val="00C3225F"/>
    <w:rsid w:val="00C32276"/>
    <w:rsid w:val="00C32529"/>
    <w:rsid w:val="00C32643"/>
    <w:rsid w:val="00C326EC"/>
    <w:rsid w:val="00C3273D"/>
    <w:rsid w:val="00C328D4"/>
    <w:rsid w:val="00C3294B"/>
    <w:rsid w:val="00C32C87"/>
    <w:rsid w:val="00C32DAA"/>
    <w:rsid w:val="00C32EAB"/>
    <w:rsid w:val="00C33282"/>
    <w:rsid w:val="00C33414"/>
    <w:rsid w:val="00C33530"/>
    <w:rsid w:val="00C33556"/>
    <w:rsid w:val="00C33D4D"/>
    <w:rsid w:val="00C33D6B"/>
    <w:rsid w:val="00C33F03"/>
    <w:rsid w:val="00C33FC2"/>
    <w:rsid w:val="00C34075"/>
    <w:rsid w:val="00C34123"/>
    <w:rsid w:val="00C34176"/>
    <w:rsid w:val="00C3421D"/>
    <w:rsid w:val="00C3471A"/>
    <w:rsid w:val="00C348A2"/>
    <w:rsid w:val="00C34D55"/>
    <w:rsid w:val="00C34E0B"/>
    <w:rsid w:val="00C34E81"/>
    <w:rsid w:val="00C350E0"/>
    <w:rsid w:val="00C35148"/>
    <w:rsid w:val="00C35308"/>
    <w:rsid w:val="00C356EA"/>
    <w:rsid w:val="00C35840"/>
    <w:rsid w:val="00C3596D"/>
    <w:rsid w:val="00C35A0D"/>
    <w:rsid w:val="00C36049"/>
    <w:rsid w:val="00C36156"/>
    <w:rsid w:val="00C36208"/>
    <w:rsid w:val="00C3634A"/>
    <w:rsid w:val="00C36475"/>
    <w:rsid w:val="00C36645"/>
    <w:rsid w:val="00C366A9"/>
    <w:rsid w:val="00C36939"/>
    <w:rsid w:val="00C36A33"/>
    <w:rsid w:val="00C36ADD"/>
    <w:rsid w:val="00C36B5A"/>
    <w:rsid w:val="00C36B64"/>
    <w:rsid w:val="00C36C0C"/>
    <w:rsid w:val="00C36E36"/>
    <w:rsid w:val="00C36E8B"/>
    <w:rsid w:val="00C36E8C"/>
    <w:rsid w:val="00C36EE9"/>
    <w:rsid w:val="00C37509"/>
    <w:rsid w:val="00C37521"/>
    <w:rsid w:val="00C37719"/>
    <w:rsid w:val="00C37723"/>
    <w:rsid w:val="00C377B1"/>
    <w:rsid w:val="00C37A3A"/>
    <w:rsid w:val="00C37AD0"/>
    <w:rsid w:val="00C37AE4"/>
    <w:rsid w:val="00C37B92"/>
    <w:rsid w:val="00C37CFA"/>
    <w:rsid w:val="00C37FEF"/>
    <w:rsid w:val="00C4003C"/>
    <w:rsid w:val="00C405FC"/>
    <w:rsid w:val="00C407D7"/>
    <w:rsid w:val="00C4085C"/>
    <w:rsid w:val="00C40919"/>
    <w:rsid w:val="00C40C77"/>
    <w:rsid w:val="00C40CA3"/>
    <w:rsid w:val="00C40DB4"/>
    <w:rsid w:val="00C40E68"/>
    <w:rsid w:val="00C40F60"/>
    <w:rsid w:val="00C411AA"/>
    <w:rsid w:val="00C41257"/>
    <w:rsid w:val="00C41259"/>
    <w:rsid w:val="00C412FF"/>
    <w:rsid w:val="00C4141A"/>
    <w:rsid w:val="00C41433"/>
    <w:rsid w:val="00C4162A"/>
    <w:rsid w:val="00C4164A"/>
    <w:rsid w:val="00C41735"/>
    <w:rsid w:val="00C417CF"/>
    <w:rsid w:val="00C41E37"/>
    <w:rsid w:val="00C4206D"/>
    <w:rsid w:val="00C42104"/>
    <w:rsid w:val="00C42523"/>
    <w:rsid w:val="00C4252B"/>
    <w:rsid w:val="00C4266B"/>
    <w:rsid w:val="00C42675"/>
    <w:rsid w:val="00C42697"/>
    <w:rsid w:val="00C4283F"/>
    <w:rsid w:val="00C42990"/>
    <w:rsid w:val="00C42B46"/>
    <w:rsid w:val="00C42F06"/>
    <w:rsid w:val="00C43050"/>
    <w:rsid w:val="00C432A2"/>
    <w:rsid w:val="00C43316"/>
    <w:rsid w:val="00C434E1"/>
    <w:rsid w:val="00C435B9"/>
    <w:rsid w:val="00C43A58"/>
    <w:rsid w:val="00C43B11"/>
    <w:rsid w:val="00C43B36"/>
    <w:rsid w:val="00C43C66"/>
    <w:rsid w:val="00C43C95"/>
    <w:rsid w:val="00C43D5E"/>
    <w:rsid w:val="00C43DD5"/>
    <w:rsid w:val="00C43E1A"/>
    <w:rsid w:val="00C43EC4"/>
    <w:rsid w:val="00C43FD2"/>
    <w:rsid w:val="00C44083"/>
    <w:rsid w:val="00C440B8"/>
    <w:rsid w:val="00C4427A"/>
    <w:rsid w:val="00C445D9"/>
    <w:rsid w:val="00C448C7"/>
    <w:rsid w:val="00C44916"/>
    <w:rsid w:val="00C44B79"/>
    <w:rsid w:val="00C44B9E"/>
    <w:rsid w:val="00C44BF5"/>
    <w:rsid w:val="00C44EE1"/>
    <w:rsid w:val="00C45316"/>
    <w:rsid w:val="00C4534E"/>
    <w:rsid w:val="00C45594"/>
    <w:rsid w:val="00C455F8"/>
    <w:rsid w:val="00C45650"/>
    <w:rsid w:val="00C45749"/>
    <w:rsid w:val="00C459C2"/>
    <w:rsid w:val="00C45BF0"/>
    <w:rsid w:val="00C45D8E"/>
    <w:rsid w:val="00C460AB"/>
    <w:rsid w:val="00C460F9"/>
    <w:rsid w:val="00C4613F"/>
    <w:rsid w:val="00C461F3"/>
    <w:rsid w:val="00C46353"/>
    <w:rsid w:val="00C4645C"/>
    <w:rsid w:val="00C4651C"/>
    <w:rsid w:val="00C4652D"/>
    <w:rsid w:val="00C46725"/>
    <w:rsid w:val="00C4692A"/>
    <w:rsid w:val="00C46A66"/>
    <w:rsid w:val="00C46A85"/>
    <w:rsid w:val="00C46BAB"/>
    <w:rsid w:val="00C46F3B"/>
    <w:rsid w:val="00C46F59"/>
    <w:rsid w:val="00C46F66"/>
    <w:rsid w:val="00C4702C"/>
    <w:rsid w:val="00C471C5"/>
    <w:rsid w:val="00C4742C"/>
    <w:rsid w:val="00C47628"/>
    <w:rsid w:val="00C47787"/>
    <w:rsid w:val="00C47790"/>
    <w:rsid w:val="00C47796"/>
    <w:rsid w:val="00C477D7"/>
    <w:rsid w:val="00C4782D"/>
    <w:rsid w:val="00C478A8"/>
    <w:rsid w:val="00C478CB"/>
    <w:rsid w:val="00C47BFF"/>
    <w:rsid w:val="00C47C3B"/>
    <w:rsid w:val="00C47CF4"/>
    <w:rsid w:val="00C47D53"/>
    <w:rsid w:val="00C47E30"/>
    <w:rsid w:val="00C50088"/>
    <w:rsid w:val="00C50093"/>
    <w:rsid w:val="00C501D9"/>
    <w:rsid w:val="00C50217"/>
    <w:rsid w:val="00C502A5"/>
    <w:rsid w:val="00C5036B"/>
    <w:rsid w:val="00C503BC"/>
    <w:rsid w:val="00C503E0"/>
    <w:rsid w:val="00C50707"/>
    <w:rsid w:val="00C50957"/>
    <w:rsid w:val="00C509C3"/>
    <w:rsid w:val="00C509FD"/>
    <w:rsid w:val="00C50B22"/>
    <w:rsid w:val="00C50B44"/>
    <w:rsid w:val="00C50C8E"/>
    <w:rsid w:val="00C50CC9"/>
    <w:rsid w:val="00C50CD7"/>
    <w:rsid w:val="00C50E69"/>
    <w:rsid w:val="00C50F15"/>
    <w:rsid w:val="00C50FE5"/>
    <w:rsid w:val="00C510D0"/>
    <w:rsid w:val="00C5112C"/>
    <w:rsid w:val="00C51137"/>
    <w:rsid w:val="00C5123A"/>
    <w:rsid w:val="00C51267"/>
    <w:rsid w:val="00C51295"/>
    <w:rsid w:val="00C513E7"/>
    <w:rsid w:val="00C51607"/>
    <w:rsid w:val="00C517C9"/>
    <w:rsid w:val="00C5181D"/>
    <w:rsid w:val="00C51887"/>
    <w:rsid w:val="00C518BD"/>
    <w:rsid w:val="00C519F2"/>
    <w:rsid w:val="00C51B0E"/>
    <w:rsid w:val="00C51D49"/>
    <w:rsid w:val="00C51D62"/>
    <w:rsid w:val="00C51FEE"/>
    <w:rsid w:val="00C52176"/>
    <w:rsid w:val="00C5230B"/>
    <w:rsid w:val="00C5233F"/>
    <w:rsid w:val="00C52563"/>
    <w:rsid w:val="00C52578"/>
    <w:rsid w:val="00C525A9"/>
    <w:rsid w:val="00C528A2"/>
    <w:rsid w:val="00C5291F"/>
    <w:rsid w:val="00C52A45"/>
    <w:rsid w:val="00C52B6A"/>
    <w:rsid w:val="00C52BC4"/>
    <w:rsid w:val="00C52C07"/>
    <w:rsid w:val="00C52F86"/>
    <w:rsid w:val="00C52FE4"/>
    <w:rsid w:val="00C53008"/>
    <w:rsid w:val="00C53025"/>
    <w:rsid w:val="00C5306F"/>
    <w:rsid w:val="00C531AC"/>
    <w:rsid w:val="00C53205"/>
    <w:rsid w:val="00C53223"/>
    <w:rsid w:val="00C533E4"/>
    <w:rsid w:val="00C53419"/>
    <w:rsid w:val="00C536D2"/>
    <w:rsid w:val="00C5376D"/>
    <w:rsid w:val="00C538C0"/>
    <w:rsid w:val="00C538F6"/>
    <w:rsid w:val="00C539B2"/>
    <w:rsid w:val="00C539D7"/>
    <w:rsid w:val="00C53AD9"/>
    <w:rsid w:val="00C53DD0"/>
    <w:rsid w:val="00C53F70"/>
    <w:rsid w:val="00C540D6"/>
    <w:rsid w:val="00C54149"/>
    <w:rsid w:val="00C544DB"/>
    <w:rsid w:val="00C544FE"/>
    <w:rsid w:val="00C54500"/>
    <w:rsid w:val="00C54540"/>
    <w:rsid w:val="00C54AE7"/>
    <w:rsid w:val="00C54B96"/>
    <w:rsid w:val="00C54DB6"/>
    <w:rsid w:val="00C54F96"/>
    <w:rsid w:val="00C54FED"/>
    <w:rsid w:val="00C5515B"/>
    <w:rsid w:val="00C552D5"/>
    <w:rsid w:val="00C55525"/>
    <w:rsid w:val="00C55594"/>
    <w:rsid w:val="00C555F0"/>
    <w:rsid w:val="00C5561C"/>
    <w:rsid w:val="00C55936"/>
    <w:rsid w:val="00C55A3A"/>
    <w:rsid w:val="00C55D92"/>
    <w:rsid w:val="00C55F6A"/>
    <w:rsid w:val="00C56207"/>
    <w:rsid w:val="00C562AA"/>
    <w:rsid w:val="00C56685"/>
    <w:rsid w:val="00C566B0"/>
    <w:rsid w:val="00C56758"/>
    <w:rsid w:val="00C5679A"/>
    <w:rsid w:val="00C567BD"/>
    <w:rsid w:val="00C569CE"/>
    <w:rsid w:val="00C56B19"/>
    <w:rsid w:val="00C56B30"/>
    <w:rsid w:val="00C56E52"/>
    <w:rsid w:val="00C56E5E"/>
    <w:rsid w:val="00C571FA"/>
    <w:rsid w:val="00C5722C"/>
    <w:rsid w:val="00C572FC"/>
    <w:rsid w:val="00C57326"/>
    <w:rsid w:val="00C5768B"/>
    <w:rsid w:val="00C57752"/>
    <w:rsid w:val="00C5777C"/>
    <w:rsid w:val="00C57B7F"/>
    <w:rsid w:val="00C57D8D"/>
    <w:rsid w:val="00C601E6"/>
    <w:rsid w:val="00C601EB"/>
    <w:rsid w:val="00C60398"/>
    <w:rsid w:val="00C60416"/>
    <w:rsid w:val="00C60889"/>
    <w:rsid w:val="00C60A0A"/>
    <w:rsid w:val="00C60B16"/>
    <w:rsid w:val="00C60B26"/>
    <w:rsid w:val="00C60B5D"/>
    <w:rsid w:val="00C60DAB"/>
    <w:rsid w:val="00C60F5F"/>
    <w:rsid w:val="00C6104F"/>
    <w:rsid w:val="00C611BC"/>
    <w:rsid w:val="00C613BA"/>
    <w:rsid w:val="00C615E3"/>
    <w:rsid w:val="00C6170F"/>
    <w:rsid w:val="00C61726"/>
    <w:rsid w:val="00C61772"/>
    <w:rsid w:val="00C6178D"/>
    <w:rsid w:val="00C61806"/>
    <w:rsid w:val="00C61AC6"/>
    <w:rsid w:val="00C61B4E"/>
    <w:rsid w:val="00C61C28"/>
    <w:rsid w:val="00C61CE7"/>
    <w:rsid w:val="00C61D6E"/>
    <w:rsid w:val="00C61FA5"/>
    <w:rsid w:val="00C620F8"/>
    <w:rsid w:val="00C62328"/>
    <w:rsid w:val="00C6268D"/>
    <w:rsid w:val="00C62737"/>
    <w:rsid w:val="00C6278E"/>
    <w:rsid w:val="00C62AE0"/>
    <w:rsid w:val="00C62B0A"/>
    <w:rsid w:val="00C62BF0"/>
    <w:rsid w:val="00C62EF2"/>
    <w:rsid w:val="00C634B4"/>
    <w:rsid w:val="00C634CD"/>
    <w:rsid w:val="00C635F4"/>
    <w:rsid w:val="00C63944"/>
    <w:rsid w:val="00C63982"/>
    <w:rsid w:val="00C63BCC"/>
    <w:rsid w:val="00C63DE4"/>
    <w:rsid w:val="00C63ECC"/>
    <w:rsid w:val="00C63F12"/>
    <w:rsid w:val="00C64199"/>
    <w:rsid w:val="00C642F5"/>
    <w:rsid w:val="00C64384"/>
    <w:rsid w:val="00C64401"/>
    <w:rsid w:val="00C645A5"/>
    <w:rsid w:val="00C647DD"/>
    <w:rsid w:val="00C6484A"/>
    <w:rsid w:val="00C64874"/>
    <w:rsid w:val="00C64935"/>
    <w:rsid w:val="00C64997"/>
    <w:rsid w:val="00C64A15"/>
    <w:rsid w:val="00C64AD0"/>
    <w:rsid w:val="00C64BF0"/>
    <w:rsid w:val="00C64D90"/>
    <w:rsid w:val="00C64E1B"/>
    <w:rsid w:val="00C64FD5"/>
    <w:rsid w:val="00C65003"/>
    <w:rsid w:val="00C65055"/>
    <w:rsid w:val="00C65160"/>
    <w:rsid w:val="00C651B5"/>
    <w:rsid w:val="00C651C6"/>
    <w:rsid w:val="00C65261"/>
    <w:rsid w:val="00C652E1"/>
    <w:rsid w:val="00C65449"/>
    <w:rsid w:val="00C6566D"/>
    <w:rsid w:val="00C65932"/>
    <w:rsid w:val="00C65948"/>
    <w:rsid w:val="00C65951"/>
    <w:rsid w:val="00C659AD"/>
    <w:rsid w:val="00C65FCB"/>
    <w:rsid w:val="00C66125"/>
    <w:rsid w:val="00C66168"/>
    <w:rsid w:val="00C6620A"/>
    <w:rsid w:val="00C66250"/>
    <w:rsid w:val="00C6626C"/>
    <w:rsid w:val="00C66272"/>
    <w:rsid w:val="00C6631D"/>
    <w:rsid w:val="00C663C4"/>
    <w:rsid w:val="00C66452"/>
    <w:rsid w:val="00C665A1"/>
    <w:rsid w:val="00C66762"/>
    <w:rsid w:val="00C66902"/>
    <w:rsid w:val="00C6698D"/>
    <w:rsid w:val="00C66C3A"/>
    <w:rsid w:val="00C66EDB"/>
    <w:rsid w:val="00C66F49"/>
    <w:rsid w:val="00C66F71"/>
    <w:rsid w:val="00C66F85"/>
    <w:rsid w:val="00C67084"/>
    <w:rsid w:val="00C671EF"/>
    <w:rsid w:val="00C675F2"/>
    <w:rsid w:val="00C676B9"/>
    <w:rsid w:val="00C676DD"/>
    <w:rsid w:val="00C677C5"/>
    <w:rsid w:val="00C67A78"/>
    <w:rsid w:val="00C67C70"/>
    <w:rsid w:val="00C67D84"/>
    <w:rsid w:val="00C7014E"/>
    <w:rsid w:val="00C70161"/>
    <w:rsid w:val="00C70205"/>
    <w:rsid w:val="00C7030A"/>
    <w:rsid w:val="00C703B9"/>
    <w:rsid w:val="00C706A4"/>
    <w:rsid w:val="00C7070F"/>
    <w:rsid w:val="00C7090A"/>
    <w:rsid w:val="00C70958"/>
    <w:rsid w:val="00C709AE"/>
    <w:rsid w:val="00C709F5"/>
    <w:rsid w:val="00C70B8A"/>
    <w:rsid w:val="00C70C28"/>
    <w:rsid w:val="00C70C38"/>
    <w:rsid w:val="00C70C89"/>
    <w:rsid w:val="00C70ECF"/>
    <w:rsid w:val="00C70F35"/>
    <w:rsid w:val="00C70FCB"/>
    <w:rsid w:val="00C710C4"/>
    <w:rsid w:val="00C711A7"/>
    <w:rsid w:val="00C7128D"/>
    <w:rsid w:val="00C71593"/>
    <w:rsid w:val="00C715C4"/>
    <w:rsid w:val="00C71B21"/>
    <w:rsid w:val="00C71B3A"/>
    <w:rsid w:val="00C71B77"/>
    <w:rsid w:val="00C71BA8"/>
    <w:rsid w:val="00C71C50"/>
    <w:rsid w:val="00C71C58"/>
    <w:rsid w:val="00C71FAF"/>
    <w:rsid w:val="00C7203E"/>
    <w:rsid w:val="00C72067"/>
    <w:rsid w:val="00C72251"/>
    <w:rsid w:val="00C722E5"/>
    <w:rsid w:val="00C7254C"/>
    <w:rsid w:val="00C725FE"/>
    <w:rsid w:val="00C7263A"/>
    <w:rsid w:val="00C72767"/>
    <w:rsid w:val="00C7290F"/>
    <w:rsid w:val="00C72BC8"/>
    <w:rsid w:val="00C72C6F"/>
    <w:rsid w:val="00C72C9F"/>
    <w:rsid w:val="00C72D01"/>
    <w:rsid w:val="00C73037"/>
    <w:rsid w:val="00C73080"/>
    <w:rsid w:val="00C730FC"/>
    <w:rsid w:val="00C7310B"/>
    <w:rsid w:val="00C7361C"/>
    <w:rsid w:val="00C7393A"/>
    <w:rsid w:val="00C739B5"/>
    <w:rsid w:val="00C739F9"/>
    <w:rsid w:val="00C73A01"/>
    <w:rsid w:val="00C73A51"/>
    <w:rsid w:val="00C73B10"/>
    <w:rsid w:val="00C73B5F"/>
    <w:rsid w:val="00C73B89"/>
    <w:rsid w:val="00C73B9F"/>
    <w:rsid w:val="00C73C4A"/>
    <w:rsid w:val="00C73DF1"/>
    <w:rsid w:val="00C73F7D"/>
    <w:rsid w:val="00C73FA1"/>
    <w:rsid w:val="00C74165"/>
    <w:rsid w:val="00C7423B"/>
    <w:rsid w:val="00C747CE"/>
    <w:rsid w:val="00C74883"/>
    <w:rsid w:val="00C74977"/>
    <w:rsid w:val="00C749C3"/>
    <w:rsid w:val="00C749FA"/>
    <w:rsid w:val="00C74BAD"/>
    <w:rsid w:val="00C74BB2"/>
    <w:rsid w:val="00C74BC0"/>
    <w:rsid w:val="00C74C80"/>
    <w:rsid w:val="00C74D1E"/>
    <w:rsid w:val="00C75090"/>
    <w:rsid w:val="00C75181"/>
    <w:rsid w:val="00C751C0"/>
    <w:rsid w:val="00C75220"/>
    <w:rsid w:val="00C75244"/>
    <w:rsid w:val="00C752D2"/>
    <w:rsid w:val="00C756E2"/>
    <w:rsid w:val="00C75833"/>
    <w:rsid w:val="00C75835"/>
    <w:rsid w:val="00C758D0"/>
    <w:rsid w:val="00C75906"/>
    <w:rsid w:val="00C75A4F"/>
    <w:rsid w:val="00C75A91"/>
    <w:rsid w:val="00C75CEA"/>
    <w:rsid w:val="00C75D5D"/>
    <w:rsid w:val="00C75F64"/>
    <w:rsid w:val="00C76099"/>
    <w:rsid w:val="00C761E0"/>
    <w:rsid w:val="00C76268"/>
    <w:rsid w:val="00C763DC"/>
    <w:rsid w:val="00C76414"/>
    <w:rsid w:val="00C7658E"/>
    <w:rsid w:val="00C766FB"/>
    <w:rsid w:val="00C7680C"/>
    <w:rsid w:val="00C768A0"/>
    <w:rsid w:val="00C768F9"/>
    <w:rsid w:val="00C76AC6"/>
    <w:rsid w:val="00C76C62"/>
    <w:rsid w:val="00C76C8F"/>
    <w:rsid w:val="00C76CF6"/>
    <w:rsid w:val="00C7704D"/>
    <w:rsid w:val="00C77213"/>
    <w:rsid w:val="00C7733F"/>
    <w:rsid w:val="00C774EA"/>
    <w:rsid w:val="00C775F6"/>
    <w:rsid w:val="00C7785F"/>
    <w:rsid w:val="00C77C56"/>
    <w:rsid w:val="00C77E50"/>
    <w:rsid w:val="00C77F0A"/>
    <w:rsid w:val="00C80064"/>
    <w:rsid w:val="00C801A3"/>
    <w:rsid w:val="00C801B8"/>
    <w:rsid w:val="00C801CD"/>
    <w:rsid w:val="00C80203"/>
    <w:rsid w:val="00C802C2"/>
    <w:rsid w:val="00C80300"/>
    <w:rsid w:val="00C80379"/>
    <w:rsid w:val="00C80523"/>
    <w:rsid w:val="00C805D0"/>
    <w:rsid w:val="00C80695"/>
    <w:rsid w:val="00C80730"/>
    <w:rsid w:val="00C8073E"/>
    <w:rsid w:val="00C80790"/>
    <w:rsid w:val="00C8079F"/>
    <w:rsid w:val="00C80806"/>
    <w:rsid w:val="00C80825"/>
    <w:rsid w:val="00C808C3"/>
    <w:rsid w:val="00C808CB"/>
    <w:rsid w:val="00C80AFC"/>
    <w:rsid w:val="00C80BE2"/>
    <w:rsid w:val="00C80BF5"/>
    <w:rsid w:val="00C80C3A"/>
    <w:rsid w:val="00C80C9E"/>
    <w:rsid w:val="00C80FF2"/>
    <w:rsid w:val="00C81213"/>
    <w:rsid w:val="00C814B8"/>
    <w:rsid w:val="00C8152E"/>
    <w:rsid w:val="00C8166F"/>
    <w:rsid w:val="00C816B6"/>
    <w:rsid w:val="00C817D0"/>
    <w:rsid w:val="00C818E8"/>
    <w:rsid w:val="00C81913"/>
    <w:rsid w:val="00C819C0"/>
    <w:rsid w:val="00C81B24"/>
    <w:rsid w:val="00C81D1B"/>
    <w:rsid w:val="00C81D30"/>
    <w:rsid w:val="00C81D82"/>
    <w:rsid w:val="00C81DD5"/>
    <w:rsid w:val="00C81FF6"/>
    <w:rsid w:val="00C82041"/>
    <w:rsid w:val="00C82109"/>
    <w:rsid w:val="00C82381"/>
    <w:rsid w:val="00C82710"/>
    <w:rsid w:val="00C8271D"/>
    <w:rsid w:val="00C82941"/>
    <w:rsid w:val="00C82CD8"/>
    <w:rsid w:val="00C82E0F"/>
    <w:rsid w:val="00C82E2A"/>
    <w:rsid w:val="00C82FBE"/>
    <w:rsid w:val="00C8306F"/>
    <w:rsid w:val="00C832F0"/>
    <w:rsid w:val="00C836AC"/>
    <w:rsid w:val="00C83715"/>
    <w:rsid w:val="00C83843"/>
    <w:rsid w:val="00C83854"/>
    <w:rsid w:val="00C839A7"/>
    <w:rsid w:val="00C839BD"/>
    <w:rsid w:val="00C83C2A"/>
    <w:rsid w:val="00C83CAB"/>
    <w:rsid w:val="00C83DA8"/>
    <w:rsid w:val="00C84280"/>
    <w:rsid w:val="00C8446C"/>
    <w:rsid w:val="00C845B2"/>
    <w:rsid w:val="00C846D1"/>
    <w:rsid w:val="00C84952"/>
    <w:rsid w:val="00C84A12"/>
    <w:rsid w:val="00C84A5D"/>
    <w:rsid w:val="00C84B55"/>
    <w:rsid w:val="00C84C67"/>
    <w:rsid w:val="00C84D61"/>
    <w:rsid w:val="00C84D94"/>
    <w:rsid w:val="00C84E7E"/>
    <w:rsid w:val="00C84F79"/>
    <w:rsid w:val="00C8512E"/>
    <w:rsid w:val="00C85274"/>
    <w:rsid w:val="00C854E9"/>
    <w:rsid w:val="00C856E7"/>
    <w:rsid w:val="00C85753"/>
    <w:rsid w:val="00C857AB"/>
    <w:rsid w:val="00C85809"/>
    <w:rsid w:val="00C85829"/>
    <w:rsid w:val="00C858C9"/>
    <w:rsid w:val="00C85907"/>
    <w:rsid w:val="00C8596B"/>
    <w:rsid w:val="00C85AB6"/>
    <w:rsid w:val="00C85B1E"/>
    <w:rsid w:val="00C85F91"/>
    <w:rsid w:val="00C8624B"/>
    <w:rsid w:val="00C86333"/>
    <w:rsid w:val="00C863A9"/>
    <w:rsid w:val="00C86596"/>
    <w:rsid w:val="00C865EA"/>
    <w:rsid w:val="00C86841"/>
    <w:rsid w:val="00C8694E"/>
    <w:rsid w:val="00C8695F"/>
    <w:rsid w:val="00C86A22"/>
    <w:rsid w:val="00C86B00"/>
    <w:rsid w:val="00C86C1A"/>
    <w:rsid w:val="00C86C37"/>
    <w:rsid w:val="00C86C38"/>
    <w:rsid w:val="00C86E15"/>
    <w:rsid w:val="00C86E4E"/>
    <w:rsid w:val="00C871DC"/>
    <w:rsid w:val="00C8725F"/>
    <w:rsid w:val="00C873BA"/>
    <w:rsid w:val="00C8741F"/>
    <w:rsid w:val="00C8747A"/>
    <w:rsid w:val="00C87527"/>
    <w:rsid w:val="00C87634"/>
    <w:rsid w:val="00C8764A"/>
    <w:rsid w:val="00C879D6"/>
    <w:rsid w:val="00C87D46"/>
    <w:rsid w:val="00C90056"/>
    <w:rsid w:val="00C90085"/>
    <w:rsid w:val="00C900A0"/>
    <w:rsid w:val="00C900A9"/>
    <w:rsid w:val="00C90150"/>
    <w:rsid w:val="00C9015F"/>
    <w:rsid w:val="00C9022A"/>
    <w:rsid w:val="00C90436"/>
    <w:rsid w:val="00C904D4"/>
    <w:rsid w:val="00C9055B"/>
    <w:rsid w:val="00C90674"/>
    <w:rsid w:val="00C90712"/>
    <w:rsid w:val="00C908EB"/>
    <w:rsid w:val="00C908F7"/>
    <w:rsid w:val="00C90A2A"/>
    <w:rsid w:val="00C90A81"/>
    <w:rsid w:val="00C90C46"/>
    <w:rsid w:val="00C90D66"/>
    <w:rsid w:val="00C90FB6"/>
    <w:rsid w:val="00C91016"/>
    <w:rsid w:val="00C9160D"/>
    <w:rsid w:val="00C9186C"/>
    <w:rsid w:val="00C9199D"/>
    <w:rsid w:val="00C919BD"/>
    <w:rsid w:val="00C91DC2"/>
    <w:rsid w:val="00C91E47"/>
    <w:rsid w:val="00C9212C"/>
    <w:rsid w:val="00C924C1"/>
    <w:rsid w:val="00C9256D"/>
    <w:rsid w:val="00C92A60"/>
    <w:rsid w:val="00C92B37"/>
    <w:rsid w:val="00C9307A"/>
    <w:rsid w:val="00C93148"/>
    <w:rsid w:val="00C9318A"/>
    <w:rsid w:val="00C93279"/>
    <w:rsid w:val="00C932C9"/>
    <w:rsid w:val="00C93308"/>
    <w:rsid w:val="00C935FA"/>
    <w:rsid w:val="00C93625"/>
    <w:rsid w:val="00C937B2"/>
    <w:rsid w:val="00C93804"/>
    <w:rsid w:val="00C938CE"/>
    <w:rsid w:val="00C93C8C"/>
    <w:rsid w:val="00C93D2E"/>
    <w:rsid w:val="00C93DE5"/>
    <w:rsid w:val="00C94012"/>
    <w:rsid w:val="00C9446F"/>
    <w:rsid w:val="00C944B8"/>
    <w:rsid w:val="00C94595"/>
    <w:rsid w:val="00C94638"/>
    <w:rsid w:val="00C9463B"/>
    <w:rsid w:val="00C94E2C"/>
    <w:rsid w:val="00C94EF8"/>
    <w:rsid w:val="00C95073"/>
    <w:rsid w:val="00C9514B"/>
    <w:rsid w:val="00C9532D"/>
    <w:rsid w:val="00C95486"/>
    <w:rsid w:val="00C9563C"/>
    <w:rsid w:val="00C95A3F"/>
    <w:rsid w:val="00C95C2C"/>
    <w:rsid w:val="00C95C61"/>
    <w:rsid w:val="00C95CC0"/>
    <w:rsid w:val="00C95EC2"/>
    <w:rsid w:val="00C95FF9"/>
    <w:rsid w:val="00C966A7"/>
    <w:rsid w:val="00C966E8"/>
    <w:rsid w:val="00C9679F"/>
    <w:rsid w:val="00C96976"/>
    <w:rsid w:val="00C96A9F"/>
    <w:rsid w:val="00C96AFD"/>
    <w:rsid w:val="00C97088"/>
    <w:rsid w:val="00C970C3"/>
    <w:rsid w:val="00C970FD"/>
    <w:rsid w:val="00C972AE"/>
    <w:rsid w:val="00C9739B"/>
    <w:rsid w:val="00C973A2"/>
    <w:rsid w:val="00C974EE"/>
    <w:rsid w:val="00C97572"/>
    <w:rsid w:val="00C97576"/>
    <w:rsid w:val="00C97726"/>
    <w:rsid w:val="00C97792"/>
    <w:rsid w:val="00C9784A"/>
    <w:rsid w:val="00C97B20"/>
    <w:rsid w:val="00C97B50"/>
    <w:rsid w:val="00C97D71"/>
    <w:rsid w:val="00C97E3E"/>
    <w:rsid w:val="00C97EF0"/>
    <w:rsid w:val="00C97F15"/>
    <w:rsid w:val="00C97F19"/>
    <w:rsid w:val="00C97F5F"/>
    <w:rsid w:val="00C97FF1"/>
    <w:rsid w:val="00CA0362"/>
    <w:rsid w:val="00CA0372"/>
    <w:rsid w:val="00CA041E"/>
    <w:rsid w:val="00CA04BB"/>
    <w:rsid w:val="00CA0657"/>
    <w:rsid w:val="00CA0827"/>
    <w:rsid w:val="00CA095C"/>
    <w:rsid w:val="00CA09F0"/>
    <w:rsid w:val="00CA0A19"/>
    <w:rsid w:val="00CA0C7A"/>
    <w:rsid w:val="00CA0C84"/>
    <w:rsid w:val="00CA0D81"/>
    <w:rsid w:val="00CA0E73"/>
    <w:rsid w:val="00CA0E7C"/>
    <w:rsid w:val="00CA10FE"/>
    <w:rsid w:val="00CA1132"/>
    <w:rsid w:val="00CA116C"/>
    <w:rsid w:val="00CA1262"/>
    <w:rsid w:val="00CA1482"/>
    <w:rsid w:val="00CA1747"/>
    <w:rsid w:val="00CA17BF"/>
    <w:rsid w:val="00CA1987"/>
    <w:rsid w:val="00CA19F6"/>
    <w:rsid w:val="00CA1CF7"/>
    <w:rsid w:val="00CA1D86"/>
    <w:rsid w:val="00CA1F1D"/>
    <w:rsid w:val="00CA2166"/>
    <w:rsid w:val="00CA2242"/>
    <w:rsid w:val="00CA22CF"/>
    <w:rsid w:val="00CA22E4"/>
    <w:rsid w:val="00CA24DA"/>
    <w:rsid w:val="00CA2511"/>
    <w:rsid w:val="00CA2537"/>
    <w:rsid w:val="00CA2749"/>
    <w:rsid w:val="00CA281B"/>
    <w:rsid w:val="00CA2849"/>
    <w:rsid w:val="00CA298F"/>
    <w:rsid w:val="00CA2AAF"/>
    <w:rsid w:val="00CA2BBF"/>
    <w:rsid w:val="00CA2C82"/>
    <w:rsid w:val="00CA2D76"/>
    <w:rsid w:val="00CA2DB5"/>
    <w:rsid w:val="00CA2FAA"/>
    <w:rsid w:val="00CA30BE"/>
    <w:rsid w:val="00CA30D9"/>
    <w:rsid w:val="00CA3249"/>
    <w:rsid w:val="00CA3254"/>
    <w:rsid w:val="00CA3331"/>
    <w:rsid w:val="00CA33B6"/>
    <w:rsid w:val="00CA33F0"/>
    <w:rsid w:val="00CA3443"/>
    <w:rsid w:val="00CA3451"/>
    <w:rsid w:val="00CA34D2"/>
    <w:rsid w:val="00CA35CE"/>
    <w:rsid w:val="00CA397C"/>
    <w:rsid w:val="00CA39C4"/>
    <w:rsid w:val="00CA39DF"/>
    <w:rsid w:val="00CA3F56"/>
    <w:rsid w:val="00CA4046"/>
    <w:rsid w:val="00CA41CC"/>
    <w:rsid w:val="00CA4299"/>
    <w:rsid w:val="00CA42DA"/>
    <w:rsid w:val="00CA46BA"/>
    <w:rsid w:val="00CA4820"/>
    <w:rsid w:val="00CA494C"/>
    <w:rsid w:val="00CA49C7"/>
    <w:rsid w:val="00CA49E6"/>
    <w:rsid w:val="00CA4B05"/>
    <w:rsid w:val="00CA4BCB"/>
    <w:rsid w:val="00CA4BEB"/>
    <w:rsid w:val="00CA4C97"/>
    <w:rsid w:val="00CA4D09"/>
    <w:rsid w:val="00CA4D1A"/>
    <w:rsid w:val="00CA4F4B"/>
    <w:rsid w:val="00CA504E"/>
    <w:rsid w:val="00CA5257"/>
    <w:rsid w:val="00CA52AD"/>
    <w:rsid w:val="00CA5567"/>
    <w:rsid w:val="00CA5990"/>
    <w:rsid w:val="00CA59A4"/>
    <w:rsid w:val="00CA5A88"/>
    <w:rsid w:val="00CA5AD8"/>
    <w:rsid w:val="00CA5DA1"/>
    <w:rsid w:val="00CA5DAB"/>
    <w:rsid w:val="00CA5FEE"/>
    <w:rsid w:val="00CA6123"/>
    <w:rsid w:val="00CA6234"/>
    <w:rsid w:val="00CA651C"/>
    <w:rsid w:val="00CA66EE"/>
    <w:rsid w:val="00CA679D"/>
    <w:rsid w:val="00CA6A53"/>
    <w:rsid w:val="00CA6B8D"/>
    <w:rsid w:val="00CA6E7D"/>
    <w:rsid w:val="00CA6ECE"/>
    <w:rsid w:val="00CA6F2B"/>
    <w:rsid w:val="00CA7051"/>
    <w:rsid w:val="00CA70C3"/>
    <w:rsid w:val="00CA70F9"/>
    <w:rsid w:val="00CA7225"/>
    <w:rsid w:val="00CA7757"/>
    <w:rsid w:val="00CA792C"/>
    <w:rsid w:val="00CA7A75"/>
    <w:rsid w:val="00CA7A9E"/>
    <w:rsid w:val="00CA7AC6"/>
    <w:rsid w:val="00CA7BB4"/>
    <w:rsid w:val="00CA7BB9"/>
    <w:rsid w:val="00CA7BD8"/>
    <w:rsid w:val="00CA7C4E"/>
    <w:rsid w:val="00CA7CB4"/>
    <w:rsid w:val="00CAB25B"/>
    <w:rsid w:val="00CB0033"/>
    <w:rsid w:val="00CB0048"/>
    <w:rsid w:val="00CB027E"/>
    <w:rsid w:val="00CB03D9"/>
    <w:rsid w:val="00CB061E"/>
    <w:rsid w:val="00CB062D"/>
    <w:rsid w:val="00CB066E"/>
    <w:rsid w:val="00CB06DE"/>
    <w:rsid w:val="00CB09D2"/>
    <w:rsid w:val="00CB0A08"/>
    <w:rsid w:val="00CB0B26"/>
    <w:rsid w:val="00CB0C73"/>
    <w:rsid w:val="00CB0DC9"/>
    <w:rsid w:val="00CB0EAB"/>
    <w:rsid w:val="00CB0F02"/>
    <w:rsid w:val="00CB1068"/>
    <w:rsid w:val="00CB1123"/>
    <w:rsid w:val="00CB1286"/>
    <w:rsid w:val="00CB15DB"/>
    <w:rsid w:val="00CB1609"/>
    <w:rsid w:val="00CB17BF"/>
    <w:rsid w:val="00CB1C16"/>
    <w:rsid w:val="00CB2128"/>
    <w:rsid w:val="00CB2260"/>
    <w:rsid w:val="00CB22C4"/>
    <w:rsid w:val="00CB22C9"/>
    <w:rsid w:val="00CB231E"/>
    <w:rsid w:val="00CB232B"/>
    <w:rsid w:val="00CB2523"/>
    <w:rsid w:val="00CB2ACB"/>
    <w:rsid w:val="00CB2C24"/>
    <w:rsid w:val="00CB2C3F"/>
    <w:rsid w:val="00CB2C59"/>
    <w:rsid w:val="00CB2C62"/>
    <w:rsid w:val="00CB2C9F"/>
    <w:rsid w:val="00CB2D2A"/>
    <w:rsid w:val="00CB2EA7"/>
    <w:rsid w:val="00CB32FC"/>
    <w:rsid w:val="00CB33E3"/>
    <w:rsid w:val="00CB3503"/>
    <w:rsid w:val="00CB350E"/>
    <w:rsid w:val="00CB354A"/>
    <w:rsid w:val="00CB3597"/>
    <w:rsid w:val="00CB3690"/>
    <w:rsid w:val="00CB382B"/>
    <w:rsid w:val="00CB38A9"/>
    <w:rsid w:val="00CB3B52"/>
    <w:rsid w:val="00CB3D31"/>
    <w:rsid w:val="00CB3D49"/>
    <w:rsid w:val="00CB3E97"/>
    <w:rsid w:val="00CB42BA"/>
    <w:rsid w:val="00CB44B7"/>
    <w:rsid w:val="00CB4514"/>
    <w:rsid w:val="00CB4569"/>
    <w:rsid w:val="00CB45C8"/>
    <w:rsid w:val="00CB45F9"/>
    <w:rsid w:val="00CB46CB"/>
    <w:rsid w:val="00CB4763"/>
    <w:rsid w:val="00CB4878"/>
    <w:rsid w:val="00CB4902"/>
    <w:rsid w:val="00CB4933"/>
    <w:rsid w:val="00CB4AAF"/>
    <w:rsid w:val="00CB4C1A"/>
    <w:rsid w:val="00CB4CAF"/>
    <w:rsid w:val="00CB4FE5"/>
    <w:rsid w:val="00CB515B"/>
    <w:rsid w:val="00CB5168"/>
    <w:rsid w:val="00CB52C5"/>
    <w:rsid w:val="00CB533E"/>
    <w:rsid w:val="00CB5545"/>
    <w:rsid w:val="00CB5596"/>
    <w:rsid w:val="00CB567C"/>
    <w:rsid w:val="00CB5717"/>
    <w:rsid w:val="00CB5772"/>
    <w:rsid w:val="00CB57FC"/>
    <w:rsid w:val="00CB5935"/>
    <w:rsid w:val="00CB5DB8"/>
    <w:rsid w:val="00CB5EB9"/>
    <w:rsid w:val="00CB5EBD"/>
    <w:rsid w:val="00CB600E"/>
    <w:rsid w:val="00CB6191"/>
    <w:rsid w:val="00CB62CE"/>
    <w:rsid w:val="00CB645A"/>
    <w:rsid w:val="00CB6589"/>
    <w:rsid w:val="00CB697A"/>
    <w:rsid w:val="00CB69C3"/>
    <w:rsid w:val="00CB6DEB"/>
    <w:rsid w:val="00CB6EAD"/>
    <w:rsid w:val="00CB71FD"/>
    <w:rsid w:val="00CB7683"/>
    <w:rsid w:val="00CB7897"/>
    <w:rsid w:val="00CB795B"/>
    <w:rsid w:val="00CB7CF0"/>
    <w:rsid w:val="00CB7FAB"/>
    <w:rsid w:val="00CC01FB"/>
    <w:rsid w:val="00CC02F3"/>
    <w:rsid w:val="00CC0329"/>
    <w:rsid w:val="00CC036C"/>
    <w:rsid w:val="00CC04FB"/>
    <w:rsid w:val="00CC076B"/>
    <w:rsid w:val="00CC0916"/>
    <w:rsid w:val="00CC0A49"/>
    <w:rsid w:val="00CC0CC4"/>
    <w:rsid w:val="00CC0D2F"/>
    <w:rsid w:val="00CC0F22"/>
    <w:rsid w:val="00CC106F"/>
    <w:rsid w:val="00CC129D"/>
    <w:rsid w:val="00CC1393"/>
    <w:rsid w:val="00CC1483"/>
    <w:rsid w:val="00CC151D"/>
    <w:rsid w:val="00CC16C4"/>
    <w:rsid w:val="00CC1744"/>
    <w:rsid w:val="00CC17D4"/>
    <w:rsid w:val="00CC1866"/>
    <w:rsid w:val="00CC19F9"/>
    <w:rsid w:val="00CC1A36"/>
    <w:rsid w:val="00CC1B0F"/>
    <w:rsid w:val="00CC1C70"/>
    <w:rsid w:val="00CC1C88"/>
    <w:rsid w:val="00CC1C8F"/>
    <w:rsid w:val="00CC1CE5"/>
    <w:rsid w:val="00CC1D76"/>
    <w:rsid w:val="00CC1E24"/>
    <w:rsid w:val="00CC1ECA"/>
    <w:rsid w:val="00CC21A2"/>
    <w:rsid w:val="00CC22C2"/>
    <w:rsid w:val="00CC2318"/>
    <w:rsid w:val="00CC23CD"/>
    <w:rsid w:val="00CC261A"/>
    <w:rsid w:val="00CC279D"/>
    <w:rsid w:val="00CC283E"/>
    <w:rsid w:val="00CC2857"/>
    <w:rsid w:val="00CC2B07"/>
    <w:rsid w:val="00CC2B6F"/>
    <w:rsid w:val="00CC2BE5"/>
    <w:rsid w:val="00CC2C3D"/>
    <w:rsid w:val="00CC2D16"/>
    <w:rsid w:val="00CC2DF9"/>
    <w:rsid w:val="00CC2E82"/>
    <w:rsid w:val="00CC30B6"/>
    <w:rsid w:val="00CC31C9"/>
    <w:rsid w:val="00CC338F"/>
    <w:rsid w:val="00CC3586"/>
    <w:rsid w:val="00CC37FA"/>
    <w:rsid w:val="00CC386E"/>
    <w:rsid w:val="00CC392E"/>
    <w:rsid w:val="00CC39FC"/>
    <w:rsid w:val="00CC3A9C"/>
    <w:rsid w:val="00CC3B0F"/>
    <w:rsid w:val="00CC3C10"/>
    <w:rsid w:val="00CC3C4F"/>
    <w:rsid w:val="00CC3FDC"/>
    <w:rsid w:val="00CC400A"/>
    <w:rsid w:val="00CC40A9"/>
    <w:rsid w:val="00CC415B"/>
    <w:rsid w:val="00CC42D0"/>
    <w:rsid w:val="00CC43A7"/>
    <w:rsid w:val="00CC43B6"/>
    <w:rsid w:val="00CC4453"/>
    <w:rsid w:val="00CC4656"/>
    <w:rsid w:val="00CC46DB"/>
    <w:rsid w:val="00CC495B"/>
    <w:rsid w:val="00CC4AC9"/>
    <w:rsid w:val="00CC4D3D"/>
    <w:rsid w:val="00CC4EB3"/>
    <w:rsid w:val="00CC51B7"/>
    <w:rsid w:val="00CC52D3"/>
    <w:rsid w:val="00CC54E6"/>
    <w:rsid w:val="00CC5809"/>
    <w:rsid w:val="00CC594C"/>
    <w:rsid w:val="00CC5B63"/>
    <w:rsid w:val="00CC5B7F"/>
    <w:rsid w:val="00CC5BA1"/>
    <w:rsid w:val="00CC5CF0"/>
    <w:rsid w:val="00CC625C"/>
    <w:rsid w:val="00CC6285"/>
    <w:rsid w:val="00CC632B"/>
    <w:rsid w:val="00CC64C3"/>
    <w:rsid w:val="00CC666A"/>
    <w:rsid w:val="00CC66AC"/>
    <w:rsid w:val="00CC684E"/>
    <w:rsid w:val="00CC6A6B"/>
    <w:rsid w:val="00CC70BC"/>
    <w:rsid w:val="00CC718A"/>
    <w:rsid w:val="00CC71EF"/>
    <w:rsid w:val="00CC722E"/>
    <w:rsid w:val="00CC72B0"/>
    <w:rsid w:val="00CC73DD"/>
    <w:rsid w:val="00CC7404"/>
    <w:rsid w:val="00CC74B0"/>
    <w:rsid w:val="00CC74CA"/>
    <w:rsid w:val="00CC76A8"/>
    <w:rsid w:val="00CC76F3"/>
    <w:rsid w:val="00CC781D"/>
    <w:rsid w:val="00CC7A3D"/>
    <w:rsid w:val="00CC7A64"/>
    <w:rsid w:val="00CC7BA3"/>
    <w:rsid w:val="00CC7EAD"/>
    <w:rsid w:val="00CD008F"/>
    <w:rsid w:val="00CD00A9"/>
    <w:rsid w:val="00CD042C"/>
    <w:rsid w:val="00CD047A"/>
    <w:rsid w:val="00CD0560"/>
    <w:rsid w:val="00CD0644"/>
    <w:rsid w:val="00CD0646"/>
    <w:rsid w:val="00CD069C"/>
    <w:rsid w:val="00CD0813"/>
    <w:rsid w:val="00CD09A8"/>
    <w:rsid w:val="00CD0A43"/>
    <w:rsid w:val="00CD0ADC"/>
    <w:rsid w:val="00CD0DEF"/>
    <w:rsid w:val="00CD0F68"/>
    <w:rsid w:val="00CD11A3"/>
    <w:rsid w:val="00CD1214"/>
    <w:rsid w:val="00CD1344"/>
    <w:rsid w:val="00CD1465"/>
    <w:rsid w:val="00CD15CD"/>
    <w:rsid w:val="00CD17D0"/>
    <w:rsid w:val="00CD1952"/>
    <w:rsid w:val="00CD1A4D"/>
    <w:rsid w:val="00CD1A69"/>
    <w:rsid w:val="00CD1B87"/>
    <w:rsid w:val="00CD1C7A"/>
    <w:rsid w:val="00CD1D7C"/>
    <w:rsid w:val="00CD1F5B"/>
    <w:rsid w:val="00CD1FCC"/>
    <w:rsid w:val="00CD2441"/>
    <w:rsid w:val="00CD25F0"/>
    <w:rsid w:val="00CD2647"/>
    <w:rsid w:val="00CD26B1"/>
    <w:rsid w:val="00CD271C"/>
    <w:rsid w:val="00CD297F"/>
    <w:rsid w:val="00CD2A47"/>
    <w:rsid w:val="00CD2ADE"/>
    <w:rsid w:val="00CD2B60"/>
    <w:rsid w:val="00CD2BAF"/>
    <w:rsid w:val="00CD2C64"/>
    <w:rsid w:val="00CD2DC5"/>
    <w:rsid w:val="00CD2F88"/>
    <w:rsid w:val="00CD3125"/>
    <w:rsid w:val="00CD3195"/>
    <w:rsid w:val="00CD3334"/>
    <w:rsid w:val="00CD333D"/>
    <w:rsid w:val="00CD33DA"/>
    <w:rsid w:val="00CD349E"/>
    <w:rsid w:val="00CD34A6"/>
    <w:rsid w:val="00CD37BF"/>
    <w:rsid w:val="00CD38B4"/>
    <w:rsid w:val="00CD3930"/>
    <w:rsid w:val="00CD3A6D"/>
    <w:rsid w:val="00CD3A76"/>
    <w:rsid w:val="00CD3A8E"/>
    <w:rsid w:val="00CD3A8F"/>
    <w:rsid w:val="00CD3C49"/>
    <w:rsid w:val="00CD3C60"/>
    <w:rsid w:val="00CD3C6C"/>
    <w:rsid w:val="00CD3D92"/>
    <w:rsid w:val="00CD3F57"/>
    <w:rsid w:val="00CD4025"/>
    <w:rsid w:val="00CD42B5"/>
    <w:rsid w:val="00CD4497"/>
    <w:rsid w:val="00CD4503"/>
    <w:rsid w:val="00CD4669"/>
    <w:rsid w:val="00CD4716"/>
    <w:rsid w:val="00CD48C6"/>
    <w:rsid w:val="00CD4A24"/>
    <w:rsid w:val="00CD4A46"/>
    <w:rsid w:val="00CD4D6F"/>
    <w:rsid w:val="00CD4D92"/>
    <w:rsid w:val="00CD4E92"/>
    <w:rsid w:val="00CD4EBB"/>
    <w:rsid w:val="00CD5079"/>
    <w:rsid w:val="00CD508D"/>
    <w:rsid w:val="00CD529C"/>
    <w:rsid w:val="00CD53F5"/>
    <w:rsid w:val="00CD54CE"/>
    <w:rsid w:val="00CD54D7"/>
    <w:rsid w:val="00CD5565"/>
    <w:rsid w:val="00CD5597"/>
    <w:rsid w:val="00CD5B64"/>
    <w:rsid w:val="00CD5BB9"/>
    <w:rsid w:val="00CD5BED"/>
    <w:rsid w:val="00CD5DE6"/>
    <w:rsid w:val="00CD5E76"/>
    <w:rsid w:val="00CD5F55"/>
    <w:rsid w:val="00CD61EC"/>
    <w:rsid w:val="00CD64BE"/>
    <w:rsid w:val="00CD67D1"/>
    <w:rsid w:val="00CD67E2"/>
    <w:rsid w:val="00CD683A"/>
    <w:rsid w:val="00CD6984"/>
    <w:rsid w:val="00CD6BE3"/>
    <w:rsid w:val="00CD6D36"/>
    <w:rsid w:val="00CD6D9D"/>
    <w:rsid w:val="00CD6E3F"/>
    <w:rsid w:val="00CD6EE9"/>
    <w:rsid w:val="00CD6F06"/>
    <w:rsid w:val="00CD6F3A"/>
    <w:rsid w:val="00CD6FB4"/>
    <w:rsid w:val="00CD7282"/>
    <w:rsid w:val="00CD735E"/>
    <w:rsid w:val="00CD747A"/>
    <w:rsid w:val="00CD761A"/>
    <w:rsid w:val="00CD7841"/>
    <w:rsid w:val="00CD7C43"/>
    <w:rsid w:val="00CD7D25"/>
    <w:rsid w:val="00CD7F5D"/>
    <w:rsid w:val="00CE0079"/>
    <w:rsid w:val="00CE0242"/>
    <w:rsid w:val="00CE032F"/>
    <w:rsid w:val="00CE03EA"/>
    <w:rsid w:val="00CE0732"/>
    <w:rsid w:val="00CE07CC"/>
    <w:rsid w:val="00CE08E7"/>
    <w:rsid w:val="00CE0BED"/>
    <w:rsid w:val="00CE0CAA"/>
    <w:rsid w:val="00CE0D77"/>
    <w:rsid w:val="00CE0D9B"/>
    <w:rsid w:val="00CE1269"/>
    <w:rsid w:val="00CE1418"/>
    <w:rsid w:val="00CE161A"/>
    <w:rsid w:val="00CE1675"/>
    <w:rsid w:val="00CE1890"/>
    <w:rsid w:val="00CE18BB"/>
    <w:rsid w:val="00CE1AD3"/>
    <w:rsid w:val="00CE1CB2"/>
    <w:rsid w:val="00CE1D1B"/>
    <w:rsid w:val="00CE1D75"/>
    <w:rsid w:val="00CE1FAF"/>
    <w:rsid w:val="00CE21E8"/>
    <w:rsid w:val="00CE2396"/>
    <w:rsid w:val="00CE2445"/>
    <w:rsid w:val="00CE2467"/>
    <w:rsid w:val="00CE2652"/>
    <w:rsid w:val="00CE2706"/>
    <w:rsid w:val="00CE2722"/>
    <w:rsid w:val="00CE28F1"/>
    <w:rsid w:val="00CE29F3"/>
    <w:rsid w:val="00CE2A01"/>
    <w:rsid w:val="00CE2A28"/>
    <w:rsid w:val="00CE2A58"/>
    <w:rsid w:val="00CE2A79"/>
    <w:rsid w:val="00CE2B7E"/>
    <w:rsid w:val="00CE2D2A"/>
    <w:rsid w:val="00CE2D5C"/>
    <w:rsid w:val="00CE34E9"/>
    <w:rsid w:val="00CE38F5"/>
    <w:rsid w:val="00CE3AD9"/>
    <w:rsid w:val="00CE3BC8"/>
    <w:rsid w:val="00CE3C88"/>
    <w:rsid w:val="00CE3DEB"/>
    <w:rsid w:val="00CE3F2F"/>
    <w:rsid w:val="00CE4133"/>
    <w:rsid w:val="00CE448F"/>
    <w:rsid w:val="00CE44CE"/>
    <w:rsid w:val="00CE45C0"/>
    <w:rsid w:val="00CE4721"/>
    <w:rsid w:val="00CE475D"/>
    <w:rsid w:val="00CE47C8"/>
    <w:rsid w:val="00CE4990"/>
    <w:rsid w:val="00CE4C6D"/>
    <w:rsid w:val="00CE4CDA"/>
    <w:rsid w:val="00CE514A"/>
    <w:rsid w:val="00CE5245"/>
    <w:rsid w:val="00CE531D"/>
    <w:rsid w:val="00CE552A"/>
    <w:rsid w:val="00CE569B"/>
    <w:rsid w:val="00CE5840"/>
    <w:rsid w:val="00CE593C"/>
    <w:rsid w:val="00CE5990"/>
    <w:rsid w:val="00CE5997"/>
    <w:rsid w:val="00CE5A28"/>
    <w:rsid w:val="00CE5C0E"/>
    <w:rsid w:val="00CE5E52"/>
    <w:rsid w:val="00CE5FC7"/>
    <w:rsid w:val="00CE6047"/>
    <w:rsid w:val="00CE6092"/>
    <w:rsid w:val="00CE62BE"/>
    <w:rsid w:val="00CE630D"/>
    <w:rsid w:val="00CE6443"/>
    <w:rsid w:val="00CE6484"/>
    <w:rsid w:val="00CE6487"/>
    <w:rsid w:val="00CE6763"/>
    <w:rsid w:val="00CE6803"/>
    <w:rsid w:val="00CE6868"/>
    <w:rsid w:val="00CE6A2C"/>
    <w:rsid w:val="00CE6CD7"/>
    <w:rsid w:val="00CE6DE6"/>
    <w:rsid w:val="00CE6EB4"/>
    <w:rsid w:val="00CE7123"/>
    <w:rsid w:val="00CE7459"/>
    <w:rsid w:val="00CE770B"/>
    <w:rsid w:val="00CE7713"/>
    <w:rsid w:val="00CE7747"/>
    <w:rsid w:val="00CE7773"/>
    <w:rsid w:val="00CE78EA"/>
    <w:rsid w:val="00CE79EB"/>
    <w:rsid w:val="00CE7E23"/>
    <w:rsid w:val="00CE7EA4"/>
    <w:rsid w:val="00CE7F18"/>
    <w:rsid w:val="00CE7FE5"/>
    <w:rsid w:val="00CEB4C9"/>
    <w:rsid w:val="00CF0077"/>
    <w:rsid w:val="00CF012B"/>
    <w:rsid w:val="00CF0173"/>
    <w:rsid w:val="00CF0280"/>
    <w:rsid w:val="00CF029C"/>
    <w:rsid w:val="00CF0441"/>
    <w:rsid w:val="00CF05B4"/>
    <w:rsid w:val="00CF05DE"/>
    <w:rsid w:val="00CF05E7"/>
    <w:rsid w:val="00CF07CD"/>
    <w:rsid w:val="00CF09CC"/>
    <w:rsid w:val="00CF0ABA"/>
    <w:rsid w:val="00CF0AC2"/>
    <w:rsid w:val="00CF0C23"/>
    <w:rsid w:val="00CF0D36"/>
    <w:rsid w:val="00CF0E9A"/>
    <w:rsid w:val="00CF10CB"/>
    <w:rsid w:val="00CF1218"/>
    <w:rsid w:val="00CF143F"/>
    <w:rsid w:val="00CF15F0"/>
    <w:rsid w:val="00CF166D"/>
    <w:rsid w:val="00CF1795"/>
    <w:rsid w:val="00CF182E"/>
    <w:rsid w:val="00CF18B6"/>
    <w:rsid w:val="00CF1B8F"/>
    <w:rsid w:val="00CF1D0F"/>
    <w:rsid w:val="00CF2178"/>
    <w:rsid w:val="00CF21DD"/>
    <w:rsid w:val="00CF22C6"/>
    <w:rsid w:val="00CF23CD"/>
    <w:rsid w:val="00CF240A"/>
    <w:rsid w:val="00CF24DB"/>
    <w:rsid w:val="00CF25E0"/>
    <w:rsid w:val="00CF2BF4"/>
    <w:rsid w:val="00CF2CD6"/>
    <w:rsid w:val="00CF2D33"/>
    <w:rsid w:val="00CF2D35"/>
    <w:rsid w:val="00CF2D3A"/>
    <w:rsid w:val="00CF2EDE"/>
    <w:rsid w:val="00CF2F55"/>
    <w:rsid w:val="00CF32AE"/>
    <w:rsid w:val="00CF3440"/>
    <w:rsid w:val="00CF3508"/>
    <w:rsid w:val="00CF3650"/>
    <w:rsid w:val="00CF3758"/>
    <w:rsid w:val="00CF37CA"/>
    <w:rsid w:val="00CF3806"/>
    <w:rsid w:val="00CF3976"/>
    <w:rsid w:val="00CF3B07"/>
    <w:rsid w:val="00CF3CCB"/>
    <w:rsid w:val="00CF3D86"/>
    <w:rsid w:val="00CF3F09"/>
    <w:rsid w:val="00CF412C"/>
    <w:rsid w:val="00CF43C5"/>
    <w:rsid w:val="00CF44EA"/>
    <w:rsid w:val="00CF471E"/>
    <w:rsid w:val="00CF477B"/>
    <w:rsid w:val="00CF4C6A"/>
    <w:rsid w:val="00CF4CA0"/>
    <w:rsid w:val="00CF4CAD"/>
    <w:rsid w:val="00CF4E05"/>
    <w:rsid w:val="00CF4E42"/>
    <w:rsid w:val="00CF4F3F"/>
    <w:rsid w:val="00CF53FE"/>
    <w:rsid w:val="00CF5535"/>
    <w:rsid w:val="00CF5882"/>
    <w:rsid w:val="00CF58C0"/>
    <w:rsid w:val="00CF5AE7"/>
    <w:rsid w:val="00CF5F26"/>
    <w:rsid w:val="00CF5FF2"/>
    <w:rsid w:val="00CF6110"/>
    <w:rsid w:val="00CF690A"/>
    <w:rsid w:val="00CF695A"/>
    <w:rsid w:val="00CF698D"/>
    <w:rsid w:val="00CF6AC9"/>
    <w:rsid w:val="00CF6D8B"/>
    <w:rsid w:val="00CF6F6D"/>
    <w:rsid w:val="00CF6FB0"/>
    <w:rsid w:val="00CF704A"/>
    <w:rsid w:val="00CF711F"/>
    <w:rsid w:val="00CF7207"/>
    <w:rsid w:val="00CF72D5"/>
    <w:rsid w:val="00CF7310"/>
    <w:rsid w:val="00CF73F6"/>
    <w:rsid w:val="00CF74CF"/>
    <w:rsid w:val="00CF75EC"/>
    <w:rsid w:val="00CF760B"/>
    <w:rsid w:val="00CF7898"/>
    <w:rsid w:val="00CF7B97"/>
    <w:rsid w:val="00CF7C77"/>
    <w:rsid w:val="00CF7DE2"/>
    <w:rsid w:val="00CF7F2F"/>
    <w:rsid w:val="00D00156"/>
    <w:rsid w:val="00D001D7"/>
    <w:rsid w:val="00D00363"/>
    <w:rsid w:val="00D0079F"/>
    <w:rsid w:val="00D00899"/>
    <w:rsid w:val="00D009CD"/>
    <w:rsid w:val="00D00AFA"/>
    <w:rsid w:val="00D00D69"/>
    <w:rsid w:val="00D00DFE"/>
    <w:rsid w:val="00D00E91"/>
    <w:rsid w:val="00D012A8"/>
    <w:rsid w:val="00D0145C"/>
    <w:rsid w:val="00D01ADA"/>
    <w:rsid w:val="00D01C16"/>
    <w:rsid w:val="00D01CAF"/>
    <w:rsid w:val="00D01CB6"/>
    <w:rsid w:val="00D01E92"/>
    <w:rsid w:val="00D021E9"/>
    <w:rsid w:val="00D023BF"/>
    <w:rsid w:val="00D02524"/>
    <w:rsid w:val="00D02745"/>
    <w:rsid w:val="00D02910"/>
    <w:rsid w:val="00D029B3"/>
    <w:rsid w:val="00D02B06"/>
    <w:rsid w:val="00D02C6D"/>
    <w:rsid w:val="00D02E15"/>
    <w:rsid w:val="00D02E18"/>
    <w:rsid w:val="00D02E68"/>
    <w:rsid w:val="00D02EC4"/>
    <w:rsid w:val="00D03217"/>
    <w:rsid w:val="00D03350"/>
    <w:rsid w:val="00D033A1"/>
    <w:rsid w:val="00D034D3"/>
    <w:rsid w:val="00D038D9"/>
    <w:rsid w:val="00D038F5"/>
    <w:rsid w:val="00D03953"/>
    <w:rsid w:val="00D03A0D"/>
    <w:rsid w:val="00D03A33"/>
    <w:rsid w:val="00D03B59"/>
    <w:rsid w:val="00D03B7F"/>
    <w:rsid w:val="00D03C18"/>
    <w:rsid w:val="00D03C38"/>
    <w:rsid w:val="00D03D86"/>
    <w:rsid w:val="00D03DA5"/>
    <w:rsid w:val="00D03EA8"/>
    <w:rsid w:val="00D03F2F"/>
    <w:rsid w:val="00D03FC8"/>
    <w:rsid w:val="00D0401F"/>
    <w:rsid w:val="00D040B6"/>
    <w:rsid w:val="00D04302"/>
    <w:rsid w:val="00D0434F"/>
    <w:rsid w:val="00D043E6"/>
    <w:rsid w:val="00D0442D"/>
    <w:rsid w:val="00D045FF"/>
    <w:rsid w:val="00D046C2"/>
    <w:rsid w:val="00D046D7"/>
    <w:rsid w:val="00D04750"/>
    <w:rsid w:val="00D0475A"/>
    <w:rsid w:val="00D04A1A"/>
    <w:rsid w:val="00D04A3D"/>
    <w:rsid w:val="00D04AA2"/>
    <w:rsid w:val="00D04ABC"/>
    <w:rsid w:val="00D04B28"/>
    <w:rsid w:val="00D04CB1"/>
    <w:rsid w:val="00D04D0C"/>
    <w:rsid w:val="00D04DFD"/>
    <w:rsid w:val="00D04ED2"/>
    <w:rsid w:val="00D04F04"/>
    <w:rsid w:val="00D04F94"/>
    <w:rsid w:val="00D05063"/>
    <w:rsid w:val="00D050D7"/>
    <w:rsid w:val="00D0537D"/>
    <w:rsid w:val="00D05556"/>
    <w:rsid w:val="00D055B0"/>
    <w:rsid w:val="00D056AB"/>
    <w:rsid w:val="00D05701"/>
    <w:rsid w:val="00D05763"/>
    <w:rsid w:val="00D057A3"/>
    <w:rsid w:val="00D0587C"/>
    <w:rsid w:val="00D059E2"/>
    <w:rsid w:val="00D05BD9"/>
    <w:rsid w:val="00D05DE2"/>
    <w:rsid w:val="00D05E2B"/>
    <w:rsid w:val="00D05EA3"/>
    <w:rsid w:val="00D05F28"/>
    <w:rsid w:val="00D05F66"/>
    <w:rsid w:val="00D0604A"/>
    <w:rsid w:val="00D0612B"/>
    <w:rsid w:val="00D0616C"/>
    <w:rsid w:val="00D06175"/>
    <w:rsid w:val="00D06277"/>
    <w:rsid w:val="00D0627E"/>
    <w:rsid w:val="00D06292"/>
    <w:rsid w:val="00D06300"/>
    <w:rsid w:val="00D064BB"/>
    <w:rsid w:val="00D0657B"/>
    <w:rsid w:val="00D066E8"/>
    <w:rsid w:val="00D06830"/>
    <w:rsid w:val="00D068A6"/>
    <w:rsid w:val="00D06BAA"/>
    <w:rsid w:val="00D06C98"/>
    <w:rsid w:val="00D06CE3"/>
    <w:rsid w:val="00D06E4F"/>
    <w:rsid w:val="00D06FE8"/>
    <w:rsid w:val="00D06FEC"/>
    <w:rsid w:val="00D0707A"/>
    <w:rsid w:val="00D07177"/>
    <w:rsid w:val="00D0717F"/>
    <w:rsid w:val="00D074F4"/>
    <w:rsid w:val="00D0769A"/>
    <w:rsid w:val="00D07876"/>
    <w:rsid w:val="00D07A20"/>
    <w:rsid w:val="00D07C07"/>
    <w:rsid w:val="00D07CBE"/>
    <w:rsid w:val="00D07F6A"/>
    <w:rsid w:val="00D10001"/>
    <w:rsid w:val="00D10048"/>
    <w:rsid w:val="00D100CD"/>
    <w:rsid w:val="00D100D0"/>
    <w:rsid w:val="00D10401"/>
    <w:rsid w:val="00D1041F"/>
    <w:rsid w:val="00D1049C"/>
    <w:rsid w:val="00D105F1"/>
    <w:rsid w:val="00D10699"/>
    <w:rsid w:val="00D1073C"/>
    <w:rsid w:val="00D1080F"/>
    <w:rsid w:val="00D10B84"/>
    <w:rsid w:val="00D10C3C"/>
    <w:rsid w:val="00D10DC2"/>
    <w:rsid w:val="00D10F27"/>
    <w:rsid w:val="00D10FA0"/>
    <w:rsid w:val="00D10FE6"/>
    <w:rsid w:val="00D112ED"/>
    <w:rsid w:val="00D11404"/>
    <w:rsid w:val="00D11470"/>
    <w:rsid w:val="00D11745"/>
    <w:rsid w:val="00D1175E"/>
    <w:rsid w:val="00D11766"/>
    <w:rsid w:val="00D11787"/>
    <w:rsid w:val="00D11807"/>
    <w:rsid w:val="00D11879"/>
    <w:rsid w:val="00D11905"/>
    <w:rsid w:val="00D11945"/>
    <w:rsid w:val="00D1197E"/>
    <w:rsid w:val="00D11A0D"/>
    <w:rsid w:val="00D11A20"/>
    <w:rsid w:val="00D11E7D"/>
    <w:rsid w:val="00D11F38"/>
    <w:rsid w:val="00D127E6"/>
    <w:rsid w:val="00D127FD"/>
    <w:rsid w:val="00D12955"/>
    <w:rsid w:val="00D12A01"/>
    <w:rsid w:val="00D12A34"/>
    <w:rsid w:val="00D12A3F"/>
    <w:rsid w:val="00D12BF4"/>
    <w:rsid w:val="00D12C52"/>
    <w:rsid w:val="00D12C83"/>
    <w:rsid w:val="00D12DAD"/>
    <w:rsid w:val="00D12E12"/>
    <w:rsid w:val="00D12E98"/>
    <w:rsid w:val="00D12F68"/>
    <w:rsid w:val="00D13104"/>
    <w:rsid w:val="00D1342F"/>
    <w:rsid w:val="00D134E8"/>
    <w:rsid w:val="00D1353A"/>
    <w:rsid w:val="00D13546"/>
    <w:rsid w:val="00D13724"/>
    <w:rsid w:val="00D13895"/>
    <w:rsid w:val="00D13AD7"/>
    <w:rsid w:val="00D13BF7"/>
    <w:rsid w:val="00D13F09"/>
    <w:rsid w:val="00D13F36"/>
    <w:rsid w:val="00D13F47"/>
    <w:rsid w:val="00D14047"/>
    <w:rsid w:val="00D1407C"/>
    <w:rsid w:val="00D14261"/>
    <w:rsid w:val="00D142D3"/>
    <w:rsid w:val="00D14323"/>
    <w:rsid w:val="00D145B9"/>
    <w:rsid w:val="00D147BD"/>
    <w:rsid w:val="00D1489C"/>
    <w:rsid w:val="00D149CD"/>
    <w:rsid w:val="00D14BF1"/>
    <w:rsid w:val="00D14DB8"/>
    <w:rsid w:val="00D14E6B"/>
    <w:rsid w:val="00D150AA"/>
    <w:rsid w:val="00D15247"/>
    <w:rsid w:val="00D15322"/>
    <w:rsid w:val="00D15420"/>
    <w:rsid w:val="00D15564"/>
    <w:rsid w:val="00D156FF"/>
    <w:rsid w:val="00D15872"/>
    <w:rsid w:val="00D158C4"/>
    <w:rsid w:val="00D15A2F"/>
    <w:rsid w:val="00D15B4C"/>
    <w:rsid w:val="00D15C19"/>
    <w:rsid w:val="00D15D0B"/>
    <w:rsid w:val="00D15D57"/>
    <w:rsid w:val="00D15F03"/>
    <w:rsid w:val="00D15F0E"/>
    <w:rsid w:val="00D1625F"/>
    <w:rsid w:val="00D1626B"/>
    <w:rsid w:val="00D1657F"/>
    <w:rsid w:val="00D16718"/>
    <w:rsid w:val="00D16774"/>
    <w:rsid w:val="00D16790"/>
    <w:rsid w:val="00D1688F"/>
    <w:rsid w:val="00D169B3"/>
    <w:rsid w:val="00D169EE"/>
    <w:rsid w:val="00D16A37"/>
    <w:rsid w:val="00D16C19"/>
    <w:rsid w:val="00D16CD6"/>
    <w:rsid w:val="00D16ECD"/>
    <w:rsid w:val="00D1703A"/>
    <w:rsid w:val="00D172CB"/>
    <w:rsid w:val="00D174A0"/>
    <w:rsid w:val="00D1765E"/>
    <w:rsid w:val="00D17727"/>
    <w:rsid w:val="00D1791C"/>
    <w:rsid w:val="00D17929"/>
    <w:rsid w:val="00D17A2E"/>
    <w:rsid w:val="00D17A93"/>
    <w:rsid w:val="00D17B35"/>
    <w:rsid w:val="00D2001B"/>
    <w:rsid w:val="00D20036"/>
    <w:rsid w:val="00D20090"/>
    <w:rsid w:val="00D201E3"/>
    <w:rsid w:val="00D2040B"/>
    <w:rsid w:val="00D205E7"/>
    <w:rsid w:val="00D206BD"/>
    <w:rsid w:val="00D20C3F"/>
    <w:rsid w:val="00D20C71"/>
    <w:rsid w:val="00D20D05"/>
    <w:rsid w:val="00D20E56"/>
    <w:rsid w:val="00D20F53"/>
    <w:rsid w:val="00D212D2"/>
    <w:rsid w:val="00D2137A"/>
    <w:rsid w:val="00D213B0"/>
    <w:rsid w:val="00D21446"/>
    <w:rsid w:val="00D218CC"/>
    <w:rsid w:val="00D218F5"/>
    <w:rsid w:val="00D21BED"/>
    <w:rsid w:val="00D21DAE"/>
    <w:rsid w:val="00D21E05"/>
    <w:rsid w:val="00D2205D"/>
    <w:rsid w:val="00D223B7"/>
    <w:rsid w:val="00D226A4"/>
    <w:rsid w:val="00D2272E"/>
    <w:rsid w:val="00D229CC"/>
    <w:rsid w:val="00D22AAF"/>
    <w:rsid w:val="00D22C51"/>
    <w:rsid w:val="00D22D74"/>
    <w:rsid w:val="00D22DD3"/>
    <w:rsid w:val="00D230E9"/>
    <w:rsid w:val="00D231B3"/>
    <w:rsid w:val="00D231EE"/>
    <w:rsid w:val="00D232B3"/>
    <w:rsid w:val="00D2359E"/>
    <w:rsid w:val="00D23860"/>
    <w:rsid w:val="00D23916"/>
    <w:rsid w:val="00D23983"/>
    <w:rsid w:val="00D23A05"/>
    <w:rsid w:val="00D23B13"/>
    <w:rsid w:val="00D23EF1"/>
    <w:rsid w:val="00D23F47"/>
    <w:rsid w:val="00D241FD"/>
    <w:rsid w:val="00D243CD"/>
    <w:rsid w:val="00D2443D"/>
    <w:rsid w:val="00D24452"/>
    <w:rsid w:val="00D24829"/>
    <w:rsid w:val="00D248D7"/>
    <w:rsid w:val="00D248EE"/>
    <w:rsid w:val="00D24C98"/>
    <w:rsid w:val="00D24E9C"/>
    <w:rsid w:val="00D24F50"/>
    <w:rsid w:val="00D24FF4"/>
    <w:rsid w:val="00D251E1"/>
    <w:rsid w:val="00D25261"/>
    <w:rsid w:val="00D25363"/>
    <w:rsid w:val="00D254AA"/>
    <w:rsid w:val="00D25573"/>
    <w:rsid w:val="00D259B2"/>
    <w:rsid w:val="00D25A31"/>
    <w:rsid w:val="00D25AFD"/>
    <w:rsid w:val="00D25D95"/>
    <w:rsid w:val="00D25DAB"/>
    <w:rsid w:val="00D25EE0"/>
    <w:rsid w:val="00D260A7"/>
    <w:rsid w:val="00D26361"/>
    <w:rsid w:val="00D264BE"/>
    <w:rsid w:val="00D26515"/>
    <w:rsid w:val="00D26575"/>
    <w:rsid w:val="00D26773"/>
    <w:rsid w:val="00D268F8"/>
    <w:rsid w:val="00D26D0F"/>
    <w:rsid w:val="00D26D9F"/>
    <w:rsid w:val="00D26F67"/>
    <w:rsid w:val="00D27106"/>
    <w:rsid w:val="00D272FD"/>
    <w:rsid w:val="00D27357"/>
    <w:rsid w:val="00D27358"/>
    <w:rsid w:val="00D2737A"/>
    <w:rsid w:val="00D27683"/>
    <w:rsid w:val="00D276DA"/>
    <w:rsid w:val="00D2798E"/>
    <w:rsid w:val="00D27A2C"/>
    <w:rsid w:val="00D27B71"/>
    <w:rsid w:val="00D27C83"/>
    <w:rsid w:val="00D27DCC"/>
    <w:rsid w:val="00D27E49"/>
    <w:rsid w:val="00D27ECA"/>
    <w:rsid w:val="00D27EEA"/>
    <w:rsid w:val="00D30131"/>
    <w:rsid w:val="00D301EA"/>
    <w:rsid w:val="00D302C0"/>
    <w:rsid w:val="00D3033E"/>
    <w:rsid w:val="00D30454"/>
    <w:rsid w:val="00D3053D"/>
    <w:rsid w:val="00D307C9"/>
    <w:rsid w:val="00D30A66"/>
    <w:rsid w:val="00D30AEF"/>
    <w:rsid w:val="00D30CEE"/>
    <w:rsid w:val="00D30EB9"/>
    <w:rsid w:val="00D30F9A"/>
    <w:rsid w:val="00D30FEB"/>
    <w:rsid w:val="00D31088"/>
    <w:rsid w:val="00D310C9"/>
    <w:rsid w:val="00D31191"/>
    <w:rsid w:val="00D312A7"/>
    <w:rsid w:val="00D31319"/>
    <w:rsid w:val="00D31460"/>
    <w:rsid w:val="00D3146A"/>
    <w:rsid w:val="00D31558"/>
    <w:rsid w:val="00D31671"/>
    <w:rsid w:val="00D317B0"/>
    <w:rsid w:val="00D3185C"/>
    <w:rsid w:val="00D31913"/>
    <w:rsid w:val="00D31937"/>
    <w:rsid w:val="00D31A08"/>
    <w:rsid w:val="00D31B35"/>
    <w:rsid w:val="00D324F0"/>
    <w:rsid w:val="00D326A3"/>
    <w:rsid w:val="00D32759"/>
    <w:rsid w:val="00D327F0"/>
    <w:rsid w:val="00D3283D"/>
    <w:rsid w:val="00D32883"/>
    <w:rsid w:val="00D32A8C"/>
    <w:rsid w:val="00D32B89"/>
    <w:rsid w:val="00D32BD3"/>
    <w:rsid w:val="00D32D55"/>
    <w:rsid w:val="00D32D5F"/>
    <w:rsid w:val="00D32D77"/>
    <w:rsid w:val="00D32DC6"/>
    <w:rsid w:val="00D3304F"/>
    <w:rsid w:val="00D330DA"/>
    <w:rsid w:val="00D3326E"/>
    <w:rsid w:val="00D33276"/>
    <w:rsid w:val="00D33380"/>
    <w:rsid w:val="00D333B9"/>
    <w:rsid w:val="00D335D1"/>
    <w:rsid w:val="00D33946"/>
    <w:rsid w:val="00D339D3"/>
    <w:rsid w:val="00D339E7"/>
    <w:rsid w:val="00D33A47"/>
    <w:rsid w:val="00D33B4E"/>
    <w:rsid w:val="00D33C14"/>
    <w:rsid w:val="00D33C68"/>
    <w:rsid w:val="00D33C8F"/>
    <w:rsid w:val="00D33D13"/>
    <w:rsid w:val="00D34113"/>
    <w:rsid w:val="00D34189"/>
    <w:rsid w:val="00D343A7"/>
    <w:rsid w:val="00D34471"/>
    <w:rsid w:val="00D3451C"/>
    <w:rsid w:val="00D34581"/>
    <w:rsid w:val="00D345DA"/>
    <w:rsid w:val="00D34656"/>
    <w:rsid w:val="00D34706"/>
    <w:rsid w:val="00D3486A"/>
    <w:rsid w:val="00D348E8"/>
    <w:rsid w:val="00D34B3C"/>
    <w:rsid w:val="00D34B80"/>
    <w:rsid w:val="00D34C76"/>
    <w:rsid w:val="00D34C99"/>
    <w:rsid w:val="00D34E4C"/>
    <w:rsid w:val="00D3516A"/>
    <w:rsid w:val="00D352F2"/>
    <w:rsid w:val="00D35551"/>
    <w:rsid w:val="00D357C8"/>
    <w:rsid w:val="00D35876"/>
    <w:rsid w:val="00D358AD"/>
    <w:rsid w:val="00D35902"/>
    <w:rsid w:val="00D359DE"/>
    <w:rsid w:val="00D35B02"/>
    <w:rsid w:val="00D35BE8"/>
    <w:rsid w:val="00D36322"/>
    <w:rsid w:val="00D363D9"/>
    <w:rsid w:val="00D36479"/>
    <w:rsid w:val="00D3697D"/>
    <w:rsid w:val="00D36E09"/>
    <w:rsid w:val="00D36E42"/>
    <w:rsid w:val="00D36E6E"/>
    <w:rsid w:val="00D371F4"/>
    <w:rsid w:val="00D37486"/>
    <w:rsid w:val="00D374C3"/>
    <w:rsid w:val="00D3768D"/>
    <w:rsid w:val="00D378B3"/>
    <w:rsid w:val="00D37900"/>
    <w:rsid w:val="00D37965"/>
    <w:rsid w:val="00D37985"/>
    <w:rsid w:val="00D37B50"/>
    <w:rsid w:val="00D37DFF"/>
    <w:rsid w:val="00D37EE7"/>
    <w:rsid w:val="00D37FEA"/>
    <w:rsid w:val="00D4012A"/>
    <w:rsid w:val="00D40202"/>
    <w:rsid w:val="00D40260"/>
    <w:rsid w:val="00D40324"/>
    <w:rsid w:val="00D40504"/>
    <w:rsid w:val="00D407C2"/>
    <w:rsid w:val="00D40917"/>
    <w:rsid w:val="00D40998"/>
    <w:rsid w:val="00D40C58"/>
    <w:rsid w:val="00D40E59"/>
    <w:rsid w:val="00D40F3B"/>
    <w:rsid w:val="00D40F44"/>
    <w:rsid w:val="00D410A4"/>
    <w:rsid w:val="00D41141"/>
    <w:rsid w:val="00D41167"/>
    <w:rsid w:val="00D41299"/>
    <w:rsid w:val="00D41461"/>
    <w:rsid w:val="00D4155A"/>
    <w:rsid w:val="00D415B0"/>
    <w:rsid w:val="00D4165F"/>
    <w:rsid w:val="00D41715"/>
    <w:rsid w:val="00D419C2"/>
    <w:rsid w:val="00D41BE4"/>
    <w:rsid w:val="00D41C33"/>
    <w:rsid w:val="00D41D39"/>
    <w:rsid w:val="00D42240"/>
    <w:rsid w:val="00D42308"/>
    <w:rsid w:val="00D42831"/>
    <w:rsid w:val="00D42A66"/>
    <w:rsid w:val="00D42CC7"/>
    <w:rsid w:val="00D42E3E"/>
    <w:rsid w:val="00D42E3F"/>
    <w:rsid w:val="00D42F0C"/>
    <w:rsid w:val="00D433B2"/>
    <w:rsid w:val="00D4349B"/>
    <w:rsid w:val="00D4361D"/>
    <w:rsid w:val="00D43886"/>
    <w:rsid w:val="00D43F61"/>
    <w:rsid w:val="00D440A7"/>
    <w:rsid w:val="00D440AB"/>
    <w:rsid w:val="00D441FE"/>
    <w:rsid w:val="00D44300"/>
    <w:rsid w:val="00D44326"/>
    <w:rsid w:val="00D443AF"/>
    <w:rsid w:val="00D44411"/>
    <w:rsid w:val="00D444AC"/>
    <w:rsid w:val="00D446B4"/>
    <w:rsid w:val="00D446BF"/>
    <w:rsid w:val="00D4481A"/>
    <w:rsid w:val="00D448AF"/>
    <w:rsid w:val="00D44C04"/>
    <w:rsid w:val="00D44C75"/>
    <w:rsid w:val="00D44D4B"/>
    <w:rsid w:val="00D451F3"/>
    <w:rsid w:val="00D454FF"/>
    <w:rsid w:val="00D4559A"/>
    <w:rsid w:val="00D4569C"/>
    <w:rsid w:val="00D457B0"/>
    <w:rsid w:val="00D45835"/>
    <w:rsid w:val="00D45853"/>
    <w:rsid w:val="00D459B5"/>
    <w:rsid w:val="00D45AA9"/>
    <w:rsid w:val="00D45CAD"/>
    <w:rsid w:val="00D45DD8"/>
    <w:rsid w:val="00D45EE6"/>
    <w:rsid w:val="00D45FB2"/>
    <w:rsid w:val="00D46087"/>
    <w:rsid w:val="00D460C9"/>
    <w:rsid w:val="00D4620E"/>
    <w:rsid w:val="00D4626B"/>
    <w:rsid w:val="00D46292"/>
    <w:rsid w:val="00D4634F"/>
    <w:rsid w:val="00D463DC"/>
    <w:rsid w:val="00D464FE"/>
    <w:rsid w:val="00D4655B"/>
    <w:rsid w:val="00D466ED"/>
    <w:rsid w:val="00D4670E"/>
    <w:rsid w:val="00D469B4"/>
    <w:rsid w:val="00D46A1C"/>
    <w:rsid w:val="00D46A6A"/>
    <w:rsid w:val="00D46C5B"/>
    <w:rsid w:val="00D46E35"/>
    <w:rsid w:val="00D46E5A"/>
    <w:rsid w:val="00D46ECA"/>
    <w:rsid w:val="00D473DD"/>
    <w:rsid w:val="00D47418"/>
    <w:rsid w:val="00D47473"/>
    <w:rsid w:val="00D475EC"/>
    <w:rsid w:val="00D47692"/>
    <w:rsid w:val="00D477FB"/>
    <w:rsid w:val="00D47842"/>
    <w:rsid w:val="00D479F7"/>
    <w:rsid w:val="00D47A5B"/>
    <w:rsid w:val="00D47D53"/>
    <w:rsid w:val="00D47DC8"/>
    <w:rsid w:val="00D47E26"/>
    <w:rsid w:val="00D5015E"/>
    <w:rsid w:val="00D50184"/>
    <w:rsid w:val="00D501A4"/>
    <w:rsid w:val="00D50261"/>
    <w:rsid w:val="00D502DA"/>
    <w:rsid w:val="00D503DF"/>
    <w:rsid w:val="00D50411"/>
    <w:rsid w:val="00D50480"/>
    <w:rsid w:val="00D504CE"/>
    <w:rsid w:val="00D50525"/>
    <w:rsid w:val="00D505A3"/>
    <w:rsid w:val="00D505B0"/>
    <w:rsid w:val="00D50861"/>
    <w:rsid w:val="00D50915"/>
    <w:rsid w:val="00D5095D"/>
    <w:rsid w:val="00D509C8"/>
    <w:rsid w:val="00D50ADF"/>
    <w:rsid w:val="00D50CC4"/>
    <w:rsid w:val="00D50E29"/>
    <w:rsid w:val="00D50F18"/>
    <w:rsid w:val="00D50FEE"/>
    <w:rsid w:val="00D5107B"/>
    <w:rsid w:val="00D51114"/>
    <w:rsid w:val="00D51150"/>
    <w:rsid w:val="00D5118A"/>
    <w:rsid w:val="00D512A1"/>
    <w:rsid w:val="00D51368"/>
    <w:rsid w:val="00D5143C"/>
    <w:rsid w:val="00D514AB"/>
    <w:rsid w:val="00D516AF"/>
    <w:rsid w:val="00D51740"/>
    <w:rsid w:val="00D51891"/>
    <w:rsid w:val="00D518AC"/>
    <w:rsid w:val="00D51C61"/>
    <w:rsid w:val="00D51CB2"/>
    <w:rsid w:val="00D51F0D"/>
    <w:rsid w:val="00D520B8"/>
    <w:rsid w:val="00D5223C"/>
    <w:rsid w:val="00D52259"/>
    <w:rsid w:val="00D52264"/>
    <w:rsid w:val="00D52362"/>
    <w:rsid w:val="00D52375"/>
    <w:rsid w:val="00D527AA"/>
    <w:rsid w:val="00D52920"/>
    <w:rsid w:val="00D52963"/>
    <w:rsid w:val="00D52B14"/>
    <w:rsid w:val="00D52BF6"/>
    <w:rsid w:val="00D52D82"/>
    <w:rsid w:val="00D52DFE"/>
    <w:rsid w:val="00D53019"/>
    <w:rsid w:val="00D5313C"/>
    <w:rsid w:val="00D5324C"/>
    <w:rsid w:val="00D5338A"/>
    <w:rsid w:val="00D5348B"/>
    <w:rsid w:val="00D53545"/>
    <w:rsid w:val="00D535D3"/>
    <w:rsid w:val="00D5361F"/>
    <w:rsid w:val="00D536B8"/>
    <w:rsid w:val="00D536CE"/>
    <w:rsid w:val="00D53ADD"/>
    <w:rsid w:val="00D53B00"/>
    <w:rsid w:val="00D53C63"/>
    <w:rsid w:val="00D53CFA"/>
    <w:rsid w:val="00D53DA3"/>
    <w:rsid w:val="00D53DE8"/>
    <w:rsid w:val="00D54029"/>
    <w:rsid w:val="00D54207"/>
    <w:rsid w:val="00D5450B"/>
    <w:rsid w:val="00D545B6"/>
    <w:rsid w:val="00D547A2"/>
    <w:rsid w:val="00D547D1"/>
    <w:rsid w:val="00D549EB"/>
    <w:rsid w:val="00D549F9"/>
    <w:rsid w:val="00D54D16"/>
    <w:rsid w:val="00D54DFE"/>
    <w:rsid w:val="00D54F6F"/>
    <w:rsid w:val="00D55062"/>
    <w:rsid w:val="00D5562D"/>
    <w:rsid w:val="00D556A0"/>
    <w:rsid w:val="00D556D1"/>
    <w:rsid w:val="00D55A91"/>
    <w:rsid w:val="00D55AB1"/>
    <w:rsid w:val="00D55C1C"/>
    <w:rsid w:val="00D55F6F"/>
    <w:rsid w:val="00D560CA"/>
    <w:rsid w:val="00D560F9"/>
    <w:rsid w:val="00D5615A"/>
    <w:rsid w:val="00D5615B"/>
    <w:rsid w:val="00D56258"/>
    <w:rsid w:val="00D562C2"/>
    <w:rsid w:val="00D56763"/>
    <w:rsid w:val="00D567B8"/>
    <w:rsid w:val="00D5682A"/>
    <w:rsid w:val="00D56874"/>
    <w:rsid w:val="00D5696D"/>
    <w:rsid w:val="00D56A80"/>
    <w:rsid w:val="00D56B23"/>
    <w:rsid w:val="00D56E23"/>
    <w:rsid w:val="00D56E56"/>
    <w:rsid w:val="00D56F1E"/>
    <w:rsid w:val="00D57224"/>
    <w:rsid w:val="00D572CF"/>
    <w:rsid w:val="00D573A8"/>
    <w:rsid w:val="00D573B8"/>
    <w:rsid w:val="00D573FC"/>
    <w:rsid w:val="00D57531"/>
    <w:rsid w:val="00D578B0"/>
    <w:rsid w:val="00D578B9"/>
    <w:rsid w:val="00D57A79"/>
    <w:rsid w:val="00D57C38"/>
    <w:rsid w:val="00D57DD2"/>
    <w:rsid w:val="00D57E2E"/>
    <w:rsid w:val="00D57E5D"/>
    <w:rsid w:val="00D57EE3"/>
    <w:rsid w:val="00D600BA"/>
    <w:rsid w:val="00D6041E"/>
    <w:rsid w:val="00D6059A"/>
    <w:rsid w:val="00D607FB"/>
    <w:rsid w:val="00D6081E"/>
    <w:rsid w:val="00D608A4"/>
    <w:rsid w:val="00D60C0C"/>
    <w:rsid w:val="00D60CF3"/>
    <w:rsid w:val="00D60D4E"/>
    <w:rsid w:val="00D60D62"/>
    <w:rsid w:val="00D60DBF"/>
    <w:rsid w:val="00D61093"/>
    <w:rsid w:val="00D610F9"/>
    <w:rsid w:val="00D61128"/>
    <w:rsid w:val="00D6129B"/>
    <w:rsid w:val="00D61316"/>
    <w:rsid w:val="00D6131C"/>
    <w:rsid w:val="00D6132A"/>
    <w:rsid w:val="00D6137E"/>
    <w:rsid w:val="00D6156E"/>
    <w:rsid w:val="00D61678"/>
    <w:rsid w:val="00D61889"/>
    <w:rsid w:val="00D6199B"/>
    <w:rsid w:val="00D619E9"/>
    <w:rsid w:val="00D61BE8"/>
    <w:rsid w:val="00D61CC2"/>
    <w:rsid w:val="00D61E2F"/>
    <w:rsid w:val="00D61E62"/>
    <w:rsid w:val="00D62038"/>
    <w:rsid w:val="00D621E4"/>
    <w:rsid w:val="00D623B5"/>
    <w:rsid w:val="00D6243A"/>
    <w:rsid w:val="00D625D9"/>
    <w:rsid w:val="00D62792"/>
    <w:rsid w:val="00D629B1"/>
    <w:rsid w:val="00D62A33"/>
    <w:rsid w:val="00D62B94"/>
    <w:rsid w:val="00D62C03"/>
    <w:rsid w:val="00D62DA7"/>
    <w:rsid w:val="00D631E5"/>
    <w:rsid w:val="00D6323A"/>
    <w:rsid w:val="00D6333C"/>
    <w:rsid w:val="00D63452"/>
    <w:rsid w:val="00D634EF"/>
    <w:rsid w:val="00D635B2"/>
    <w:rsid w:val="00D63648"/>
    <w:rsid w:val="00D63655"/>
    <w:rsid w:val="00D636D9"/>
    <w:rsid w:val="00D63739"/>
    <w:rsid w:val="00D638A7"/>
    <w:rsid w:val="00D6399B"/>
    <w:rsid w:val="00D63A7B"/>
    <w:rsid w:val="00D63B40"/>
    <w:rsid w:val="00D63C0D"/>
    <w:rsid w:val="00D63C83"/>
    <w:rsid w:val="00D63D0B"/>
    <w:rsid w:val="00D63FB8"/>
    <w:rsid w:val="00D64008"/>
    <w:rsid w:val="00D642CC"/>
    <w:rsid w:val="00D64452"/>
    <w:rsid w:val="00D64462"/>
    <w:rsid w:val="00D64512"/>
    <w:rsid w:val="00D64595"/>
    <w:rsid w:val="00D64608"/>
    <w:rsid w:val="00D64751"/>
    <w:rsid w:val="00D6478A"/>
    <w:rsid w:val="00D64907"/>
    <w:rsid w:val="00D64991"/>
    <w:rsid w:val="00D649E3"/>
    <w:rsid w:val="00D64A8F"/>
    <w:rsid w:val="00D64B75"/>
    <w:rsid w:val="00D64BFB"/>
    <w:rsid w:val="00D64C46"/>
    <w:rsid w:val="00D64C9B"/>
    <w:rsid w:val="00D64E06"/>
    <w:rsid w:val="00D64F13"/>
    <w:rsid w:val="00D64FB1"/>
    <w:rsid w:val="00D64FCA"/>
    <w:rsid w:val="00D64FE6"/>
    <w:rsid w:val="00D650B5"/>
    <w:rsid w:val="00D6522B"/>
    <w:rsid w:val="00D652A1"/>
    <w:rsid w:val="00D65403"/>
    <w:rsid w:val="00D65430"/>
    <w:rsid w:val="00D65558"/>
    <w:rsid w:val="00D656CD"/>
    <w:rsid w:val="00D65887"/>
    <w:rsid w:val="00D65B5E"/>
    <w:rsid w:val="00D65F44"/>
    <w:rsid w:val="00D6622C"/>
    <w:rsid w:val="00D66244"/>
    <w:rsid w:val="00D66498"/>
    <w:rsid w:val="00D66A68"/>
    <w:rsid w:val="00D66C4E"/>
    <w:rsid w:val="00D66F0A"/>
    <w:rsid w:val="00D67014"/>
    <w:rsid w:val="00D6718E"/>
    <w:rsid w:val="00D67349"/>
    <w:rsid w:val="00D67650"/>
    <w:rsid w:val="00D6792C"/>
    <w:rsid w:val="00D679AC"/>
    <w:rsid w:val="00D67A23"/>
    <w:rsid w:val="00D67BF0"/>
    <w:rsid w:val="00D67D69"/>
    <w:rsid w:val="00D67D7D"/>
    <w:rsid w:val="00D67E07"/>
    <w:rsid w:val="00D67E42"/>
    <w:rsid w:val="00D67EC0"/>
    <w:rsid w:val="00D7007C"/>
    <w:rsid w:val="00D70391"/>
    <w:rsid w:val="00D703E2"/>
    <w:rsid w:val="00D7056D"/>
    <w:rsid w:val="00D70720"/>
    <w:rsid w:val="00D70729"/>
    <w:rsid w:val="00D70747"/>
    <w:rsid w:val="00D707D1"/>
    <w:rsid w:val="00D707E3"/>
    <w:rsid w:val="00D708D3"/>
    <w:rsid w:val="00D70A12"/>
    <w:rsid w:val="00D70B3C"/>
    <w:rsid w:val="00D70B4D"/>
    <w:rsid w:val="00D70BF9"/>
    <w:rsid w:val="00D7115C"/>
    <w:rsid w:val="00D711FC"/>
    <w:rsid w:val="00D711FD"/>
    <w:rsid w:val="00D713C0"/>
    <w:rsid w:val="00D713FB"/>
    <w:rsid w:val="00D71469"/>
    <w:rsid w:val="00D714BE"/>
    <w:rsid w:val="00D717FF"/>
    <w:rsid w:val="00D7196E"/>
    <w:rsid w:val="00D71B1E"/>
    <w:rsid w:val="00D71B64"/>
    <w:rsid w:val="00D71C1F"/>
    <w:rsid w:val="00D71CC3"/>
    <w:rsid w:val="00D71EC1"/>
    <w:rsid w:val="00D71F88"/>
    <w:rsid w:val="00D721FD"/>
    <w:rsid w:val="00D72329"/>
    <w:rsid w:val="00D7237C"/>
    <w:rsid w:val="00D72496"/>
    <w:rsid w:val="00D728E4"/>
    <w:rsid w:val="00D72943"/>
    <w:rsid w:val="00D72A42"/>
    <w:rsid w:val="00D72AB7"/>
    <w:rsid w:val="00D72BC5"/>
    <w:rsid w:val="00D72C4A"/>
    <w:rsid w:val="00D72C8B"/>
    <w:rsid w:val="00D72E39"/>
    <w:rsid w:val="00D72ED4"/>
    <w:rsid w:val="00D72F99"/>
    <w:rsid w:val="00D730A6"/>
    <w:rsid w:val="00D73133"/>
    <w:rsid w:val="00D7339F"/>
    <w:rsid w:val="00D73453"/>
    <w:rsid w:val="00D73648"/>
    <w:rsid w:val="00D7365A"/>
    <w:rsid w:val="00D736D4"/>
    <w:rsid w:val="00D7375C"/>
    <w:rsid w:val="00D73785"/>
    <w:rsid w:val="00D739DF"/>
    <w:rsid w:val="00D73B06"/>
    <w:rsid w:val="00D73BF5"/>
    <w:rsid w:val="00D73C9E"/>
    <w:rsid w:val="00D73DF4"/>
    <w:rsid w:val="00D73FF1"/>
    <w:rsid w:val="00D74266"/>
    <w:rsid w:val="00D742A3"/>
    <w:rsid w:val="00D747B3"/>
    <w:rsid w:val="00D748B3"/>
    <w:rsid w:val="00D7495F"/>
    <w:rsid w:val="00D74BA7"/>
    <w:rsid w:val="00D74CDF"/>
    <w:rsid w:val="00D74E7C"/>
    <w:rsid w:val="00D75056"/>
    <w:rsid w:val="00D750D9"/>
    <w:rsid w:val="00D750F5"/>
    <w:rsid w:val="00D75214"/>
    <w:rsid w:val="00D75258"/>
    <w:rsid w:val="00D7559C"/>
    <w:rsid w:val="00D7599A"/>
    <w:rsid w:val="00D75A2F"/>
    <w:rsid w:val="00D75A8E"/>
    <w:rsid w:val="00D75B73"/>
    <w:rsid w:val="00D75E2C"/>
    <w:rsid w:val="00D75FE7"/>
    <w:rsid w:val="00D75FFF"/>
    <w:rsid w:val="00D7600A"/>
    <w:rsid w:val="00D76062"/>
    <w:rsid w:val="00D761AB"/>
    <w:rsid w:val="00D763E0"/>
    <w:rsid w:val="00D7646B"/>
    <w:rsid w:val="00D764DF"/>
    <w:rsid w:val="00D765A8"/>
    <w:rsid w:val="00D76689"/>
    <w:rsid w:val="00D76771"/>
    <w:rsid w:val="00D76857"/>
    <w:rsid w:val="00D76A1E"/>
    <w:rsid w:val="00D76C42"/>
    <w:rsid w:val="00D76C48"/>
    <w:rsid w:val="00D76E47"/>
    <w:rsid w:val="00D7711E"/>
    <w:rsid w:val="00D7718D"/>
    <w:rsid w:val="00D771A8"/>
    <w:rsid w:val="00D773BF"/>
    <w:rsid w:val="00D77400"/>
    <w:rsid w:val="00D77BE5"/>
    <w:rsid w:val="00D77FDF"/>
    <w:rsid w:val="00D80038"/>
    <w:rsid w:val="00D8007E"/>
    <w:rsid w:val="00D8028E"/>
    <w:rsid w:val="00D802FC"/>
    <w:rsid w:val="00D803DE"/>
    <w:rsid w:val="00D803F9"/>
    <w:rsid w:val="00D80410"/>
    <w:rsid w:val="00D8062E"/>
    <w:rsid w:val="00D80A24"/>
    <w:rsid w:val="00D80A27"/>
    <w:rsid w:val="00D80A83"/>
    <w:rsid w:val="00D80B45"/>
    <w:rsid w:val="00D80C91"/>
    <w:rsid w:val="00D80C9B"/>
    <w:rsid w:val="00D80DAE"/>
    <w:rsid w:val="00D80E17"/>
    <w:rsid w:val="00D81121"/>
    <w:rsid w:val="00D81259"/>
    <w:rsid w:val="00D81380"/>
    <w:rsid w:val="00D813C5"/>
    <w:rsid w:val="00D814BC"/>
    <w:rsid w:val="00D81561"/>
    <w:rsid w:val="00D816D6"/>
    <w:rsid w:val="00D817D4"/>
    <w:rsid w:val="00D81890"/>
    <w:rsid w:val="00D8198E"/>
    <w:rsid w:val="00D819A1"/>
    <w:rsid w:val="00D81A1F"/>
    <w:rsid w:val="00D81A33"/>
    <w:rsid w:val="00D81B55"/>
    <w:rsid w:val="00D81C84"/>
    <w:rsid w:val="00D81F1E"/>
    <w:rsid w:val="00D8222F"/>
    <w:rsid w:val="00D823A9"/>
    <w:rsid w:val="00D824E7"/>
    <w:rsid w:val="00D8258A"/>
    <w:rsid w:val="00D825D6"/>
    <w:rsid w:val="00D825FE"/>
    <w:rsid w:val="00D82944"/>
    <w:rsid w:val="00D82A88"/>
    <w:rsid w:val="00D82A95"/>
    <w:rsid w:val="00D82C88"/>
    <w:rsid w:val="00D82CBA"/>
    <w:rsid w:val="00D82EE5"/>
    <w:rsid w:val="00D82F66"/>
    <w:rsid w:val="00D82FD8"/>
    <w:rsid w:val="00D832FE"/>
    <w:rsid w:val="00D8332D"/>
    <w:rsid w:val="00D83344"/>
    <w:rsid w:val="00D8362F"/>
    <w:rsid w:val="00D8376F"/>
    <w:rsid w:val="00D83C06"/>
    <w:rsid w:val="00D83CD3"/>
    <w:rsid w:val="00D83E3E"/>
    <w:rsid w:val="00D84048"/>
    <w:rsid w:val="00D84128"/>
    <w:rsid w:val="00D84141"/>
    <w:rsid w:val="00D84145"/>
    <w:rsid w:val="00D841A3"/>
    <w:rsid w:val="00D841F1"/>
    <w:rsid w:val="00D84251"/>
    <w:rsid w:val="00D8426D"/>
    <w:rsid w:val="00D842CB"/>
    <w:rsid w:val="00D848DF"/>
    <w:rsid w:val="00D8499C"/>
    <w:rsid w:val="00D84BA9"/>
    <w:rsid w:val="00D84CC7"/>
    <w:rsid w:val="00D84DF8"/>
    <w:rsid w:val="00D84E9E"/>
    <w:rsid w:val="00D84F57"/>
    <w:rsid w:val="00D850F0"/>
    <w:rsid w:val="00D851FF"/>
    <w:rsid w:val="00D85265"/>
    <w:rsid w:val="00D85636"/>
    <w:rsid w:val="00D8574C"/>
    <w:rsid w:val="00D8576E"/>
    <w:rsid w:val="00D85899"/>
    <w:rsid w:val="00D858C5"/>
    <w:rsid w:val="00D858F4"/>
    <w:rsid w:val="00D85A59"/>
    <w:rsid w:val="00D85AC0"/>
    <w:rsid w:val="00D85E0A"/>
    <w:rsid w:val="00D85E0D"/>
    <w:rsid w:val="00D85EA1"/>
    <w:rsid w:val="00D86008"/>
    <w:rsid w:val="00D8602E"/>
    <w:rsid w:val="00D8616A"/>
    <w:rsid w:val="00D861FD"/>
    <w:rsid w:val="00D8621F"/>
    <w:rsid w:val="00D8632C"/>
    <w:rsid w:val="00D86587"/>
    <w:rsid w:val="00D867B8"/>
    <w:rsid w:val="00D86836"/>
    <w:rsid w:val="00D86852"/>
    <w:rsid w:val="00D8696D"/>
    <w:rsid w:val="00D86975"/>
    <w:rsid w:val="00D86A58"/>
    <w:rsid w:val="00D86FA6"/>
    <w:rsid w:val="00D86FDE"/>
    <w:rsid w:val="00D870D5"/>
    <w:rsid w:val="00D8710C"/>
    <w:rsid w:val="00D87207"/>
    <w:rsid w:val="00D872D0"/>
    <w:rsid w:val="00D87341"/>
    <w:rsid w:val="00D87640"/>
    <w:rsid w:val="00D877AF"/>
    <w:rsid w:val="00D87A0A"/>
    <w:rsid w:val="00D87BE1"/>
    <w:rsid w:val="00D87C69"/>
    <w:rsid w:val="00D87CB8"/>
    <w:rsid w:val="00D87CED"/>
    <w:rsid w:val="00D87E41"/>
    <w:rsid w:val="00D87EF1"/>
    <w:rsid w:val="00D87F51"/>
    <w:rsid w:val="00D87FDD"/>
    <w:rsid w:val="00D90140"/>
    <w:rsid w:val="00D90187"/>
    <w:rsid w:val="00D90283"/>
    <w:rsid w:val="00D902C3"/>
    <w:rsid w:val="00D9043D"/>
    <w:rsid w:val="00D90525"/>
    <w:rsid w:val="00D90794"/>
    <w:rsid w:val="00D908EA"/>
    <w:rsid w:val="00D909C2"/>
    <w:rsid w:val="00D909C9"/>
    <w:rsid w:val="00D90A3A"/>
    <w:rsid w:val="00D90B76"/>
    <w:rsid w:val="00D90E21"/>
    <w:rsid w:val="00D90EC6"/>
    <w:rsid w:val="00D90F6A"/>
    <w:rsid w:val="00D91009"/>
    <w:rsid w:val="00D91072"/>
    <w:rsid w:val="00D910C0"/>
    <w:rsid w:val="00D9124B"/>
    <w:rsid w:val="00D91509"/>
    <w:rsid w:val="00D91C68"/>
    <w:rsid w:val="00D91F32"/>
    <w:rsid w:val="00D91F3B"/>
    <w:rsid w:val="00D9204D"/>
    <w:rsid w:val="00D921BC"/>
    <w:rsid w:val="00D922A2"/>
    <w:rsid w:val="00D926D3"/>
    <w:rsid w:val="00D926E0"/>
    <w:rsid w:val="00D92862"/>
    <w:rsid w:val="00D928D9"/>
    <w:rsid w:val="00D92A98"/>
    <w:rsid w:val="00D92F08"/>
    <w:rsid w:val="00D92FAA"/>
    <w:rsid w:val="00D93018"/>
    <w:rsid w:val="00D93078"/>
    <w:rsid w:val="00D93323"/>
    <w:rsid w:val="00D9342E"/>
    <w:rsid w:val="00D93443"/>
    <w:rsid w:val="00D934C0"/>
    <w:rsid w:val="00D935FD"/>
    <w:rsid w:val="00D9366E"/>
    <w:rsid w:val="00D9388B"/>
    <w:rsid w:val="00D93AEB"/>
    <w:rsid w:val="00D93B91"/>
    <w:rsid w:val="00D93D1A"/>
    <w:rsid w:val="00D93EB0"/>
    <w:rsid w:val="00D93FC5"/>
    <w:rsid w:val="00D940B6"/>
    <w:rsid w:val="00D94180"/>
    <w:rsid w:val="00D9421A"/>
    <w:rsid w:val="00D9430B"/>
    <w:rsid w:val="00D9444D"/>
    <w:rsid w:val="00D944AE"/>
    <w:rsid w:val="00D94677"/>
    <w:rsid w:val="00D94708"/>
    <w:rsid w:val="00D94729"/>
    <w:rsid w:val="00D9477A"/>
    <w:rsid w:val="00D9481E"/>
    <w:rsid w:val="00D94BFF"/>
    <w:rsid w:val="00D94DC9"/>
    <w:rsid w:val="00D95050"/>
    <w:rsid w:val="00D950A6"/>
    <w:rsid w:val="00D950BC"/>
    <w:rsid w:val="00D95372"/>
    <w:rsid w:val="00D95473"/>
    <w:rsid w:val="00D95655"/>
    <w:rsid w:val="00D9573B"/>
    <w:rsid w:val="00D959DE"/>
    <w:rsid w:val="00D95B37"/>
    <w:rsid w:val="00D95C36"/>
    <w:rsid w:val="00D95C7A"/>
    <w:rsid w:val="00D95EB8"/>
    <w:rsid w:val="00D9611C"/>
    <w:rsid w:val="00D9623B"/>
    <w:rsid w:val="00D96250"/>
    <w:rsid w:val="00D96292"/>
    <w:rsid w:val="00D962D2"/>
    <w:rsid w:val="00D9637F"/>
    <w:rsid w:val="00D96383"/>
    <w:rsid w:val="00D9641F"/>
    <w:rsid w:val="00D9642C"/>
    <w:rsid w:val="00D96633"/>
    <w:rsid w:val="00D96649"/>
    <w:rsid w:val="00D968C0"/>
    <w:rsid w:val="00D9692A"/>
    <w:rsid w:val="00D96954"/>
    <w:rsid w:val="00D969A0"/>
    <w:rsid w:val="00D969E8"/>
    <w:rsid w:val="00D96A48"/>
    <w:rsid w:val="00D96A63"/>
    <w:rsid w:val="00D96A73"/>
    <w:rsid w:val="00D96B29"/>
    <w:rsid w:val="00D96BD1"/>
    <w:rsid w:val="00D96E1E"/>
    <w:rsid w:val="00D96EAE"/>
    <w:rsid w:val="00D97099"/>
    <w:rsid w:val="00D97117"/>
    <w:rsid w:val="00D971F5"/>
    <w:rsid w:val="00D9736A"/>
    <w:rsid w:val="00D973A5"/>
    <w:rsid w:val="00D9742F"/>
    <w:rsid w:val="00D974CA"/>
    <w:rsid w:val="00D9757E"/>
    <w:rsid w:val="00D975E7"/>
    <w:rsid w:val="00D975E8"/>
    <w:rsid w:val="00D9782B"/>
    <w:rsid w:val="00D97888"/>
    <w:rsid w:val="00D978BB"/>
    <w:rsid w:val="00D97A59"/>
    <w:rsid w:val="00D97C6A"/>
    <w:rsid w:val="00D97D53"/>
    <w:rsid w:val="00D97D8A"/>
    <w:rsid w:val="00DA0012"/>
    <w:rsid w:val="00DA006A"/>
    <w:rsid w:val="00DA0136"/>
    <w:rsid w:val="00DA02E1"/>
    <w:rsid w:val="00DA0834"/>
    <w:rsid w:val="00DA0D1A"/>
    <w:rsid w:val="00DA1023"/>
    <w:rsid w:val="00DA156F"/>
    <w:rsid w:val="00DA1579"/>
    <w:rsid w:val="00DA1836"/>
    <w:rsid w:val="00DA1939"/>
    <w:rsid w:val="00DA19C5"/>
    <w:rsid w:val="00DA1A83"/>
    <w:rsid w:val="00DA1A8F"/>
    <w:rsid w:val="00DA1C7F"/>
    <w:rsid w:val="00DA1E67"/>
    <w:rsid w:val="00DA1E6B"/>
    <w:rsid w:val="00DA1EBD"/>
    <w:rsid w:val="00DA1FB8"/>
    <w:rsid w:val="00DA21FF"/>
    <w:rsid w:val="00DA22A6"/>
    <w:rsid w:val="00DA25F3"/>
    <w:rsid w:val="00DA2616"/>
    <w:rsid w:val="00DA2A46"/>
    <w:rsid w:val="00DA2CD0"/>
    <w:rsid w:val="00DA2D67"/>
    <w:rsid w:val="00DA304E"/>
    <w:rsid w:val="00DA317F"/>
    <w:rsid w:val="00DA31A1"/>
    <w:rsid w:val="00DA37CF"/>
    <w:rsid w:val="00DA3A07"/>
    <w:rsid w:val="00DA3A0A"/>
    <w:rsid w:val="00DA3ADD"/>
    <w:rsid w:val="00DA3D5F"/>
    <w:rsid w:val="00DA3D86"/>
    <w:rsid w:val="00DA3DFA"/>
    <w:rsid w:val="00DA3F95"/>
    <w:rsid w:val="00DA4005"/>
    <w:rsid w:val="00DA405E"/>
    <w:rsid w:val="00DA427E"/>
    <w:rsid w:val="00DA4320"/>
    <w:rsid w:val="00DA448D"/>
    <w:rsid w:val="00DA45B8"/>
    <w:rsid w:val="00DA463F"/>
    <w:rsid w:val="00DA48A5"/>
    <w:rsid w:val="00DA4902"/>
    <w:rsid w:val="00DA4AB8"/>
    <w:rsid w:val="00DA4F96"/>
    <w:rsid w:val="00DA5067"/>
    <w:rsid w:val="00DA5240"/>
    <w:rsid w:val="00DA54F6"/>
    <w:rsid w:val="00DA568C"/>
    <w:rsid w:val="00DA570B"/>
    <w:rsid w:val="00DA58C1"/>
    <w:rsid w:val="00DA59FA"/>
    <w:rsid w:val="00DA5A6B"/>
    <w:rsid w:val="00DA5AD3"/>
    <w:rsid w:val="00DA5AE6"/>
    <w:rsid w:val="00DA5B1A"/>
    <w:rsid w:val="00DA5C3E"/>
    <w:rsid w:val="00DA5C86"/>
    <w:rsid w:val="00DA5E0B"/>
    <w:rsid w:val="00DA5ED5"/>
    <w:rsid w:val="00DA5FA2"/>
    <w:rsid w:val="00DA6064"/>
    <w:rsid w:val="00DA60AB"/>
    <w:rsid w:val="00DA61A5"/>
    <w:rsid w:val="00DA639D"/>
    <w:rsid w:val="00DA654C"/>
    <w:rsid w:val="00DA65FC"/>
    <w:rsid w:val="00DA6788"/>
    <w:rsid w:val="00DA679B"/>
    <w:rsid w:val="00DA67A6"/>
    <w:rsid w:val="00DA68B1"/>
    <w:rsid w:val="00DA693F"/>
    <w:rsid w:val="00DA6948"/>
    <w:rsid w:val="00DA6B2D"/>
    <w:rsid w:val="00DA6C01"/>
    <w:rsid w:val="00DA6CBF"/>
    <w:rsid w:val="00DA71F0"/>
    <w:rsid w:val="00DA7226"/>
    <w:rsid w:val="00DA75F5"/>
    <w:rsid w:val="00DA763C"/>
    <w:rsid w:val="00DA76C1"/>
    <w:rsid w:val="00DA76DF"/>
    <w:rsid w:val="00DA7756"/>
    <w:rsid w:val="00DA78AC"/>
    <w:rsid w:val="00DA7A98"/>
    <w:rsid w:val="00DA7D90"/>
    <w:rsid w:val="00DA7E1E"/>
    <w:rsid w:val="00DA7FD2"/>
    <w:rsid w:val="00DB004E"/>
    <w:rsid w:val="00DB00C9"/>
    <w:rsid w:val="00DB01F9"/>
    <w:rsid w:val="00DB042E"/>
    <w:rsid w:val="00DB0A49"/>
    <w:rsid w:val="00DB0B33"/>
    <w:rsid w:val="00DB0CA2"/>
    <w:rsid w:val="00DB0E45"/>
    <w:rsid w:val="00DB0F7E"/>
    <w:rsid w:val="00DB12D7"/>
    <w:rsid w:val="00DB133C"/>
    <w:rsid w:val="00DB145C"/>
    <w:rsid w:val="00DB19F7"/>
    <w:rsid w:val="00DB1A78"/>
    <w:rsid w:val="00DB1B9D"/>
    <w:rsid w:val="00DB1BE1"/>
    <w:rsid w:val="00DB1C0B"/>
    <w:rsid w:val="00DB1E9B"/>
    <w:rsid w:val="00DB1F21"/>
    <w:rsid w:val="00DB2088"/>
    <w:rsid w:val="00DB20AB"/>
    <w:rsid w:val="00DB2487"/>
    <w:rsid w:val="00DB24A2"/>
    <w:rsid w:val="00DB2DFB"/>
    <w:rsid w:val="00DB2E8D"/>
    <w:rsid w:val="00DB30A4"/>
    <w:rsid w:val="00DB3229"/>
    <w:rsid w:val="00DB33E0"/>
    <w:rsid w:val="00DB3453"/>
    <w:rsid w:val="00DB363D"/>
    <w:rsid w:val="00DB3837"/>
    <w:rsid w:val="00DB3937"/>
    <w:rsid w:val="00DB3983"/>
    <w:rsid w:val="00DB399B"/>
    <w:rsid w:val="00DB39E5"/>
    <w:rsid w:val="00DB3A9D"/>
    <w:rsid w:val="00DB3ABA"/>
    <w:rsid w:val="00DB3F8D"/>
    <w:rsid w:val="00DB3FF9"/>
    <w:rsid w:val="00DB4001"/>
    <w:rsid w:val="00DB4172"/>
    <w:rsid w:val="00DB4178"/>
    <w:rsid w:val="00DB421C"/>
    <w:rsid w:val="00DB4265"/>
    <w:rsid w:val="00DB43A0"/>
    <w:rsid w:val="00DB4554"/>
    <w:rsid w:val="00DB45A2"/>
    <w:rsid w:val="00DB4660"/>
    <w:rsid w:val="00DB4864"/>
    <w:rsid w:val="00DB488C"/>
    <w:rsid w:val="00DB4B5C"/>
    <w:rsid w:val="00DB4C90"/>
    <w:rsid w:val="00DB4CA7"/>
    <w:rsid w:val="00DB4CC3"/>
    <w:rsid w:val="00DB4E41"/>
    <w:rsid w:val="00DB4E44"/>
    <w:rsid w:val="00DB4EBE"/>
    <w:rsid w:val="00DB4F17"/>
    <w:rsid w:val="00DB4F54"/>
    <w:rsid w:val="00DB5146"/>
    <w:rsid w:val="00DB52C4"/>
    <w:rsid w:val="00DB5721"/>
    <w:rsid w:val="00DB5729"/>
    <w:rsid w:val="00DB57C0"/>
    <w:rsid w:val="00DB5822"/>
    <w:rsid w:val="00DB5944"/>
    <w:rsid w:val="00DB5994"/>
    <w:rsid w:val="00DB59BA"/>
    <w:rsid w:val="00DB5A42"/>
    <w:rsid w:val="00DB5AF0"/>
    <w:rsid w:val="00DB5B27"/>
    <w:rsid w:val="00DB5C8C"/>
    <w:rsid w:val="00DB5CED"/>
    <w:rsid w:val="00DB5D23"/>
    <w:rsid w:val="00DB5E9D"/>
    <w:rsid w:val="00DB5EA8"/>
    <w:rsid w:val="00DB5FA0"/>
    <w:rsid w:val="00DB5FE2"/>
    <w:rsid w:val="00DB6049"/>
    <w:rsid w:val="00DB60D5"/>
    <w:rsid w:val="00DB63A1"/>
    <w:rsid w:val="00DB6490"/>
    <w:rsid w:val="00DB678F"/>
    <w:rsid w:val="00DB6892"/>
    <w:rsid w:val="00DB6938"/>
    <w:rsid w:val="00DB6A7B"/>
    <w:rsid w:val="00DB6C0E"/>
    <w:rsid w:val="00DB6C56"/>
    <w:rsid w:val="00DB6C8E"/>
    <w:rsid w:val="00DB6DF9"/>
    <w:rsid w:val="00DB6E71"/>
    <w:rsid w:val="00DB725A"/>
    <w:rsid w:val="00DB7338"/>
    <w:rsid w:val="00DB74DB"/>
    <w:rsid w:val="00DB75CF"/>
    <w:rsid w:val="00DB75D7"/>
    <w:rsid w:val="00DB75F2"/>
    <w:rsid w:val="00DB7621"/>
    <w:rsid w:val="00DB795A"/>
    <w:rsid w:val="00DB7AD9"/>
    <w:rsid w:val="00DB7EC3"/>
    <w:rsid w:val="00DB7F1E"/>
    <w:rsid w:val="00DC076E"/>
    <w:rsid w:val="00DC088F"/>
    <w:rsid w:val="00DC0B6F"/>
    <w:rsid w:val="00DC1038"/>
    <w:rsid w:val="00DC1063"/>
    <w:rsid w:val="00DC1147"/>
    <w:rsid w:val="00DC1543"/>
    <w:rsid w:val="00DC16C9"/>
    <w:rsid w:val="00DC16D5"/>
    <w:rsid w:val="00DC1777"/>
    <w:rsid w:val="00DC1896"/>
    <w:rsid w:val="00DC1C15"/>
    <w:rsid w:val="00DC1CA0"/>
    <w:rsid w:val="00DC1CE0"/>
    <w:rsid w:val="00DC1D86"/>
    <w:rsid w:val="00DC1EC6"/>
    <w:rsid w:val="00DC1F1E"/>
    <w:rsid w:val="00DC1FF6"/>
    <w:rsid w:val="00DC2432"/>
    <w:rsid w:val="00DC248F"/>
    <w:rsid w:val="00DC2498"/>
    <w:rsid w:val="00DC26D8"/>
    <w:rsid w:val="00DC2872"/>
    <w:rsid w:val="00DC28C5"/>
    <w:rsid w:val="00DC2B3A"/>
    <w:rsid w:val="00DC2D9C"/>
    <w:rsid w:val="00DC2E8F"/>
    <w:rsid w:val="00DC2F7B"/>
    <w:rsid w:val="00DC30C6"/>
    <w:rsid w:val="00DC314F"/>
    <w:rsid w:val="00DC31A6"/>
    <w:rsid w:val="00DC321E"/>
    <w:rsid w:val="00DC3270"/>
    <w:rsid w:val="00DC32E2"/>
    <w:rsid w:val="00DC3322"/>
    <w:rsid w:val="00DC34B7"/>
    <w:rsid w:val="00DC34FA"/>
    <w:rsid w:val="00DC35DA"/>
    <w:rsid w:val="00DC35F7"/>
    <w:rsid w:val="00DC3614"/>
    <w:rsid w:val="00DC37B5"/>
    <w:rsid w:val="00DC3884"/>
    <w:rsid w:val="00DC39C8"/>
    <w:rsid w:val="00DC3AE5"/>
    <w:rsid w:val="00DC3D1D"/>
    <w:rsid w:val="00DC41D2"/>
    <w:rsid w:val="00DC431A"/>
    <w:rsid w:val="00DC435C"/>
    <w:rsid w:val="00DC44BD"/>
    <w:rsid w:val="00DC45F6"/>
    <w:rsid w:val="00DC472F"/>
    <w:rsid w:val="00DC4774"/>
    <w:rsid w:val="00DC4854"/>
    <w:rsid w:val="00DC4889"/>
    <w:rsid w:val="00DC4A31"/>
    <w:rsid w:val="00DC4D2F"/>
    <w:rsid w:val="00DC500D"/>
    <w:rsid w:val="00DC5199"/>
    <w:rsid w:val="00DC5557"/>
    <w:rsid w:val="00DC5561"/>
    <w:rsid w:val="00DC55F2"/>
    <w:rsid w:val="00DC5747"/>
    <w:rsid w:val="00DC585C"/>
    <w:rsid w:val="00DC5B1B"/>
    <w:rsid w:val="00DC6084"/>
    <w:rsid w:val="00DC616A"/>
    <w:rsid w:val="00DC6291"/>
    <w:rsid w:val="00DC6389"/>
    <w:rsid w:val="00DC6652"/>
    <w:rsid w:val="00DC6932"/>
    <w:rsid w:val="00DC6B00"/>
    <w:rsid w:val="00DC6B8B"/>
    <w:rsid w:val="00DC6B95"/>
    <w:rsid w:val="00DC6C3B"/>
    <w:rsid w:val="00DC6CFF"/>
    <w:rsid w:val="00DC6E40"/>
    <w:rsid w:val="00DC6F48"/>
    <w:rsid w:val="00DC701F"/>
    <w:rsid w:val="00DC71F6"/>
    <w:rsid w:val="00DC7318"/>
    <w:rsid w:val="00DC755A"/>
    <w:rsid w:val="00DC7630"/>
    <w:rsid w:val="00DC768E"/>
    <w:rsid w:val="00DC782D"/>
    <w:rsid w:val="00DC7A21"/>
    <w:rsid w:val="00DC7AE7"/>
    <w:rsid w:val="00DC7D19"/>
    <w:rsid w:val="00DC7E60"/>
    <w:rsid w:val="00DC7EE6"/>
    <w:rsid w:val="00DC7EE7"/>
    <w:rsid w:val="00DCC186"/>
    <w:rsid w:val="00DD0028"/>
    <w:rsid w:val="00DD0342"/>
    <w:rsid w:val="00DD04D1"/>
    <w:rsid w:val="00DD04EE"/>
    <w:rsid w:val="00DD06BC"/>
    <w:rsid w:val="00DD0A6B"/>
    <w:rsid w:val="00DD0C41"/>
    <w:rsid w:val="00DD0E14"/>
    <w:rsid w:val="00DD0F47"/>
    <w:rsid w:val="00DD1141"/>
    <w:rsid w:val="00DD127D"/>
    <w:rsid w:val="00DD131D"/>
    <w:rsid w:val="00DD141E"/>
    <w:rsid w:val="00DD143A"/>
    <w:rsid w:val="00DD1533"/>
    <w:rsid w:val="00DD15E6"/>
    <w:rsid w:val="00DD183B"/>
    <w:rsid w:val="00DD1874"/>
    <w:rsid w:val="00DD19A6"/>
    <w:rsid w:val="00DD19E9"/>
    <w:rsid w:val="00DD1A46"/>
    <w:rsid w:val="00DD1C58"/>
    <w:rsid w:val="00DD1C9E"/>
    <w:rsid w:val="00DD1D87"/>
    <w:rsid w:val="00DD1DBC"/>
    <w:rsid w:val="00DD1DC8"/>
    <w:rsid w:val="00DD1EE9"/>
    <w:rsid w:val="00DD2104"/>
    <w:rsid w:val="00DD2214"/>
    <w:rsid w:val="00DD22DD"/>
    <w:rsid w:val="00DD2361"/>
    <w:rsid w:val="00DD236C"/>
    <w:rsid w:val="00DD2440"/>
    <w:rsid w:val="00DD289A"/>
    <w:rsid w:val="00DD28BF"/>
    <w:rsid w:val="00DD2985"/>
    <w:rsid w:val="00DD2A88"/>
    <w:rsid w:val="00DD2ADB"/>
    <w:rsid w:val="00DD2B82"/>
    <w:rsid w:val="00DD2B93"/>
    <w:rsid w:val="00DD2BF3"/>
    <w:rsid w:val="00DD2C7D"/>
    <w:rsid w:val="00DD2DEA"/>
    <w:rsid w:val="00DD2EED"/>
    <w:rsid w:val="00DD30A7"/>
    <w:rsid w:val="00DD30CB"/>
    <w:rsid w:val="00DD32F0"/>
    <w:rsid w:val="00DD33E8"/>
    <w:rsid w:val="00DD349A"/>
    <w:rsid w:val="00DD35A7"/>
    <w:rsid w:val="00DD3718"/>
    <w:rsid w:val="00DD3871"/>
    <w:rsid w:val="00DD395F"/>
    <w:rsid w:val="00DD39C0"/>
    <w:rsid w:val="00DD39CC"/>
    <w:rsid w:val="00DD39DA"/>
    <w:rsid w:val="00DD3A76"/>
    <w:rsid w:val="00DD3B11"/>
    <w:rsid w:val="00DD3D45"/>
    <w:rsid w:val="00DD4249"/>
    <w:rsid w:val="00DD4257"/>
    <w:rsid w:val="00DD4366"/>
    <w:rsid w:val="00DD43B0"/>
    <w:rsid w:val="00DD45E2"/>
    <w:rsid w:val="00DD45F8"/>
    <w:rsid w:val="00DD46BA"/>
    <w:rsid w:val="00DD4823"/>
    <w:rsid w:val="00DD4852"/>
    <w:rsid w:val="00DD48E2"/>
    <w:rsid w:val="00DD496B"/>
    <w:rsid w:val="00DD515D"/>
    <w:rsid w:val="00DD551E"/>
    <w:rsid w:val="00DD5775"/>
    <w:rsid w:val="00DD57B1"/>
    <w:rsid w:val="00DD58C2"/>
    <w:rsid w:val="00DD5BBF"/>
    <w:rsid w:val="00DD5BD6"/>
    <w:rsid w:val="00DD5C5B"/>
    <w:rsid w:val="00DD5D5E"/>
    <w:rsid w:val="00DD5F01"/>
    <w:rsid w:val="00DD5FCB"/>
    <w:rsid w:val="00DD61A3"/>
    <w:rsid w:val="00DD62F7"/>
    <w:rsid w:val="00DD63CD"/>
    <w:rsid w:val="00DD65ED"/>
    <w:rsid w:val="00DD6706"/>
    <w:rsid w:val="00DD6ADA"/>
    <w:rsid w:val="00DD6BA0"/>
    <w:rsid w:val="00DD6C2A"/>
    <w:rsid w:val="00DD6F0A"/>
    <w:rsid w:val="00DD707F"/>
    <w:rsid w:val="00DD7310"/>
    <w:rsid w:val="00DD741A"/>
    <w:rsid w:val="00DD7435"/>
    <w:rsid w:val="00DD75B4"/>
    <w:rsid w:val="00DD75B6"/>
    <w:rsid w:val="00DD75EF"/>
    <w:rsid w:val="00DD7BDB"/>
    <w:rsid w:val="00DD7C31"/>
    <w:rsid w:val="00DD7D28"/>
    <w:rsid w:val="00DD7DB9"/>
    <w:rsid w:val="00DD7DF6"/>
    <w:rsid w:val="00DD7F08"/>
    <w:rsid w:val="00DD7F13"/>
    <w:rsid w:val="00DDEB79"/>
    <w:rsid w:val="00DE0155"/>
    <w:rsid w:val="00DE05EE"/>
    <w:rsid w:val="00DE071C"/>
    <w:rsid w:val="00DE0B15"/>
    <w:rsid w:val="00DE0C7F"/>
    <w:rsid w:val="00DE0CCE"/>
    <w:rsid w:val="00DE0DF1"/>
    <w:rsid w:val="00DE0E32"/>
    <w:rsid w:val="00DE111E"/>
    <w:rsid w:val="00DE1158"/>
    <w:rsid w:val="00DE11CE"/>
    <w:rsid w:val="00DE12FF"/>
    <w:rsid w:val="00DE1331"/>
    <w:rsid w:val="00DE1583"/>
    <w:rsid w:val="00DE16F3"/>
    <w:rsid w:val="00DE18C1"/>
    <w:rsid w:val="00DE18CE"/>
    <w:rsid w:val="00DE19A0"/>
    <w:rsid w:val="00DE1B34"/>
    <w:rsid w:val="00DE1BFE"/>
    <w:rsid w:val="00DE1C91"/>
    <w:rsid w:val="00DE1E3B"/>
    <w:rsid w:val="00DE1E7B"/>
    <w:rsid w:val="00DE2052"/>
    <w:rsid w:val="00DE20E0"/>
    <w:rsid w:val="00DE20E4"/>
    <w:rsid w:val="00DE20FA"/>
    <w:rsid w:val="00DE215D"/>
    <w:rsid w:val="00DE2167"/>
    <w:rsid w:val="00DE2177"/>
    <w:rsid w:val="00DE230C"/>
    <w:rsid w:val="00DE236E"/>
    <w:rsid w:val="00DE23A9"/>
    <w:rsid w:val="00DE2491"/>
    <w:rsid w:val="00DE256E"/>
    <w:rsid w:val="00DE2C4B"/>
    <w:rsid w:val="00DE2ECD"/>
    <w:rsid w:val="00DE3079"/>
    <w:rsid w:val="00DE3450"/>
    <w:rsid w:val="00DE34F3"/>
    <w:rsid w:val="00DE352E"/>
    <w:rsid w:val="00DE36C8"/>
    <w:rsid w:val="00DE375C"/>
    <w:rsid w:val="00DE3778"/>
    <w:rsid w:val="00DE3885"/>
    <w:rsid w:val="00DE38A8"/>
    <w:rsid w:val="00DE3AF9"/>
    <w:rsid w:val="00DE3C49"/>
    <w:rsid w:val="00DE3C77"/>
    <w:rsid w:val="00DE3D7D"/>
    <w:rsid w:val="00DE3D7E"/>
    <w:rsid w:val="00DE3E27"/>
    <w:rsid w:val="00DE4076"/>
    <w:rsid w:val="00DE4205"/>
    <w:rsid w:val="00DE43A2"/>
    <w:rsid w:val="00DE43C4"/>
    <w:rsid w:val="00DE4603"/>
    <w:rsid w:val="00DE4662"/>
    <w:rsid w:val="00DE4679"/>
    <w:rsid w:val="00DE491E"/>
    <w:rsid w:val="00DE4DC8"/>
    <w:rsid w:val="00DE4F7E"/>
    <w:rsid w:val="00DE50BF"/>
    <w:rsid w:val="00DE525A"/>
    <w:rsid w:val="00DE56DC"/>
    <w:rsid w:val="00DE5969"/>
    <w:rsid w:val="00DE597E"/>
    <w:rsid w:val="00DE597F"/>
    <w:rsid w:val="00DE5A70"/>
    <w:rsid w:val="00DE5A7C"/>
    <w:rsid w:val="00DE5C0A"/>
    <w:rsid w:val="00DE5C56"/>
    <w:rsid w:val="00DE5D5E"/>
    <w:rsid w:val="00DE5EB1"/>
    <w:rsid w:val="00DE5F11"/>
    <w:rsid w:val="00DE6028"/>
    <w:rsid w:val="00DE63C9"/>
    <w:rsid w:val="00DE63E8"/>
    <w:rsid w:val="00DE641F"/>
    <w:rsid w:val="00DE66B8"/>
    <w:rsid w:val="00DE6855"/>
    <w:rsid w:val="00DE6869"/>
    <w:rsid w:val="00DE68ED"/>
    <w:rsid w:val="00DE69B7"/>
    <w:rsid w:val="00DE6DAC"/>
    <w:rsid w:val="00DE6E2A"/>
    <w:rsid w:val="00DE6F49"/>
    <w:rsid w:val="00DE6FD7"/>
    <w:rsid w:val="00DE6FFB"/>
    <w:rsid w:val="00DE70BF"/>
    <w:rsid w:val="00DE7108"/>
    <w:rsid w:val="00DE7259"/>
    <w:rsid w:val="00DE7323"/>
    <w:rsid w:val="00DE736B"/>
    <w:rsid w:val="00DE7407"/>
    <w:rsid w:val="00DE749E"/>
    <w:rsid w:val="00DE74FE"/>
    <w:rsid w:val="00DE7587"/>
    <w:rsid w:val="00DE7848"/>
    <w:rsid w:val="00DE7D4E"/>
    <w:rsid w:val="00DE7E39"/>
    <w:rsid w:val="00DE7E53"/>
    <w:rsid w:val="00DE7F98"/>
    <w:rsid w:val="00DF000D"/>
    <w:rsid w:val="00DF0281"/>
    <w:rsid w:val="00DF034B"/>
    <w:rsid w:val="00DF0536"/>
    <w:rsid w:val="00DF06E1"/>
    <w:rsid w:val="00DF0844"/>
    <w:rsid w:val="00DF08EE"/>
    <w:rsid w:val="00DF0950"/>
    <w:rsid w:val="00DF09C4"/>
    <w:rsid w:val="00DF0B64"/>
    <w:rsid w:val="00DF0C75"/>
    <w:rsid w:val="00DF1011"/>
    <w:rsid w:val="00DF1288"/>
    <w:rsid w:val="00DF12AB"/>
    <w:rsid w:val="00DF1397"/>
    <w:rsid w:val="00DF13F0"/>
    <w:rsid w:val="00DF1451"/>
    <w:rsid w:val="00DF1742"/>
    <w:rsid w:val="00DF17F1"/>
    <w:rsid w:val="00DF19F1"/>
    <w:rsid w:val="00DF1A0F"/>
    <w:rsid w:val="00DF1A30"/>
    <w:rsid w:val="00DF1BFC"/>
    <w:rsid w:val="00DF1D7B"/>
    <w:rsid w:val="00DF1F86"/>
    <w:rsid w:val="00DF22DA"/>
    <w:rsid w:val="00DF251C"/>
    <w:rsid w:val="00DF2537"/>
    <w:rsid w:val="00DF2559"/>
    <w:rsid w:val="00DF268D"/>
    <w:rsid w:val="00DF2AA8"/>
    <w:rsid w:val="00DF2ED4"/>
    <w:rsid w:val="00DF2EFA"/>
    <w:rsid w:val="00DF2F3C"/>
    <w:rsid w:val="00DF2FBF"/>
    <w:rsid w:val="00DF2FC6"/>
    <w:rsid w:val="00DF3146"/>
    <w:rsid w:val="00DF35E1"/>
    <w:rsid w:val="00DF3624"/>
    <w:rsid w:val="00DF36C0"/>
    <w:rsid w:val="00DF372E"/>
    <w:rsid w:val="00DF381A"/>
    <w:rsid w:val="00DF3909"/>
    <w:rsid w:val="00DF3BD9"/>
    <w:rsid w:val="00DF4176"/>
    <w:rsid w:val="00DF4308"/>
    <w:rsid w:val="00DF43BD"/>
    <w:rsid w:val="00DF44E7"/>
    <w:rsid w:val="00DF459C"/>
    <w:rsid w:val="00DF4881"/>
    <w:rsid w:val="00DF49A8"/>
    <w:rsid w:val="00DF4C79"/>
    <w:rsid w:val="00DF4D66"/>
    <w:rsid w:val="00DF5013"/>
    <w:rsid w:val="00DF515D"/>
    <w:rsid w:val="00DF51C8"/>
    <w:rsid w:val="00DF5343"/>
    <w:rsid w:val="00DF5516"/>
    <w:rsid w:val="00DF5703"/>
    <w:rsid w:val="00DF579C"/>
    <w:rsid w:val="00DF59A9"/>
    <w:rsid w:val="00DF59BF"/>
    <w:rsid w:val="00DF5B4B"/>
    <w:rsid w:val="00DF5D5E"/>
    <w:rsid w:val="00DF5EB5"/>
    <w:rsid w:val="00DF615C"/>
    <w:rsid w:val="00DF62A3"/>
    <w:rsid w:val="00DF6324"/>
    <w:rsid w:val="00DF63DB"/>
    <w:rsid w:val="00DF643F"/>
    <w:rsid w:val="00DF6450"/>
    <w:rsid w:val="00DF6CDC"/>
    <w:rsid w:val="00DF6E89"/>
    <w:rsid w:val="00DF6FA6"/>
    <w:rsid w:val="00DF7005"/>
    <w:rsid w:val="00DF707D"/>
    <w:rsid w:val="00DF70A1"/>
    <w:rsid w:val="00DF7137"/>
    <w:rsid w:val="00DF7156"/>
    <w:rsid w:val="00DF717F"/>
    <w:rsid w:val="00DF71FD"/>
    <w:rsid w:val="00DF7548"/>
    <w:rsid w:val="00DF77A3"/>
    <w:rsid w:val="00DF7926"/>
    <w:rsid w:val="00DF7956"/>
    <w:rsid w:val="00DF79E0"/>
    <w:rsid w:val="00DF7B10"/>
    <w:rsid w:val="00DF7BAE"/>
    <w:rsid w:val="00DF7C47"/>
    <w:rsid w:val="00DF7C65"/>
    <w:rsid w:val="00DF7F72"/>
    <w:rsid w:val="00DF7FBA"/>
    <w:rsid w:val="00DFEA94"/>
    <w:rsid w:val="00E00002"/>
    <w:rsid w:val="00E00156"/>
    <w:rsid w:val="00E0019C"/>
    <w:rsid w:val="00E001D9"/>
    <w:rsid w:val="00E005D7"/>
    <w:rsid w:val="00E00622"/>
    <w:rsid w:val="00E00B81"/>
    <w:rsid w:val="00E00D68"/>
    <w:rsid w:val="00E00EB1"/>
    <w:rsid w:val="00E00F95"/>
    <w:rsid w:val="00E012E4"/>
    <w:rsid w:val="00E01480"/>
    <w:rsid w:val="00E01552"/>
    <w:rsid w:val="00E01754"/>
    <w:rsid w:val="00E017CF"/>
    <w:rsid w:val="00E019D0"/>
    <w:rsid w:val="00E01ADF"/>
    <w:rsid w:val="00E01C47"/>
    <w:rsid w:val="00E01D40"/>
    <w:rsid w:val="00E01EF6"/>
    <w:rsid w:val="00E01F00"/>
    <w:rsid w:val="00E01FCE"/>
    <w:rsid w:val="00E02029"/>
    <w:rsid w:val="00E02141"/>
    <w:rsid w:val="00E021B7"/>
    <w:rsid w:val="00E022AB"/>
    <w:rsid w:val="00E02861"/>
    <w:rsid w:val="00E02903"/>
    <w:rsid w:val="00E02969"/>
    <w:rsid w:val="00E02C8F"/>
    <w:rsid w:val="00E03054"/>
    <w:rsid w:val="00E030D8"/>
    <w:rsid w:val="00E03180"/>
    <w:rsid w:val="00E03289"/>
    <w:rsid w:val="00E0331B"/>
    <w:rsid w:val="00E035D3"/>
    <w:rsid w:val="00E03879"/>
    <w:rsid w:val="00E038F2"/>
    <w:rsid w:val="00E03C01"/>
    <w:rsid w:val="00E03EAA"/>
    <w:rsid w:val="00E04151"/>
    <w:rsid w:val="00E0417E"/>
    <w:rsid w:val="00E043EC"/>
    <w:rsid w:val="00E04503"/>
    <w:rsid w:val="00E04718"/>
    <w:rsid w:val="00E04759"/>
    <w:rsid w:val="00E0481C"/>
    <w:rsid w:val="00E04947"/>
    <w:rsid w:val="00E04A7C"/>
    <w:rsid w:val="00E04B10"/>
    <w:rsid w:val="00E04BF7"/>
    <w:rsid w:val="00E051D1"/>
    <w:rsid w:val="00E0527C"/>
    <w:rsid w:val="00E05499"/>
    <w:rsid w:val="00E0573C"/>
    <w:rsid w:val="00E05840"/>
    <w:rsid w:val="00E058BA"/>
    <w:rsid w:val="00E058EF"/>
    <w:rsid w:val="00E05997"/>
    <w:rsid w:val="00E05A1E"/>
    <w:rsid w:val="00E05D66"/>
    <w:rsid w:val="00E05E3C"/>
    <w:rsid w:val="00E05FB7"/>
    <w:rsid w:val="00E06006"/>
    <w:rsid w:val="00E0625E"/>
    <w:rsid w:val="00E0652E"/>
    <w:rsid w:val="00E065C1"/>
    <w:rsid w:val="00E065D4"/>
    <w:rsid w:val="00E06A84"/>
    <w:rsid w:val="00E06BC3"/>
    <w:rsid w:val="00E06E80"/>
    <w:rsid w:val="00E0700F"/>
    <w:rsid w:val="00E07286"/>
    <w:rsid w:val="00E073BD"/>
    <w:rsid w:val="00E07528"/>
    <w:rsid w:val="00E07668"/>
    <w:rsid w:val="00E076C7"/>
    <w:rsid w:val="00E078D4"/>
    <w:rsid w:val="00E078D7"/>
    <w:rsid w:val="00E078DD"/>
    <w:rsid w:val="00E079B7"/>
    <w:rsid w:val="00E07CDC"/>
    <w:rsid w:val="00E07CE7"/>
    <w:rsid w:val="00E07DD9"/>
    <w:rsid w:val="00E07E78"/>
    <w:rsid w:val="00E07EE9"/>
    <w:rsid w:val="00E07F4B"/>
    <w:rsid w:val="00E1014E"/>
    <w:rsid w:val="00E102B4"/>
    <w:rsid w:val="00E10491"/>
    <w:rsid w:val="00E1054C"/>
    <w:rsid w:val="00E105FF"/>
    <w:rsid w:val="00E108F3"/>
    <w:rsid w:val="00E10BE2"/>
    <w:rsid w:val="00E10C1B"/>
    <w:rsid w:val="00E10D77"/>
    <w:rsid w:val="00E10F0B"/>
    <w:rsid w:val="00E110EE"/>
    <w:rsid w:val="00E1113F"/>
    <w:rsid w:val="00E11189"/>
    <w:rsid w:val="00E113D8"/>
    <w:rsid w:val="00E117CB"/>
    <w:rsid w:val="00E11C4B"/>
    <w:rsid w:val="00E11C52"/>
    <w:rsid w:val="00E11C8D"/>
    <w:rsid w:val="00E11CEB"/>
    <w:rsid w:val="00E12022"/>
    <w:rsid w:val="00E1241B"/>
    <w:rsid w:val="00E12457"/>
    <w:rsid w:val="00E124F6"/>
    <w:rsid w:val="00E126ED"/>
    <w:rsid w:val="00E129F4"/>
    <w:rsid w:val="00E12B3F"/>
    <w:rsid w:val="00E12B80"/>
    <w:rsid w:val="00E12BB9"/>
    <w:rsid w:val="00E12C95"/>
    <w:rsid w:val="00E12D04"/>
    <w:rsid w:val="00E12D8F"/>
    <w:rsid w:val="00E1303A"/>
    <w:rsid w:val="00E1310D"/>
    <w:rsid w:val="00E132AB"/>
    <w:rsid w:val="00E132CB"/>
    <w:rsid w:val="00E1343C"/>
    <w:rsid w:val="00E1343E"/>
    <w:rsid w:val="00E1344A"/>
    <w:rsid w:val="00E13486"/>
    <w:rsid w:val="00E13618"/>
    <w:rsid w:val="00E1367D"/>
    <w:rsid w:val="00E13686"/>
    <w:rsid w:val="00E1375A"/>
    <w:rsid w:val="00E13885"/>
    <w:rsid w:val="00E138B1"/>
    <w:rsid w:val="00E13975"/>
    <w:rsid w:val="00E139B0"/>
    <w:rsid w:val="00E13A8B"/>
    <w:rsid w:val="00E13AF2"/>
    <w:rsid w:val="00E13B9F"/>
    <w:rsid w:val="00E13E22"/>
    <w:rsid w:val="00E13ED3"/>
    <w:rsid w:val="00E13EE1"/>
    <w:rsid w:val="00E1419B"/>
    <w:rsid w:val="00E1423F"/>
    <w:rsid w:val="00E1426E"/>
    <w:rsid w:val="00E143AB"/>
    <w:rsid w:val="00E1453F"/>
    <w:rsid w:val="00E148A4"/>
    <w:rsid w:val="00E14AB4"/>
    <w:rsid w:val="00E14BBB"/>
    <w:rsid w:val="00E14C22"/>
    <w:rsid w:val="00E14CDC"/>
    <w:rsid w:val="00E14D44"/>
    <w:rsid w:val="00E15129"/>
    <w:rsid w:val="00E153D0"/>
    <w:rsid w:val="00E153EC"/>
    <w:rsid w:val="00E1541F"/>
    <w:rsid w:val="00E15441"/>
    <w:rsid w:val="00E15514"/>
    <w:rsid w:val="00E15706"/>
    <w:rsid w:val="00E15882"/>
    <w:rsid w:val="00E1594A"/>
    <w:rsid w:val="00E15AA9"/>
    <w:rsid w:val="00E15C3A"/>
    <w:rsid w:val="00E15CD1"/>
    <w:rsid w:val="00E15D11"/>
    <w:rsid w:val="00E15DFF"/>
    <w:rsid w:val="00E15E1B"/>
    <w:rsid w:val="00E15E4D"/>
    <w:rsid w:val="00E16027"/>
    <w:rsid w:val="00E1605C"/>
    <w:rsid w:val="00E160DD"/>
    <w:rsid w:val="00E16264"/>
    <w:rsid w:val="00E16365"/>
    <w:rsid w:val="00E1647E"/>
    <w:rsid w:val="00E165B3"/>
    <w:rsid w:val="00E166A2"/>
    <w:rsid w:val="00E166C4"/>
    <w:rsid w:val="00E166C5"/>
    <w:rsid w:val="00E16859"/>
    <w:rsid w:val="00E16916"/>
    <w:rsid w:val="00E16979"/>
    <w:rsid w:val="00E16AD4"/>
    <w:rsid w:val="00E16D4C"/>
    <w:rsid w:val="00E16DA1"/>
    <w:rsid w:val="00E16E9E"/>
    <w:rsid w:val="00E17065"/>
    <w:rsid w:val="00E170A1"/>
    <w:rsid w:val="00E1742F"/>
    <w:rsid w:val="00E17607"/>
    <w:rsid w:val="00E17700"/>
    <w:rsid w:val="00E177D3"/>
    <w:rsid w:val="00E1789A"/>
    <w:rsid w:val="00E17AB7"/>
    <w:rsid w:val="00E17AE8"/>
    <w:rsid w:val="00E17B9B"/>
    <w:rsid w:val="00E17C2F"/>
    <w:rsid w:val="00E17D3D"/>
    <w:rsid w:val="00E2004C"/>
    <w:rsid w:val="00E20319"/>
    <w:rsid w:val="00E20324"/>
    <w:rsid w:val="00E20334"/>
    <w:rsid w:val="00E20585"/>
    <w:rsid w:val="00E2087A"/>
    <w:rsid w:val="00E20981"/>
    <w:rsid w:val="00E209BB"/>
    <w:rsid w:val="00E20C4D"/>
    <w:rsid w:val="00E20D23"/>
    <w:rsid w:val="00E20D26"/>
    <w:rsid w:val="00E20DBD"/>
    <w:rsid w:val="00E20F0E"/>
    <w:rsid w:val="00E20FBE"/>
    <w:rsid w:val="00E210CD"/>
    <w:rsid w:val="00E21270"/>
    <w:rsid w:val="00E21517"/>
    <w:rsid w:val="00E21634"/>
    <w:rsid w:val="00E2170D"/>
    <w:rsid w:val="00E21784"/>
    <w:rsid w:val="00E21805"/>
    <w:rsid w:val="00E21BFE"/>
    <w:rsid w:val="00E21C5C"/>
    <w:rsid w:val="00E21E00"/>
    <w:rsid w:val="00E21EB9"/>
    <w:rsid w:val="00E21EC5"/>
    <w:rsid w:val="00E22049"/>
    <w:rsid w:val="00E22088"/>
    <w:rsid w:val="00E22401"/>
    <w:rsid w:val="00E22862"/>
    <w:rsid w:val="00E228E0"/>
    <w:rsid w:val="00E22973"/>
    <w:rsid w:val="00E2297E"/>
    <w:rsid w:val="00E22BAA"/>
    <w:rsid w:val="00E22DDD"/>
    <w:rsid w:val="00E22E6D"/>
    <w:rsid w:val="00E22F5E"/>
    <w:rsid w:val="00E22F8F"/>
    <w:rsid w:val="00E22FBC"/>
    <w:rsid w:val="00E230E7"/>
    <w:rsid w:val="00E23189"/>
    <w:rsid w:val="00E234DE"/>
    <w:rsid w:val="00E23506"/>
    <w:rsid w:val="00E236A0"/>
    <w:rsid w:val="00E237BE"/>
    <w:rsid w:val="00E23919"/>
    <w:rsid w:val="00E23954"/>
    <w:rsid w:val="00E239FF"/>
    <w:rsid w:val="00E23B73"/>
    <w:rsid w:val="00E23C0D"/>
    <w:rsid w:val="00E23CC5"/>
    <w:rsid w:val="00E23E2B"/>
    <w:rsid w:val="00E23E79"/>
    <w:rsid w:val="00E23F30"/>
    <w:rsid w:val="00E243E2"/>
    <w:rsid w:val="00E24410"/>
    <w:rsid w:val="00E244A5"/>
    <w:rsid w:val="00E244D2"/>
    <w:rsid w:val="00E246BF"/>
    <w:rsid w:val="00E248E6"/>
    <w:rsid w:val="00E24C33"/>
    <w:rsid w:val="00E24C60"/>
    <w:rsid w:val="00E24D86"/>
    <w:rsid w:val="00E24DF3"/>
    <w:rsid w:val="00E24E0E"/>
    <w:rsid w:val="00E24F98"/>
    <w:rsid w:val="00E2509A"/>
    <w:rsid w:val="00E25245"/>
    <w:rsid w:val="00E2532C"/>
    <w:rsid w:val="00E253D4"/>
    <w:rsid w:val="00E2555F"/>
    <w:rsid w:val="00E258F1"/>
    <w:rsid w:val="00E259A3"/>
    <w:rsid w:val="00E25A9D"/>
    <w:rsid w:val="00E25AB7"/>
    <w:rsid w:val="00E25B88"/>
    <w:rsid w:val="00E25BC0"/>
    <w:rsid w:val="00E25F6D"/>
    <w:rsid w:val="00E25F8F"/>
    <w:rsid w:val="00E2603A"/>
    <w:rsid w:val="00E2633C"/>
    <w:rsid w:val="00E26442"/>
    <w:rsid w:val="00E26652"/>
    <w:rsid w:val="00E267E0"/>
    <w:rsid w:val="00E26842"/>
    <w:rsid w:val="00E26AE5"/>
    <w:rsid w:val="00E26BA1"/>
    <w:rsid w:val="00E26C05"/>
    <w:rsid w:val="00E26C4C"/>
    <w:rsid w:val="00E26C52"/>
    <w:rsid w:val="00E26D46"/>
    <w:rsid w:val="00E26E2C"/>
    <w:rsid w:val="00E2705A"/>
    <w:rsid w:val="00E274C9"/>
    <w:rsid w:val="00E276CF"/>
    <w:rsid w:val="00E276E8"/>
    <w:rsid w:val="00E27750"/>
    <w:rsid w:val="00E27A1F"/>
    <w:rsid w:val="00E27BA3"/>
    <w:rsid w:val="00E30012"/>
    <w:rsid w:val="00E30015"/>
    <w:rsid w:val="00E300B9"/>
    <w:rsid w:val="00E300E3"/>
    <w:rsid w:val="00E30165"/>
    <w:rsid w:val="00E301A3"/>
    <w:rsid w:val="00E30212"/>
    <w:rsid w:val="00E303FE"/>
    <w:rsid w:val="00E305BF"/>
    <w:rsid w:val="00E305D6"/>
    <w:rsid w:val="00E306A4"/>
    <w:rsid w:val="00E30725"/>
    <w:rsid w:val="00E308E8"/>
    <w:rsid w:val="00E3097F"/>
    <w:rsid w:val="00E30B1B"/>
    <w:rsid w:val="00E30C19"/>
    <w:rsid w:val="00E30EA8"/>
    <w:rsid w:val="00E30F16"/>
    <w:rsid w:val="00E310CF"/>
    <w:rsid w:val="00E31175"/>
    <w:rsid w:val="00E311F5"/>
    <w:rsid w:val="00E31339"/>
    <w:rsid w:val="00E313C5"/>
    <w:rsid w:val="00E31455"/>
    <w:rsid w:val="00E314BE"/>
    <w:rsid w:val="00E315D2"/>
    <w:rsid w:val="00E31612"/>
    <w:rsid w:val="00E31644"/>
    <w:rsid w:val="00E3170B"/>
    <w:rsid w:val="00E31805"/>
    <w:rsid w:val="00E3198E"/>
    <w:rsid w:val="00E31AD3"/>
    <w:rsid w:val="00E31C1B"/>
    <w:rsid w:val="00E31FEB"/>
    <w:rsid w:val="00E32091"/>
    <w:rsid w:val="00E32254"/>
    <w:rsid w:val="00E3253C"/>
    <w:rsid w:val="00E325DF"/>
    <w:rsid w:val="00E32903"/>
    <w:rsid w:val="00E329A5"/>
    <w:rsid w:val="00E329A8"/>
    <w:rsid w:val="00E32CEB"/>
    <w:rsid w:val="00E32D66"/>
    <w:rsid w:val="00E32D8B"/>
    <w:rsid w:val="00E32E70"/>
    <w:rsid w:val="00E32F6D"/>
    <w:rsid w:val="00E32F82"/>
    <w:rsid w:val="00E330B0"/>
    <w:rsid w:val="00E33693"/>
    <w:rsid w:val="00E337EF"/>
    <w:rsid w:val="00E33889"/>
    <w:rsid w:val="00E33911"/>
    <w:rsid w:val="00E3391A"/>
    <w:rsid w:val="00E33CD9"/>
    <w:rsid w:val="00E33DCE"/>
    <w:rsid w:val="00E33E23"/>
    <w:rsid w:val="00E33F23"/>
    <w:rsid w:val="00E34084"/>
    <w:rsid w:val="00E3428E"/>
    <w:rsid w:val="00E342D6"/>
    <w:rsid w:val="00E34315"/>
    <w:rsid w:val="00E343E4"/>
    <w:rsid w:val="00E34A3E"/>
    <w:rsid w:val="00E34B5D"/>
    <w:rsid w:val="00E34E34"/>
    <w:rsid w:val="00E34E3B"/>
    <w:rsid w:val="00E35083"/>
    <w:rsid w:val="00E35138"/>
    <w:rsid w:val="00E3514B"/>
    <w:rsid w:val="00E3522B"/>
    <w:rsid w:val="00E35499"/>
    <w:rsid w:val="00E354F0"/>
    <w:rsid w:val="00E35714"/>
    <w:rsid w:val="00E358BC"/>
    <w:rsid w:val="00E358F2"/>
    <w:rsid w:val="00E35C33"/>
    <w:rsid w:val="00E35C41"/>
    <w:rsid w:val="00E35D98"/>
    <w:rsid w:val="00E3603F"/>
    <w:rsid w:val="00E3622A"/>
    <w:rsid w:val="00E3639E"/>
    <w:rsid w:val="00E363C8"/>
    <w:rsid w:val="00E36744"/>
    <w:rsid w:val="00E3687C"/>
    <w:rsid w:val="00E36A23"/>
    <w:rsid w:val="00E36DDD"/>
    <w:rsid w:val="00E3726B"/>
    <w:rsid w:val="00E37271"/>
    <w:rsid w:val="00E37304"/>
    <w:rsid w:val="00E37319"/>
    <w:rsid w:val="00E37324"/>
    <w:rsid w:val="00E375C3"/>
    <w:rsid w:val="00E3772C"/>
    <w:rsid w:val="00E379C0"/>
    <w:rsid w:val="00E37C36"/>
    <w:rsid w:val="00E37CAB"/>
    <w:rsid w:val="00E37D27"/>
    <w:rsid w:val="00E37E38"/>
    <w:rsid w:val="00E37E41"/>
    <w:rsid w:val="00E37E7C"/>
    <w:rsid w:val="00E37EBF"/>
    <w:rsid w:val="00E37EFF"/>
    <w:rsid w:val="00E37FD0"/>
    <w:rsid w:val="00E40249"/>
    <w:rsid w:val="00E403A5"/>
    <w:rsid w:val="00E40516"/>
    <w:rsid w:val="00E4091A"/>
    <w:rsid w:val="00E40C93"/>
    <w:rsid w:val="00E40D40"/>
    <w:rsid w:val="00E40E32"/>
    <w:rsid w:val="00E40F31"/>
    <w:rsid w:val="00E4102A"/>
    <w:rsid w:val="00E410B5"/>
    <w:rsid w:val="00E410E5"/>
    <w:rsid w:val="00E412C0"/>
    <w:rsid w:val="00E414A9"/>
    <w:rsid w:val="00E41698"/>
    <w:rsid w:val="00E41801"/>
    <w:rsid w:val="00E4193D"/>
    <w:rsid w:val="00E41CAC"/>
    <w:rsid w:val="00E41F23"/>
    <w:rsid w:val="00E42544"/>
    <w:rsid w:val="00E42762"/>
    <w:rsid w:val="00E427BB"/>
    <w:rsid w:val="00E427F5"/>
    <w:rsid w:val="00E42B73"/>
    <w:rsid w:val="00E42BD3"/>
    <w:rsid w:val="00E42C98"/>
    <w:rsid w:val="00E42CFD"/>
    <w:rsid w:val="00E42D39"/>
    <w:rsid w:val="00E42FB6"/>
    <w:rsid w:val="00E43551"/>
    <w:rsid w:val="00E43621"/>
    <w:rsid w:val="00E43659"/>
    <w:rsid w:val="00E4367C"/>
    <w:rsid w:val="00E436CA"/>
    <w:rsid w:val="00E43791"/>
    <w:rsid w:val="00E438A8"/>
    <w:rsid w:val="00E43B2A"/>
    <w:rsid w:val="00E43C7E"/>
    <w:rsid w:val="00E43DA4"/>
    <w:rsid w:val="00E43E49"/>
    <w:rsid w:val="00E43F8B"/>
    <w:rsid w:val="00E43FD7"/>
    <w:rsid w:val="00E4404F"/>
    <w:rsid w:val="00E44451"/>
    <w:rsid w:val="00E4446C"/>
    <w:rsid w:val="00E4449E"/>
    <w:rsid w:val="00E444CA"/>
    <w:rsid w:val="00E44513"/>
    <w:rsid w:val="00E44583"/>
    <w:rsid w:val="00E446BC"/>
    <w:rsid w:val="00E44852"/>
    <w:rsid w:val="00E449B7"/>
    <w:rsid w:val="00E44B43"/>
    <w:rsid w:val="00E44D35"/>
    <w:rsid w:val="00E44E81"/>
    <w:rsid w:val="00E44FA8"/>
    <w:rsid w:val="00E44FB3"/>
    <w:rsid w:val="00E44FBB"/>
    <w:rsid w:val="00E44FC6"/>
    <w:rsid w:val="00E450E5"/>
    <w:rsid w:val="00E4514B"/>
    <w:rsid w:val="00E45196"/>
    <w:rsid w:val="00E4529F"/>
    <w:rsid w:val="00E45409"/>
    <w:rsid w:val="00E454A8"/>
    <w:rsid w:val="00E4550C"/>
    <w:rsid w:val="00E456D3"/>
    <w:rsid w:val="00E457D9"/>
    <w:rsid w:val="00E458B4"/>
    <w:rsid w:val="00E45C3F"/>
    <w:rsid w:val="00E45CD5"/>
    <w:rsid w:val="00E45D12"/>
    <w:rsid w:val="00E45D77"/>
    <w:rsid w:val="00E45FC6"/>
    <w:rsid w:val="00E45FEA"/>
    <w:rsid w:val="00E46486"/>
    <w:rsid w:val="00E464E4"/>
    <w:rsid w:val="00E468D3"/>
    <w:rsid w:val="00E46966"/>
    <w:rsid w:val="00E46B85"/>
    <w:rsid w:val="00E46C65"/>
    <w:rsid w:val="00E46C80"/>
    <w:rsid w:val="00E46EB3"/>
    <w:rsid w:val="00E46F31"/>
    <w:rsid w:val="00E47099"/>
    <w:rsid w:val="00E4715B"/>
    <w:rsid w:val="00E4720F"/>
    <w:rsid w:val="00E4741C"/>
    <w:rsid w:val="00E474AB"/>
    <w:rsid w:val="00E4750B"/>
    <w:rsid w:val="00E4761D"/>
    <w:rsid w:val="00E47A40"/>
    <w:rsid w:val="00E47B1F"/>
    <w:rsid w:val="00E47C03"/>
    <w:rsid w:val="00E47D80"/>
    <w:rsid w:val="00E47E9C"/>
    <w:rsid w:val="00E47FCE"/>
    <w:rsid w:val="00E506E7"/>
    <w:rsid w:val="00E50717"/>
    <w:rsid w:val="00E5073E"/>
    <w:rsid w:val="00E507DF"/>
    <w:rsid w:val="00E507E2"/>
    <w:rsid w:val="00E5080A"/>
    <w:rsid w:val="00E508DA"/>
    <w:rsid w:val="00E5091A"/>
    <w:rsid w:val="00E50CF7"/>
    <w:rsid w:val="00E50DCD"/>
    <w:rsid w:val="00E50E2C"/>
    <w:rsid w:val="00E51537"/>
    <w:rsid w:val="00E5155D"/>
    <w:rsid w:val="00E51819"/>
    <w:rsid w:val="00E51AA9"/>
    <w:rsid w:val="00E524A7"/>
    <w:rsid w:val="00E525CB"/>
    <w:rsid w:val="00E5272D"/>
    <w:rsid w:val="00E52A5E"/>
    <w:rsid w:val="00E52B34"/>
    <w:rsid w:val="00E52B7E"/>
    <w:rsid w:val="00E52C2F"/>
    <w:rsid w:val="00E52E73"/>
    <w:rsid w:val="00E52E93"/>
    <w:rsid w:val="00E53336"/>
    <w:rsid w:val="00E5335D"/>
    <w:rsid w:val="00E53601"/>
    <w:rsid w:val="00E5363F"/>
    <w:rsid w:val="00E53851"/>
    <w:rsid w:val="00E53869"/>
    <w:rsid w:val="00E539DC"/>
    <w:rsid w:val="00E53B08"/>
    <w:rsid w:val="00E53BB0"/>
    <w:rsid w:val="00E53F1A"/>
    <w:rsid w:val="00E53FDB"/>
    <w:rsid w:val="00E541BD"/>
    <w:rsid w:val="00E542D8"/>
    <w:rsid w:val="00E54437"/>
    <w:rsid w:val="00E54607"/>
    <w:rsid w:val="00E54A4D"/>
    <w:rsid w:val="00E54AE9"/>
    <w:rsid w:val="00E54FCC"/>
    <w:rsid w:val="00E54FD3"/>
    <w:rsid w:val="00E55126"/>
    <w:rsid w:val="00E5523E"/>
    <w:rsid w:val="00E552E7"/>
    <w:rsid w:val="00E55342"/>
    <w:rsid w:val="00E55494"/>
    <w:rsid w:val="00E5560B"/>
    <w:rsid w:val="00E556A3"/>
    <w:rsid w:val="00E556D1"/>
    <w:rsid w:val="00E55991"/>
    <w:rsid w:val="00E55A8F"/>
    <w:rsid w:val="00E55C4D"/>
    <w:rsid w:val="00E55D7E"/>
    <w:rsid w:val="00E55E4A"/>
    <w:rsid w:val="00E56238"/>
    <w:rsid w:val="00E563CB"/>
    <w:rsid w:val="00E56556"/>
    <w:rsid w:val="00E56964"/>
    <w:rsid w:val="00E5699D"/>
    <w:rsid w:val="00E56AE8"/>
    <w:rsid w:val="00E56D3A"/>
    <w:rsid w:val="00E56E14"/>
    <w:rsid w:val="00E56E4D"/>
    <w:rsid w:val="00E56E77"/>
    <w:rsid w:val="00E56EC7"/>
    <w:rsid w:val="00E56F11"/>
    <w:rsid w:val="00E56F8A"/>
    <w:rsid w:val="00E56FB7"/>
    <w:rsid w:val="00E570BD"/>
    <w:rsid w:val="00E5722C"/>
    <w:rsid w:val="00E57343"/>
    <w:rsid w:val="00E57415"/>
    <w:rsid w:val="00E57436"/>
    <w:rsid w:val="00E57449"/>
    <w:rsid w:val="00E575D1"/>
    <w:rsid w:val="00E5783C"/>
    <w:rsid w:val="00E57841"/>
    <w:rsid w:val="00E57893"/>
    <w:rsid w:val="00E57B8C"/>
    <w:rsid w:val="00E57CAE"/>
    <w:rsid w:val="00E57D65"/>
    <w:rsid w:val="00E57D9B"/>
    <w:rsid w:val="00E57F9B"/>
    <w:rsid w:val="00E57FFA"/>
    <w:rsid w:val="00E60215"/>
    <w:rsid w:val="00E60246"/>
    <w:rsid w:val="00E60271"/>
    <w:rsid w:val="00E6037B"/>
    <w:rsid w:val="00E6044B"/>
    <w:rsid w:val="00E6057F"/>
    <w:rsid w:val="00E605BA"/>
    <w:rsid w:val="00E60639"/>
    <w:rsid w:val="00E60641"/>
    <w:rsid w:val="00E607A2"/>
    <w:rsid w:val="00E60801"/>
    <w:rsid w:val="00E60832"/>
    <w:rsid w:val="00E6083C"/>
    <w:rsid w:val="00E60CBD"/>
    <w:rsid w:val="00E60CFA"/>
    <w:rsid w:val="00E60D7F"/>
    <w:rsid w:val="00E60FE9"/>
    <w:rsid w:val="00E61179"/>
    <w:rsid w:val="00E61483"/>
    <w:rsid w:val="00E615C2"/>
    <w:rsid w:val="00E61753"/>
    <w:rsid w:val="00E61846"/>
    <w:rsid w:val="00E6185C"/>
    <w:rsid w:val="00E618DE"/>
    <w:rsid w:val="00E6192B"/>
    <w:rsid w:val="00E61986"/>
    <w:rsid w:val="00E61C77"/>
    <w:rsid w:val="00E61CE8"/>
    <w:rsid w:val="00E61DB8"/>
    <w:rsid w:val="00E62A7C"/>
    <w:rsid w:val="00E62D0D"/>
    <w:rsid w:val="00E62E91"/>
    <w:rsid w:val="00E62F44"/>
    <w:rsid w:val="00E6304F"/>
    <w:rsid w:val="00E6352A"/>
    <w:rsid w:val="00E636B7"/>
    <w:rsid w:val="00E6398A"/>
    <w:rsid w:val="00E63CDF"/>
    <w:rsid w:val="00E63FE0"/>
    <w:rsid w:val="00E6402B"/>
    <w:rsid w:val="00E6419C"/>
    <w:rsid w:val="00E643DE"/>
    <w:rsid w:val="00E6446E"/>
    <w:rsid w:val="00E64570"/>
    <w:rsid w:val="00E6494E"/>
    <w:rsid w:val="00E64B24"/>
    <w:rsid w:val="00E64B3A"/>
    <w:rsid w:val="00E64CF3"/>
    <w:rsid w:val="00E64D6B"/>
    <w:rsid w:val="00E64E3B"/>
    <w:rsid w:val="00E64F45"/>
    <w:rsid w:val="00E651C2"/>
    <w:rsid w:val="00E65313"/>
    <w:rsid w:val="00E655C3"/>
    <w:rsid w:val="00E65625"/>
    <w:rsid w:val="00E656C5"/>
    <w:rsid w:val="00E659D0"/>
    <w:rsid w:val="00E65C36"/>
    <w:rsid w:val="00E65DE1"/>
    <w:rsid w:val="00E65E04"/>
    <w:rsid w:val="00E65E05"/>
    <w:rsid w:val="00E65E31"/>
    <w:rsid w:val="00E65E58"/>
    <w:rsid w:val="00E65E85"/>
    <w:rsid w:val="00E6601A"/>
    <w:rsid w:val="00E66032"/>
    <w:rsid w:val="00E660AB"/>
    <w:rsid w:val="00E663D0"/>
    <w:rsid w:val="00E66475"/>
    <w:rsid w:val="00E666F1"/>
    <w:rsid w:val="00E66B5E"/>
    <w:rsid w:val="00E66C7B"/>
    <w:rsid w:val="00E66CB9"/>
    <w:rsid w:val="00E66D8D"/>
    <w:rsid w:val="00E66FA4"/>
    <w:rsid w:val="00E6712E"/>
    <w:rsid w:val="00E67148"/>
    <w:rsid w:val="00E67161"/>
    <w:rsid w:val="00E6753C"/>
    <w:rsid w:val="00E677C0"/>
    <w:rsid w:val="00E67B05"/>
    <w:rsid w:val="00E67E48"/>
    <w:rsid w:val="00E67EDF"/>
    <w:rsid w:val="00E67FBF"/>
    <w:rsid w:val="00E7000C"/>
    <w:rsid w:val="00E700CA"/>
    <w:rsid w:val="00E7014E"/>
    <w:rsid w:val="00E70164"/>
    <w:rsid w:val="00E70351"/>
    <w:rsid w:val="00E70563"/>
    <w:rsid w:val="00E70642"/>
    <w:rsid w:val="00E7070D"/>
    <w:rsid w:val="00E7078D"/>
    <w:rsid w:val="00E7098C"/>
    <w:rsid w:val="00E70BA1"/>
    <w:rsid w:val="00E7108C"/>
    <w:rsid w:val="00E710B8"/>
    <w:rsid w:val="00E7137F"/>
    <w:rsid w:val="00E7142B"/>
    <w:rsid w:val="00E714B4"/>
    <w:rsid w:val="00E714E8"/>
    <w:rsid w:val="00E71644"/>
    <w:rsid w:val="00E71709"/>
    <w:rsid w:val="00E71763"/>
    <w:rsid w:val="00E71823"/>
    <w:rsid w:val="00E719D4"/>
    <w:rsid w:val="00E71A39"/>
    <w:rsid w:val="00E71B8D"/>
    <w:rsid w:val="00E71BA2"/>
    <w:rsid w:val="00E71D7B"/>
    <w:rsid w:val="00E71D90"/>
    <w:rsid w:val="00E71E80"/>
    <w:rsid w:val="00E71EF3"/>
    <w:rsid w:val="00E720E8"/>
    <w:rsid w:val="00E721ED"/>
    <w:rsid w:val="00E72263"/>
    <w:rsid w:val="00E722C5"/>
    <w:rsid w:val="00E7240E"/>
    <w:rsid w:val="00E7273B"/>
    <w:rsid w:val="00E727D2"/>
    <w:rsid w:val="00E7294B"/>
    <w:rsid w:val="00E72A4B"/>
    <w:rsid w:val="00E72C04"/>
    <w:rsid w:val="00E73175"/>
    <w:rsid w:val="00E731BA"/>
    <w:rsid w:val="00E73314"/>
    <w:rsid w:val="00E7340D"/>
    <w:rsid w:val="00E7348B"/>
    <w:rsid w:val="00E7358C"/>
    <w:rsid w:val="00E73625"/>
    <w:rsid w:val="00E73714"/>
    <w:rsid w:val="00E73774"/>
    <w:rsid w:val="00E738AA"/>
    <w:rsid w:val="00E739A3"/>
    <w:rsid w:val="00E73BBC"/>
    <w:rsid w:val="00E73E29"/>
    <w:rsid w:val="00E73E61"/>
    <w:rsid w:val="00E74104"/>
    <w:rsid w:val="00E742F5"/>
    <w:rsid w:val="00E744E7"/>
    <w:rsid w:val="00E74572"/>
    <w:rsid w:val="00E74625"/>
    <w:rsid w:val="00E74665"/>
    <w:rsid w:val="00E74A68"/>
    <w:rsid w:val="00E74D26"/>
    <w:rsid w:val="00E74E2C"/>
    <w:rsid w:val="00E7520D"/>
    <w:rsid w:val="00E752AB"/>
    <w:rsid w:val="00E753B7"/>
    <w:rsid w:val="00E754C0"/>
    <w:rsid w:val="00E7552B"/>
    <w:rsid w:val="00E75546"/>
    <w:rsid w:val="00E75607"/>
    <w:rsid w:val="00E756DC"/>
    <w:rsid w:val="00E757B3"/>
    <w:rsid w:val="00E75873"/>
    <w:rsid w:val="00E7587D"/>
    <w:rsid w:val="00E758A3"/>
    <w:rsid w:val="00E75B1A"/>
    <w:rsid w:val="00E75BA7"/>
    <w:rsid w:val="00E75CCC"/>
    <w:rsid w:val="00E75D5B"/>
    <w:rsid w:val="00E75F42"/>
    <w:rsid w:val="00E75FBD"/>
    <w:rsid w:val="00E7620C"/>
    <w:rsid w:val="00E76320"/>
    <w:rsid w:val="00E764AC"/>
    <w:rsid w:val="00E76645"/>
    <w:rsid w:val="00E7664A"/>
    <w:rsid w:val="00E767E6"/>
    <w:rsid w:val="00E769B6"/>
    <w:rsid w:val="00E769C8"/>
    <w:rsid w:val="00E76C0D"/>
    <w:rsid w:val="00E76C57"/>
    <w:rsid w:val="00E76CC2"/>
    <w:rsid w:val="00E76FA7"/>
    <w:rsid w:val="00E77042"/>
    <w:rsid w:val="00E771CB"/>
    <w:rsid w:val="00E773C6"/>
    <w:rsid w:val="00E776E6"/>
    <w:rsid w:val="00E777BE"/>
    <w:rsid w:val="00E77AC6"/>
    <w:rsid w:val="00E77AD1"/>
    <w:rsid w:val="00E77CF1"/>
    <w:rsid w:val="00E77D5A"/>
    <w:rsid w:val="00E77D66"/>
    <w:rsid w:val="00E77E16"/>
    <w:rsid w:val="00E8007A"/>
    <w:rsid w:val="00E8008F"/>
    <w:rsid w:val="00E80117"/>
    <w:rsid w:val="00E8017A"/>
    <w:rsid w:val="00E802A7"/>
    <w:rsid w:val="00E8036F"/>
    <w:rsid w:val="00E80572"/>
    <w:rsid w:val="00E80578"/>
    <w:rsid w:val="00E806E1"/>
    <w:rsid w:val="00E8070B"/>
    <w:rsid w:val="00E8071C"/>
    <w:rsid w:val="00E80725"/>
    <w:rsid w:val="00E80727"/>
    <w:rsid w:val="00E80735"/>
    <w:rsid w:val="00E809EA"/>
    <w:rsid w:val="00E80AA2"/>
    <w:rsid w:val="00E80B0C"/>
    <w:rsid w:val="00E80C54"/>
    <w:rsid w:val="00E80D7E"/>
    <w:rsid w:val="00E80F2D"/>
    <w:rsid w:val="00E80F4B"/>
    <w:rsid w:val="00E81602"/>
    <w:rsid w:val="00E816BD"/>
    <w:rsid w:val="00E817E3"/>
    <w:rsid w:val="00E817FD"/>
    <w:rsid w:val="00E81864"/>
    <w:rsid w:val="00E8187B"/>
    <w:rsid w:val="00E81964"/>
    <w:rsid w:val="00E819F5"/>
    <w:rsid w:val="00E81AB9"/>
    <w:rsid w:val="00E81B74"/>
    <w:rsid w:val="00E81E51"/>
    <w:rsid w:val="00E81E63"/>
    <w:rsid w:val="00E81EE5"/>
    <w:rsid w:val="00E81FC2"/>
    <w:rsid w:val="00E82343"/>
    <w:rsid w:val="00E82344"/>
    <w:rsid w:val="00E823EA"/>
    <w:rsid w:val="00E82538"/>
    <w:rsid w:val="00E82546"/>
    <w:rsid w:val="00E82688"/>
    <w:rsid w:val="00E82740"/>
    <w:rsid w:val="00E8275A"/>
    <w:rsid w:val="00E82920"/>
    <w:rsid w:val="00E82BC9"/>
    <w:rsid w:val="00E82C0D"/>
    <w:rsid w:val="00E82CE9"/>
    <w:rsid w:val="00E82ECC"/>
    <w:rsid w:val="00E82EFA"/>
    <w:rsid w:val="00E82F7C"/>
    <w:rsid w:val="00E83166"/>
    <w:rsid w:val="00E83290"/>
    <w:rsid w:val="00E83391"/>
    <w:rsid w:val="00E833A7"/>
    <w:rsid w:val="00E83461"/>
    <w:rsid w:val="00E83574"/>
    <w:rsid w:val="00E836A6"/>
    <w:rsid w:val="00E83968"/>
    <w:rsid w:val="00E83C0A"/>
    <w:rsid w:val="00E83C14"/>
    <w:rsid w:val="00E83C70"/>
    <w:rsid w:val="00E83C79"/>
    <w:rsid w:val="00E83D01"/>
    <w:rsid w:val="00E83D7F"/>
    <w:rsid w:val="00E83DC8"/>
    <w:rsid w:val="00E84039"/>
    <w:rsid w:val="00E84162"/>
    <w:rsid w:val="00E841B9"/>
    <w:rsid w:val="00E8422D"/>
    <w:rsid w:val="00E8434B"/>
    <w:rsid w:val="00E843FB"/>
    <w:rsid w:val="00E84529"/>
    <w:rsid w:val="00E846D8"/>
    <w:rsid w:val="00E84831"/>
    <w:rsid w:val="00E84A36"/>
    <w:rsid w:val="00E84B92"/>
    <w:rsid w:val="00E84F78"/>
    <w:rsid w:val="00E85110"/>
    <w:rsid w:val="00E851D0"/>
    <w:rsid w:val="00E852DE"/>
    <w:rsid w:val="00E853B6"/>
    <w:rsid w:val="00E8561D"/>
    <w:rsid w:val="00E85B30"/>
    <w:rsid w:val="00E85CA7"/>
    <w:rsid w:val="00E85D34"/>
    <w:rsid w:val="00E85D5B"/>
    <w:rsid w:val="00E85D61"/>
    <w:rsid w:val="00E85DF6"/>
    <w:rsid w:val="00E85F88"/>
    <w:rsid w:val="00E86142"/>
    <w:rsid w:val="00E861BF"/>
    <w:rsid w:val="00E86459"/>
    <w:rsid w:val="00E86554"/>
    <w:rsid w:val="00E86BB4"/>
    <w:rsid w:val="00E86D8E"/>
    <w:rsid w:val="00E86DC3"/>
    <w:rsid w:val="00E86FCD"/>
    <w:rsid w:val="00E8711A"/>
    <w:rsid w:val="00E87195"/>
    <w:rsid w:val="00E871C4"/>
    <w:rsid w:val="00E8720F"/>
    <w:rsid w:val="00E872C3"/>
    <w:rsid w:val="00E874B4"/>
    <w:rsid w:val="00E87674"/>
    <w:rsid w:val="00E87703"/>
    <w:rsid w:val="00E87737"/>
    <w:rsid w:val="00E879BE"/>
    <w:rsid w:val="00E87D6B"/>
    <w:rsid w:val="00E8BDE7"/>
    <w:rsid w:val="00E9018B"/>
    <w:rsid w:val="00E9019B"/>
    <w:rsid w:val="00E90259"/>
    <w:rsid w:val="00E903B5"/>
    <w:rsid w:val="00E9059E"/>
    <w:rsid w:val="00E907E1"/>
    <w:rsid w:val="00E9093E"/>
    <w:rsid w:val="00E90AB6"/>
    <w:rsid w:val="00E90AF1"/>
    <w:rsid w:val="00E90E58"/>
    <w:rsid w:val="00E9113B"/>
    <w:rsid w:val="00E91165"/>
    <w:rsid w:val="00E9150B"/>
    <w:rsid w:val="00E9159C"/>
    <w:rsid w:val="00E916D1"/>
    <w:rsid w:val="00E91937"/>
    <w:rsid w:val="00E9196E"/>
    <w:rsid w:val="00E919BE"/>
    <w:rsid w:val="00E91AC1"/>
    <w:rsid w:val="00E91C79"/>
    <w:rsid w:val="00E91D00"/>
    <w:rsid w:val="00E926BB"/>
    <w:rsid w:val="00E9283A"/>
    <w:rsid w:val="00E9284A"/>
    <w:rsid w:val="00E92867"/>
    <w:rsid w:val="00E92952"/>
    <w:rsid w:val="00E92A27"/>
    <w:rsid w:val="00E92B85"/>
    <w:rsid w:val="00E92B98"/>
    <w:rsid w:val="00E92BDA"/>
    <w:rsid w:val="00E92CBA"/>
    <w:rsid w:val="00E92D97"/>
    <w:rsid w:val="00E9313E"/>
    <w:rsid w:val="00E9339D"/>
    <w:rsid w:val="00E93B78"/>
    <w:rsid w:val="00E93B79"/>
    <w:rsid w:val="00E93C15"/>
    <w:rsid w:val="00E93C7A"/>
    <w:rsid w:val="00E93DFD"/>
    <w:rsid w:val="00E93E9F"/>
    <w:rsid w:val="00E94051"/>
    <w:rsid w:val="00E943D4"/>
    <w:rsid w:val="00E9441F"/>
    <w:rsid w:val="00E948F0"/>
    <w:rsid w:val="00E94AA6"/>
    <w:rsid w:val="00E94B96"/>
    <w:rsid w:val="00E94F92"/>
    <w:rsid w:val="00E94FD2"/>
    <w:rsid w:val="00E94FEF"/>
    <w:rsid w:val="00E950FE"/>
    <w:rsid w:val="00E952C8"/>
    <w:rsid w:val="00E95338"/>
    <w:rsid w:val="00E9537D"/>
    <w:rsid w:val="00E955C6"/>
    <w:rsid w:val="00E95957"/>
    <w:rsid w:val="00E95D0B"/>
    <w:rsid w:val="00E95D25"/>
    <w:rsid w:val="00E95DD6"/>
    <w:rsid w:val="00E95E82"/>
    <w:rsid w:val="00E95EDF"/>
    <w:rsid w:val="00E95F36"/>
    <w:rsid w:val="00E96046"/>
    <w:rsid w:val="00E960B7"/>
    <w:rsid w:val="00E964F7"/>
    <w:rsid w:val="00E965B8"/>
    <w:rsid w:val="00E965E7"/>
    <w:rsid w:val="00E966D5"/>
    <w:rsid w:val="00E968E9"/>
    <w:rsid w:val="00E96AAB"/>
    <w:rsid w:val="00E96AF3"/>
    <w:rsid w:val="00E96CEA"/>
    <w:rsid w:val="00E96D9C"/>
    <w:rsid w:val="00E97021"/>
    <w:rsid w:val="00E97135"/>
    <w:rsid w:val="00E97222"/>
    <w:rsid w:val="00E97252"/>
    <w:rsid w:val="00E9735E"/>
    <w:rsid w:val="00E97397"/>
    <w:rsid w:val="00E97483"/>
    <w:rsid w:val="00E9768E"/>
    <w:rsid w:val="00E97724"/>
    <w:rsid w:val="00E97737"/>
    <w:rsid w:val="00E97757"/>
    <w:rsid w:val="00E9784E"/>
    <w:rsid w:val="00E978AA"/>
    <w:rsid w:val="00E97A61"/>
    <w:rsid w:val="00E97A7D"/>
    <w:rsid w:val="00E97AFB"/>
    <w:rsid w:val="00E97B05"/>
    <w:rsid w:val="00E97BBE"/>
    <w:rsid w:val="00E97D29"/>
    <w:rsid w:val="00E97E32"/>
    <w:rsid w:val="00E97E60"/>
    <w:rsid w:val="00EA01DC"/>
    <w:rsid w:val="00EA026F"/>
    <w:rsid w:val="00EA03CC"/>
    <w:rsid w:val="00EA0662"/>
    <w:rsid w:val="00EA0689"/>
    <w:rsid w:val="00EA08DD"/>
    <w:rsid w:val="00EA0A07"/>
    <w:rsid w:val="00EA0AD3"/>
    <w:rsid w:val="00EA0BC3"/>
    <w:rsid w:val="00EA0C6F"/>
    <w:rsid w:val="00EA0CE6"/>
    <w:rsid w:val="00EA0E35"/>
    <w:rsid w:val="00EA0FB4"/>
    <w:rsid w:val="00EA134E"/>
    <w:rsid w:val="00EA16F7"/>
    <w:rsid w:val="00EA1A34"/>
    <w:rsid w:val="00EA1A4A"/>
    <w:rsid w:val="00EA1C2F"/>
    <w:rsid w:val="00EA1C9B"/>
    <w:rsid w:val="00EA1D6A"/>
    <w:rsid w:val="00EA1DF4"/>
    <w:rsid w:val="00EA1FDC"/>
    <w:rsid w:val="00EA2195"/>
    <w:rsid w:val="00EA2495"/>
    <w:rsid w:val="00EA256B"/>
    <w:rsid w:val="00EA25A4"/>
    <w:rsid w:val="00EA274A"/>
    <w:rsid w:val="00EA27F8"/>
    <w:rsid w:val="00EA2881"/>
    <w:rsid w:val="00EA2996"/>
    <w:rsid w:val="00EA2BE1"/>
    <w:rsid w:val="00EA2D4D"/>
    <w:rsid w:val="00EA3037"/>
    <w:rsid w:val="00EA3041"/>
    <w:rsid w:val="00EA30FB"/>
    <w:rsid w:val="00EA311D"/>
    <w:rsid w:val="00EA330E"/>
    <w:rsid w:val="00EA337A"/>
    <w:rsid w:val="00EA33DC"/>
    <w:rsid w:val="00EA3445"/>
    <w:rsid w:val="00EA345A"/>
    <w:rsid w:val="00EA3461"/>
    <w:rsid w:val="00EA3496"/>
    <w:rsid w:val="00EA34FC"/>
    <w:rsid w:val="00EA377D"/>
    <w:rsid w:val="00EA3875"/>
    <w:rsid w:val="00EA38E8"/>
    <w:rsid w:val="00EA3A03"/>
    <w:rsid w:val="00EA3B3A"/>
    <w:rsid w:val="00EA3B72"/>
    <w:rsid w:val="00EA3BAE"/>
    <w:rsid w:val="00EA3C91"/>
    <w:rsid w:val="00EA3CFF"/>
    <w:rsid w:val="00EA3DBF"/>
    <w:rsid w:val="00EA40DC"/>
    <w:rsid w:val="00EA40E0"/>
    <w:rsid w:val="00EA40FE"/>
    <w:rsid w:val="00EA41EA"/>
    <w:rsid w:val="00EA42FD"/>
    <w:rsid w:val="00EA442E"/>
    <w:rsid w:val="00EA4488"/>
    <w:rsid w:val="00EA4497"/>
    <w:rsid w:val="00EA4565"/>
    <w:rsid w:val="00EA45F3"/>
    <w:rsid w:val="00EA461D"/>
    <w:rsid w:val="00EA46EF"/>
    <w:rsid w:val="00EA49E3"/>
    <w:rsid w:val="00EA4AC0"/>
    <w:rsid w:val="00EA4D25"/>
    <w:rsid w:val="00EA4ED9"/>
    <w:rsid w:val="00EA52B1"/>
    <w:rsid w:val="00EA5496"/>
    <w:rsid w:val="00EA5527"/>
    <w:rsid w:val="00EA564C"/>
    <w:rsid w:val="00EA57F5"/>
    <w:rsid w:val="00EA58F1"/>
    <w:rsid w:val="00EA5996"/>
    <w:rsid w:val="00EA5ACA"/>
    <w:rsid w:val="00EA5BBC"/>
    <w:rsid w:val="00EA5CF2"/>
    <w:rsid w:val="00EA5D71"/>
    <w:rsid w:val="00EA5DF2"/>
    <w:rsid w:val="00EA5E00"/>
    <w:rsid w:val="00EA5F1B"/>
    <w:rsid w:val="00EA5FA4"/>
    <w:rsid w:val="00EA5FEE"/>
    <w:rsid w:val="00EA61AA"/>
    <w:rsid w:val="00EA63F2"/>
    <w:rsid w:val="00EA64B6"/>
    <w:rsid w:val="00EA6639"/>
    <w:rsid w:val="00EA680F"/>
    <w:rsid w:val="00EA682F"/>
    <w:rsid w:val="00EA683C"/>
    <w:rsid w:val="00EA68F0"/>
    <w:rsid w:val="00EA69A1"/>
    <w:rsid w:val="00EA6AFF"/>
    <w:rsid w:val="00EA6B3C"/>
    <w:rsid w:val="00EA6D00"/>
    <w:rsid w:val="00EA71A2"/>
    <w:rsid w:val="00EA774E"/>
    <w:rsid w:val="00EA77CE"/>
    <w:rsid w:val="00EA78CC"/>
    <w:rsid w:val="00EA7982"/>
    <w:rsid w:val="00EA7B7C"/>
    <w:rsid w:val="00EA7BF7"/>
    <w:rsid w:val="00EA7C07"/>
    <w:rsid w:val="00EA7DC6"/>
    <w:rsid w:val="00EA7DE5"/>
    <w:rsid w:val="00EA7FC0"/>
    <w:rsid w:val="00EA7FD5"/>
    <w:rsid w:val="00EA7FDE"/>
    <w:rsid w:val="00EB0073"/>
    <w:rsid w:val="00EB0227"/>
    <w:rsid w:val="00EB0414"/>
    <w:rsid w:val="00EB04B7"/>
    <w:rsid w:val="00EB0596"/>
    <w:rsid w:val="00EB0633"/>
    <w:rsid w:val="00EB071D"/>
    <w:rsid w:val="00EB0777"/>
    <w:rsid w:val="00EB0A7B"/>
    <w:rsid w:val="00EB0AE0"/>
    <w:rsid w:val="00EB0B76"/>
    <w:rsid w:val="00EB1038"/>
    <w:rsid w:val="00EB10D5"/>
    <w:rsid w:val="00EB1159"/>
    <w:rsid w:val="00EB139B"/>
    <w:rsid w:val="00EB1482"/>
    <w:rsid w:val="00EB1588"/>
    <w:rsid w:val="00EB1767"/>
    <w:rsid w:val="00EB18C2"/>
    <w:rsid w:val="00EB19CB"/>
    <w:rsid w:val="00EB1A0E"/>
    <w:rsid w:val="00EB1D4A"/>
    <w:rsid w:val="00EB1DDA"/>
    <w:rsid w:val="00EB1EDC"/>
    <w:rsid w:val="00EB1EF7"/>
    <w:rsid w:val="00EB1F18"/>
    <w:rsid w:val="00EB2145"/>
    <w:rsid w:val="00EB2276"/>
    <w:rsid w:val="00EB244C"/>
    <w:rsid w:val="00EB2556"/>
    <w:rsid w:val="00EB25E4"/>
    <w:rsid w:val="00EB2698"/>
    <w:rsid w:val="00EB2770"/>
    <w:rsid w:val="00EB27DD"/>
    <w:rsid w:val="00EB28AA"/>
    <w:rsid w:val="00EB2935"/>
    <w:rsid w:val="00EB2C2A"/>
    <w:rsid w:val="00EB2C34"/>
    <w:rsid w:val="00EB2D1C"/>
    <w:rsid w:val="00EB2E02"/>
    <w:rsid w:val="00EB2F16"/>
    <w:rsid w:val="00EB2F20"/>
    <w:rsid w:val="00EB33DB"/>
    <w:rsid w:val="00EB3A66"/>
    <w:rsid w:val="00EB3B99"/>
    <w:rsid w:val="00EB3B9A"/>
    <w:rsid w:val="00EB3BAC"/>
    <w:rsid w:val="00EB3D8B"/>
    <w:rsid w:val="00EB3EAD"/>
    <w:rsid w:val="00EB40AB"/>
    <w:rsid w:val="00EB40F3"/>
    <w:rsid w:val="00EB4194"/>
    <w:rsid w:val="00EB426E"/>
    <w:rsid w:val="00EB4343"/>
    <w:rsid w:val="00EB4349"/>
    <w:rsid w:val="00EB43A6"/>
    <w:rsid w:val="00EB47E8"/>
    <w:rsid w:val="00EB487D"/>
    <w:rsid w:val="00EB4AAA"/>
    <w:rsid w:val="00EB4AB7"/>
    <w:rsid w:val="00EB4AEF"/>
    <w:rsid w:val="00EB4BBA"/>
    <w:rsid w:val="00EB4C46"/>
    <w:rsid w:val="00EB4ED5"/>
    <w:rsid w:val="00EB4F2D"/>
    <w:rsid w:val="00EB505E"/>
    <w:rsid w:val="00EB53C6"/>
    <w:rsid w:val="00EB57D7"/>
    <w:rsid w:val="00EB583C"/>
    <w:rsid w:val="00EB5A3E"/>
    <w:rsid w:val="00EB5B10"/>
    <w:rsid w:val="00EB5CF7"/>
    <w:rsid w:val="00EB632E"/>
    <w:rsid w:val="00EB64FF"/>
    <w:rsid w:val="00EB66AE"/>
    <w:rsid w:val="00EB69B8"/>
    <w:rsid w:val="00EB69D7"/>
    <w:rsid w:val="00EB6C1E"/>
    <w:rsid w:val="00EB6D2A"/>
    <w:rsid w:val="00EB6E11"/>
    <w:rsid w:val="00EB6E38"/>
    <w:rsid w:val="00EB7035"/>
    <w:rsid w:val="00EB705C"/>
    <w:rsid w:val="00EB70F2"/>
    <w:rsid w:val="00EB74A8"/>
    <w:rsid w:val="00EB750C"/>
    <w:rsid w:val="00EB7628"/>
    <w:rsid w:val="00EB77C5"/>
    <w:rsid w:val="00EB7922"/>
    <w:rsid w:val="00EB79B3"/>
    <w:rsid w:val="00EB7A06"/>
    <w:rsid w:val="00EB7AAB"/>
    <w:rsid w:val="00EB7B5A"/>
    <w:rsid w:val="00EB7DF6"/>
    <w:rsid w:val="00EB7DFA"/>
    <w:rsid w:val="00EB7FA5"/>
    <w:rsid w:val="00EC005E"/>
    <w:rsid w:val="00EC0193"/>
    <w:rsid w:val="00EC023F"/>
    <w:rsid w:val="00EC028B"/>
    <w:rsid w:val="00EC029B"/>
    <w:rsid w:val="00EC0349"/>
    <w:rsid w:val="00EC03BE"/>
    <w:rsid w:val="00EC04CC"/>
    <w:rsid w:val="00EC07FB"/>
    <w:rsid w:val="00EC1074"/>
    <w:rsid w:val="00EC11CE"/>
    <w:rsid w:val="00EC1326"/>
    <w:rsid w:val="00EC13ED"/>
    <w:rsid w:val="00EC166D"/>
    <w:rsid w:val="00EC1779"/>
    <w:rsid w:val="00EC17F7"/>
    <w:rsid w:val="00EC18FE"/>
    <w:rsid w:val="00EC190B"/>
    <w:rsid w:val="00EC19A6"/>
    <w:rsid w:val="00EC1A95"/>
    <w:rsid w:val="00EC1ADD"/>
    <w:rsid w:val="00EC1B02"/>
    <w:rsid w:val="00EC1BA4"/>
    <w:rsid w:val="00EC1CF5"/>
    <w:rsid w:val="00EC1DC1"/>
    <w:rsid w:val="00EC1EDB"/>
    <w:rsid w:val="00EC1F48"/>
    <w:rsid w:val="00EC1F5C"/>
    <w:rsid w:val="00EC2000"/>
    <w:rsid w:val="00EC204F"/>
    <w:rsid w:val="00EC20E0"/>
    <w:rsid w:val="00EC240F"/>
    <w:rsid w:val="00EC2436"/>
    <w:rsid w:val="00EC243E"/>
    <w:rsid w:val="00EC25B8"/>
    <w:rsid w:val="00EC285F"/>
    <w:rsid w:val="00EC28D4"/>
    <w:rsid w:val="00EC2AB6"/>
    <w:rsid w:val="00EC2B3B"/>
    <w:rsid w:val="00EC2B9D"/>
    <w:rsid w:val="00EC2E4A"/>
    <w:rsid w:val="00EC2F2E"/>
    <w:rsid w:val="00EC3222"/>
    <w:rsid w:val="00EC3259"/>
    <w:rsid w:val="00EC331E"/>
    <w:rsid w:val="00EC345F"/>
    <w:rsid w:val="00EC34EF"/>
    <w:rsid w:val="00EC35EA"/>
    <w:rsid w:val="00EC38BA"/>
    <w:rsid w:val="00EC3E36"/>
    <w:rsid w:val="00EC4198"/>
    <w:rsid w:val="00EC41C4"/>
    <w:rsid w:val="00EC4208"/>
    <w:rsid w:val="00EC4511"/>
    <w:rsid w:val="00EC456D"/>
    <w:rsid w:val="00EC4594"/>
    <w:rsid w:val="00EC45B1"/>
    <w:rsid w:val="00EC4601"/>
    <w:rsid w:val="00EC46C4"/>
    <w:rsid w:val="00EC49A3"/>
    <w:rsid w:val="00EC4BE6"/>
    <w:rsid w:val="00EC4C9B"/>
    <w:rsid w:val="00EC5026"/>
    <w:rsid w:val="00EC5098"/>
    <w:rsid w:val="00EC5100"/>
    <w:rsid w:val="00EC5456"/>
    <w:rsid w:val="00EC54FA"/>
    <w:rsid w:val="00EC5518"/>
    <w:rsid w:val="00EC5568"/>
    <w:rsid w:val="00EC5752"/>
    <w:rsid w:val="00EC59C2"/>
    <w:rsid w:val="00EC5A6F"/>
    <w:rsid w:val="00EC5D96"/>
    <w:rsid w:val="00EC5E99"/>
    <w:rsid w:val="00EC6007"/>
    <w:rsid w:val="00EC6021"/>
    <w:rsid w:val="00EC60BC"/>
    <w:rsid w:val="00EC60BE"/>
    <w:rsid w:val="00EC611A"/>
    <w:rsid w:val="00EC6158"/>
    <w:rsid w:val="00EC6191"/>
    <w:rsid w:val="00EC61BA"/>
    <w:rsid w:val="00EC61E2"/>
    <w:rsid w:val="00EC633B"/>
    <w:rsid w:val="00EC63A3"/>
    <w:rsid w:val="00EC6902"/>
    <w:rsid w:val="00EC6E4B"/>
    <w:rsid w:val="00EC6F3F"/>
    <w:rsid w:val="00EC7003"/>
    <w:rsid w:val="00EC710A"/>
    <w:rsid w:val="00EC7302"/>
    <w:rsid w:val="00EC73AD"/>
    <w:rsid w:val="00EC755E"/>
    <w:rsid w:val="00EC7632"/>
    <w:rsid w:val="00EC775D"/>
    <w:rsid w:val="00EC7E8F"/>
    <w:rsid w:val="00EC7F46"/>
    <w:rsid w:val="00EC7FE7"/>
    <w:rsid w:val="00ED014A"/>
    <w:rsid w:val="00ED027C"/>
    <w:rsid w:val="00ED0481"/>
    <w:rsid w:val="00ED0622"/>
    <w:rsid w:val="00ED063F"/>
    <w:rsid w:val="00ED078C"/>
    <w:rsid w:val="00ED09C0"/>
    <w:rsid w:val="00ED0A3B"/>
    <w:rsid w:val="00ED0C2E"/>
    <w:rsid w:val="00ED0D02"/>
    <w:rsid w:val="00ED0F5D"/>
    <w:rsid w:val="00ED108D"/>
    <w:rsid w:val="00ED11DB"/>
    <w:rsid w:val="00ED138A"/>
    <w:rsid w:val="00ED1440"/>
    <w:rsid w:val="00ED1491"/>
    <w:rsid w:val="00ED14EB"/>
    <w:rsid w:val="00ED1596"/>
    <w:rsid w:val="00ED16FA"/>
    <w:rsid w:val="00ED1848"/>
    <w:rsid w:val="00ED188B"/>
    <w:rsid w:val="00ED18CE"/>
    <w:rsid w:val="00ED1A8F"/>
    <w:rsid w:val="00ED1B6D"/>
    <w:rsid w:val="00ED1B81"/>
    <w:rsid w:val="00ED1B92"/>
    <w:rsid w:val="00ED1C3C"/>
    <w:rsid w:val="00ED1C5F"/>
    <w:rsid w:val="00ED1C76"/>
    <w:rsid w:val="00ED1FD1"/>
    <w:rsid w:val="00ED2004"/>
    <w:rsid w:val="00ED21D9"/>
    <w:rsid w:val="00ED21E6"/>
    <w:rsid w:val="00ED2296"/>
    <w:rsid w:val="00ED2297"/>
    <w:rsid w:val="00ED2571"/>
    <w:rsid w:val="00ED26A9"/>
    <w:rsid w:val="00ED26DA"/>
    <w:rsid w:val="00ED275B"/>
    <w:rsid w:val="00ED2819"/>
    <w:rsid w:val="00ED2B06"/>
    <w:rsid w:val="00ED2E9E"/>
    <w:rsid w:val="00ED2FC1"/>
    <w:rsid w:val="00ED2FF9"/>
    <w:rsid w:val="00ED3184"/>
    <w:rsid w:val="00ED325F"/>
    <w:rsid w:val="00ED3273"/>
    <w:rsid w:val="00ED332E"/>
    <w:rsid w:val="00ED33C8"/>
    <w:rsid w:val="00ED347C"/>
    <w:rsid w:val="00ED3722"/>
    <w:rsid w:val="00ED3880"/>
    <w:rsid w:val="00ED388B"/>
    <w:rsid w:val="00ED3938"/>
    <w:rsid w:val="00ED3C1B"/>
    <w:rsid w:val="00ED3C83"/>
    <w:rsid w:val="00ED3D43"/>
    <w:rsid w:val="00ED3D6B"/>
    <w:rsid w:val="00ED3F5A"/>
    <w:rsid w:val="00ED4292"/>
    <w:rsid w:val="00ED440A"/>
    <w:rsid w:val="00ED4540"/>
    <w:rsid w:val="00ED456F"/>
    <w:rsid w:val="00ED4659"/>
    <w:rsid w:val="00ED46D1"/>
    <w:rsid w:val="00ED47F9"/>
    <w:rsid w:val="00ED49CC"/>
    <w:rsid w:val="00ED4A30"/>
    <w:rsid w:val="00ED4A95"/>
    <w:rsid w:val="00ED4C3C"/>
    <w:rsid w:val="00ED4FF5"/>
    <w:rsid w:val="00ED500C"/>
    <w:rsid w:val="00ED505B"/>
    <w:rsid w:val="00ED5188"/>
    <w:rsid w:val="00ED53F6"/>
    <w:rsid w:val="00ED5593"/>
    <w:rsid w:val="00ED56F6"/>
    <w:rsid w:val="00ED5755"/>
    <w:rsid w:val="00ED5876"/>
    <w:rsid w:val="00ED59A4"/>
    <w:rsid w:val="00ED5AD1"/>
    <w:rsid w:val="00ED5AFB"/>
    <w:rsid w:val="00ED5B28"/>
    <w:rsid w:val="00ED5BB2"/>
    <w:rsid w:val="00ED5D17"/>
    <w:rsid w:val="00ED5EBD"/>
    <w:rsid w:val="00ED5FB3"/>
    <w:rsid w:val="00ED638A"/>
    <w:rsid w:val="00ED63D1"/>
    <w:rsid w:val="00ED6454"/>
    <w:rsid w:val="00ED655D"/>
    <w:rsid w:val="00ED6659"/>
    <w:rsid w:val="00ED682A"/>
    <w:rsid w:val="00ED68F3"/>
    <w:rsid w:val="00ED695A"/>
    <w:rsid w:val="00ED69C3"/>
    <w:rsid w:val="00ED6A31"/>
    <w:rsid w:val="00ED6AA8"/>
    <w:rsid w:val="00ED6CE8"/>
    <w:rsid w:val="00ED6D8B"/>
    <w:rsid w:val="00ED6E0D"/>
    <w:rsid w:val="00ED710A"/>
    <w:rsid w:val="00ED7934"/>
    <w:rsid w:val="00ED795A"/>
    <w:rsid w:val="00ED7A6A"/>
    <w:rsid w:val="00ED7B5C"/>
    <w:rsid w:val="00ED7C83"/>
    <w:rsid w:val="00EE0265"/>
    <w:rsid w:val="00EE02C5"/>
    <w:rsid w:val="00EE04B9"/>
    <w:rsid w:val="00EE04C8"/>
    <w:rsid w:val="00EE0585"/>
    <w:rsid w:val="00EE07B2"/>
    <w:rsid w:val="00EE0D59"/>
    <w:rsid w:val="00EE0E9E"/>
    <w:rsid w:val="00EE0F32"/>
    <w:rsid w:val="00EE1031"/>
    <w:rsid w:val="00EE1117"/>
    <w:rsid w:val="00EE11A1"/>
    <w:rsid w:val="00EE13AC"/>
    <w:rsid w:val="00EE14E3"/>
    <w:rsid w:val="00EE18EC"/>
    <w:rsid w:val="00EE1A4E"/>
    <w:rsid w:val="00EE1A7D"/>
    <w:rsid w:val="00EE1BBF"/>
    <w:rsid w:val="00EE1C80"/>
    <w:rsid w:val="00EE1D21"/>
    <w:rsid w:val="00EE1F2E"/>
    <w:rsid w:val="00EE20CA"/>
    <w:rsid w:val="00EE2206"/>
    <w:rsid w:val="00EE22E0"/>
    <w:rsid w:val="00EE235F"/>
    <w:rsid w:val="00EE246F"/>
    <w:rsid w:val="00EE247C"/>
    <w:rsid w:val="00EE248F"/>
    <w:rsid w:val="00EE24D3"/>
    <w:rsid w:val="00EE2A35"/>
    <w:rsid w:val="00EE2B3A"/>
    <w:rsid w:val="00EE2B3B"/>
    <w:rsid w:val="00EE2C73"/>
    <w:rsid w:val="00EE2D54"/>
    <w:rsid w:val="00EE2EFD"/>
    <w:rsid w:val="00EE3049"/>
    <w:rsid w:val="00EE307C"/>
    <w:rsid w:val="00EE315A"/>
    <w:rsid w:val="00EE3359"/>
    <w:rsid w:val="00EE3365"/>
    <w:rsid w:val="00EE33E8"/>
    <w:rsid w:val="00EE3894"/>
    <w:rsid w:val="00EE3A90"/>
    <w:rsid w:val="00EE3C54"/>
    <w:rsid w:val="00EE3D33"/>
    <w:rsid w:val="00EE3D91"/>
    <w:rsid w:val="00EE3F3E"/>
    <w:rsid w:val="00EE3F8A"/>
    <w:rsid w:val="00EE4211"/>
    <w:rsid w:val="00EE437D"/>
    <w:rsid w:val="00EE43E1"/>
    <w:rsid w:val="00EE4522"/>
    <w:rsid w:val="00EE4545"/>
    <w:rsid w:val="00EE4555"/>
    <w:rsid w:val="00EE457A"/>
    <w:rsid w:val="00EE4593"/>
    <w:rsid w:val="00EE4792"/>
    <w:rsid w:val="00EE482C"/>
    <w:rsid w:val="00EE4B1F"/>
    <w:rsid w:val="00EE4C51"/>
    <w:rsid w:val="00EE4DC3"/>
    <w:rsid w:val="00EE4E3E"/>
    <w:rsid w:val="00EE4FE9"/>
    <w:rsid w:val="00EE5266"/>
    <w:rsid w:val="00EE529D"/>
    <w:rsid w:val="00EE54A3"/>
    <w:rsid w:val="00EE5507"/>
    <w:rsid w:val="00EE58AB"/>
    <w:rsid w:val="00EE59BD"/>
    <w:rsid w:val="00EE59C6"/>
    <w:rsid w:val="00EE5A36"/>
    <w:rsid w:val="00EE5AA8"/>
    <w:rsid w:val="00EE5C2D"/>
    <w:rsid w:val="00EE5DC6"/>
    <w:rsid w:val="00EE5F51"/>
    <w:rsid w:val="00EE6291"/>
    <w:rsid w:val="00EE635F"/>
    <w:rsid w:val="00EE660F"/>
    <w:rsid w:val="00EE6749"/>
    <w:rsid w:val="00EE674E"/>
    <w:rsid w:val="00EE677B"/>
    <w:rsid w:val="00EE686B"/>
    <w:rsid w:val="00EE6B2D"/>
    <w:rsid w:val="00EE6BC0"/>
    <w:rsid w:val="00EE6DE9"/>
    <w:rsid w:val="00EE6E09"/>
    <w:rsid w:val="00EE6F49"/>
    <w:rsid w:val="00EE71C5"/>
    <w:rsid w:val="00EE7474"/>
    <w:rsid w:val="00EE762F"/>
    <w:rsid w:val="00EE7654"/>
    <w:rsid w:val="00EE78B8"/>
    <w:rsid w:val="00EE78ED"/>
    <w:rsid w:val="00EE790A"/>
    <w:rsid w:val="00EE7930"/>
    <w:rsid w:val="00EE7962"/>
    <w:rsid w:val="00EE7ADD"/>
    <w:rsid w:val="00EE7D17"/>
    <w:rsid w:val="00EE7FE2"/>
    <w:rsid w:val="00EF010A"/>
    <w:rsid w:val="00EF0212"/>
    <w:rsid w:val="00EF023D"/>
    <w:rsid w:val="00EF0264"/>
    <w:rsid w:val="00EF0270"/>
    <w:rsid w:val="00EF035A"/>
    <w:rsid w:val="00EF04BD"/>
    <w:rsid w:val="00EF05BB"/>
    <w:rsid w:val="00EF05D6"/>
    <w:rsid w:val="00EF06BE"/>
    <w:rsid w:val="00EF0725"/>
    <w:rsid w:val="00EF073F"/>
    <w:rsid w:val="00EF0869"/>
    <w:rsid w:val="00EF0878"/>
    <w:rsid w:val="00EF0905"/>
    <w:rsid w:val="00EF0B03"/>
    <w:rsid w:val="00EF0C48"/>
    <w:rsid w:val="00EF0F6D"/>
    <w:rsid w:val="00EF1389"/>
    <w:rsid w:val="00EF13D2"/>
    <w:rsid w:val="00EF149E"/>
    <w:rsid w:val="00EF156C"/>
    <w:rsid w:val="00EF16F7"/>
    <w:rsid w:val="00EF1A2F"/>
    <w:rsid w:val="00EF1B62"/>
    <w:rsid w:val="00EF1BEA"/>
    <w:rsid w:val="00EF1DA7"/>
    <w:rsid w:val="00EF1F5F"/>
    <w:rsid w:val="00EF230D"/>
    <w:rsid w:val="00EF2424"/>
    <w:rsid w:val="00EF243E"/>
    <w:rsid w:val="00EF2561"/>
    <w:rsid w:val="00EF25B1"/>
    <w:rsid w:val="00EF2604"/>
    <w:rsid w:val="00EF2686"/>
    <w:rsid w:val="00EF2B30"/>
    <w:rsid w:val="00EF2BC0"/>
    <w:rsid w:val="00EF2E9A"/>
    <w:rsid w:val="00EF2F14"/>
    <w:rsid w:val="00EF3101"/>
    <w:rsid w:val="00EF3212"/>
    <w:rsid w:val="00EF328A"/>
    <w:rsid w:val="00EF32DE"/>
    <w:rsid w:val="00EF339E"/>
    <w:rsid w:val="00EF340D"/>
    <w:rsid w:val="00EF36C3"/>
    <w:rsid w:val="00EF36D8"/>
    <w:rsid w:val="00EF3774"/>
    <w:rsid w:val="00EF389A"/>
    <w:rsid w:val="00EF38D5"/>
    <w:rsid w:val="00EF3ADF"/>
    <w:rsid w:val="00EF3B3E"/>
    <w:rsid w:val="00EF3B71"/>
    <w:rsid w:val="00EF3CB6"/>
    <w:rsid w:val="00EF3D60"/>
    <w:rsid w:val="00EF3E40"/>
    <w:rsid w:val="00EF404C"/>
    <w:rsid w:val="00EF441F"/>
    <w:rsid w:val="00EF4427"/>
    <w:rsid w:val="00EF442A"/>
    <w:rsid w:val="00EF4600"/>
    <w:rsid w:val="00EF4615"/>
    <w:rsid w:val="00EF4658"/>
    <w:rsid w:val="00EF4677"/>
    <w:rsid w:val="00EF469F"/>
    <w:rsid w:val="00EF46CE"/>
    <w:rsid w:val="00EF4795"/>
    <w:rsid w:val="00EF482E"/>
    <w:rsid w:val="00EF4C99"/>
    <w:rsid w:val="00EF4D3F"/>
    <w:rsid w:val="00EF4DB8"/>
    <w:rsid w:val="00EF4DD6"/>
    <w:rsid w:val="00EF4F0D"/>
    <w:rsid w:val="00EF4FC8"/>
    <w:rsid w:val="00EF51DE"/>
    <w:rsid w:val="00EF5435"/>
    <w:rsid w:val="00EF5627"/>
    <w:rsid w:val="00EF587A"/>
    <w:rsid w:val="00EF590F"/>
    <w:rsid w:val="00EF59E6"/>
    <w:rsid w:val="00EF5B22"/>
    <w:rsid w:val="00EF5B47"/>
    <w:rsid w:val="00EF5BDC"/>
    <w:rsid w:val="00EF5CBB"/>
    <w:rsid w:val="00EF5E07"/>
    <w:rsid w:val="00EF5F57"/>
    <w:rsid w:val="00EF5FB6"/>
    <w:rsid w:val="00EF616E"/>
    <w:rsid w:val="00EF6421"/>
    <w:rsid w:val="00EF64E7"/>
    <w:rsid w:val="00EF6AF1"/>
    <w:rsid w:val="00EF6B39"/>
    <w:rsid w:val="00EF6C1C"/>
    <w:rsid w:val="00EF6DF2"/>
    <w:rsid w:val="00EF6EBB"/>
    <w:rsid w:val="00EF6EE9"/>
    <w:rsid w:val="00EF6F10"/>
    <w:rsid w:val="00EF7158"/>
    <w:rsid w:val="00EF7231"/>
    <w:rsid w:val="00EF7264"/>
    <w:rsid w:val="00EF755F"/>
    <w:rsid w:val="00EF769C"/>
    <w:rsid w:val="00EF774A"/>
    <w:rsid w:val="00EF7A25"/>
    <w:rsid w:val="00EF7C47"/>
    <w:rsid w:val="00EF7C92"/>
    <w:rsid w:val="00EF7D73"/>
    <w:rsid w:val="00F0004B"/>
    <w:rsid w:val="00F0026F"/>
    <w:rsid w:val="00F002C3"/>
    <w:rsid w:val="00F002E1"/>
    <w:rsid w:val="00F0056C"/>
    <w:rsid w:val="00F00681"/>
    <w:rsid w:val="00F006E5"/>
    <w:rsid w:val="00F00734"/>
    <w:rsid w:val="00F008D4"/>
    <w:rsid w:val="00F00B0D"/>
    <w:rsid w:val="00F00C3C"/>
    <w:rsid w:val="00F00C8D"/>
    <w:rsid w:val="00F00D97"/>
    <w:rsid w:val="00F00EF0"/>
    <w:rsid w:val="00F00F3F"/>
    <w:rsid w:val="00F00FEB"/>
    <w:rsid w:val="00F010F2"/>
    <w:rsid w:val="00F011D4"/>
    <w:rsid w:val="00F01232"/>
    <w:rsid w:val="00F01293"/>
    <w:rsid w:val="00F0131E"/>
    <w:rsid w:val="00F01385"/>
    <w:rsid w:val="00F0141B"/>
    <w:rsid w:val="00F014CC"/>
    <w:rsid w:val="00F014E1"/>
    <w:rsid w:val="00F0157B"/>
    <w:rsid w:val="00F0177C"/>
    <w:rsid w:val="00F01851"/>
    <w:rsid w:val="00F018F5"/>
    <w:rsid w:val="00F019C7"/>
    <w:rsid w:val="00F01A5D"/>
    <w:rsid w:val="00F01AEF"/>
    <w:rsid w:val="00F01DE0"/>
    <w:rsid w:val="00F01F8C"/>
    <w:rsid w:val="00F0201D"/>
    <w:rsid w:val="00F020A8"/>
    <w:rsid w:val="00F021C5"/>
    <w:rsid w:val="00F021EE"/>
    <w:rsid w:val="00F0221C"/>
    <w:rsid w:val="00F02491"/>
    <w:rsid w:val="00F024FD"/>
    <w:rsid w:val="00F0259E"/>
    <w:rsid w:val="00F0266F"/>
    <w:rsid w:val="00F02794"/>
    <w:rsid w:val="00F02F9B"/>
    <w:rsid w:val="00F0304D"/>
    <w:rsid w:val="00F034EC"/>
    <w:rsid w:val="00F0351F"/>
    <w:rsid w:val="00F03713"/>
    <w:rsid w:val="00F03784"/>
    <w:rsid w:val="00F03884"/>
    <w:rsid w:val="00F03888"/>
    <w:rsid w:val="00F0389B"/>
    <w:rsid w:val="00F03925"/>
    <w:rsid w:val="00F03C5C"/>
    <w:rsid w:val="00F03CEF"/>
    <w:rsid w:val="00F03D1D"/>
    <w:rsid w:val="00F03E5E"/>
    <w:rsid w:val="00F04110"/>
    <w:rsid w:val="00F04158"/>
    <w:rsid w:val="00F045BF"/>
    <w:rsid w:val="00F0466C"/>
    <w:rsid w:val="00F0499E"/>
    <w:rsid w:val="00F04B12"/>
    <w:rsid w:val="00F04BC1"/>
    <w:rsid w:val="00F04D04"/>
    <w:rsid w:val="00F04E22"/>
    <w:rsid w:val="00F04F1A"/>
    <w:rsid w:val="00F04F2B"/>
    <w:rsid w:val="00F050C5"/>
    <w:rsid w:val="00F051DE"/>
    <w:rsid w:val="00F05226"/>
    <w:rsid w:val="00F052A0"/>
    <w:rsid w:val="00F05553"/>
    <w:rsid w:val="00F0567A"/>
    <w:rsid w:val="00F056D0"/>
    <w:rsid w:val="00F05861"/>
    <w:rsid w:val="00F05875"/>
    <w:rsid w:val="00F05943"/>
    <w:rsid w:val="00F05D34"/>
    <w:rsid w:val="00F06087"/>
    <w:rsid w:val="00F063CA"/>
    <w:rsid w:val="00F063CF"/>
    <w:rsid w:val="00F064E0"/>
    <w:rsid w:val="00F065DD"/>
    <w:rsid w:val="00F06763"/>
    <w:rsid w:val="00F068A9"/>
    <w:rsid w:val="00F069D3"/>
    <w:rsid w:val="00F06C7F"/>
    <w:rsid w:val="00F0701E"/>
    <w:rsid w:val="00F07036"/>
    <w:rsid w:val="00F07042"/>
    <w:rsid w:val="00F070DD"/>
    <w:rsid w:val="00F07130"/>
    <w:rsid w:val="00F071FC"/>
    <w:rsid w:val="00F07303"/>
    <w:rsid w:val="00F07436"/>
    <w:rsid w:val="00F07532"/>
    <w:rsid w:val="00F076C6"/>
    <w:rsid w:val="00F07794"/>
    <w:rsid w:val="00F07856"/>
    <w:rsid w:val="00F078AE"/>
    <w:rsid w:val="00F078CF"/>
    <w:rsid w:val="00F0793A"/>
    <w:rsid w:val="00F07945"/>
    <w:rsid w:val="00F07EB4"/>
    <w:rsid w:val="00F07FEC"/>
    <w:rsid w:val="00F10093"/>
    <w:rsid w:val="00F100B6"/>
    <w:rsid w:val="00F100E9"/>
    <w:rsid w:val="00F101C8"/>
    <w:rsid w:val="00F1022A"/>
    <w:rsid w:val="00F10295"/>
    <w:rsid w:val="00F102B8"/>
    <w:rsid w:val="00F104DA"/>
    <w:rsid w:val="00F104F6"/>
    <w:rsid w:val="00F10562"/>
    <w:rsid w:val="00F105F4"/>
    <w:rsid w:val="00F10932"/>
    <w:rsid w:val="00F10AE7"/>
    <w:rsid w:val="00F10B87"/>
    <w:rsid w:val="00F10CE9"/>
    <w:rsid w:val="00F10DB5"/>
    <w:rsid w:val="00F10E94"/>
    <w:rsid w:val="00F11148"/>
    <w:rsid w:val="00F11205"/>
    <w:rsid w:val="00F1151B"/>
    <w:rsid w:val="00F11764"/>
    <w:rsid w:val="00F117F8"/>
    <w:rsid w:val="00F11821"/>
    <w:rsid w:val="00F1183C"/>
    <w:rsid w:val="00F11951"/>
    <w:rsid w:val="00F11A4F"/>
    <w:rsid w:val="00F11B6A"/>
    <w:rsid w:val="00F11BA7"/>
    <w:rsid w:val="00F11DA8"/>
    <w:rsid w:val="00F11ED1"/>
    <w:rsid w:val="00F11EE7"/>
    <w:rsid w:val="00F11F6A"/>
    <w:rsid w:val="00F11FB6"/>
    <w:rsid w:val="00F11FEE"/>
    <w:rsid w:val="00F120DA"/>
    <w:rsid w:val="00F120EF"/>
    <w:rsid w:val="00F122B2"/>
    <w:rsid w:val="00F12467"/>
    <w:rsid w:val="00F124C4"/>
    <w:rsid w:val="00F125D5"/>
    <w:rsid w:val="00F12622"/>
    <w:rsid w:val="00F128A6"/>
    <w:rsid w:val="00F12A04"/>
    <w:rsid w:val="00F12A61"/>
    <w:rsid w:val="00F12C0A"/>
    <w:rsid w:val="00F12CB1"/>
    <w:rsid w:val="00F12CDF"/>
    <w:rsid w:val="00F1314C"/>
    <w:rsid w:val="00F131B8"/>
    <w:rsid w:val="00F133F2"/>
    <w:rsid w:val="00F136A7"/>
    <w:rsid w:val="00F13758"/>
    <w:rsid w:val="00F13814"/>
    <w:rsid w:val="00F13AEC"/>
    <w:rsid w:val="00F13C46"/>
    <w:rsid w:val="00F13FB7"/>
    <w:rsid w:val="00F14222"/>
    <w:rsid w:val="00F142D9"/>
    <w:rsid w:val="00F14313"/>
    <w:rsid w:val="00F1499F"/>
    <w:rsid w:val="00F14D89"/>
    <w:rsid w:val="00F14D9E"/>
    <w:rsid w:val="00F14EF8"/>
    <w:rsid w:val="00F15026"/>
    <w:rsid w:val="00F152FC"/>
    <w:rsid w:val="00F15472"/>
    <w:rsid w:val="00F155ED"/>
    <w:rsid w:val="00F156E4"/>
    <w:rsid w:val="00F1590F"/>
    <w:rsid w:val="00F15947"/>
    <w:rsid w:val="00F15B12"/>
    <w:rsid w:val="00F15BD9"/>
    <w:rsid w:val="00F15BF9"/>
    <w:rsid w:val="00F15D6D"/>
    <w:rsid w:val="00F15E6F"/>
    <w:rsid w:val="00F15F7E"/>
    <w:rsid w:val="00F1604C"/>
    <w:rsid w:val="00F1614F"/>
    <w:rsid w:val="00F163CB"/>
    <w:rsid w:val="00F165E7"/>
    <w:rsid w:val="00F1672A"/>
    <w:rsid w:val="00F16B4F"/>
    <w:rsid w:val="00F16D5E"/>
    <w:rsid w:val="00F17042"/>
    <w:rsid w:val="00F172B1"/>
    <w:rsid w:val="00F173DE"/>
    <w:rsid w:val="00F1770D"/>
    <w:rsid w:val="00F179C6"/>
    <w:rsid w:val="00F17B41"/>
    <w:rsid w:val="00F17D7B"/>
    <w:rsid w:val="00F17E83"/>
    <w:rsid w:val="00F17F13"/>
    <w:rsid w:val="00F17FB8"/>
    <w:rsid w:val="00F2008E"/>
    <w:rsid w:val="00F200F5"/>
    <w:rsid w:val="00F20312"/>
    <w:rsid w:val="00F2034B"/>
    <w:rsid w:val="00F203F9"/>
    <w:rsid w:val="00F20423"/>
    <w:rsid w:val="00F20546"/>
    <w:rsid w:val="00F20739"/>
    <w:rsid w:val="00F2084B"/>
    <w:rsid w:val="00F209DF"/>
    <w:rsid w:val="00F20B30"/>
    <w:rsid w:val="00F20B65"/>
    <w:rsid w:val="00F20C60"/>
    <w:rsid w:val="00F20C97"/>
    <w:rsid w:val="00F21101"/>
    <w:rsid w:val="00F212C4"/>
    <w:rsid w:val="00F217D9"/>
    <w:rsid w:val="00F21873"/>
    <w:rsid w:val="00F21946"/>
    <w:rsid w:val="00F2198C"/>
    <w:rsid w:val="00F21CE9"/>
    <w:rsid w:val="00F21E51"/>
    <w:rsid w:val="00F21FF4"/>
    <w:rsid w:val="00F2211A"/>
    <w:rsid w:val="00F221C2"/>
    <w:rsid w:val="00F2220B"/>
    <w:rsid w:val="00F2224C"/>
    <w:rsid w:val="00F222E0"/>
    <w:rsid w:val="00F222E1"/>
    <w:rsid w:val="00F223ED"/>
    <w:rsid w:val="00F22704"/>
    <w:rsid w:val="00F2277B"/>
    <w:rsid w:val="00F227C6"/>
    <w:rsid w:val="00F2284F"/>
    <w:rsid w:val="00F22912"/>
    <w:rsid w:val="00F22B43"/>
    <w:rsid w:val="00F22BB6"/>
    <w:rsid w:val="00F22DF5"/>
    <w:rsid w:val="00F22DFC"/>
    <w:rsid w:val="00F22F06"/>
    <w:rsid w:val="00F22F8D"/>
    <w:rsid w:val="00F23021"/>
    <w:rsid w:val="00F23031"/>
    <w:rsid w:val="00F23094"/>
    <w:rsid w:val="00F232C8"/>
    <w:rsid w:val="00F2347F"/>
    <w:rsid w:val="00F23513"/>
    <w:rsid w:val="00F23514"/>
    <w:rsid w:val="00F235EE"/>
    <w:rsid w:val="00F2374E"/>
    <w:rsid w:val="00F23908"/>
    <w:rsid w:val="00F2393B"/>
    <w:rsid w:val="00F239BB"/>
    <w:rsid w:val="00F23A7A"/>
    <w:rsid w:val="00F23ABB"/>
    <w:rsid w:val="00F23FCA"/>
    <w:rsid w:val="00F24015"/>
    <w:rsid w:val="00F24189"/>
    <w:rsid w:val="00F242B9"/>
    <w:rsid w:val="00F24421"/>
    <w:rsid w:val="00F245D9"/>
    <w:rsid w:val="00F2468D"/>
    <w:rsid w:val="00F247CF"/>
    <w:rsid w:val="00F2498B"/>
    <w:rsid w:val="00F24B27"/>
    <w:rsid w:val="00F24FD5"/>
    <w:rsid w:val="00F24FE0"/>
    <w:rsid w:val="00F25016"/>
    <w:rsid w:val="00F2501C"/>
    <w:rsid w:val="00F25139"/>
    <w:rsid w:val="00F254B8"/>
    <w:rsid w:val="00F2554B"/>
    <w:rsid w:val="00F2573B"/>
    <w:rsid w:val="00F25800"/>
    <w:rsid w:val="00F2583B"/>
    <w:rsid w:val="00F25AE5"/>
    <w:rsid w:val="00F25B17"/>
    <w:rsid w:val="00F25D91"/>
    <w:rsid w:val="00F25FD8"/>
    <w:rsid w:val="00F25FEE"/>
    <w:rsid w:val="00F261DA"/>
    <w:rsid w:val="00F26335"/>
    <w:rsid w:val="00F2637E"/>
    <w:rsid w:val="00F26890"/>
    <w:rsid w:val="00F26934"/>
    <w:rsid w:val="00F26952"/>
    <w:rsid w:val="00F26AE1"/>
    <w:rsid w:val="00F26BDE"/>
    <w:rsid w:val="00F2725F"/>
    <w:rsid w:val="00F27265"/>
    <w:rsid w:val="00F27319"/>
    <w:rsid w:val="00F27528"/>
    <w:rsid w:val="00F27962"/>
    <w:rsid w:val="00F27A9E"/>
    <w:rsid w:val="00F27C3E"/>
    <w:rsid w:val="00F27C4A"/>
    <w:rsid w:val="00F27D37"/>
    <w:rsid w:val="00F27F63"/>
    <w:rsid w:val="00F27FF7"/>
    <w:rsid w:val="00F3027D"/>
    <w:rsid w:val="00F305CD"/>
    <w:rsid w:val="00F30692"/>
    <w:rsid w:val="00F306B5"/>
    <w:rsid w:val="00F30A2C"/>
    <w:rsid w:val="00F30C93"/>
    <w:rsid w:val="00F30CCC"/>
    <w:rsid w:val="00F30CD4"/>
    <w:rsid w:val="00F30D74"/>
    <w:rsid w:val="00F30DBA"/>
    <w:rsid w:val="00F30F4B"/>
    <w:rsid w:val="00F30FCA"/>
    <w:rsid w:val="00F310B3"/>
    <w:rsid w:val="00F31113"/>
    <w:rsid w:val="00F311CE"/>
    <w:rsid w:val="00F31334"/>
    <w:rsid w:val="00F315A5"/>
    <w:rsid w:val="00F31816"/>
    <w:rsid w:val="00F31C31"/>
    <w:rsid w:val="00F31CEE"/>
    <w:rsid w:val="00F31CF1"/>
    <w:rsid w:val="00F31D4E"/>
    <w:rsid w:val="00F31E1F"/>
    <w:rsid w:val="00F31F84"/>
    <w:rsid w:val="00F321CE"/>
    <w:rsid w:val="00F3252F"/>
    <w:rsid w:val="00F32539"/>
    <w:rsid w:val="00F3258B"/>
    <w:rsid w:val="00F3260D"/>
    <w:rsid w:val="00F326E0"/>
    <w:rsid w:val="00F327CC"/>
    <w:rsid w:val="00F32DFE"/>
    <w:rsid w:val="00F32EBD"/>
    <w:rsid w:val="00F33135"/>
    <w:rsid w:val="00F3335F"/>
    <w:rsid w:val="00F3339C"/>
    <w:rsid w:val="00F33503"/>
    <w:rsid w:val="00F33638"/>
    <w:rsid w:val="00F337C0"/>
    <w:rsid w:val="00F33892"/>
    <w:rsid w:val="00F338E1"/>
    <w:rsid w:val="00F33A49"/>
    <w:rsid w:val="00F34139"/>
    <w:rsid w:val="00F34238"/>
    <w:rsid w:val="00F34548"/>
    <w:rsid w:val="00F34680"/>
    <w:rsid w:val="00F34704"/>
    <w:rsid w:val="00F34906"/>
    <w:rsid w:val="00F34ABB"/>
    <w:rsid w:val="00F34BA8"/>
    <w:rsid w:val="00F34C72"/>
    <w:rsid w:val="00F34E9A"/>
    <w:rsid w:val="00F35129"/>
    <w:rsid w:val="00F3520E"/>
    <w:rsid w:val="00F3527F"/>
    <w:rsid w:val="00F354E5"/>
    <w:rsid w:val="00F35650"/>
    <w:rsid w:val="00F35774"/>
    <w:rsid w:val="00F35C1B"/>
    <w:rsid w:val="00F35C38"/>
    <w:rsid w:val="00F35E24"/>
    <w:rsid w:val="00F35F1E"/>
    <w:rsid w:val="00F3630C"/>
    <w:rsid w:val="00F36364"/>
    <w:rsid w:val="00F36554"/>
    <w:rsid w:val="00F36627"/>
    <w:rsid w:val="00F3665A"/>
    <w:rsid w:val="00F366FF"/>
    <w:rsid w:val="00F3672B"/>
    <w:rsid w:val="00F3679B"/>
    <w:rsid w:val="00F36889"/>
    <w:rsid w:val="00F368AC"/>
    <w:rsid w:val="00F368B7"/>
    <w:rsid w:val="00F36B3F"/>
    <w:rsid w:val="00F36B78"/>
    <w:rsid w:val="00F36D03"/>
    <w:rsid w:val="00F36F4D"/>
    <w:rsid w:val="00F37161"/>
    <w:rsid w:val="00F372F8"/>
    <w:rsid w:val="00F373BC"/>
    <w:rsid w:val="00F37421"/>
    <w:rsid w:val="00F37CCC"/>
    <w:rsid w:val="00F37DE6"/>
    <w:rsid w:val="00F37E80"/>
    <w:rsid w:val="00F40046"/>
    <w:rsid w:val="00F40455"/>
    <w:rsid w:val="00F4046E"/>
    <w:rsid w:val="00F4048E"/>
    <w:rsid w:val="00F405B3"/>
    <w:rsid w:val="00F40637"/>
    <w:rsid w:val="00F40747"/>
    <w:rsid w:val="00F4085A"/>
    <w:rsid w:val="00F40A09"/>
    <w:rsid w:val="00F40A69"/>
    <w:rsid w:val="00F40BBE"/>
    <w:rsid w:val="00F40D7C"/>
    <w:rsid w:val="00F40DCD"/>
    <w:rsid w:val="00F40E84"/>
    <w:rsid w:val="00F40E91"/>
    <w:rsid w:val="00F4118F"/>
    <w:rsid w:val="00F411F4"/>
    <w:rsid w:val="00F4123F"/>
    <w:rsid w:val="00F412B7"/>
    <w:rsid w:val="00F413AB"/>
    <w:rsid w:val="00F413CB"/>
    <w:rsid w:val="00F41660"/>
    <w:rsid w:val="00F4175B"/>
    <w:rsid w:val="00F418AD"/>
    <w:rsid w:val="00F41913"/>
    <w:rsid w:val="00F41CC6"/>
    <w:rsid w:val="00F41E83"/>
    <w:rsid w:val="00F41FD6"/>
    <w:rsid w:val="00F41FED"/>
    <w:rsid w:val="00F42227"/>
    <w:rsid w:val="00F425FB"/>
    <w:rsid w:val="00F4269A"/>
    <w:rsid w:val="00F426C0"/>
    <w:rsid w:val="00F42743"/>
    <w:rsid w:val="00F42823"/>
    <w:rsid w:val="00F42890"/>
    <w:rsid w:val="00F42A0E"/>
    <w:rsid w:val="00F42A1B"/>
    <w:rsid w:val="00F42B53"/>
    <w:rsid w:val="00F42BF2"/>
    <w:rsid w:val="00F42C60"/>
    <w:rsid w:val="00F42E62"/>
    <w:rsid w:val="00F43031"/>
    <w:rsid w:val="00F430F8"/>
    <w:rsid w:val="00F43106"/>
    <w:rsid w:val="00F43123"/>
    <w:rsid w:val="00F4317F"/>
    <w:rsid w:val="00F4327F"/>
    <w:rsid w:val="00F432F7"/>
    <w:rsid w:val="00F4344A"/>
    <w:rsid w:val="00F43468"/>
    <w:rsid w:val="00F43589"/>
    <w:rsid w:val="00F436C1"/>
    <w:rsid w:val="00F43712"/>
    <w:rsid w:val="00F4384A"/>
    <w:rsid w:val="00F43873"/>
    <w:rsid w:val="00F438E4"/>
    <w:rsid w:val="00F43933"/>
    <w:rsid w:val="00F4457C"/>
    <w:rsid w:val="00F445E9"/>
    <w:rsid w:val="00F44641"/>
    <w:rsid w:val="00F44695"/>
    <w:rsid w:val="00F44796"/>
    <w:rsid w:val="00F44A8E"/>
    <w:rsid w:val="00F44D24"/>
    <w:rsid w:val="00F44F84"/>
    <w:rsid w:val="00F44FC9"/>
    <w:rsid w:val="00F451DB"/>
    <w:rsid w:val="00F452D4"/>
    <w:rsid w:val="00F455E8"/>
    <w:rsid w:val="00F45655"/>
    <w:rsid w:val="00F456BC"/>
    <w:rsid w:val="00F457F2"/>
    <w:rsid w:val="00F458DE"/>
    <w:rsid w:val="00F45ACF"/>
    <w:rsid w:val="00F45B08"/>
    <w:rsid w:val="00F45BED"/>
    <w:rsid w:val="00F45D87"/>
    <w:rsid w:val="00F45F45"/>
    <w:rsid w:val="00F45FBC"/>
    <w:rsid w:val="00F46088"/>
    <w:rsid w:val="00F460A9"/>
    <w:rsid w:val="00F461A4"/>
    <w:rsid w:val="00F462A5"/>
    <w:rsid w:val="00F4631E"/>
    <w:rsid w:val="00F463A1"/>
    <w:rsid w:val="00F464D2"/>
    <w:rsid w:val="00F464FB"/>
    <w:rsid w:val="00F468DE"/>
    <w:rsid w:val="00F46D02"/>
    <w:rsid w:val="00F46D2E"/>
    <w:rsid w:val="00F473CB"/>
    <w:rsid w:val="00F473CE"/>
    <w:rsid w:val="00F47425"/>
    <w:rsid w:val="00F47453"/>
    <w:rsid w:val="00F47647"/>
    <w:rsid w:val="00F47652"/>
    <w:rsid w:val="00F47841"/>
    <w:rsid w:val="00F47A43"/>
    <w:rsid w:val="00F47AC6"/>
    <w:rsid w:val="00F47ACA"/>
    <w:rsid w:val="00F47B35"/>
    <w:rsid w:val="00F47D6A"/>
    <w:rsid w:val="00F47F7A"/>
    <w:rsid w:val="00F501C3"/>
    <w:rsid w:val="00F50249"/>
    <w:rsid w:val="00F502EE"/>
    <w:rsid w:val="00F5040E"/>
    <w:rsid w:val="00F5048E"/>
    <w:rsid w:val="00F505FE"/>
    <w:rsid w:val="00F50822"/>
    <w:rsid w:val="00F50983"/>
    <w:rsid w:val="00F5098E"/>
    <w:rsid w:val="00F50B6D"/>
    <w:rsid w:val="00F50D9F"/>
    <w:rsid w:val="00F50E38"/>
    <w:rsid w:val="00F50E63"/>
    <w:rsid w:val="00F50EB6"/>
    <w:rsid w:val="00F50EE9"/>
    <w:rsid w:val="00F51175"/>
    <w:rsid w:val="00F51194"/>
    <w:rsid w:val="00F513E9"/>
    <w:rsid w:val="00F51468"/>
    <w:rsid w:val="00F514AB"/>
    <w:rsid w:val="00F515D8"/>
    <w:rsid w:val="00F51A7A"/>
    <w:rsid w:val="00F51B51"/>
    <w:rsid w:val="00F51C18"/>
    <w:rsid w:val="00F524DD"/>
    <w:rsid w:val="00F524F9"/>
    <w:rsid w:val="00F52594"/>
    <w:rsid w:val="00F527B3"/>
    <w:rsid w:val="00F529BE"/>
    <w:rsid w:val="00F52B57"/>
    <w:rsid w:val="00F52C8C"/>
    <w:rsid w:val="00F52E4C"/>
    <w:rsid w:val="00F52F6E"/>
    <w:rsid w:val="00F53082"/>
    <w:rsid w:val="00F530D4"/>
    <w:rsid w:val="00F531DD"/>
    <w:rsid w:val="00F531F6"/>
    <w:rsid w:val="00F532A2"/>
    <w:rsid w:val="00F53331"/>
    <w:rsid w:val="00F534B7"/>
    <w:rsid w:val="00F53517"/>
    <w:rsid w:val="00F53633"/>
    <w:rsid w:val="00F536C3"/>
    <w:rsid w:val="00F53980"/>
    <w:rsid w:val="00F53C75"/>
    <w:rsid w:val="00F53D47"/>
    <w:rsid w:val="00F53E43"/>
    <w:rsid w:val="00F53F7B"/>
    <w:rsid w:val="00F54108"/>
    <w:rsid w:val="00F5414C"/>
    <w:rsid w:val="00F54255"/>
    <w:rsid w:val="00F542DC"/>
    <w:rsid w:val="00F543A1"/>
    <w:rsid w:val="00F54407"/>
    <w:rsid w:val="00F54556"/>
    <w:rsid w:val="00F5469A"/>
    <w:rsid w:val="00F54B23"/>
    <w:rsid w:val="00F54B59"/>
    <w:rsid w:val="00F54C65"/>
    <w:rsid w:val="00F54CBA"/>
    <w:rsid w:val="00F54CD6"/>
    <w:rsid w:val="00F54DF4"/>
    <w:rsid w:val="00F550EA"/>
    <w:rsid w:val="00F5515B"/>
    <w:rsid w:val="00F55175"/>
    <w:rsid w:val="00F551CC"/>
    <w:rsid w:val="00F551FF"/>
    <w:rsid w:val="00F5522D"/>
    <w:rsid w:val="00F55315"/>
    <w:rsid w:val="00F55539"/>
    <w:rsid w:val="00F555D7"/>
    <w:rsid w:val="00F555ED"/>
    <w:rsid w:val="00F55611"/>
    <w:rsid w:val="00F55652"/>
    <w:rsid w:val="00F55926"/>
    <w:rsid w:val="00F559E8"/>
    <w:rsid w:val="00F55A67"/>
    <w:rsid w:val="00F55A78"/>
    <w:rsid w:val="00F55CC8"/>
    <w:rsid w:val="00F55D07"/>
    <w:rsid w:val="00F55D16"/>
    <w:rsid w:val="00F55EE9"/>
    <w:rsid w:val="00F55F49"/>
    <w:rsid w:val="00F55F81"/>
    <w:rsid w:val="00F56635"/>
    <w:rsid w:val="00F56B13"/>
    <w:rsid w:val="00F56B5A"/>
    <w:rsid w:val="00F56C63"/>
    <w:rsid w:val="00F56F05"/>
    <w:rsid w:val="00F57008"/>
    <w:rsid w:val="00F570C7"/>
    <w:rsid w:val="00F5723B"/>
    <w:rsid w:val="00F573C0"/>
    <w:rsid w:val="00F57588"/>
    <w:rsid w:val="00F5763C"/>
    <w:rsid w:val="00F578B0"/>
    <w:rsid w:val="00F578E9"/>
    <w:rsid w:val="00F57A54"/>
    <w:rsid w:val="00F57C06"/>
    <w:rsid w:val="00F57D6A"/>
    <w:rsid w:val="00F57E0C"/>
    <w:rsid w:val="00F57EC5"/>
    <w:rsid w:val="00F57F77"/>
    <w:rsid w:val="00F60113"/>
    <w:rsid w:val="00F601DD"/>
    <w:rsid w:val="00F6033C"/>
    <w:rsid w:val="00F60422"/>
    <w:rsid w:val="00F60570"/>
    <w:rsid w:val="00F609C4"/>
    <w:rsid w:val="00F60B09"/>
    <w:rsid w:val="00F60C5F"/>
    <w:rsid w:val="00F60F63"/>
    <w:rsid w:val="00F61105"/>
    <w:rsid w:val="00F6121C"/>
    <w:rsid w:val="00F61600"/>
    <w:rsid w:val="00F61739"/>
    <w:rsid w:val="00F61819"/>
    <w:rsid w:val="00F61867"/>
    <w:rsid w:val="00F61917"/>
    <w:rsid w:val="00F6192D"/>
    <w:rsid w:val="00F619E8"/>
    <w:rsid w:val="00F61A34"/>
    <w:rsid w:val="00F61ADA"/>
    <w:rsid w:val="00F61BFA"/>
    <w:rsid w:val="00F61C66"/>
    <w:rsid w:val="00F61CC1"/>
    <w:rsid w:val="00F62070"/>
    <w:rsid w:val="00F62096"/>
    <w:rsid w:val="00F62186"/>
    <w:rsid w:val="00F621D3"/>
    <w:rsid w:val="00F622D6"/>
    <w:rsid w:val="00F624FA"/>
    <w:rsid w:val="00F628E2"/>
    <w:rsid w:val="00F62949"/>
    <w:rsid w:val="00F62D60"/>
    <w:rsid w:val="00F62DE1"/>
    <w:rsid w:val="00F62FDE"/>
    <w:rsid w:val="00F630DD"/>
    <w:rsid w:val="00F63188"/>
    <w:rsid w:val="00F631CB"/>
    <w:rsid w:val="00F631EE"/>
    <w:rsid w:val="00F6327B"/>
    <w:rsid w:val="00F632DD"/>
    <w:rsid w:val="00F63372"/>
    <w:rsid w:val="00F63373"/>
    <w:rsid w:val="00F63377"/>
    <w:rsid w:val="00F63395"/>
    <w:rsid w:val="00F63563"/>
    <w:rsid w:val="00F635C3"/>
    <w:rsid w:val="00F63717"/>
    <w:rsid w:val="00F637A7"/>
    <w:rsid w:val="00F637BC"/>
    <w:rsid w:val="00F63839"/>
    <w:rsid w:val="00F63B6C"/>
    <w:rsid w:val="00F63C13"/>
    <w:rsid w:val="00F63CA8"/>
    <w:rsid w:val="00F63CE9"/>
    <w:rsid w:val="00F63E60"/>
    <w:rsid w:val="00F63EDC"/>
    <w:rsid w:val="00F64212"/>
    <w:rsid w:val="00F642D2"/>
    <w:rsid w:val="00F64455"/>
    <w:rsid w:val="00F64569"/>
    <w:rsid w:val="00F647A4"/>
    <w:rsid w:val="00F6481B"/>
    <w:rsid w:val="00F649ED"/>
    <w:rsid w:val="00F64BB2"/>
    <w:rsid w:val="00F64C1C"/>
    <w:rsid w:val="00F64C28"/>
    <w:rsid w:val="00F64D35"/>
    <w:rsid w:val="00F64F58"/>
    <w:rsid w:val="00F64FD5"/>
    <w:rsid w:val="00F65108"/>
    <w:rsid w:val="00F6513E"/>
    <w:rsid w:val="00F652DC"/>
    <w:rsid w:val="00F65350"/>
    <w:rsid w:val="00F6547F"/>
    <w:rsid w:val="00F658B9"/>
    <w:rsid w:val="00F6598C"/>
    <w:rsid w:val="00F65C72"/>
    <w:rsid w:val="00F65D2B"/>
    <w:rsid w:val="00F65D98"/>
    <w:rsid w:val="00F66299"/>
    <w:rsid w:val="00F66438"/>
    <w:rsid w:val="00F66469"/>
    <w:rsid w:val="00F66552"/>
    <w:rsid w:val="00F66621"/>
    <w:rsid w:val="00F667B8"/>
    <w:rsid w:val="00F66979"/>
    <w:rsid w:val="00F669F1"/>
    <w:rsid w:val="00F66A5A"/>
    <w:rsid w:val="00F66B0A"/>
    <w:rsid w:val="00F66B9D"/>
    <w:rsid w:val="00F66BD1"/>
    <w:rsid w:val="00F66E0A"/>
    <w:rsid w:val="00F66FB5"/>
    <w:rsid w:val="00F67205"/>
    <w:rsid w:val="00F6741C"/>
    <w:rsid w:val="00F6762F"/>
    <w:rsid w:val="00F676F0"/>
    <w:rsid w:val="00F6771E"/>
    <w:rsid w:val="00F67748"/>
    <w:rsid w:val="00F677A0"/>
    <w:rsid w:val="00F677A1"/>
    <w:rsid w:val="00F67905"/>
    <w:rsid w:val="00F67C37"/>
    <w:rsid w:val="00F67F07"/>
    <w:rsid w:val="00F701B8"/>
    <w:rsid w:val="00F701FB"/>
    <w:rsid w:val="00F70553"/>
    <w:rsid w:val="00F70581"/>
    <w:rsid w:val="00F70631"/>
    <w:rsid w:val="00F708EA"/>
    <w:rsid w:val="00F70A5F"/>
    <w:rsid w:val="00F70AC3"/>
    <w:rsid w:val="00F70B5D"/>
    <w:rsid w:val="00F70B6B"/>
    <w:rsid w:val="00F70DC0"/>
    <w:rsid w:val="00F7106F"/>
    <w:rsid w:val="00F71439"/>
    <w:rsid w:val="00F71557"/>
    <w:rsid w:val="00F715B7"/>
    <w:rsid w:val="00F7167B"/>
    <w:rsid w:val="00F71739"/>
    <w:rsid w:val="00F7173E"/>
    <w:rsid w:val="00F717F2"/>
    <w:rsid w:val="00F71970"/>
    <w:rsid w:val="00F719CF"/>
    <w:rsid w:val="00F71DCE"/>
    <w:rsid w:val="00F71FC6"/>
    <w:rsid w:val="00F71FD1"/>
    <w:rsid w:val="00F720B7"/>
    <w:rsid w:val="00F720C1"/>
    <w:rsid w:val="00F72150"/>
    <w:rsid w:val="00F721CD"/>
    <w:rsid w:val="00F722A5"/>
    <w:rsid w:val="00F72533"/>
    <w:rsid w:val="00F72A53"/>
    <w:rsid w:val="00F72A62"/>
    <w:rsid w:val="00F72B32"/>
    <w:rsid w:val="00F72C12"/>
    <w:rsid w:val="00F72E0F"/>
    <w:rsid w:val="00F72F98"/>
    <w:rsid w:val="00F7303F"/>
    <w:rsid w:val="00F7307D"/>
    <w:rsid w:val="00F73133"/>
    <w:rsid w:val="00F731C6"/>
    <w:rsid w:val="00F731FB"/>
    <w:rsid w:val="00F73318"/>
    <w:rsid w:val="00F735A3"/>
    <w:rsid w:val="00F738E8"/>
    <w:rsid w:val="00F73BA6"/>
    <w:rsid w:val="00F73C2C"/>
    <w:rsid w:val="00F73F56"/>
    <w:rsid w:val="00F74094"/>
    <w:rsid w:val="00F74257"/>
    <w:rsid w:val="00F743E2"/>
    <w:rsid w:val="00F743E4"/>
    <w:rsid w:val="00F7445B"/>
    <w:rsid w:val="00F74486"/>
    <w:rsid w:val="00F74633"/>
    <w:rsid w:val="00F74665"/>
    <w:rsid w:val="00F74927"/>
    <w:rsid w:val="00F74A09"/>
    <w:rsid w:val="00F74A5B"/>
    <w:rsid w:val="00F74CFB"/>
    <w:rsid w:val="00F74D1C"/>
    <w:rsid w:val="00F75093"/>
    <w:rsid w:val="00F7518F"/>
    <w:rsid w:val="00F75263"/>
    <w:rsid w:val="00F752DC"/>
    <w:rsid w:val="00F7550D"/>
    <w:rsid w:val="00F75686"/>
    <w:rsid w:val="00F756CD"/>
    <w:rsid w:val="00F7576A"/>
    <w:rsid w:val="00F757CE"/>
    <w:rsid w:val="00F75AC1"/>
    <w:rsid w:val="00F75E69"/>
    <w:rsid w:val="00F75F6B"/>
    <w:rsid w:val="00F76291"/>
    <w:rsid w:val="00F763FE"/>
    <w:rsid w:val="00F7643E"/>
    <w:rsid w:val="00F7647B"/>
    <w:rsid w:val="00F76545"/>
    <w:rsid w:val="00F7670A"/>
    <w:rsid w:val="00F76805"/>
    <w:rsid w:val="00F76827"/>
    <w:rsid w:val="00F76882"/>
    <w:rsid w:val="00F768EF"/>
    <w:rsid w:val="00F7698B"/>
    <w:rsid w:val="00F76B60"/>
    <w:rsid w:val="00F76DE5"/>
    <w:rsid w:val="00F7729E"/>
    <w:rsid w:val="00F7762E"/>
    <w:rsid w:val="00F77654"/>
    <w:rsid w:val="00F77A4B"/>
    <w:rsid w:val="00F77BE6"/>
    <w:rsid w:val="00F77CB0"/>
    <w:rsid w:val="00F77E91"/>
    <w:rsid w:val="00F77EE0"/>
    <w:rsid w:val="00F8007A"/>
    <w:rsid w:val="00F8008A"/>
    <w:rsid w:val="00F80309"/>
    <w:rsid w:val="00F809C8"/>
    <w:rsid w:val="00F80C43"/>
    <w:rsid w:val="00F80DAC"/>
    <w:rsid w:val="00F80E18"/>
    <w:rsid w:val="00F81100"/>
    <w:rsid w:val="00F81127"/>
    <w:rsid w:val="00F81155"/>
    <w:rsid w:val="00F81207"/>
    <w:rsid w:val="00F812A1"/>
    <w:rsid w:val="00F812A8"/>
    <w:rsid w:val="00F8173F"/>
    <w:rsid w:val="00F81901"/>
    <w:rsid w:val="00F819D8"/>
    <w:rsid w:val="00F81ABD"/>
    <w:rsid w:val="00F81B76"/>
    <w:rsid w:val="00F81BF1"/>
    <w:rsid w:val="00F81DF9"/>
    <w:rsid w:val="00F81E35"/>
    <w:rsid w:val="00F81E41"/>
    <w:rsid w:val="00F81FD7"/>
    <w:rsid w:val="00F821A6"/>
    <w:rsid w:val="00F8228A"/>
    <w:rsid w:val="00F824AD"/>
    <w:rsid w:val="00F8252B"/>
    <w:rsid w:val="00F82A14"/>
    <w:rsid w:val="00F82ABC"/>
    <w:rsid w:val="00F82E0C"/>
    <w:rsid w:val="00F82EEE"/>
    <w:rsid w:val="00F82F2D"/>
    <w:rsid w:val="00F83029"/>
    <w:rsid w:val="00F83048"/>
    <w:rsid w:val="00F830DD"/>
    <w:rsid w:val="00F8315C"/>
    <w:rsid w:val="00F8315F"/>
    <w:rsid w:val="00F835B4"/>
    <w:rsid w:val="00F83718"/>
    <w:rsid w:val="00F83776"/>
    <w:rsid w:val="00F83B6C"/>
    <w:rsid w:val="00F83C87"/>
    <w:rsid w:val="00F83E5E"/>
    <w:rsid w:val="00F83F07"/>
    <w:rsid w:val="00F8422F"/>
    <w:rsid w:val="00F84397"/>
    <w:rsid w:val="00F843E1"/>
    <w:rsid w:val="00F843F8"/>
    <w:rsid w:val="00F84586"/>
    <w:rsid w:val="00F84708"/>
    <w:rsid w:val="00F84854"/>
    <w:rsid w:val="00F8488C"/>
    <w:rsid w:val="00F849C3"/>
    <w:rsid w:val="00F84C7E"/>
    <w:rsid w:val="00F84CF1"/>
    <w:rsid w:val="00F85187"/>
    <w:rsid w:val="00F85487"/>
    <w:rsid w:val="00F8553A"/>
    <w:rsid w:val="00F85594"/>
    <w:rsid w:val="00F855EB"/>
    <w:rsid w:val="00F8594C"/>
    <w:rsid w:val="00F85AFC"/>
    <w:rsid w:val="00F85CD5"/>
    <w:rsid w:val="00F85ECD"/>
    <w:rsid w:val="00F85F33"/>
    <w:rsid w:val="00F86378"/>
    <w:rsid w:val="00F86391"/>
    <w:rsid w:val="00F86617"/>
    <w:rsid w:val="00F866C9"/>
    <w:rsid w:val="00F866FB"/>
    <w:rsid w:val="00F867A7"/>
    <w:rsid w:val="00F8684C"/>
    <w:rsid w:val="00F868FA"/>
    <w:rsid w:val="00F86CA4"/>
    <w:rsid w:val="00F86F0F"/>
    <w:rsid w:val="00F86FF2"/>
    <w:rsid w:val="00F8753C"/>
    <w:rsid w:val="00F87549"/>
    <w:rsid w:val="00F8774E"/>
    <w:rsid w:val="00F8798E"/>
    <w:rsid w:val="00F879A1"/>
    <w:rsid w:val="00F87C61"/>
    <w:rsid w:val="00F87C9A"/>
    <w:rsid w:val="00F87DC0"/>
    <w:rsid w:val="00F87DD3"/>
    <w:rsid w:val="00F87E02"/>
    <w:rsid w:val="00F87EF9"/>
    <w:rsid w:val="00F87F32"/>
    <w:rsid w:val="00F9007E"/>
    <w:rsid w:val="00F902A0"/>
    <w:rsid w:val="00F906B3"/>
    <w:rsid w:val="00F90A58"/>
    <w:rsid w:val="00F90A73"/>
    <w:rsid w:val="00F90B1D"/>
    <w:rsid w:val="00F90E53"/>
    <w:rsid w:val="00F90FD8"/>
    <w:rsid w:val="00F9132D"/>
    <w:rsid w:val="00F91390"/>
    <w:rsid w:val="00F91745"/>
    <w:rsid w:val="00F91781"/>
    <w:rsid w:val="00F91862"/>
    <w:rsid w:val="00F91970"/>
    <w:rsid w:val="00F91BF7"/>
    <w:rsid w:val="00F91DEC"/>
    <w:rsid w:val="00F9230A"/>
    <w:rsid w:val="00F92356"/>
    <w:rsid w:val="00F92396"/>
    <w:rsid w:val="00F926D3"/>
    <w:rsid w:val="00F92A01"/>
    <w:rsid w:val="00F92A28"/>
    <w:rsid w:val="00F92B32"/>
    <w:rsid w:val="00F92BB2"/>
    <w:rsid w:val="00F92D49"/>
    <w:rsid w:val="00F92E77"/>
    <w:rsid w:val="00F92EE2"/>
    <w:rsid w:val="00F92F99"/>
    <w:rsid w:val="00F93018"/>
    <w:rsid w:val="00F93157"/>
    <w:rsid w:val="00F93265"/>
    <w:rsid w:val="00F93629"/>
    <w:rsid w:val="00F9362A"/>
    <w:rsid w:val="00F9363C"/>
    <w:rsid w:val="00F937FC"/>
    <w:rsid w:val="00F93842"/>
    <w:rsid w:val="00F93A7F"/>
    <w:rsid w:val="00F93C47"/>
    <w:rsid w:val="00F93DAF"/>
    <w:rsid w:val="00F93E63"/>
    <w:rsid w:val="00F93E65"/>
    <w:rsid w:val="00F93FBE"/>
    <w:rsid w:val="00F94097"/>
    <w:rsid w:val="00F94142"/>
    <w:rsid w:val="00F9429F"/>
    <w:rsid w:val="00F9432B"/>
    <w:rsid w:val="00F944B4"/>
    <w:rsid w:val="00F94694"/>
    <w:rsid w:val="00F948F5"/>
    <w:rsid w:val="00F94A92"/>
    <w:rsid w:val="00F94CCE"/>
    <w:rsid w:val="00F94DA5"/>
    <w:rsid w:val="00F94ED6"/>
    <w:rsid w:val="00F94EDC"/>
    <w:rsid w:val="00F9500B"/>
    <w:rsid w:val="00F953D2"/>
    <w:rsid w:val="00F95514"/>
    <w:rsid w:val="00F955D6"/>
    <w:rsid w:val="00F955FE"/>
    <w:rsid w:val="00F956D0"/>
    <w:rsid w:val="00F959DF"/>
    <w:rsid w:val="00F95BB4"/>
    <w:rsid w:val="00F95BFD"/>
    <w:rsid w:val="00F95C30"/>
    <w:rsid w:val="00F95C61"/>
    <w:rsid w:val="00F95C6D"/>
    <w:rsid w:val="00F95D32"/>
    <w:rsid w:val="00F95D3D"/>
    <w:rsid w:val="00F95DB1"/>
    <w:rsid w:val="00F95F66"/>
    <w:rsid w:val="00F95F80"/>
    <w:rsid w:val="00F96024"/>
    <w:rsid w:val="00F96222"/>
    <w:rsid w:val="00F96396"/>
    <w:rsid w:val="00F965F3"/>
    <w:rsid w:val="00F965FD"/>
    <w:rsid w:val="00F966F1"/>
    <w:rsid w:val="00F96823"/>
    <w:rsid w:val="00F9694A"/>
    <w:rsid w:val="00F96A6C"/>
    <w:rsid w:val="00F96B3F"/>
    <w:rsid w:val="00F96B91"/>
    <w:rsid w:val="00F96E70"/>
    <w:rsid w:val="00F96EF8"/>
    <w:rsid w:val="00F96F58"/>
    <w:rsid w:val="00F97081"/>
    <w:rsid w:val="00F970FE"/>
    <w:rsid w:val="00F975DF"/>
    <w:rsid w:val="00F976DA"/>
    <w:rsid w:val="00F9777D"/>
    <w:rsid w:val="00F97781"/>
    <w:rsid w:val="00F979AB"/>
    <w:rsid w:val="00F97A7B"/>
    <w:rsid w:val="00F97EB1"/>
    <w:rsid w:val="00FA051B"/>
    <w:rsid w:val="00FA054A"/>
    <w:rsid w:val="00FA0679"/>
    <w:rsid w:val="00FA07E1"/>
    <w:rsid w:val="00FA0A0D"/>
    <w:rsid w:val="00FA0A4F"/>
    <w:rsid w:val="00FA0C09"/>
    <w:rsid w:val="00FA0CAE"/>
    <w:rsid w:val="00FA1261"/>
    <w:rsid w:val="00FA1328"/>
    <w:rsid w:val="00FA1457"/>
    <w:rsid w:val="00FA15D1"/>
    <w:rsid w:val="00FA1776"/>
    <w:rsid w:val="00FA1AE5"/>
    <w:rsid w:val="00FA1EC3"/>
    <w:rsid w:val="00FA1F18"/>
    <w:rsid w:val="00FA21BE"/>
    <w:rsid w:val="00FA21DF"/>
    <w:rsid w:val="00FA2242"/>
    <w:rsid w:val="00FA25E0"/>
    <w:rsid w:val="00FA26F0"/>
    <w:rsid w:val="00FA272B"/>
    <w:rsid w:val="00FA278B"/>
    <w:rsid w:val="00FA28EA"/>
    <w:rsid w:val="00FA2B05"/>
    <w:rsid w:val="00FA2C7F"/>
    <w:rsid w:val="00FA2CE2"/>
    <w:rsid w:val="00FA2E05"/>
    <w:rsid w:val="00FA2E48"/>
    <w:rsid w:val="00FA3730"/>
    <w:rsid w:val="00FA3982"/>
    <w:rsid w:val="00FA3B63"/>
    <w:rsid w:val="00FA3D90"/>
    <w:rsid w:val="00FA3EBA"/>
    <w:rsid w:val="00FA3EC9"/>
    <w:rsid w:val="00FA4073"/>
    <w:rsid w:val="00FA4079"/>
    <w:rsid w:val="00FA40CE"/>
    <w:rsid w:val="00FA424E"/>
    <w:rsid w:val="00FA4265"/>
    <w:rsid w:val="00FA4412"/>
    <w:rsid w:val="00FA44BE"/>
    <w:rsid w:val="00FA458F"/>
    <w:rsid w:val="00FA4596"/>
    <w:rsid w:val="00FA4684"/>
    <w:rsid w:val="00FA47D5"/>
    <w:rsid w:val="00FA520E"/>
    <w:rsid w:val="00FA53B9"/>
    <w:rsid w:val="00FA541F"/>
    <w:rsid w:val="00FA547F"/>
    <w:rsid w:val="00FA552C"/>
    <w:rsid w:val="00FA582C"/>
    <w:rsid w:val="00FA585E"/>
    <w:rsid w:val="00FA5907"/>
    <w:rsid w:val="00FA5AE8"/>
    <w:rsid w:val="00FA5B7F"/>
    <w:rsid w:val="00FA5E45"/>
    <w:rsid w:val="00FA613D"/>
    <w:rsid w:val="00FA616B"/>
    <w:rsid w:val="00FA6244"/>
    <w:rsid w:val="00FA6331"/>
    <w:rsid w:val="00FA6555"/>
    <w:rsid w:val="00FA6889"/>
    <w:rsid w:val="00FA68D4"/>
    <w:rsid w:val="00FA68D6"/>
    <w:rsid w:val="00FA68EC"/>
    <w:rsid w:val="00FA6C52"/>
    <w:rsid w:val="00FA6C69"/>
    <w:rsid w:val="00FA6CC6"/>
    <w:rsid w:val="00FA7089"/>
    <w:rsid w:val="00FA72E8"/>
    <w:rsid w:val="00FA733C"/>
    <w:rsid w:val="00FA738B"/>
    <w:rsid w:val="00FA751B"/>
    <w:rsid w:val="00FA75DB"/>
    <w:rsid w:val="00FA782A"/>
    <w:rsid w:val="00FA789A"/>
    <w:rsid w:val="00FA78C2"/>
    <w:rsid w:val="00FA7A27"/>
    <w:rsid w:val="00FA7B52"/>
    <w:rsid w:val="00FA7C51"/>
    <w:rsid w:val="00FA7CA6"/>
    <w:rsid w:val="00FB017C"/>
    <w:rsid w:val="00FB01E6"/>
    <w:rsid w:val="00FB0227"/>
    <w:rsid w:val="00FB02B6"/>
    <w:rsid w:val="00FB048A"/>
    <w:rsid w:val="00FB049D"/>
    <w:rsid w:val="00FB0594"/>
    <w:rsid w:val="00FB075B"/>
    <w:rsid w:val="00FB0A8B"/>
    <w:rsid w:val="00FB0C1A"/>
    <w:rsid w:val="00FB0C7A"/>
    <w:rsid w:val="00FB0D6E"/>
    <w:rsid w:val="00FB0F0E"/>
    <w:rsid w:val="00FB0FBD"/>
    <w:rsid w:val="00FB1105"/>
    <w:rsid w:val="00FB168F"/>
    <w:rsid w:val="00FB18FD"/>
    <w:rsid w:val="00FB1A0D"/>
    <w:rsid w:val="00FB1A33"/>
    <w:rsid w:val="00FB1A4E"/>
    <w:rsid w:val="00FB1ADE"/>
    <w:rsid w:val="00FB1BA5"/>
    <w:rsid w:val="00FB1EC2"/>
    <w:rsid w:val="00FB2158"/>
    <w:rsid w:val="00FB23C9"/>
    <w:rsid w:val="00FB24E9"/>
    <w:rsid w:val="00FB252C"/>
    <w:rsid w:val="00FB2579"/>
    <w:rsid w:val="00FB25B0"/>
    <w:rsid w:val="00FB2624"/>
    <w:rsid w:val="00FB272B"/>
    <w:rsid w:val="00FB2808"/>
    <w:rsid w:val="00FB2813"/>
    <w:rsid w:val="00FB29E1"/>
    <w:rsid w:val="00FB2E5C"/>
    <w:rsid w:val="00FB2F4D"/>
    <w:rsid w:val="00FB2F51"/>
    <w:rsid w:val="00FB3066"/>
    <w:rsid w:val="00FB3482"/>
    <w:rsid w:val="00FB34BE"/>
    <w:rsid w:val="00FB3572"/>
    <w:rsid w:val="00FB35A9"/>
    <w:rsid w:val="00FB3BA8"/>
    <w:rsid w:val="00FB3FBC"/>
    <w:rsid w:val="00FB4052"/>
    <w:rsid w:val="00FB4215"/>
    <w:rsid w:val="00FB43A7"/>
    <w:rsid w:val="00FB4492"/>
    <w:rsid w:val="00FB45C0"/>
    <w:rsid w:val="00FB45DA"/>
    <w:rsid w:val="00FB4638"/>
    <w:rsid w:val="00FB46B6"/>
    <w:rsid w:val="00FB47A6"/>
    <w:rsid w:val="00FB4911"/>
    <w:rsid w:val="00FB49BF"/>
    <w:rsid w:val="00FB4C5A"/>
    <w:rsid w:val="00FB4F19"/>
    <w:rsid w:val="00FB4F2B"/>
    <w:rsid w:val="00FB5025"/>
    <w:rsid w:val="00FB507A"/>
    <w:rsid w:val="00FB51D6"/>
    <w:rsid w:val="00FB5268"/>
    <w:rsid w:val="00FB5328"/>
    <w:rsid w:val="00FB5338"/>
    <w:rsid w:val="00FB534B"/>
    <w:rsid w:val="00FB5461"/>
    <w:rsid w:val="00FB54E4"/>
    <w:rsid w:val="00FB571A"/>
    <w:rsid w:val="00FB5B79"/>
    <w:rsid w:val="00FB5C17"/>
    <w:rsid w:val="00FB5C7B"/>
    <w:rsid w:val="00FB5CA7"/>
    <w:rsid w:val="00FB5CD4"/>
    <w:rsid w:val="00FB5F4B"/>
    <w:rsid w:val="00FB5F90"/>
    <w:rsid w:val="00FB603A"/>
    <w:rsid w:val="00FB61C2"/>
    <w:rsid w:val="00FB6384"/>
    <w:rsid w:val="00FB65BC"/>
    <w:rsid w:val="00FB67B1"/>
    <w:rsid w:val="00FB6858"/>
    <w:rsid w:val="00FB6A25"/>
    <w:rsid w:val="00FB6A75"/>
    <w:rsid w:val="00FB6B1B"/>
    <w:rsid w:val="00FB6CC4"/>
    <w:rsid w:val="00FB6D8E"/>
    <w:rsid w:val="00FB6FEB"/>
    <w:rsid w:val="00FB7319"/>
    <w:rsid w:val="00FB78C5"/>
    <w:rsid w:val="00FB7D0B"/>
    <w:rsid w:val="00FB7E6D"/>
    <w:rsid w:val="00FB7FB8"/>
    <w:rsid w:val="00FC0225"/>
    <w:rsid w:val="00FC0403"/>
    <w:rsid w:val="00FC0563"/>
    <w:rsid w:val="00FC06E9"/>
    <w:rsid w:val="00FC0A7A"/>
    <w:rsid w:val="00FC0B12"/>
    <w:rsid w:val="00FC0D5A"/>
    <w:rsid w:val="00FC0E11"/>
    <w:rsid w:val="00FC0F0E"/>
    <w:rsid w:val="00FC0FFE"/>
    <w:rsid w:val="00FC1034"/>
    <w:rsid w:val="00FC10A2"/>
    <w:rsid w:val="00FC111B"/>
    <w:rsid w:val="00FC11BD"/>
    <w:rsid w:val="00FC12BF"/>
    <w:rsid w:val="00FC1323"/>
    <w:rsid w:val="00FC161E"/>
    <w:rsid w:val="00FC1BE4"/>
    <w:rsid w:val="00FC1E4F"/>
    <w:rsid w:val="00FC2139"/>
    <w:rsid w:val="00FC21C9"/>
    <w:rsid w:val="00FC21F4"/>
    <w:rsid w:val="00FC2209"/>
    <w:rsid w:val="00FC223B"/>
    <w:rsid w:val="00FC2343"/>
    <w:rsid w:val="00FC23E9"/>
    <w:rsid w:val="00FC24DD"/>
    <w:rsid w:val="00FC2612"/>
    <w:rsid w:val="00FC27F8"/>
    <w:rsid w:val="00FC2871"/>
    <w:rsid w:val="00FC28E7"/>
    <w:rsid w:val="00FC2906"/>
    <w:rsid w:val="00FC2961"/>
    <w:rsid w:val="00FC29FE"/>
    <w:rsid w:val="00FC2B72"/>
    <w:rsid w:val="00FC2C12"/>
    <w:rsid w:val="00FC2D83"/>
    <w:rsid w:val="00FC2EDD"/>
    <w:rsid w:val="00FC34F4"/>
    <w:rsid w:val="00FC3515"/>
    <w:rsid w:val="00FC3947"/>
    <w:rsid w:val="00FC3B9F"/>
    <w:rsid w:val="00FC3D53"/>
    <w:rsid w:val="00FC3EB1"/>
    <w:rsid w:val="00FC4090"/>
    <w:rsid w:val="00FC4101"/>
    <w:rsid w:val="00FC4291"/>
    <w:rsid w:val="00FC42D8"/>
    <w:rsid w:val="00FC4355"/>
    <w:rsid w:val="00FC446C"/>
    <w:rsid w:val="00FC44E3"/>
    <w:rsid w:val="00FC45CB"/>
    <w:rsid w:val="00FC463B"/>
    <w:rsid w:val="00FC464F"/>
    <w:rsid w:val="00FC46BF"/>
    <w:rsid w:val="00FC47A9"/>
    <w:rsid w:val="00FC4A5C"/>
    <w:rsid w:val="00FC4B24"/>
    <w:rsid w:val="00FC4C8C"/>
    <w:rsid w:val="00FC4DC3"/>
    <w:rsid w:val="00FC4DF5"/>
    <w:rsid w:val="00FC4E90"/>
    <w:rsid w:val="00FC4F21"/>
    <w:rsid w:val="00FC4FCB"/>
    <w:rsid w:val="00FC533E"/>
    <w:rsid w:val="00FC5747"/>
    <w:rsid w:val="00FC5795"/>
    <w:rsid w:val="00FC57CD"/>
    <w:rsid w:val="00FC5896"/>
    <w:rsid w:val="00FC5A10"/>
    <w:rsid w:val="00FC5AEF"/>
    <w:rsid w:val="00FC5D3F"/>
    <w:rsid w:val="00FC5D84"/>
    <w:rsid w:val="00FC60CC"/>
    <w:rsid w:val="00FC6120"/>
    <w:rsid w:val="00FC61C5"/>
    <w:rsid w:val="00FC67FA"/>
    <w:rsid w:val="00FC68D0"/>
    <w:rsid w:val="00FC6A70"/>
    <w:rsid w:val="00FC6AAA"/>
    <w:rsid w:val="00FC6B04"/>
    <w:rsid w:val="00FC6B69"/>
    <w:rsid w:val="00FC6CB8"/>
    <w:rsid w:val="00FC6CC3"/>
    <w:rsid w:val="00FC6E40"/>
    <w:rsid w:val="00FC6F22"/>
    <w:rsid w:val="00FC707C"/>
    <w:rsid w:val="00FC709B"/>
    <w:rsid w:val="00FC70BF"/>
    <w:rsid w:val="00FC70E6"/>
    <w:rsid w:val="00FC724D"/>
    <w:rsid w:val="00FC7349"/>
    <w:rsid w:val="00FC7364"/>
    <w:rsid w:val="00FC742D"/>
    <w:rsid w:val="00FC74F7"/>
    <w:rsid w:val="00FC770A"/>
    <w:rsid w:val="00FC7961"/>
    <w:rsid w:val="00FC7BB0"/>
    <w:rsid w:val="00FC7BE4"/>
    <w:rsid w:val="00FC7DB6"/>
    <w:rsid w:val="00FD022D"/>
    <w:rsid w:val="00FD0286"/>
    <w:rsid w:val="00FD02FE"/>
    <w:rsid w:val="00FD03F1"/>
    <w:rsid w:val="00FD066A"/>
    <w:rsid w:val="00FD06A5"/>
    <w:rsid w:val="00FD0791"/>
    <w:rsid w:val="00FD08C9"/>
    <w:rsid w:val="00FD0A03"/>
    <w:rsid w:val="00FD0AD0"/>
    <w:rsid w:val="00FD0AFE"/>
    <w:rsid w:val="00FD0BAD"/>
    <w:rsid w:val="00FD0D5D"/>
    <w:rsid w:val="00FD0E04"/>
    <w:rsid w:val="00FD1121"/>
    <w:rsid w:val="00FD11F5"/>
    <w:rsid w:val="00FD11FF"/>
    <w:rsid w:val="00FD1391"/>
    <w:rsid w:val="00FD142A"/>
    <w:rsid w:val="00FD144F"/>
    <w:rsid w:val="00FD1475"/>
    <w:rsid w:val="00FD157B"/>
    <w:rsid w:val="00FD16A7"/>
    <w:rsid w:val="00FD16B9"/>
    <w:rsid w:val="00FD18F3"/>
    <w:rsid w:val="00FD1CC8"/>
    <w:rsid w:val="00FD2033"/>
    <w:rsid w:val="00FD238F"/>
    <w:rsid w:val="00FD2390"/>
    <w:rsid w:val="00FD23D0"/>
    <w:rsid w:val="00FD24AC"/>
    <w:rsid w:val="00FD24CE"/>
    <w:rsid w:val="00FD27E1"/>
    <w:rsid w:val="00FD2B0D"/>
    <w:rsid w:val="00FD2F68"/>
    <w:rsid w:val="00FD2FB1"/>
    <w:rsid w:val="00FD31A6"/>
    <w:rsid w:val="00FD32CB"/>
    <w:rsid w:val="00FD33C5"/>
    <w:rsid w:val="00FD33D9"/>
    <w:rsid w:val="00FD3405"/>
    <w:rsid w:val="00FD34CF"/>
    <w:rsid w:val="00FD350F"/>
    <w:rsid w:val="00FD359E"/>
    <w:rsid w:val="00FD35E9"/>
    <w:rsid w:val="00FD3682"/>
    <w:rsid w:val="00FD3834"/>
    <w:rsid w:val="00FD3CF8"/>
    <w:rsid w:val="00FD3E2D"/>
    <w:rsid w:val="00FD4006"/>
    <w:rsid w:val="00FD400D"/>
    <w:rsid w:val="00FD4050"/>
    <w:rsid w:val="00FD40E5"/>
    <w:rsid w:val="00FD40EB"/>
    <w:rsid w:val="00FD410E"/>
    <w:rsid w:val="00FD4165"/>
    <w:rsid w:val="00FD4179"/>
    <w:rsid w:val="00FD4287"/>
    <w:rsid w:val="00FD43B8"/>
    <w:rsid w:val="00FD46E8"/>
    <w:rsid w:val="00FD47F2"/>
    <w:rsid w:val="00FD489B"/>
    <w:rsid w:val="00FD4952"/>
    <w:rsid w:val="00FD4986"/>
    <w:rsid w:val="00FD4A0C"/>
    <w:rsid w:val="00FD4A53"/>
    <w:rsid w:val="00FD4BC4"/>
    <w:rsid w:val="00FD4BE1"/>
    <w:rsid w:val="00FD4D37"/>
    <w:rsid w:val="00FD4E28"/>
    <w:rsid w:val="00FD4E9C"/>
    <w:rsid w:val="00FD51A4"/>
    <w:rsid w:val="00FD52E0"/>
    <w:rsid w:val="00FD54B7"/>
    <w:rsid w:val="00FD5AB4"/>
    <w:rsid w:val="00FD5BEC"/>
    <w:rsid w:val="00FD5C9C"/>
    <w:rsid w:val="00FD5D42"/>
    <w:rsid w:val="00FD5EDB"/>
    <w:rsid w:val="00FD657B"/>
    <w:rsid w:val="00FD65AC"/>
    <w:rsid w:val="00FD65D3"/>
    <w:rsid w:val="00FD66EA"/>
    <w:rsid w:val="00FD671A"/>
    <w:rsid w:val="00FD6741"/>
    <w:rsid w:val="00FD6967"/>
    <w:rsid w:val="00FD6B11"/>
    <w:rsid w:val="00FD6C17"/>
    <w:rsid w:val="00FD6C33"/>
    <w:rsid w:val="00FD6D91"/>
    <w:rsid w:val="00FD6EF7"/>
    <w:rsid w:val="00FD6FFE"/>
    <w:rsid w:val="00FD71E4"/>
    <w:rsid w:val="00FD71FC"/>
    <w:rsid w:val="00FD7292"/>
    <w:rsid w:val="00FD731F"/>
    <w:rsid w:val="00FD7520"/>
    <w:rsid w:val="00FD7625"/>
    <w:rsid w:val="00FD76B2"/>
    <w:rsid w:val="00FD77B5"/>
    <w:rsid w:val="00FD7803"/>
    <w:rsid w:val="00FD7852"/>
    <w:rsid w:val="00FD78DE"/>
    <w:rsid w:val="00FD799C"/>
    <w:rsid w:val="00FD79E1"/>
    <w:rsid w:val="00FD7CB8"/>
    <w:rsid w:val="00FD7CEA"/>
    <w:rsid w:val="00FD7DAE"/>
    <w:rsid w:val="00FD7DFA"/>
    <w:rsid w:val="00FD7EB9"/>
    <w:rsid w:val="00FE0072"/>
    <w:rsid w:val="00FE00DA"/>
    <w:rsid w:val="00FE0170"/>
    <w:rsid w:val="00FE0190"/>
    <w:rsid w:val="00FE019A"/>
    <w:rsid w:val="00FE02B7"/>
    <w:rsid w:val="00FE0447"/>
    <w:rsid w:val="00FE0555"/>
    <w:rsid w:val="00FE05D0"/>
    <w:rsid w:val="00FE095F"/>
    <w:rsid w:val="00FE0A75"/>
    <w:rsid w:val="00FE0C30"/>
    <w:rsid w:val="00FE0D76"/>
    <w:rsid w:val="00FE0ED4"/>
    <w:rsid w:val="00FE0F9E"/>
    <w:rsid w:val="00FE109D"/>
    <w:rsid w:val="00FE10F0"/>
    <w:rsid w:val="00FE126B"/>
    <w:rsid w:val="00FE150A"/>
    <w:rsid w:val="00FE162D"/>
    <w:rsid w:val="00FE1646"/>
    <w:rsid w:val="00FE1860"/>
    <w:rsid w:val="00FE1891"/>
    <w:rsid w:val="00FE1E32"/>
    <w:rsid w:val="00FE1EC6"/>
    <w:rsid w:val="00FE1FC6"/>
    <w:rsid w:val="00FE2070"/>
    <w:rsid w:val="00FE2153"/>
    <w:rsid w:val="00FE231D"/>
    <w:rsid w:val="00FE2489"/>
    <w:rsid w:val="00FE2694"/>
    <w:rsid w:val="00FE271C"/>
    <w:rsid w:val="00FE27B7"/>
    <w:rsid w:val="00FE28D7"/>
    <w:rsid w:val="00FE2973"/>
    <w:rsid w:val="00FE2A1B"/>
    <w:rsid w:val="00FE2AC8"/>
    <w:rsid w:val="00FE2E0F"/>
    <w:rsid w:val="00FE3012"/>
    <w:rsid w:val="00FE30E6"/>
    <w:rsid w:val="00FE319F"/>
    <w:rsid w:val="00FE31AB"/>
    <w:rsid w:val="00FE32B3"/>
    <w:rsid w:val="00FE32FD"/>
    <w:rsid w:val="00FE356A"/>
    <w:rsid w:val="00FE358B"/>
    <w:rsid w:val="00FE3653"/>
    <w:rsid w:val="00FE3666"/>
    <w:rsid w:val="00FE370D"/>
    <w:rsid w:val="00FE388D"/>
    <w:rsid w:val="00FE399F"/>
    <w:rsid w:val="00FE3A30"/>
    <w:rsid w:val="00FE3A77"/>
    <w:rsid w:val="00FE3B63"/>
    <w:rsid w:val="00FE407B"/>
    <w:rsid w:val="00FE41D4"/>
    <w:rsid w:val="00FE422D"/>
    <w:rsid w:val="00FE4289"/>
    <w:rsid w:val="00FE441D"/>
    <w:rsid w:val="00FE473B"/>
    <w:rsid w:val="00FE4862"/>
    <w:rsid w:val="00FE4932"/>
    <w:rsid w:val="00FE4B37"/>
    <w:rsid w:val="00FE4C41"/>
    <w:rsid w:val="00FE4E63"/>
    <w:rsid w:val="00FE4FDE"/>
    <w:rsid w:val="00FE50FD"/>
    <w:rsid w:val="00FE519D"/>
    <w:rsid w:val="00FE522C"/>
    <w:rsid w:val="00FE56B5"/>
    <w:rsid w:val="00FE572B"/>
    <w:rsid w:val="00FE5826"/>
    <w:rsid w:val="00FE58A1"/>
    <w:rsid w:val="00FE59BB"/>
    <w:rsid w:val="00FE5A13"/>
    <w:rsid w:val="00FE5B27"/>
    <w:rsid w:val="00FE5B9C"/>
    <w:rsid w:val="00FE5C34"/>
    <w:rsid w:val="00FE62BC"/>
    <w:rsid w:val="00FE634E"/>
    <w:rsid w:val="00FE63F7"/>
    <w:rsid w:val="00FE641D"/>
    <w:rsid w:val="00FE655A"/>
    <w:rsid w:val="00FE65DF"/>
    <w:rsid w:val="00FE675A"/>
    <w:rsid w:val="00FE692E"/>
    <w:rsid w:val="00FE6A3C"/>
    <w:rsid w:val="00FE6E57"/>
    <w:rsid w:val="00FE6EE6"/>
    <w:rsid w:val="00FE6F9E"/>
    <w:rsid w:val="00FE719F"/>
    <w:rsid w:val="00FE7396"/>
    <w:rsid w:val="00FE747A"/>
    <w:rsid w:val="00FE74E1"/>
    <w:rsid w:val="00FE76EA"/>
    <w:rsid w:val="00FE794E"/>
    <w:rsid w:val="00FE7A87"/>
    <w:rsid w:val="00FE7B21"/>
    <w:rsid w:val="00FE7C0C"/>
    <w:rsid w:val="00FE7D68"/>
    <w:rsid w:val="00FE7FA2"/>
    <w:rsid w:val="00FF02F5"/>
    <w:rsid w:val="00FF03CA"/>
    <w:rsid w:val="00FF0541"/>
    <w:rsid w:val="00FF0792"/>
    <w:rsid w:val="00FF09BD"/>
    <w:rsid w:val="00FF0B3D"/>
    <w:rsid w:val="00FF0E34"/>
    <w:rsid w:val="00FF0E98"/>
    <w:rsid w:val="00FF0F8F"/>
    <w:rsid w:val="00FF1026"/>
    <w:rsid w:val="00FF10C0"/>
    <w:rsid w:val="00FF1102"/>
    <w:rsid w:val="00FF131D"/>
    <w:rsid w:val="00FF146D"/>
    <w:rsid w:val="00FF14CC"/>
    <w:rsid w:val="00FF16A7"/>
    <w:rsid w:val="00FF16CE"/>
    <w:rsid w:val="00FF1805"/>
    <w:rsid w:val="00FF18CA"/>
    <w:rsid w:val="00FF1B4D"/>
    <w:rsid w:val="00FF1B6A"/>
    <w:rsid w:val="00FF1D33"/>
    <w:rsid w:val="00FF1D7C"/>
    <w:rsid w:val="00FF1F8A"/>
    <w:rsid w:val="00FF21DF"/>
    <w:rsid w:val="00FF21FF"/>
    <w:rsid w:val="00FF2265"/>
    <w:rsid w:val="00FF22C0"/>
    <w:rsid w:val="00FF239B"/>
    <w:rsid w:val="00FF24F9"/>
    <w:rsid w:val="00FF2B1E"/>
    <w:rsid w:val="00FF2C23"/>
    <w:rsid w:val="00FF2C94"/>
    <w:rsid w:val="00FF2DBD"/>
    <w:rsid w:val="00FF2E21"/>
    <w:rsid w:val="00FF2EA7"/>
    <w:rsid w:val="00FF2F8B"/>
    <w:rsid w:val="00FF303B"/>
    <w:rsid w:val="00FF306A"/>
    <w:rsid w:val="00FF3325"/>
    <w:rsid w:val="00FF333C"/>
    <w:rsid w:val="00FF3368"/>
    <w:rsid w:val="00FF337A"/>
    <w:rsid w:val="00FF3599"/>
    <w:rsid w:val="00FF37DC"/>
    <w:rsid w:val="00FF387D"/>
    <w:rsid w:val="00FF38F2"/>
    <w:rsid w:val="00FF3A32"/>
    <w:rsid w:val="00FF3AB1"/>
    <w:rsid w:val="00FF3B2F"/>
    <w:rsid w:val="00FF3BD6"/>
    <w:rsid w:val="00FF3D33"/>
    <w:rsid w:val="00FF3D3B"/>
    <w:rsid w:val="00FF3F23"/>
    <w:rsid w:val="00FF3F47"/>
    <w:rsid w:val="00FF3FD8"/>
    <w:rsid w:val="00FF41AD"/>
    <w:rsid w:val="00FF41B3"/>
    <w:rsid w:val="00FF43AB"/>
    <w:rsid w:val="00FF4428"/>
    <w:rsid w:val="00FF4464"/>
    <w:rsid w:val="00FF4472"/>
    <w:rsid w:val="00FF44A5"/>
    <w:rsid w:val="00FF4A67"/>
    <w:rsid w:val="00FF4B97"/>
    <w:rsid w:val="00FF4F29"/>
    <w:rsid w:val="00FF4FEE"/>
    <w:rsid w:val="00FF5014"/>
    <w:rsid w:val="00FF50EE"/>
    <w:rsid w:val="00FF51E7"/>
    <w:rsid w:val="00FF5366"/>
    <w:rsid w:val="00FF54E1"/>
    <w:rsid w:val="00FF562A"/>
    <w:rsid w:val="00FF5888"/>
    <w:rsid w:val="00FF58B7"/>
    <w:rsid w:val="00FF593F"/>
    <w:rsid w:val="00FF5A08"/>
    <w:rsid w:val="00FF5F20"/>
    <w:rsid w:val="00FF6031"/>
    <w:rsid w:val="00FF6072"/>
    <w:rsid w:val="00FF639B"/>
    <w:rsid w:val="00FF63EE"/>
    <w:rsid w:val="00FF64EF"/>
    <w:rsid w:val="00FF65AC"/>
    <w:rsid w:val="00FF677E"/>
    <w:rsid w:val="00FF6941"/>
    <w:rsid w:val="00FF6991"/>
    <w:rsid w:val="00FF69A2"/>
    <w:rsid w:val="00FF6CAB"/>
    <w:rsid w:val="00FF6FB8"/>
    <w:rsid w:val="00FF700D"/>
    <w:rsid w:val="00FF7107"/>
    <w:rsid w:val="00FF711C"/>
    <w:rsid w:val="00FF71B5"/>
    <w:rsid w:val="00FF71F4"/>
    <w:rsid w:val="00FF75B4"/>
    <w:rsid w:val="00FF7684"/>
    <w:rsid w:val="00FF783A"/>
    <w:rsid w:val="00FF7C17"/>
    <w:rsid w:val="00FF7E4F"/>
    <w:rsid w:val="00FF7E76"/>
    <w:rsid w:val="00FF7EFE"/>
    <w:rsid w:val="01020AE4"/>
    <w:rsid w:val="0106318A"/>
    <w:rsid w:val="01083DC3"/>
    <w:rsid w:val="010E184B"/>
    <w:rsid w:val="010F9E02"/>
    <w:rsid w:val="01113CB2"/>
    <w:rsid w:val="0112B379"/>
    <w:rsid w:val="01139E25"/>
    <w:rsid w:val="01156558"/>
    <w:rsid w:val="0118D5BD"/>
    <w:rsid w:val="01267F31"/>
    <w:rsid w:val="01296B84"/>
    <w:rsid w:val="012EF14F"/>
    <w:rsid w:val="01389953"/>
    <w:rsid w:val="0139DF5C"/>
    <w:rsid w:val="013EE324"/>
    <w:rsid w:val="0141C0B2"/>
    <w:rsid w:val="0143CAEE"/>
    <w:rsid w:val="0149C460"/>
    <w:rsid w:val="014AF5C9"/>
    <w:rsid w:val="014CDBF9"/>
    <w:rsid w:val="014D59E1"/>
    <w:rsid w:val="015792FB"/>
    <w:rsid w:val="015BB423"/>
    <w:rsid w:val="015C920F"/>
    <w:rsid w:val="015D4C34"/>
    <w:rsid w:val="0160DD53"/>
    <w:rsid w:val="01654DE3"/>
    <w:rsid w:val="0165B09D"/>
    <w:rsid w:val="01662F09"/>
    <w:rsid w:val="016B3D4C"/>
    <w:rsid w:val="016BAC4A"/>
    <w:rsid w:val="016FDACB"/>
    <w:rsid w:val="0173261C"/>
    <w:rsid w:val="01757FC9"/>
    <w:rsid w:val="0184EEC2"/>
    <w:rsid w:val="0185FC42"/>
    <w:rsid w:val="018609E4"/>
    <w:rsid w:val="018E5D80"/>
    <w:rsid w:val="018EE4AA"/>
    <w:rsid w:val="01912F34"/>
    <w:rsid w:val="01934E87"/>
    <w:rsid w:val="0198E9C5"/>
    <w:rsid w:val="019FE44D"/>
    <w:rsid w:val="01A17753"/>
    <w:rsid w:val="01A2A0D8"/>
    <w:rsid w:val="01A385FD"/>
    <w:rsid w:val="01A4FF3E"/>
    <w:rsid w:val="01A7F008"/>
    <w:rsid w:val="01A83CC5"/>
    <w:rsid w:val="01A9007E"/>
    <w:rsid w:val="01B6E6DE"/>
    <w:rsid w:val="01BB0DB0"/>
    <w:rsid w:val="01BBD3C4"/>
    <w:rsid w:val="01C0ED56"/>
    <w:rsid w:val="01C29E42"/>
    <w:rsid w:val="01C3935E"/>
    <w:rsid w:val="01C6CFAD"/>
    <w:rsid w:val="01CF9899"/>
    <w:rsid w:val="01CFF900"/>
    <w:rsid w:val="01D1C4AA"/>
    <w:rsid w:val="01D26566"/>
    <w:rsid w:val="01D46C69"/>
    <w:rsid w:val="01D49F5B"/>
    <w:rsid w:val="01DB2E39"/>
    <w:rsid w:val="01DEA39C"/>
    <w:rsid w:val="01E105A4"/>
    <w:rsid w:val="01E28EE6"/>
    <w:rsid w:val="01E6E687"/>
    <w:rsid w:val="01E7290B"/>
    <w:rsid w:val="01E7A181"/>
    <w:rsid w:val="01E9EC74"/>
    <w:rsid w:val="01F0E651"/>
    <w:rsid w:val="01F11E6C"/>
    <w:rsid w:val="01F5C11E"/>
    <w:rsid w:val="01F69C6F"/>
    <w:rsid w:val="01F6B056"/>
    <w:rsid w:val="01F6E1CF"/>
    <w:rsid w:val="02078875"/>
    <w:rsid w:val="020B4FF2"/>
    <w:rsid w:val="020BC9AF"/>
    <w:rsid w:val="020BE4BA"/>
    <w:rsid w:val="020C57CD"/>
    <w:rsid w:val="02120259"/>
    <w:rsid w:val="02149295"/>
    <w:rsid w:val="02175555"/>
    <w:rsid w:val="022171F0"/>
    <w:rsid w:val="022416E9"/>
    <w:rsid w:val="022471DA"/>
    <w:rsid w:val="02268698"/>
    <w:rsid w:val="0227B414"/>
    <w:rsid w:val="0227D4B3"/>
    <w:rsid w:val="022D833A"/>
    <w:rsid w:val="023B05C4"/>
    <w:rsid w:val="023B754A"/>
    <w:rsid w:val="023C063F"/>
    <w:rsid w:val="02443A6E"/>
    <w:rsid w:val="02495E3B"/>
    <w:rsid w:val="024A6944"/>
    <w:rsid w:val="0257D170"/>
    <w:rsid w:val="025A8B43"/>
    <w:rsid w:val="02627D22"/>
    <w:rsid w:val="0263AC25"/>
    <w:rsid w:val="02687BFE"/>
    <w:rsid w:val="026E2861"/>
    <w:rsid w:val="0273F87D"/>
    <w:rsid w:val="0283B273"/>
    <w:rsid w:val="0286035B"/>
    <w:rsid w:val="028BDA18"/>
    <w:rsid w:val="028DA724"/>
    <w:rsid w:val="029089AD"/>
    <w:rsid w:val="02954886"/>
    <w:rsid w:val="02A192C2"/>
    <w:rsid w:val="02A1C16F"/>
    <w:rsid w:val="02A42F69"/>
    <w:rsid w:val="02AAAFC0"/>
    <w:rsid w:val="02B177FB"/>
    <w:rsid w:val="02B7F58C"/>
    <w:rsid w:val="02B8FF5F"/>
    <w:rsid w:val="02B90549"/>
    <w:rsid w:val="02C33FEE"/>
    <w:rsid w:val="02D119E2"/>
    <w:rsid w:val="02D2ED78"/>
    <w:rsid w:val="02D40EBC"/>
    <w:rsid w:val="02E5F92C"/>
    <w:rsid w:val="02EAF83F"/>
    <w:rsid w:val="02F13F84"/>
    <w:rsid w:val="02F99F3F"/>
    <w:rsid w:val="02FCF369"/>
    <w:rsid w:val="02FEF77B"/>
    <w:rsid w:val="0307FA7B"/>
    <w:rsid w:val="030AAACD"/>
    <w:rsid w:val="030C20BE"/>
    <w:rsid w:val="0311462B"/>
    <w:rsid w:val="031250C3"/>
    <w:rsid w:val="0322AE4F"/>
    <w:rsid w:val="0325D212"/>
    <w:rsid w:val="0327213F"/>
    <w:rsid w:val="0328101C"/>
    <w:rsid w:val="0331B02E"/>
    <w:rsid w:val="0335C36A"/>
    <w:rsid w:val="0340F478"/>
    <w:rsid w:val="034FB4FC"/>
    <w:rsid w:val="0351CDD6"/>
    <w:rsid w:val="0352B301"/>
    <w:rsid w:val="0357EDB2"/>
    <w:rsid w:val="035EA643"/>
    <w:rsid w:val="035F5247"/>
    <w:rsid w:val="035F7FAA"/>
    <w:rsid w:val="0361EFED"/>
    <w:rsid w:val="0362CD2D"/>
    <w:rsid w:val="03642A97"/>
    <w:rsid w:val="0366F0AB"/>
    <w:rsid w:val="03684C5A"/>
    <w:rsid w:val="036EA71D"/>
    <w:rsid w:val="0378AFD5"/>
    <w:rsid w:val="037FEFED"/>
    <w:rsid w:val="03805CDC"/>
    <w:rsid w:val="03828E70"/>
    <w:rsid w:val="03834A5C"/>
    <w:rsid w:val="03889B17"/>
    <w:rsid w:val="0389B9F5"/>
    <w:rsid w:val="0389EB2F"/>
    <w:rsid w:val="038ACCFB"/>
    <w:rsid w:val="038B725A"/>
    <w:rsid w:val="038EA283"/>
    <w:rsid w:val="03906332"/>
    <w:rsid w:val="039C9C57"/>
    <w:rsid w:val="03A26C0A"/>
    <w:rsid w:val="03AC97B0"/>
    <w:rsid w:val="03B1DC9A"/>
    <w:rsid w:val="03B66F0B"/>
    <w:rsid w:val="03BA1F3E"/>
    <w:rsid w:val="03BA53C7"/>
    <w:rsid w:val="03BD06B1"/>
    <w:rsid w:val="03BF7B49"/>
    <w:rsid w:val="03C339A0"/>
    <w:rsid w:val="03C64BC0"/>
    <w:rsid w:val="03C86F2F"/>
    <w:rsid w:val="03CD7CC7"/>
    <w:rsid w:val="03CE1957"/>
    <w:rsid w:val="03D0AE32"/>
    <w:rsid w:val="03D2ECC6"/>
    <w:rsid w:val="03D59620"/>
    <w:rsid w:val="03D61109"/>
    <w:rsid w:val="03D77990"/>
    <w:rsid w:val="03E4CD43"/>
    <w:rsid w:val="03EDAFF9"/>
    <w:rsid w:val="03EE18E7"/>
    <w:rsid w:val="03EEA32E"/>
    <w:rsid w:val="03F1EF8B"/>
    <w:rsid w:val="03F2CDE2"/>
    <w:rsid w:val="03F34B7A"/>
    <w:rsid w:val="03F8DCB5"/>
    <w:rsid w:val="03FEE7CC"/>
    <w:rsid w:val="0400BADD"/>
    <w:rsid w:val="0400EEE8"/>
    <w:rsid w:val="0401C9AD"/>
    <w:rsid w:val="04057461"/>
    <w:rsid w:val="0409AD78"/>
    <w:rsid w:val="040B29AB"/>
    <w:rsid w:val="040BEAD8"/>
    <w:rsid w:val="040C0026"/>
    <w:rsid w:val="040D1592"/>
    <w:rsid w:val="040EC30A"/>
    <w:rsid w:val="040FDC68"/>
    <w:rsid w:val="04106FBA"/>
    <w:rsid w:val="041354FA"/>
    <w:rsid w:val="0417A5E7"/>
    <w:rsid w:val="041E5293"/>
    <w:rsid w:val="0426EAAB"/>
    <w:rsid w:val="04282CB4"/>
    <w:rsid w:val="042BE67F"/>
    <w:rsid w:val="042F55E9"/>
    <w:rsid w:val="04328938"/>
    <w:rsid w:val="043325A0"/>
    <w:rsid w:val="0434A695"/>
    <w:rsid w:val="04366AA3"/>
    <w:rsid w:val="043764D1"/>
    <w:rsid w:val="043953CF"/>
    <w:rsid w:val="043CD6DB"/>
    <w:rsid w:val="04462BC9"/>
    <w:rsid w:val="04475E68"/>
    <w:rsid w:val="04493A20"/>
    <w:rsid w:val="04521BAA"/>
    <w:rsid w:val="045D3070"/>
    <w:rsid w:val="046347A6"/>
    <w:rsid w:val="0463C2F4"/>
    <w:rsid w:val="04657451"/>
    <w:rsid w:val="0466A11D"/>
    <w:rsid w:val="046830A4"/>
    <w:rsid w:val="0468381B"/>
    <w:rsid w:val="046B2BBC"/>
    <w:rsid w:val="046BC4EA"/>
    <w:rsid w:val="046EC2D5"/>
    <w:rsid w:val="047403C6"/>
    <w:rsid w:val="04753885"/>
    <w:rsid w:val="04798EA3"/>
    <w:rsid w:val="047997B8"/>
    <w:rsid w:val="047CAE92"/>
    <w:rsid w:val="047E9FF8"/>
    <w:rsid w:val="0480896D"/>
    <w:rsid w:val="048403B3"/>
    <w:rsid w:val="04864737"/>
    <w:rsid w:val="04883434"/>
    <w:rsid w:val="048BCC1F"/>
    <w:rsid w:val="048FAF62"/>
    <w:rsid w:val="0498CDFA"/>
    <w:rsid w:val="0499D9E1"/>
    <w:rsid w:val="04A3F6DB"/>
    <w:rsid w:val="04AC1D7E"/>
    <w:rsid w:val="04AFDA1B"/>
    <w:rsid w:val="04B5390E"/>
    <w:rsid w:val="04B62C20"/>
    <w:rsid w:val="04CCAF53"/>
    <w:rsid w:val="04D4F424"/>
    <w:rsid w:val="04DE9D01"/>
    <w:rsid w:val="04E02E43"/>
    <w:rsid w:val="04E3F304"/>
    <w:rsid w:val="04EA76B4"/>
    <w:rsid w:val="04F06820"/>
    <w:rsid w:val="04F11FCC"/>
    <w:rsid w:val="04F2B931"/>
    <w:rsid w:val="04F869EC"/>
    <w:rsid w:val="04FD3951"/>
    <w:rsid w:val="0501C739"/>
    <w:rsid w:val="050294B8"/>
    <w:rsid w:val="0509756B"/>
    <w:rsid w:val="050C8BA9"/>
    <w:rsid w:val="0513A1F4"/>
    <w:rsid w:val="05150237"/>
    <w:rsid w:val="05195F0E"/>
    <w:rsid w:val="0519AF09"/>
    <w:rsid w:val="051D6E81"/>
    <w:rsid w:val="05235C19"/>
    <w:rsid w:val="0526AA0C"/>
    <w:rsid w:val="052AC51F"/>
    <w:rsid w:val="0530E201"/>
    <w:rsid w:val="05379439"/>
    <w:rsid w:val="053C7253"/>
    <w:rsid w:val="053D8B4B"/>
    <w:rsid w:val="053E907D"/>
    <w:rsid w:val="053F72BE"/>
    <w:rsid w:val="05411C2D"/>
    <w:rsid w:val="0544BB38"/>
    <w:rsid w:val="0548E4A6"/>
    <w:rsid w:val="054E78D0"/>
    <w:rsid w:val="055654B4"/>
    <w:rsid w:val="055A23A2"/>
    <w:rsid w:val="055D222B"/>
    <w:rsid w:val="0566037D"/>
    <w:rsid w:val="057C494C"/>
    <w:rsid w:val="057EADCF"/>
    <w:rsid w:val="05810A76"/>
    <w:rsid w:val="05868B46"/>
    <w:rsid w:val="058AD971"/>
    <w:rsid w:val="059133A1"/>
    <w:rsid w:val="05933950"/>
    <w:rsid w:val="05963578"/>
    <w:rsid w:val="05A5FAAF"/>
    <w:rsid w:val="05A72C2A"/>
    <w:rsid w:val="05A9C150"/>
    <w:rsid w:val="05AC3733"/>
    <w:rsid w:val="05ADA4C8"/>
    <w:rsid w:val="05B08D48"/>
    <w:rsid w:val="05BE95AF"/>
    <w:rsid w:val="05BFF38E"/>
    <w:rsid w:val="05C0DEF5"/>
    <w:rsid w:val="05C13669"/>
    <w:rsid w:val="05C1CAB6"/>
    <w:rsid w:val="05CE3F87"/>
    <w:rsid w:val="05DAF009"/>
    <w:rsid w:val="05DAFDBA"/>
    <w:rsid w:val="05DE20B9"/>
    <w:rsid w:val="05EBD42D"/>
    <w:rsid w:val="05F49ECE"/>
    <w:rsid w:val="05FA92A8"/>
    <w:rsid w:val="05FF821C"/>
    <w:rsid w:val="060111F8"/>
    <w:rsid w:val="0607DB2D"/>
    <w:rsid w:val="0610DB2E"/>
    <w:rsid w:val="0611F779"/>
    <w:rsid w:val="0615F257"/>
    <w:rsid w:val="061A42A4"/>
    <w:rsid w:val="061F2D90"/>
    <w:rsid w:val="06253F81"/>
    <w:rsid w:val="06280614"/>
    <w:rsid w:val="06295E9F"/>
    <w:rsid w:val="062D3A74"/>
    <w:rsid w:val="0635C1BA"/>
    <w:rsid w:val="0635FDEB"/>
    <w:rsid w:val="063C1AA9"/>
    <w:rsid w:val="063EA548"/>
    <w:rsid w:val="0641133D"/>
    <w:rsid w:val="06416752"/>
    <w:rsid w:val="064993D2"/>
    <w:rsid w:val="0649A196"/>
    <w:rsid w:val="064D4706"/>
    <w:rsid w:val="064FA7FE"/>
    <w:rsid w:val="064FB0B8"/>
    <w:rsid w:val="0655D5E3"/>
    <w:rsid w:val="065DE7BD"/>
    <w:rsid w:val="0660F9A5"/>
    <w:rsid w:val="06628B9E"/>
    <w:rsid w:val="06640753"/>
    <w:rsid w:val="06698CB8"/>
    <w:rsid w:val="066B5183"/>
    <w:rsid w:val="0671304D"/>
    <w:rsid w:val="06716856"/>
    <w:rsid w:val="06762399"/>
    <w:rsid w:val="0678C63B"/>
    <w:rsid w:val="067B99F1"/>
    <w:rsid w:val="068501F6"/>
    <w:rsid w:val="0689D296"/>
    <w:rsid w:val="068ACCC0"/>
    <w:rsid w:val="068C29C6"/>
    <w:rsid w:val="068CA75E"/>
    <w:rsid w:val="068F0614"/>
    <w:rsid w:val="06916825"/>
    <w:rsid w:val="0691775B"/>
    <w:rsid w:val="069FC167"/>
    <w:rsid w:val="06A53075"/>
    <w:rsid w:val="06B351EA"/>
    <w:rsid w:val="06B606C1"/>
    <w:rsid w:val="06B734A9"/>
    <w:rsid w:val="06B7A3D8"/>
    <w:rsid w:val="06B859A1"/>
    <w:rsid w:val="06B957B7"/>
    <w:rsid w:val="06BD4898"/>
    <w:rsid w:val="06BFDCC1"/>
    <w:rsid w:val="06C16172"/>
    <w:rsid w:val="06C3044B"/>
    <w:rsid w:val="06C9BB0F"/>
    <w:rsid w:val="06D926E2"/>
    <w:rsid w:val="06DBB069"/>
    <w:rsid w:val="06DEDCF3"/>
    <w:rsid w:val="06E49391"/>
    <w:rsid w:val="06E66F24"/>
    <w:rsid w:val="06E7A7A9"/>
    <w:rsid w:val="06EAA3E9"/>
    <w:rsid w:val="06EE9D86"/>
    <w:rsid w:val="070A55FD"/>
    <w:rsid w:val="070B5544"/>
    <w:rsid w:val="070E06C6"/>
    <w:rsid w:val="0711D9D5"/>
    <w:rsid w:val="071416B8"/>
    <w:rsid w:val="0714E1D8"/>
    <w:rsid w:val="071A38D3"/>
    <w:rsid w:val="071C1951"/>
    <w:rsid w:val="071E4A61"/>
    <w:rsid w:val="0722510A"/>
    <w:rsid w:val="072523A8"/>
    <w:rsid w:val="072548DC"/>
    <w:rsid w:val="072558D1"/>
    <w:rsid w:val="0730629C"/>
    <w:rsid w:val="0737B9F4"/>
    <w:rsid w:val="0738AF1B"/>
    <w:rsid w:val="0739E13E"/>
    <w:rsid w:val="073EC7E9"/>
    <w:rsid w:val="07402752"/>
    <w:rsid w:val="07452111"/>
    <w:rsid w:val="0748B9A4"/>
    <w:rsid w:val="0749F733"/>
    <w:rsid w:val="075591F6"/>
    <w:rsid w:val="075B03CA"/>
    <w:rsid w:val="075D6C61"/>
    <w:rsid w:val="075E0057"/>
    <w:rsid w:val="075E34E7"/>
    <w:rsid w:val="0760D7B8"/>
    <w:rsid w:val="0762235C"/>
    <w:rsid w:val="07628048"/>
    <w:rsid w:val="07634BA4"/>
    <w:rsid w:val="07672943"/>
    <w:rsid w:val="076AE05C"/>
    <w:rsid w:val="076C4033"/>
    <w:rsid w:val="076F8C6E"/>
    <w:rsid w:val="0770CEA4"/>
    <w:rsid w:val="07778477"/>
    <w:rsid w:val="07785198"/>
    <w:rsid w:val="077C5851"/>
    <w:rsid w:val="07845D6E"/>
    <w:rsid w:val="07898412"/>
    <w:rsid w:val="0793E9FF"/>
    <w:rsid w:val="0794E341"/>
    <w:rsid w:val="079645ED"/>
    <w:rsid w:val="079D1092"/>
    <w:rsid w:val="079E7368"/>
    <w:rsid w:val="079ECDA1"/>
    <w:rsid w:val="07A2FDE0"/>
    <w:rsid w:val="07A68E0B"/>
    <w:rsid w:val="07AA2188"/>
    <w:rsid w:val="07AA8E93"/>
    <w:rsid w:val="07B49CC5"/>
    <w:rsid w:val="07B4D670"/>
    <w:rsid w:val="07B8E003"/>
    <w:rsid w:val="07BB66DB"/>
    <w:rsid w:val="07BC15A8"/>
    <w:rsid w:val="07C091FC"/>
    <w:rsid w:val="07C5F91F"/>
    <w:rsid w:val="07C6984D"/>
    <w:rsid w:val="07CC2F8E"/>
    <w:rsid w:val="07CC6495"/>
    <w:rsid w:val="07CF05EC"/>
    <w:rsid w:val="07D4E14E"/>
    <w:rsid w:val="07DA006A"/>
    <w:rsid w:val="07DF1F10"/>
    <w:rsid w:val="07E32DE5"/>
    <w:rsid w:val="07EF8534"/>
    <w:rsid w:val="07F1B182"/>
    <w:rsid w:val="07F1FB97"/>
    <w:rsid w:val="07F4F0DD"/>
    <w:rsid w:val="07F96C28"/>
    <w:rsid w:val="07FA0A16"/>
    <w:rsid w:val="07FA1962"/>
    <w:rsid w:val="07FCE096"/>
    <w:rsid w:val="0801D4D7"/>
    <w:rsid w:val="08027ABF"/>
    <w:rsid w:val="08077C4F"/>
    <w:rsid w:val="080D557B"/>
    <w:rsid w:val="08174498"/>
    <w:rsid w:val="081D97B6"/>
    <w:rsid w:val="08268B41"/>
    <w:rsid w:val="082715FE"/>
    <w:rsid w:val="08293648"/>
    <w:rsid w:val="082B2CAC"/>
    <w:rsid w:val="08347219"/>
    <w:rsid w:val="083A87DE"/>
    <w:rsid w:val="083BBEE0"/>
    <w:rsid w:val="083E92D3"/>
    <w:rsid w:val="084038EA"/>
    <w:rsid w:val="08471B2E"/>
    <w:rsid w:val="084A851D"/>
    <w:rsid w:val="084D0378"/>
    <w:rsid w:val="084E4666"/>
    <w:rsid w:val="084F6CDE"/>
    <w:rsid w:val="084F8772"/>
    <w:rsid w:val="08527653"/>
    <w:rsid w:val="085458F7"/>
    <w:rsid w:val="08568855"/>
    <w:rsid w:val="08582D5B"/>
    <w:rsid w:val="0858C256"/>
    <w:rsid w:val="085B3D8E"/>
    <w:rsid w:val="085DC5EF"/>
    <w:rsid w:val="0862CE00"/>
    <w:rsid w:val="0863D74F"/>
    <w:rsid w:val="08669ABC"/>
    <w:rsid w:val="086BF129"/>
    <w:rsid w:val="086F41FF"/>
    <w:rsid w:val="08701DA1"/>
    <w:rsid w:val="08720C34"/>
    <w:rsid w:val="0875DF0C"/>
    <w:rsid w:val="087752D5"/>
    <w:rsid w:val="08779BF7"/>
    <w:rsid w:val="0879D970"/>
    <w:rsid w:val="087A6B23"/>
    <w:rsid w:val="0880D336"/>
    <w:rsid w:val="08872F3E"/>
    <w:rsid w:val="0887D1EA"/>
    <w:rsid w:val="0889BB86"/>
    <w:rsid w:val="088BA18A"/>
    <w:rsid w:val="08912307"/>
    <w:rsid w:val="089148DD"/>
    <w:rsid w:val="0892C33C"/>
    <w:rsid w:val="089A1C88"/>
    <w:rsid w:val="089F5478"/>
    <w:rsid w:val="08A502C0"/>
    <w:rsid w:val="08A55B18"/>
    <w:rsid w:val="08A7FF16"/>
    <w:rsid w:val="08AA9306"/>
    <w:rsid w:val="08B1DBCC"/>
    <w:rsid w:val="08B23B54"/>
    <w:rsid w:val="08B28A54"/>
    <w:rsid w:val="08B67FBE"/>
    <w:rsid w:val="08B703CB"/>
    <w:rsid w:val="08B7415A"/>
    <w:rsid w:val="08B89059"/>
    <w:rsid w:val="08BD7449"/>
    <w:rsid w:val="08C36F1E"/>
    <w:rsid w:val="08C5B09A"/>
    <w:rsid w:val="08C717FF"/>
    <w:rsid w:val="08C76403"/>
    <w:rsid w:val="08C816C6"/>
    <w:rsid w:val="08CCE072"/>
    <w:rsid w:val="08CE8EB1"/>
    <w:rsid w:val="08D02E17"/>
    <w:rsid w:val="08D31374"/>
    <w:rsid w:val="08D702B9"/>
    <w:rsid w:val="08D71AF7"/>
    <w:rsid w:val="08E81A7E"/>
    <w:rsid w:val="08E9913B"/>
    <w:rsid w:val="08EEAAF3"/>
    <w:rsid w:val="08EF096D"/>
    <w:rsid w:val="08EFDF7E"/>
    <w:rsid w:val="08F90347"/>
    <w:rsid w:val="08FA377F"/>
    <w:rsid w:val="08FE2B3F"/>
    <w:rsid w:val="090C4614"/>
    <w:rsid w:val="090D021A"/>
    <w:rsid w:val="090F3C4F"/>
    <w:rsid w:val="091DEB48"/>
    <w:rsid w:val="091F2492"/>
    <w:rsid w:val="092531CF"/>
    <w:rsid w:val="09282D7B"/>
    <w:rsid w:val="092ECE03"/>
    <w:rsid w:val="092F6BDA"/>
    <w:rsid w:val="092F865B"/>
    <w:rsid w:val="0930C845"/>
    <w:rsid w:val="09357C4A"/>
    <w:rsid w:val="0938C6FD"/>
    <w:rsid w:val="093A38C0"/>
    <w:rsid w:val="09454F46"/>
    <w:rsid w:val="094B3E49"/>
    <w:rsid w:val="09510A75"/>
    <w:rsid w:val="0954A24A"/>
    <w:rsid w:val="0955F4DD"/>
    <w:rsid w:val="09564101"/>
    <w:rsid w:val="0956AF0C"/>
    <w:rsid w:val="09570D4D"/>
    <w:rsid w:val="095D1295"/>
    <w:rsid w:val="096362AF"/>
    <w:rsid w:val="09643F52"/>
    <w:rsid w:val="0966FA78"/>
    <w:rsid w:val="0967BC6C"/>
    <w:rsid w:val="0969C7C7"/>
    <w:rsid w:val="096AB17D"/>
    <w:rsid w:val="0971EBBA"/>
    <w:rsid w:val="0976A2E5"/>
    <w:rsid w:val="0977B6E9"/>
    <w:rsid w:val="098390AC"/>
    <w:rsid w:val="098485FA"/>
    <w:rsid w:val="098A8F66"/>
    <w:rsid w:val="098B4255"/>
    <w:rsid w:val="098C2B05"/>
    <w:rsid w:val="098D22BA"/>
    <w:rsid w:val="098F5C33"/>
    <w:rsid w:val="09925B06"/>
    <w:rsid w:val="099290B3"/>
    <w:rsid w:val="099ABB35"/>
    <w:rsid w:val="099E6BB3"/>
    <w:rsid w:val="099FA98B"/>
    <w:rsid w:val="09A747C6"/>
    <w:rsid w:val="09AE54D5"/>
    <w:rsid w:val="09B14F34"/>
    <w:rsid w:val="09B45154"/>
    <w:rsid w:val="09B83B87"/>
    <w:rsid w:val="09B90C0E"/>
    <w:rsid w:val="09BDC497"/>
    <w:rsid w:val="09C39546"/>
    <w:rsid w:val="09CBA33C"/>
    <w:rsid w:val="09D470C7"/>
    <w:rsid w:val="09D79942"/>
    <w:rsid w:val="09D8D91A"/>
    <w:rsid w:val="09D8E0E5"/>
    <w:rsid w:val="09DDEE0A"/>
    <w:rsid w:val="09E26EAA"/>
    <w:rsid w:val="09E4429B"/>
    <w:rsid w:val="09EC440B"/>
    <w:rsid w:val="09F27B5E"/>
    <w:rsid w:val="09FA3806"/>
    <w:rsid w:val="09FD2EE9"/>
    <w:rsid w:val="09FD6A03"/>
    <w:rsid w:val="09FD78C8"/>
    <w:rsid w:val="09FE2469"/>
    <w:rsid w:val="09FF18E8"/>
    <w:rsid w:val="0A0013B0"/>
    <w:rsid w:val="0A050F19"/>
    <w:rsid w:val="0A092DB5"/>
    <w:rsid w:val="0A0DEC20"/>
    <w:rsid w:val="0A106E6A"/>
    <w:rsid w:val="0A11A2AD"/>
    <w:rsid w:val="0A156EF2"/>
    <w:rsid w:val="0A1DA6C1"/>
    <w:rsid w:val="0A251FBC"/>
    <w:rsid w:val="0A27550A"/>
    <w:rsid w:val="0A2FFD40"/>
    <w:rsid w:val="0A33EC48"/>
    <w:rsid w:val="0A357619"/>
    <w:rsid w:val="0A36411C"/>
    <w:rsid w:val="0A399CA0"/>
    <w:rsid w:val="0A3E98F1"/>
    <w:rsid w:val="0A4479B9"/>
    <w:rsid w:val="0A501D3D"/>
    <w:rsid w:val="0A58A41F"/>
    <w:rsid w:val="0A5B00B7"/>
    <w:rsid w:val="0A606BB5"/>
    <w:rsid w:val="0A6321B4"/>
    <w:rsid w:val="0A6ACF4B"/>
    <w:rsid w:val="0A6B9A40"/>
    <w:rsid w:val="0A712AD2"/>
    <w:rsid w:val="0A7310B0"/>
    <w:rsid w:val="0A753457"/>
    <w:rsid w:val="0A80D744"/>
    <w:rsid w:val="0A8C832E"/>
    <w:rsid w:val="0A8CEA05"/>
    <w:rsid w:val="0A8D1572"/>
    <w:rsid w:val="0A8EBC6D"/>
    <w:rsid w:val="0A998D13"/>
    <w:rsid w:val="0A9C72C9"/>
    <w:rsid w:val="0A9C7A64"/>
    <w:rsid w:val="0AA3871B"/>
    <w:rsid w:val="0AA5934F"/>
    <w:rsid w:val="0AA78838"/>
    <w:rsid w:val="0AA9D2C5"/>
    <w:rsid w:val="0AAA6BA3"/>
    <w:rsid w:val="0AAA861F"/>
    <w:rsid w:val="0AAC7393"/>
    <w:rsid w:val="0AAF5170"/>
    <w:rsid w:val="0ABBF490"/>
    <w:rsid w:val="0ABC9394"/>
    <w:rsid w:val="0AC1C87B"/>
    <w:rsid w:val="0AC25C8C"/>
    <w:rsid w:val="0AC2BFF1"/>
    <w:rsid w:val="0AC3AFBC"/>
    <w:rsid w:val="0AC63A0E"/>
    <w:rsid w:val="0AC9CC55"/>
    <w:rsid w:val="0ACB9D48"/>
    <w:rsid w:val="0ACBF132"/>
    <w:rsid w:val="0ACDEDDE"/>
    <w:rsid w:val="0AD05566"/>
    <w:rsid w:val="0AE22CD2"/>
    <w:rsid w:val="0AEB88C7"/>
    <w:rsid w:val="0AEB924F"/>
    <w:rsid w:val="0AEF096F"/>
    <w:rsid w:val="0AF0D452"/>
    <w:rsid w:val="0AF6C36A"/>
    <w:rsid w:val="0AFDFDE9"/>
    <w:rsid w:val="0AFFF97F"/>
    <w:rsid w:val="0B024910"/>
    <w:rsid w:val="0B12DF8F"/>
    <w:rsid w:val="0B14745C"/>
    <w:rsid w:val="0B1667A7"/>
    <w:rsid w:val="0B1EF8D2"/>
    <w:rsid w:val="0B23515A"/>
    <w:rsid w:val="0B24346C"/>
    <w:rsid w:val="0B289B0E"/>
    <w:rsid w:val="0B2958DE"/>
    <w:rsid w:val="0B2B966A"/>
    <w:rsid w:val="0B2C8B5D"/>
    <w:rsid w:val="0B2CF9BB"/>
    <w:rsid w:val="0B31A361"/>
    <w:rsid w:val="0B322686"/>
    <w:rsid w:val="0B32F2F9"/>
    <w:rsid w:val="0B34F328"/>
    <w:rsid w:val="0B3500F3"/>
    <w:rsid w:val="0B35E0F5"/>
    <w:rsid w:val="0B3A59E0"/>
    <w:rsid w:val="0B3DACA2"/>
    <w:rsid w:val="0B3DE52D"/>
    <w:rsid w:val="0B3FB33B"/>
    <w:rsid w:val="0B40EA66"/>
    <w:rsid w:val="0B40ED84"/>
    <w:rsid w:val="0B42E7EE"/>
    <w:rsid w:val="0B442984"/>
    <w:rsid w:val="0B456DD6"/>
    <w:rsid w:val="0B4A3D20"/>
    <w:rsid w:val="0B4A41EF"/>
    <w:rsid w:val="0B54618F"/>
    <w:rsid w:val="0B5C6332"/>
    <w:rsid w:val="0B5F957D"/>
    <w:rsid w:val="0B69ADA0"/>
    <w:rsid w:val="0B69EEF0"/>
    <w:rsid w:val="0B74DAAD"/>
    <w:rsid w:val="0B77D8A0"/>
    <w:rsid w:val="0B783381"/>
    <w:rsid w:val="0B7EDE27"/>
    <w:rsid w:val="0B8644E7"/>
    <w:rsid w:val="0B9044B3"/>
    <w:rsid w:val="0B93EF01"/>
    <w:rsid w:val="0B962437"/>
    <w:rsid w:val="0B9A9B58"/>
    <w:rsid w:val="0BA15C66"/>
    <w:rsid w:val="0BA3614B"/>
    <w:rsid w:val="0BAC3CB7"/>
    <w:rsid w:val="0BAED00C"/>
    <w:rsid w:val="0BB3170C"/>
    <w:rsid w:val="0BB35769"/>
    <w:rsid w:val="0BB41ED4"/>
    <w:rsid w:val="0BBE17B5"/>
    <w:rsid w:val="0BC0AC63"/>
    <w:rsid w:val="0BC36C07"/>
    <w:rsid w:val="0BC6560B"/>
    <w:rsid w:val="0BCA0765"/>
    <w:rsid w:val="0BCB2452"/>
    <w:rsid w:val="0BCC25D6"/>
    <w:rsid w:val="0BCCE1D9"/>
    <w:rsid w:val="0BDBDB53"/>
    <w:rsid w:val="0BDCB518"/>
    <w:rsid w:val="0BDD9B78"/>
    <w:rsid w:val="0BDE7EA5"/>
    <w:rsid w:val="0BDEEFE9"/>
    <w:rsid w:val="0BE21BF8"/>
    <w:rsid w:val="0BE929D9"/>
    <w:rsid w:val="0BECEF82"/>
    <w:rsid w:val="0BF881F6"/>
    <w:rsid w:val="0BF9DA90"/>
    <w:rsid w:val="0C00AE12"/>
    <w:rsid w:val="0C01077A"/>
    <w:rsid w:val="0C089440"/>
    <w:rsid w:val="0C0C5A2A"/>
    <w:rsid w:val="0C0CC267"/>
    <w:rsid w:val="0C0E12B6"/>
    <w:rsid w:val="0C1240FD"/>
    <w:rsid w:val="0C17C3EE"/>
    <w:rsid w:val="0C1AAEF8"/>
    <w:rsid w:val="0C1B98D2"/>
    <w:rsid w:val="0C1C882E"/>
    <w:rsid w:val="0C21AB81"/>
    <w:rsid w:val="0C234EA5"/>
    <w:rsid w:val="0C2C8BDE"/>
    <w:rsid w:val="0C2DF4D7"/>
    <w:rsid w:val="0C3234DE"/>
    <w:rsid w:val="0C326AA9"/>
    <w:rsid w:val="0C3CB2C2"/>
    <w:rsid w:val="0C3EC5C8"/>
    <w:rsid w:val="0C3F70B0"/>
    <w:rsid w:val="0C426266"/>
    <w:rsid w:val="0C433970"/>
    <w:rsid w:val="0C463486"/>
    <w:rsid w:val="0C47295B"/>
    <w:rsid w:val="0C4E8ACB"/>
    <w:rsid w:val="0C5300BB"/>
    <w:rsid w:val="0C54169B"/>
    <w:rsid w:val="0C585EBB"/>
    <w:rsid w:val="0C5AE202"/>
    <w:rsid w:val="0C5E9EF0"/>
    <w:rsid w:val="0C6632FC"/>
    <w:rsid w:val="0C7E9B2C"/>
    <w:rsid w:val="0C80EC66"/>
    <w:rsid w:val="0C80F82A"/>
    <w:rsid w:val="0C82DBDA"/>
    <w:rsid w:val="0C93A4DB"/>
    <w:rsid w:val="0C93AAFD"/>
    <w:rsid w:val="0C97EA01"/>
    <w:rsid w:val="0C9A29A8"/>
    <w:rsid w:val="0C9EA57B"/>
    <w:rsid w:val="0CA9C6DB"/>
    <w:rsid w:val="0CAD9F4D"/>
    <w:rsid w:val="0CB0CD18"/>
    <w:rsid w:val="0CB4835C"/>
    <w:rsid w:val="0CB87114"/>
    <w:rsid w:val="0CC17A22"/>
    <w:rsid w:val="0CC91927"/>
    <w:rsid w:val="0CCFB36C"/>
    <w:rsid w:val="0CCFF71C"/>
    <w:rsid w:val="0CD30F58"/>
    <w:rsid w:val="0CD86C8F"/>
    <w:rsid w:val="0CDE76F3"/>
    <w:rsid w:val="0CE25181"/>
    <w:rsid w:val="0CE37D57"/>
    <w:rsid w:val="0CE63BCA"/>
    <w:rsid w:val="0CEE5CBC"/>
    <w:rsid w:val="0CF31120"/>
    <w:rsid w:val="0CF812E6"/>
    <w:rsid w:val="0D01B86D"/>
    <w:rsid w:val="0D03EED7"/>
    <w:rsid w:val="0D048B3E"/>
    <w:rsid w:val="0D091051"/>
    <w:rsid w:val="0D0DE5C7"/>
    <w:rsid w:val="0D1231D9"/>
    <w:rsid w:val="0D170FF0"/>
    <w:rsid w:val="0D1B25AC"/>
    <w:rsid w:val="0D1C1BB0"/>
    <w:rsid w:val="0D1CF2EF"/>
    <w:rsid w:val="0D20DEFE"/>
    <w:rsid w:val="0D2296A2"/>
    <w:rsid w:val="0D2950A5"/>
    <w:rsid w:val="0D2FF75B"/>
    <w:rsid w:val="0D339B8D"/>
    <w:rsid w:val="0D39EC99"/>
    <w:rsid w:val="0D3C44FE"/>
    <w:rsid w:val="0D3CB2DB"/>
    <w:rsid w:val="0D4212E5"/>
    <w:rsid w:val="0D423606"/>
    <w:rsid w:val="0D463A10"/>
    <w:rsid w:val="0D47D7C5"/>
    <w:rsid w:val="0D4F55D2"/>
    <w:rsid w:val="0D528768"/>
    <w:rsid w:val="0D66C45A"/>
    <w:rsid w:val="0D677BD9"/>
    <w:rsid w:val="0D74C869"/>
    <w:rsid w:val="0D7B03B5"/>
    <w:rsid w:val="0D811AD3"/>
    <w:rsid w:val="0D8918D9"/>
    <w:rsid w:val="0D9085F7"/>
    <w:rsid w:val="0D9879FC"/>
    <w:rsid w:val="0D9B3457"/>
    <w:rsid w:val="0DA206C7"/>
    <w:rsid w:val="0DAA3AC7"/>
    <w:rsid w:val="0DB063BA"/>
    <w:rsid w:val="0DB21F4E"/>
    <w:rsid w:val="0DB6E129"/>
    <w:rsid w:val="0DBCD7F7"/>
    <w:rsid w:val="0DBD56D6"/>
    <w:rsid w:val="0DC1B739"/>
    <w:rsid w:val="0DC773A9"/>
    <w:rsid w:val="0DC8A75E"/>
    <w:rsid w:val="0DCDBF21"/>
    <w:rsid w:val="0DD21723"/>
    <w:rsid w:val="0DD366D6"/>
    <w:rsid w:val="0DD6FA17"/>
    <w:rsid w:val="0DE2EBD8"/>
    <w:rsid w:val="0DE31D0B"/>
    <w:rsid w:val="0DE82C7A"/>
    <w:rsid w:val="0DE83FDC"/>
    <w:rsid w:val="0DEC0038"/>
    <w:rsid w:val="0DEE94D9"/>
    <w:rsid w:val="0DF844A6"/>
    <w:rsid w:val="0DF8F2A9"/>
    <w:rsid w:val="0E044B54"/>
    <w:rsid w:val="0E097192"/>
    <w:rsid w:val="0E0B1EE4"/>
    <w:rsid w:val="0E279E8E"/>
    <w:rsid w:val="0E291781"/>
    <w:rsid w:val="0E2D41FF"/>
    <w:rsid w:val="0E3161E4"/>
    <w:rsid w:val="0E36ADD3"/>
    <w:rsid w:val="0E3AADF8"/>
    <w:rsid w:val="0E3E281C"/>
    <w:rsid w:val="0E3FA714"/>
    <w:rsid w:val="0E499009"/>
    <w:rsid w:val="0E51251A"/>
    <w:rsid w:val="0E5162A9"/>
    <w:rsid w:val="0E520A36"/>
    <w:rsid w:val="0E54278D"/>
    <w:rsid w:val="0E5AA286"/>
    <w:rsid w:val="0E5BBA01"/>
    <w:rsid w:val="0E5CB7A4"/>
    <w:rsid w:val="0E5DCEB1"/>
    <w:rsid w:val="0E600CBC"/>
    <w:rsid w:val="0E608FEA"/>
    <w:rsid w:val="0E6263D8"/>
    <w:rsid w:val="0E648B3C"/>
    <w:rsid w:val="0E6C1539"/>
    <w:rsid w:val="0E7E9EA5"/>
    <w:rsid w:val="0E80017E"/>
    <w:rsid w:val="0E8416C6"/>
    <w:rsid w:val="0E8DB906"/>
    <w:rsid w:val="0E8FB250"/>
    <w:rsid w:val="0E91CC7E"/>
    <w:rsid w:val="0E96F614"/>
    <w:rsid w:val="0E980074"/>
    <w:rsid w:val="0E9A597D"/>
    <w:rsid w:val="0E9B99DC"/>
    <w:rsid w:val="0E9D058D"/>
    <w:rsid w:val="0E9D4BCD"/>
    <w:rsid w:val="0E9EAAB1"/>
    <w:rsid w:val="0E9FCD70"/>
    <w:rsid w:val="0EA29CC0"/>
    <w:rsid w:val="0EA60AE5"/>
    <w:rsid w:val="0EA63453"/>
    <w:rsid w:val="0EAA440F"/>
    <w:rsid w:val="0EB09EE8"/>
    <w:rsid w:val="0EB353C2"/>
    <w:rsid w:val="0EB4CF77"/>
    <w:rsid w:val="0EBCC4AF"/>
    <w:rsid w:val="0EC41DB0"/>
    <w:rsid w:val="0EC6DA6D"/>
    <w:rsid w:val="0EC705C7"/>
    <w:rsid w:val="0ECC136B"/>
    <w:rsid w:val="0ED992AD"/>
    <w:rsid w:val="0EDAAB3C"/>
    <w:rsid w:val="0EDFC95E"/>
    <w:rsid w:val="0EE05329"/>
    <w:rsid w:val="0EE0AF6E"/>
    <w:rsid w:val="0EE0DD42"/>
    <w:rsid w:val="0EE1B177"/>
    <w:rsid w:val="0EF58157"/>
    <w:rsid w:val="0EF80210"/>
    <w:rsid w:val="0EF8AC80"/>
    <w:rsid w:val="0EFAFE33"/>
    <w:rsid w:val="0EFB1B11"/>
    <w:rsid w:val="0EFBE5B4"/>
    <w:rsid w:val="0EFE8661"/>
    <w:rsid w:val="0EFF96A3"/>
    <w:rsid w:val="0F00B5C1"/>
    <w:rsid w:val="0F06960D"/>
    <w:rsid w:val="0F0FBBD6"/>
    <w:rsid w:val="0F113880"/>
    <w:rsid w:val="0F17D476"/>
    <w:rsid w:val="0F1A95BE"/>
    <w:rsid w:val="0F1D8CF6"/>
    <w:rsid w:val="0F21C211"/>
    <w:rsid w:val="0F23B063"/>
    <w:rsid w:val="0F2F0E3A"/>
    <w:rsid w:val="0F3209F6"/>
    <w:rsid w:val="0F34A4A6"/>
    <w:rsid w:val="0F3504C0"/>
    <w:rsid w:val="0F401651"/>
    <w:rsid w:val="0F46A5DC"/>
    <w:rsid w:val="0F46B74C"/>
    <w:rsid w:val="0F480755"/>
    <w:rsid w:val="0F4CCD7C"/>
    <w:rsid w:val="0F4F131E"/>
    <w:rsid w:val="0F578550"/>
    <w:rsid w:val="0F589477"/>
    <w:rsid w:val="0F5D676D"/>
    <w:rsid w:val="0F62772E"/>
    <w:rsid w:val="0F696212"/>
    <w:rsid w:val="0F69AF28"/>
    <w:rsid w:val="0F6E8D11"/>
    <w:rsid w:val="0F73F63C"/>
    <w:rsid w:val="0F7C5E4D"/>
    <w:rsid w:val="0F7E9FB8"/>
    <w:rsid w:val="0F841DFB"/>
    <w:rsid w:val="0F869C70"/>
    <w:rsid w:val="0F871CA1"/>
    <w:rsid w:val="0F8992A6"/>
    <w:rsid w:val="0F8B91B1"/>
    <w:rsid w:val="0F8D0E94"/>
    <w:rsid w:val="0F8F45F2"/>
    <w:rsid w:val="0F9548DF"/>
    <w:rsid w:val="0FA02133"/>
    <w:rsid w:val="0FA52AAF"/>
    <w:rsid w:val="0FA63C2C"/>
    <w:rsid w:val="0FAEF5D6"/>
    <w:rsid w:val="0FAF05B5"/>
    <w:rsid w:val="0FB028D7"/>
    <w:rsid w:val="0FB4209F"/>
    <w:rsid w:val="0FB770C0"/>
    <w:rsid w:val="0FBBBC4A"/>
    <w:rsid w:val="0FBCE499"/>
    <w:rsid w:val="0FBE749D"/>
    <w:rsid w:val="0FC2F431"/>
    <w:rsid w:val="0FC5F125"/>
    <w:rsid w:val="0FC93414"/>
    <w:rsid w:val="0FCB2BC8"/>
    <w:rsid w:val="0FCE53D4"/>
    <w:rsid w:val="0FD02A0E"/>
    <w:rsid w:val="0FD59894"/>
    <w:rsid w:val="0FDC3F03"/>
    <w:rsid w:val="0FDC68C4"/>
    <w:rsid w:val="0FDF1397"/>
    <w:rsid w:val="0FE8F577"/>
    <w:rsid w:val="10022E2B"/>
    <w:rsid w:val="10081DF7"/>
    <w:rsid w:val="100BABC8"/>
    <w:rsid w:val="100BD13C"/>
    <w:rsid w:val="100E9611"/>
    <w:rsid w:val="100FDE08"/>
    <w:rsid w:val="1012EF34"/>
    <w:rsid w:val="101BB8A6"/>
    <w:rsid w:val="101EA709"/>
    <w:rsid w:val="1025C864"/>
    <w:rsid w:val="102656F9"/>
    <w:rsid w:val="10275799"/>
    <w:rsid w:val="10297C26"/>
    <w:rsid w:val="103843F4"/>
    <w:rsid w:val="1038895C"/>
    <w:rsid w:val="1038C735"/>
    <w:rsid w:val="1039DA12"/>
    <w:rsid w:val="103F1685"/>
    <w:rsid w:val="10456D92"/>
    <w:rsid w:val="1045CDDD"/>
    <w:rsid w:val="104FF36C"/>
    <w:rsid w:val="10515FA4"/>
    <w:rsid w:val="1052C9DA"/>
    <w:rsid w:val="10546EDA"/>
    <w:rsid w:val="1058E39E"/>
    <w:rsid w:val="105B0200"/>
    <w:rsid w:val="105B1B7E"/>
    <w:rsid w:val="105EB0A0"/>
    <w:rsid w:val="1065AD93"/>
    <w:rsid w:val="10686A34"/>
    <w:rsid w:val="106A0091"/>
    <w:rsid w:val="106C6952"/>
    <w:rsid w:val="1070E374"/>
    <w:rsid w:val="1073E880"/>
    <w:rsid w:val="107A6D9A"/>
    <w:rsid w:val="107FA1B6"/>
    <w:rsid w:val="10812E08"/>
    <w:rsid w:val="1083D5E0"/>
    <w:rsid w:val="1084249E"/>
    <w:rsid w:val="1084D94C"/>
    <w:rsid w:val="108B8708"/>
    <w:rsid w:val="10952A4F"/>
    <w:rsid w:val="1097B3D1"/>
    <w:rsid w:val="109830EA"/>
    <w:rsid w:val="109AB677"/>
    <w:rsid w:val="109ADC61"/>
    <w:rsid w:val="109E7BF3"/>
    <w:rsid w:val="10AB8A2A"/>
    <w:rsid w:val="10B24357"/>
    <w:rsid w:val="10B49822"/>
    <w:rsid w:val="10BCBA00"/>
    <w:rsid w:val="10BD7973"/>
    <w:rsid w:val="10C28C2F"/>
    <w:rsid w:val="10C49202"/>
    <w:rsid w:val="10CB3410"/>
    <w:rsid w:val="10CDA35E"/>
    <w:rsid w:val="10D37516"/>
    <w:rsid w:val="10D3C32E"/>
    <w:rsid w:val="10D5D237"/>
    <w:rsid w:val="10D86E2C"/>
    <w:rsid w:val="10E906DD"/>
    <w:rsid w:val="10EDE077"/>
    <w:rsid w:val="10F79194"/>
    <w:rsid w:val="10FCCC66"/>
    <w:rsid w:val="1100FFB4"/>
    <w:rsid w:val="11032BF4"/>
    <w:rsid w:val="11071987"/>
    <w:rsid w:val="110D0529"/>
    <w:rsid w:val="11128EAE"/>
    <w:rsid w:val="1112B5B1"/>
    <w:rsid w:val="111F8441"/>
    <w:rsid w:val="11230DCA"/>
    <w:rsid w:val="1124382A"/>
    <w:rsid w:val="11292883"/>
    <w:rsid w:val="1129F04A"/>
    <w:rsid w:val="112C5AF2"/>
    <w:rsid w:val="11335627"/>
    <w:rsid w:val="113567A9"/>
    <w:rsid w:val="113775C6"/>
    <w:rsid w:val="113AD2B7"/>
    <w:rsid w:val="113C0A55"/>
    <w:rsid w:val="11403EE5"/>
    <w:rsid w:val="11413C14"/>
    <w:rsid w:val="114B7003"/>
    <w:rsid w:val="114EE286"/>
    <w:rsid w:val="1152E380"/>
    <w:rsid w:val="11550AFB"/>
    <w:rsid w:val="116078A2"/>
    <w:rsid w:val="116134C3"/>
    <w:rsid w:val="1163B8C0"/>
    <w:rsid w:val="116C75FC"/>
    <w:rsid w:val="1182211F"/>
    <w:rsid w:val="11865A58"/>
    <w:rsid w:val="11868835"/>
    <w:rsid w:val="118BEE28"/>
    <w:rsid w:val="119A32FE"/>
    <w:rsid w:val="119F391C"/>
    <w:rsid w:val="11A0CB57"/>
    <w:rsid w:val="11A5E47B"/>
    <w:rsid w:val="11A6A076"/>
    <w:rsid w:val="11AB8589"/>
    <w:rsid w:val="11ABB5DA"/>
    <w:rsid w:val="11AC77C6"/>
    <w:rsid w:val="11AF7689"/>
    <w:rsid w:val="11B18FCE"/>
    <w:rsid w:val="11B22B89"/>
    <w:rsid w:val="11B38B3F"/>
    <w:rsid w:val="11B5EA50"/>
    <w:rsid w:val="11BE7875"/>
    <w:rsid w:val="11C0EE31"/>
    <w:rsid w:val="11C2D3FB"/>
    <w:rsid w:val="11C6D279"/>
    <w:rsid w:val="11C8BC84"/>
    <w:rsid w:val="11C97CE4"/>
    <w:rsid w:val="11D1974D"/>
    <w:rsid w:val="11D6B7B1"/>
    <w:rsid w:val="11D7E5DA"/>
    <w:rsid w:val="11DAD4B1"/>
    <w:rsid w:val="11DCD533"/>
    <w:rsid w:val="11DDC60E"/>
    <w:rsid w:val="11DFCEC7"/>
    <w:rsid w:val="11E4AFE7"/>
    <w:rsid w:val="11E60FF4"/>
    <w:rsid w:val="11E7373E"/>
    <w:rsid w:val="11E8391A"/>
    <w:rsid w:val="11EC1B35"/>
    <w:rsid w:val="11EDEFDB"/>
    <w:rsid w:val="11EE3733"/>
    <w:rsid w:val="11EE74F8"/>
    <w:rsid w:val="11EF0DFE"/>
    <w:rsid w:val="11F4ACCC"/>
    <w:rsid w:val="11FAD8EA"/>
    <w:rsid w:val="11FC5758"/>
    <w:rsid w:val="1200999F"/>
    <w:rsid w:val="12056CB8"/>
    <w:rsid w:val="12076717"/>
    <w:rsid w:val="120B4FE7"/>
    <w:rsid w:val="12219CBD"/>
    <w:rsid w:val="12273189"/>
    <w:rsid w:val="1227A51F"/>
    <w:rsid w:val="1238D4D5"/>
    <w:rsid w:val="123B85A3"/>
    <w:rsid w:val="123E726A"/>
    <w:rsid w:val="124204DB"/>
    <w:rsid w:val="12429E28"/>
    <w:rsid w:val="1243B9D0"/>
    <w:rsid w:val="124863FF"/>
    <w:rsid w:val="125196CB"/>
    <w:rsid w:val="1252FA15"/>
    <w:rsid w:val="125349A0"/>
    <w:rsid w:val="12540C27"/>
    <w:rsid w:val="125DA9A0"/>
    <w:rsid w:val="12632F77"/>
    <w:rsid w:val="12645B63"/>
    <w:rsid w:val="12673214"/>
    <w:rsid w:val="1267A455"/>
    <w:rsid w:val="1269B457"/>
    <w:rsid w:val="126EB466"/>
    <w:rsid w:val="126FBEA4"/>
    <w:rsid w:val="1270060B"/>
    <w:rsid w:val="12722D15"/>
    <w:rsid w:val="1275B7F2"/>
    <w:rsid w:val="12801258"/>
    <w:rsid w:val="1282713E"/>
    <w:rsid w:val="1284DCE4"/>
    <w:rsid w:val="128C5EB8"/>
    <w:rsid w:val="1295A524"/>
    <w:rsid w:val="129C7206"/>
    <w:rsid w:val="129D059C"/>
    <w:rsid w:val="12A38722"/>
    <w:rsid w:val="12A6725B"/>
    <w:rsid w:val="12A8600E"/>
    <w:rsid w:val="12B3E32D"/>
    <w:rsid w:val="12BB5530"/>
    <w:rsid w:val="12BF6572"/>
    <w:rsid w:val="12C45523"/>
    <w:rsid w:val="12C5C581"/>
    <w:rsid w:val="12C5EA56"/>
    <w:rsid w:val="12CE44D0"/>
    <w:rsid w:val="12D134ED"/>
    <w:rsid w:val="12D28A1C"/>
    <w:rsid w:val="12D4AA00"/>
    <w:rsid w:val="12D5659C"/>
    <w:rsid w:val="12D6AD0D"/>
    <w:rsid w:val="12D76393"/>
    <w:rsid w:val="12D87D79"/>
    <w:rsid w:val="12D8AA60"/>
    <w:rsid w:val="12DC794B"/>
    <w:rsid w:val="12DD56C4"/>
    <w:rsid w:val="12DDFB4D"/>
    <w:rsid w:val="12E0DB17"/>
    <w:rsid w:val="12E2DB97"/>
    <w:rsid w:val="12E302B6"/>
    <w:rsid w:val="12E78B7B"/>
    <w:rsid w:val="12E79B1E"/>
    <w:rsid w:val="12EA3D9A"/>
    <w:rsid w:val="12EAF457"/>
    <w:rsid w:val="12EBE8FA"/>
    <w:rsid w:val="12F44B61"/>
    <w:rsid w:val="12F7921E"/>
    <w:rsid w:val="12F83DAD"/>
    <w:rsid w:val="12FAE12F"/>
    <w:rsid w:val="12FC03E6"/>
    <w:rsid w:val="1300BB2B"/>
    <w:rsid w:val="13032F75"/>
    <w:rsid w:val="1309C133"/>
    <w:rsid w:val="130E59C4"/>
    <w:rsid w:val="1313D537"/>
    <w:rsid w:val="131FC2B3"/>
    <w:rsid w:val="13223DD5"/>
    <w:rsid w:val="13252FEE"/>
    <w:rsid w:val="1328545E"/>
    <w:rsid w:val="1332BA87"/>
    <w:rsid w:val="1338DF73"/>
    <w:rsid w:val="133ACE7A"/>
    <w:rsid w:val="133CBA6D"/>
    <w:rsid w:val="133DA4DB"/>
    <w:rsid w:val="1340011A"/>
    <w:rsid w:val="134116A6"/>
    <w:rsid w:val="1341DEB9"/>
    <w:rsid w:val="134398B7"/>
    <w:rsid w:val="1349D8C6"/>
    <w:rsid w:val="1351E325"/>
    <w:rsid w:val="13538BA3"/>
    <w:rsid w:val="135AB895"/>
    <w:rsid w:val="135BA2E0"/>
    <w:rsid w:val="1363D93B"/>
    <w:rsid w:val="1368A803"/>
    <w:rsid w:val="13751E47"/>
    <w:rsid w:val="1375D39B"/>
    <w:rsid w:val="13772666"/>
    <w:rsid w:val="137B6803"/>
    <w:rsid w:val="137C9377"/>
    <w:rsid w:val="137FF26B"/>
    <w:rsid w:val="13857A7A"/>
    <w:rsid w:val="1398C105"/>
    <w:rsid w:val="13AAA571"/>
    <w:rsid w:val="13AC3AC6"/>
    <w:rsid w:val="13AD3B51"/>
    <w:rsid w:val="13C76FB0"/>
    <w:rsid w:val="13C9FBF6"/>
    <w:rsid w:val="13CD63B3"/>
    <w:rsid w:val="13CDD463"/>
    <w:rsid w:val="13D7992A"/>
    <w:rsid w:val="13E6DF0A"/>
    <w:rsid w:val="13EBE204"/>
    <w:rsid w:val="13EF2995"/>
    <w:rsid w:val="13F1181E"/>
    <w:rsid w:val="13F97966"/>
    <w:rsid w:val="13FC6804"/>
    <w:rsid w:val="13FF7F05"/>
    <w:rsid w:val="13FFAE78"/>
    <w:rsid w:val="14007295"/>
    <w:rsid w:val="14037F59"/>
    <w:rsid w:val="140716EA"/>
    <w:rsid w:val="140BC057"/>
    <w:rsid w:val="140EBC00"/>
    <w:rsid w:val="141C37A4"/>
    <w:rsid w:val="142509F4"/>
    <w:rsid w:val="1428583C"/>
    <w:rsid w:val="1429F1EB"/>
    <w:rsid w:val="142AA721"/>
    <w:rsid w:val="142C26B7"/>
    <w:rsid w:val="142CEC31"/>
    <w:rsid w:val="1433EB8A"/>
    <w:rsid w:val="14362B9F"/>
    <w:rsid w:val="1437CDA1"/>
    <w:rsid w:val="1438280F"/>
    <w:rsid w:val="143A528F"/>
    <w:rsid w:val="1444E190"/>
    <w:rsid w:val="14517777"/>
    <w:rsid w:val="14525AD3"/>
    <w:rsid w:val="14549F9B"/>
    <w:rsid w:val="145616CF"/>
    <w:rsid w:val="145C78AA"/>
    <w:rsid w:val="145DFA15"/>
    <w:rsid w:val="145F6C0A"/>
    <w:rsid w:val="1464C202"/>
    <w:rsid w:val="14774661"/>
    <w:rsid w:val="14790D51"/>
    <w:rsid w:val="1481FEEE"/>
    <w:rsid w:val="148B8CA4"/>
    <w:rsid w:val="148CB130"/>
    <w:rsid w:val="148DD94A"/>
    <w:rsid w:val="1499A3E1"/>
    <w:rsid w:val="149D0DE6"/>
    <w:rsid w:val="14A37AC1"/>
    <w:rsid w:val="14A4994E"/>
    <w:rsid w:val="14A815BC"/>
    <w:rsid w:val="14AA77FE"/>
    <w:rsid w:val="14AAA8A8"/>
    <w:rsid w:val="14AFCC7A"/>
    <w:rsid w:val="14B2730A"/>
    <w:rsid w:val="14B8F72D"/>
    <w:rsid w:val="14C1707F"/>
    <w:rsid w:val="14C43539"/>
    <w:rsid w:val="14C996C3"/>
    <w:rsid w:val="14CA4B9A"/>
    <w:rsid w:val="14D732CA"/>
    <w:rsid w:val="14D84328"/>
    <w:rsid w:val="14DB98F3"/>
    <w:rsid w:val="14DCB5B8"/>
    <w:rsid w:val="14DFA674"/>
    <w:rsid w:val="14E4D9E1"/>
    <w:rsid w:val="14E55F55"/>
    <w:rsid w:val="14E7F163"/>
    <w:rsid w:val="14EB25F2"/>
    <w:rsid w:val="14F06277"/>
    <w:rsid w:val="14F34FDC"/>
    <w:rsid w:val="14FCD6C5"/>
    <w:rsid w:val="150C963B"/>
    <w:rsid w:val="150D1359"/>
    <w:rsid w:val="15110898"/>
    <w:rsid w:val="1512404D"/>
    <w:rsid w:val="1523FAD2"/>
    <w:rsid w:val="152D963A"/>
    <w:rsid w:val="152DF668"/>
    <w:rsid w:val="15382C6E"/>
    <w:rsid w:val="1538EF0F"/>
    <w:rsid w:val="153B4779"/>
    <w:rsid w:val="153E0BA8"/>
    <w:rsid w:val="1541CEC9"/>
    <w:rsid w:val="1542E57D"/>
    <w:rsid w:val="15456C27"/>
    <w:rsid w:val="15489F43"/>
    <w:rsid w:val="1548E7E2"/>
    <w:rsid w:val="154CF0D3"/>
    <w:rsid w:val="1553028D"/>
    <w:rsid w:val="1557B7F7"/>
    <w:rsid w:val="1558A25D"/>
    <w:rsid w:val="155F53E3"/>
    <w:rsid w:val="1567B3C6"/>
    <w:rsid w:val="156BFE65"/>
    <w:rsid w:val="156CFE9B"/>
    <w:rsid w:val="156ED6D4"/>
    <w:rsid w:val="15702B34"/>
    <w:rsid w:val="1570ABF9"/>
    <w:rsid w:val="1572D39E"/>
    <w:rsid w:val="15739A9C"/>
    <w:rsid w:val="157B7E56"/>
    <w:rsid w:val="157B949F"/>
    <w:rsid w:val="15891897"/>
    <w:rsid w:val="158C8E5C"/>
    <w:rsid w:val="158CC657"/>
    <w:rsid w:val="1590C005"/>
    <w:rsid w:val="15943F9A"/>
    <w:rsid w:val="159AC440"/>
    <w:rsid w:val="159D4E19"/>
    <w:rsid w:val="159FDBA6"/>
    <w:rsid w:val="15A84498"/>
    <w:rsid w:val="15AEE836"/>
    <w:rsid w:val="15B17A60"/>
    <w:rsid w:val="15B4278E"/>
    <w:rsid w:val="15BB658F"/>
    <w:rsid w:val="15BDA10C"/>
    <w:rsid w:val="15BE19FC"/>
    <w:rsid w:val="15C19201"/>
    <w:rsid w:val="15C28BDB"/>
    <w:rsid w:val="15C400CE"/>
    <w:rsid w:val="15C420B0"/>
    <w:rsid w:val="15C6853F"/>
    <w:rsid w:val="15CC98BF"/>
    <w:rsid w:val="15D04B5A"/>
    <w:rsid w:val="15D5084D"/>
    <w:rsid w:val="15D66D42"/>
    <w:rsid w:val="15D914B3"/>
    <w:rsid w:val="15DB7138"/>
    <w:rsid w:val="15DEC02B"/>
    <w:rsid w:val="15E95D67"/>
    <w:rsid w:val="15F1C260"/>
    <w:rsid w:val="15F4E229"/>
    <w:rsid w:val="15FA2AAA"/>
    <w:rsid w:val="15FC959C"/>
    <w:rsid w:val="15FDB6FE"/>
    <w:rsid w:val="1600F201"/>
    <w:rsid w:val="1605610C"/>
    <w:rsid w:val="1606D552"/>
    <w:rsid w:val="1607ABC5"/>
    <w:rsid w:val="160851D3"/>
    <w:rsid w:val="1608520B"/>
    <w:rsid w:val="1614FC67"/>
    <w:rsid w:val="1615B341"/>
    <w:rsid w:val="1616A217"/>
    <w:rsid w:val="161C68AE"/>
    <w:rsid w:val="16289CDF"/>
    <w:rsid w:val="162C6BEF"/>
    <w:rsid w:val="162EDECF"/>
    <w:rsid w:val="162F62F8"/>
    <w:rsid w:val="1630E180"/>
    <w:rsid w:val="1634233A"/>
    <w:rsid w:val="1638305E"/>
    <w:rsid w:val="1639718F"/>
    <w:rsid w:val="163A07AD"/>
    <w:rsid w:val="16403AE4"/>
    <w:rsid w:val="1643DC01"/>
    <w:rsid w:val="1646C036"/>
    <w:rsid w:val="1648318A"/>
    <w:rsid w:val="1648A5AB"/>
    <w:rsid w:val="16499B90"/>
    <w:rsid w:val="164B19BF"/>
    <w:rsid w:val="164B74B4"/>
    <w:rsid w:val="164DA68C"/>
    <w:rsid w:val="164F4F78"/>
    <w:rsid w:val="165096FA"/>
    <w:rsid w:val="1654E2AA"/>
    <w:rsid w:val="16565ADC"/>
    <w:rsid w:val="165D42AF"/>
    <w:rsid w:val="166769C0"/>
    <w:rsid w:val="16685765"/>
    <w:rsid w:val="1670DBB5"/>
    <w:rsid w:val="1677656F"/>
    <w:rsid w:val="1678268F"/>
    <w:rsid w:val="167AFD1E"/>
    <w:rsid w:val="167B0055"/>
    <w:rsid w:val="167F7D46"/>
    <w:rsid w:val="16845EFB"/>
    <w:rsid w:val="168CD690"/>
    <w:rsid w:val="168DAD25"/>
    <w:rsid w:val="168FF607"/>
    <w:rsid w:val="169C2BF8"/>
    <w:rsid w:val="169FA4FE"/>
    <w:rsid w:val="16A11E19"/>
    <w:rsid w:val="16A382FD"/>
    <w:rsid w:val="16A43BB2"/>
    <w:rsid w:val="16A72668"/>
    <w:rsid w:val="16A811D0"/>
    <w:rsid w:val="16AEED4F"/>
    <w:rsid w:val="16B2EFEB"/>
    <w:rsid w:val="16B36049"/>
    <w:rsid w:val="16B45084"/>
    <w:rsid w:val="16B7D88E"/>
    <w:rsid w:val="16BD8C16"/>
    <w:rsid w:val="16C7DB62"/>
    <w:rsid w:val="16CBAA01"/>
    <w:rsid w:val="16CD0AB4"/>
    <w:rsid w:val="16CD6085"/>
    <w:rsid w:val="16CEFB11"/>
    <w:rsid w:val="16CFB42F"/>
    <w:rsid w:val="16D55B19"/>
    <w:rsid w:val="16D5866D"/>
    <w:rsid w:val="16D60B30"/>
    <w:rsid w:val="16D6FEE4"/>
    <w:rsid w:val="16DAF6E0"/>
    <w:rsid w:val="16DB8607"/>
    <w:rsid w:val="16DE8893"/>
    <w:rsid w:val="16E31E6B"/>
    <w:rsid w:val="16F303C6"/>
    <w:rsid w:val="16F7E5B8"/>
    <w:rsid w:val="16FDE437"/>
    <w:rsid w:val="171069EA"/>
    <w:rsid w:val="1716AFB2"/>
    <w:rsid w:val="171B1E9B"/>
    <w:rsid w:val="171BEDE3"/>
    <w:rsid w:val="171D95E0"/>
    <w:rsid w:val="17226D11"/>
    <w:rsid w:val="1724BF7A"/>
    <w:rsid w:val="17281C85"/>
    <w:rsid w:val="17319C15"/>
    <w:rsid w:val="173261BD"/>
    <w:rsid w:val="1732A139"/>
    <w:rsid w:val="173DBB65"/>
    <w:rsid w:val="173E034F"/>
    <w:rsid w:val="174959A8"/>
    <w:rsid w:val="174E5B1F"/>
    <w:rsid w:val="1751F715"/>
    <w:rsid w:val="1752D583"/>
    <w:rsid w:val="1756A64A"/>
    <w:rsid w:val="17574642"/>
    <w:rsid w:val="175C0057"/>
    <w:rsid w:val="1760E9D1"/>
    <w:rsid w:val="177324A9"/>
    <w:rsid w:val="1775B8A0"/>
    <w:rsid w:val="177685E5"/>
    <w:rsid w:val="177AA357"/>
    <w:rsid w:val="1787D2B8"/>
    <w:rsid w:val="178BD29A"/>
    <w:rsid w:val="178DC448"/>
    <w:rsid w:val="178DD77C"/>
    <w:rsid w:val="17A91E3B"/>
    <w:rsid w:val="17A9F5D7"/>
    <w:rsid w:val="17ABC6A8"/>
    <w:rsid w:val="17ADA610"/>
    <w:rsid w:val="17AF5742"/>
    <w:rsid w:val="17AF9149"/>
    <w:rsid w:val="17B7905C"/>
    <w:rsid w:val="17B99447"/>
    <w:rsid w:val="17BA3C09"/>
    <w:rsid w:val="17CBF08E"/>
    <w:rsid w:val="17D16188"/>
    <w:rsid w:val="17D1978B"/>
    <w:rsid w:val="17D24C53"/>
    <w:rsid w:val="17D3DF0D"/>
    <w:rsid w:val="17E9D05F"/>
    <w:rsid w:val="17EA2FC6"/>
    <w:rsid w:val="17EEC36B"/>
    <w:rsid w:val="17F2339A"/>
    <w:rsid w:val="17F3D2B0"/>
    <w:rsid w:val="17F68078"/>
    <w:rsid w:val="18060127"/>
    <w:rsid w:val="1808A57F"/>
    <w:rsid w:val="1813D9B0"/>
    <w:rsid w:val="1816271C"/>
    <w:rsid w:val="181C36B3"/>
    <w:rsid w:val="182B2F91"/>
    <w:rsid w:val="182F0C97"/>
    <w:rsid w:val="1841DED2"/>
    <w:rsid w:val="18455F52"/>
    <w:rsid w:val="18462629"/>
    <w:rsid w:val="1849AD3E"/>
    <w:rsid w:val="1849CF92"/>
    <w:rsid w:val="184C68FF"/>
    <w:rsid w:val="185014D0"/>
    <w:rsid w:val="1851D826"/>
    <w:rsid w:val="18545A16"/>
    <w:rsid w:val="1854DEAF"/>
    <w:rsid w:val="185AACDC"/>
    <w:rsid w:val="1862F9D0"/>
    <w:rsid w:val="18636846"/>
    <w:rsid w:val="18647894"/>
    <w:rsid w:val="1866DE9C"/>
    <w:rsid w:val="1867F556"/>
    <w:rsid w:val="1871BA42"/>
    <w:rsid w:val="1874374A"/>
    <w:rsid w:val="1875F59C"/>
    <w:rsid w:val="18792311"/>
    <w:rsid w:val="187BC29B"/>
    <w:rsid w:val="1882296E"/>
    <w:rsid w:val="18832B84"/>
    <w:rsid w:val="188700C2"/>
    <w:rsid w:val="1887F391"/>
    <w:rsid w:val="188AB11F"/>
    <w:rsid w:val="1892A813"/>
    <w:rsid w:val="189977C7"/>
    <w:rsid w:val="1899884F"/>
    <w:rsid w:val="189CC01E"/>
    <w:rsid w:val="18A276DC"/>
    <w:rsid w:val="18A386CD"/>
    <w:rsid w:val="18AAC56A"/>
    <w:rsid w:val="18B96936"/>
    <w:rsid w:val="18BE6214"/>
    <w:rsid w:val="18C2C40D"/>
    <w:rsid w:val="18C62852"/>
    <w:rsid w:val="18C81192"/>
    <w:rsid w:val="18CC361E"/>
    <w:rsid w:val="18E4CDE8"/>
    <w:rsid w:val="18E50F19"/>
    <w:rsid w:val="18F249BF"/>
    <w:rsid w:val="1901F3C0"/>
    <w:rsid w:val="190422F0"/>
    <w:rsid w:val="190A38ED"/>
    <w:rsid w:val="190B1427"/>
    <w:rsid w:val="190E38C8"/>
    <w:rsid w:val="190E5117"/>
    <w:rsid w:val="1912D87E"/>
    <w:rsid w:val="19134BB8"/>
    <w:rsid w:val="19150880"/>
    <w:rsid w:val="1916C497"/>
    <w:rsid w:val="191788D0"/>
    <w:rsid w:val="191C382F"/>
    <w:rsid w:val="191F9300"/>
    <w:rsid w:val="1923810F"/>
    <w:rsid w:val="1924CDFF"/>
    <w:rsid w:val="192B5657"/>
    <w:rsid w:val="192D10DE"/>
    <w:rsid w:val="1930E974"/>
    <w:rsid w:val="1932F745"/>
    <w:rsid w:val="19381AF1"/>
    <w:rsid w:val="19425CB1"/>
    <w:rsid w:val="1943AA55"/>
    <w:rsid w:val="1944CE32"/>
    <w:rsid w:val="1946800C"/>
    <w:rsid w:val="194682B8"/>
    <w:rsid w:val="1952EAAC"/>
    <w:rsid w:val="1952F94A"/>
    <w:rsid w:val="1959D9B3"/>
    <w:rsid w:val="195AF64E"/>
    <w:rsid w:val="195DFC3D"/>
    <w:rsid w:val="1963C863"/>
    <w:rsid w:val="19679A25"/>
    <w:rsid w:val="19685F4F"/>
    <w:rsid w:val="196C7B7B"/>
    <w:rsid w:val="196CD5E7"/>
    <w:rsid w:val="1973B065"/>
    <w:rsid w:val="1979FCA9"/>
    <w:rsid w:val="197A1DAA"/>
    <w:rsid w:val="19899904"/>
    <w:rsid w:val="198C7A85"/>
    <w:rsid w:val="1991C4F3"/>
    <w:rsid w:val="199560F5"/>
    <w:rsid w:val="1998D981"/>
    <w:rsid w:val="199AD84E"/>
    <w:rsid w:val="199C2A34"/>
    <w:rsid w:val="199ED0E0"/>
    <w:rsid w:val="19A4F868"/>
    <w:rsid w:val="19A765BA"/>
    <w:rsid w:val="19A7C0C4"/>
    <w:rsid w:val="19ADB92B"/>
    <w:rsid w:val="19B053F0"/>
    <w:rsid w:val="19B1178C"/>
    <w:rsid w:val="19B45DD7"/>
    <w:rsid w:val="19B8FC2C"/>
    <w:rsid w:val="19BA1F09"/>
    <w:rsid w:val="19BBB74F"/>
    <w:rsid w:val="19BDDA17"/>
    <w:rsid w:val="19C166A7"/>
    <w:rsid w:val="19C1D1DA"/>
    <w:rsid w:val="19D6C1CB"/>
    <w:rsid w:val="19DF42E2"/>
    <w:rsid w:val="19E038D7"/>
    <w:rsid w:val="19E225E8"/>
    <w:rsid w:val="19E22606"/>
    <w:rsid w:val="19E241E5"/>
    <w:rsid w:val="19E320B7"/>
    <w:rsid w:val="19E8F3BA"/>
    <w:rsid w:val="19E927DD"/>
    <w:rsid w:val="19ED6900"/>
    <w:rsid w:val="19F16414"/>
    <w:rsid w:val="19F1B8D9"/>
    <w:rsid w:val="19F5A683"/>
    <w:rsid w:val="19FB72F5"/>
    <w:rsid w:val="19FBD0E7"/>
    <w:rsid w:val="19FF3846"/>
    <w:rsid w:val="19FF7997"/>
    <w:rsid w:val="1A00134F"/>
    <w:rsid w:val="1A040418"/>
    <w:rsid w:val="1A07A470"/>
    <w:rsid w:val="1A094D4E"/>
    <w:rsid w:val="1A0A5861"/>
    <w:rsid w:val="1A0ED406"/>
    <w:rsid w:val="1A0F72FE"/>
    <w:rsid w:val="1A1333EC"/>
    <w:rsid w:val="1A149DC4"/>
    <w:rsid w:val="1A1A0C6E"/>
    <w:rsid w:val="1A1CF81D"/>
    <w:rsid w:val="1A1F17C3"/>
    <w:rsid w:val="1A29D04F"/>
    <w:rsid w:val="1A313E28"/>
    <w:rsid w:val="1A350E89"/>
    <w:rsid w:val="1A388C6D"/>
    <w:rsid w:val="1A3E1BB1"/>
    <w:rsid w:val="1A4E896D"/>
    <w:rsid w:val="1A4FE71B"/>
    <w:rsid w:val="1A51C6C3"/>
    <w:rsid w:val="1A5350D0"/>
    <w:rsid w:val="1A54F060"/>
    <w:rsid w:val="1A61C041"/>
    <w:rsid w:val="1A63EE10"/>
    <w:rsid w:val="1A64E05E"/>
    <w:rsid w:val="1A66DF97"/>
    <w:rsid w:val="1A6717C2"/>
    <w:rsid w:val="1A6CDA48"/>
    <w:rsid w:val="1A726186"/>
    <w:rsid w:val="1A768A49"/>
    <w:rsid w:val="1A7702AB"/>
    <w:rsid w:val="1A78F242"/>
    <w:rsid w:val="1A821FA3"/>
    <w:rsid w:val="1A87C303"/>
    <w:rsid w:val="1A8AB10B"/>
    <w:rsid w:val="1A8B78E7"/>
    <w:rsid w:val="1A8CEA99"/>
    <w:rsid w:val="1A8E8707"/>
    <w:rsid w:val="1A8F68F2"/>
    <w:rsid w:val="1A8F9313"/>
    <w:rsid w:val="1A9155E0"/>
    <w:rsid w:val="1A946DDF"/>
    <w:rsid w:val="1A9BAB59"/>
    <w:rsid w:val="1AA1643E"/>
    <w:rsid w:val="1AA3620A"/>
    <w:rsid w:val="1AA81908"/>
    <w:rsid w:val="1AABA733"/>
    <w:rsid w:val="1AAC5A3B"/>
    <w:rsid w:val="1AAF36DA"/>
    <w:rsid w:val="1AB4DE0B"/>
    <w:rsid w:val="1AB6C693"/>
    <w:rsid w:val="1ABD510E"/>
    <w:rsid w:val="1ABDD45A"/>
    <w:rsid w:val="1ABED881"/>
    <w:rsid w:val="1AC8CF36"/>
    <w:rsid w:val="1AC8EE52"/>
    <w:rsid w:val="1AD7317E"/>
    <w:rsid w:val="1ADC6A73"/>
    <w:rsid w:val="1AE1FD6C"/>
    <w:rsid w:val="1AE3C4F6"/>
    <w:rsid w:val="1AE50A96"/>
    <w:rsid w:val="1AE912CA"/>
    <w:rsid w:val="1AE95937"/>
    <w:rsid w:val="1AEC6387"/>
    <w:rsid w:val="1AF0498A"/>
    <w:rsid w:val="1AF05D4E"/>
    <w:rsid w:val="1AF3C90E"/>
    <w:rsid w:val="1AFCBC04"/>
    <w:rsid w:val="1B044772"/>
    <w:rsid w:val="1B060991"/>
    <w:rsid w:val="1B09A50A"/>
    <w:rsid w:val="1B0D2536"/>
    <w:rsid w:val="1B1151FB"/>
    <w:rsid w:val="1B199200"/>
    <w:rsid w:val="1B19D29F"/>
    <w:rsid w:val="1B215EC3"/>
    <w:rsid w:val="1B218995"/>
    <w:rsid w:val="1B23CDE7"/>
    <w:rsid w:val="1B247BA2"/>
    <w:rsid w:val="1B254311"/>
    <w:rsid w:val="1B273113"/>
    <w:rsid w:val="1B28FE7D"/>
    <w:rsid w:val="1B2BB86E"/>
    <w:rsid w:val="1B2F6EEE"/>
    <w:rsid w:val="1B2F994F"/>
    <w:rsid w:val="1B386380"/>
    <w:rsid w:val="1B38E8F2"/>
    <w:rsid w:val="1B4AC533"/>
    <w:rsid w:val="1B4C7D01"/>
    <w:rsid w:val="1B4F2325"/>
    <w:rsid w:val="1B4F5BBE"/>
    <w:rsid w:val="1B55AF6F"/>
    <w:rsid w:val="1B58919A"/>
    <w:rsid w:val="1B592FDE"/>
    <w:rsid w:val="1B59563D"/>
    <w:rsid w:val="1B61B644"/>
    <w:rsid w:val="1B64F664"/>
    <w:rsid w:val="1B65BC75"/>
    <w:rsid w:val="1B6C3EFA"/>
    <w:rsid w:val="1B6D3A60"/>
    <w:rsid w:val="1B6E577E"/>
    <w:rsid w:val="1B6EFDBC"/>
    <w:rsid w:val="1B72861B"/>
    <w:rsid w:val="1B733727"/>
    <w:rsid w:val="1B763D99"/>
    <w:rsid w:val="1B834399"/>
    <w:rsid w:val="1B83FA4D"/>
    <w:rsid w:val="1B84124B"/>
    <w:rsid w:val="1B84588C"/>
    <w:rsid w:val="1B888087"/>
    <w:rsid w:val="1B90001B"/>
    <w:rsid w:val="1B94730F"/>
    <w:rsid w:val="1B94F100"/>
    <w:rsid w:val="1B9C6C90"/>
    <w:rsid w:val="1BA49780"/>
    <w:rsid w:val="1BA5A040"/>
    <w:rsid w:val="1BA7CA14"/>
    <w:rsid w:val="1BAD721F"/>
    <w:rsid w:val="1BAF9975"/>
    <w:rsid w:val="1BB06041"/>
    <w:rsid w:val="1BB16DBD"/>
    <w:rsid w:val="1BB71355"/>
    <w:rsid w:val="1BC3058A"/>
    <w:rsid w:val="1BC66D40"/>
    <w:rsid w:val="1BC6976E"/>
    <w:rsid w:val="1BCAA527"/>
    <w:rsid w:val="1BCFF230"/>
    <w:rsid w:val="1BD0A836"/>
    <w:rsid w:val="1BD34505"/>
    <w:rsid w:val="1BE0DDFB"/>
    <w:rsid w:val="1BE2CBA1"/>
    <w:rsid w:val="1BE90647"/>
    <w:rsid w:val="1BE97B7C"/>
    <w:rsid w:val="1BF35679"/>
    <w:rsid w:val="1BF857A8"/>
    <w:rsid w:val="1C005EA9"/>
    <w:rsid w:val="1C05628F"/>
    <w:rsid w:val="1C083665"/>
    <w:rsid w:val="1C08C514"/>
    <w:rsid w:val="1C0AFF86"/>
    <w:rsid w:val="1C13358A"/>
    <w:rsid w:val="1C17227A"/>
    <w:rsid w:val="1C1A98AF"/>
    <w:rsid w:val="1C1AE36F"/>
    <w:rsid w:val="1C1CD47A"/>
    <w:rsid w:val="1C1DCEA8"/>
    <w:rsid w:val="1C212FC1"/>
    <w:rsid w:val="1C2CF61F"/>
    <w:rsid w:val="1C34F5FC"/>
    <w:rsid w:val="1C39D49C"/>
    <w:rsid w:val="1C438564"/>
    <w:rsid w:val="1C5163D7"/>
    <w:rsid w:val="1C54F550"/>
    <w:rsid w:val="1C589584"/>
    <w:rsid w:val="1C58B2FB"/>
    <w:rsid w:val="1C67DFD2"/>
    <w:rsid w:val="1C73FC2B"/>
    <w:rsid w:val="1C7761AA"/>
    <w:rsid w:val="1C79D1C2"/>
    <w:rsid w:val="1C7A90AC"/>
    <w:rsid w:val="1C880A71"/>
    <w:rsid w:val="1C91D3C6"/>
    <w:rsid w:val="1C974837"/>
    <w:rsid w:val="1C97FEDA"/>
    <w:rsid w:val="1C99FE87"/>
    <w:rsid w:val="1C9BE800"/>
    <w:rsid w:val="1C9CA67A"/>
    <w:rsid w:val="1CA37F68"/>
    <w:rsid w:val="1CA43836"/>
    <w:rsid w:val="1CA53AAB"/>
    <w:rsid w:val="1CA754B5"/>
    <w:rsid w:val="1CA9295E"/>
    <w:rsid w:val="1CAC87A3"/>
    <w:rsid w:val="1CB69905"/>
    <w:rsid w:val="1CB7C611"/>
    <w:rsid w:val="1CBCA74B"/>
    <w:rsid w:val="1CC524A8"/>
    <w:rsid w:val="1CC54968"/>
    <w:rsid w:val="1CC953C6"/>
    <w:rsid w:val="1CDCB89B"/>
    <w:rsid w:val="1CE02EAB"/>
    <w:rsid w:val="1CE5C5DF"/>
    <w:rsid w:val="1CE5D246"/>
    <w:rsid w:val="1CF37F83"/>
    <w:rsid w:val="1CF57E36"/>
    <w:rsid w:val="1CF8A24D"/>
    <w:rsid w:val="1CFC508C"/>
    <w:rsid w:val="1CFD4235"/>
    <w:rsid w:val="1CFEC808"/>
    <w:rsid w:val="1D010FBD"/>
    <w:rsid w:val="1D012D6A"/>
    <w:rsid w:val="1D094650"/>
    <w:rsid w:val="1D0CB297"/>
    <w:rsid w:val="1D0E7C70"/>
    <w:rsid w:val="1D177FDD"/>
    <w:rsid w:val="1D185E56"/>
    <w:rsid w:val="1D18DEB3"/>
    <w:rsid w:val="1D1B6585"/>
    <w:rsid w:val="1D1BF648"/>
    <w:rsid w:val="1D20655A"/>
    <w:rsid w:val="1D267E49"/>
    <w:rsid w:val="1D352854"/>
    <w:rsid w:val="1D370D6B"/>
    <w:rsid w:val="1D38E6ED"/>
    <w:rsid w:val="1D39E1FF"/>
    <w:rsid w:val="1D3D9CCF"/>
    <w:rsid w:val="1D3DAB27"/>
    <w:rsid w:val="1D42CCF9"/>
    <w:rsid w:val="1D486BC8"/>
    <w:rsid w:val="1D4E04F2"/>
    <w:rsid w:val="1D54021F"/>
    <w:rsid w:val="1D5ADE94"/>
    <w:rsid w:val="1D5B60D3"/>
    <w:rsid w:val="1D647485"/>
    <w:rsid w:val="1D667436"/>
    <w:rsid w:val="1D6B3DEC"/>
    <w:rsid w:val="1D6D369E"/>
    <w:rsid w:val="1D6FD4D5"/>
    <w:rsid w:val="1D757F5A"/>
    <w:rsid w:val="1D8227BF"/>
    <w:rsid w:val="1D8A3303"/>
    <w:rsid w:val="1D8BF671"/>
    <w:rsid w:val="1D8FCF10"/>
    <w:rsid w:val="1D932BB1"/>
    <w:rsid w:val="1D9CD386"/>
    <w:rsid w:val="1DA481B2"/>
    <w:rsid w:val="1DAAECE3"/>
    <w:rsid w:val="1DBE455D"/>
    <w:rsid w:val="1DD03C3F"/>
    <w:rsid w:val="1DDE949C"/>
    <w:rsid w:val="1DE52BB5"/>
    <w:rsid w:val="1DE65E77"/>
    <w:rsid w:val="1DE87265"/>
    <w:rsid w:val="1DE94CD0"/>
    <w:rsid w:val="1DEBE0A3"/>
    <w:rsid w:val="1DEE7A99"/>
    <w:rsid w:val="1DF3C95C"/>
    <w:rsid w:val="1DF83D34"/>
    <w:rsid w:val="1DFB1FD0"/>
    <w:rsid w:val="1DFC68B0"/>
    <w:rsid w:val="1E02EB12"/>
    <w:rsid w:val="1E06B73E"/>
    <w:rsid w:val="1E08210D"/>
    <w:rsid w:val="1E08CF8F"/>
    <w:rsid w:val="1E0A6176"/>
    <w:rsid w:val="1E165238"/>
    <w:rsid w:val="1E1F1DC4"/>
    <w:rsid w:val="1E211708"/>
    <w:rsid w:val="1E275068"/>
    <w:rsid w:val="1E2B43D0"/>
    <w:rsid w:val="1E316E4B"/>
    <w:rsid w:val="1E32A9C7"/>
    <w:rsid w:val="1E3586BE"/>
    <w:rsid w:val="1E3914EF"/>
    <w:rsid w:val="1E3F5CD4"/>
    <w:rsid w:val="1E48B480"/>
    <w:rsid w:val="1E4BF150"/>
    <w:rsid w:val="1E520B4A"/>
    <w:rsid w:val="1E6B84E3"/>
    <w:rsid w:val="1E75D25D"/>
    <w:rsid w:val="1E7C1BFD"/>
    <w:rsid w:val="1E7D30AD"/>
    <w:rsid w:val="1E80EF2A"/>
    <w:rsid w:val="1E83A417"/>
    <w:rsid w:val="1E89AB0C"/>
    <w:rsid w:val="1E89B333"/>
    <w:rsid w:val="1E8F44E2"/>
    <w:rsid w:val="1E989091"/>
    <w:rsid w:val="1E98F087"/>
    <w:rsid w:val="1E992AF2"/>
    <w:rsid w:val="1E9967DB"/>
    <w:rsid w:val="1E9AD805"/>
    <w:rsid w:val="1E9C7B30"/>
    <w:rsid w:val="1EA1B326"/>
    <w:rsid w:val="1EAF88CF"/>
    <w:rsid w:val="1EBD255D"/>
    <w:rsid w:val="1EBD33F4"/>
    <w:rsid w:val="1EC0A7EC"/>
    <w:rsid w:val="1EC1B68D"/>
    <w:rsid w:val="1EC45C59"/>
    <w:rsid w:val="1EC62247"/>
    <w:rsid w:val="1EC6B195"/>
    <w:rsid w:val="1EC9FACE"/>
    <w:rsid w:val="1ED40029"/>
    <w:rsid w:val="1ED4FCF1"/>
    <w:rsid w:val="1ED52F0D"/>
    <w:rsid w:val="1EDEBEAD"/>
    <w:rsid w:val="1EE285D4"/>
    <w:rsid w:val="1EE39F7F"/>
    <w:rsid w:val="1EE3B0BD"/>
    <w:rsid w:val="1EE49D8C"/>
    <w:rsid w:val="1EE725B5"/>
    <w:rsid w:val="1EE96F0D"/>
    <w:rsid w:val="1EF0FE66"/>
    <w:rsid w:val="1EF25C03"/>
    <w:rsid w:val="1EFF691C"/>
    <w:rsid w:val="1F04AA89"/>
    <w:rsid w:val="1F0AFB7A"/>
    <w:rsid w:val="1F0EBA4F"/>
    <w:rsid w:val="1F137939"/>
    <w:rsid w:val="1F1D48CE"/>
    <w:rsid w:val="1F1F732A"/>
    <w:rsid w:val="1F2175A9"/>
    <w:rsid w:val="1F22C356"/>
    <w:rsid w:val="1F2328FC"/>
    <w:rsid w:val="1F2E3D67"/>
    <w:rsid w:val="1F311257"/>
    <w:rsid w:val="1F3BAB1E"/>
    <w:rsid w:val="1F3E0D91"/>
    <w:rsid w:val="1F427C61"/>
    <w:rsid w:val="1F4AD222"/>
    <w:rsid w:val="1F4B2396"/>
    <w:rsid w:val="1F4E413F"/>
    <w:rsid w:val="1F5A5933"/>
    <w:rsid w:val="1F5A8887"/>
    <w:rsid w:val="1F5E3D3A"/>
    <w:rsid w:val="1F64B452"/>
    <w:rsid w:val="1F6CA5E8"/>
    <w:rsid w:val="1F704E5C"/>
    <w:rsid w:val="1F7B2F25"/>
    <w:rsid w:val="1F7D6891"/>
    <w:rsid w:val="1F80566B"/>
    <w:rsid w:val="1F8A9368"/>
    <w:rsid w:val="1F8E7E95"/>
    <w:rsid w:val="1F9085F9"/>
    <w:rsid w:val="1F90F3AE"/>
    <w:rsid w:val="1F950B7E"/>
    <w:rsid w:val="1F9770FB"/>
    <w:rsid w:val="1F98C647"/>
    <w:rsid w:val="1FA2A67D"/>
    <w:rsid w:val="1FA4162C"/>
    <w:rsid w:val="1FA9E634"/>
    <w:rsid w:val="1FADA704"/>
    <w:rsid w:val="1FAF9D17"/>
    <w:rsid w:val="1FB726F9"/>
    <w:rsid w:val="1FBBFB20"/>
    <w:rsid w:val="1FC118EE"/>
    <w:rsid w:val="1FC6DDFF"/>
    <w:rsid w:val="1FD22E45"/>
    <w:rsid w:val="1FD57067"/>
    <w:rsid w:val="1FD7B1BD"/>
    <w:rsid w:val="1FDD089B"/>
    <w:rsid w:val="1FE2DB23"/>
    <w:rsid w:val="1FEA17F0"/>
    <w:rsid w:val="1FF438D3"/>
    <w:rsid w:val="1FF570CD"/>
    <w:rsid w:val="1FF66D4D"/>
    <w:rsid w:val="2002CAA1"/>
    <w:rsid w:val="2003E09F"/>
    <w:rsid w:val="20088D14"/>
    <w:rsid w:val="20091138"/>
    <w:rsid w:val="20099C28"/>
    <w:rsid w:val="200C7E00"/>
    <w:rsid w:val="200DA06C"/>
    <w:rsid w:val="20112D4F"/>
    <w:rsid w:val="201A7C98"/>
    <w:rsid w:val="201E8516"/>
    <w:rsid w:val="202216C3"/>
    <w:rsid w:val="20308105"/>
    <w:rsid w:val="2034C419"/>
    <w:rsid w:val="2034F84C"/>
    <w:rsid w:val="20398964"/>
    <w:rsid w:val="2039A00E"/>
    <w:rsid w:val="203D488F"/>
    <w:rsid w:val="20414A89"/>
    <w:rsid w:val="204399AA"/>
    <w:rsid w:val="2044C2B4"/>
    <w:rsid w:val="204648BC"/>
    <w:rsid w:val="204654A5"/>
    <w:rsid w:val="20485709"/>
    <w:rsid w:val="204C5630"/>
    <w:rsid w:val="20525027"/>
    <w:rsid w:val="205C3C95"/>
    <w:rsid w:val="205CDC3A"/>
    <w:rsid w:val="206040E9"/>
    <w:rsid w:val="20632FE9"/>
    <w:rsid w:val="206D7168"/>
    <w:rsid w:val="2071ED98"/>
    <w:rsid w:val="2071F410"/>
    <w:rsid w:val="20721E91"/>
    <w:rsid w:val="20730CAB"/>
    <w:rsid w:val="2075746E"/>
    <w:rsid w:val="2081EA99"/>
    <w:rsid w:val="2087E19F"/>
    <w:rsid w:val="2088255B"/>
    <w:rsid w:val="20888DA7"/>
    <w:rsid w:val="20899C57"/>
    <w:rsid w:val="2091464C"/>
    <w:rsid w:val="2094BABE"/>
    <w:rsid w:val="209A7AFE"/>
    <w:rsid w:val="20A2D4DE"/>
    <w:rsid w:val="20AA5756"/>
    <w:rsid w:val="20B3C115"/>
    <w:rsid w:val="20B58567"/>
    <w:rsid w:val="20B852F8"/>
    <w:rsid w:val="20BB4DF4"/>
    <w:rsid w:val="20C2D83C"/>
    <w:rsid w:val="20CCB728"/>
    <w:rsid w:val="20CFB321"/>
    <w:rsid w:val="20D089E7"/>
    <w:rsid w:val="20D7C9A6"/>
    <w:rsid w:val="20DCF0CB"/>
    <w:rsid w:val="20E0E4AA"/>
    <w:rsid w:val="20E11866"/>
    <w:rsid w:val="20E367A4"/>
    <w:rsid w:val="20E529FD"/>
    <w:rsid w:val="20E65F50"/>
    <w:rsid w:val="20E6648F"/>
    <w:rsid w:val="20EE3C20"/>
    <w:rsid w:val="20F0905A"/>
    <w:rsid w:val="20F27184"/>
    <w:rsid w:val="20F6EDAE"/>
    <w:rsid w:val="20FA39D0"/>
    <w:rsid w:val="20FCF2C9"/>
    <w:rsid w:val="21098068"/>
    <w:rsid w:val="2109C644"/>
    <w:rsid w:val="210DD3DF"/>
    <w:rsid w:val="21103F5B"/>
    <w:rsid w:val="2115735A"/>
    <w:rsid w:val="21176E76"/>
    <w:rsid w:val="211AE7E3"/>
    <w:rsid w:val="211B0835"/>
    <w:rsid w:val="211B4185"/>
    <w:rsid w:val="211FF79E"/>
    <w:rsid w:val="2128AF17"/>
    <w:rsid w:val="212ECE3D"/>
    <w:rsid w:val="2131FCD9"/>
    <w:rsid w:val="21385687"/>
    <w:rsid w:val="2139D9C2"/>
    <w:rsid w:val="213EFFAB"/>
    <w:rsid w:val="214385CB"/>
    <w:rsid w:val="214B71CB"/>
    <w:rsid w:val="214D3C25"/>
    <w:rsid w:val="214FD11D"/>
    <w:rsid w:val="2150F334"/>
    <w:rsid w:val="215105F3"/>
    <w:rsid w:val="21518363"/>
    <w:rsid w:val="21537399"/>
    <w:rsid w:val="215677DD"/>
    <w:rsid w:val="215D6B88"/>
    <w:rsid w:val="215E3D65"/>
    <w:rsid w:val="21600FCE"/>
    <w:rsid w:val="2160580B"/>
    <w:rsid w:val="2163ED70"/>
    <w:rsid w:val="2165465A"/>
    <w:rsid w:val="2165D908"/>
    <w:rsid w:val="21735166"/>
    <w:rsid w:val="217D442D"/>
    <w:rsid w:val="217F7F51"/>
    <w:rsid w:val="2185B0F3"/>
    <w:rsid w:val="2185F417"/>
    <w:rsid w:val="21875B0A"/>
    <w:rsid w:val="218DE2D1"/>
    <w:rsid w:val="2194CFE2"/>
    <w:rsid w:val="21998F43"/>
    <w:rsid w:val="21A07691"/>
    <w:rsid w:val="21A39596"/>
    <w:rsid w:val="21A450DF"/>
    <w:rsid w:val="21A6965B"/>
    <w:rsid w:val="21A79F95"/>
    <w:rsid w:val="21A9FC6D"/>
    <w:rsid w:val="21AD1D0F"/>
    <w:rsid w:val="21AD6644"/>
    <w:rsid w:val="21B15223"/>
    <w:rsid w:val="21B37571"/>
    <w:rsid w:val="21B7E1BF"/>
    <w:rsid w:val="21BD9FF7"/>
    <w:rsid w:val="21BEEBAD"/>
    <w:rsid w:val="21C00E64"/>
    <w:rsid w:val="21C30158"/>
    <w:rsid w:val="21C56AB8"/>
    <w:rsid w:val="21C57453"/>
    <w:rsid w:val="21C61C1D"/>
    <w:rsid w:val="21C7AF8F"/>
    <w:rsid w:val="21CA018E"/>
    <w:rsid w:val="21CAAE49"/>
    <w:rsid w:val="21CC33C9"/>
    <w:rsid w:val="21D45FF4"/>
    <w:rsid w:val="21D4E088"/>
    <w:rsid w:val="21D66D7A"/>
    <w:rsid w:val="21E14C60"/>
    <w:rsid w:val="21E212CB"/>
    <w:rsid w:val="21E39850"/>
    <w:rsid w:val="21E9A9BA"/>
    <w:rsid w:val="21EBBCDA"/>
    <w:rsid w:val="21ED9058"/>
    <w:rsid w:val="21F1BE08"/>
    <w:rsid w:val="21F39B29"/>
    <w:rsid w:val="21FB1FF0"/>
    <w:rsid w:val="21FCA795"/>
    <w:rsid w:val="21FE13FE"/>
    <w:rsid w:val="21FFCA34"/>
    <w:rsid w:val="2200A8F6"/>
    <w:rsid w:val="2204A345"/>
    <w:rsid w:val="22067235"/>
    <w:rsid w:val="22074925"/>
    <w:rsid w:val="22085440"/>
    <w:rsid w:val="22088D9A"/>
    <w:rsid w:val="221641A3"/>
    <w:rsid w:val="221B72E9"/>
    <w:rsid w:val="221C03DD"/>
    <w:rsid w:val="2222F270"/>
    <w:rsid w:val="222664F6"/>
    <w:rsid w:val="2226EAE9"/>
    <w:rsid w:val="2227E2A7"/>
    <w:rsid w:val="22318652"/>
    <w:rsid w:val="223674B4"/>
    <w:rsid w:val="223734EF"/>
    <w:rsid w:val="224EE7DC"/>
    <w:rsid w:val="2250F69F"/>
    <w:rsid w:val="22557D75"/>
    <w:rsid w:val="22571CFB"/>
    <w:rsid w:val="225AF282"/>
    <w:rsid w:val="2267A203"/>
    <w:rsid w:val="2267D1A4"/>
    <w:rsid w:val="22685DDA"/>
    <w:rsid w:val="226DF977"/>
    <w:rsid w:val="226F69ED"/>
    <w:rsid w:val="226F9020"/>
    <w:rsid w:val="22720A1A"/>
    <w:rsid w:val="2272A276"/>
    <w:rsid w:val="2278037D"/>
    <w:rsid w:val="227B17D8"/>
    <w:rsid w:val="227F1588"/>
    <w:rsid w:val="2283B106"/>
    <w:rsid w:val="228679E2"/>
    <w:rsid w:val="228788DE"/>
    <w:rsid w:val="228C2D39"/>
    <w:rsid w:val="229B237A"/>
    <w:rsid w:val="229C6C0D"/>
    <w:rsid w:val="22A2FC39"/>
    <w:rsid w:val="22A30E35"/>
    <w:rsid w:val="22A8F12C"/>
    <w:rsid w:val="22A98C4C"/>
    <w:rsid w:val="22AA85E7"/>
    <w:rsid w:val="22AE9016"/>
    <w:rsid w:val="22B2688D"/>
    <w:rsid w:val="22C1DFE5"/>
    <w:rsid w:val="22C6DF44"/>
    <w:rsid w:val="22C7B987"/>
    <w:rsid w:val="22CD3138"/>
    <w:rsid w:val="22CD94DF"/>
    <w:rsid w:val="22D41C4A"/>
    <w:rsid w:val="22D46B0A"/>
    <w:rsid w:val="22D83802"/>
    <w:rsid w:val="22DB02BD"/>
    <w:rsid w:val="22F89991"/>
    <w:rsid w:val="22F8F1ED"/>
    <w:rsid w:val="22FA28F2"/>
    <w:rsid w:val="22FADE43"/>
    <w:rsid w:val="231300FC"/>
    <w:rsid w:val="23144CBB"/>
    <w:rsid w:val="2315A2D5"/>
    <w:rsid w:val="2319E7D9"/>
    <w:rsid w:val="2321FE59"/>
    <w:rsid w:val="2326ED9E"/>
    <w:rsid w:val="232BD808"/>
    <w:rsid w:val="233C1749"/>
    <w:rsid w:val="233C57C4"/>
    <w:rsid w:val="234083F1"/>
    <w:rsid w:val="2340BBD4"/>
    <w:rsid w:val="2342BE79"/>
    <w:rsid w:val="23432C6E"/>
    <w:rsid w:val="23462A88"/>
    <w:rsid w:val="2346E02E"/>
    <w:rsid w:val="234A27AB"/>
    <w:rsid w:val="234AB315"/>
    <w:rsid w:val="234EEE25"/>
    <w:rsid w:val="23500804"/>
    <w:rsid w:val="2351660B"/>
    <w:rsid w:val="23534A38"/>
    <w:rsid w:val="2354DFB6"/>
    <w:rsid w:val="235698AA"/>
    <w:rsid w:val="2360B2BD"/>
    <w:rsid w:val="236AB50B"/>
    <w:rsid w:val="2373833B"/>
    <w:rsid w:val="2376CAD0"/>
    <w:rsid w:val="238532F8"/>
    <w:rsid w:val="239067D3"/>
    <w:rsid w:val="2394DA49"/>
    <w:rsid w:val="23997E9D"/>
    <w:rsid w:val="2399C9B7"/>
    <w:rsid w:val="23A1E014"/>
    <w:rsid w:val="23A78E7D"/>
    <w:rsid w:val="23ABEDDA"/>
    <w:rsid w:val="23AE9189"/>
    <w:rsid w:val="23B1867C"/>
    <w:rsid w:val="23B60679"/>
    <w:rsid w:val="23B80135"/>
    <w:rsid w:val="23C3085D"/>
    <w:rsid w:val="23C34025"/>
    <w:rsid w:val="23C6E161"/>
    <w:rsid w:val="23CD6E5E"/>
    <w:rsid w:val="23D0523B"/>
    <w:rsid w:val="23D15BF0"/>
    <w:rsid w:val="23D2F30B"/>
    <w:rsid w:val="23D70346"/>
    <w:rsid w:val="23D85E8C"/>
    <w:rsid w:val="23DAB757"/>
    <w:rsid w:val="23DB48F2"/>
    <w:rsid w:val="23DC8ABF"/>
    <w:rsid w:val="23E3651B"/>
    <w:rsid w:val="23E470CA"/>
    <w:rsid w:val="23E5BED1"/>
    <w:rsid w:val="23E60B00"/>
    <w:rsid w:val="23EC46EF"/>
    <w:rsid w:val="23EFD3CF"/>
    <w:rsid w:val="23EFE6C0"/>
    <w:rsid w:val="23F02BA4"/>
    <w:rsid w:val="23F0AA37"/>
    <w:rsid w:val="23F6E97B"/>
    <w:rsid w:val="23F99B5A"/>
    <w:rsid w:val="23FAB577"/>
    <w:rsid w:val="23FBEFD2"/>
    <w:rsid w:val="240078CD"/>
    <w:rsid w:val="2402CA98"/>
    <w:rsid w:val="2406A280"/>
    <w:rsid w:val="240DB728"/>
    <w:rsid w:val="241754C8"/>
    <w:rsid w:val="24198B14"/>
    <w:rsid w:val="2422B351"/>
    <w:rsid w:val="2422D3B8"/>
    <w:rsid w:val="242B2237"/>
    <w:rsid w:val="242B56B3"/>
    <w:rsid w:val="2430DF9D"/>
    <w:rsid w:val="24313F79"/>
    <w:rsid w:val="2431A00D"/>
    <w:rsid w:val="243222C9"/>
    <w:rsid w:val="2432C0A6"/>
    <w:rsid w:val="243AA8F8"/>
    <w:rsid w:val="2440A343"/>
    <w:rsid w:val="24420735"/>
    <w:rsid w:val="244E7290"/>
    <w:rsid w:val="245916BF"/>
    <w:rsid w:val="2459EBE5"/>
    <w:rsid w:val="245F59AC"/>
    <w:rsid w:val="2461D7EF"/>
    <w:rsid w:val="246C66CA"/>
    <w:rsid w:val="246DBFA4"/>
    <w:rsid w:val="2476661B"/>
    <w:rsid w:val="24769D6F"/>
    <w:rsid w:val="2478EEF8"/>
    <w:rsid w:val="247BFA60"/>
    <w:rsid w:val="247EBF0D"/>
    <w:rsid w:val="2480828A"/>
    <w:rsid w:val="2481B9FA"/>
    <w:rsid w:val="24880EFF"/>
    <w:rsid w:val="24890853"/>
    <w:rsid w:val="248C983E"/>
    <w:rsid w:val="248CDF9B"/>
    <w:rsid w:val="248CEDFD"/>
    <w:rsid w:val="248D628E"/>
    <w:rsid w:val="248F9568"/>
    <w:rsid w:val="24923AA2"/>
    <w:rsid w:val="2499823E"/>
    <w:rsid w:val="249C8E77"/>
    <w:rsid w:val="24B2B69B"/>
    <w:rsid w:val="24B4D253"/>
    <w:rsid w:val="24BD9D00"/>
    <w:rsid w:val="24BDC5FE"/>
    <w:rsid w:val="24C481A7"/>
    <w:rsid w:val="24C7881E"/>
    <w:rsid w:val="24CCD801"/>
    <w:rsid w:val="24DB5B93"/>
    <w:rsid w:val="24E02D44"/>
    <w:rsid w:val="24E55AF4"/>
    <w:rsid w:val="24E632A4"/>
    <w:rsid w:val="24E95A35"/>
    <w:rsid w:val="24EC35CE"/>
    <w:rsid w:val="24EFDA36"/>
    <w:rsid w:val="24FE7D3F"/>
    <w:rsid w:val="2502D7CD"/>
    <w:rsid w:val="2509210F"/>
    <w:rsid w:val="250A368C"/>
    <w:rsid w:val="250CF5BD"/>
    <w:rsid w:val="250EA017"/>
    <w:rsid w:val="25130193"/>
    <w:rsid w:val="251CB58D"/>
    <w:rsid w:val="25289FD9"/>
    <w:rsid w:val="2528B825"/>
    <w:rsid w:val="252ACB1F"/>
    <w:rsid w:val="252C0726"/>
    <w:rsid w:val="252E5577"/>
    <w:rsid w:val="253134E1"/>
    <w:rsid w:val="2532A1CF"/>
    <w:rsid w:val="253310B2"/>
    <w:rsid w:val="25353414"/>
    <w:rsid w:val="2535E743"/>
    <w:rsid w:val="2538F035"/>
    <w:rsid w:val="2544E617"/>
    <w:rsid w:val="2546FCC4"/>
    <w:rsid w:val="2547079B"/>
    <w:rsid w:val="254DE5F9"/>
    <w:rsid w:val="254F172D"/>
    <w:rsid w:val="254F9728"/>
    <w:rsid w:val="2558DE23"/>
    <w:rsid w:val="255CD947"/>
    <w:rsid w:val="255E3612"/>
    <w:rsid w:val="256118CD"/>
    <w:rsid w:val="2568FAE9"/>
    <w:rsid w:val="256B6C30"/>
    <w:rsid w:val="2570A2DF"/>
    <w:rsid w:val="2579E8F2"/>
    <w:rsid w:val="257AB209"/>
    <w:rsid w:val="257B5457"/>
    <w:rsid w:val="25869F4D"/>
    <w:rsid w:val="258AFB1D"/>
    <w:rsid w:val="258E1D3A"/>
    <w:rsid w:val="25907F95"/>
    <w:rsid w:val="25925067"/>
    <w:rsid w:val="2596D6DC"/>
    <w:rsid w:val="259CC64C"/>
    <w:rsid w:val="25A90AB6"/>
    <w:rsid w:val="25B0F5E1"/>
    <w:rsid w:val="25B8D7DD"/>
    <w:rsid w:val="25B9A6D4"/>
    <w:rsid w:val="25BF4F8B"/>
    <w:rsid w:val="25BFCD67"/>
    <w:rsid w:val="25C04569"/>
    <w:rsid w:val="25C0F96A"/>
    <w:rsid w:val="25C2F216"/>
    <w:rsid w:val="25CD2004"/>
    <w:rsid w:val="25D0B237"/>
    <w:rsid w:val="25D17C5F"/>
    <w:rsid w:val="25D33C7A"/>
    <w:rsid w:val="25DFACD4"/>
    <w:rsid w:val="25EA583F"/>
    <w:rsid w:val="25EDAB2C"/>
    <w:rsid w:val="25EF619D"/>
    <w:rsid w:val="25F11724"/>
    <w:rsid w:val="25F22B3F"/>
    <w:rsid w:val="25F23122"/>
    <w:rsid w:val="25F90365"/>
    <w:rsid w:val="25FFF38D"/>
    <w:rsid w:val="2602796C"/>
    <w:rsid w:val="260941E1"/>
    <w:rsid w:val="260AF140"/>
    <w:rsid w:val="260F28EC"/>
    <w:rsid w:val="261642D5"/>
    <w:rsid w:val="261C84EC"/>
    <w:rsid w:val="261CCBFB"/>
    <w:rsid w:val="261E4788"/>
    <w:rsid w:val="2629AF2B"/>
    <w:rsid w:val="26310FE2"/>
    <w:rsid w:val="2637187F"/>
    <w:rsid w:val="2638ED9D"/>
    <w:rsid w:val="263D0094"/>
    <w:rsid w:val="263DA906"/>
    <w:rsid w:val="263FF04E"/>
    <w:rsid w:val="26439C7B"/>
    <w:rsid w:val="2643B29E"/>
    <w:rsid w:val="2646F4E9"/>
    <w:rsid w:val="264B10C6"/>
    <w:rsid w:val="264BFEDD"/>
    <w:rsid w:val="264F3776"/>
    <w:rsid w:val="265BBAB8"/>
    <w:rsid w:val="265ED44E"/>
    <w:rsid w:val="2660711E"/>
    <w:rsid w:val="2665285A"/>
    <w:rsid w:val="266720B8"/>
    <w:rsid w:val="2667605E"/>
    <w:rsid w:val="266A8E73"/>
    <w:rsid w:val="266FB4C2"/>
    <w:rsid w:val="2677B1A4"/>
    <w:rsid w:val="2678C72E"/>
    <w:rsid w:val="2678E3D9"/>
    <w:rsid w:val="2678ED4A"/>
    <w:rsid w:val="2678F877"/>
    <w:rsid w:val="267E8FF3"/>
    <w:rsid w:val="267FA993"/>
    <w:rsid w:val="267FCC54"/>
    <w:rsid w:val="268206BC"/>
    <w:rsid w:val="268F59B8"/>
    <w:rsid w:val="26900640"/>
    <w:rsid w:val="26921044"/>
    <w:rsid w:val="269BFCD2"/>
    <w:rsid w:val="269D741F"/>
    <w:rsid w:val="269FD17A"/>
    <w:rsid w:val="26A035FB"/>
    <w:rsid w:val="26A6832D"/>
    <w:rsid w:val="26B20C64"/>
    <w:rsid w:val="26B5A437"/>
    <w:rsid w:val="26BA27C5"/>
    <w:rsid w:val="26BAD8C1"/>
    <w:rsid w:val="26BC7EBF"/>
    <w:rsid w:val="26C22CC1"/>
    <w:rsid w:val="26C48BD1"/>
    <w:rsid w:val="26D883B7"/>
    <w:rsid w:val="26DBFAF1"/>
    <w:rsid w:val="26E5F3E2"/>
    <w:rsid w:val="26E64000"/>
    <w:rsid w:val="26E89748"/>
    <w:rsid w:val="26F18A83"/>
    <w:rsid w:val="26F361F9"/>
    <w:rsid w:val="26F6590E"/>
    <w:rsid w:val="26F749C0"/>
    <w:rsid w:val="26F9187F"/>
    <w:rsid w:val="2703714B"/>
    <w:rsid w:val="270877B1"/>
    <w:rsid w:val="2708E44D"/>
    <w:rsid w:val="270A6D9F"/>
    <w:rsid w:val="271466AC"/>
    <w:rsid w:val="2717AB61"/>
    <w:rsid w:val="2717B4D4"/>
    <w:rsid w:val="271ECDC7"/>
    <w:rsid w:val="2726B50F"/>
    <w:rsid w:val="27280C1A"/>
    <w:rsid w:val="272ABC94"/>
    <w:rsid w:val="27395B3B"/>
    <w:rsid w:val="273D79C8"/>
    <w:rsid w:val="274129CD"/>
    <w:rsid w:val="2741634D"/>
    <w:rsid w:val="27432846"/>
    <w:rsid w:val="274349C4"/>
    <w:rsid w:val="27460292"/>
    <w:rsid w:val="27472188"/>
    <w:rsid w:val="2752DABD"/>
    <w:rsid w:val="27544461"/>
    <w:rsid w:val="2758C8C6"/>
    <w:rsid w:val="275D307A"/>
    <w:rsid w:val="275DAD39"/>
    <w:rsid w:val="275F12A6"/>
    <w:rsid w:val="2761F263"/>
    <w:rsid w:val="27644AFC"/>
    <w:rsid w:val="2767839C"/>
    <w:rsid w:val="27691330"/>
    <w:rsid w:val="276B7DAE"/>
    <w:rsid w:val="2782E4FC"/>
    <w:rsid w:val="27833417"/>
    <w:rsid w:val="278AD41A"/>
    <w:rsid w:val="278C12D7"/>
    <w:rsid w:val="2791677A"/>
    <w:rsid w:val="2797F8ED"/>
    <w:rsid w:val="279A70C2"/>
    <w:rsid w:val="27A0FFB9"/>
    <w:rsid w:val="27A157C1"/>
    <w:rsid w:val="27A4514E"/>
    <w:rsid w:val="27AB3D02"/>
    <w:rsid w:val="27AD8CFD"/>
    <w:rsid w:val="27AE38B2"/>
    <w:rsid w:val="27AEBFC5"/>
    <w:rsid w:val="27B3739C"/>
    <w:rsid w:val="27B39CD1"/>
    <w:rsid w:val="27BAF689"/>
    <w:rsid w:val="27C0C1A0"/>
    <w:rsid w:val="27C0FD42"/>
    <w:rsid w:val="27C6F916"/>
    <w:rsid w:val="27CC98EC"/>
    <w:rsid w:val="27CDFBDE"/>
    <w:rsid w:val="27D0C1C2"/>
    <w:rsid w:val="27D3D479"/>
    <w:rsid w:val="27D5FD25"/>
    <w:rsid w:val="27D63F5F"/>
    <w:rsid w:val="27D8F2B3"/>
    <w:rsid w:val="27DB769F"/>
    <w:rsid w:val="27DBA155"/>
    <w:rsid w:val="27E37F6D"/>
    <w:rsid w:val="27E4EFCE"/>
    <w:rsid w:val="280652E6"/>
    <w:rsid w:val="2807D5E5"/>
    <w:rsid w:val="28087E2F"/>
    <w:rsid w:val="280E16B8"/>
    <w:rsid w:val="2811431F"/>
    <w:rsid w:val="281564B4"/>
    <w:rsid w:val="2824491D"/>
    <w:rsid w:val="28268CB8"/>
    <w:rsid w:val="2832AED9"/>
    <w:rsid w:val="28346D62"/>
    <w:rsid w:val="283BCDC1"/>
    <w:rsid w:val="28441EBB"/>
    <w:rsid w:val="28463DD6"/>
    <w:rsid w:val="28498229"/>
    <w:rsid w:val="284E79E8"/>
    <w:rsid w:val="2851C948"/>
    <w:rsid w:val="285307DF"/>
    <w:rsid w:val="28561B8D"/>
    <w:rsid w:val="28563B7A"/>
    <w:rsid w:val="285C3FBD"/>
    <w:rsid w:val="285CEDEC"/>
    <w:rsid w:val="2860032B"/>
    <w:rsid w:val="2860D4FE"/>
    <w:rsid w:val="2862AFD7"/>
    <w:rsid w:val="286A5A9E"/>
    <w:rsid w:val="286BFB1F"/>
    <w:rsid w:val="28745D91"/>
    <w:rsid w:val="28764298"/>
    <w:rsid w:val="2878A360"/>
    <w:rsid w:val="2880993F"/>
    <w:rsid w:val="28809D9A"/>
    <w:rsid w:val="28829517"/>
    <w:rsid w:val="2884651A"/>
    <w:rsid w:val="28889FE9"/>
    <w:rsid w:val="288CB0B1"/>
    <w:rsid w:val="28918E15"/>
    <w:rsid w:val="2892B6F0"/>
    <w:rsid w:val="2898E2A8"/>
    <w:rsid w:val="289C33DF"/>
    <w:rsid w:val="28A07E5A"/>
    <w:rsid w:val="28A4563F"/>
    <w:rsid w:val="28AF07B9"/>
    <w:rsid w:val="28AF149D"/>
    <w:rsid w:val="28B27D12"/>
    <w:rsid w:val="28B30B9F"/>
    <w:rsid w:val="28B697BC"/>
    <w:rsid w:val="28BD187D"/>
    <w:rsid w:val="28BE7059"/>
    <w:rsid w:val="28C3F2F3"/>
    <w:rsid w:val="28C4CDDE"/>
    <w:rsid w:val="28CA43D0"/>
    <w:rsid w:val="28CBE671"/>
    <w:rsid w:val="28D49B40"/>
    <w:rsid w:val="28D78363"/>
    <w:rsid w:val="28DC2E27"/>
    <w:rsid w:val="28DDCD5D"/>
    <w:rsid w:val="28E5FFAB"/>
    <w:rsid w:val="28E73B2A"/>
    <w:rsid w:val="28E8E707"/>
    <w:rsid w:val="28E99313"/>
    <w:rsid w:val="28E9CC06"/>
    <w:rsid w:val="28EEDF31"/>
    <w:rsid w:val="28F15AF5"/>
    <w:rsid w:val="28F7B3F3"/>
    <w:rsid w:val="28F8920F"/>
    <w:rsid w:val="28FA24D9"/>
    <w:rsid w:val="28FFD83E"/>
    <w:rsid w:val="28FFF37F"/>
    <w:rsid w:val="290A7A75"/>
    <w:rsid w:val="290BDB47"/>
    <w:rsid w:val="290C3A64"/>
    <w:rsid w:val="2915A4ED"/>
    <w:rsid w:val="2916794C"/>
    <w:rsid w:val="29192A7C"/>
    <w:rsid w:val="291E0841"/>
    <w:rsid w:val="291EAE30"/>
    <w:rsid w:val="29212EF3"/>
    <w:rsid w:val="29233146"/>
    <w:rsid w:val="2924662E"/>
    <w:rsid w:val="292B398D"/>
    <w:rsid w:val="292D08F6"/>
    <w:rsid w:val="292D47D7"/>
    <w:rsid w:val="2937CCB5"/>
    <w:rsid w:val="293AD8E3"/>
    <w:rsid w:val="293D6C46"/>
    <w:rsid w:val="2942A72E"/>
    <w:rsid w:val="294909FD"/>
    <w:rsid w:val="29519857"/>
    <w:rsid w:val="2953B71E"/>
    <w:rsid w:val="29559190"/>
    <w:rsid w:val="2956D15A"/>
    <w:rsid w:val="295B35AC"/>
    <w:rsid w:val="295C329B"/>
    <w:rsid w:val="2960DE5F"/>
    <w:rsid w:val="2963D6FB"/>
    <w:rsid w:val="2964AEB5"/>
    <w:rsid w:val="2968732D"/>
    <w:rsid w:val="296B086E"/>
    <w:rsid w:val="296E50FC"/>
    <w:rsid w:val="2970D9A7"/>
    <w:rsid w:val="2971C4C6"/>
    <w:rsid w:val="2972834F"/>
    <w:rsid w:val="297401AB"/>
    <w:rsid w:val="2974FEDD"/>
    <w:rsid w:val="297806F4"/>
    <w:rsid w:val="29820694"/>
    <w:rsid w:val="298A8628"/>
    <w:rsid w:val="298B6A42"/>
    <w:rsid w:val="2990C7C3"/>
    <w:rsid w:val="299642BE"/>
    <w:rsid w:val="299EA508"/>
    <w:rsid w:val="29A35ED4"/>
    <w:rsid w:val="29A97289"/>
    <w:rsid w:val="29B12CB5"/>
    <w:rsid w:val="29BA920A"/>
    <w:rsid w:val="29BAAEB0"/>
    <w:rsid w:val="29BEB1A6"/>
    <w:rsid w:val="29C1A6C7"/>
    <w:rsid w:val="29C23577"/>
    <w:rsid w:val="29C352D5"/>
    <w:rsid w:val="29C81AD3"/>
    <w:rsid w:val="29CA10AD"/>
    <w:rsid w:val="29CD5495"/>
    <w:rsid w:val="29D0FB74"/>
    <w:rsid w:val="29D77F9E"/>
    <w:rsid w:val="29E01CC5"/>
    <w:rsid w:val="29EFCBC5"/>
    <w:rsid w:val="29F32F4A"/>
    <w:rsid w:val="29F635E5"/>
    <w:rsid w:val="29F7EA07"/>
    <w:rsid w:val="29F8E138"/>
    <w:rsid w:val="29FC413B"/>
    <w:rsid w:val="29FF70C9"/>
    <w:rsid w:val="2A0BFA7D"/>
    <w:rsid w:val="2A103608"/>
    <w:rsid w:val="2A1F09D1"/>
    <w:rsid w:val="2A1F1338"/>
    <w:rsid w:val="2A228689"/>
    <w:rsid w:val="2A2A8755"/>
    <w:rsid w:val="2A2B8654"/>
    <w:rsid w:val="2A2EF8A8"/>
    <w:rsid w:val="2A3572B1"/>
    <w:rsid w:val="2A375212"/>
    <w:rsid w:val="2A389F02"/>
    <w:rsid w:val="2A389FE8"/>
    <w:rsid w:val="2A38C352"/>
    <w:rsid w:val="2A38FE7D"/>
    <w:rsid w:val="2A3994DD"/>
    <w:rsid w:val="2A3D64AA"/>
    <w:rsid w:val="2A408572"/>
    <w:rsid w:val="2A40FFE6"/>
    <w:rsid w:val="2A410A15"/>
    <w:rsid w:val="2A412FC9"/>
    <w:rsid w:val="2A431685"/>
    <w:rsid w:val="2A47B5C0"/>
    <w:rsid w:val="2A50C979"/>
    <w:rsid w:val="2A58BFC7"/>
    <w:rsid w:val="2A6CEDAF"/>
    <w:rsid w:val="2A6F87A6"/>
    <w:rsid w:val="2A7B0923"/>
    <w:rsid w:val="2A7C1BF8"/>
    <w:rsid w:val="2A7C6F74"/>
    <w:rsid w:val="2A82CB5B"/>
    <w:rsid w:val="2A86288A"/>
    <w:rsid w:val="2A867146"/>
    <w:rsid w:val="2A86D7D2"/>
    <w:rsid w:val="2A954D22"/>
    <w:rsid w:val="2A9AEF17"/>
    <w:rsid w:val="2A9C6A92"/>
    <w:rsid w:val="2A9E0E07"/>
    <w:rsid w:val="2A9F3C9C"/>
    <w:rsid w:val="2AA2167A"/>
    <w:rsid w:val="2AA26815"/>
    <w:rsid w:val="2AA7C35F"/>
    <w:rsid w:val="2AB1B9C5"/>
    <w:rsid w:val="2AB8FC75"/>
    <w:rsid w:val="2AB92856"/>
    <w:rsid w:val="2ABBAF02"/>
    <w:rsid w:val="2ABC50E3"/>
    <w:rsid w:val="2ABDBFD0"/>
    <w:rsid w:val="2AC1CADF"/>
    <w:rsid w:val="2AC26945"/>
    <w:rsid w:val="2ACA7A52"/>
    <w:rsid w:val="2ACF0977"/>
    <w:rsid w:val="2AD2BFF6"/>
    <w:rsid w:val="2ADE5B5D"/>
    <w:rsid w:val="2ADF1039"/>
    <w:rsid w:val="2AE51EBC"/>
    <w:rsid w:val="2AEAAA6E"/>
    <w:rsid w:val="2AF0172D"/>
    <w:rsid w:val="2AF39C1A"/>
    <w:rsid w:val="2AF4F3A1"/>
    <w:rsid w:val="2B037AB1"/>
    <w:rsid w:val="2B0E1A6E"/>
    <w:rsid w:val="2B0F0851"/>
    <w:rsid w:val="2B13E00B"/>
    <w:rsid w:val="2B165501"/>
    <w:rsid w:val="2B17279F"/>
    <w:rsid w:val="2B1924FB"/>
    <w:rsid w:val="2B1A3A60"/>
    <w:rsid w:val="2B1CA9CC"/>
    <w:rsid w:val="2B1DC786"/>
    <w:rsid w:val="2B27BF48"/>
    <w:rsid w:val="2B297910"/>
    <w:rsid w:val="2B2CB4EF"/>
    <w:rsid w:val="2B2FEC2F"/>
    <w:rsid w:val="2B3BAE3B"/>
    <w:rsid w:val="2B3EE37B"/>
    <w:rsid w:val="2B41A423"/>
    <w:rsid w:val="2B44FD73"/>
    <w:rsid w:val="2B473550"/>
    <w:rsid w:val="2B493090"/>
    <w:rsid w:val="2B4C6C48"/>
    <w:rsid w:val="2B4DFA35"/>
    <w:rsid w:val="2B55E43C"/>
    <w:rsid w:val="2B561896"/>
    <w:rsid w:val="2B589EE5"/>
    <w:rsid w:val="2B5BB695"/>
    <w:rsid w:val="2B5EF029"/>
    <w:rsid w:val="2B5FA364"/>
    <w:rsid w:val="2B64BF4A"/>
    <w:rsid w:val="2B68CADB"/>
    <w:rsid w:val="2B6BCA1A"/>
    <w:rsid w:val="2B6DFE6B"/>
    <w:rsid w:val="2B760D87"/>
    <w:rsid w:val="2B762663"/>
    <w:rsid w:val="2B7784A1"/>
    <w:rsid w:val="2B81B8B9"/>
    <w:rsid w:val="2B8289C6"/>
    <w:rsid w:val="2B8B3118"/>
    <w:rsid w:val="2B924A92"/>
    <w:rsid w:val="2B9FCFD4"/>
    <w:rsid w:val="2BA0AF54"/>
    <w:rsid w:val="2BA31917"/>
    <w:rsid w:val="2BA5EEC1"/>
    <w:rsid w:val="2BA6ABDA"/>
    <w:rsid w:val="2BA74F16"/>
    <w:rsid w:val="2BADA14B"/>
    <w:rsid w:val="2BB28CE2"/>
    <w:rsid w:val="2BB58435"/>
    <w:rsid w:val="2BB7459C"/>
    <w:rsid w:val="2BB9D3C9"/>
    <w:rsid w:val="2BC266F9"/>
    <w:rsid w:val="2BCB147F"/>
    <w:rsid w:val="2BCCFFBA"/>
    <w:rsid w:val="2BCEA751"/>
    <w:rsid w:val="2BD1759C"/>
    <w:rsid w:val="2BD61E0A"/>
    <w:rsid w:val="2BD8B1E5"/>
    <w:rsid w:val="2BD8DB0C"/>
    <w:rsid w:val="2BDAD523"/>
    <w:rsid w:val="2BDC824C"/>
    <w:rsid w:val="2BDEB403"/>
    <w:rsid w:val="2BE07544"/>
    <w:rsid w:val="2BE78558"/>
    <w:rsid w:val="2BED4F6B"/>
    <w:rsid w:val="2BF270BB"/>
    <w:rsid w:val="2BF3B302"/>
    <w:rsid w:val="2BF56E5B"/>
    <w:rsid w:val="2BF9951D"/>
    <w:rsid w:val="2BFA5C8C"/>
    <w:rsid w:val="2C065F8B"/>
    <w:rsid w:val="2C161C5D"/>
    <w:rsid w:val="2C1ADD4F"/>
    <w:rsid w:val="2C1F53C3"/>
    <w:rsid w:val="2C2161FF"/>
    <w:rsid w:val="2C268499"/>
    <w:rsid w:val="2C2AE6B1"/>
    <w:rsid w:val="2C39F64C"/>
    <w:rsid w:val="2C4055CD"/>
    <w:rsid w:val="2C44D28E"/>
    <w:rsid w:val="2C4D25A9"/>
    <w:rsid w:val="2C51507B"/>
    <w:rsid w:val="2C55DD38"/>
    <w:rsid w:val="2C577E8A"/>
    <w:rsid w:val="2C5CB98E"/>
    <w:rsid w:val="2C5F2D4B"/>
    <w:rsid w:val="2C631EFC"/>
    <w:rsid w:val="2C640B18"/>
    <w:rsid w:val="2C651A0A"/>
    <w:rsid w:val="2C66401D"/>
    <w:rsid w:val="2C678F62"/>
    <w:rsid w:val="2C69A842"/>
    <w:rsid w:val="2C711937"/>
    <w:rsid w:val="2C71C71E"/>
    <w:rsid w:val="2C7497DB"/>
    <w:rsid w:val="2C7CDCCE"/>
    <w:rsid w:val="2C7D4D47"/>
    <w:rsid w:val="2C80DAFB"/>
    <w:rsid w:val="2C839052"/>
    <w:rsid w:val="2C84C7A8"/>
    <w:rsid w:val="2C8519F3"/>
    <w:rsid w:val="2C883C08"/>
    <w:rsid w:val="2C8FDC88"/>
    <w:rsid w:val="2C911653"/>
    <w:rsid w:val="2C96584F"/>
    <w:rsid w:val="2C969628"/>
    <w:rsid w:val="2C984BEF"/>
    <w:rsid w:val="2C996AE2"/>
    <w:rsid w:val="2C9F3C51"/>
    <w:rsid w:val="2C9F7C72"/>
    <w:rsid w:val="2CA1A7E5"/>
    <w:rsid w:val="2CA61979"/>
    <w:rsid w:val="2CAC8BA4"/>
    <w:rsid w:val="2CB31BE9"/>
    <w:rsid w:val="2CB3DFB9"/>
    <w:rsid w:val="2CB8030A"/>
    <w:rsid w:val="2CB9CEF5"/>
    <w:rsid w:val="2CBD583F"/>
    <w:rsid w:val="2CBE9AF7"/>
    <w:rsid w:val="2CC81BA7"/>
    <w:rsid w:val="2CCC48CC"/>
    <w:rsid w:val="2CD1A9D2"/>
    <w:rsid w:val="2CD369C5"/>
    <w:rsid w:val="2CD3CF40"/>
    <w:rsid w:val="2CD451D5"/>
    <w:rsid w:val="2CD8E05A"/>
    <w:rsid w:val="2CD9954B"/>
    <w:rsid w:val="2CDAE70A"/>
    <w:rsid w:val="2CDD8940"/>
    <w:rsid w:val="2CE07CE2"/>
    <w:rsid w:val="2CE24353"/>
    <w:rsid w:val="2CE735FC"/>
    <w:rsid w:val="2CE873FC"/>
    <w:rsid w:val="2CEED46B"/>
    <w:rsid w:val="2CF29746"/>
    <w:rsid w:val="2CF3F5F2"/>
    <w:rsid w:val="2CF55262"/>
    <w:rsid w:val="2CFB086E"/>
    <w:rsid w:val="2CFB85FC"/>
    <w:rsid w:val="2CFCEC58"/>
    <w:rsid w:val="2CFD3BC8"/>
    <w:rsid w:val="2CFE20E2"/>
    <w:rsid w:val="2CFEA02A"/>
    <w:rsid w:val="2D03C33A"/>
    <w:rsid w:val="2D06F0B6"/>
    <w:rsid w:val="2D09DAE2"/>
    <w:rsid w:val="2D0B1405"/>
    <w:rsid w:val="2D0E9273"/>
    <w:rsid w:val="2D11933D"/>
    <w:rsid w:val="2D1C4C67"/>
    <w:rsid w:val="2D1EB75D"/>
    <w:rsid w:val="2D2182BA"/>
    <w:rsid w:val="2D29E53D"/>
    <w:rsid w:val="2D2A0FB1"/>
    <w:rsid w:val="2D2DB7DD"/>
    <w:rsid w:val="2D42F3A7"/>
    <w:rsid w:val="2D46A8B4"/>
    <w:rsid w:val="2D4B1B21"/>
    <w:rsid w:val="2D4EEA24"/>
    <w:rsid w:val="2D50D3D6"/>
    <w:rsid w:val="2D57D002"/>
    <w:rsid w:val="2D5A8A7C"/>
    <w:rsid w:val="2D5B9724"/>
    <w:rsid w:val="2D5C8E25"/>
    <w:rsid w:val="2D609502"/>
    <w:rsid w:val="2D61D1B8"/>
    <w:rsid w:val="2D63ABBA"/>
    <w:rsid w:val="2D6494B4"/>
    <w:rsid w:val="2D6501C0"/>
    <w:rsid w:val="2D697D8D"/>
    <w:rsid w:val="2D7329FD"/>
    <w:rsid w:val="2D7BA21F"/>
    <w:rsid w:val="2D7D91F0"/>
    <w:rsid w:val="2D7DD1EF"/>
    <w:rsid w:val="2D868005"/>
    <w:rsid w:val="2D86BF42"/>
    <w:rsid w:val="2D89C147"/>
    <w:rsid w:val="2D8C5223"/>
    <w:rsid w:val="2D904256"/>
    <w:rsid w:val="2D97B287"/>
    <w:rsid w:val="2D97D3E6"/>
    <w:rsid w:val="2D9FB8E3"/>
    <w:rsid w:val="2DA116B6"/>
    <w:rsid w:val="2DA23B55"/>
    <w:rsid w:val="2DA37FDF"/>
    <w:rsid w:val="2DA402A3"/>
    <w:rsid w:val="2DAED489"/>
    <w:rsid w:val="2DB02FC3"/>
    <w:rsid w:val="2DB0C214"/>
    <w:rsid w:val="2DB0D92B"/>
    <w:rsid w:val="2DB108E7"/>
    <w:rsid w:val="2DB16FC3"/>
    <w:rsid w:val="2DB21088"/>
    <w:rsid w:val="2DB3BF61"/>
    <w:rsid w:val="2DBE6E03"/>
    <w:rsid w:val="2DC414A4"/>
    <w:rsid w:val="2DCC2251"/>
    <w:rsid w:val="2DCD42D5"/>
    <w:rsid w:val="2DCE66CD"/>
    <w:rsid w:val="2DD0B209"/>
    <w:rsid w:val="2DD0D501"/>
    <w:rsid w:val="2DD24CBC"/>
    <w:rsid w:val="2DD6D4AA"/>
    <w:rsid w:val="2DDABE19"/>
    <w:rsid w:val="2DE000F0"/>
    <w:rsid w:val="2DE7FEC8"/>
    <w:rsid w:val="2DEB8810"/>
    <w:rsid w:val="2DF5C0A3"/>
    <w:rsid w:val="2DF864ED"/>
    <w:rsid w:val="2DF86F4F"/>
    <w:rsid w:val="2DFFDE34"/>
    <w:rsid w:val="2E0734DF"/>
    <w:rsid w:val="2E0CF06D"/>
    <w:rsid w:val="2E0D603A"/>
    <w:rsid w:val="2E0E4229"/>
    <w:rsid w:val="2E197C61"/>
    <w:rsid w:val="2E1B9E7E"/>
    <w:rsid w:val="2E1D3FFA"/>
    <w:rsid w:val="2E219D9E"/>
    <w:rsid w:val="2E26892D"/>
    <w:rsid w:val="2E2730DA"/>
    <w:rsid w:val="2E303942"/>
    <w:rsid w:val="2E404CB4"/>
    <w:rsid w:val="2E4AE3AB"/>
    <w:rsid w:val="2E505708"/>
    <w:rsid w:val="2E5106DF"/>
    <w:rsid w:val="2E514418"/>
    <w:rsid w:val="2E541A7E"/>
    <w:rsid w:val="2E563B2B"/>
    <w:rsid w:val="2E618CC2"/>
    <w:rsid w:val="2E648CBE"/>
    <w:rsid w:val="2E6EB163"/>
    <w:rsid w:val="2E6EDDC7"/>
    <w:rsid w:val="2E7ADB01"/>
    <w:rsid w:val="2E7C2D73"/>
    <w:rsid w:val="2E88502A"/>
    <w:rsid w:val="2E900610"/>
    <w:rsid w:val="2E9716DA"/>
    <w:rsid w:val="2E9FBF9B"/>
    <w:rsid w:val="2EA443C0"/>
    <w:rsid w:val="2EA6D2BB"/>
    <w:rsid w:val="2EA76C8B"/>
    <w:rsid w:val="2EAAA4C8"/>
    <w:rsid w:val="2EAB4FB5"/>
    <w:rsid w:val="2EAB7A49"/>
    <w:rsid w:val="2EADF6B2"/>
    <w:rsid w:val="2EB24A29"/>
    <w:rsid w:val="2EB6C4C7"/>
    <w:rsid w:val="2EB80572"/>
    <w:rsid w:val="2EB95974"/>
    <w:rsid w:val="2EBD9D77"/>
    <w:rsid w:val="2EC813D7"/>
    <w:rsid w:val="2EE0A409"/>
    <w:rsid w:val="2EE45981"/>
    <w:rsid w:val="2EEE582C"/>
    <w:rsid w:val="2EF4C696"/>
    <w:rsid w:val="2EF632FF"/>
    <w:rsid w:val="2EF819E9"/>
    <w:rsid w:val="2EFC194B"/>
    <w:rsid w:val="2EFC85A4"/>
    <w:rsid w:val="2EFE7211"/>
    <w:rsid w:val="2F01BF6E"/>
    <w:rsid w:val="2F02C120"/>
    <w:rsid w:val="2F043DAB"/>
    <w:rsid w:val="2F123701"/>
    <w:rsid w:val="2F131FAC"/>
    <w:rsid w:val="2F171029"/>
    <w:rsid w:val="2F19646D"/>
    <w:rsid w:val="2F21480A"/>
    <w:rsid w:val="2F23E20F"/>
    <w:rsid w:val="2F2A2C2E"/>
    <w:rsid w:val="2F35398D"/>
    <w:rsid w:val="2F36DE60"/>
    <w:rsid w:val="2F3A5AB7"/>
    <w:rsid w:val="2F429358"/>
    <w:rsid w:val="2F480A97"/>
    <w:rsid w:val="2F49C4F6"/>
    <w:rsid w:val="2F4CFD25"/>
    <w:rsid w:val="2F4E910E"/>
    <w:rsid w:val="2F502802"/>
    <w:rsid w:val="2F599E59"/>
    <w:rsid w:val="2F6243C7"/>
    <w:rsid w:val="2F6E854F"/>
    <w:rsid w:val="2F75DEFE"/>
    <w:rsid w:val="2F7DA24C"/>
    <w:rsid w:val="2F80122D"/>
    <w:rsid w:val="2F851068"/>
    <w:rsid w:val="2F859843"/>
    <w:rsid w:val="2F867AFF"/>
    <w:rsid w:val="2F87DCD1"/>
    <w:rsid w:val="2F8BA326"/>
    <w:rsid w:val="2F8BE8E1"/>
    <w:rsid w:val="2F901E0B"/>
    <w:rsid w:val="2F90C74D"/>
    <w:rsid w:val="2F90DC75"/>
    <w:rsid w:val="2F94192F"/>
    <w:rsid w:val="2F948AC5"/>
    <w:rsid w:val="2F96C5E5"/>
    <w:rsid w:val="2F98C07C"/>
    <w:rsid w:val="2F9AA410"/>
    <w:rsid w:val="2FA07241"/>
    <w:rsid w:val="2FA32FCE"/>
    <w:rsid w:val="2FA62F84"/>
    <w:rsid w:val="2FA90B3E"/>
    <w:rsid w:val="2FB31651"/>
    <w:rsid w:val="2FB4D962"/>
    <w:rsid w:val="2FB52A39"/>
    <w:rsid w:val="2FBA5392"/>
    <w:rsid w:val="2FC7BF1A"/>
    <w:rsid w:val="2FCBC050"/>
    <w:rsid w:val="2FD85888"/>
    <w:rsid w:val="2FDF1913"/>
    <w:rsid w:val="2FE8BF17"/>
    <w:rsid w:val="2FEBBB50"/>
    <w:rsid w:val="2FEF197D"/>
    <w:rsid w:val="2FF71AE6"/>
    <w:rsid w:val="2FF90B38"/>
    <w:rsid w:val="2FFA6EF3"/>
    <w:rsid w:val="2FFCA622"/>
    <w:rsid w:val="300EFBE1"/>
    <w:rsid w:val="3012374E"/>
    <w:rsid w:val="3014C863"/>
    <w:rsid w:val="3014EAB8"/>
    <w:rsid w:val="3019A801"/>
    <w:rsid w:val="301BFABB"/>
    <w:rsid w:val="302504AA"/>
    <w:rsid w:val="3032052C"/>
    <w:rsid w:val="30337881"/>
    <w:rsid w:val="303432EB"/>
    <w:rsid w:val="3038380A"/>
    <w:rsid w:val="303A5BB5"/>
    <w:rsid w:val="303C7A50"/>
    <w:rsid w:val="3041EA18"/>
    <w:rsid w:val="3044E3D6"/>
    <w:rsid w:val="30463618"/>
    <w:rsid w:val="3047033E"/>
    <w:rsid w:val="304B99D3"/>
    <w:rsid w:val="304E517D"/>
    <w:rsid w:val="305C31B8"/>
    <w:rsid w:val="3061279D"/>
    <w:rsid w:val="3066FEC9"/>
    <w:rsid w:val="3070898B"/>
    <w:rsid w:val="307764A7"/>
    <w:rsid w:val="3080070B"/>
    <w:rsid w:val="30870053"/>
    <w:rsid w:val="308B2751"/>
    <w:rsid w:val="308D380F"/>
    <w:rsid w:val="308E1BAF"/>
    <w:rsid w:val="308F4F0D"/>
    <w:rsid w:val="30952ABA"/>
    <w:rsid w:val="30966C80"/>
    <w:rsid w:val="3098C175"/>
    <w:rsid w:val="309D49D6"/>
    <w:rsid w:val="309E0534"/>
    <w:rsid w:val="309E368D"/>
    <w:rsid w:val="30A011F3"/>
    <w:rsid w:val="30A10686"/>
    <w:rsid w:val="30A1B4DF"/>
    <w:rsid w:val="30A1E1C5"/>
    <w:rsid w:val="30A288EE"/>
    <w:rsid w:val="30A5E0C4"/>
    <w:rsid w:val="30A6970C"/>
    <w:rsid w:val="30ACD5AA"/>
    <w:rsid w:val="30AF95F2"/>
    <w:rsid w:val="30B4185F"/>
    <w:rsid w:val="30B6B938"/>
    <w:rsid w:val="30BEBF73"/>
    <w:rsid w:val="30C4C841"/>
    <w:rsid w:val="30C5366F"/>
    <w:rsid w:val="30C5D080"/>
    <w:rsid w:val="30C733C2"/>
    <w:rsid w:val="30CA7601"/>
    <w:rsid w:val="30CE3A57"/>
    <w:rsid w:val="30CEF164"/>
    <w:rsid w:val="30D37888"/>
    <w:rsid w:val="30DF98EC"/>
    <w:rsid w:val="30E0CA1F"/>
    <w:rsid w:val="30E2A438"/>
    <w:rsid w:val="30E47897"/>
    <w:rsid w:val="30EC20EA"/>
    <w:rsid w:val="30ED534C"/>
    <w:rsid w:val="30ED9F6D"/>
    <w:rsid w:val="30F1DB07"/>
    <w:rsid w:val="30F2F351"/>
    <w:rsid w:val="30F37568"/>
    <w:rsid w:val="30F73B0E"/>
    <w:rsid w:val="30F9FF43"/>
    <w:rsid w:val="30FB7C85"/>
    <w:rsid w:val="30FC9B44"/>
    <w:rsid w:val="30FCF093"/>
    <w:rsid w:val="31021E9E"/>
    <w:rsid w:val="31042119"/>
    <w:rsid w:val="310B7E02"/>
    <w:rsid w:val="3110CD8D"/>
    <w:rsid w:val="311AED34"/>
    <w:rsid w:val="311B7C14"/>
    <w:rsid w:val="311C1AAC"/>
    <w:rsid w:val="311DEC95"/>
    <w:rsid w:val="311E6087"/>
    <w:rsid w:val="311E6A8D"/>
    <w:rsid w:val="3121A455"/>
    <w:rsid w:val="3123B71B"/>
    <w:rsid w:val="312597E7"/>
    <w:rsid w:val="31295D7C"/>
    <w:rsid w:val="312A3FE8"/>
    <w:rsid w:val="31305BE1"/>
    <w:rsid w:val="313774EE"/>
    <w:rsid w:val="31408174"/>
    <w:rsid w:val="3141B442"/>
    <w:rsid w:val="314704BD"/>
    <w:rsid w:val="3161D245"/>
    <w:rsid w:val="3168BD17"/>
    <w:rsid w:val="316A759F"/>
    <w:rsid w:val="3176A2ED"/>
    <w:rsid w:val="31839174"/>
    <w:rsid w:val="31847376"/>
    <w:rsid w:val="318819A1"/>
    <w:rsid w:val="318AB7F1"/>
    <w:rsid w:val="318F137D"/>
    <w:rsid w:val="318F2A34"/>
    <w:rsid w:val="31972D8C"/>
    <w:rsid w:val="3198AEAD"/>
    <w:rsid w:val="319A3CE6"/>
    <w:rsid w:val="319FC424"/>
    <w:rsid w:val="31A2B437"/>
    <w:rsid w:val="31ACCDFA"/>
    <w:rsid w:val="31AF9714"/>
    <w:rsid w:val="31B0D053"/>
    <w:rsid w:val="31B48D11"/>
    <w:rsid w:val="31B4C334"/>
    <w:rsid w:val="31B591FE"/>
    <w:rsid w:val="31B68EE5"/>
    <w:rsid w:val="31B6E771"/>
    <w:rsid w:val="31B7D0B8"/>
    <w:rsid w:val="31B9A5B1"/>
    <w:rsid w:val="31BAC3D5"/>
    <w:rsid w:val="31BB562B"/>
    <w:rsid w:val="31BE98FC"/>
    <w:rsid w:val="31C64182"/>
    <w:rsid w:val="31C782AE"/>
    <w:rsid w:val="31C7FDA8"/>
    <w:rsid w:val="31D06458"/>
    <w:rsid w:val="31D4A17F"/>
    <w:rsid w:val="31D90162"/>
    <w:rsid w:val="31DA53BA"/>
    <w:rsid w:val="31E0E461"/>
    <w:rsid w:val="31E21FCA"/>
    <w:rsid w:val="31E5A42B"/>
    <w:rsid w:val="31E65A37"/>
    <w:rsid w:val="31EF7AD7"/>
    <w:rsid w:val="31F7845D"/>
    <w:rsid w:val="31F7E9FB"/>
    <w:rsid w:val="31F8A092"/>
    <w:rsid w:val="31F99C7D"/>
    <w:rsid w:val="31FF633E"/>
    <w:rsid w:val="320598A1"/>
    <w:rsid w:val="3206FDC5"/>
    <w:rsid w:val="320EBE64"/>
    <w:rsid w:val="32226176"/>
    <w:rsid w:val="322C68F0"/>
    <w:rsid w:val="3230A724"/>
    <w:rsid w:val="32347F1A"/>
    <w:rsid w:val="323C8361"/>
    <w:rsid w:val="323D34D8"/>
    <w:rsid w:val="323D4523"/>
    <w:rsid w:val="323F3C14"/>
    <w:rsid w:val="3241BD5B"/>
    <w:rsid w:val="32451673"/>
    <w:rsid w:val="324FDC82"/>
    <w:rsid w:val="325B8B8B"/>
    <w:rsid w:val="325CD96D"/>
    <w:rsid w:val="325D7618"/>
    <w:rsid w:val="325FA034"/>
    <w:rsid w:val="325FD3BD"/>
    <w:rsid w:val="32623FDA"/>
    <w:rsid w:val="32659711"/>
    <w:rsid w:val="326AFFDE"/>
    <w:rsid w:val="32777B2A"/>
    <w:rsid w:val="327BA28A"/>
    <w:rsid w:val="327F07C4"/>
    <w:rsid w:val="3285296C"/>
    <w:rsid w:val="32933250"/>
    <w:rsid w:val="329F1FCD"/>
    <w:rsid w:val="32A78B02"/>
    <w:rsid w:val="32AC1B91"/>
    <w:rsid w:val="32AEA1F1"/>
    <w:rsid w:val="32AF1D15"/>
    <w:rsid w:val="32B23E42"/>
    <w:rsid w:val="32B5BE02"/>
    <w:rsid w:val="32BC0D7F"/>
    <w:rsid w:val="32BC7087"/>
    <w:rsid w:val="32C1EDC7"/>
    <w:rsid w:val="32C2167B"/>
    <w:rsid w:val="32C25BAB"/>
    <w:rsid w:val="32C59BD3"/>
    <w:rsid w:val="32C62604"/>
    <w:rsid w:val="32C7A409"/>
    <w:rsid w:val="32C9BFAB"/>
    <w:rsid w:val="32CA8A31"/>
    <w:rsid w:val="32CB88AB"/>
    <w:rsid w:val="32D2C38C"/>
    <w:rsid w:val="32D572DF"/>
    <w:rsid w:val="32E16BBB"/>
    <w:rsid w:val="32E5E7ED"/>
    <w:rsid w:val="32E6EF03"/>
    <w:rsid w:val="32EC3CAC"/>
    <w:rsid w:val="32ECB3CC"/>
    <w:rsid w:val="32F050D6"/>
    <w:rsid w:val="32F32792"/>
    <w:rsid w:val="32F51D4B"/>
    <w:rsid w:val="32F712AD"/>
    <w:rsid w:val="32FC4BE9"/>
    <w:rsid w:val="32FCF1B6"/>
    <w:rsid w:val="32FD244E"/>
    <w:rsid w:val="32FE3543"/>
    <w:rsid w:val="3305DA2C"/>
    <w:rsid w:val="3308F955"/>
    <w:rsid w:val="33189568"/>
    <w:rsid w:val="331AFB90"/>
    <w:rsid w:val="331E7F20"/>
    <w:rsid w:val="331F4306"/>
    <w:rsid w:val="33231A9B"/>
    <w:rsid w:val="33269A0D"/>
    <w:rsid w:val="3328E148"/>
    <w:rsid w:val="332962C7"/>
    <w:rsid w:val="33316943"/>
    <w:rsid w:val="333419D1"/>
    <w:rsid w:val="333444E4"/>
    <w:rsid w:val="33391059"/>
    <w:rsid w:val="333DE8F4"/>
    <w:rsid w:val="333E68C4"/>
    <w:rsid w:val="333F4BB1"/>
    <w:rsid w:val="335216CF"/>
    <w:rsid w:val="33547FCB"/>
    <w:rsid w:val="335626D4"/>
    <w:rsid w:val="33573866"/>
    <w:rsid w:val="3358BCD7"/>
    <w:rsid w:val="335F152A"/>
    <w:rsid w:val="3364AF6F"/>
    <w:rsid w:val="33668B98"/>
    <w:rsid w:val="33674A94"/>
    <w:rsid w:val="336F80ED"/>
    <w:rsid w:val="33746EEA"/>
    <w:rsid w:val="337476F1"/>
    <w:rsid w:val="33763E82"/>
    <w:rsid w:val="337D7EAD"/>
    <w:rsid w:val="33800C5E"/>
    <w:rsid w:val="33834322"/>
    <w:rsid w:val="3385E4E4"/>
    <w:rsid w:val="3387CBA2"/>
    <w:rsid w:val="3388C6C0"/>
    <w:rsid w:val="338A8493"/>
    <w:rsid w:val="338CECCD"/>
    <w:rsid w:val="338CF80D"/>
    <w:rsid w:val="338D8FD8"/>
    <w:rsid w:val="338F84FC"/>
    <w:rsid w:val="3390CB8E"/>
    <w:rsid w:val="3391CC68"/>
    <w:rsid w:val="3392D3E2"/>
    <w:rsid w:val="339330BE"/>
    <w:rsid w:val="3394FEC7"/>
    <w:rsid w:val="339530CB"/>
    <w:rsid w:val="33A7BB2E"/>
    <w:rsid w:val="33A8906C"/>
    <w:rsid w:val="33AC8370"/>
    <w:rsid w:val="33AE4682"/>
    <w:rsid w:val="33B063CE"/>
    <w:rsid w:val="33B9D5BC"/>
    <w:rsid w:val="33BBE8FE"/>
    <w:rsid w:val="33BE4D5E"/>
    <w:rsid w:val="33BE8FEC"/>
    <w:rsid w:val="33C07CB9"/>
    <w:rsid w:val="33CD020C"/>
    <w:rsid w:val="33D04A9B"/>
    <w:rsid w:val="33D16433"/>
    <w:rsid w:val="33D2FBC1"/>
    <w:rsid w:val="33D70ABC"/>
    <w:rsid w:val="33DE9D2C"/>
    <w:rsid w:val="33E20D48"/>
    <w:rsid w:val="33E25CA3"/>
    <w:rsid w:val="33E42C97"/>
    <w:rsid w:val="33E45C94"/>
    <w:rsid w:val="33E5DBF8"/>
    <w:rsid w:val="33F1CDE1"/>
    <w:rsid w:val="33F4D406"/>
    <w:rsid w:val="33F80768"/>
    <w:rsid w:val="33FABC85"/>
    <w:rsid w:val="33FB8C1C"/>
    <w:rsid w:val="33FCC22C"/>
    <w:rsid w:val="3400A44B"/>
    <w:rsid w:val="3400EC31"/>
    <w:rsid w:val="34053258"/>
    <w:rsid w:val="340984A4"/>
    <w:rsid w:val="340D3A21"/>
    <w:rsid w:val="340E22E3"/>
    <w:rsid w:val="3418E38F"/>
    <w:rsid w:val="3419D637"/>
    <w:rsid w:val="341B1748"/>
    <w:rsid w:val="341B629F"/>
    <w:rsid w:val="341F53EB"/>
    <w:rsid w:val="342074E6"/>
    <w:rsid w:val="342A1D47"/>
    <w:rsid w:val="34309AEB"/>
    <w:rsid w:val="3431211B"/>
    <w:rsid w:val="343266B6"/>
    <w:rsid w:val="3432F8BE"/>
    <w:rsid w:val="34377596"/>
    <w:rsid w:val="343C640E"/>
    <w:rsid w:val="343DB58A"/>
    <w:rsid w:val="343FA68F"/>
    <w:rsid w:val="3442F718"/>
    <w:rsid w:val="3443A6E8"/>
    <w:rsid w:val="344EA478"/>
    <w:rsid w:val="345A8602"/>
    <w:rsid w:val="34631D67"/>
    <w:rsid w:val="3469F5DF"/>
    <w:rsid w:val="346BCC9D"/>
    <w:rsid w:val="3471C820"/>
    <w:rsid w:val="3473DFEA"/>
    <w:rsid w:val="347A57F5"/>
    <w:rsid w:val="347C5CDD"/>
    <w:rsid w:val="347C614A"/>
    <w:rsid w:val="34800472"/>
    <w:rsid w:val="348A7B3A"/>
    <w:rsid w:val="348FAC68"/>
    <w:rsid w:val="3494983D"/>
    <w:rsid w:val="3498E0CD"/>
    <w:rsid w:val="349B0A36"/>
    <w:rsid w:val="349E5890"/>
    <w:rsid w:val="349E809B"/>
    <w:rsid w:val="34A06538"/>
    <w:rsid w:val="34A1122F"/>
    <w:rsid w:val="34ACC250"/>
    <w:rsid w:val="34AEA966"/>
    <w:rsid w:val="34B3782E"/>
    <w:rsid w:val="34B86A7F"/>
    <w:rsid w:val="34BB1191"/>
    <w:rsid w:val="34BD54D2"/>
    <w:rsid w:val="34C1E7DC"/>
    <w:rsid w:val="34CB9CF7"/>
    <w:rsid w:val="34DBEB61"/>
    <w:rsid w:val="34DFC290"/>
    <w:rsid w:val="34E50E5A"/>
    <w:rsid w:val="34F40A38"/>
    <w:rsid w:val="34F526D8"/>
    <w:rsid w:val="34F70C7A"/>
    <w:rsid w:val="34FB7E9E"/>
    <w:rsid w:val="34FBE008"/>
    <w:rsid w:val="34FD00FD"/>
    <w:rsid w:val="35011D20"/>
    <w:rsid w:val="3509BE90"/>
    <w:rsid w:val="350A38AB"/>
    <w:rsid w:val="350E8627"/>
    <w:rsid w:val="351142D3"/>
    <w:rsid w:val="3512E349"/>
    <w:rsid w:val="351885A1"/>
    <w:rsid w:val="351CFCB0"/>
    <w:rsid w:val="351DDDBC"/>
    <w:rsid w:val="351F2FD5"/>
    <w:rsid w:val="3523AB49"/>
    <w:rsid w:val="352796FC"/>
    <w:rsid w:val="3528D179"/>
    <w:rsid w:val="352BA099"/>
    <w:rsid w:val="35339D07"/>
    <w:rsid w:val="35341EB1"/>
    <w:rsid w:val="35354A82"/>
    <w:rsid w:val="353846B2"/>
    <w:rsid w:val="3538CAB0"/>
    <w:rsid w:val="3539B539"/>
    <w:rsid w:val="353E3A2A"/>
    <w:rsid w:val="35433CD4"/>
    <w:rsid w:val="35470DDD"/>
    <w:rsid w:val="35512C5F"/>
    <w:rsid w:val="355296B0"/>
    <w:rsid w:val="3553EE38"/>
    <w:rsid w:val="3564127C"/>
    <w:rsid w:val="3565FD57"/>
    <w:rsid w:val="356F15B6"/>
    <w:rsid w:val="356FE936"/>
    <w:rsid w:val="3571E2B0"/>
    <w:rsid w:val="3574FD18"/>
    <w:rsid w:val="3577AD7B"/>
    <w:rsid w:val="357DE5B6"/>
    <w:rsid w:val="357F03A9"/>
    <w:rsid w:val="3581929B"/>
    <w:rsid w:val="3584B5F0"/>
    <w:rsid w:val="358ACBB4"/>
    <w:rsid w:val="35941DCE"/>
    <w:rsid w:val="359EAB1B"/>
    <w:rsid w:val="359FD352"/>
    <w:rsid w:val="35A155C1"/>
    <w:rsid w:val="35A75CA1"/>
    <w:rsid w:val="35A7C64A"/>
    <w:rsid w:val="35A7E998"/>
    <w:rsid w:val="35A7F730"/>
    <w:rsid w:val="35AABB3A"/>
    <w:rsid w:val="35ABD47B"/>
    <w:rsid w:val="35B2D0F1"/>
    <w:rsid w:val="35B66EA1"/>
    <w:rsid w:val="35C7B331"/>
    <w:rsid w:val="35CA7261"/>
    <w:rsid w:val="35CA8B7F"/>
    <w:rsid w:val="35D15247"/>
    <w:rsid w:val="35D27DD2"/>
    <w:rsid w:val="35D60AF1"/>
    <w:rsid w:val="35DD61C0"/>
    <w:rsid w:val="35E16871"/>
    <w:rsid w:val="35E1A75B"/>
    <w:rsid w:val="35E5901A"/>
    <w:rsid w:val="35E8A370"/>
    <w:rsid w:val="35ECCD74"/>
    <w:rsid w:val="35F08F0A"/>
    <w:rsid w:val="35F9E6F0"/>
    <w:rsid w:val="35FABDD5"/>
    <w:rsid w:val="35FDE09F"/>
    <w:rsid w:val="3601271D"/>
    <w:rsid w:val="360222E2"/>
    <w:rsid w:val="360656B2"/>
    <w:rsid w:val="360FB20F"/>
    <w:rsid w:val="36119429"/>
    <w:rsid w:val="36130EBA"/>
    <w:rsid w:val="3616AB32"/>
    <w:rsid w:val="361B2FCC"/>
    <w:rsid w:val="361CE25B"/>
    <w:rsid w:val="3620B8BA"/>
    <w:rsid w:val="362A2C26"/>
    <w:rsid w:val="362A612E"/>
    <w:rsid w:val="362C5259"/>
    <w:rsid w:val="363325D0"/>
    <w:rsid w:val="363778E2"/>
    <w:rsid w:val="363E9E5D"/>
    <w:rsid w:val="363FDE72"/>
    <w:rsid w:val="36419E8F"/>
    <w:rsid w:val="3646DA8D"/>
    <w:rsid w:val="364A3082"/>
    <w:rsid w:val="364DEF96"/>
    <w:rsid w:val="36532C0F"/>
    <w:rsid w:val="3658345D"/>
    <w:rsid w:val="366887C8"/>
    <w:rsid w:val="366B0144"/>
    <w:rsid w:val="3670B80F"/>
    <w:rsid w:val="3672832C"/>
    <w:rsid w:val="36744A41"/>
    <w:rsid w:val="367A58AE"/>
    <w:rsid w:val="368113B5"/>
    <w:rsid w:val="36880449"/>
    <w:rsid w:val="368A7827"/>
    <w:rsid w:val="368E3EA8"/>
    <w:rsid w:val="36967141"/>
    <w:rsid w:val="3696C460"/>
    <w:rsid w:val="3696ED75"/>
    <w:rsid w:val="369B4F3B"/>
    <w:rsid w:val="36A08203"/>
    <w:rsid w:val="36A4FE0A"/>
    <w:rsid w:val="36A89B63"/>
    <w:rsid w:val="36A9A7DE"/>
    <w:rsid w:val="36AD89BD"/>
    <w:rsid w:val="36AE4496"/>
    <w:rsid w:val="36AE7761"/>
    <w:rsid w:val="36AFA45F"/>
    <w:rsid w:val="36B4047C"/>
    <w:rsid w:val="36B5E5AC"/>
    <w:rsid w:val="36BE1026"/>
    <w:rsid w:val="36C12DF8"/>
    <w:rsid w:val="36C23957"/>
    <w:rsid w:val="36C5B02D"/>
    <w:rsid w:val="36C73DB4"/>
    <w:rsid w:val="36CAD9E7"/>
    <w:rsid w:val="36D03562"/>
    <w:rsid w:val="36D0510F"/>
    <w:rsid w:val="36D06CBA"/>
    <w:rsid w:val="36DB92FF"/>
    <w:rsid w:val="36DC7844"/>
    <w:rsid w:val="36DD0A7E"/>
    <w:rsid w:val="36E29863"/>
    <w:rsid w:val="36E5256E"/>
    <w:rsid w:val="36E61302"/>
    <w:rsid w:val="36EBA227"/>
    <w:rsid w:val="36F96766"/>
    <w:rsid w:val="36FAA6BF"/>
    <w:rsid w:val="36FCEF23"/>
    <w:rsid w:val="36FFE550"/>
    <w:rsid w:val="3700E1AD"/>
    <w:rsid w:val="3700E99F"/>
    <w:rsid w:val="37192610"/>
    <w:rsid w:val="37269CAE"/>
    <w:rsid w:val="372B271C"/>
    <w:rsid w:val="372CFBA3"/>
    <w:rsid w:val="372D5EC8"/>
    <w:rsid w:val="372E57CD"/>
    <w:rsid w:val="3737883D"/>
    <w:rsid w:val="373936F1"/>
    <w:rsid w:val="374152A7"/>
    <w:rsid w:val="374514F4"/>
    <w:rsid w:val="374635C8"/>
    <w:rsid w:val="374C83A5"/>
    <w:rsid w:val="374E43DA"/>
    <w:rsid w:val="374ECC4E"/>
    <w:rsid w:val="375090C5"/>
    <w:rsid w:val="37539BF6"/>
    <w:rsid w:val="3764574E"/>
    <w:rsid w:val="37649796"/>
    <w:rsid w:val="376FAD36"/>
    <w:rsid w:val="3771CDC7"/>
    <w:rsid w:val="377D3014"/>
    <w:rsid w:val="377E5172"/>
    <w:rsid w:val="377EB11E"/>
    <w:rsid w:val="37830390"/>
    <w:rsid w:val="378494F8"/>
    <w:rsid w:val="3784D016"/>
    <w:rsid w:val="378C0CD8"/>
    <w:rsid w:val="378F4873"/>
    <w:rsid w:val="379DB5A6"/>
    <w:rsid w:val="37A2522A"/>
    <w:rsid w:val="37A38E10"/>
    <w:rsid w:val="37A6EEA9"/>
    <w:rsid w:val="37AE3249"/>
    <w:rsid w:val="37AF522F"/>
    <w:rsid w:val="37AFE2B8"/>
    <w:rsid w:val="37B0639E"/>
    <w:rsid w:val="37B7EBE1"/>
    <w:rsid w:val="37B80CB0"/>
    <w:rsid w:val="37B9ED72"/>
    <w:rsid w:val="37BBA51F"/>
    <w:rsid w:val="37BC634D"/>
    <w:rsid w:val="37C0F760"/>
    <w:rsid w:val="37C91E8E"/>
    <w:rsid w:val="37C9BFEA"/>
    <w:rsid w:val="37CD0F43"/>
    <w:rsid w:val="37CD26FE"/>
    <w:rsid w:val="37D6CFE3"/>
    <w:rsid w:val="37DB4610"/>
    <w:rsid w:val="37DEDC40"/>
    <w:rsid w:val="37E0A123"/>
    <w:rsid w:val="37E188A0"/>
    <w:rsid w:val="37E44F71"/>
    <w:rsid w:val="37EF5E88"/>
    <w:rsid w:val="37F34F7A"/>
    <w:rsid w:val="37F46586"/>
    <w:rsid w:val="3802E45C"/>
    <w:rsid w:val="3805569C"/>
    <w:rsid w:val="38058414"/>
    <w:rsid w:val="3806AEF0"/>
    <w:rsid w:val="380CD0C7"/>
    <w:rsid w:val="380E6AE9"/>
    <w:rsid w:val="380E8DAC"/>
    <w:rsid w:val="38111AB6"/>
    <w:rsid w:val="38143CE0"/>
    <w:rsid w:val="381E9871"/>
    <w:rsid w:val="3821D7A4"/>
    <w:rsid w:val="3822FA2C"/>
    <w:rsid w:val="38285686"/>
    <w:rsid w:val="3829D02B"/>
    <w:rsid w:val="382C7A9B"/>
    <w:rsid w:val="383076FA"/>
    <w:rsid w:val="3833BBE6"/>
    <w:rsid w:val="383D096E"/>
    <w:rsid w:val="383E166C"/>
    <w:rsid w:val="38430397"/>
    <w:rsid w:val="3846F6B1"/>
    <w:rsid w:val="384C0D2E"/>
    <w:rsid w:val="3851925E"/>
    <w:rsid w:val="38548F7B"/>
    <w:rsid w:val="38555B7B"/>
    <w:rsid w:val="3856823B"/>
    <w:rsid w:val="3856C7C8"/>
    <w:rsid w:val="385C6819"/>
    <w:rsid w:val="38612814"/>
    <w:rsid w:val="386D2B6C"/>
    <w:rsid w:val="3872156D"/>
    <w:rsid w:val="387BAA0B"/>
    <w:rsid w:val="3885D4D5"/>
    <w:rsid w:val="388F17E8"/>
    <w:rsid w:val="3891583E"/>
    <w:rsid w:val="3892BF7F"/>
    <w:rsid w:val="38935267"/>
    <w:rsid w:val="3893ED66"/>
    <w:rsid w:val="38943ACF"/>
    <w:rsid w:val="38970A58"/>
    <w:rsid w:val="3898F001"/>
    <w:rsid w:val="389A9E7D"/>
    <w:rsid w:val="38A15701"/>
    <w:rsid w:val="38AA3C59"/>
    <w:rsid w:val="38AA73E7"/>
    <w:rsid w:val="38B21831"/>
    <w:rsid w:val="38B95A17"/>
    <w:rsid w:val="38B970D8"/>
    <w:rsid w:val="38B9D4CB"/>
    <w:rsid w:val="38BC0C0F"/>
    <w:rsid w:val="38C1F34F"/>
    <w:rsid w:val="38C69A4C"/>
    <w:rsid w:val="38CC0168"/>
    <w:rsid w:val="38DF047E"/>
    <w:rsid w:val="38E3D30E"/>
    <w:rsid w:val="38E4B3AB"/>
    <w:rsid w:val="38E68C31"/>
    <w:rsid w:val="38E771DC"/>
    <w:rsid w:val="38EAB13C"/>
    <w:rsid w:val="38EDAA74"/>
    <w:rsid w:val="38EE01D1"/>
    <w:rsid w:val="38FA2490"/>
    <w:rsid w:val="38FC35C2"/>
    <w:rsid w:val="38FE5529"/>
    <w:rsid w:val="38FEF3BD"/>
    <w:rsid w:val="390159BD"/>
    <w:rsid w:val="39083C3A"/>
    <w:rsid w:val="3912B8EB"/>
    <w:rsid w:val="3915DB89"/>
    <w:rsid w:val="391E7BBC"/>
    <w:rsid w:val="391FFEC6"/>
    <w:rsid w:val="392085A8"/>
    <w:rsid w:val="39280244"/>
    <w:rsid w:val="392B50B1"/>
    <w:rsid w:val="392D5039"/>
    <w:rsid w:val="392FAC0B"/>
    <w:rsid w:val="3930ED52"/>
    <w:rsid w:val="39321A65"/>
    <w:rsid w:val="3939A747"/>
    <w:rsid w:val="393C8254"/>
    <w:rsid w:val="393D64C0"/>
    <w:rsid w:val="394122AC"/>
    <w:rsid w:val="39434ABC"/>
    <w:rsid w:val="3945A6C1"/>
    <w:rsid w:val="3946DDBB"/>
    <w:rsid w:val="394F46FF"/>
    <w:rsid w:val="394FB309"/>
    <w:rsid w:val="3955EC01"/>
    <w:rsid w:val="3962FA87"/>
    <w:rsid w:val="396A0693"/>
    <w:rsid w:val="396DC77B"/>
    <w:rsid w:val="396EDBDA"/>
    <w:rsid w:val="397678E6"/>
    <w:rsid w:val="397A5F26"/>
    <w:rsid w:val="397A829C"/>
    <w:rsid w:val="39815ADE"/>
    <w:rsid w:val="3982D983"/>
    <w:rsid w:val="3984E80A"/>
    <w:rsid w:val="3988336C"/>
    <w:rsid w:val="39978508"/>
    <w:rsid w:val="3999E55B"/>
    <w:rsid w:val="399BF4C8"/>
    <w:rsid w:val="39A095A7"/>
    <w:rsid w:val="39A38E3F"/>
    <w:rsid w:val="39A49DBD"/>
    <w:rsid w:val="39AAE7CD"/>
    <w:rsid w:val="39AB68C6"/>
    <w:rsid w:val="39AF1E32"/>
    <w:rsid w:val="39B0F459"/>
    <w:rsid w:val="39BDCB50"/>
    <w:rsid w:val="39BFEEFA"/>
    <w:rsid w:val="39C07D66"/>
    <w:rsid w:val="39C2EAB0"/>
    <w:rsid w:val="39C579AF"/>
    <w:rsid w:val="39C8CD68"/>
    <w:rsid w:val="39CA0748"/>
    <w:rsid w:val="39CEA001"/>
    <w:rsid w:val="39D08EC9"/>
    <w:rsid w:val="39D0D07D"/>
    <w:rsid w:val="39D11767"/>
    <w:rsid w:val="39D13459"/>
    <w:rsid w:val="39D8ADDD"/>
    <w:rsid w:val="39D90A04"/>
    <w:rsid w:val="39E0BB8D"/>
    <w:rsid w:val="39E61078"/>
    <w:rsid w:val="39E8510B"/>
    <w:rsid w:val="39ECB1FE"/>
    <w:rsid w:val="39ED40A5"/>
    <w:rsid w:val="39F23FB6"/>
    <w:rsid w:val="39F9EDFD"/>
    <w:rsid w:val="3A0116B8"/>
    <w:rsid w:val="3A0188FC"/>
    <w:rsid w:val="3A01DF42"/>
    <w:rsid w:val="3A0253E6"/>
    <w:rsid w:val="3A035AD6"/>
    <w:rsid w:val="3A036602"/>
    <w:rsid w:val="3A060F4A"/>
    <w:rsid w:val="3A079577"/>
    <w:rsid w:val="3A084762"/>
    <w:rsid w:val="3A08F9BB"/>
    <w:rsid w:val="3A0B3193"/>
    <w:rsid w:val="3A0E5741"/>
    <w:rsid w:val="3A16D661"/>
    <w:rsid w:val="3A20928B"/>
    <w:rsid w:val="3A24A4F0"/>
    <w:rsid w:val="3A26B7D0"/>
    <w:rsid w:val="3A27E1D9"/>
    <w:rsid w:val="3A2ADA65"/>
    <w:rsid w:val="3A34CDB1"/>
    <w:rsid w:val="3A3DC595"/>
    <w:rsid w:val="3A40DAF5"/>
    <w:rsid w:val="3A5C83C3"/>
    <w:rsid w:val="3A606308"/>
    <w:rsid w:val="3A653CD1"/>
    <w:rsid w:val="3A6E11A1"/>
    <w:rsid w:val="3A742BCE"/>
    <w:rsid w:val="3A752E0D"/>
    <w:rsid w:val="3A76684C"/>
    <w:rsid w:val="3A78F745"/>
    <w:rsid w:val="3A79A8C4"/>
    <w:rsid w:val="3A7AC103"/>
    <w:rsid w:val="3A7DCD7F"/>
    <w:rsid w:val="3A83CBE4"/>
    <w:rsid w:val="3A87469F"/>
    <w:rsid w:val="3A882C5A"/>
    <w:rsid w:val="3A890F47"/>
    <w:rsid w:val="3A8B2D9D"/>
    <w:rsid w:val="3A9129A1"/>
    <w:rsid w:val="3A94F878"/>
    <w:rsid w:val="3A9C3FA2"/>
    <w:rsid w:val="3A9CF970"/>
    <w:rsid w:val="3AA0CA94"/>
    <w:rsid w:val="3AA68A94"/>
    <w:rsid w:val="3AB005D2"/>
    <w:rsid w:val="3ABAF7A5"/>
    <w:rsid w:val="3ABC6BF7"/>
    <w:rsid w:val="3AC0A6C2"/>
    <w:rsid w:val="3AC0CC20"/>
    <w:rsid w:val="3AC1B7B1"/>
    <w:rsid w:val="3AC223EB"/>
    <w:rsid w:val="3AC8A35C"/>
    <w:rsid w:val="3ACBAB32"/>
    <w:rsid w:val="3ACE0A74"/>
    <w:rsid w:val="3ACF3598"/>
    <w:rsid w:val="3ACF938F"/>
    <w:rsid w:val="3AD4DA66"/>
    <w:rsid w:val="3AD78789"/>
    <w:rsid w:val="3ADE0496"/>
    <w:rsid w:val="3AE270B0"/>
    <w:rsid w:val="3AE65162"/>
    <w:rsid w:val="3AE80677"/>
    <w:rsid w:val="3AE8416E"/>
    <w:rsid w:val="3AEA6A3A"/>
    <w:rsid w:val="3AEA7013"/>
    <w:rsid w:val="3AEC9081"/>
    <w:rsid w:val="3AF74AA7"/>
    <w:rsid w:val="3AF75C05"/>
    <w:rsid w:val="3AFAABD4"/>
    <w:rsid w:val="3B0019CB"/>
    <w:rsid w:val="3B044D91"/>
    <w:rsid w:val="3B172FEA"/>
    <w:rsid w:val="3B206952"/>
    <w:rsid w:val="3B24CCCF"/>
    <w:rsid w:val="3B279A51"/>
    <w:rsid w:val="3B28F7A4"/>
    <w:rsid w:val="3B291035"/>
    <w:rsid w:val="3B379A34"/>
    <w:rsid w:val="3B38F1E5"/>
    <w:rsid w:val="3B446439"/>
    <w:rsid w:val="3B454901"/>
    <w:rsid w:val="3B4C21C0"/>
    <w:rsid w:val="3B4DA652"/>
    <w:rsid w:val="3B53FF6E"/>
    <w:rsid w:val="3B5736E0"/>
    <w:rsid w:val="3B5771F5"/>
    <w:rsid w:val="3B601769"/>
    <w:rsid w:val="3B607FDE"/>
    <w:rsid w:val="3B615D31"/>
    <w:rsid w:val="3B61A03B"/>
    <w:rsid w:val="3B63A963"/>
    <w:rsid w:val="3B66E4C4"/>
    <w:rsid w:val="3B67B630"/>
    <w:rsid w:val="3B697EF7"/>
    <w:rsid w:val="3B6AF88C"/>
    <w:rsid w:val="3B775A30"/>
    <w:rsid w:val="3B7796B0"/>
    <w:rsid w:val="3B7BCC39"/>
    <w:rsid w:val="3B7DD424"/>
    <w:rsid w:val="3B7DD788"/>
    <w:rsid w:val="3B807939"/>
    <w:rsid w:val="3B87840A"/>
    <w:rsid w:val="3B87D311"/>
    <w:rsid w:val="3B94D8F5"/>
    <w:rsid w:val="3B98C332"/>
    <w:rsid w:val="3B9C076E"/>
    <w:rsid w:val="3BAC88EF"/>
    <w:rsid w:val="3BC1619E"/>
    <w:rsid w:val="3BC3EFE2"/>
    <w:rsid w:val="3BD35A88"/>
    <w:rsid w:val="3BD4CA08"/>
    <w:rsid w:val="3BDAC703"/>
    <w:rsid w:val="3BE2074B"/>
    <w:rsid w:val="3BE5EC88"/>
    <w:rsid w:val="3BEA9001"/>
    <w:rsid w:val="3BF4AE9C"/>
    <w:rsid w:val="3BFB2B91"/>
    <w:rsid w:val="3BFE033C"/>
    <w:rsid w:val="3C002AE3"/>
    <w:rsid w:val="3C02E2C5"/>
    <w:rsid w:val="3C045D38"/>
    <w:rsid w:val="3C08A9BC"/>
    <w:rsid w:val="3C0A77FC"/>
    <w:rsid w:val="3C0A79DB"/>
    <w:rsid w:val="3C1287FA"/>
    <w:rsid w:val="3C196AC6"/>
    <w:rsid w:val="3C261FC3"/>
    <w:rsid w:val="3C26908C"/>
    <w:rsid w:val="3C30512E"/>
    <w:rsid w:val="3C317AE9"/>
    <w:rsid w:val="3C3216F2"/>
    <w:rsid w:val="3C327799"/>
    <w:rsid w:val="3C378456"/>
    <w:rsid w:val="3C39E38E"/>
    <w:rsid w:val="3C3A4EF4"/>
    <w:rsid w:val="3C3CC4B8"/>
    <w:rsid w:val="3C3EC2B6"/>
    <w:rsid w:val="3C3F808D"/>
    <w:rsid w:val="3C44265B"/>
    <w:rsid w:val="3C470046"/>
    <w:rsid w:val="3C4B2024"/>
    <w:rsid w:val="3C4EEF3A"/>
    <w:rsid w:val="3C4FC6D8"/>
    <w:rsid w:val="3C5D0135"/>
    <w:rsid w:val="3C632BB7"/>
    <w:rsid w:val="3C661A20"/>
    <w:rsid w:val="3C686FDC"/>
    <w:rsid w:val="3C6F0294"/>
    <w:rsid w:val="3C6FDDA9"/>
    <w:rsid w:val="3C70120B"/>
    <w:rsid w:val="3C7020AA"/>
    <w:rsid w:val="3C71897D"/>
    <w:rsid w:val="3C75EF9F"/>
    <w:rsid w:val="3C7C2390"/>
    <w:rsid w:val="3C7D3C5C"/>
    <w:rsid w:val="3C7F5805"/>
    <w:rsid w:val="3C8D1CA1"/>
    <w:rsid w:val="3C8E5510"/>
    <w:rsid w:val="3C8EA309"/>
    <w:rsid w:val="3C91B1AA"/>
    <w:rsid w:val="3C92B9F0"/>
    <w:rsid w:val="3C93696F"/>
    <w:rsid w:val="3CA0CC11"/>
    <w:rsid w:val="3CB1BEE8"/>
    <w:rsid w:val="3CB50C68"/>
    <w:rsid w:val="3CBDBBCE"/>
    <w:rsid w:val="3CBDC40E"/>
    <w:rsid w:val="3CC69ECA"/>
    <w:rsid w:val="3CCB2F71"/>
    <w:rsid w:val="3CCD6406"/>
    <w:rsid w:val="3CD10DA6"/>
    <w:rsid w:val="3CD1DD50"/>
    <w:rsid w:val="3CD38257"/>
    <w:rsid w:val="3CDBB51F"/>
    <w:rsid w:val="3CDCE0D5"/>
    <w:rsid w:val="3CE1ED55"/>
    <w:rsid w:val="3CE2B6D1"/>
    <w:rsid w:val="3CE3BD75"/>
    <w:rsid w:val="3CE3D967"/>
    <w:rsid w:val="3CE4BDA2"/>
    <w:rsid w:val="3CEC0576"/>
    <w:rsid w:val="3CEE74F3"/>
    <w:rsid w:val="3CEE9046"/>
    <w:rsid w:val="3CEFFD2A"/>
    <w:rsid w:val="3CF18C44"/>
    <w:rsid w:val="3CF268E1"/>
    <w:rsid w:val="3CF8C79F"/>
    <w:rsid w:val="3D0212C6"/>
    <w:rsid w:val="3D03F2C2"/>
    <w:rsid w:val="3D04F9DC"/>
    <w:rsid w:val="3D06A6B6"/>
    <w:rsid w:val="3D09A64D"/>
    <w:rsid w:val="3D0ABB52"/>
    <w:rsid w:val="3D0AFC0C"/>
    <w:rsid w:val="3D0B6AAD"/>
    <w:rsid w:val="3D1339C5"/>
    <w:rsid w:val="3D16DCEB"/>
    <w:rsid w:val="3D1DB253"/>
    <w:rsid w:val="3D235783"/>
    <w:rsid w:val="3D2C8EE4"/>
    <w:rsid w:val="3D2DE3B0"/>
    <w:rsid w:val="3D30CF33"/>
    <w:rsid w:val="3D355C67"/>
    <w:rsid w:val="3D391748"/>
    <w:rsid w:val="3D3B0552"/>
    <w:rsid w:val="3D3B96AE"/>
    <w:rsid w:val="3D3C28D9"/>
    <w:rsid w:val="3D3E0CFA"/>
    <w:rsid w:val="3D3F4105"/>
    <w:rsid w:val="3D406454"/>
    <w:rsid w:val="3D418877"/>
    <w:rsid w:val="3D424E15"/>
    <w:rsid w:val="3D47D4A3"/>
    <w:rsid w:val="3D480050"/>
    <w:rsid w:val="3D481B58"/>
    <w:rsid w:val="3D4D1929"/>
    <w:rsid w:val="3D4ED359"/>
    <w:rsid w:val="3D4FBDA2"/>
    <w:rsid w:val="3D527C11"/>
    <w:rsid w:val="3D53E953"/>
    <w:rsid w:val="3D55FB95"/>
    <w:rsid w:val="3D59A1E8"/>
    <w:rsid w:val="3D5B7E4B"/>
    <w:rsid w:val="3D612B6B"/>
    <w:rsid w:val="3D61F017"/>
    <w:rsid w:val="3D7423C3"/>
    <w:rsid w:val="3D780D88"/>
    <w:rsid w:val="3D7DCA8E"/>
    <w:rsid w:val="3D8640A1"/>
    <w:rsid w:val="3D873B4D"/>
    <w:rsid w:val="3D8DFDE7"/>
    <w:rsid w:val="3D924B98"/>
    <w:rsid w:val="3D938A38"/>
    <w:rsid w:val="3D959856"/>
    <w:rsid w:val="3D9A7B02"/>
    <w:rsid w:val="3D9DC9E7"/>
    <w:rsid w:val="3DA1D189"/>
    <w:rsid w:val="3DA2D303"/>
    <w:rsid w:val="3DA7745D"/>
    <w:rsid w:val="3DAD3A63"/>
    <w:rsid w:val="3DB2738F"/>
    <w:rsid w:val="3DB411E0"/>
    <w:rsid w:val="3DB6401A"/>
    <w:rsid w:val="3DBAADAB"/>
    <w:rsid w:val="3DBC47C2"/>
    <w:rsid w:val="3DC5CFC6"/>
    <w:rsid w:val="3DC8796C"/>
    <w:rsid w:val="3DC87EBF"/>
    <w:rsid w:val="3DCFF95D"/>
    <w:rsid w:val="3DD36AF5"/>
    <w:rsid w:val="3DDE7398"/>
    <w:rsid w:val="3DE0F2B9"/>
    <w:rsid w:val="3DE457CA"/>
    <w:rsid w:val="3DE57601"/>
    <w:rsid w:val="3DEA60A8"/>
    <w:rsid w:val="3DEB7BBD"/>
    <w:rsid w:val="3DF101AA"/>
    <w:rsid w:val="3DF634E7"/>
    <w:rsid w:val="3E010DA8"/>
    <w:rsid w:val="3E0C8305"/>
    <w:rsid w:val="3E0D4336"/>
    <w:rsid w:val="3E0EB0EA"/>
    <w:rsid w:val="3E0F63D9"/>
    <w:rsid w:val="3E109C17"/>
    <w:rsid w:val="3E111507"/>
    <w:rsid w:val="3E181611"/>
    <w:rsid w:val="3E193660"/>
    <w:rsid w:val="3E1A3778"/>
    <w:rsid w:val="3E1C9414"/>
    <w:rsid w:val="3E1F997E"/>
    <w:rsid w:val="3E22373C"/>
    <w:rsid w:val="3E29F263"/>
    <w:rsid w:val="3E2B57CD"/>
    <w:rsid w:val="3E2CF1BA"/>
    <w:rsid w:val="3E33247F"/>
    <w:rsid w:val="3E354E65"/>
    <w:rsid w:val="3E385EBC"/>
    <w:rsid w:val="3E3BFCED"/>
    <w:rsid w:val="3E3C81B6"/>
    <w:rsid w:val="3E3D53D6"/>
    <w:rsid w:val="3E3E80C7"/>
    <w:rsid w:val="3E3EB97E"/>
    <w:rsid w:val="3E4B9B21"/>
    <w:rsid w:val="3E4C4DC5"/>
    <w:rsid w:val="3E568144"/>
    <w:rsid w:val="3E56B82C"/>
    <w:rsid w:val="3E5F6BF4"/>
    <w:rsid w:val="3E61FBA4"/>
    <w:rsid w:val="3E6D44F5"/>
    <w:rsid w:val="3E7B762D"/>
    <w:rsid w:val="3E8C5E98"/>
    <w:rsid w:val="3E8C9B1D"/>
    <w:rsid w:val="3E8F77D3"/>
    <w:rsid w:val="3E919546"/>
    <w:rsid w:val="3E932320"/>
    <w:rsid w:val="3E96B5BA"/>
    <w:rsid w:val="3E977107"/>
    <w:rsid w:val="3E980368"/>
    <w:rsid w:val="3E98C1EE"/>
    <w:rsid w:val="3E992A9F"/>
    <w:rsid w:val="3E9B5EF8"/>
    <w:rsid w:val="3E9DD59E"/>
    <w:rsid w:val="3E9FD1F4"/>
    <w:rsid w:val="3EA8D7CA"/>
    <w:rsid w:val="3EB0F7BE"/>
    <w:rsid w:val="3EB4603C"/>
    <w:rsid w:val="3EB6787D"/>
    <w:rsid w:val="3EBA03DB"/>
    <w:rsid w:val="3EC08AF8"/>
    <w:rsid w:val="3EC1A219"/>
    <w:rsid w:val="3EC6B2EB"/>
    <w:rsid w:val="3ECA6C0A"/>
    <w:rsid w:val="3ECE9C43"/>
    <w:rsid w:val="3ED0D80F"/>
    <w:rsid w:val="3ED7B151"/>
    <w:rsid w:val="3ED9E849"/>
    <w:rsid w:val="3EE0553D"/>
    <w:rsid w:val="3EE703B4"/>
    <w:rsid w:val="3EE84D8F"/>
    <w:rsid w:val="3EE88C1D"/>
    <w:rsid w:val="3EEEB3B5"/>
    <w:rsid w:val="3EF7B54F"/>
    <w:rsid w:val="3EF9CCFB"/>
    <w:rsid w:val="3EFDECFC"/>
    <w:rsid w:val="3EFE1711"/>
    <w:rsid w:val="3F00FDCB"/>
    <w:rsid w:val="3F065C3D"/>
    <w:rsid w:val="3F14E28E"/>
    <w:rsid w:val="3F1594C3"/>
    <w:rsid w:val="3F1985D0"/>
    <w:rsid w:val="3F1BB7E0"/>
    <w:rsid w:val="3F1DD61F"/>
    <w:rsid w:val="3F3000F3"/>
    <w:rsid w:val="3F31CC61"/>
    <w:rsid w:val="3F39192C"/>
    <w:rsid w:val="3F3D02F8"/>
    <w:rsid w:val="3F43EC05"/>
    <w:rsid w:val="3F45D5D1"/>
    <w:rsid w:val="3F468175"/>
    <w:rsid w:val="3F47609E"/>
    <w:rsid w:val="3F4C33BB"/>
    <w:rsid w:val="3F4DCC69"/>
    <w:rsid w:val="3F4E58D5"/>
    <w:rsid w:val="3F54A5C7"/>
    <w:rsid w:val="3F54D5A6"/>
    <w:rsid w:val="3F58206B"/>
    <w:rsid w:val="3F64E942"/>
    <w:rsid w:val="3F652318"/>
    <w:rsid w:val="3F65A08E"/>
    <w:rsid w:val="3F68E14B"/>
    <w:rsid w:val="3F6FAAD3"/>
    <w:rsid w:val="3F7676C0"/>
    <w:rsid w:val="3F772794"/>
    <w:rsid w:val="3F7F4215"/>
    <w:rsid w:val="3F810DAE"/>
    <w:rsid w:val="3F853908"/>
    <w:rsid w:val="3F881A46"/>
    <w:rsid w:val="3F88644C"/>
    <w:rsid w:val="3F8BC5B4"/>
    <w:rsid w:val="3F8DFA23"/>
    <w:rsid w:val="3F90C84A"/>
    <w:rsid w:val="3F95AAA2"/>
    <w:rsid w:val="3F96381F"/>
    <w:rsid w:val="3F9BA28A"/>
    <w:rsid w:val="3F9CD1CC"/>
    <w:rsid w:val="3F9DE52C"/>
    <w:rsid w:val="3FA34FAC"/>
    <w:rsid w:val="3FA3A4F7"/>
    <w:rsid w:val="3FA3C501"/>
    <w:rsid w:val="3FA57798"/>
    <w:rsid w:val="3FADE792"/>
    <w:rsid w:val="3FAE673D"/>
    <w:rsid w:val="3FB21B1C"/>
    <w:rsid w:val="3FB4188E"/>
    <w:rsid w:val="3FB56D8D"/>
    <w:rsid w:val="3FB85DA9"/>
    <w:rsid w:val="3FB8FAE3"/>
    <w:rsid w:val="3FB9ADF1"/>
    <w:rsid w:val="3FBC2820"/>
    <w:rsid w:val="3FBE4860"/>
    <w:rsid w:val="3FC35226"/>
    <w:rsid w:val="3FCABE2A"/>
    <w:rsid w:val="3FD20943"/>
    <w:rsid w:val="3FD40BFE"/>
    <w:rsid w:val="3FD80313"/>
    <w:rsid w:val="3FD886B8"/>
    <w:rsid w:val="3FDB59A6"/>
    <w:rsid w:val="3FDE2963"/>
    <w:rsid w:val="3FDF0167"/>
    <w:rsid w:val="3FE23711"/>
    <w:rsid w:val="3FE6048B"/>
    <w:rsid w:val="3FFAF500"/>
    <w:rsid w:val="3FFD67E3"/>
    <w:rsid w:val="4006EAB4"/>
    <w:rsid w:val="400C682D"/>
    <w:rsid w:val="4013548F"/>
    <w:rsid w:val="40161D4A"/>
    <w:rsid w:val="4019F969"/>
    <w:rsid w:val="401A7810"/>
    <w:rsid w:val="401A7BF3"/>
    <w:rsid w:val="4020DE36"/>
    <w:rsid w:val="402513FD"/>
    <w:rsid w:val="402F8F67"/>
    <w:rsid w:val="40349BA9"/>
    <w:rsid w:val="404A5B18"/>
    <w:rsid w:val="404ACC29"/>
    <w:rsid w:val="404C2229"/>
    <w:rsid w:val="40509CCD"/>
    <w:rsid w:val="4051B0E2"/>
    <w:rsid w:val="40584CDD"/>
    <w:rsid w:val="405D53AD"/>
    <w:rsid w:val="406156CE"/>
    <w:rsid w:val="406504B9"/>
    <w:rsid w:val="406BFC06"/>
    <w:rsid w:val="406C2B82"/>
    <w:rsid w:val="40728B28"/>
    <w:rsid w:val="40735CDE"/>
    <w:rsid w:val="40744D58"/>
    <w:rsid w:val="4075D9DB"/>
    <w:rsid w:val="4077F276"/>
    <w:rsid w:val="407D61F2"/>
    <w:rsid w:val="4089F293"/>
    <w:rsid w:val="408C00FF"/>
    <w:rsid w:val="408D49EE"/>
    <w:rsid w:val="408FCD15"/>
    <w:rsid w:val="40956013"/>
    <w:rsid w:val="40B3E0CF"/>
    <w:rsid w:val="40B9B3CA"/>
    <w:rsid w:val="40BEEB57"/>
    <w:rsid w:val="40C06272"/>
    <w:rsid w:val="40C091B3"/>
    <w:rsid w:val="40C49A0E"/>
    <w:rsid w:val="40C5FAF9"/>
    <w:rsid w:val="40C8F45D"/>
    <w:rsid w:val="40CE148F"/>
    <w:rsid w:val="40D03064"/>
    <w:rsid w:val="40D28F12"/>
    <w:rsid w:val="40D5392C"/>
    <w:rsid w:val="40DA27DF"/>
    <w:rsid w:val="40DD2FB7"/>
    <w:rsid w:val="40DFC874"/>
    <w:rsid w:val="40E0092A"/>
    <w:rsid w:val="40E1091E"/>
    <w:rsid w:val="40E1D5AB"/>
    <w:rsid w:val="40E2C45C"/>
    <w:rsid w:val="40E56696"/>
    <w:rsid w:val="40E99C88"/>
    <w:rsid w:val="40EBC5DD"/>
    <w:rsid w:val="40FA79BA"/>
    <w:rsid w:val="40FC61F2"/>
    <w:rsid w:val="4100CD29"/>
    <w:rsid w:val="41010CC6"/>
    <w:rsid w:val="410243D9"/>
    <w:rsid w:val="4106A3E1"/>
    <w:rsid w:val="4107860F"/>
    <w:rsid w:val="410FF40A"/>
    <w:rsid w:val="41113B53"/>
    <w:rsid w:val="41139D7A"/>
    <w:rsid w:val="411460E7"/>
    <w:rsid w:val="41199141"/>
    <w:rsid w:val="411CEA9F"/>
    <w:rsid w:val="411FE291"/>
    <w:rsid w:val="4126622F"/>
    <w:rsid w:val="412E89AD"/>
    <w:rsid w:val="412EE2FE"/>
    <w:rsid w:val="412FFC25"/>
    <w:rsid w:val="413117A4"/>
    <w:rsid w:val="41361D8D"/>
    <w:rsid w:val="413B4603"/>
    <w:rsid w:val="4145C1CE"/>
    <w:rsid w:val="414E89AB"/>
    <w:rsid w:val="415256E3"/>
    <w:rsid w:val="4154DDE8"/>
    <w:rsid w:val="41572279"/>
    <w:rsid w:val="4158347F"/>
    <w:rsid w:val="415B5C7B"/>
    <w:rsid w:val="415FE46C"/>
    <w:rsid w:val="416448A2"/>
    <w:rsid w:val="416979DB"/>
    <w:rsid w:val="416AD85D"/>
    <w:rsid w:val="4171D838"/>
    <w:rsid w:val="4181C797"/>
    <w:rsid w:val="41835EBF"/>
    <w:rsid w:val="41854BED"/>
    <w:rsid w:val="41882D28"/>
    <w:rsid w:val="4189A9AF"/>
    <w:rsid w:val="41920F90"/>
    <w:rsid w:val="4192BE89"/>
    <w:rsid w:val="41981E32"/>
    <w:rsid w:val="41A01313"/>
    <w:rsid w:val="41A0BFE3"/>
    <w:rsid w:val="41A39009"/>
    <w:rsid w:val="41A5C22F"/>
    <w:rsid w:val="41A63312"/>
    <w:rsid w:val="41ABD85F"/>
    <w:rsid w:val="41AC6471"/>
    <w:rsid w:val="41AEFC3D"/>
    <w:rsid w:val="41B7F234"/>
    <w:rsid w:val="41B84102"/>
    <w:rsid w:val="41C46CF8"/>
    <w:rsid w:val="41C7F0DD"/>
    <w:rsid w:val="41D0DFA2"/>
    <w:rsid w:val="41D763A3"/>
    <w:rsid w:val="41D98564"/>
    <w:rsid w:val="41DD499B"/>
    <w:rsid w:val="41E04E28"/>
    <w:rsid w:val="41E75AAE"/>
    <w:rsid w:val="41EA44BE"/>
    <w:rsid w:val="41EA9939"/>
    <w:rsid w:val="41F13CE7"/>
    <w:rsid w:val="41F69A20"/>
    <w:rsid w:val="41FC1626"/>
    <w:rsid w:val="4201F880"/>
    <w:rsid w:val="42034775"/>
    <w:rsid w:val="420807A4"/>
    <w:rsid w:val="420AC706"/>
    <w:rsid w:val="420E17FC"/>
    <w:rsid w:val="42197499"/>
    <w:rsid w:val="4219EC39"/>
    <w:rsid w:val="421D0CBF"/>
    <w:rsid w:val="4220C8BE"/>
    <w:rsid w:val="4222C2A5"/>
    <w:rsid w:val="42244A41"/>
    <w:rsid w:val="422594E2"/>
    <w:rsid w:val="42335EC5"/>
    <w:rsid w:val="42354E4F"/>
    <w:rsid w:val="42358233"/>
    <w:rsid w:val="423CB423"/>
    <w:rsid w:val="423D6DE3"/>
    <w:rsid w:val="42412040"/>
    <w:rsid w:val="424123B7"/>
    <w:rsid w:val="4247AD23"/>
    <w:rsid w:val="424CD05A"/>
    <w:rsid w:val="42511205"/>
    <w:rsid w:val="4251B09A"/>
    <w:rsid w:val="4258D2E3"/>
    <w:rsid w:val="425C7C59"/>
    <w:rsid w:val="4262E288"/>
    <w:rsid w:val="42684F12"/>
    <w:rsid w:val="426899B7"/>
    <w:rsid w:val="4269C1D0"/>
    <w:rsid w:val="426F8BCD"/>
    <w:rsid w:val="4276F7CC"/>
    <w:rsid w:val="42776E17"/>
    <w:rsid w:val="427D1B9E"/>
    <w:rsid w:val="427D437F"/>
    <w:rsid w:val="427D8482"/>
    <w:rsid w:val="42823178"/>
    <w:rsid w:val="4287D733"/>
    <w:rsid w:val="4287F9E3"/>
    <w:rsid w:val="42880425"/>
    <w:rsid w:val="428AA7CE"/>
    <w:rsid w:val="428B6A86"/>
    <w:rsid w:val="428D6568"/>
    <w:rsid w:val="428DD55A"/>
    <w:rsid w:val="429731A2"/>
    <w:rsid w:val="4299B793"/>
    <w:rsid w:val="42A20E1E"/>
    <w:rsid w:val="42AB4345"/>
    <w:rsid w:val="42ABA6A2"/>
    <w:rsid w:val="42B04B57"/>
    <w:rsid w:val="42B2CF51"/>
    <w:rsid w:val="42B4D0FB"/>
    <w:rsid w:val="42BC4129"/>
    <w:rsid w:val="42BF5792"/>
    <w:rsid w:val="42C2E58C"/>
    <w:rsid w:val="42C4A01F"/>
    <w:rsid w:val="42CAF55E"/>
    <w:rsid w:val="42D92035"/>
    <w:rsid w:val="42DA0E1F"/>
    <w:rsid w:val="42DBB378"/>
    <w:rsid w:val="42DECC61"/>
    <w:rsid w:val="42E40E1E"/>
    <w:rsid w:val="42E59119"/>
    <w:rsid w:val="42E5B1F4"/>
    <w:rsid w:val="42E99406"/>
    <w:rsid w:val="42F027B7"/>
    <w:rsid w:val="42F1B25E"/>
    <w:rsid w:val="42F83EB8"/>
    <w:rsid w:val="42FB3697"/>
    <w:rsid w:val="4303B8E2"/>
    <w:rsid w:val="43081206"/>
    <w:rsid w:val="430C3C91"/>
    <w:rsid w:val="430CCD9A"/>
    <w:rsid w:val="430E58BF"/>
    <w:rsid w:val="430FFB1A"/>
    <w:rsid w:val="4311EC37"/>
    <w:rsid w:val="4314F3C2"/>
    <w:rsid w:val="431C71B7"/>
    <w:rsid w:val="431E7951"/>
    <w:rsid w:val="4326792D"/>
    <w:rsid w:val="43271B18"/>
    <w:rsid w:val="43272554"/>
    <w:rsid w:val="432AF17C"/>
    <w:rsid w:val="432F77F1"/>
    <w:rsid w:val="433145A8"/>
    <w:rsid w:val="433D3E61"/>
    <w:rsid w:val="433DF768"/>
    <w:rsid w:val="433F1A43"/>
    <w:rsid w:val="433FBCB4"/>
    <w:rsid w:val="434464D0"/>
    <w:rsid w:val="4354932F"/>
    <w:rsid w:val="4356EDBD"/>
    <w:rsid w:val="4359E94A"/>
    <w:rsid w:val="4362983B"/>
    <w:rsid w:val="4365B7EB"/>
    <w:rsid w:val="4376DEC5"/>
    <w:rsid w:val="4377CC49"/>
    <w:rsid w:val="43791B01"/>
    <w:rsid w:val="437D9515"/>
    <w:rsid w:val="4381EDE8"/>
    <w:rsid w:val="43843058"/>
    <w:rsid w:val="4386D668"/>
    <w:rsid w:val="438C6896"/>
    <w:rsid w:val="43988D4A"/>
    <w:rsid w:val="439A5871"/>
    <w:rsid w:val="43A0CF25"/>
    <w:rsid w:val="43A6BED4"/>
    <w:rsid w:val="43AD3E64"/>
    <w:rsid w:val="43B06137"/>
    <w:rsid w:val="43B1FEBE"/>
    <w:rsid w:val="43B5306A"/>
    <w:rsid w:val="43C141C1"/>
    <w:rsid w:val="43C48094"/>
    <w:rsid w:val="43CB1611"/>
    <w:rsid w:val="43CFB677"/>
    <w:rsid w:val="43D152F1"/>
    <w:rsid w:val="43D241C9"/>
    <w:rsid w:val="43D25EC7"/>
    <w:rsid w:val="43D98E85"/>
    <w:rsid w:val="43D9C099"/>
    <w:rsid w:val="43DBFA90"/>
    <w:rsid w:val="43DD4E8D"/>
    <w:rsid w:val="43DDE512"/>
    <w:rsid w:val="43E01CCF"/>
    <w:rsid w:val="43E088E1"/>
    <w:rsid w:val="43E601CB"/>
    <w:rsid w:val="43E64877"/>
    <w:rsid w:val="43E72611"/>
    <w:rsid w:val="43EAFBE8"/>
    <w:rsid w:val="43EC0906"/>
    <w:rsid w:val="43F0AED2"/>
    <w:rsid w:val="43FF5A8A"/>
    <w:rsid w:val="4407E035"/>
    <w:rsid w:val="440D7FC1"/>
    <w:rsid w:val="440F6EAE"/>
    <w:rsid w:val="440FB8DD"/>
    <w:rsid w:val="44110DE5"/>
    <w:rsid w:val="4418CB14"/>
    <w:rsid w:val="441991C3"/>
    <w:rsid w:val="442418CA"/>
    <w:rsid w:val="4424E5FD"/>
    <w:rsid w:val="442BE79F"/>
    <w:rsid w:val="44316B4F"/>
    <w:rsid w:val="44476266"/>
    <w:rsid w:val="44476CF2"/>
    <w:rsid w:val="44492884"/>
    <w:rsid w:val="444E642E"/>
    <w:rsid w:val="444EC803"/>
    <w:rsid w:val="44535648"/>
    <w:rsid w:val="4454B4C1"/>
    <w:rsid w:val="4454C43C"/>
    <w:rsid w:val="4458167A"/>
    <w:rsid w:val="445825A0"/>
    <w:rsid w:val="445C92D1"/>
    <w:rsid w:val="445D286E"/>
    <w:rsid w:val="446759E1"/>
    <w:rsid w:val="4483AF49"/>
    <w:rsid w:val="4492E9AD"/>
    <w:rsid w:val="44948DFB"/>
    <w:rsid w:val="449EF7A4"/>
    <w:rsid w:val="44A2A3C7"/>
    <w:rsid w:val="44A4DB65"/>
    <w:rsid w:val="44A5A280"/>
    <w:rsid w:val="44ABC8F4"/>
    <w:rsid w:val="44B2078E"/>
    <w:rsid w:val="44B5124B"/>
    <w:rsid w:val="44B74BA4"/>
    <w:rsid w:val="44BB0AEC"/>
    <w:rsid w:val="44C2AA78"/>
    <w:rsid w:val="44C578E9"/>
    <w:rsid w:val="44CC68DE"/>
    <w:rsid w:val="44D372B9"/>
    <w:rsid w:val="44D9C02A"/>
    <w:rsid w:val="44DBB66C"/>
    <w:rsid w:val="44DE6629"/>
    <w:rsid w:val="44E3CD4E"/>
    <w:rsid w:val="44E62376"/>
    <w:rsid w:val="44EA3383"/>
    <w:rsid w:val="44EC1800"/>
    <w:rsid w:val="44F3C29B"/>
    <w:rsid w:val="44F8E779"/>
    <w:rsid w:val="44F932EC"/>
    <w:rsid w:val="44FA7CC4"/>
    <w:rsid w:val="44FC1F27"/>
    <w:rsid w:val="44FE9860"/>
    <w:rsid w:val="450109F4"/>
    <w:rsid w:val="4507B495"/>
    <w:rsid w:val="450CC971"/>
    <w:rsid w:val="45118A9B"/>
    <w:rsid w:val="45133FF7"/>
    <w:rsid w:val="451C9BBA"/>
    <w:rsid w:val="452B7A6F"/>
    <w:rsid w:val="452D55B4"/>
    <w:rsid w:val="45311502"/>
    <w:rsid w:val="4531A25A"/>
    <w:rsid w:val="45357274"/>
    <w:rsid w:val="453BC49D"/>
    <w:rsid w:val="453D2804"/>
    <w:rsid w:val="45412429"/>
    <w:rsid w:val="4542B5DD"/>
    <w:rsid w:val="45486206"/>
    <w:rsid w:val="4549FC4F"/>
    <w:rsid w:val="454A9312"/>
    <w:rsid w:val="454AD593"/>
    <w:rsid w:val="4551CD11"/>
    <w:rsid w:val="455289CD"/>
    <w:rsid w:val="456D65A2"/>
    <w:rsid w:val="456E43A1"/>
    <w:rsid w:val="45704065"/>
    <w:rsid w:val="457F84B1"/>
    <w:rsid w:val="458100E9"/>
    <w:rsid w:val="458F7D59"/>
    <w:rsid w:val="458F901B"/>
    <w:rsid w:val="459831A4"/>
    <w:rsid w:val="459996BC"/>
    <w:rsid w:val="459BAE34"/>
    <w:rsid w:val="459C138D"/>
    <w:rsid w:val="459CFF9A"/>
    <w:rsid w:val="459DC870"/>
    <w:rsid w:val="45A0A57E"/>
    <w:rsid w:val="45A5041C"/>
    <w:rsid w:val="45BE20C2"/>
    <w:rsid w:val="45C33BF8"/>
    <w:rsid w:val="45C6A568"/>
    <w:rsid w:val="45C7F939"/>
    <w:rsid w:val="45CB36D8"/>
    <w:rsid w:val="45D3757C"/>
    <w:rsid w:val="45DA5F0B"/>
    <w:rsid w:val="45DE0EC7"/>
    <w:rsid w:val="45DE2BF1"/>
    <w:rsid w:val="45DE791A"/>
    <w:rsid w:val="45E37CCE"/>
    <w:rsid w:val="45E7B4E4"/>
    <w:rsid w:val="45EA1DE7"/>
    <w:rsid w:val="45EC4D5A"/>
    <w:rsid w:val="45ED7656"/>
    <w:rsid w:val="45F5D82A"/>
    <w:rsid w:val="45FDE16E"/>
    <w:rsid w:val="46019863"/>
    <w:rsid w:val="46023583"/>
    <w:rsid w:val="46095D23"/>
    <w:rsid w:val="460FD581"/>
    <w:rsid w:val="460FF0CB"/>
    <w:rsid w:val="462126B4"/>
    <w:rsid w:val="462168A7"/>
    <w:rsid w:val="4624C7F7"/>
    <w:rsid w:val="462F32B5"/>
    <w:rsid w:val="46329C51"/>
    <w:rsid w:val="46331054"/>
    <w:rsid w:val="4635047B"/>
    <w:rsid w:val="463C7914"/>
    <w:rsid w:val="46408C10"/>
    <w:rsid w:val="46414B08"/>
    <w:rsid w:val="4646F1E2"/>
    <w:rsid w:val="464E39D8"/>
    <w:rsid w:val="464EB194"/>
    <w:rsid w:val="464EC4A0"/>
    <w:rsid w:val="465026E6"/>
    <w:rsid w:val="4655B915"/>
    <w:rsid w:val="4659DE4E"/>
    <w:rsid w:val="4659E9F5"/>
    <w:rsid w:val="466269B4"/>
    <w:rsid w:val="4664354F"/>
    <w:rsid w:val="46668850"/>
    <w:rsid w:val="466A1FD0"/>
    <w:rsid w:val="466DE240"/>
    <w:rsid w:val="466EB531"/>
    <w:rsid w:val="466FF8C9"/>
    <w:rsid w:val="467169E8"/>
    <w:rsid w:val="46730DE0"/>
    <w:rsid w:val="46763879"/>
    <w:rsid w:val="4678999F"/>
    <w:rsid w:val="467F6FB5"/>
    <w:rsid w:val="46816DF2"/>
    <w:rsid w:val="4687D17E"/>
    <w:rsid w:val="468C4E7C"/>
    <w:rsid w:val="4691C4FB"/>
    <w:rsid w:val="4699BE1E"/>
    <w:rsid w:val="469B39D3"/>
    <w:rsid w:val="46A0094E"/>
    <w:rsid w:val="46A4C027"/>
    <w:rsid w:val="46A58469"/>
    <w:rsid w:val="46AAE752"/>
    <w:rsid w:val="46AB04D5"/>
    <w:rsid w:val="46B68BB3"/>
    <w:rsid w:val="46C5B68B"/>
    <w:rsid w:val="46CAAE4A"/>
    <w:rsid w:val="46CBA46C"/>
    <w:rsid w:val="46CBBE14"/>
    <w:rsid w:val="46DA7618"/>
    <w:rsid w:val="46DBCC40"/>
    <w:rsid w:val="46E6560B"/>
    <w:rsid w:val="46EC10D1"/>
    <w:rsid w:val="46EF520D"/>
    <w:rsid w:val="46EFA033"/>
    <w:rsid w:val="46F161C3"/>
    <w:rsid w:val="46F8B550"/>
    <w:rsid w:val="46FA9139"/>
    <w:rsid w:val="470975DC"/>
    <w:rsid w:val="470DF70D"/>
    <w:rsid w:val="4712342B"/>
    <w:rsid w:val="4716541F"/>
    <w:rsid w:val="471BE881"/>
    <w:rsid w:val="4732AF5A"/>
    <w:rsid w:val="47367CA0"/>
    <w:rsid w:val="473D6CAC"/>
    <w:rsid w:val="473FBF4C"/>
    <w:rsid w:val="4741AD60"/>
    <w:rsid w:val="474620CC"/>
    <w:rsid w:val="4749CE6A"/>
    <w:rsid w:val="474AA60B"/>
    <w:rsid w:val="474C19AB"/>
    <w:rsid w:val="474DB20D"/>
    <w:rsid w:val="474F7C15"/>
    <w:rsid w:val="475343FF"/>
    <w:rsid w:val="47542B01"/>
    <w:rsid w:val="4755D81E"/>
    <w:rsid w:val="475D5E0F"/>
    <w:rsid w:val="4760883C"/>
    <w:rsid w:val="4761D41A"/>
    <w:rsid w:val="4765F091"/>
    <w:rsid w:val="476A6CFD"/>
    <w:rsid w:val="476B6378"/>
    <w:rsid w:val="476D19FB"/>
    <w:rsid w:val="476D87AB"/>
    <w:rsid w:val="476FC4F6"/>
    <w:rsid w:val="476FEEAC"/>
    <w:rsid w:val="477768D4"/>
    <w:rsid w:val="47812731"/>
    <w:rsid w:val="47831C2D"/>
    <w:rsid w:val="478A33AB"/>
    <w:rsid w:val="478B1C55"/>
    <w:rsid w:val="478E994D"/>
    <w:rsid w:val="47911062"/>
    <w:rsid w:val="4797F751"/>
    <w:rsid w:val="4798F114"/>
    <w:rsid w:val="479D3DD4"/>
    <w:rsid w:val="47A2F7A9"/>
    <w:rsid w:val="47A3C572"/>
    <w:rsid w:val="47A75AD1"/>
    <w:rsid w:val="47AAA242"/>
    <w:rsid w:val="47AB78C1"/>
    <w:rsid w:val="47AE1F54"/>
    <w:rsid w:val="47B3CEE2"/>
    <w:rsid w:val="47B504F0"/>
    <w:rsid w:val="47B62842"/>
    <w:rsid w:val="47B9B375"/>
    <w:rsid w:val="47BA229E"/>
    <w:rsid w:val="47C3B798"/>
    <w:rsid w:val="47C8422C"/>
    <w:rsid w:val="47CC5374"/>
    <w:rsid w:val="47D257FA"/>
    <w:rsid w:val="47D388F7"/>
    <w:rsid w:val="47DC1681"/>
    <w:rsid w:val="47DD63B3"/>
    <w:rsid w:val="47DD8235"/>
    <w:rsid w:val="47DE489E"/>
    <w:rsid w:val="47DF69F5"/>
    <w:rsid w:val="47E0CCC4"/>
    <w:rsid w:val="47E1BBA9"/>
    <w:rsid w:val="47E1C81A"/>
    <w:rsid w:val="47E404A2"/>
    <w:rsid w:val="47EC635E"/>
    <w:rsid w:val="47F0F5CB"/>
    <w:rsid w:val="47F4ED8B"/>
    <w:rsid w:val="47F56BEE"/>
    <w:rsid w:val="47FC36EE"/>
    <w:rsid w:val="4801FF28"/>
    <w:rsid w:val="48093151"/>
    <w:rsid w:val="480B2846"/>
    <w:rsid w:val="480B30DD"/>
    <w:rsid w:val="480DB40F"/>
    <w:rsid w:val="48135BB8"/>
    <w:rsid w:val="4814349D"/>
    <w:rsid w:val="482097EE"/>
    <w:rsid w:val="4822E68F"/>
    <w:rsid w:val="48244DC3"/>
    <w:rsid w:val="4825F184"/>
    <w:rsid w:val="4827BF2F"/>
    <w:rsid w:val="482879AA"/>
    <w:rsid w:val="482A6407"/>
    <w:rsid w:val="482DB991"/>
    <w:rsid w:val="482E21B2"/>
    <w:rsid w:val="4836EF37"/>
    <w:rsid w:val="4836FC2B"/>
    <w:rsid w:val="4838B412"/>
    <w:rsid w:val="4849B84B"/>
    <w:rsid w:val="484DEEAD"/>
    <w:rsid w:val="485681BC"/>
    <w:rsid w:val="485915A9"/>
    <w:rsid w:val="48601ED8"/>
    <w:rsid w:val="4863C81C"/>
    <w:rsid w:val="48672E4A"/>
    <w:rsid w:val="4868532A"/>
    <w:rsid w:val="486A6201"/>
    <w:rsid w:val="486B7996"/>
    <w:rsid w:val="48728CCD"/>
    <w:rsid w:val="487B38B7"/>
    <w:rsid w:val="48828A2C"/>
    <w:rsid w:val="48836FC0"/>
    <w:rsid w:val="48854ABA"/>
    <w:rsid w:val="4889129B"/>
    <w:rsid w:val="488FFD40"/>
    <w:rsid w:val="4890C787"/>
    <w:rsid w:val="489827C8"/>
    <w:rsid w:val="48987F76"/>
    <w:rsid w:val="4899AC09"/>
    <w:rsid w:val="489B9772"/>
    <w:rsid w:val="489EA47A"/>
    <w:rsid w:val="48A35712"/>
    <w:rsid w:val="48A799BF"/>
    <w:rsid w:val="48A83BA1"/>
    <w:rsid w:val="48AF494E"/>
    <w:rsid w:val="48B17E2A"/>
    <w:rsid w:val="48B91F5C"/>
    <w:rsid w:val="48BA59CF"/>
    <w:rsid w:val="48BF1ADC"/>
    <w:rsid w:val="48C53A02"/>
    <w:rsid w:val="48D3BD87"/>
    <w:rsid w:val="48D89EA1"/>
    <w:rsid w:val="48DAC17B"/>
    <w:rsid w:val="48DCDFEB"/>
    <w:rsid w:val="48E2CBB7"/>
    <w:rsid w:val="48F61E4B"/>
    <w:rsid w:val="48FC9917"/>
    <w:rsid w:val="49011E0A"/>
    <w:rsid w:val="49045E61"/>
    <w:rsid w:val="4904F339"/>
    <w:rsid w:val="49094C1F"/>
    <w:rsid w:val="490F6A27"/>
    <w:rsid w:val="49139EBB"/>
    <w:rsid w:val="49144CE2"/>
    <w:rsid w:val="491A941D"/>
    <w:rsid w:val="491AFB7E"/>
    <w:rsid w:val="491E6A2F"/>
    <w:rsid w:val="491EA886"/>
    <w:rsid w:val="49261551"/>
    <w:rsid w:val="49273B76"/>
    <w:rsid w:val="493187FE"/>
    <w:rsid w:val="4932C74F"/>
    <w:rsid w:val="4933B6DD"/>
    <w:rsid w:val="4935D1AD"/>
    <w:rsid w:val="493631E5"/>
    <w:rsid w:val="4939E4F0"/>
    <w:rsid w:val="493DBD25"/>
    <w:rsid w:val="493EB835"/>
    <w:rsid w:val="49435D42"/>
    <w:rsid w:val="494509E4"/>
    <w:rsid w:val="4945BC55"/>
    <w:rsid w:val="49465F2F"/>
    <w:rsid w:val="4946C6F5"/>
    <w:rsid w:val="494FC6E9"/>
    <w:rsid w:val="49580F76"/>
    <w:rsid w:val="49619603"/>
    <w:rsid w:val="49645094"/>
    <w:rsid w:val="496B558E"/>
    <w:rsid w:val="496BA843"/>
    <w:rsid w:val="496EFEF6"/>
    <w:rsid w:val="49718718"/>
    <w:rsid w:val="4972AE1C"/>
    <w:rsid w:val="4978CB7A"/>
    <w:rsid w:val="497CF590"/>
    <w:rsid w:val="497E6AA0"/>
    <w:rsid w:val="497F5AAF"/>
    <w:rsid w:val="497F9AF7"/>
    <w:rsid w:val="498139BD"/>
    <w:rsid w:val="4981C9E0"/>
    <w:rsid w:val="4989C40B"/>
    <w:rsid w:val="498A43E8"/>
    <w:rsid w:val="498D3364"/>
    <w:rsid w:val="498DE094"/>
    <w:rsid w:val="498F716A"/>
    <w:rsid w:val="4995566E"/>
    <w:rsid w:val="499619D2"/>
    <w:rsid w:val="4999C515"/>
    <w:rsid w:val="499DE87F"/>
    <w:rsid w:val="49A0D3C4"/>
    <w:rsid w:val="49A1E820"/>
    <w:rsid w:val="49A55472"/>
    <w:rsid w:val="49A7CB2F"/>
    <w:rsid w:val="49A9530C"/>
    <w:rsid w:val="49AC7C07"/>
    <w:rsid w:val="49B3F19E"/>
    <w:rsid w:val="49BA579B"/>
    <w:rsid w:val="49BBD008"/>
    <w:rsid w:val="49C030EB"/>
    <w:rsid w:val="49C1752C"/>
    <w:rsid w:val="49C4FFCA"/>
    <w:rsid w:val="49C92809"/>
    <w:rsid w:val="49CBB0ED"/>
    <w:rsid w:val="49D3ADFF"/>
    <w:rsid w:val="49D7B424"/>
    <w:rsid w:val="49E0A20C"/>
    <w:rsid w:val="49E57DCB"/>
    <w:rsid w:val="49EFE1EF"/>
    <w:rsid w:val="49F52001"/>
    <w:rsid w:val="49FA9FED"/>
    <w:rsid w:val="49FADF29"/>
    <w:rsid w:val="49FE170C"/>
    <w:rsid w:val="4A00AE5C"/>
    <w:rsid w:val="4A0261A4"/>
    <w:rsid w:val="4A03E9B2"/>
    <w:rsid w:val="4A048F3F"/>
    <w:rsid w:val="4A0766B8"/>
    <w:rsid w:val="4A08E31E"/>
    <w:rsid w:val="4A0BB78F"/>
    <w:rsid w:val="4A1983A8"/>
    <w:rsid w:val="4A245159"/>
    <w:rsid w:val="4A24AD6C"/>
    <w:rsid w:val="4A26D23F"/>
    <w:rsid w:val="4A27B7BF"/>
    <w:rsid w:val="4A2ABA21"/>
    <w:rsid w:val="4A2E923B"/>
    <w:rsid w:val="4A3015DE"/>
    <w:rsid w:val="4A371817"/>
    <w:rsid w:val="4A375362"/>
    <w:rsid w:val="4A381180"/>
    <w:rsid w:val="4A3AC7B9"/>
    <w:rsid w:val="4A3E6C59"/>
    <w:rsid w:val="4A3E70BE"/>
    <w:rsid w:val="4A3EEB8E"/>
    <w:rsid w:val="4A4426F0"/>
    <w:rsid w:val="4A460C0D"/>
    <w:rsid w:val="4A48AA64"/>
    <w:rsid w:val="4A54B9B9"/>
    <w:rsid w:val="4A59EDB8"/>
    <w:rsid w:val="4A5BA416"/>
    <w:rsid w:val="4A5BF7C2"/>
    <w:rsid w:val="4A5DB4D2"/>
    <w:rsid w:val="4A618C5B"/>
    <w:rsid w:val="4A64F278"/>
    <w:rsid w:val="4A69E563"/>
    <w:rsid w:val="4A73A18C"/>
    <w:rsid w:val="4A7400FB"/>
    <w:rsid w:val="4A7401F7"/>
    <w:rsid w:val="4A7795FF"/>
    <w:rsid w:val="4A78D0A9"/>
    <w:rsid w:val="4A8A0C68"/>
    <w:rsid w:val="4A8A6374"/>
    <w:rsid w:val="4A8B6EDA"/>
    <w:rsid w:val="4A8DFE89"/>
    <w:rsid w:val="4A943EB5"/>
    <w:rsid w:val="4A9FF21D"/>
    <w:rsid w:val="4AA10E7F"/>
    <w:rsid w:val="4AA14E50"/>
    <w:rsid w:val="4AA419EE"/>
    <w:rsid w:val="4AA43B94"/>
    <w:rsid w:val="4AB255FB"/>
    <w:rsid w:val="4AB577A5"/>
    <w:rsid w:val="4ABAB79E"/>
    <w:rsid w:val="4ABD55EE"/>
    <w:rsid w:val="4AC565F9"/>
    <w:rsid w:val="4AC5F7A7"/>
    <w:rsid w:val="4AC6B8A1"/>
    <w:rsid w:val="4ACC3083"/>
    <w:rsid w:val="4ACE25BE"/>
    <w:rsid w:val="4AEF09B3"/>
    <w:rsid w:val="4AF11966"/>
    <w:rsid w:val="4AF2143A"/>
    <w:rsid w:val="4AF4BC13"/>
    <w:rsid w:val="4AFF303B"/>
    <w:rsid w:val="4B030D97"/>
    <w:rsid w:val="4B0AED5F"/>
    <w:rsid w:val="4B0B9E27"/>
    <w:rsid w:val="4B0C3743"/>
    <w:rsid w:val="4B0C3F82"/>
    <w:rsid w:val="4B0D1504"/>
    <w:rsid w:val="4B0EED32"/>
    <w:rsid w:val="4B13075E"/>
    <w:rsid w:val="4B145EBF"/>
    <w:rsid w:val="4B14FFC2"/>
    <w:rsid w:val="4B181A4D"/>
    <w:rsid w:val="4B18655E"/>
    <w:rsid w:val="4B190DA3"/>
    <w:rsid w:val="4B1C76C6"/>
    <w:rsid w:val="4B1CEC9E"/>
    <w:rsid w:val="4B1F1342"/>
    <w:rsid w:val="4B1FE923"/>
    <w:rsid w:val="4B20885B"/>
    <w:rsid w:val="4B261F5C"/>
    <w:rsid w:val="4B2B67C6"/>
    <w:rsid w:val="4B2BB097"/>
    <w:rsid w:val="4B2D8314"/>
    <w:rsid w:val="4B2F6BB4"/>
    <w:rsid w:val="4B3659CF"/>
    <w:rsid w:val="4B384E6F"/>
    <w:rsid w:val="4B3EAEE4"/>
    <w:rsid w:val="4B40B294"/>
    <w:rsid w:val="4B418412"/>
    <w:rsid w:val="4B4DC9DA"/>
    <w:rsid w:val="4B537A22"/>
    <w:rsid w:val="4B584543"/>
    <w:rsid w:val="4B5943F1"/>
    <w:rsid w:val="4B5A7553"/>
    <w:rsid w:val="4B677DEB"/>
    <w:rsid w:val="4B67E404"/>
    <w:rsid w:val="4B6C9EE7"/>
    <w:rsid w:val="4B7408D9"/>
    <w:rsid w:val="4B753A82"/>
    <w:rsid w:val="4B757D6B"/>
    <w:rsid w:val="4B760768"/>
    <w:rsid w:val="4B7CE49F"/>
    <w:rsid w:val="4B82056E"/>
    <w:rsid w:val="4B8B58D3"/>
    <w:rsid w:val="4B8E94B8"/>
    <w:rsid w:val="4B92B8F4"/>
    <w:rsid w:val="4B978009"/>
    <w:rsid w:val="4B978113"/>
    <w:rsid w:val="4B9E5051"/>
    <w:rsid w:val="4B9FCB21"/>
    <w:rsid w:val="4BA254FC"/>
    <w:rsid w:val="4BA664F7"/>
    <w:rsid w:val="4BB1ADCB"/>
    <w:rsid w:val="4BB1B374"/>
    <w:rsid w:val="4BB22497"/>
    <w:rsid w:val="4BB374F5"/>
    <w:rsid w:val="4BB43094"/>
    <w:rsid w:val="4BB5259B"/>
    <w:rsid w:val="4BB8B426"/>
    <w:rsid w:val="4BB8FF39"/>
    <w:rsid w:val="4BCB53A9"/>
    <w:rsid w:val="4BD1C970"/>
    <w:rsid w:val="4BD54539"/>
    <w:rsid w:val="4BD9BC25"/>
    <w:rsid w:val="4BDA844B"/>
    <w:rsid w:val="4BE796D9"/>
    <w:rsid w:val="4BEEDFE2"/>
    <w:rsid w:val="4BF000EC"/>
    <w:rsid w:val="4BF1D352"/>
    <w:rsid w:val="4C00493B"/>
    <w:rsid w:val="4C06F6F9"/>
    <w:rsid w:val="4C0F3133"/>
    <w:rsid w:val="4C16F35E"/>
    <w:rsid w:val="4C18FC08"/>
    <w:rsid w:val="4C1978D9"/>
    <w:rsid w:val="4C1A3CCC"/>
    <w:rsid w:val="4C225ED1"/>
    <w:rsid w:val="4C2DD1B3"/>
    <w:rsid w:val="4C312203"/>
    <w:rsid w:val="4C370451"/>
    <w:rsid w:val="4C37FDE5"/>
    <w:rsid w:val="4C391C03"/>
    <w:rsid w:val="4C3B5216"/>
    <w:rsid w:val="4C3FCEC4"/>
    <w:rsid w:val="4C41879B"/>
    <w:rsid w:val="4C46F5FB"/>
    <w:rsid w:val="4C4AD7E1"/>
    <w:rsid w:val="4C4C657E"/>
    <w:rsid w:val="4C4E81DF"/>
    <w:rsid w:val="4C4FF0FB"/>
    <w:rsid w:val="4C501219"/>
    <w:rsid w:val="4C537EF6"/>
    <w:rsid w:val="4C5BF20F"/>
    <w:rsid w:val="4C5DF7BA"/>
    <w:rsid w:val="4C600BDC"/>
    <w:rsid w:val="4C6464CF"/>
    <w:rsid w:val="4C6618B5"/>
    <w:rsid w:val="4C6787EE"/>
    <w:rsid w:val="4C6AAC9F"/>
    <w:rsid w:val="4C6D5314"/>
    <w:rsid w:val="4C6E8A1A"/>
    <w:rsid w:val="4C71BE1E"/>
    <w:rsid w:val="4C7233AD"/>
    <w:rsid w:val="4C731318"/>
    <w:rsid w:val="4C732B15"/>
    <w:rsid w:val="4C77A558"/>
    <w:rsid w:val="4C7C1788"/>
    <w:rsid w:val="4C7F2B0C"/>
    <w:rsid w:val="4C823B9E"/>
    <w:rsid w:val="4C824FD2"/>
    <w:rsid w:val="4C83F3C2"/>
    <w:rsid w:val="4C86F7C9"/>
    <w:rsid w:val="4C87D245"/>
    <w:rsid w:val="4C88C714"/>
    <w:rsid w:val="4C8A3F59"/>
    <w:rsid w:val="4C8EFD73"/>
    <w:rsid w:val="4C911050"/>
    <w:rsid w:val="4C97756F"/>
    <w:rsid w:val="4C99F7A9"/>
    <w:rsid w:val="4C9C5129"/>
    <w:rsid w:val="4CA03230"/>
    <w:rsid w:val="4CA343F5"/>
    <w:rsid w:val="4CA75B8E"/>
    <w:rsid w:val="4CA79C44"/>
    <w:rsid w:val="4CA9C9EE"/>
    <w:rsid w:val="4CAD9AB7"/>
    <w:rsid w:val="4CAEF27C"/>
    <w:rsid w:val="4CB0756D"/>
    <w:rsid w:val="4CB15620"/>
    <w:rsid w:val="4CB43A51"/>
    <w:rsid w:val="4CB6C1F3"/>
    <w:rsid w:val="4CC09968"/>
    <w:rsid w:val="4CC1BCAC"/>
    <w:rsid w:val="4CC5B3AC"/>
    <w:rsid w:val="4CC94A31"/>
    <w:rsid w:val="4CCE2BEE"/>
    <w:rsid w:val="4CD758E2"/>
    <w:rsid w:val="4CD8E923"/>
    <w:rsid w:val="4CDE8545"/>
    <w:rsid w:val="4CE6590A"/>
    <w:rsid w:val="4CE6602D"/>
    <w:rsid w:val="4CE75F3D"/>
    <w:rsid w:val="4CEB2655"/>
    <w:rsid w:val="4CEBB263"/>
    <w:rsid w:val="4CF272F3"/>
    <w:rsid w:val="4CF43C74"/>
    <w:rsid w:val="4CFD8340"/>
    <w:rsid w:val="4D007C40"/>
    <w:rsid w:val="4D00FE1C"/>
    <w:rsid w:val="4D0217B8"/>
    <w:rsid w:val="4D0421AB"/>
    <w:rsid w:val="4D073330"/>
    <w:rsid w:val="4D1A5407"/>
    <w:rsid w:val="4D1B6876"/>
    <w:rsid w:val="4D2748C2"/>
    <w:rsid w:val="4D27EB06"/>
    <w:rsid w:val="4D28700F"/>
    <w:rsid w:val="4D2BA48A"/>
    <w:rsid w:val="4D2F7C38"/>
    <w:rsid w:val="4D2FF7F5"/>
    <w:rsid w:val="4D3429AE"/>
    <w:rsid w:val="4D38A8DF"/>
    <w:rsid w:val="4D3C18EE"/>
    <w:rsid w:val="4D3C961F"/>
    <w:rsid w:val="4D40A006"/>
    <w:rsid w:val="4D447A7B"/>
    <w:rsid w:val="4D4C52AE"/>
    <w:rsid w:val="4D4D554F"/>
    <w:rsid w:val="4D57BF6A"/>
    <w:rsid w:val="4D5D56BA"/>
    <w:rsid w:val="4D5E13B1"/>
    <w:rsid w:val="4D6E0164"/>
    <w:rsid w:val="4D78220B"/>
    <w:rsid w:val="4D80850B"/>
    <w:rsid w:val="4D88B1E4"/>
    <w:rsid w:val="4D8CBCEB"/>
    <w:rsid w:val="4D8CE5AC"/>
    <w:rsid w:val="4D8E0718"/>
    <w:rsid w:val="4DA040A6"/>
    <w:rsid w:val="4DA29E17"/>
    <w:rsid w:val="4DA5678B"/>
    <w:rsid w:val="4DA5D2E9"/>
    <w:rsid w:val="4DAC218E"/>
    <w:rsid w:val="4DB31740"/>
    <w:rsid w:val="4DB80DE3"/>
    <w:rsid w:val="4DBCFDBC"/>
    <w:rsid w:val="4DBE976B"/>
    <w:rsid w:val="4DBF054E"/>
    <w:rsid w:val="4DC0A1A2"/>
    <w:rsid w:val="4DC1E403"/>
    <w:rsid w:val="4DCB679B"/>
    <w:rsid w:val="4DCE4BBD"/>
    <w:rsid w:val="4DD216BC"/>
    <w:rsid w:val="4DD6525F"/>
    <w:rsid w:val="4DDEC89A"/>
    <w:rsid w:val="4DE1B5D0"/>
    <w:rsid w:val="4DE3C6BB"/>
    <w:rsid w:val="4DE69664"/>
    <w:rsid w:val="4DED6598"/>
    <w:rsid w:val="4DF20983"/>
    <w:rsid w:val="4DF29EDC"/>
    <w:rsid w:val="4DF4F826"/>
    <w:rsid w:val="4DFAE5E1"/>
    <w:rsid w:val="4DFC0414"/>
    <w:rsid w:val="4DFF0E9E"/>
    <w:rsid w:val="4E036E40"/>
    <w:rsid w:val="4E0967D8"/>
    <w:rsid w:val="4E0F1E9A"/>
    <w:rsid w:val="4E115E0C"/>
    <w:rsid w:val="4E187D90"/>
    <w:rsid w:val="4E1B3D4F"/>
    <w:rsid w:val="4E1FB882"/>
    <w:rsid w:val="4E2B344B"/>
    <w:rsid w:val="4E2E0C25"/>
    <w:rsid w:val="4E2F1601"/>
    <w:rsid w:val="4E325D9D"/>
    <w:rsid w:val="4E36CEFA"/>
    <w:rsid w:val="4E394DA9"/>
    <w:rsid w:val="4E419F01"/>
    <w:rsid w:val="4E44179A"/>
    <w:rsid w:val="4E446A15"/>
    <w:rsid w:val="4E495B13"/>
    <w:rsid w:val="4E575060"/>
    <w:rsid w:val="4E59868D"/>
    <w:rsid w:val="4E5C8ECB"/>
    <w:rsid w:val="4E5FE337"/>
    <w:rsid w:val="4E64494A"/>
    <w:rsid w:val="4E6C09C6"/>
    <w:rsid w:val="4E6D0407"/>
    <w:rsid w:val="4E719AB4"/>
    <w:rsid w:val="4E7BED16"/>
    <w:rsid w:val="4E7BFFC5"/>
    <w:rsid w:val="4E7D1273"/>
    <w:rsid w:val="4E8C029A"/>
    <w:rsid w:val="4E8D6205"/>
    <w:rsid w:val="4E958096"/>
    <w:rsid w:val="4E98795B"/>
    <w:rsid w:val="4EA2E85C"/>
    <w:rsid w:val="4EA55C05"/>
    <w:rsid w:val="4EA99A7C"/>
    <w:rsid w:val="4EA9DC1B"/>
    <w:rsid w:val="4EAA4D5F"/>
    <w:rsid w:val="4EAAC928"/>
    <w:rsid w:val="4EAFED2C"/>
    <w:rsid w:val="4EAFEFBB"/>
    <w:rsid w:val="4EC4EC31"/>
    <w:rsid w:val="4ECBBC33"/>
    <w:rsid w:val="4ECDA6FA"/>
    <w:rsid w:val="4ECDF190"/>
    <w:rsid w:val="4ED7B0A9"/>
    <w:rsid w:val="4ED83403"/>
    <w:rsid w:val="4EDBA84C"/>
    <w:rsid w:val="4EE0669B"/>
    <w:rsid w:val="4EE0A73C"/>
    <w:rsid w:val="4EE2058A"/>
    <w:rsid w:val="4EE2BB2B"/>
    <w:rsid w:val="4EEC2816"/>
    <w:rsid w:val="4EF12CB3"/>
    <w:rsid w:val="4EF407CA"/>
    <w:rsid w:val="4EF55A15"/>
    <w:rsid w:val="4EF667F8"/>
    <w:rsid w:val="4EF91DA5"/>
    <w:rsid w:val="4EFA0F74"/>
    <w:rsid w:val="4F0D4A85"/>
    <w:rsid w:val="4F111FB1"/>
    <w:rsid w:val="4F152594"/>
    <w:rsid w:val="4F181B17"/>
    <w:rsid w:val="4F1B7563"/>
    <w:rsid w:val="4F2462D6"/>
    <w:rsid w:val="4F2609A7"/>
    <w:rsid w:val="4F36373A"/>
    <w:rsid w:val="4F397BFC"/>
    <w:rsid w:val="4F39F382"/>
    <w:rsid w:val="4F41B421"/>
    <w:rsid w:val="4F43FA60"/>
    <w:rsid w:val="4F4F2E0E"/>
    <w:rsid w:val="4F54CC6B"/>
    <w:rsid w:val="4F55E949"/>
    <w:rsid w:val="4F5C50E8"/>
    <w:rsid w:val="4F5DC207"/>
    <w:rsid w:val="4F5E48D3"/>
    <w:rsid w:val="4F635E21"/>
    <w:rsid w:val="4F649772"/>
    <w:rsid w:val="4F6528A7"/>
    <w:rsid w:val="4F6570B3"/>
    <w:rsid w:val="4F67ADFC"/>
    <w:rsid w:val="4F7B8AA0"/>
    <w:rsid w:val="4F847BB9"/>
    <w:rsid w:val="4F891BE8"/>
    <w:rsid w:val="4F99813E"/>
    <w:rsid w:val="4F99C14E"/>
    <w:rsid w:val="4F9A055B"/>
    <w:rsid w:val="4FA330CA"/>
    <w:rsid w:val="4FA60756"/>
    <w:rsid w:val="4FA7DD5A"/>
    <w:rsid w:val="4FA9CF6F"/>
    <w:rsid w:val="4FB2940D"/>
    <w:rsid w:val="4FB426D3"/>
    <w:rsid w:val="4FC34863"/>
    <w:rsid w:val="4FC66B21"/>
    <w:rsid w:val="4FC712A2"/>
    <w:rsid w:val="4FC78781"/>
    <w:rsid w:val="4FC80727"/>
    <w:rsid w:val="4FCA6952"/>
    <w:rsid w:val="4FCE94CD"/>
    <w:rsid w:val="4FCF3B9C"/>
    <w:rsid w:val="4FD263A6"/>
    <w:rsid w:val="4FD3F4DA"/>
    <w:rsid w:val="4FD5FD5F"/>
    <w:rsid w:val="4FD89AB4"/>
    <w:rsid w:val="4FDA4309"/>
    <w:rsid w:val="4FDC52BC"/>
    <w:rsid w:val="4FDE542C"/>
    <w:rsid w:val="4FE67761"/>
    <w:rsid w:val="4FE9BC2D"/>
    <w:rsid w:val="4FEAAE2D"/>
    <w:rsid w:val="4FEE7A5E"/>
    <w:rsid w:val="4FEE7DE7"/>
    <w:rsid w:val="4FF0C4F5"/>
    <w:rsid w:val="4FF0CC26"/>
    <w:rsid w:val="4FF0DB96"/>
    <w:rsid w:val="4FF90E97"/>
    <w:rsid w:val="5001A5AF"/>
    <w:rsid w:val="5002D5C4"/>
    <w:rsid w:val="50069F21"/>
    <w:rsid w:val="500855FC"/>
    <w:rsid w:val="50087B11"/>
    <w:rsid w:val="500A7BE8"/>
    <w:rsid w:val="500ABE51"/>
    <w:rsid w:val="500F4E46"/>
    <w:rsid w:val="500FD3EC"/>
    <w:rsid w:val="5019F1AE"/>
    <w:rsid w:val="501A7B5B"/>
    <w:rsid w:val="501B16B6"/>
    <w:rsid w:val="502059A7"/>
    <w:rsid w:val="5021D45A"/>
    <w:rsid w:val="5025A379"/>
    <w:rsid w:val="502A9A3A"/>
    <w:rsid w:val="502E7CA1"/>
    <w:rsid w:val="5031BF31"/>
    <w:rsid w:val="50328F51"/>
    <w:rsid w:val="503BEF7E"/>
    <w:rsid w:val="503D88BD"/>
    <w:rsid w:val="50433104"/>
    <w:rsid w:val="504C08DD"/>
    <w:rsid w:val="504F7211"/>
    <w:rsid w:val="50501920"/>
    <w:rsid w:val="5051472B"/>
    <w:rsid w:val="50556240"/>
    <w:rsid w:val="5055B672"/>
    <w:rsid w:val="505B3F67"/>
    <w:rsid w:val="50648C3B"/>
    <w:rsid w:val="5066A342"/>
    <w:rsid w:val="506B78CE"/>
    <w:rsid w:val="507BA77D"/>
    <w:rsid w:val="507C1C2A"/>
    <w:rsid w:val="50808751"/>
    <w:rsid w:val="508149FF"/>
    <w:rsid w:val="508201E1"/>
    <w:rsid w:val="50835D7B"/>
    <w:rsid w:val="50888E39"/>
    <w:rsid w:val="508DC368"/>
    <w:rsid w:val="508FC3C8"/>
    <w:rsid w:val="5098AA30"/>
    <w:rsid w:val="5099B6BE"/>
    <w:rsid w:val="50A27A8A"/>
    <w:rsid w:val="50A4D0A2"/>
    <w:rsid w:val="50A82990"/>
    <w:rsid w:val="50AAF732"/>
    <w:rsid w:val="50AFA6EB"/>
    <w:rsid w:val="50B07E82"/>
    <w:rsid w:val="50B854C9"/>
    <w:rsid w:val="50BA2A60"/>
    <w:rsid w:val="50BC20AB"/>
    <w:rsid w:val="50C60C91"/>
    <w:rsid w:val="50CF2B16"/>
    <w:rsid w:val="50D0E66B"/>
    <w:rsid w:val="50D0F24C"/>
    <w:rsid w:val="50D79A06"/>
    <w:rsid w:val="50D84C89"/>
    <w:rsid w:val="50DB113B"/>
    <w:rsid w:val="50E046C8"/>
    <w:rsid w:val="50E7A013"/>
    <w:rsid w:val="50EB3DCA"/>
    <w:rsid w:val="50EE36D5"/>
    <w:rsid w:val="50F336F1"/>
    <w:rsid w:val="50F43A1D"/>
    <w:rsid w:val="50F47F99"/>
    <w:rsid w:val="50FB7FED"/>
    <w:rsid w:val="50FD707A"/>
    <w:rsid w:val="5105615E"/>
    <w:rsid w:val="510887B6"/>
    <w:rsid w:val="5111870D"/>
    <w:rsid w:val="511435EC"/>
    <w:rsid w:val="5115D356"/>
    <w:rsid w:val="51183FB2"/>
    <w:rsid w:val="511AB93C"/>
    <w:rsid w:val="51259714"/>
    <w:rsid w:val="512CCAAF"/>
    <w:rsid w:val="512D26F3"/>
    <w:rsid w:val="51330CEE"/>
    <w:rsid w:val="51333C7F"/>
    <w:rsid w:val="5134A18E"/>
    <w:rsid w:val="5135E97B"/>
    <w:rsid w:val="51387DEA"/>
    <w:rsid w:val="513AB703"/>
    <w:rsid w:val="51410E20"/>
    <w:rsid w:val="51492C76"/>
    <w:rsid w:val="514AE926"/>
    <w:rsid w:val="514C5AFB"/>
    <w:rsid w:val="51517044"/>
    <w:rsid w:val="51582A3E"/>
    <w:rsid w:val="5159D2E3"/>
    <w:rsid w:val="515E49F7"/>
    <w:rsid w:val="5169E9F9"/>
    <w:rsid w:val="516CA3BD"/>
    <w:rsid w:val="516F3D8F"/>
    <w:rsid w:val="516FB249"/>
    <w:rsid w:val="51823703"/>
    <w:rsid w:val="51861FD5"/>
    <w:rsid w:val="518D303F"/>
    <w:rsid w:val="5190364A"/>
    <w:rsid w:val="5191C678"/>
    <w:rsid w:val="5191FD0D"/>
    <w:rsid w:val="519E82AF"/>
    <w:rsid w:val="51A250AC"/>
    <w:rsid w:val="51B6A8B4"/>
    <w:rsid w:val="51B74997"/>
    <w:rsid w:val="51B792EB"/>
    <w:rsid w:val="51C43CE7"/>
    <w:rsid w:val="51C73BED"/>
    <w:rsid w:val="51CABF87"/>
    <w:rsid w:val="51CD4F45"/>
    <w:rsid w:val="51D1E87F"/>
    <w:rsid w:val="51D56EEE"/>
    <w:rsid w:val="51D6BF43"/>
    <w:rsid w:val="51D6CFFC"/>
    <w:rsid w:val="51D79A09"/>
    <w:rsid w:val="51DE5414"/>
    <w:rsid w:val="51DF7F14"/>
    <w:rsid w:val="51E2CED2"/>
    <w:rsid w:val="51E5A5FB"/>
    <w:rsid w:val="51EEF19A"/>
    <w:rsid w:val="51F51A11"/>
    <w:rsid w:val="51F8E833"/>
    <w:rsid w:val="51F99628"/>
    <w:rsid w:val="51FC5BC4"/>
    <w:rsid w:val="52003B80"/>
    <w:rsid w:val="52045288"/>
    <w:rsid w:val="520D7FF9"/>
    <w:rsid w:val="5213CD17"/>
    <w:rsid w:val="521448C6"/>
    <w:rsid w:val="521458EF"/>
    <w:rsid w:val="52189C8B"/>
    <w:rsid w:val="521BAF2C"/>
    <w:rsid w:val="521C67E5"/>
    <w:rsid w:val="521F44D9"/>
    <w:rsid w:val="521F75C0"/>
    <w:rsid w:val="52272C6B"/>
    <w:rsid w:val="522899BD"/>
    <w:rsid w:val="522BBCD0"/>
    <w:rsid w:val="522F21B4"/>
    <w:rsid w:val="52318DD8"/>
    <w:rsid w:val="52322D72"/>
    <w:rsid w:val="5235FCCD"/>
    <w:rsid w:val="52380DAF"/>
    <w:rsid w:val="523C4954"/>
    <w:rsid w:val="52419CD0"/>
    <w:rsid w:val="52456A0E"/>
    <w:rsid w:val="5245D8FE"/>
    <w:rsid w:val="52493FB2"/>
    <w:rsid w:val="524B35F6"/>
    <w:rsid w:val="524DDFEF"/>
    <w:rsid w:val="525973AB"/>
    <w:rsid w:val="525AF7E5"/>
    <w:rsid w:val="525B1CAE"/>
    <w:rsid w:val="525D8B09"/>
    <w:rsid w:val="52609B94"/>
    <w:rsid w:val="5267A0BF"/>
    <w:rsid w:val="526D7903"/>
    <w:rsid w:val="526F2C9F"/>
    <w:rsid w:val="527538AC"/>
    <w:rsid w:val="527A3A65"/>
    <w:rsid w:val="527B4CCD"/>
    <w:rsid w:val="527FE61F"/>
    <w:rsid w:val="528712D9"/>
    <w:rsid w:val="528B3038"/>
    <w:rsid w:val="528CA3E7"/>
    <w:rsid w:val="52945F3F"/>
    <w:rsid w:val="52988562"/>
    <w:rsid w:val="529C3EA7"/>
    <w:rsid w:val="529C497B"/>
    <w:rsid w:val="529CAE04"/>
    <w:rsid w:val="52A0CA16"/>
    <w:rsid w:val="52A4BD77"/>
    <w:rsid w:val="52A4E537"/>
    <w:rsid w:val="52A756B0"/>
    <w:rsid w:val="52AE232B"/>
    <w:rsid w:val="52B3D6EA"/>
    <w:rsid w:val="52B4D78A"/>
    <w:rsid w:val="52B6167A"/>
    <w:rsid w:val="52B7A591"/>
    <w:rsid w:val="52BE4FE4"/>
    <w:rsid w:val="52D2DA93"/>
    <w:rsid w:val="52D668AA"/>
    <w:rsid w:val="52D77721"/>
    <w:rsid w:val="52DF7A38"/>
    <w:rsid w:val="52E45398"/>
    <w:rsid w:val="52E80656"/>
    <w:rsid w:val="52EED40E"/>
    <w:rsid w:val="52F196AF"/>
    <w:rsid w:val="52FD128C"/>
    <w:rsid w:val="5300CCDC"/>
    <w:rsid w:val="5301BF9E"/>
    <w:rsid w:val="5309444B"/>
    <w:rsid w:val="5309B35A"/>
    <w:rsid w:val="5309C24A"/>
    <w:rsid w:val="530A2581"/>
    <w:rsid w:val="53102E24"/>
    <w:rsid w:val="5312C21F"/>
    <w:rsid w:val="53145A8D"/>
    <w:rsid w:val="5314A612"/>
    <w:rsid w:val="531838A4"/>
    <w:rsid w:val="5319013E"/>
    <w:rsid w:val="5319DA61"/>
    <w:rsid w:val="5324AB1D"/>
    <w:rsid w:val="53258CD6"/>
    <w:rsid w:val="53268B14"/>
    <w:rsid w:val="5328318D"/>
    <w:rsid w:val="5328CEF2"/>
    <w:rsid w:val="5329A583"/>
    <w:rsid w:val="532C44FB"/>
    <w:rsid w:val="5331F8B0"/>
    <w:rsid w:val="5338B4E3"/>
    <w:rsid w:val="533A67A6"/>
    <w:rsid w:val="53416AE9"/>
    <w:rsid w:val="5342E1C8"/>
    <w:rsid w:val="534807CE"/>
    <w:rsid w:val="534F155D"/>
    <w:rsid w:val="535883A9"/>
    <w:rsid w:val="535FBA27"/>
    <w:rsid w:val="536A36CB"/>
    <w:rsid w:val="536B0FDD"/>
    <w:rsid w:val="536FFAED"/>
    <w:rsid w:val="53706F2F"/>
    <w:rsid w:val="53723959"/>
    <w:rsid w:val="5373193D"/>
    <w:rsid w:val="537C4FC5"/>
    <w:rsid w:val="5381F5E9"/>
    <w:rsid w:val="5382DB7A"/>
    <w:rsid w:val="5385329F"/>
    <w:rsid w:val="5387051B"/>
    <w:rsid w:val="53890612"/>
    <w:rsid w:val="5391CDBF"/>
    <w:rsid w:val="5391DA05"/>
    <w:rsid w:val="53928E9A"/>
    <w:rsid w:val="5397382D"/>
    <w:rsid w:val="53981949"/>
    <w:rsid w:val="539BE944"/>
    <w:rsid w:val="539C868D"/>
    <w:rsid w:val="53A3B480"/>
    <w:rsid w:val="53A44877"/>
    <w:rsid w:val="53ABA8E9"/>
    <w:rsid w:val="53B0A3F7"/>
    <w:rsid w:val="53BC44BD"/>
    <w:rsid w:val="53C2B15A"/>
    <w:rsid w:val="53CFE98D"/>
    <w:rsid w:val="53D232DC"/>
    <w:rsid w:val="53D3C69D"/>
    <w:rsid w:val="53D929CB"/>
    <w:rsid w:val="53E00229"/>
    <w:rsid w:val="53E4075A"/>
    <w:rsid w:val="53E44BF2"/>
    <w:rsid w:val="53EB0F9B"/>
    <w:rsid w:val="53ED50A6"/>
    <w:rsid w:val="53EE2658"/>
    <w:rsid w:val="53F7F41A"/>
    <w:rsid w:val="53F94B89"/>
    <w:rsid w:val="53FF5660"/>
    <w:rsid w:val="53FFB745"/>
    <w:rsid w:val="5406D99E"/>
    <w:rsid w:val="540744B3"/>
    <w:rsid w:val="5407637F"/>
    <w:rsid w:val="54184878"/>
    <w:rsid w:val="541E0EA5"/>
    <w:rsid w:val="54214E84"/>
    <w:rsid w:val="542441B5"/>
    <w:rsid w:val="5427335B"/>
    <w:rsid w:val="542F2791"/>
    <w:rsid w:val="542FC35D"/>
    <w:rsid w:val="5439886A"/>
    <w:rsid w:val="5439C5AC"/>
    <w:rsid w:val="543B9CBD"/>
    <w:rsid w:val="543FDEAD"/>
    <w:rsid w:val="54406AF7"/>
    <w:rsid w:val="545914A9"/>
    <w:rsid w:val="545EC608"/>
    <w:rsid w:val="546B06A9"/>
    <w:rsid w:val="546B3F8E"/>
    <w:rsid w:val="546E0AB7"/>
    <w:rsid w:val="5471D9FC"/>
    <w:rsid w:val="5473ADAA"/>
    <w:rsid w:val="5473D086"/>
    <w:rsid w:val="5474E9AF"/>
    <w:rsid w:val="547C1AA0"/>
    <w:rsid w:val="547F51B3"/>
    <w:rsid w:val="548068A4"/>
    <w:rsid w:val="548092B5"/>
    <w:rsid w:val="5488D65A"/>
    <w:rsid w:val="54898C88"/>
    <w:rsid w:val="5499304C"/>
    <w:rsid w:val="5499644E"/>
    <w:rsid w:val="5499CABF"/>
    <w:rsid w:val="549A2D48"/>
    <w:rsid w:val="549D1C0F"/>
    <w:rsid w:val="54AAA037"/>
    <w:rsid w:val="54AD5465"/>
    <w:rsid w:val="54B01C1D"/>
    <w:rsid w:val="54B98C4E"/>
    <w:rsid w:val="54BF0E65"/>
    <w:rsid w:val="54C07265"/>
    <w:rsid w:val="54C15C7B"/>
    <w:rsid w:val="54C2403D"/>
    <w:rsid w:val="54C30AAF"/>
    <w:rsid w:val="54C616D8"/>
    <w:rsid w:val="54CD1613"/>
    <w:rsid w:val="54CD4736"/>
    <w:rsid w:val="54CFC4D1"/>
    <w:rsid w:val="54D0435F"/>
    <w:rsid w:val="54D2144C"/>
    <w:rsid w:val="54D266DC"/>
    <w:rsid w:val="54D581F4"/>
    <w:rsid w:val="54DACBA6"/>
    <w:rsid w:val="54DDEB5B"/>
    <w:rsid w:val="54DEE8D6"/>
    <w:rsid w:val="54E3F673"/>
    <w:rsid w:val="54E6A43D"/>
    <w:rsid w:val="54E89054"/>
    <w:rsid w:val="54E96C63"/>
    <w:rsid w:val="54EA92E4"/>
    <w:rsid w:val="54EB9B67"/>
    <w:rsid w:val="54F51270"/>
    <w:rsid w:val="54F5B49A"/>
    <w:rsid w:val="54FB9B26"/>
    <w:rsid w:val="54FFF952"/>
    <w:rsid w:val="5505F20A"/>
    <w:rsid w:val="5506AF5F"/>
    <w:rsid w:val="55096274"/>
    <w:rsid w:val="55155035"/>
    <w:rsid w:val="55189A49"/>
    <w:rsid w:val="5518DABD"/>
    <w:rsid w:val="5521143A"/>
    <w:rsid w:val="55221BD7"/>
    <w:rsid w:val="5527BAFB"/>
    <w:rsid w:val="5529CEBB"/>
    <w:rsid w:val="552DB068"/>
    <w:rsid w:val="5530B695"/>
    <w:rsid w:val="55391A40"/>
    <w:rsid w:val="553E8D0B"/>
    <w:rsid w:val="553FB207"/>
    <w:rsid w:val="554BB17E"/>
    <w:rsid w:val="554F2890"/>
    <w:rsid w:val="55529E1F"/>
    <w:rsid w:val="55564F6B"/>
    <w:rsid w:val="555BAC0E"/>
    <w:rsid w:val="555D4435"/>
    <w:rsid w:val="55635F6C"/>
    <w:rsid w:val="556873C6"/>
    <w:rsid w:val="556900B4"/>
    <w:rsid w:val="556CEEA6"/>
    <w:rsid w:val="556D5358"/>
    <w:rsid w:val="55707F8B"/>
    <w:rsid w:val="5574E276"/>
    <w:rsid w:val="5576B9EE"/>
    <w:rsid w:val="557CC28D"/>
    <w:rsid w:val="558067D1"/>
    <w:rsid w:val="55846736"/>
    <w:rsid w:val="55858C6B"/>
    <w:rsid w:val="558872A4"/>
    <w:rsid w:val="558F2A70"/>
    <w:rsid w:val="5590A0CF"/>
    <w:rsid w:val="5595524C"/>
    <w:rsid w:val="559992D4"/>
    <w:rsid w:val="559A4CAC"/>
    <w:rsid w:val="55A0E787"/>
    <w:rsid w:val="55A45245"/>
    <w:rsid w:val="55ADD183"/>
    <w:rsid w:val="55AECCA1"/>
    <w:rsid w:val="55B747E2"/>
    <w:rsid w:val="55B83DD2"/>
    <w:rsid w:val="55B8FD0A"/>
    <w:rsid w:val="55BE6E81"/>
    <w:rsid w:val="55C510DA"/>
    <w:rsid w:val="55C73C38"/>
    <w:rsid w:val="55CA44E6"/>
    <w:rsid w:val="55CBD971"/>
    <w:rsid w:val="55CD3B50"/>
    <w:rsid w:val="55CD7CD7"/>
    <w:rsid w:val="55CE41B7"/>
    <w:rsid w:val="55D0C92E"/>
    <w:rsid w:val="55DCA886"/>
    <w:rsid w:val="55E60A75"/>
    <w:rsid w:val="55F39D90"/>
    <w:rsid w:val="55F9B9C8"/>
    <w:rsid w:val="55FA8310"/>
    <w:rsid w:val="5601D260"/>
    <w:rsid w:val="56021165"/>
    <w:rsid w:val="560847C4"/>
    <w:rsid w:val="5608BFB9"/>
    <w:rsid w:val="560AFB3A"/>
    <w:rsid w:val="560CAFCF"/>
    <w:rsid w:val="560E00F8"/>
    <w:rsid w:val="56189D34"/>
    <w:rsid w:val="561F3491"/>
    <w:rsid w:val="561F59DD"/>
    <w:rsid w:val="56281C62"/>
    <w:rsid w:val="562AC719"/>
    <w:rsid w:val="562D14FD"/>
    <w:rsid w:val="5639200F"/>
    <w:rsid w:val="563F4FFF"/>
    <w:rsid w:val="563F8609"/>
    <w:rsid w:val="5647F40C"/>
    <w:rsid w:val="564978B3"/>
    <w:rsid w:val="564BFA84"/>
    <w:rsid w:val="5663365C"/>
    <w:rsid w:val="566B3872"/>
    <w:rsid w:val="566BAA8A"/>
    <w:rsid w:val="5670585B"/>
    <w:rsid w:val="5670A0EF"/>
    <w:rsid w:val="5677BB21"/>
    <w:rsid w:val="567C025A"/>
    <w:rsid w:val="5682B99D"/>
    <w:rsid w:val="56870541"/>
    <w:rsid w:val="568A3800"/>
    <w:rsid w:val="56A294E1"/>
    <w:rsid w:val="56A5B73D"/>
    <w:rsid w:val="56B25A6B"/>
    <w:rsid w:val="56B339B7"/>
    <w:rsid w:val="56B7674E"/>
    <w:rsid w:val="56BDF992"/>
    <w:rsid w:val="56C475E6"/>
    <w:rsid w:val="56C520FE"/>
    <w:rsid w:val="56C57211"/>
    <w:rsid w:val="56CA777B"/>
    <w:rsid w:val="56CD3E9D"/>
    <w:rsid w:val="56CD7234"/>
    <w:rsid w:val="56CFC6F1"/>
    <w:rsid w:val="56D06F1C"/>
    <w:rsid w:val="56D23145"/>
    <w:rsid w:val="56D2BFC7"/>
    <w:rsid w:val="56D7AA10"/>
    <w:rsid w:val="56DBA30F"/>
    <w:rsid w:val="56E9B209"/>
    <w:rsid w:val="56F45AB9"/>
    <w:rsid w:val="56F96F6F"/>
    <w:rsid w:val="56FD84A5"/>
    <w:rsid w:val="570153CC"/>
    <w:rsid w:val="570C4ED9"/>
    <w:rsid w:val="570F1BBF"/>
    <w:rsid w:val="5710E5ED"/>
    <w:rsid w:val="57120725"/>
    <w:rsid w:val="571625AD"/>
    <w:rsid w:val="57166F0D"/>
    <w:rsid w:val="571E3065"/>
    <w:rsid w:val="5724718C"/>
    <w:rsid w:val="573338B0"/>
    <w:rsid w:val="5736435A"/>
    <w:rsid w:val="57379876"/>
    <w:rsid w:val="5737D25E"/>
    <w:rsid w:val="57404C42"/>
    <w:rsid w:val="57420922"/>
    <w:rsid w:val="574323E7"/>
    <w:rsid w:val="57447EC3"/>
    <w:rsid w:val="574F69C9"/>
    <w:rsid w:val="57532BC5"/>
    <w:rsid w:val="575542BD"/>
    <w:rsid w:val="575AA32C"/>
    <w:rsid w:val="575AFC84"/>
    <w:rsid w:val="5767048B"/>
    <w:rsid w:val="5767EFC2"/>
    <w:rsid w:val="57705551"/>
    <w:rsid w:val="577514A5"/>
    <w:rsid w:val="5775FFB3"/>
    <w:rsid w:val="5776350C"/>
    <w:rsid w:val="57787EC9"/>
    <w:rsid w:val="577C1441"/>
    <w:rsid w:val="578AE41C"/>
    <w:rsid w:val="578D8834"/>
    <w:rsid w:val="578E0ADC"/>
    <w:rsid w:val="5790B0F9"/>
    <w:rsid w:val="579AAEDC"/>
    <w:rsid w:val="579EF8FF"/>
    <w:rsid w:val="57A03D52"/>
    <w:rsid w:val="57A32D10"/>
    <w:rsid w:val="57A71B6A"/>
    <w:rsid w:val="57AA640F"/>
    <w:rsid w:val="57AFF885"/>
    <w:rsid w:val="57B07BE3"/>
    <w:rsid w:val="57B1BA5F"/>
    <w:rsid w:val="57B1D5AD"/>
    <w:rsid w:val="57BB8783"/>
    <w:rsid w:val="57C1056D"/>
    <w:rsid w:val="57C3F7C0"/>
    <w:rsid w:val="57D22516"/>
    <w:rsid w:val="57D30BB4"/>
    <w:rsid w:val="57D5F0CC"/>
    <w:rsid w:val="57D9EBCE"/>
    <w:rsid w:val="57DA0D86"/>
    <w:rsid w:val="57DAD710"/>
    <w:rsid w:val="57DCAD66"/>
    <w:rsid w:val="57DDE01A"/>
    <w:rsid w:val="57E859B8"/>
    <w:rsid w:val="57EB50A3"/>
    <w:rsid w:val="57EBA10A"/>
    <w:rsid w:val="57EBD23E"/>
    <w:rsid w:val="57EC0456"/>
    <w:rsid w:val="57F76088"/>
    <w:rsid w:val="58015193"/>
    <w:rsid w:val="5803F696"/>
    <w:rsid w:val="58073803"/>
    <w:rsid w:val="580CDAC5"/>
    <w:rsid w:val="58138CAA"/>
    <w:rsid w:val="581492E4"/>
    <w:rsid w:val="581AB720"/>
    <w:rsid w:val="581E4FDA"/>
    <w:rsid w:val="5821E9BB"/>
    <w:rsid w:val="58230DEA"/>
    <w:rsid w:val="582A88E1"/>
    <w:rsid w:val="582AC0F2"/>
    <w:rsid w:val="58321AF3"/>
    <w:rsid w:val="58330D45"/>
    <w:rsid w:val="5834C3A5"/>
    <w:rsid w:val="5835B45B"/>
    <w:rsid w:val="5837BC39"/>
    <w:rsid w:val="583B22C2"/>
    <w:rsid w:val="583F8948"/>
    <w:rsid w:val="58456AC1"/>
    <w:rsid w:val="5848BB6D"/>
    <w:rsid w:val="584C82FE"/>
    <w:rsid w:val="58533A29"/>
    <w:rsid w:val="585B5039"/>
    <w:rsid w:val="585CB26D"/>
    <w:rsid w:val="5861F32C"/>
    <w:rsid w:val="586559BE"/>
    <w:rsid w:val="586A7B8E"/>
    <w:rsid w:val="586B9B12"/>
    <w:rsid w:val="586E7AB4"/>
    <w:rsid w:val="587325B4"/>
    <w:rsid w:val="587B5562"/>
    <w:rsid w:val="587E4FF8"/>
    <w:rsid w:val="58834B95"/>
    <w:rsid w:val="5885DEAA"/>
    <w:rsid w:val="588BDB5E"/>
    <w:rsid w:val="58952E86"/>
    <w:rsid w:val="58A1D515"/>
    <w:rsid w:val="58A61A39"/>
    <w:rsid w:val="58A69F13"/>
    <w:rsid w:val="58AAAA02"/>
    <w:rsid w:val="58AF32D9"/>
    <w:rsid w:val="58B091CF"/>
    <w:rsid w:val="58B55CC1"/>
    <w:rsid w:val="58B5F80F"/>
    <w:rsid w:val="58B6BE0D"/>
    <w:rsid w:val="58B6D0B7"/>
    <w:rsid w:val="58BD4884"/>
    <w:rsid w:val="58BE1D0C"/>
    <w:rsid w:val="58BFA4B5"/>
    <w:rsid w:val="58C1010F"/>
    <w:rsid w:val="58C1791A"/>
    <w:rsid w:val="58C3A520"/>
    <w:rsid w:val="58C5CF6F"/>
    <w:rsid w:val="58CA9CD9"/>
    <w:rsid w:val="58CBEACB"/>
    <w:rsid w:val="58DA4060"/>
    <w:rsid w:val="58DB11CE"/>
    <w:rsid w:val="58E31295"/>
    <w:rsid w:val="58E3ADF2"/>
    <w:rsid w:val="58E8EA4D"/>
    <w:rsid w:val="58EFAAF2"/>
    <w:rsid w:val="58F00437"/>
    <w:rsid w:val="58F20284"/>
    <w:rsid w:val="58F93F6D"/>
    <w:rsid w:val="590C9857"/>
    <w:rsid w:val="590E9128"/>
    <w:rsid w:val="59102443"/>
    <w:rsid w:val="5911045D"/>
    <w:rsid w:val="5915A0F1"/>
    <w:rsid w:val="5917EFF1"/>
    <w:rsid w:val="591F3B68"/>
    <w:rsid w:val="592070C6"/>
    <w:rsid w:val="5933FEFB"/>
    <w:rsid w:val="5936D7F5"/>
    <w:rsid w:val="5939A8BE"/>
    <w:rsid w:val="593B188B"/>
    <w:rsid w:val="593E8503"/>
    <w:rsid w:val="594AC377"/>
    <w:rsid w:val="595825D4"/>
    <w:rsid w:val="596398CD"/>
    <w:rsid w:val="596762F2"/>
    <w:rsid w:val="596AD987"/>
    <w:rsid w:val="59765BED"/>
    <w:rsid w:val="59789EA4"/>
    <w:rsid w:val="597AAE14"/>
    <w:rsid w:val="597C63BB"/>
    <w:rsid w:val="5982C492"/>
    <w:rsid w:val="5987CEBB"/>
    <w:rsid w:val="5990F74B"/>
    <w:rsid w:val="599DC6C9"/>
    <w:rsid w:val="59A14991"/>
    <w:rsid w:val="59A3AE97"/>
    <w:rsid w:val="59A60B10"/>
    <w:rsid w:val="59A7D078"/>
    <w:rsid w:val="59AADAEA"/>
    <w:rsid w:val="59AC71AA"/>
    <w:rsid w:val="59B0AFB7"/>
    <w:rsid w:val="59B2B74A"/>
    <w:rsid w:val="59B493DA"/>
    <w:rsid w:val="59BC6D07"/>
    <w:rsid w:val="59BE3533"/>
    <w:rsid w:val="59C1658D"/>
    <w:rsid w:val="59C1C9C7"/>
    <w:rsid w:val="59C1F47A"/>
    <w:rsid w:val="59C28FAC"/>
    <w:rsid w:val="59C3984C"/>
    <w:rsid w:val="59DF7E1B"/>
    <w:rsid w:val="59DFFA25"/>
    <w:rsid w:val="59E3E9FC"/>
    <w:rsid w:val="59EC7500"/>
    <w:rsid w:val="59F4BB62"/>
    <w:rsid w:val="59F701A1"/>
    <w:rsid w:val="59F94577"/>
    <w:rsid w:val="59FE30AA"/>
    <w:rsid w:val="5A0CD10E"/>
    <w:rsid w:val="5A1021E1"/>
    <w:rsid w:val="5A16B3F7"/>
    <w:rsid w:val="5A1FA99C"/>
    <w:rsid w:val="5A2DC97E"/>
    <w:rsid w:val="5A2F88F0"/>
    <w:rsid w:val="5A33C6B9"/>
    <w:rsid w:val="5A3C1CD4"/>
    <w:rsid w:val="5A3E0A14"/>
    <w:rsid w:val="5A40F38F"/>
    <w:rsid w:val="5A41D5E3"/>
    <w:rsid w:val="5A45A80E"/>
    <w:rsid w:val="5A464EF6"/>
    <w:rsid w:val="5A47FCDB"/>
    <w:rsid w:val="5A48E785"/>
    <w:rsid w:val="5A4BA625"/>
    <w:rsid w:val="5A4BC754"/>
    <w:rsid w:val="5A4EB1C8"/>
    <w:rsid w:val="5A52CD24"/>
    <w:rsid w:val="5A588D51"/>
    <w:rsid w:val="5A607AD3"/>
    <w:rsid w:val="5A67AFDF"/>
    <w:rsid w:val="5A67F859"/>
    <w:rsid w:val="5A69BABC"/>
    <w:rsid w:val="5A7515D3"/>
    <w:rsid w:val="5A77DB38"/>
    <w:rsid w:val="5A7AD4AC"/>
    <w:rsid w:val="5A80A009"/>
    <w:rsid w:val="5A8857E7"/>
    <w:rsid w:val="5A8961EB"/>
    <w:rsid w:val="5A8ECE3F"/>
    <w:rsid w:val="5A92D402"/>
    <w:rsid w:val="5A975A3B"/>
    <w:rsid w:val="5A9B9399"/>
    <w:rsid w:val="5A9ED23E"/>
    <w:rsid w:val="5AA01CE3"/>
    <w:rsid w:val="5AA08628"/>
    <w:rsid w:val="5AA1C4E8"/>
    <w:rsid w:val="5AA55563"/>
    <w:rsid w:val="5AA56FA7"/>
    <w:rsid w:val="5AA643A5"/>
    <w:rsid w:val="5AAD9D88"/>
    <w:rsid w:val="5AB636E2"/>
    <w:rsid w:val="5ABDDF60"/>
    <w:rsid w:val="5AC0128D"/>
    <w:rsid w:val="5AC080DD"/>
    <w:rsid w:val="5AC2DEF5"/>
    <w:rsid w:val="5AC32027"/>
    <w:rsid w:val="5AC6D3A6"/>
    <w:rsid w:val="5AC6DB6C"/>
    <w:rsid w:val="5AC90E4D"/>
    <w:rsid w:val="5ACD992C"/>
    <w:rsid w:val="5AD69CD5"/>
    <w:rsid w:val="5AD779F6"/>
    <w:rsid w:val="5ADAA129"/>
    <w:rsid w:val="5AE7BA1D"/>
    <w:rsid w:val="5AF8CEDA"/>
    <w:rsid w:val="5AFF7750"/>
    <w:rsid w:val="5B0248DD"/>
    <w:rsid w:val="5B08D489"/>
    <w:rsid w:val="5B0E71FD"/>
    <w:rsid w:val="5B0F5FCA"/>
    <w:rsid w:val="5B120DB4"/>
    <w:rsid w:val="5B1E2EDF"/>
    <w:rsid w:val="5B2104C6"/>
    <w:rsid w:val="5B221D93"/>
    <w:rsid w:val="5B27B895"/>
    <w:rsid w:val="5B29541D"/>
    <w:rsid w:val="5B2A9051"/>
    <w:rsid w:val="5B2D51DC"/>
    <w:rsid w:val="5B2E75AC"/>
    <w:rsid w:val="5B2F2E06"/>
    <w:rsid w:val="5B31E718"/>
    <w:rsid w:val="5B34EBB1"/>
    <w:rsid w:val="5B35D225"/>
    <w:rsid w:val="5B40B4D0"/>
    <w:rsid w:val="5B4495A2"/>
    <w:rsid w:val="5B454187"/>
    <w:rsid w:val="5B45A413"/>
    <w:rsid w:val="5B48D048"/>
    <w:rsid w:val="5B4D3BA4"/>
    <w:rsid w:val="5B4DF13A"/>
    <w:rsid w:val="5B587BE5"/>
    <w:rsid w:val="5B5B4A43"/>
    <w:rsid w:val="5B5CC494"/>
    <w:rsid w:val="5B6335C8"/>
    <w:rsid w:val="5B63748E"/>
    <w:rsid w:val="5B666510"/>
    <w:rsid w:val="5B66B1D0"/>
    <w:rsid w:val="5B66F698"/>
    <w:rsid w:val="5B6997D8"/>
    <w:rsid w:val="5B6F3637"/>
    <w:rsid w:val="5B7706B3"/>
    <w:rsid w:val="5B793C08"/>
    <w:rsid w:val="5B7B7562"/>
    <w:rsid w:val="5B80D55C"/>
    <w:rsid w:val="5B840300"/>
    <w:rsid w:val="5B88DA21"/>
    <w:rsid w:val="5B8A1936"/>
    <w:rsid w:val="5B8E2977"/>
    <w:rsid w:val="5B9752C9"/>
    <w:rsid w:val="5B97ECCD"/>
    <w:rsid w:val="5B9BCBB6"/>
    <w:rsid w:val="5B9C007C"/>
    <w:rsid w:val="5BA388FF"/>
    <w:rsid w:val="5BAA61BB"/>
    <w:rsid w:val="5BB27AB8"/>
    <w:rsid w:val="5BB2E872"/>
    <w:rsid w:val="5BB542D5"/>
    <w:rsid w:val="5BBB38A0"/>
    <w:rsid w:val="5BC23EE4"/>
    <w:rsid w:val="5BC69946"/>
    <w:rsid w:val="5BCBFFF5"/>
    <w:rsid w:val="5BCCF9DB"/>
    <w:rsid w:val="5BCF8326"/>
    <w:rsid w:val="5BDB3EAF"/>
    <w:rsid w:val="5BE1C9DC"/>
    <w:rsid w:val="5BE54F19"/>
    <w:rsid w:val="5BEEA7EA"/>
    <w:rsid w:val="5BF37E09"/>
    <w:rsid w:val="5BF4651A"/>
    <w:rsid w:val="5BF79FF7"/>
    <w:rsid w:val="5BFB0095"/>
    <w:rsid w:val="5BFCF668"/>
    <w:rsid w:val="5C000ED1"/>
    <w:rsid w:val="5C0441CE"/>
    <w:rsid w:val="5C0696F9"/>
    <w:rsid w:val="5C099CE8"/>
    <w:rsid w:val="5C0F6DF0"/>
    <w:rsid w:val="5C1A0F3A"/>
    <w:rsid w:val="5C1BF7AB"/>
    <w:rsid w:val="5C1DC597"/>
    <w:rsid w:val="5C2589AF"/>
    <w:rsid w:val="5C28F855"/>
    <w:rsid w:val="5C2B1ACF"/>
    <w:rsid w:val="5C3316D3"/>
    <w:rsid w:val="5C3393E6"/>
    <w:rsid w:val="5C34A8DA"/>
    <w:rsid w:val="5C3753D9"/>
    <w:rsid w:val="5C3B9118"/>
    <w:rsid w:val="5C4263E7"/>
    <w:rsid w:val="5C4561DD"/>
    <w:rsid w:val="5C4AD15D"/>
    <w:rsid w:val="5C56C4ED"/>
    <w:rsid w:val="5C5D910D"/>
    <w:rsid w:val="5C623969"/>
    <w:rsid w:val="5C6562F7"/>
    <w:rsid w:val="5C6C7CA1"/>
    <w:rsid w:val="5C71549C"/>
    <w:rsid w:val="5C846EFB"/>
    <w:rsid w:val="5C86A18E"/>
    <w:rsid w:val="5C89DDF5"/>
    <w:rsid w:val="5C907B6A"/>
    <w:rsid w:val="5C9897D9"/>
    <w:rsid w:val="5C9AEF6C"/>
    <w:rsid w:val="5C9B247F"/>
    <w:rsid w:val="5C9D768A"/>
    <w:rsid w:val="5C9F3DE9"/>
    <w:rsid w:val="5CA0E738"/>
    <w:rsid w:val="5CA1D928"/>
    <w:rsid w:val="5CA31F56"/>
    <w:rsid w:val="5CA62FBA"/>
    <w:rsid w:val="5CA7BAFC"/>
    <w:rsid w:val="5CAD8507"/>
    <w:rsid w:val="5CB2E1F9"/>
    <w:rsid w:val="5CB651E3"/>
    <w:rsid w:val="5CB810A7"/>
    <w:rsid w:val="5CBC3376"/>
    <w:rsid w:val="5CBC424E"/>
    <w:rsid w:val="5CBCA6F0"/>
    <w:rsid w:val="5CC52EE2"/>
    <w:rsid w:val="5CD18C5B"/>
    <w:rsid w:val="5CD22AD1"/>
    <w:rsid w:val="5CD72ABA"/>
    <w:rsid w:val="5CD7CC51"/>
    <w:rsid w:val="5CDAB592"/>
    <w:rsid w:val="5CDCA1DE"/>
    <w:rsid w:val="5CDCDD1E"/>
    <w:rsid w:val="5CDF53BE"/>
    <w:rsid w:val="5CE09EBA"/>
    <w:rsid w:val="5CE1777A"/>
    <w:rsid w:val="5CE5C82A"/>
    <w:rsid w:val="5CE92B2B"/>
    <w:rsid w:val="5CF1C727"/>
    <w:rsid w:val="5CF6D586"/>
    <w:rsid w:val="5CF7A2F3"/>
    <w:rsid w:val="5CF7CA3C"/>
    <w:rsid w:val="5CF99669"/>
    <w:rsid w:val="5CFBCBB8"/>
    <w:rsid w:val="5CFBECF4"/>
    <w:rsid w:val="5D03920C"/>
    <w:rsid w:val="5D03C01C"/>
    <w:rsid w:val="5D074F2F"/>
    <w:rsid w:val="5D0882EC"/>
    <w:rsid w:val="5D0959FA"/>
    <w:rsid w:val="5D0C94BD"/>
    <w:rsid w:val="5D149BE1"/>
    <w:rsid w:val="5D1949D6"/>
    <w:rsid w:val="5D1A2FD4"/>
    <w:rsid w:val="5D1D1235"/>
    <w:rsid w:val="5D206B97"/>
    <w:rsid w:val="5D20BA99"/>
    <w:rsid w:val="5D23AFEC"/>
    <w:rsid w:val="5D2812D1"/>
    <w:rsid w:val="5D3B178B"/>
    <w:rsid w:val="5D3BEE41"/>
    <w:rsid w:val="5D43A88B"/>
    <w:rsid w:val="5D4549BF"/>
    <w:rsid w:val="5D48E099"/>
    <w:rsid w:val="5D4AB88E"/>
    <w:rsid w:val="5D4D4B9F"/>
    <w:rsid w:val="5D523D10"/>
    <w:rsid w:val="5D555AAB"/>
    <w:rsid w:val="5D599911"/>
    <w:rsid w:val="5D5A49B9"/>
    <w:rsid w:val="5D5DD716"/>
    <w:rsid w:val="5D5F7114"/>
    <w:rsid w:val="5D61B800"/>
    <w:rsid w:val="5D6316A4"/>
    <w:rsid w:val="5D684F59"/>
    <w:rsid w:val="5D68A131"/>
    <w:rsid w:val="5D6AE91E"/>
    <w:rsid w:val="5D6C170F"/>
    <w:rsid w:val="5D6E8F01"/>
    <w:rsid w:val="5D6F1DF8"/>
    <w:rsid w:val="5D75E167"/>
    <w:rsid w:val="5D79C02A"/>
    <w:rsid w:val="5D7AAB75"/>
    <w:rsid w:val="5D8129ED"/>
    <w:rsid w:val="5D819963"/>
    <w:rsid w:val="5D8667CE"/>
    <w:rsid w:val="5D8798D8"/>
    <w:rsid w:val="5D881063"/>
    <w:rsid w:val="5D8F310D"/>
    <w:rsid w:val="5D96BCB3"/>
    <w:rsid w:val="5D98BCD3"/>
    <w:rsid w:val="5D9A7E94"/>
    <w:rsid w:val="5D9E80BE"/>
    <w:rsid w:val="5DA36169"/>
    <w:rsid w:val="5DA3990F"/>
    <w:rsid w:val="5DAB2C94"/>
    <w:rsid w:val="5DABB206"/>
    <w:rsid w:val="5DB00E58"/>
    <w:rsid w:val="5DB17131"/>
    <w:rsid w:val="5DB6A0EB"/>
    <w:rsid w:val="5DC0D98A"/>
    <w:rsid w:val="5DC41C2B"/>
    <w:rsid w:val="5DC96C8F"/>
    <w:rsid w:val="5DCBA4A6"/>
    <w:rsid w:val="5DD1DB9C"/>
    <w:rsid w:val="5DD20A8B"/>
    <w:rsid w:val="5DD401F3"/>
    <w:rsid w:val="5DE0D050"/>
    <w:rsid w:val="5DE35F42"/>
    <w:rsid w:val="5DE387AC"/>
    <w:rsid w:val="5DE6888C"/>
    <w:rsid w:val="5DE7098C"/>
    <w:rsid w:val="5DE787CC"/>
    <w:rsid w:val="5DE7B5A6"/>
    <w:rsid w:val="5DEA4A1C"/>
    <w:rsid w:val="5DFA7B51"/>
    <w:rsid w:val="5DFBEC2B"/>
    <w:rsid w:val="5DFFF427"/>
    <w:rsid w:val="5E030D33"/>
    <w:rsid w:val="5E03260F"/>
    <w:rsid w:val="5E1659BC"/>
    <w:rsid w:val="5E1E511A"/>
    <w:rsid w:val="5E30B3B3"/>
    <w:rsid w:val="5E3374EC"/>
    <w:rsid w:val="5E34D0FD"/>
    <w:rsid w:val="5E38276A"/>
    <w:rsid w:val="5E3B2711"/>
    <w:rsid w:val="5E45160C"/>
    <w:rsid w:val="5E48C805"/>
    <w:rsid w:val="5E48E038"/>
    <w:rsid w:val="5E507018"/>
    <w:rsid w:val="5E551505"/>
    <w:rsid w:val="5E577FAD"/>
    <w:rsid w:val="5E5810D4"/>
    <w:rsid w:val="5E5AB21F"/>
    <w:rsid w:val="5E61E48F"/>
    <w:rsid w:val="5E6810C1"/>
    <w:rsid w:val="5E68FF5F"/>
    <w:rsid w:val="5E6C6AFA"/>
    <w:rsid w:val="5E6F5633"/>
    <w:rsid w:val="5E78AC15"/>
    <w:rsid w:val="5E793C56"/>
    <w:rsid w:val="5E7A2CDA"/>
    <w:rsid w:val="5E7CB3F6"/>
    <w:rsid w:val="5E7D7E2D"/>
    <w:rsid w:val="5E814C64"/>
    <w:rsid w:val="5E8BF332"/>
    <w:rsid w:val="5E8C1C41"/>
    <w:rsid w:val="5E8DD158"/>
    <w:rsid w:val="5E8F1FF3"/>
    <w:rsid w:val="5E96E3B3"/>
    <w:rsid w:val="5E9D97AF"/>
    <w:rsid w:val="5E9E8EB9"/>
    <w:rsid w:val="5EA226FC"/>
    <w:rsid w:val="5EAA32C4"/>
    <w:rsid w:val="5EAB7363"/>
    <w:rsid w:val="5EAEA20D"/>
    <w:rsid w:val="5EB06F65"/>
    <w:rsid w:val="5EB3451B"/>
    <w:rsid w:val="5EB69CA7"/>
    <w:rsid w:val="5EBA5831"/>
    <w:rsid w:val="5EBB1B49"/>
    <w:rsid w:val="5EBB4906"/>
    <w:rsid w:val="5EC34C0A"/>
    <w:rsid w:val="5EC975D9"/>
    <w:rsid w:val="5ECE51CE"/>
    <w:rsid w:val="5ECFB2E9"/>
    <w:rsid w:val="5ED28C0D"/>
    <w:rsid w:val="5ED5542E"/>
    <w:rsid w:val="5EDE768E"/>
    <w:rsid w:val="5EE26BDD"/>
    <w:rsid w:val="5EE27B85"/>
    <w:rsid w:val="5EEC38DE"/>
    <w:rsid w:val="5EEDD82C"/>
    <w:rsid w:val="5EEF21BD"/>
    <w:rsid w:val="5EEF6E3A"/>
    <w:rsid w:val="5F0DB49C"/>
    <w:rsid w:val="5F0E1C9C"/>
    <w:rsid w:val="5F13BAB3"/>
    <w:rsid w:val="5F1D7913"/>
    <w:rsid w:val="5F1E2FDC"/>
    <w:rsid w:val="5F21B6B2"/>
    <w:rsid w:val="5F220A2E"/>
    <w:rsid w:val="5F2288DB"/>
    <w:rsid w:val="5F22E90E"/>
    <w:rsid w:val="5F29F8AC"/>
    <w:rsid w:val="5F2BF188"/>
    <w:rsid w:val="5F2C6499"/>
    <w:rsid w:val="5F355A8C"/>
    <w:rsid w:val="5F3E52C3"/>
    <w:rsid w:val="5F3F0DD2"/>
    <w:rsid w:val="5F41099C"/>
    <w:rsid w:val="5F428705"/>
    <w:rsid w:val="5F4A1F95"/>
    <w:rsid w:val="5F4D0A86"/>
    <w:rsid w:val="5F518817"/>
    <w:rsid w:val="5F53DF20"/>
    <w:rsid w:val="5F55E342"/>
    <w:rsid w:val="5F569C84"/>
    <w:rsid w:val="5F5DF563"/>
    <w:rsid w:val="5F5E197E"/>
    <w:rsid w:val="5F5ECE7C"/>
    <w:rsid w:val="5F63B662"/>
    <w:rsid w:val="5F6A3A94"/>
    <w:rsid w:val="5F6B9D6F"/>
    <w:rsid w:val="5F6D97AD"/>
    <w:rsid w:val="5F6F0F0E"/>
    <w:rsid w:val="5F7124AB"/>
    <w:rsid w:val="5F71BDAC"/>
    <w:rsid w:val="5F7AE7A0"/>
    <w:rsid w:val="5F9746D3"/>
    <w:rsid w:val="5F9CB057"/>
    <w:rsid w:val="5FA0B6A6"/>
    <w:rsid w:val="5FA12C8F"/>
    <w:rsid w:val="5FA7A61D"/>
    <w:rsid w:val="5FA84C96"/>
    <w:rsid w:val="5FA9C511"/>
    <w:rsid w:val="5FAB0D57"/>
    <w:rsid w:val="5FAEFE2B"/>
    <w:rsid w:val="5FAFC05D"/>
    <w:rsid w:val="5FB0D861"/>
    <w:rsid w:val="5FB41627"/>
    <w:rsid w:val="5FB5CD57"/>
    <w:rsid w:val="5FBFFB8C"/>
    <w:rsid w:val="5FCC7BD5"/>
    <w:rsid w:val="5FD0AB35"/>
    <w:rsid w:val="5FD14737"/>
    <w:rsid w:val="5FD43191"/>
    <w:rsid w:val="5FD73483"/>
    <w:rsid w:val="5FD7AA3D"/>
    <w:rsid w:val="5FDF8ED2"/>
    <w:rsid w:val="5FE0830E"/>
    <w:rsid w:val="5FE12FDB"/>
    <w:rsid w:val="5FE5AF61"/>
    <w:rsid w:val="5FF2F125"/>
    <w:rsid w:val="5FF722DB"/>
    <w:rsid w:val="5FFAC9F5"/>
    <w:rsid w:val="5FFE9E18"/>
    <w:rsid w:val="60039E19"/>
    <w:rsid w:val="60058B89"/>
    <w:rsid w:val="6005A640"/>
    <w:rsid w:val="60098EC1"/>
    <w:rsid w:val="60099B68"/>
    <w:rsid w:val="600C68DD"/>
    <w:rsid w:val="600C8C1A"/>
    <w:rsid w:val="6011ED4C"/>
    <w:rsid w:val="60140DDB"/>
    <w:rsid w:val="601699DA"/>
    <w:rsid w:val="6017B1CA"/>
    <w:rsid w:val="601A3A16"/>
    <w:rsid w:val="601B5F35"/>
    <w:rsid w:val="6024F500"/>
    <w:rsid w:val="60295034"/>
    <w:rsid w:val="602C211D"/>
    <w:rsid w:val="602DFD1B"/>
    <w:rsid w:val="6033B68B"/>
    <w:rsid w:val="603B5BA4"/>
    <w:rsid w:val="6046D6F7"/>
    <w:rsid w:val="60475C4E"/>
    <w:rsid w:val="604FCE51"/>
    <w:rsid w:val="6052B66F"/>
    <w:rsid w:val="6054E0E8"/>
    <w:rsid w:val="6057F1F0"/>
    <w:rsid w:val="60583B58"/>
    <w:rsid w:val="6059E698"/>
    <w:rsid w:val="605F3233"/>
    <w:rsid w:val="606047A0"/>
    <w:rsid w:val="6060DB8E"/>
    <w:rsid w:val="6071A8D7"/>
    <w:rsid w:val="60737EA7"/>
    <w:rsid w:val="60799DFE"/>
    <w:rsid w:val="6084DF8E"/>
    <w:rsid w:val="608A2743"/>
    <w:rsid w:val="609293AF"/>
    <w:rsid w:val="609B65B3"/>
    <w:rsid w:val="609BD42E"/>
    <w:rsid w:val="609ECE9A"/>
    <w:rsid w:val="60A57F45"/>
    <w:rsid w:val="60A677CB"/>
    <w:rsid w:val="60A966BE"/>
    <w:rsid w:val="60ABEDAB"/>
    <w:rsid w:val="60AF090A"/>
    <w:rsid w:val="60B075FE"/>
    <w:rsid w:val="60B20DC4"/>
    <w:rsid w:val="60B2F61E"/>
    <w:rsid w:val="60B3D67C"/>
    <w:rsid w:val="60B67708"/>
    <w:rsid w:val="60B85C1D"/>
    <w:rsid w:val="60BFA75C"/>
    <w:rsid w:val="60BFAB94"/>
    <w:rsid w:val="60C19432"/>
    <w:rsid w:val="60C1FB1F"/>
    <w:rsid w:val="60C2BEF1"/>
    <w:rsid w:val="60C3339F"/>
    <w:rsid w:val="60C3ED45"/>
    <w:rsid w:val="60C5E0C3"/>
    <w:rsid w:val="60CB453B"/>
    <w:rsid w:val="60CD55F3"/>
    <w:rsid w:val="60CF47B7"/>
    <w:rsid w:val="60CF8F29"/>
    <w:rsid w:val="60D1B7FE"/>
    <w:rsid w:val="60D2C297"/>
    <w:rsid w:val="60DF9445"/>
    <w:rsid w:val="60E11B4C"/>
    <w:rsid w:val="60E202AC"/>
    <w:rsid w:val="60E6C744"/>
    <w:rsid w:val="60F2BE20"/>
    <w:rsid w:val="60F37C25"/>
    <w:rsid w:val="60F5CEA4"/>
    <w:rsid w:val="60F7C9A3"/>
    <w:rsid w:val="610232D8"/>
    <w:rsid w:val="610A47A9"/>
    <w:rsid w:val="610CEB06"/>
    <w:rsid w:val="611102E8"/>
    <w:rsid w:val="6111B199"/>
    <w:rsid w:val="61141E15"/>
    <w:rsid w:val="611A01AF"/>
    <w:rsid w:val="612353E3"/>
    <w:rsid w:val="6123D021"/>
    <w:rsid w:val="6125BF25"/>
    <w:rsid w:val="6127274C"/>
    <w:rsid w:val="61279092"/>
    <w:rsid w:val="6129B91A"/>
    <w:rsid w:val="612FF331"/>
    <w:rsid w:val="613223C1"/>
    <w:rsid w:val="6133BC92"/>
    <w:rsid w:val="6137458C"/>
    <w:rsid w:val="613CC974"/>
    <w:rsid w:val="613D144B"/>
    <w:rsid w:val="614ACFDF"/>
    <w:rsid w:val="614AD513"/>
    <w:rsid w:val="614EB53C"/>
    <w:rsid w:val="615061C4"/>
    <w:rsid w:val="615092C6"/>
    <w:rsid w:val="615104F9"/>
    <w:rsid w:val="61585F71"/>
    <w:rsid w:val="616BC46F"/>
    <w:rsid w:val="61767F53"/>
    <w:rsid w:val="61782BCC"/>
    <w:rsid w:val="6178BB26"/>
    <w:rsid w:val="617FE7C3"/>
    <w:rsid w:val="61800300"/>
    <w:rsid w:val="6189DADE"/>
    <w:rsid w:val="618A6669"/>
    <w:rsid w:val="618D2B3B"/>
    <w:rsid w:val="61928843"/>
    <w:rsid w:val="61959F2D"/>
    <w:rsid w:val="619859AE"/>
    <w:rsid w:val="619BFB54"/>
    <w:rsid w:val="619C2B02"/>
    <w:rsid w:val="619E9ED9"/>
    <w:rsid w:val="61A103A2"/>
    <w:rsid w:val="61A57D29"/>
    <w:rsid w:val="61AE3B14"/>
    <w:rsid w:val="61AFCC85"/>
    <w:rsid w:val="61B474DD"/>
    <w:rsid w:val="61C294EF"/>
    <w:rsid w:val="61C6F87A"/>
    <w:rsid w:val="61CB7A78"/>
    <w:rsid w:val="61DC3FA3"/>
    <w:rsid w:val="61E315E8"/>
    <w:rsid w:val="61E51C2B"/>
    <w:rsid w:val="61EF25E7"/>
    <w:rsid w:val="61F20B0B"/>
    <w:rsid w:val="61F21457"/>
    <w:rsid w:val="61FA544B"/>
    <w:rsid w:val="6200A58A"/>
    <w:rsid w:val="62019A5C"/>
    <w:rsid w:val="6204D841"/>
    <w:rsid w:val="62095798"/>
    <w:rsid w:val="6210BD93"/>
    <w:rsid w:val="62111D32"/>
    <w:rsid w:val="62148738"/>
    <w:rsid w:val="62161F27"/>
    <w:rsid w:val="621B5FE3"/>
    <w:rsid w:val="62285CE0"/>
    <w:rsid w:val="622C81C3"/>
    <w:rsid w:val="6231AC13"/>
    <w:rsid w:val="62326FEC"/>
    <w:rsid w:val="6239C070"/>
    <w:rsid w:val="62402002"/>
    <w:rsid w:val="6241E153"/>
    <w:rsid w:val="624540D8"/>
    <w:rsid w:val="62482F3E"/>
    <w:rsid w:val="624F61FE"/>
    <w:rsid w:val="6258586B"/>
    <w:rsid w:val="62645E6A"/>
    <w:rsid w:val="626C60AE"/>
    <w:rsid w:val="62722255"/>
    <w:rsid w:val="627513A5"/>
    <w:rsid w:val="6275E5F9"/>
    <w:rsid w:val="6282E4F9"/>
    <w:rsid w:val="6283D164"/>
    <w:rsid w:val="6285900D"/>
    <w:rsid w:val="6285C45A"/>
    <w:rsid w:val="628BCE89"/>
    <w:rsid w:val="6295D362"/>
    <w:rsid w:val="629BCC4F"/>
    <w:rsid w:val="629DD6E6"/>
    <w:rsid w:val="629FBE22"/>
    <w:rsid w:val="62A33D2D"/>
    <w:rsid w:val="62A39F9D"/>
    <w:rsid w:val="62A6324B"/>
    <w:rsid w:val="62A6EAE1"/>
    <w:rsid w:val="62AB4773"/>
    <w:rsid w:val="62AC759C"/>
    <w:rsid w:val="62AFC45C"/>
    <w:rsid w:val="62B05B5D"/>
    <w:rsid w:val="62BB2089"/>
    <w:rsid w:val="62BCA443"/>
    <w:rsid w:val="62BF5E81"/>
    <w:rsid w:val="62C2CA71"/>
    <w:rsid w:val="62CA40A1"/>
    <w:rsid w:val="62CA6319"/>
    <w:rsid w:val="62D01B65"/>
    <w:rsid w:val="62D3711B"/>
    <w:rsid w:val="62D8E004"/>
    <w:rsid w:val="62DF3CA6"/>
    <w:rsid w:val="62DFB197"/>
    <w:rsid w:val="62E0216E"/>
    <w:rsid w:val="62F41657"/>
    <w:rsid w:val="62F5879C"/>
    <w:rsid w:val="62F5E67F"/>
    <w:rsid w:val="62F89FCE"/>
    <w:rsid w:val="6300E36B"/>
    <w:rsid w:val="6302443E"/>
    <w:rsid w:val="630772F1"/>
    <w:rsid w:val="63116611"/>
    <w:rsid w:val="6326F1EC"/>
    <w:rsid w:val="63285F87"/>
    <w:rsid w:val="63288283"/>
    <w:rsid w:val="632DA006"/>
    <w:rsid w:val="633065C0"/>
    <w:rsid w:val="6331C0B7"/>
    <w:rsid w:val="63371A1F"/>
    <w:rsid w:val="6339B955"/>
    <w:rsid w:val="633A30E8"/>
    <w:rsid w:val="633F71D0"/>
    <w:rsid w:val="63417D8E"/>
    <w:rsid w:val="634518FE"/>
    <w:rsid w:val="634AE8BD"/>
    <w:rsid w:val="635AD66B"/>
    <w:rsid w:val="635E371B"/>
    <w:rsid w:val="6366C0C6"/>
    <w:rsid w:val="6368C7B1"/>
    <w:rsid w:val="636C49C1"/>
    <w:rsid w:val="636CF229"/>
    <w:rsid w:val="636D17A7"/>
    <w:rsid w:val="636E370C"/>
    <w:rsid w:val="636E6066"/>
    <w:rsid w:val="6370D471"/>
    <w:rsid w:val="6374037A"/>
    <w:rsid w:val="6374BA99"/>
    <w:rsid w:val="637D199D"/>
    <w:rsid w:val="637D4240"/>
    <w:rsid w:val="637E6D14"/>
    <w:rsid w:val="637FF229"/>
    <w:rsid w:val="63800EA9"/>
    <w:rsid w:val="6385606A"/>
    <w:rsid w:val="6388EF52"/>
    <w:rsid w:val="638B7D23"/>
    <w:rsid w:val="638BC13B"/>
    <w:rsid w:val="638C5C02"/>
    <w:rsid w:val="638D753D"/>
    <w:rsid w:val="63955108"/>
    <w:rsid w:val="639667B3"/>
    <w:rsid w:val="63A158A4"/>
    <w:rsid w:val="63A554D1"/>
    <w:rsid w:val="63A5F613"/>
    <w:rsid w:val="63A85008"/>
    <w:rsid w:val="63A98ADF"/>
    <w:rsid w:val="63B889CE"/>
    <w:rsid w:val="63BA2AF3"/>
    <w:rsid w:val="63BC3106"/>
    <w:rsid w:val="63C21A7F"/>
    <w:rsid w:val="63C24521"/>
    <w:rsid w:val="63C4D4B3"/>
    <w:rsid w:val="63C8DD4E"/>
    <w:rsid w:val="63CA5CAA"/>
    <w:rsid w:val="63D3C9C3"/>
    <w:rsid w:val="63D75CE9"/>
    <w:rsid w:val="63DA4D55"/>
    <w:rsid w:val="63DA90E1"/>
    <w:rsid w:val="63E7955C"/>
    <w:rsid w:val="63E7F0AD"/>
    <w:rsid w:val="63ED3CC8"/>
    <w:rsid w:val="63EFDBD8"/>
    <w:rsid w:val="63F10C52"/>
    <w:rsid w:val="63F1F228"/>
    <w:rsid w:val="63F3CAEF"/>
    <w:rsid w:val="63FD0DC8"/>
    <w:rsid w:val="63FE97DB"/>
    <w:rsid w:val="64009545"/>
    <w:rsid w:val="6400D447"/>
    <w:rsid w:val="64033667"/>
    <w:rsid w:val="640A69E4"/>
    <w:rsid w:val="64112E5D"/>
    <w:rsid w:val="6412EFD6"/>
    <w:rsid w:val="64150922"/>
    <w:rsid w:val="641A3F13"/>
    <w:rsid w:val="641C6DE1"/>
    <w:rsid w:val="641E45D1"/>
    <w:rsid w:val="6426D7D9"/>
    <w:rsid w:val="64278BC8"/>
    <w:rsid w:val="6429A0E6"/>
    <w:rsid w:val="6440B91F"/>
    <w:rsid w:val="6440CC5A"/>
    <w:rsid w:val="64428A97"/>
    <w:rsid w:val="6443F48E"/>
    <w:rsid w:val="6451294F"/>
    <w:rsid w:val="6454D8CE"/>
    <w:rsid w:val="64578490"/>
    <w:rsid w:val="6459EC86"/>
    <w:rsid w:val="645DA2CE"/>
    <w:rsid w:val="645E0985"/>
    <w:rsid w:val="6461DA83"/>
    <w:rsid w:val="6463B03C"/>
    <w:rsid w:val="6463B64A"/>
    <w:rsid w:val="6466D0BA"/>
    <w:rsid w:val="6468204D"/>
    <w:rsid w:val="646E547B"/>
    <w:rsid w:val="6474565A"/>
    <w:rsid w:val="64783F3C"/>
    <w:rsid w:val="647DCD37"/>
    <w:rsid w:val="647E55D7"/>
    <w:rsid w:val="64809778"/>
    <w:rsid w:val="64864A5D"/>
    <w:rsid w:val="648B552E"/>
    <w:rsid w:val="649BA452"/>
    <w:rsid w:val="649BFF8D"/>
    <w:rsid w:val="649CD1CC"/>
    <w:rsid w:val="649DA5ED"/>
    <w:rsid w:val="64A509A7"/>
    <w:rsid w:val="64AD0811"/>
    <w:rsid w:val="64ADA63F"/>
    <w:rsid w:val="64B420FD"/>
    <w:rsid w:val="64BA0582"/>
    <w:rsid w:val="64BBF109"/>
    <w:rsid w:val="64BC25A8"/>
    <w:rsid w:val="64C81961"/>
    <w:rsid w:val="64CE3367"/>
    <w:rsid w:val="64D379B4"/>
    <w:rsid w:val="64D56D3F"/>
    <w:rsid w:val="64DB269F"/>
    <w:rsid w:val="64DBAD3B"/>
    <w:rsid w:val="64E159D0"/>
    <w:rsid w:val="64E22E33"/>
    <w:rsid w:val="64E5D633"/>
    <w:rsid w:val="64E83E33"/>
    <w:rsid w:val="64E9606E"/>
    <w:rsid w:val="64EBF170"/>
    <w:rsid w:val="64F2310B"/>
    <w:rsid w:val="64F23CFA"/>
    <w:rsid w:val="64F3DFC3"/>
    <w:rsid w:val="64FCC78A"/>
    <w:rsid w:val="64FEEDB9"/>
    <w:rsid w:val="64FFD3FD"/>
    <w:rsid w:val="6500721B"/>
    <w:rsid w:val="65034041"/>
    <w:rsid w:val="6503B2E3"/>
    <w:rsid w:val="650FAE70"/>
    <w:rsid w:val="65132AE3"/>
    <w:rsid w:val="651476A0"/>
    <w:rsid w:val="6514A6EB"/>
    <w:rsid w:val="651B9638"/>
    <w:rsid w:val="651FC36B"/>
    <w:rsid w:val="652033B5"/>
    <w:rsid w:val="65263EF0"/>
    <w:rsid w:val="652701D1"/>
    <w:rsid w:val="653024E3"/>
    <w:rsid w:val="6537FD18"/>
    <w:rsid w:val="6538C530"/>
    <w:rsid w:val="653A4796"/>
    <w:rsid w:val="653B2760"/>
    <w:rsid w:val="6543D575"/>
    <w:rsid w:val="65486EFC"/>
    <w:rsid w:val="654E672E"/>
    <w:rsid w:val="6556879C"/>
    <w:rsid w:val="6556D09C"/>
    <w:rsid w:val="6558475F"/>
    <w:rsid w:val="6558A3F4"/>
    <w:rsid w:val="655F0375"/>
    <w:rsid w:val="65785616"/>
    <w:rsid w:val="657D75EB"/>
    <w:rsid w:val="65823BD6"/>
    <w:rsid w:val="6582D5EC"/>
    <w:rsid w:val="6583B98B"/>
    <w:rsid w:val="658A371B"/>
    <w:rsid w:val="658ED271"/>
    <w:rsid w:val="65920362"/>
    <w:rsid w:val="65945E99"/>
    <w:rsid w:val="659A35A0"/>
    <w:rsid w:val="65A29C15"/>
    <w:rsid w:val="65A30A68"/>
    <w:rsid w:val="65A3D137"/>
    <w:rsid w:val="65B38C30"/>
    <w:rsid w:val="65B3F15E"/>
    <w:rsid w:val="65C1EBCC"/>
    <w:rsid w:val="65C2077F"/>
    <w:rsid w:val="65C27447"/>
    <w:rsid w:val="65CC5A76"/>
    <w:rsid w:val="65CD2AF1"/>
    <w:rsid w:val="65D46F82"/>
    <w:rsid w:val="65D78350"/>
    <w:rsid w:val="65DA54C4"/>
    <w:rsid w:val="65DB73E8"/>
    <w:rsid w:val="65E86331"/>
    <w:rsid w:val="65E88013"/>
    <w:rsid w:val="65E912C3"/>
    <w:rsid w:val="65EA00A9"/>
    <w:rsid w:val="65ED6E9F"/>
    <w:rsid w:val="65ED6EB5"/>
    <w:rsid w:val="65EE900C"/>
    <w:rsid w:val="65F1BD5A"/>
    <w:rsid w:val="65F39DCD"/>
    <w:rsid w:val="65F3E770"/>
    <w:rsid w:val="65F5C478"/>
    <w:rsid w:val="65FC6EFB"/>
    <w:rsid w:val="66019698"/>
    <w:rsid w:val="66047D93"/>
    <w:rsid w:val="66060102"/>
    <w:rsid w:val="6611E0FE"/>
    <w:rsid w:val="661BD3A6"/>
    <w:rsid w:val="661EE647"/>
    <w:rsid w:val="6621FE38"/>
    <w:rsid w:val="6629D03A"/>
    <w:rsid w:val="6636D3FA"/>
    <w:rsid w:val="663787FF"/>
    <w:rsid w:val="663B934F"/>
    <w:rsid w:val="663D45C4"/>
    <w:rsid w:val="664403C1"/>
    <w:rsid w:val="664932DE"/>
    <w:rsid w:val="664C3DFA"/>
    <w:rsid w:val="664E0C68"/>
    <w:rsid w:val="66536A1D"/>
    <w:rsid w:val="6653FE4F"/>
    <w:rsid w:val="66556C72"/>
    <w:rsid w:val="66569C9A"/>
    <w:rsid w:val="6660951B"/>
    <w:rsid w:val="6664DBD9"/>
    <w:rsid w:val="6667205E"/>
    <w:rsid w:val="6670B0B1"/>
    <w:rsid w:val="6672B30A"/>
    <w:rsid w:val="66755427"/>
    <w:rsid w:val="66773CB7"/>
    <w:rsid w:val="667A0A08"/>
    <w:rsid w:val="667A4841"/>
    <w:rsid w:val="667BF02B"/>
    <w:rsid w:val="667FD37C"/>
    <w:rsid w:val="6682548F"/>
    <w:rsid w:val="668A7EB7"/>
    <w:rsid w:val="668CD4AC"/>
    <w:rsid w:val="66906268"/>
    <w:rsid w:val="6692DA8B"/>
    <w:rsid w:val="669F8918"/>
    <w:rsid w:val="66A98C08"/>
    <w:rsid w:val="66AD941E"/>
    <w:rsid w:val="66B5C967"/>
    <w:rsid w:val="66BA4E2E"/>
    <w:rsid w:val="66BBB456"/>
    <w:rsid w:val="66BF4AD1"/>
    <w:rsid w:val="66C5669B"/>
    <w:rsid w:val="66C5DC75"/>
    <w:rsid w:val="66C622C9"/>
    <w:rsid w:val="66C9BA44"/>
    <w:rsid w:val="66CB9275"/>
    <w:rsid w:val="66D278D2"/>
    <w:rsid w:val="66D339BF"/>
    <w:rsid w:val="66D35407"/>
    <w:rsid w:val="66D98887"/>
    <w:rsid w:val="66DE1533"/>
    <w:rsid w:val="66E485AC"/>
    <w:rsid w:val="66E51CDF"/>
    <w:rsid w:val="66EB031A"/>
    <w:rsid w:val="66F119CA"/>
    <w:rsid w:val="66F198B0"/>
    <w:rsid w:val="66F39728"/>
    <w:rsid w:val="66F40875"/>
    <w:rsid w:val="670059BE"/>
    <w:rsid w:val="67014A74"/>
    <w:rsid w:val="6703A062"/>
    <w:rsid w:val="670BAC63"/>
    <w:rsid w:val="670BF097"/>
    <w:rsid w:val="6713360E"/>
    <w:rsid w:val="671437F2"/>
    <w:rsid w:val="6717B843"/>
    <w:rsid w:val="6718EF0A"/>
    <w:rsid w:val="6725A327"/>
    <w:rsid w:val="6726D6DC"/>
    <w:rsid w:val="67270130"/>
    <w:rsid w:val="672E393D"/>
    <w:rsid w:val="672F95A1"/>
    <w:rsid w:val="67305B1C"/>
    <w:rsid w:val="673A3D1C"/>
    <w:rsid w:val="673B96B9"/>
    <w:rsid w:val="673BDC88"/>
    <w:rsid w:val="673DE3A6"/>
    <w:rsid w:val="673EE964"/>
    <w:rsid w:val="673F415E"/>
    <w:rsid w:val="6748CDA3"/>
    <w:rsid w:val="6749EEBA"/>
    <w:rsid w:val="674DE67C"/>
    <w:rsid w:val="6750490D"/>
    <w:rsid w:val="67505838"/>
    <w:rsid w:val="6752CE3A"/>
    <w:rsid w:val="67565736"/>
    <w:rsid w:val="67582AA4"/>
    <w:rsid w:val="675CAFB0"/>
    <w:rsid w:val="675F633C"/>
    <w:rsid w:val="67626E51"/>
    <w:rsid w:val="6772F939"/>
    <w:rsid w:val="67730009"/>
    <w:rsid w:val="677447CC"/>
    <w:rsid w:val="677EFE8E"/>
    <w:rsid w:val="678F3527"/>
    <w:rsid w:val="6799EF30"/>
    <w:rsid w:val="679A1DA2"/>
    <w:rsid w:val="679AB2E1"/>
    <w:rsid w:val="679CD995"/>
    <w:rsid w:val="67A2183E"/>
    <w:rsid w:val="67A46809"/>
    <w:rsid w:val="67A57D9C"/>
    <w:rsid w:val="67AB1874"/>
    <w:rsid w:val="67AD6E56"/>
    <w:rsid w:val="67AFB960"/>
    <w:rsid w:val="67B420D6"/>
    <w:rsid w:val="67B9C491"/>
    <w:rsid w:val="67BDDDC2"/>
    <w:rsid w:val="67C1772E"/>
    <w:rsid w:val="67C1AA0D"/>
    <w:rsid w:val="67C5AA8E"/>
    <w:rsid w:val="67CC9CFA"/>
    <w:rsid w:val="67D1159C"/>
    <w:rsid w:val="67D42152"/>
    <w:rsid w:val="67DA4BC0"/>
    <w:rsid w:val="67DE3F41"/>
    <w:rsid w:val="67EE19C3"/>
    <w:rsid w:val="67F2F0F2"/>
    <w:rsid w:val="67F67895"/>
    <w:rsid w:val="67F7AE56"/>
    <w:rsid w:val="67FBCF19"/>
    <w:rsid w:val="68020286"/>
    <w:rsid w:val="6804216A"/>
    <w:rsid w:val="68070252"/>
    <w:rsid w:val="68123678"/>
    <w:rsid w:val="6812C666"/>
    <w:rsid w:val="6813A8EE"/>
    <w:rsid w:val="681A5ABA"/>
    <w:rsid w:val="681C2040"/>
    <w:rsid w:val="681D0A31"/>
    <w:rsid w:val="681D65B8"/>
    <w:rsid w:val="681EFD1A"/>
    <w:rsid w:val="6824D14E"/>
    <w:rsid w:val="682C5F0F"/>
    <w:rsid w:val="682DD540"/>
    <w:rsid w:val="682EAF6F"/>
    <w:rsid w:val="6831F128"/>
    <w:rsid w:val="6832E8A6"/>
    <w:rsid w:val="6833F830"/>
    <w:rsid w:val="68393D9D"/>
    <w:rsid w:val="683A39F5"/>
    <w:rsid w:val="683B7A8E"/>
    <w:rsid w:val="683ED9E0"/>
    <w:rsid w:val="6849F949"/>
    <w:rsid w:val="684EFE8A"/>
    <w:rsid w:val="6853458A"/>
    <w:rsid w:val="6854C761"/>
    <w:rsid w:val="685A8217"/>
    <w:rsid w:val="685BA49D"/>
    <w:rsid w:val="685E0409"/>
    <w:rsid w:val="686381D6"/>
    <w:rsid w:val="68737B60"/>
    <w:rsid w:val="687D2990"/>
    <w:rsid w:val="687D3517"/>
    <w:rsid w:val="687EF187"/>
    <w:rsid w:val="6884FC4F"/>
    <w:rsid w:val="6889632C"/>
    <w:rsid w:val="688FB777"/>
    <w:rsid w:val="6895AA5B"/>
    <w:rsid w:val="689678F8"/>
    <w:rsid w:val="689D0DCB"/>
    <w:rsid w:val="68A39F1E"/>
    <w:rsid w:val="68A4C145"/>
    <w:rsid w:val="68A8385D"/>
    <w:rsid w:val="68A95B76"/>
    <w:rsid w:val="68ACC4F3"/>
    <w:rsid w:val="68AEFC8A"/>
    <w:rsid w:val="68AF3B10"/>
    <w:rsid w:val="68B0F662"/>
    <w:rsid w:val="68B19900"/>
    <w:rsid w:val="68B51C3D"/>
    <w:rsid w:val="68B74B71"/>
    <w:rsid w:val="68B788EF"/>
    <w:rsid w:val="68BBF352"/>
    <w:rsid w:val="68C1B533"/>
    <w:rsid w:val="68C2A78B"/>
    <w:rsid w:val="68C38B3A"/>
    <w:rsid w:val="68C540CF"/>
    <w:rsid w:val="68C66BC1"/>
    <w:rsid w:val="68C7AFBB"/>
    <w:rsid w:val="68CAE03B"/>
    <w:rsid w:val="68D0DA25"/>
    <w:rsid w:val="68D49363"/>
    <w:rsid w:val="68D77C7B"/>
    <w:rsid w:val="68DD9EAC"/>
    <w:rsid w:val="68DE4D20"/>
    <w:rsid w:val="68DEC477"/>
    <w:rsid w:val="68E1668A"/>
    <w:rsid w:val="68E9DFC9"/>
    <w:rsid w:val="68EB9C81"/>
    <w:rsid w:val="68F18E04"/>
    <w:rsid w:val="68F4830D"/>
    <w:rsid w:val="68F66D5D"/>
    <w:rsid w:val="68FDD26B"/>
    <w:rsid w:val="68FFC25F"/>
    <w:rsid w:val="6905031C"/>
    <w:rsid w:val="690618E8"/>
    <w:rsid w:val="690866CB"/>
    <w:rsid w:val="690FB9D0"/>
    <w:rsid w:val="691589EC"/>
    <w:rsid w:val="6919CC66"/>
    <w:rsid w:val="691A7F49"/>
    <w:rsid w:val="691BD1F3"/>
    <w:rsid w:val="691E5816"/>
    <w:rsid w:val="69206C75"/>
    <w:rsid w:val="6925A9ED"/>
    <w:rsid w:val="69266480"/>
    <w:rsid w:val="692B5472"/>
    <w:rsid w:val="692B9F62"/>
    <w:rsid w:val="692DAE57"/>
    <w:rsid w:val="692E3C65"/>
    <w:rsid w:val="693F1B6E"/>
    <w:rsid w:val="693FAB33"/>
    <w:rsid w:val="694112EB"/>
    <w:rsid w:val="694BA054"/>
    <w:rsid w:val="694E503B"/>
    <w:rsid w:val="6952F221"/>
    <w:rsid w:val="69567215"/>
    <w:rsid w:val="6959D5CE"/>
    <w:rsid w:val="695DD299"/>
    <w:rsid w:val="69617397"/>
    <w:rsid w:val="696992E3"/>
    <w:rsid w:val="696A97B1"/>
    <w:rsid w:val="69701BB7"/>
    <w:rsid w:val="6973E60E"/>
    <w:rsid w:val="69828488"/>
    <w:rsid w:val="69865DA3"/>
    <w:rsid w:val="69868E8F"/>
    <w:rsid w:val="698A90FB"/>
    <w:rsid w:val="69908168"/>
    <w:rsid w:val="699CDB08"/>
    <w:rsid w:val="69A6DFFA"/>
    <w:rsid w:val="69AB142A"/>
    <w:rsid w:val="69AE49D9"/>
    <w:rsid w:val="69AF77FA"/>
    <w:rsid w:val="69AFE6C0"/>
    <w:rsid w:val="69B3A468"/>
    <w:rsid w:val="69B407B9"/>
    <w:rsid w:val="69C27657"/>
    <w:rsid w:val="69C2B7FF"/>
    <w:rsid w:val="69C92726"/>
    <w:rsid w:val="69C9CF97"/>
    <w:rsid w:val="69CD0965"/>
    <w:rsid w:val="69D48D5C"/>
    <w:rsid w:val="69D8D147"/>
    <w:rsid w:val="69DB6EB8"/>
    <w:rsid w:val="69DEDB06"/>
    <w:rsid w:val="69E195CA"/>
    <w:rsid w:val="69E60BC9"/>
    <w:rsid w:val="69EB7023"/>
    <w:rsid w:val="69F12314"/>
    <w:rsid w:val="69F29189"/>
    <w:rsid w:val="69F37C3E"/>
    <w:rsid w:val="69F5F40A"/>
    <w:rsid w:val="69FC8FDB"/>
    <w:rsid w:val="69FD5604"/>
    <w:rsid w:val="6A05730B"/>
    <w:rsid w:val="6A0F3AE3"/>
    <w:rsid w:val="6A152EE4"/>
    <w:rsid w:val="6A154587"/>
    <w:rsid w:val="6A16EAFE"/>
    <w:rsid w:val="6A1CCA52"/>
    <w:rsid w:val="6A1D03F7"/>
    <w:rsid w:val="6A20D9B7"/>
    <w:rsid w:val="6A242FCD"/>
    <w:rsid w:val="6A2C3BA9"/>
    <w:rsid w:val="6A390F76"/>
    <w:rsid w:val="6A3ED619"/>
    <w:rsid w:val="6A55E399"/>
    <w:rsid w:val="6A598EFE"/>
    <w:rsid w:val="6A5BAA66"/>
    <w:rsid w:val="6A661EA1"/>
    <w:rsid w:val="6A69BB0A"/>
    <w:rsid w:val="6A6FE2CF"/>
    <w:rsid w:val="6A7C95BF"/>
    <w:rsid w:val="6A83D0A2"/>
    <w:rsid w:val="6A845E8A"/>
    <w:rsid w:val="6A8CD684"/>
    <w:rsid w:val="6A933A68"/>
    <w:rsid w:val="6A9365C1"/>
    <w:rsid w:val="6A99FA68"/>
    <w:rsid w:val="6A9A3C27"/>
    <w:rsid w:val="6A9EA10F"/>
    <w:rsid w:val="6AA61C05"/>
    <w:rsid w:val="6AA6F379"/>
    <w:rsid w:val="6AA77EE3"/>
    <w:rsid w:val="6AAAEA5E"/>
    <w:rsid w:val="6AABAA1F"/>
    <w:rsid w:val="6AB47384"/>
    <w:rsid w:val="6ABBA47E"/>
    <w:rsid w:val="6ABF566E"/>
    <w:rsid w:val="6AC39E4B"/>
    <w:rsid w:val="6AC42A2C"/>
    <w:rsid w:val="6ACA9F1D"/>
    <w:rsid w:val="6AD0E320"/>
    <w:rsid w:val="6AD53BD6"/>
    <w:rsid w:val="6AD76B21"/>
    <w:rsid w:val="6ADF7A16"/>
    <w:rsid w:val="6AE15525"/>
    <w:rsid w:val="6AE41EE6"/>
    <w:rsid w:val="6AE75DAA"/>
    <w:rsid w:val="6AEF8D9B"/>
    <w:rsid w:val="6AFB11C6"/>
    <w:rsid w:val="6AFB5E2F"/>
    <w:rsid w:val="6AFCC55C"/>
    <w:rsid w:val="6AFEF7A9"/>
    <w:rsid w:val="6B03BD42"/>
    <w:rsid w:val="6B07C905"/>
    <w:rsid w:val="6B0BB2CB"/>
    <w:rsid w:val="6B1042DE"/>
    <w:rsid w:val="6B12FB18"/>
    <w:rsid w:val="6B17A5BC"/>
    <w:rsid w:val="6B1AF3A4"/>
    <w:rsid w:val="6B1CFFAD"/>
    <w:rsid w:val="6B22EB63"/>
    <w:rsid w:val="6B248C04"/>
    <w:rsid w:val="6B2B36E4"/>
    <w:rsid w:val="6B338303"/>
    <w:rsid w:val="6B35F421"/>
    <w:rsid w:val="6B3A0183"/>
    <w:rsid w:val="6B3C225D"/>
    <w:rsid w:val="6B3CD80D"/>
    <w:rsid w:val="6B3E1CBF"/>
    <w:rsid w:val="6B49512A"/>
    <w:rsid w:val="6B4B332B"/>
    <w:rsid w:val="6B4DBB26"/>
    <w:rsid w:val="6B50F63B"/>
    <w:rsid w:val="6B532BB1"/>
    <w:rsid w:val="6B55F07D"/>
    <w:rsid w:val="6B62E011"/>
    <w:rsid w:val="6B6B017A"/>
    <w:rsid w:val="6B6C4649"/>
    <w:rsid w:val="6B6D82C1"/>
    <w:rsid w:val="6B73A24F"/>
    <w:rsid w:val="6B7E80D0"/>
    <w:rsid w:val="6B8A0C5E"/>
    <w:rsid w:val="6B8DC057"/>
    <w:rsid w:val="6B8DCBB5"/>
    <w:rsid w:val="6B9565DE"/>
    <w:rsid w:val="6B98F166"/>
    <w:rsid w:val="6B9ADDAD"/>
    <w:rsid w:val="6B9BB9DE"/>
    <w:rsid w:val="6B9E8B2F"/>
    <w:rsid w:val="6BA3808D"/>
    <w:rsid w:val="6BA3B049"/>
    <w:rsid w:val="6BA576F3"/>
    <w:rsid w:val="6BB00719"/>
    <w:rsid w:val="6BB03572"/>
    <w:rsid w:val="6BB86CA9"/>
    <w:rsid w:val="6BCAEEC9"/>
    <w:rsid w:val="6BD05044"/>
    <w:rsid w:val="6BD19BB7"/>
    <w:rsid w:val="6BD1C687"/>
    <w:rsid w:val="6BD45DC7"/>
    <w:rsid w:val="6BD4E6A6"/>
    <w:rsid w:val="6BD7ED89"/>
    <w:rsid w:val="6BD8862F"/>
    <w:rsid w:val="6BD968C2"/>
    <w:rsid w:val="6BDC5310"/>
    <w:rsid w:val="6BDCB35C"/>
    <w:rsid w:val="6BE01F43"/>
    <w:rsid w:val="6BE073D9"/>
    <w:rsid w:val="6BE0DEFD"/>
    <w:rsid w:val="6BE1BF5B"/>
    <w:rsid w:val="6BE5DE10"/>
    <w:rsid w:val="6BF587A8"/>
    <w:rsid w:val="6C084DBF"/>
    <w:rsid w:val="6C096084"/>
    <w:rsid w:val="6C15F054"/>
    <w:rsid w:val="6C1A0879"/>
    <w:rsid w:val="6C30D402"/>
    <w:rsid w:val="6C327C9C"/>
    <w:rsid w:val="6C394C6E"/>
    <w:rsid w:val="6C3D0058"/>
    <w:rsid w:val="6C468F2C"/>
    <w:rsid w:val="6C51CC75"/>
    <w:rsid w:val="6C53B2F4"/>
    <w:rsid w:val="6C53CE02"/>
    <w:rsid w:val="6C5D2C53"/>
    <w:rsid w:val="6C67D8AE"/>
    <w:rsid w:val="6C6BEFFB"/>
    <w:rsid w:val="6C6C6DF5"/>
    <w:rsid w:val="6C716FAB"/>
    <w:rsid w:val="6C764E39"/>
    <w:rsid w:val="6C78E43C"/>
    <w:rsid w:val="6C790DC5"/>
    <w:rsid w:val="6C7DEFED"/>
    <w:rsid w:val="6C8104AC"/>
    <w:rsid w:val="6C9351E7"/>
    <w:rsid w:val="6C944E7D"/>
    <w:rsid w:val="6C9615FA"/>
    <w:rsid w:val="6C97B4B4"/>
    <w:rsid w:val="6C9FCEBC"/>
    <w:rsid w:val="6CA3F2D0"/>
    <w:rsid w:val="6CA4A759"/>
    <w:rsid w:val="6CA539C1"/>
    <w:rsid w:val="6CB1C68E"/>
    <w:rsid w:val="6CB26AF9"/>
    <w:rsid w:val="6CB3C54B"/>
    <w:rsid w:val="6CB5EA91"/>
    <w:rsid w:val="6CB608E6"/>
    <w:rsid w:val="6CB8D49C"/>
    <w:rsid w:val="6CBC2153"/>
    <w:rsid w:val="6CC27F6A"/>
    <w:rsid w:val="6CC9109C"/>
    <w:rsid w:val="6CCA162C"/>
    <w:rsid w:val="6CD78EC4"/>
    <w:rsid w:val="6CDF4509"/>
    <w:rsid w:val="6CE380E1"/>
    <w:rsid w:val="6CEFA80A"/>
    <w:rsid w:val="6CF173EE"/>
    <w:rsid w:val="6CF58259"/>
    <w:rsid w:val="6CF71BF7"/>
    <w:rsid w:val="6D00AD16"/>
    <w:rsid w:val="6D06E3F9"/>
    <w:rsid w:val="6D100676"/>
    <w:rsid w:val="6D1CA624"/>
    <w:rsid w:val="6D1DD734"/>
    <w:rsid w:val="6D23F2B4"/>
    <w:rsid w:val="6D26E798"/>
    <w:rsid w:val="6D2B6690"/>
    <w:rsid w:val="6D311AB6"/>
    <w:rsid w:val="6D364BFF"/>
    <w:rsid w:val="6D374F29"/>
    <w:rsid w:val="6D3A4431"/>
    <w:rsid w:val="6D3C2626"/>
    <w:rsid w:val="6D42DE28"/>
    <w:rsid w:val="6D4A3FC5"/>
    <w:rsid w:val="6D4D1037"/>
    <w:rsid w:val="6D578F79"/>
    <w:rsid w:val="6D5C29BF"/>
    <w:rsid w:val="6D5DA3C7"/>
    <w:rsid w:val="6D62F682"/>
    <w:rsid w:val="6D62FCEF"/>
    <w:rsid w:val="6D65C7FC"/>
    <w:rsid w:val="6D6685B5"/>
    <w:rsid w:val="6D77E5E9"/>
    <w:rsid w:val="6D77E6F8"/>
    <w:rsid w:val="6D7AC534"/>
    <w:rsid w:val="6D7B305D"/>
    <w:rsid w:val="6D806CCE"/>
    <w:rsid w:val="6D816320"/>
    <w:rsid w:val="6D81A704"/>
    <w:rsid w:val="6D87F669"/>
    <w:rsid w:val="6D886001"/>
    <w:rsid w:val="6D9696A3"/>
    <w:rsid w:val="6D9788A6"/>
    <w:rsid w:val="6D9DE56A"/>
    <w:rsid w:val="6DA44D4D"/>
    <w:rsid w:val="6DA6777D"/>
    <w:rsid w:val="6DB321D6"/>
    <w:rsid w:val="6DB64742"/>
    <w:rsid w:val="6DB6A107"/>
    <w:rsid w:val="6DB88A72"/>
    <w:rsid w:val="6DBB689F"/>
    <w:rsid w:val="6DC2B925"/>
    <w:rsid w:val="6DC7D491"/>
    <w:rsid w:val="6DCB1DD1"/>
    <w:rsid w:val="6DCB49BB"/>
    <w:rsid w:val="6DCB7281"/>
    <w:rsid w:val="6DCE49E7"/>
    <w:rsid w:val="6DD79973"/>
    <w:rsid w:val="6DDAEF2A"/>
    <w:rsid w:val="6DDDF733"/>
    <w:rsid w:val="6DE0933E"/>
    <w:rsid w:val="6DE26D75"/>
    <w:rsid w:val="6DEB3BB1"/>
    <w:rsid w:val="6DF1C86E"/>
    <w:rsid w:val="6DF512AA"/>
    <w:rsid w:val="6E002F77"/>
    <w:rsid w:val="6E03F47F"/>
    <w:rsid w:val="6E05FE0C"/>
    <w:rsid w:val="6E0A00E0"/>
    <w:rsid w:val="6E1EB854"/>
    <w:rsid w:val="6E1ED9C4"/>
    <w:rsid w:val="6E1F31E5"/>
    <w:rsid w:val="6E20DB22"/>
    <w:rsid w:val="6E251455"/>
    <w:rsid w:val="6E2648B7"/>
    <w:rsid w:val="6E27B0FD"/>
    <w:rsid w:val="6E41F0F9"/>
    <w:rsid w:val="6E42C1C7"/>
    <w:rsid w:val="6E4C138B"/>
    <w:rsid w:val="6E4CD722"/>
    <w:rsid w:val="6E500778"/>
    <w:rsid w:val="6E52A827"/>
    <w:rsid w:val="6E546C46"/>
    <w:rsid w:val="6E68CCC0"/>
    <w:rsid w:val="6E69DA1A"/>
    <w:rsid w:val="6E6A03E8"/>
    <w:rsid w:val="6E6E0EB8"/>
    <w:rsid w:val="6E7E7822"/>
    <w:rsid w:val="6E80856F"/>
    <w:rsid w:val="6E8B423B"/>
    <w:rsid w:val="6E90EC92"/>
    <w:rsid w:val="6E91B41E"/>
    <w:rsid w:val="6E92D893"/>
    <w:rsid w:val="6E943253"/>
    <w:rsid w:val="6E94B9E9"/>
    <w:rsid w:val="6E962309"/>
    <w:rsid w:val="6E9F88C8"/>
    <w:rsid w:val="6EA54F64"/>
    <w:rsid w:val="6EA58092"/>
    <w:rsid w:val="6EA990E2"/>
    <w:rsid w:val="6EAFEF1E"/>
    <w:rsid w:val="6EB469F0"/>
    <w:rsid w:val="6EB73301"/>
    <w:rsid w:val="6EB9DB53"/>
    <w:rsid w:val="6EBB0896"/>
    <w:rsid w:val="6EC0630A"/>
    <w:rsid w:val="6EC2CC9E"/>
    <w:rsid w:val="6EC68515"/>
    <w:rsid w:val="6ECAB59D"/>
    <w:rsid w:val="6ECBFEE7"/>
    <w:rsid w:val="6ECDCB95"/>
    <w:rsid w:val="6ECDD017"/>
    <w:rsid w:val="6ED5888E"/>
    <w:rsid w:val="6ED72890"/>
    <w:rsid w:val="6ED8BC86"/>
    <w:rsid w:val="6EDA9251"/>
    <w:rsid w:val="6EDAA4FE"/>
    <w:rsid w:val="6EDBF82E"/>
    <w:rsid w:val="6EE13EE1"/>
    <w:rsid w:val="6EE2EAE2"/>
    <w:rsid w:val="6EE383D1"/>
    <w:rsid w:val="6EE45F1E"/>
    <w:rsid w:val="6EE8BFFF"/>
    <w:rsid w:val="6EE99A76"/>
    <w:rsid w:val="6EEB7D5D"/>
    <w:rsid w:val="6EEFC384"/>
    <w:rsid w:val="6EF7573F"/>
    <w:rsid w:val="6EF96FD7"/>
    <w:rsid w:val="6F04B35B"/>
    <w:rsid w:val="6F0A1C7F"/>
    <w:rsid w:val="6F166371"/>
    <w:rsid w:val="6F168527"/>
    <w:rsid w:val="6F16EC1C"/>
    <w:rsid w:val="6F1BF0E5"/>
    <w:rsid w:val="6F1DD15B"/>
    <w:rsid w:val="6F24E62F"/>
    <w:rsid w:val="6F25FF12"/>
    <w:rsid w:val="6F2BA082"/>
    <w:rsid w:val="6F3479C2"/>
    <w:rsid w:val="6F357B0C"/>
    <w:rsid w:val="6F37E681"/>
    <w:rsid w:val="6F41BAC3"/>
    <w:rsid w:val="6F485094"/>
    <w:rsid w:val="6F4A90A7"/>
    <w:rsid w:val="6F50FD24"/>
    <w:rsid w:val="6F542C60"/>
    <w:rsid w:val="6F5547EF"/>
    <w:rsid w:val="6F567143"/>
    <w:rsid w:val="6F5B1748"/>
    <w:rsid w:val="6F5C1484"/>
    <w:rsid w:val="6F5D09CF"/>
    <w:rsid w:val="6F5F68E5"/>
    <w:rsid w:val="6F61894C"/>
    <w:rsid w:val="6F628BAB"/>
    <w:rsid w:val="6F672F9F"/>
    <w:rsid w:val="6F6A52D8"/>
    <w:rsid w:val="6F74B3CE"/>
    <w:rsid w:val="6F74DB06"/>
    <w:rsid w:val="6F753B53"/>
    <w:rsid w:val="6F784669"/>
    <w:rsid w:val="6F7A21B8"/>
    <w:rsid w:val="6F84FD74"/>
    <w:rsid w:val="6F898486"/>
    <w:rsid w:val="6F8BAE05"/>
    <w:rsid w:val="6F8CF1DD"/>
    <w:rsid w:val="6F8D6A4E"/>
    <w:rsid w:val="6F9ACD52"/>
    <w:rsid w:val="6F9D1E74"/>
    <w:rsid w:val="6F9D7BB4"/>
    <w:rsid w:val="6FA301CF"/>
    <w:rsid w:val="6FA31C85"/>
    <w:rsid w:val="6FA67413"/>
    <w:rsid w:val="6FAA9774"/>
    <w:rsid w:val="6FB30EFA"/>
    <w:rsid w:val="6FB70FCC"/>
    <w:rsid w:val="6FB962D4"/>
    <w:rsid w:val="6FBF0C17"/>
    <w:rsid w:val="6FC3779F"/>
    <w:rsid w:val="6FC8A8D7"/>
    <w:rsid w:val="6FC9EC4C"/>
    <w:rsid w:val="6FCE8B43"/>
    <w:rsid w:val="6FCF965C"/>
    <w:rsid w:val="6FD11574"/>
    <w:rsid w:val="6FD23515"/>
    <w:rsid w:val="6FDA743E"/>
    <w:rsid w:val="6FDDD69F"/>
    <w:rsid w:val="6FDE0CDC"/>
    <w:rsid w:val="6FE7E7AD"/>
    <w:rsid w:val="6FEAFC35"/>
    <w:rsid w:val="6FEDBFDC"/>
    <w:rsid w:val="6FEFAFF7"/>
    <w:rsid w:val="6FF026FB"/>
    <w:rsid w:val="6FF25346"/>
    <w:rsid w:val="6FF4BE0A"/>
    <w:rsid w:val="6FF4FF44"/>
    <w:rsid w:val="6FF56739"/>
    <w:rsid w:val="6FFAF9B0"/>
    <w:rsid w:val="6FFD2E63"/>
    <w:rsid w:val="70060C5B"/>
    <w:rsid w:val="7006DE7A"/>
    <w:rsid w:val="7009915D"/>
    <w:rsid w:val="700F4E94"/>
    <w:rsid w:val="70151859"/>
    <w:rsid w:val="701671C0"/>
    <w:rsid w:val="7026002D"/>
    <w:rsid w:val="70277A33"/>
    <w:rsid w:val="702ACF60"/>
    <w:rsid w:val="703272AD"/>
    <w:rsid w:val="70386CBA"/>
    <w:rsid w:val="70438955"/>
    <w:rsid w:val="7046779E"/>
    <w:rsid w:val="704693CE"/>
    <w:rsid w:val="704A4C90"/>
    <w:rsid w:val="7057CD53"/>
    <w:rsid w:val="705A53C1"/>
    <w:rsid w:val="705C931D"/>
    <w:rsid w:val="705E1DE9"/>
    <w:rsid w:val="705F0428"/>
    <w:rsid w:val="7060091D"/>
    <w:rsid w:val="70602E34"/>
    <w:rsid w:val="70633DC1"/>
    <w:rsid w:val="70643964"/>
    <w:rsid w:val="706E52B4"/>
    <w:rsid w:val="706F94D8"/>
    <w:rsid w:val="70714C6A"/>
    <w:rsid w:val="7075663C"/>
    <w:rsid w:val="707A2333"/>
    <w:rsid w:val="707B5D1C"/>
    <w:rsid w:val="707CE2E2"/>
    <w:rsid w:val="708BBFA1"/>
    <w:rsid w:val="709183FE"/>
    <w:rsid w:val="709C5A02"/>
    <w:rsid w:val="709CA635"/>
    <w:rsid w:val="709D6907"/>
    <w:rsid w:val="709E2C7E"/>
    <w:rsid w:val="70A06C94"/>
    <w:rsid w:val="70A52725"/>
    <w:rsid w:val="70A5E723"/>
    <w:rsid w:val="70A8DA83"/>
    <w:rsid w:val="70AE2AAA"/>
    <w:rsid w:val="70B5A925"/>
    <w:rsid w:val="70B8964C"/>
    <w:rsid w:val="70B8CBC0"/>
    <w:rsid w:val="70BA0798"/>
    <w:rsid w:val="70C00B6C"/>
    <w:rsid w:val="70C4772A"/>
    <w:rsid w:val="70C4A2AE"/>
    <w:rsid w:val="70C6B195"/>
    <w:rsid w:val="70C84A55"/>
    <w:rsid w:val="70CA96E1"/>
    <w:rsid w:val="70CB7D39"/>
    <w:rsid w:val="70D8FF94"/>
    <w:rsid w:val="70D9328A"/>
    <w:rsid w:val="70DB6428"/>
    <w:rsid w:val="70DEC888"/>
    <w:rsid w:val="70E2A7DE"/>
    <w:rsid w:val="70E3B6D6"/>
    <w:rsid w:val="70E465A9"/>
    <w:rsid w:val="70EA05F0"/>
    <w:rsid w:val="70EB3A42"/>
    <w:rsid w:val="70EB5AF8"/>
    <w:rsid w:val="70EF03F2"/>
    <w:rsid w:val="70EFDF4D"/>
    <w:rsid w:val="70F4A7F7"/>
    <w:rsid w:val="70F6F901"/>
    <w:rsid w:val="70F6FB1C"/>
    <w:rsid w:val="70F7C8C8"/>
    <w:rsid w:val="70FDB414"/>
    <w:rsid w:val="70FE2082"/>
    <w:rsid w:val="7100F878"/>
    <w:rsid w:val="71088475"/>
    <w:rsid w:val="7118BE2A"/>
    <w:rsid w:val="711E815A"/>
    <w:rsid w:val="7125F0A9"/>
    <w:rsid w:val="7126F474"/>
    <w:rsid w:val="712707C8"/>
    <w:rsid w:val="7128B9F9"/>
    <w:rsid w:val="7135156E"/>
    <w:rsid w:val="71352395"/>
    <w:rsid w:val="7137E9DE"/>
    <w:rsid w:val="71422B0F"/>
    <w:rsid w:val="71472EC7"/>
    <w:rsid w:val="7148F0FF"/>
    <w:rsid w:val="71490A1E"/>
    <w:rsid w:val="7151AE8C"/>
    <w:rsid w:val="7152CD07"/>
    <w:rsid w:val="7154967E"/>
    <w:rsid w:val="715699DA"/>
    <w:rsid w:val="715A9BBD"/>
    <w:rsid w:val="7164E333"/>
    <w:rsid w:val="71651CB4"/>
    <w:rsid w:val="716EB75F"/>
    <w:rsid w:val="71716001"/>
    <w:rsid w:val="717393D7"/>
    <w:rsid w:val="717470CE"/>
    <w:rsid w:val="71766419"/>
    <w:rsid w:val="717AF81F"/>
    <w:rsid w:val="7189A156"/>
    <w:rsid w:val="718C741D"/>
    <w:rsid w:val="718CB227"/>
    <w:rsid w:val="71911147"/>
    <w:rsid w:val="71977836"/>
    <w:rsid w:val="71A487E8"/>
    <w:rsid w:val="71A5C27A"/>
    <w:rsid w:val="71ACA093"/>
    <w:rsid w:val="71AD1221"/>
    <w:rsid w:val="71ADEA46"/>
    <w:rsid w:val="71AEE81A"/>
    <w:rsid w:val="71B06352"/>
    <w:rsid w:val="71BAAAF8"/>
    <w:rsid w:val="71C39410"/>
    <w:rsid w:val="71D29E46"/>
    <w:rsid w:val="71D67693"/>
    <w:rsid w:val="71DFC334"/>
    <w:rsid w:val="71E347FE"/>
    <w:rsid w:val="71EEFFE7"/>
    <w:rsid w:val="71EF7431"/>
    <w:rsid w:val="71F03026"/>
    <w:rsid w:val="71F522DF"/>
    <w:rsid w:val="71F85BEF"/>
    <w:rsid w:val="71FE4EBD"/>
    <w:rsid w:val="71FEE492"/>
    <w:rsid w:val="720C9EB7"/>
    <w:rsid w:val="721508A8"/>
    <w:rsid w:val="72169D94"/>
    <w:rsid w:val="72189740"/>
    <w:rsid w:val="721A2ABD"/>
    <w:rsid w:val="721B4BBF"/>
    <w:rsid w:val="721E46F8"/>
    <w:rsid w:val="722B1448"/>
    <w:rsid w:val="722E82AE"/>
    <w:rsid w:val="72344AA1"/>
    <w:rsid w:val="723461CB"/>
    <w:rsid w:val="723A1709"/>
    <w:rsid w:val="723F631A"/>
    <w:rsid w:val="7241CD5A"/>
    <w:rsid w:val="72499D24"/>
    <w:rsid w:val="724CE988"/>
    <w:rsid w:val="724D6331"/>
    <w:rsid w:val="724D78B4"/>
    <w:rsid w:val="725AC209"/>
    <w:rsid w:val="725EE730"/>
    <w:rsid w:val="72641E41"/>
    <w:rsid w:val="726751D1"/>
    <w:rsid w:val="726AAF3E"/>
    <w:rsid w:val="726BE955"/>
    <w:rsid w:val="726E0891"/>
    <w:rsid w:val="7270519C"/>
    <w:rsid w:val="72733A46"/>
    <w:rsid w:val="72749E5A"/>
    <w:rsid w:val="72780997"/>
    <w:rsid w:val="727A83E0"/>
    <w:rsid w:val="727E8E04"/>
    <w:rsid w:val="7285A551"/>
    <w:rsid w:val="728EF8D7"/>
    <w:rsid w:val="728F2639"/>
    <w:rsid w:val="728FE69A"/>
    <w:rsid w:val="72924CE1"/>
    <w:rsid w:val="729346A0"/>
    <w:rsid w:val="729FFC69"/>
    <w:rsid w:val="72A69BBF"/>
    <w:rsid w:val="72A7EB92"/>
    <w:rsid w:val="72AA959F"/>
    <w:rsid w:val="72AC3FFF"/>
    <w:rsid w:val="72AEC545"/>
    <w:rsid w:val="72B1E5BF"/>
    <w:rsid w:val="72B3389C"/>
    <w:rsid w:val="72B4B9C3"/>
    <w:rsid w:val="72B549E4"/>
    <w:rsid w:val="72B7BFD7"/>
    <w:rsid w:val="72BB1B4D"/>
    <w:rsid w:val="72BB580A"/>
    <w:rsid w:val="72C02569"/>
    <w:rsid w:val="72C10E31"/>
    <w:rsid w:val="72C33790"/>
    <w:rsid w:val="72C5EF9A"/>
    <w:rsid w:val="72C947F3"/>
    <w:rsid w:val="72CE69E6"/>
    <w:rsid w:val="72D2D5EA"/>
    <w:rsid w:val="72D4058A"/>
    <w:rsid w:val="72D5A3FE"/>
    <w:rsid w:val="72E0D8B1"/>
    <w:rsid w:val="72E8300A"/>
    <w:rsid w:val="72E95DDC"/>
    <w:rsid w:val="72FA7DF4"/>
    <w:rsid w:val="73030E2D"/>
    <w:rsid w:val="7311DB25"/>
    <w:rsid w:val="7313E290"/>
    <w:rsid w:val="731A0EAB"/>
    <w:rsid w:val="731DF9CB"/>
    <w:rsid w:val="7320FBE2"/>
    <w:rsid w:val="73254F5C"/>
    <w:rsid w:val="73259C88"/>
    <w:rsid w:val="7328C3D7"/>
    <w:rsid w:val="73293C33"/>
    <w:rsid w:val="733354B4"/>
    <w:rsid w:val="733B611D"/>
    <w:rsid w:val="733D8E43"/>
    <w:rsid w:val="73420752"/>
    <w:rsid w:val="7344C508"/>
    <w:rsid w:val="7346F304"/>
    <w:rsid w:val="73548531"/>
    <w:rsid w:val="735BE283"/>
    <w:rsid w:val="736174D9"/>
    <w:rsid w:val="7362F9BB"/>
    <w:rsid w:val="7365860A"/>
    <w:rsid w:val="7367DB3D"/>
    <w:rsid w:val="73685BCF"/>
    <w:rsid w:val="7369DDC0"/>
    <w:rsid w:val="736D4A78"/>
    <w:rsid w:val="736DB1F7"/>
    <w:rsid w:val="73717E6B"/>
    <w:rsid w:val="737422EE"/>
    <w:rsid w:val="7387FDA2"/>
    <w:rsid w:val="73928970"/>
    <w:rsid w:val="7392E524"/>
    <w:rsid w:val="739450E4"/>
    <w:rsid w:val="73949A1E"/>
    <w:rsid w:val="7395A921"/>
    <w:rsid w:val="739A7D26"/>
    <w:rsid w:val="739EB94B"/>
    <w:rsid w:val="739F8B89"/>
    <w:rsid w:val="73A4D7C6"/>
    <w:rsid w:val="73AA0AD0"/>
    <w:rsid w:val="73AE6AB7"/>
    <w:rsid w:val="73AF2D2A"/>
    <w:rsid w:val="73AF78BE"/>
    <w:rsid w:val="73B76843"/>
    <w:rsid w:val="73B83B15"/>
    <w:rsid w:val="73B8C988"/>
    <w:rsid w:val="73C663CF"/>
    <w:rsid w:val="73C6BEBE"/>
    <w:rsid w:val="73C6D065"/>
    <w:rsid w:val="73D44448"/>
    <w:rsid w:val="73E143FA"/>
    <w:rsid w:val="73E57BED"/>
    <w:rsid w:val="73E99262"/>
    <w:rsid w:val="73FD54CC"/>
    <w:rsid w:val="73FDCBD0"/>
    <w:rsid w:val="73FEA347"/>
    <w:rsid w:val="74177DE9"/>
    <w:rsid w:val="741AC879"/>
    <w:rsid w:val="741CEE1F"/>
    <w:rsid w:val="74200214"/>
    <w:rsid w:val="74262437"/>
    <w:rsid w:val="742CF0D4"/>
    <w:rsid w:val="742FD4CE"/>
    <w:rsid w:val="74314166"/>
    <w:rsid w:val="74354AE1"/>
    <w:rsid w:val="74363249"/>
    <w:rsid w:val="743B685E"/>
    <w:rsid w:val="743C93E5"/>
    <w:rsid w:val="74495F17"/>
    <w:rsid w:val="7449C61E"/>
    <w:rsid w:val="744D42A2"/>
    <w:rsid w:val="7451F4B5"/>
    <w:rsid w:val="7458E216"/>
    <w:rsid w:val="745C05DA"/>
    <w:rsid w:val="745F8413"/>
    <w:rsid w:val="7461BA1C"/>
    <w:rsid w:val="7465FF88"/>
    <w:rsid w:val="74674A3C"/>
    <w:rsid w:val="746BB4D2"/>
    <w:rsid w:val="746BE677"/>
    <w:rsid w:val="746C2849"/>
    <w:rsid w:val="746F7A3F"/>
    <w:rsid w:val="747B4AD7"/>
    <w:rsid w:val="74857651"/>
    <w:rsid w:val="7487E13F"/>
    <w:rsid w:val="748D887B"/>
    <w:rsid w:val="7494ADCB"/>
    <w:rsid w:val="749E329D"/>
    <w:rsid w:val="74A5587B"/>
    <w:rsid w:val="74A83C8C"/>
    <w:rsid w:val="74AB0DB2"/>
    <w:rsid w:val="74B1758B"/>
    <w:rsid w:val="74B4138C"/>
    <w:rsid w:val="74BAF79F"/>
    <w:rsid w:val="74CF81F6"/>
    <w:rsid w:val="74D0192C"/>
    <w:rsid w:val="74D1EB58"/>
    <w:rsid w:val="74D2EA45"/>
    <w:rsid w:val="74D5C5CD"/>
    <w:rsid w:val="74DF15FA"/>
    <w:rsid w:val="74DF3664"/>
    <w:rsid w:val="74E7E955"/>
    <w:rsid w:val="74F24C9F"/>
    <w:rsid w:val="74F6595D"/>
    <w:rsid w:val="74F81E2D"/>
    <w:rsid w:val="74FD4A5D"/>
    <w:rsid w:val="74FEBA57"/>
    <w:rsid w:val="75028E23"/>
    <w:rsid w:val="750B3496"/>
    <w:rsid w:val="75120389"/>
    <w:rsid w:val="75188C76"/>
    <w:rsid w:val="751FFCE6"/>
    <w:rsid w:val="75210A31"/>
    <w:rsid w:val="7521B7B7"/>
    <w:rsid w:val="7530E28B"/>
    <w:rsid w:val="75370CDD"/>
    <w:rsid w:val="75382099"/>
    <w:rsid w:val="753E2427"/>
    <w:rsid w:val="753EB0AA"/>
    <w:rsid w:val="7540FA10"/>
    <w:rsid w:val="7542CBA0"/>
    <w:rsid w:val="754799FC"/>
    <w:rsid w:val="75484CDB"/>
    <w:rsid w:val="754E0ADC"/>
    <w:rsid w:val="754EB498"/>
    <w:rsid w:val="7554D314"/>
    <w:rsid w:val="75596523"/>
    <w:rsid w:val="755B33D5"/>
    <w:rsid w:val="756B96BB"/>
    <w:rsid w:val="756D47B3"/>
    <w:rsid w:val="756D6A73"/>
    <w:rsid w:val="756F8901"/>
    <w:rsid w:val="75736618"/>
    <w:rsid w:val="7575D868"/>
    <w:rsid w:val="7578A26E"/>
    <w:rsid w:val="7579E731"/>
    <w:rsid w:val="757C253C"/>
    <w:rsid w:val="757C4753"/>
    <w:rsid w:val="757C7CCC"/>
    <w:rsid w:val="757D5963"/>
    <w:rsid w:val="75829957"/>
    <w:rsid w:val="7585C899"/>
    <w:rsid w:val="75869015"/>
    <w:rsid w:val="7587F993"/>
    <w:rsid w:val="75884EA0"/>
    <w:rsid w:val="75945213"/>
    <w:rsid w:val="7598B559"/>
    <w:rsid w:val="759B03BF"/>
    <w:rsid w:val="759F9836"/>
    <w:rsid w:val="75A20ECD"/>
    <w:rsid w:val="75A891F9"/>
    <w:rsid w:val="75ACF93D"/>
    <w:rsid w:val="75B12957"/>
    <w:rsid w:val="75B4CC8C"/>
    <w:rsid w:val="75BB7A16"/>
    <w:rsid w:val="75BD8486"/>
    <w:rsid w:val="75C3450E"/>
    <w:rsid w:val="75CCEBC6"/>
    <w:rsid w:val="75D965DE"/>
    <w:rsid w:val="75DA24D6"/>
    <w:rsid w:val="75DD5A5A"/>
    <w:rsid w:val="75DFC546"/>
    <w:rsid w:val="75E273C7"/>
    <w:rsid w:val="75E4233E"/>
    <w:rsid w:val="75E55C71"/>
    <w:rsid w:val="75E5C6DE"/>
    <w:rsid w:val="75E6801D"/>
    <w:rsid w:val="75E7A414"/>
    <w:rsid w:val="75EAAAE0"/>
    <w:rsid w:val="75EAC0A1"/>
    <w:rsid w:val="75F7D44F"/>
    <w:rsid w:val="75FA0EE4"/>
    <w:rsid w:val="75FBA510"/>
    <w:rsid w:val="75FFB3A4"/>
    <w:rsid w:val="76048130"/>
    <w:rsid w:val="7604F5C6"/>
    <w:rsid w:val="760896EF"/>
    <w:rsid w:val="760A5509"/>
    <w:rsid w:val="76104BB4"/>
    <w:rsid w:val="761496F0"/>
    <w:rsid w:val="7615E9DF"/>
    <w:rsid w:val="7616DCE1"/>
    <w:rsid w:val="76186D82"/>
    <w:rsid w:val="761DCD23"/>
    <w:rsid w:val="761E2717"/>
    <w:rsid w:val="76213807"/>
    <w:rsid w:val="76225022"/>
    <w:rsid w:val="7622B081"/>
    <w:rsid w:val="76291EE6"/>
    <w:rsid w:val="762E6215"/>
    <w:rsid w:val="762EEC3E"/>
    <w:rsid w:val="7641DCA3"/>
    <w:rsid w:val="7641E94C"/>
    <w:rsid w:val="76459BFC"/>
    <w:rsid w:val="764C8CC5"/>
    <w:rsid w:val="7654FE1A"/>
    <w:rsid w:val="7656528F"/>
    <w:rsid w:val="7658352C"/>
    <w:rsid w:val="765EBCDC"/>
    <w:rsid w:val="766017C0"/>
    <w:rsid w:val="766723C1"/>
    <w:rsid w:val="766755CF"/>
    <w:rsid w:val="766A8F76"/>
    <w:rsid w:val="766D9D61"/>
    <w:rsid w:val="76779BA1"/>
    <w:rsid w:val="767B6FD5"/>
    <w:rsid w:val="767B9251"/>
    <w:rsid w:val="7686F123"/>
    <w:rsid w:val="769FC69D"/>
    <w:rsid w:val="76A069D7"/>
    <w:rsid w:val="76A38C60"/>
    <w:rsid w:val="76A4BC0D"/>
    <w:rsid w:val="76AAB8B6"/>
    <w:rsid w:val="76ABD5FE"/>
    <w:rsid w:val="76ABDABA"/>
    <w:rsid w:val="76B2A268"/>
    <w:rsid w:val="76B6DB92"/>
    <w:rsid w:val="76B84E02"/>
    <w:rsid w:val="76B95DA7"/>
    <w:rsid w:val="76BB74C4"/>
    <w:rsid w:val="76BD28DC"/>
    <w:rsid w:val="76BD814A"/>
    <w:rsid w:val="76C448F4"/>
    <w:rsid w:val="76C4C6BE"/>
    <w:rsid w:val="76D453E2"/>
    <w:rsid w:val="76D90365"/>
    <w:rsid w:val="76D95BA4"/>
    <w:rsid w:val="76E2A977"/>
    <w:rsid w:val="76E33A48"/>
    <w:rsid w:val="76EAABEC"/>
    <w:rsid w:val="76EE2B2B"/>
    <w:rsid w:val="76EE9176"/>
    <w:rsid w:val="76F28A8C"/>
    <w:rsid w:val="76F2D337"/>
    <w:rsid w:val="770664E3"/>
    <w:rsid w:val="77078113"/>
    <w:rsid w:val="77089E95"/>
    <w:rsid w:val="7708BBCB"/>
    <w:rsid w:val="770AC54F"/>
    <w:rsid w:val="770ACE49"/>
    <w:rsid w:val="770E2A0E"/>
    <w:rsid w:val="770ED57E"/>
    <w:rsid w:val="7719E5A8"/>
    <w:rsid w:val="771C326F"/>
    <w:rsid w:val="771C64F5"/>
    <w:rsid w:val="7723FDB6"/>
    <w:rsid w:val="7726E9FE"/>
    <w:rsid w:val="772CA4AA"/>
    <w:rsid w:val="772ECA2C"/>
    <w:rsid w:val="7736B776"/>
    <w:rsid w:val="7738A2B7"/>
    <w:rsid w:val="773A29D6"/>
    <w:rsid w:val="773BBA83"/>
    <w:rsid w:val="77459736"/>
    <w:rsid w:val="7745F7EC"/>
    <w:rsid w:val="77541E7E"/>
    <w:rsid w:val="775800AA"/>
    <w:rsid w:val="775B7CE7"/>
    <w:rsid w:val="775C31DD"/>
    <w:rsid w:val="7762DA2B"/>
    <w:rsid w:val="7764B06F"/>
    <w:rsid w:val="77697AEF"/>
    <w:rsid w:val="776CDBA1"/>
    <w:rsid w:val="776D275F"/>
    <w:rsid w:val="7770FA24"/>
    <w:rsid w:val="77735FEE"/>
    <w:rsid w:val="77754578"/>
    <w:rsid w:val="777B3F20"/>
    <w:rsid w:val="777B97EE"/>
    <w:rsid w:val="777E5AAA"/>
    <w:rsid w:val="7780637C"/>
    <w:rsid w:val="778189F9"/>
    <w:rsid w:val="778404F9"/>
    <w:rsid w:val="778698AA"/>
    <w:rsid w:val="7787868A"/>
    <w:rsid w:val="778A14D3"/>
    <w:rsid w:val="778B0021"/>
    <w:rsid w:val="778BDF0A"/>
    <w:rsid w:val="778FF33C"/>
    <w:rsid w:val="7790115F"/>
    <w:rsid w:val="7792D26D"/>
    <w:rsid w:val="7799B2E9"/>
    <w:rsid w:val="779CC726"/>
    <w:rsid w:val="77A04796"/>
    <w:rsid w:val="77A18871"/>
    <w:rsid w:val="77AA896E"/>
    <w:rsid w:val="77AB1714"/>
    <w:rsid w:val="77B08319"/>
    <w:rsid w:val="77B52E7F"/>
    <w:rsid w:val="77B8D690"/>
    <w:rsid w:val="77B90D1A"/>
    <w:rsid w:val="77BD0D88"/>
    <w:rsid w:val="77C14DEB"/>
    <w:rsid w:val="77C3669D"/>
    <w:rsid w:val="77C4B903"/>
    <w:rsid w:val="77C90B1A"/>
    <w:rsid w:val="77DF5B8B"/>
    <w:rsid w:val="77F9C402"/>
    <w:rsid w:val="77FD090E"/>
    <w:rsid w:val="77FED747"/>
    <w:rsid w:val="7804441A"/>
    <w:rsid w:val="78078261"/>
    <w:rsid w:val="780F9F66"/>
    <w:rsid w:val="781D76B0"/>
    <w:rsid w:val="7822ABC8"/>
    <w:rsid w:val="7822D9C8"/>
    <w:rsid w:val="78235C40"/>
    <w:rsid w:val="7825BC27"/>
    <w:rsid w:val="78374463"/>
    <w:rsid w:val="783BD4A0"/>
    <w:rsid w:val="7844F2B3"/>
    <w:rsid w:val="7847894A"/>
    <w:rsid w:val="785109A6"/>
    <w:rsid w:val="7853394E"/>
    <w:rsid w:val="78538800"/>
    <w:rsid w:val="78583878"/>
    <w:rsid w:val="78626CA5"/>
    <w:rsid w:val="78659691"/>
    <w:rsid w:val="7869080C"/>
    <w:rsid w:val="786EC5D6"/>
    <w:rsid w:val="78703860"/>
    <w:rsid w:val="7871B3E8"/>
    <w:rsid w:val="7875D648"/>
    <w:rsid w:val="78804846"/>
    <w:rsid w:val="788337B6"/>
    <w:rsid w:val="78969AEA"/>
    <w:rsid w:val="78979B8A"/>
    <w:rsid w:val="78995AE2"/>
    <w:rsid w:val="789A953A"/>
    <w:rsid w:val="789FE718"/>
    <w:rsid w:val="78AB4AA3"/>
    <w:rsid w:val="78AEFC05"/>
    <w:rsid w:val="78B35BA6"/>
    <w:rsid w:val="78B62047"/>
    <w:rsid w:val="78B9683D"/>
    <w:rsid w:val="78BAA01F"/>
    <w:rsid w:val="78BC7CDB"/>
    <w:rsid w:val="78BEE75B"/>
    <w:rsid w:val="78BFCF3A"/>
    <w:rsid w:val="78C0D95B"/>
    <w:rsid w:val="78C0DDFF"/>
    <w:rsid w:val="78C15074"/>
    <w:rsid w:val="78C2FB5D"/>
    <w:rsid w:val="78C86AFE"/>
    <w:rsid w:val="78D051C3"/>
    <w:rsid w:val="78D0E3D6"/>
    <w:rsid w:val="78D43AB3"/>
    <w:rsid w:val="78D585F4"/>
    <w:rsid w:val="78D9E2A4"/>
    <w:rsid w:val="78DEA1B3"/>
    <w:rsid w:val="78DFE88D"/>
    <w:rsid w:val="78E48AA7"/>
    <w:rsid w:val="78E505CA"/>
    <w:rsid w:val="78E54512"/>
    <w:rsid w:val="78E7613B"/>
    <w:rsid w:val="78EA275D"/>
    <w:rsid w:val="78EC1A9F"/>
    <w:rsid w:val="78EEED1E"/>
    <w:rsid w:val="78EF81C7"/>
    <w:rsid w:val="78F4235D"/>
    <w:rsid w:val="78F489F5"/>
    <w:rsid w:val="78F7E470"/>
    <w:rsid w:val="78FB5EF6"/>
    <w:rsid w:val="7903840B"/>
    <w:rsid w:val="79070AD9"/>
    <w:rsid w:val="790A24FD"/>
    <w:rsid w:val="790BE078"/>
    <w:rsid w:val="790D72E0"/>
    <w:rsid w:val="79140B95"/>
    <w:rsid w:val="7917873E"/>
    <w:rsid w:val="791D3C33"/>
    <w:rsid w:val="791D9994"/>
    <w:rsid w:val="791EBD31"/>
    <w:rsid w:val="792A0248"/>
    <w:rsid w:val="792EA60A"/>
    <w:rsid w:val="79314914"/>
    <w:rsid w:val="7932248F"/>
    <w:rsid w:val="793D2752"/>
    <w:rsid w:val="793DCB82"/>
    <w:rsid w:val="793E191E"/>
    <w:rsid w:val="79420BB3"/>
    <w:rsid w:val="794C8508"/>
    <w:rsid w:val="7951C558"/>
    <w:rsid w:val="79539F4D"/>
    <w:rsid w:val="7956C15C"/>
    <w:rsid w:val="79586EBA"/>
    <w:rsid w:val="795E662B"/>
    <w:rsid w:val="795E84C6"/>
    <w:rsid w:val="79620894"/>
    <w:rsid w:val="7966E84D"/>
    <w:rsid w:val="79675F2F"/>
    <w:rsid w:val="7969B137"/>
    <w:rsid w:val="797118F1"/>
    <w:rsid w:val="79752826"/>
    <w:rsid w:val="797555FA"/>
    <w:rsid w:val="79811F02"/>
    <w:rsid w:val="7982F1ED"/>
    <w:rsid w:val="7983AE64"/>
    <w:rsid w:val="7986D151"/>
    <w:rsid w:val="7987AFC9"/>
    <w:rsid w:val="7989FF13"/>
    <w:rsid w:val="798EA2CB"/>
    <w:rsid w:val="7990A703"/>
    <w:rsid w:val="7994CE82"/>
    <w:rsid w:val="7996071C"/>
    <w:rsid w:val="79A0A709"/>
    <w:rsid w:val="79A388E3"/>
    <w:rsid w:val="79A4AD5C"/>
    <w:rsid w:val="79A56BD8"/>
    <w:rsid w:val="79A78B44"/>
    <w:rsid w:val="79B12383"/>
    <w:rsid w:val="79B371F0"/>
    <w:rsid w:val="79B5695C"/>
    <w:rsid w:val="79B7069D"/>
    <w:rsid w:val="79B80EC9"/>
    <w:rsid w:val="79BA10EB"/>
    <w:rsid w:val="79C812FB"/>
    <w:rsid w:val="79C8411E"/>
    <w:rsid w:val="79C9A701"/>
    <w:rsid w:val="79CBB6AA"/>
    <w:rsid w:val="79CC631A"/>
    <w:rsid w:val="79CE518D"/>
    <w:rsid w:val="79D0AF20"/>
    <w:rsid w:val="79D55A66"/>
    <w:rsid w:val="79D98F29"/>
    <w:rsid w:val="79DD0785"/>
    <w:rsid w:val="79DD353B"/>
    <w:rsid w:val="79DD7FFC"/>
    <w:rsid w:val="79E39A01"/>
    <w:rsid w:val="79ED7B31"/>
    <w:rsid w:val="79F10409"/>
    <w:rsid w:val="79F680BE"/>
    <w:rsid w:val="79F76AEE"/>
    <w:rsid w:val="79F7F056"/>
    <w:rsid w:val="79FB3892"/>
    <w:rsid w:val="79FD8219"/>
    <w:rsid w:val="7A054900"/>
    <w:rsid w:val="7A093F44"/>
    <w:rsid w:val="7A0FBF91"/>
    <w:rsid w:val="7A1DA963"/>
    <w:rsid w:val="7A1DF893"/>
    <w:rsid w:val="7A1F7BE2"/>
    <w:rsid w:val="7A20FC91"/>
    <w:rsid w:val="7A2400CE"/>
    <w:rsid w:val="7A2912EF"/>
    <w:rsid w:val="7A2D5452"/>
    <w:rsid w:val="7A329C86"/>
    <w:rsid w:val="7A32FFC8"/>
    <w:rsid w:val="7A3A188D"/>
    <w:rsid w:val="7A44CC54"/>
    <w:rsid w:val="7A4DB562"/>
    <w:rsid w:val="7A4E2C55"/>
    <w:rsid w:val="7A4E9170"/>
    <w:rsid w:val="7A4EC90F"/>
    <w:rsid w:val="7A502B2B"/>
    <w:rsid w:val="7A515203"/>
    <w:rsid w:val="7A5913DF"/>
    <w:rsid w:val="7A5A6489"/>
    <w:rsid w:val="7A5C0D24"/>
    <w:rsid w:val="7A613F2A"/>
    <w:rsid w:val="7A644429"/>
    <w:rsid w:val="7A6BC8AB"/>
    <w:rsid w:val="7A6D2755"/>
    <w:rsid w:val="7A6DB9E9"/>
    <w:rsid w:val="7A7159AE"/>
    <w:rsid w:val="7A749F04"/>
    <w:rsid w:val="7A758ED4"/>
    <w:rsid w:val="7A7B97EA"/>
    <w:rsid w:val="7A7F9434"/>
    <w:rsid w:val="7A83BF79"/>
    <w:rsid w:val="7A8DF8EA"/>
    <w:rsid w:val="7A90C945"/>
    <w:rsid w:val="7A9112D3"/>
    <w:rsid w:val="7A9CF67D"/>
    <w:rsid w:val="7A9E54BF"/>
    <w:rsid w:val="7AAE100F"/>
    <w:rsid w:val="7AB18B7F"/>
    <w:rsid w:val="7AB59CEE"/>
    <w:rsid w:val="7AB6C1FF"/>
    <w:rsid w:val="7ABB86B9"/>
    <w:rsid w:val="7ABC44DF"/>
    <w:rsid w:val="7ABED6EA"/>
    <w:rsid w:val="7AC10E4C"/>
    <w:rsid w:val="7AC51F83"/>
    <w:rsid w:val="7AC720C4"/>
    <w:rsid w:val="7AC9D6E0"/>
    <w:rsid w:val="7AD3D8A5"/>
    <w:rsid w:val="7AD431F3"/>
    <w:rsid w:val="7ADCAA17"/>
    <w:rsid w:val="7ADFC2E1"/>
    <w:rsid w:val="7AE93A72"/>
    <w:rsid w:val="7AE9CB0A"/>
    <w:rsid w:val="7AEB1A08"/>
    <w:rsid w:val="7AEF369F"/>
    <w:rsid w:val="7AEF786E"/>
    <w:rsid w:val="7AF28037"/>
    <w:rsid w:val="7AF4692A"/>
    <w:rsid w:val="7AF8D5F7"/>
    <w:rsid w:val="7AF96AB8"/>
    <w:rsid w:val="7B004E50"/>
    <w:rsid w:val="7B01C28E"/>
    <w:rsid w:val="7B03211F"/>
    <w:rsid w:val="7B087F82"/>
    <w:rsid w:val="7B0DBFC6"/>
    <w:rsid w:val="7B0E317A"/>
    <w:rsid w:val="7B10A3FE"/>
    <w:rsid w:val="7B18A9DE"/>
    <w:rsid w:val="7B1B5319"/>
    <w:rsid w:val="7B1BC782"/>
    <w:rsid w:val="7B246BE1"/>
    <w:rsid w:val="7B282B55"/>
    <w:rsid w:val="7B2C4230"/>
    <w:rsid w:val="7B2D52D7"/>
    <w:rsid w:val="7B307F69"/>
    <w:rsid w:val="7B34913B"/>
    <w:rsid w:val="7B379171"/>
    <w:rsid w:val="7B3F58EE"/>
    <w:rsid w:val="7B405C4D"/>
    <w:rsid w:val="7B43A603"/>
    <w:rsid w:val="7B4F0C6A"/>
    <w:rsid w:val="7B599F70"/>
    <w:rsid w:val="7B59DE8C"/>
    <w:rsid w:val="7B6589E4"/>
    <w:rsid w:val="7B67FE9A"/>
    <w:rsid w:val="7B6C844F"/>
    <w:rsid w:val="7B6DDD3F"/>
    <w:rsid w:val="7B6DF871"/>
    <w:rsid w:val="7B70CBA3"/>
    <w:rsid w:val="7B746180"/>
    <w:rsid w:val="7B76FAEA"/>
    <w:rsid w:val="7B782898"/>
    <w:rsid w:val="7B7FBFAC"/>
    <w:rsid w:val="7B808BF5"/>
    <w:rsid w:val="7B81692F"/>
    <w:rsid w:val="7B817C7F"/>
    <w:rsid w:val="7B890F7C"/>
    <w:rsid w:val="7B8F27B4"/>
    <w:rsid w:val="7B8FC91B"/>
    <w:rsid w:val="7B90D97D"/>
    <w:rsid w:val="7B9DFB7F"/>
    <w:rsid w:val="7BA08F01"/>
    <w:rsid w:val="7BA7096B"/>
    <w:rsid w:val="7BA713CB"/>
    <w:rsid w:val="7BAA4E1C"/>
    <w:rsid w:val="7BAA836F"/>
    <w:rsid w:val="7BACD2EA"/>
    <w:rsid w:val="7BAD800C"/>
    <w:rsid w:val="7BAFA431"/>
    <w:rsid w:val="7BB0F448"/>
    <w:rsid w:val="7BB470FD"/>
    <w:rsid w:val="7BBA9441"/>
    <w:rsid w:val="7BBC913E"/>
    <w:rsid w:val="7BCF61FA"/>
    <w:rsid w:val="7BCF8986"/>
    <w:rsid w:val="7BCFCD73"/>
    <w:rsid w:val="7BD62261"/>
    <w:rsid w:val="7BDC19C7"/>
    <w:rsid w:val="7BDC533C"/>
    <w:rsid w:val="7BE03A9A"/>
    <w:rsid w:val="7BE8F631"/>
    <w:rsid w:val="7BE9F08E"/>
    <w:rsid w:val="7BE9F38B"/>
    <w:rsid w:val="7BF4574E"/>
    <w:rsid w:val="7BF55264"/>
    <w:rsid w:val="7BF5F424"/>
    <w:rsid w:val="7BF7D838"/>
    <w:rsid w:val="7BF8037F"/>
    <w:rsid w:val="7BFD61A5"/>
    <w:rsid w:val="7BFF1CDB"/>
    <w:rsid w:val="7C02BFA2"/>
    <w:rsid w:val="7C0CAB32"/>
    <w:rsid w:val="7C126ADC"/>
    <w:rsid w:val="7C12B80E"/>
    <w:rsid w:val="7C183D22"/>
    <w:rsid w:val="7C1A8CA6"/>
    <w:rsid w:val="7C1BE75E"/>
    <w:rsid w:val="7C20793C"/>
    <w:rsid w:val="7C23353A"/>
    <w:rsid w:val="7C26B254"/>
    <w:rsid w:val="7C26D4A3"/>
    <w:rsid w:val="7C305D05"/>
    <w:rsid w:val="7C329338"/>
    <w:rsid w:val="7C34AC0D"/>
    <w:rsid w:val="7C354BE3"/>
    <w:rsid w:val="7C37DD7E"/>
    <w:rsid w:val="7C39CB08"/>
    <w:rsid w:val="7C3BBF81"/>
    <w:rsid w:val="7C457732"/>
    <w:rsid w:val="7C45B44D"/>
    <w:rsid w:val="7C49B75D"/>
    <w:rsid w:val="7C4B0908"/>
    <w:rsid w:val="7C4CD333"/>
    <w:rsid w:val="7C4E176E"/>
    <w:rsid w:val="7C4F1487"/>
    <w:rsid w:val="7C5D34DA"/>
    <w:rsid w:val="7C66C57E"/>
    <w:rsid w:val="7C6908F3"/>
    <w:rsid w:val="7C75734B"/>
    <w:rsid w:val="7C7779D5"/>
    <w:rsid w:val="7C821BB9"/>
    <w:rsid w:val="7C8693C8"/>
    <w:rsid w:val="7C90C5F2"/>
    <w:rsid w:val="7C952AAC"/>
    <w:rsid w:val="7CA7FF1D"/>
    <w:rsid w:val="7CB26217"/>
    <w:rsid w:val="7CB981B1"/>
    <w:rsid w:val="7CC1F1AC"/>
    <w:rsid w:val="7CC248B9"/>
    <w:rsid w:val="7CC8C916"/>
    <w:rsid w:val="7CC948D6"/>
    <w:rsid w:val="7CD50117"/>
    <w:rsid w:val="7CE91011"/>
    <w:rsid w:val="7CEF5EB9"/>
    <w:rsid w:val="7CEFBA64"/>
    <w:rsid w:val="7CF7A34F"/>
    <w:rsid w:val="7CFBC098"/>
    <w:rsid w:val="7D04DA15"/>
    <w:rsid w:val="7D08DE39"/>
    <w:rsid w:val="7D0B4250"/>
    <w:rsid w:val="7D115C42"/>
    <w:rsid w:val="7D15584E"/>
    <w:rsid w:val="7D161D50"/>
    <w:rsid w:val="7D171379"/>
    <w:rsid w:val="7D20B7C3"/>
    <w:rsid w:val="7D245881"/>
    <w:rsid w:val="7D2BD553"/>
    <w:rsid w:val="7D2CE4B1"/>
    <w:rsid w:val="7D38F16F"/>
    <w:rsid w:val="7D3CAC3C"/>
    <w:rsid w:val="7D40B057"/>
    <w:rsid w:val="7D459470"/>
    <w:rsid w:val="7D473D4F"/>
    <w:rsid w:val="7D4CDA15"/>
    <w:rsid w:val="7D4CFBB6"/>
    <w:rsid w:val="7D58C8E0"/>
    <w:rsid w:val="7D5F5808"/>
    <w:rsid w:val="7D65774B"/>
    <w:rsid w:val="7D66C223"/>
    <w:rsid w:val="7D69D0E0"/>
    <w:rsid w:val="7D6A9E6F"/>
    <w:rsid w:val="7D6B43E2"/>
    <w:rsid w:val="7D6D774E"/>
    <w:rsid w:val="7D6DD704"/>
    <w:rsid w:val="7D71D98C"/>
    <w:rsid w:val="7D745443"/>
    <w:rsid w:val="7D782268"/>
    <w:rsid w:val="7D7980C7"/>
    <w:rsid w:val="7D7C383B"/>
    <w:rsid w:val="7D88AE80"/>
    <w:rsid w:val="7D8A8C4B"/>
    <w:rsid w:val="7D8A8FA1"/>
    <w:rsid w:val="7D8BAF47"/>
    <w:rsid w:val="7D92E165"/>
    <w:rsid w:val="7D932D66"/>
    <w:rsid w:val="7D936468"/>
    <w:rsid w:val="7D9567C2"/>
    <w:rsid w:val="7D96C1DF"/>
    <w:rsid w:val="7D9C021F"/>
    <w:rsid w:val="7DA00465"/>
    <w:rsid w:val="7DA09393"/>
    <w:rsid w:val="7DAA3BB3"/>
    <w:rsid w:val="7DAACD5B"/>
    <w:rsid w:val="7DABC6DF"/>
    <w:rsid w:val="7DB7E77B"/>
    <w:rsid w:val="7DB8E8E0"/>
    <w:rsid w:val="7DC35C40"/>
    <w:rsid w:val="7DC45DFC"/>
    <w:rsid w:val="7DCE654D"/>
    <w:rsid w:val="7DDA99FF"/>
    <w:rsid w:val="7DE623F9"/>
    <w:rsid w:val="7DEC3D58"/>
    <w:rsid w:val="7DEE5C1B"/>
    <w:rsid w:val="7DFEB88B"/>
    <w:rsid w:val="7E0AEFBD"/>
    <w:rsid w:val="7E11BD42"/>
    <w:rsid w:val="7E11CCCA"/>
    <w:rsid w:val="7E149287"/>
    <w:rsid w:val="7E158C74"/>
    <w:rsid w:val="7E275679"/>
    <w:rsid w:val="7E2C90B3"/>
    <w:rsid w:val="7E2CAA11"/>
    <w:rsid w:val="7E2EE096"/>
    <w:rsid w:val="7E2EE10B"/>
    <w:rsid w:val="7E33B133"/>
    <w:rsid w:val="7E36F6ED"/>
    <w:rsid w:val="7E37B290"/>
    <w:rsid w:val="7E37EA91"/>
    <w:rsid w:val="7E3945F8"/>
    <w:rsid w:val="7E3C7738"/>
    <w:rsid w:val="7E3DB937"/>
    <w:rsid w:val="7E3FB181"/>
    <w:rsid w:val="7E408575"/>
    <w:rsid w:val="7E43ADCE"/>
    <w:rsid w:val="7E452F2C"/>
    <w:rsid w:val="7E49A397"/>
    <w:rsid w:val="7E4BAE7B"/>
    <w:rsid w:val="7E4D463B"/>
    <w:rsid w:val="7E511911"/>
    <w:rsid w:val="7E514AA5"/>
    <w:rsid w:val="7E5354D2"/>
    <w:rsid w:val="7E5741D0"/>
    <w:rsid w:val="7E5864C8"/>
    <w:rsid w:val="7E5CBA2E"/>
    <w:rsid w:val="7E5CC5E1"/>
    <w:rsid w:val="7E603818"/>
    <w:rsid w:val="7E6138BF"/>
    <w:rsid w:val="7E62563F"/>
    <w:rsid w:val="7E643E2F"/>
    <w:rsid w:val="7E6764BA"/>
    <w:rsid w:val="7E694FC1"/>
    <w:rsid w:val="7E72AB30"/>
    <w:rsid w:val="7E760057"/>
    <w:rsid w:val="7E7A4F65"/>
    <w:rsid w:val="7E7E9271"/>
    <w:rsid w:val="7E8521E8"/>
    <w:rsid w:val="7E939B2C"/>
    <w:rsid w:val="7E980E0E"/>
    <w:rsid w:val="7E9A6E19"/>
    <w:rsid w:val="7EA0640A"/>
    <w:rsid w:val="7EA999FF"/>
    <w:rsid w:val="7EAA4168"/>
    <w:rsid w:val="7EAE92E9"/>
    <w:rsid w:val="7EAEC941"/>
    <w:rsid w:val="7EB1C73C"/>
    <w:rsid w:val="7EB6742F"/>
    <w:rsid w:val="7EB72CCC"/>
    <w:rsid w:val="7EC2FF0F"/>
    <w:rsid w:val="7EC4FF78"/>
    <w:rsid w:val="7ECFA378"/>
    <w:rsid w:val="7ECFC215"/>
    <w:rsid w:val="7ED70522"/>
    <w:rsid w:val="7EDB4908"/>
    <w:rsid w:val="7EDB4A4A"/>
    <w:rsid w:val="7EDE5101"/>
    <w:rsid w:val="7EE453D8"/>
    <w:rsid w:val="7EE5D4AF"/>
    <w:rsid w:val="7EE712F3"/>
    <w:rsid w:val="7EEAF6D2"/>
    <w:rsid w:val="7EECE080"/>
    <w:rsid w:val="7EF1AD57"/>
    <w:rsid w:val="7EF2C787"/>
    <w:rsid w:val="7EF38D15"/>
    <w:rsid w:val="7EF55072"/>
    <w:rsid w:val="7EF705D8"/>
    <w:rsid w:val="7EFF08BF"/>
    <w:rsid w:val="7F020471"/>
    <w:rsid w:val="7F066A1E"/>
    <w:rsid w:val="7F072E49"/>
    <w:rsid w:val="7F0E8C75"/>
    <w:rsid w:val="7F1015BA"/>
    <w:rsid w:val="7F1A8304"/>
    <w:rsid w:val="7F1B4910"/>
    <w:rsid w:val="7F1F2B78"/>
    <w:rsid w:val="7F1FC384"/>
    <w:rsid w:val="7F22BD21"/>
    <w:rsid w:val="7F23C6E7"/>
    <w:rsid w:val="7F290823"/>
    <w:rsid w:val="7F2F3CAB"/>
    <w:rsid w:val="7F318E81"/>
    <w:rsid w:val="7F33874A"/>
    <w:rsid w:val="7F3570A0"/>
    <w:rsid w:val="7F359A2D"/>
    <w:rsid w:val="7F3CDADF"/>
    <w:rsid w:val="7F3F0562"/>
    <w:rsid w:val="7F46042D"/>
    <w:rsid w:val="7F464A6D"/>
    <w:rsid w:val="7F499447"/>
    <w:rsid w:val="7F4F2602"/>
    <w:rsid w:val="7F4FE931"/>
    <w:rsid w:val="7F57C328"/>
    <w:rsid w:val="7F588F4F"/>
    <w:rsid w:val="7F5D042F"/>
    <w:rsid w:val="7F5FCF5B"/>
    <w:rsid w:val="7F6023F6"/>
    <w:rsid w:val="7F602767"/>
    <w:rsid w:val="7F64A731"/>
    <w:rsid w:val="7F6A5AFE"/>
    <w:rsid w:val="7F782ED5"/>
    <w:rsid w:val="7F789888"/>
    <w:rsid w:val="7F7AB171"/>
    <w:rsid w:val="7F8045F4"/>
    <w:rsid w:val="7F806BAD"/>
    <w:rsid w:val="7F816ABB"/>
    <w:rsid w:val="7F845DFF"/>
    <w:rsid w:val="7F849799"/>
    <w:rsid w:val="7F8716A2"/>
    <w:rsid w:val="7F871A25"/>
    <w:rsid w:val="7F9191EF"/>
    <w:rsid w:val="7F949E59"/>
    <w:rsid w:val="7F94F6A1"/>
    <w:rsid w:val="7F9C6452"/>
    <w:rsid w:val="7F9C6466"/>
    <w:rsid w:val="7F9D9B3D"/>
    <w:rsid w:val="7FAB1F4D"/>
    <w:rsid w:val="7FAE4914"/>
    <w:rsid w:val="7FAF7721"/>
    <w:rsid w:val="7FB44BE4"/>
    <w:rsid w:val="7FB58A67"/>
    <w:rsid w:val="7FB67F1B"/>
    <w:rsid w:val="7FB6B5E2"/>
    <w:rsid w:val="7FBB5C97"/>
    <w:rsid w:val="7FC2F372"/>
    <w:rsid w:val="7FC8FBB5"/>
    <w:rsid w:val="7FC95F56"/>
    <w:rsid w:val="7FD057EF"/>
    <w:rsid w:val="7FD31BCD"/>
    <w:rsid w:val="7FD33CBB"/>
    <w:rsid w:val="7FDB0B14"/>
    <w:rsid w:val="7FE26DC7"/>
    <w:rsid w:val="7FE80CE4"/>
    <w:rsid w:val="7FEB0130"/>
    <w:rsid w:val="7FEEDBFB"/>
    <w:rsid w:val="7FF0078F"/>
    <w:rsid w:val="7FF24B64"/>
    <w:rsid w:val="7FF28CE3"/>
    <w:rsid w:val="7FF99D32"/>
    <w:rsid w:val="7FFC243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C4AB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D9C"/>
  </w:style>
  <w:style w:type="paragraph" w:styleId="Heading1">
    <w:name w:val="heading 1"/>
    <w:basedOn w:val="Normal"/>
    <w:next w:val="Normal"/>
    <w:link w:val="Heading1Char"/>
    <w:uiPriority w:val="9"/>
    <w:qFormat/>
    <w:rsid w:val="005705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05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705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5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5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5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5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5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5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5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05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705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5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5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5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5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5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5DA"/>
    <w:rPr>
      <w:rFonts w:eastAsiaTheme="majorEastAsia" w:cstheme="majorBidi"/>
      <w:color w:val="272727" w:themeColor="text1" w:themeTint="D8"/>
    </w:rPr>
  </w:style>
  <w:style w:type="paragraph" w:styleId="Title">
    <w:name w:val="Title"/>
    <w:basedOn w:val="Normal"/>
    <w:next w:val="Normal"/>
    <w:link w:val="TitleChar"/>
    <w:uiPriority w:val="10"/>
    <w:qFormat/>
    <w:rsid w:val="005705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5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5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5DA"/>
    <w:pPr>
      <w:spacing w:before="160"/>
      <w:jc w:val="center"/>
    </w:pPr>
    <w:rPr>
      <w:i/>
      <w:iCs/>
      <w:color w:val="404040" w:themeColor="text1" w:themeTint="BF"/>
    </w:rPr>
  </w:style>
  <w:style w:type="character" w:customStyle="1" w:styleId="QuoteChar">
    <w:name w:val="Quote Char"/>
    <w:basedOn w:val="DefaultParagraphFont"/>
    <w:link w:val="Quote"/>
    <w:uiPriority w:val="29"/>
    <w:rsid w:val="005705DA"/>
    <w:rPr>
      <w:i/>
      <w:iCs/>
      <w:color w:val="404040" w:themeColor="text1" w:themeTint="BF"/>
    </w:rPr>
  </w:style>
  <w:style w:type="paragraph" w:styleId="ListParagraph">
    <w:name w:val="List Paragraph"/>
    <w:aliases w:val="3,Bullet 1,Bullet Points,Colorful List - Accent 11,Dot pt,F5 List Paragraph,Indicator Text,Issue Action POC,List Paragraph Char Char Char,List Paragraph2,MAIN CONTENT,Normal numbered,Numbered Para 1,POCG Table Text,Bullet layer,Bulle,列出段落"/>
    <w:basedOn w:val="Normal"/>
    <w:link w:val="ListParagraphChar"/>
    <w:uiPriority w:val="34"/>
    <w:qFormat/>
    <w:rsid w:val="005705DA"/>
    <w:pPr>
      <w:ind w:left="720"/>
      <w:contextualSpacing/>
    </w:pPr>
  </w:style>
  <w:style w:type="character" w:styleId="IntenseEmphasis">
    <w:name w:val="Intense Emphasis"/>
    <w:basedOn w:val="DefaultParagraphFont"/>
    <w:uiPriority w:val="21"/>
    <w:qFormat/>
    <w:rsid w:val="005705DA"/>
    <w:rPr>
      <w:i/>
      <w:iCs/>
      <w:color w:val="0F4761" w:themeColor="accent1" w:themeShade="BF"/>
    </w:rPr>
  </w:style>
  <w:style w:type="paragraph" w:styleId="IntenseQuote">
    <w:name w:val="Intense Quote"/>
    <w:basedOn w:val="Normal"/>
    <w:next w:val="Normal"/>
    <w:link w:val="IntenseQuoteChar"/>
    <w:uiPriority w:val="30"/>
    <w:qFormat/>
    <w:rsid w:val="005705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5DA"/>
    <w:rPr>
      <w:i/>
      <w:iCs/>
      <w:color w:val="0F4761" w:themeColor="accent1" w:themeShade="BF"/>
    </w:rPr>
  </w:style>
  <w:style w:type="character" w:styleId="IntenseReference">
    <w:name w:val="Intense Reference"/>
    <w:basedOn w:val="DefaultParagraphFont"/>
    <w:uiPriority w:val="32"/>
    <w:qFormat/>
    <w:rsid w:val="005705DA"/>
    <w:rPr>
      <w:b/>
      <w:bCs/>
      <w:smallCaps/>
      <w:color w:val="0F4761" w:themeColor="accent1" w:themeShade="BF"/>
      <w:spacing w:val="5"/>
    </w:rPr>
  </w:style>
  <w:style w:type="character" w:customStyle="1" w:styleId="Marker">
    <w:name w:val="Marker"/>
    <w:basedOn w:val="DefaultParagraphFont"/>
    <w:rsid w:val="005354D2"/>
    <w:rPr>
      <w:color w:val="0000FF"/>
      <w:shd w:val="clear" w:color="auto" w:fill="auto"/>
    </w:rPr>
  </w:style>
  <w:style w:type="paragraph" w:styleId="Header">
    <w:name w:val="header"/>
    <w:basedOn w:val="Normal"/>
    <w:link w:val="HeaderChar"/>
    <w:uiPriority w:val="99"/>
    <w:unhideWhenUsed/>
    <w:rsid w:val="00535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54D2"/>
  </w:style>
  <w:style w:type="paragraph" w:styleId="Footer">
    <w:name w:val="footer"/>
    <w:basedOn w:val="Normal"/>
    <w:link w:val="FooterChar"/>
    <w:uiPriority w:val="99"/>
    <w:unhideWhenUsed/>
    <w:rsid w:val="00535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4D2"/>
  </w:style>
  <w:style w:type="paragraph" w:customStyle="1" w:styleId="Pagedecouverture">
    <w:name w:val="Page de couverture"/>
    <w:basedOn w:val="Normal"/>
    <w:next w:val="Normal"/>
    <w:rsid w:val="005354D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354D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5354D2"/>
    <w:rPr>
      <w:rFonts w:ascii="Times New Roman" w:hAnsi="Times New Roman" w:cs="Times New Roman"/>
    </w:rPr>
  </w:style>
  <w:style w:type="paragraph" w:customStyle="1" w:styleId="FooterSensitivity">
    <w:name w:val="Footer Sensitivity"/>
    <w:basedOn w:val="Normal"/>
    <w:link w:val="FooterSensitivityChar"/>
    <w:rsid w:val="005354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354D2"/>
    <w:rPr>
      <w:rFonts w:ascii="Times New Roman" w:hAnsi="Times New Roman" w:cs="Times New Roman"/>
      <w:b/>
      <w:sz w:val="32"/>
    </w:rPr>
  </w:style>
  <w:style w:type="paragraph" w:customStyle="1" w:styleId="HeaderCoverPage">
    <w:name w:val="Header Cover Page"/>
    <w:basedOn w:val="Normal"/>
    <w:link w:val="HeaderCoverPageChar"/>
    <w:rsid w:val="005354D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5354D2"/>
    <w:rPr>
      <w:rFonts w:ascii="Times New Roman" w:hAnsi="Times New Roman" w:cs="Times New Roman"/>
    </w:rPr>
  </w:style>
  <w:style w:type="paragraph" w:customStyle="1" w:styleId="HeaderSensitivity">
    <w:name w:val="Header Sensitivity"/>
    <w:basedOn w:val="Normal"/>
    <w:link w:val="HeaderSensitivityChar"/>
    <w:rsid w:val="005354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354D2"/>
    <w:rPr>
      <w:rFonts w:ascii="Times New Roman" w:hAnsi="Times New Roman" w:cs="Times New Roman"/>
      <w:b/>
      <w:sz w:val="32"/>
    </w:rPr>
  </w:style>
  <w:style w:type="paragraph" w:customStyle="1" w:styleId="HeaderSensitivityRight">
    <w:name w:val="Header Sensitivity Right"/>
    <w:basedOn w:val="Normal"/>
    <w:link w:val="HeaderSensitivityRightChar"/>
    <w:rsid w:val="00F101C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354D2"/>
    <w:rPr>
      <w:rFonts w:ascii="Times New Roman" w:hAnsi="Times New Roman" w:cs="Times New Roman"/>
      <w:sz w:val="28"/>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ußnotentext Char,o"/>
    <w:basedOn w:val="Normal"/>
    <w:link w:val="FootnoteTextChar"/>
    <w:uiPriority w:val="99"/>
    <w:unhideWhenUsed/>
    <w:qFormat/>
    <w:rsid w:val="00D363D9"/>
    <w:pPr>
      <w:spacing w:after="0" w:line="240" w:lineRule="auto"/>
    </w:pPr>
    <w:rPr>
      <w:kern w:val="0"/>
      <w:sz w:val="20"/>
      <w:szCs w:val="20"/>
      <w14:ligatures w14:val="none"/>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D363D9"/>
    <w:rPr>
      <w:kern w:val="0"/>
      <w:sz w:val="20"/>
      <w:szCs w:val="20"/>
      <w:lang w:val="fr-FR"/>
      <w14:ligatures w14:val="none"/>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Re,R"/>
    <w:basedOn w:val="DefaultParagraphFont"/>
    <w:link w:val="FootnotesymbolCarZchn"/>
    <w:uiPriority w:val="99"/>
    <w:unhideWhenUsed/>
    <w:qFormat/>
    <w:rsid w:val="00D363D9"/>
    <w:rPr>
      <w:vertAlign w:val="superscript"/>
    </w:rPr>
  </w:style>
  <w:style w:type="character" w:styleId="CommentReference">
    <w:name w:val="annotation reference"/>
    <w:basedOn w:val="DefaultParagraphFont"/>
    <w:unhideWhenUsed/>
    <w:rsid w:val="00D363D9"/>
    <w:rPr>
      <w:sz w:val="16"/>
      <w:szCs w:val="16"/>
    </w:rPr>
  </w:style>
  <w:style w:type="paragraph" w:styleId="CommentText">
    <w:name w:val="annotation text"/>
    <w:basedOn w:val="Normal"/>
    <w:link w:val="CommentTextChar"/>
    <w:unhideWhenUsed/>
    <w:rsid w:val="00D363D9"/>
    <w:pPr>
      <w:spacing w:line="240" w:lineRule="auto"/>
    </w:pPr>
    <w:rPr>
      <w:kern w:val="0"/>
      <w:sz w:val="20"/>
      <w:szCs w:val="20"/>
      <w14:ligatures w14:val="none"/>
    </w:rPr>
  </w:style>
  <w:style w:type="character" w:customStyle="1" w:styleId="CommentTextChar">
    <w:name w:val="Comment Text Char"/>
    <w:basedOn w:val="DefaultParagraphFont"/>
    <w:link w:val="CommentText"/>
    <w:rsid w:val="00D363D9"/>
    <w:rPr>
      <w:kern w:val="0"/>
      <w:sz w:val="20"/>
      <w:szCs w:val="20"/>
      <w:lang w:val="fr-FR"/>
      <w14:ligatures w14:val="none"/>
    </w:rPr>
  </w:style>
  <w:style w:type="character" w:styleId="Hyperlink">
    <w:name w:val="Hyperlink"/>
    <w:basedOn w:val="DefaultParagraphFont"/>
    <w:uiPriority w:val="99"/>
    <w:unhideWhenUsed/>
    <w:rsid w:val="00D363D9"/>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363D9"/>
    <w:pPr>
      <w:spacing w:line="240" w:lineRule="exact"/>
      <w:jc w:val="both"/>
    </w:pPr>
    <w:rPr>
      <w:vertAlign w:val="superscript"/>
    </w:rPr>
  </w:style>
  <w:style w:type="table" w:styleId="TableGrid">
    <w:name w:val="Table Grid"/>
    <w:basedOn w:val="TableNormal"/>
    <w:uiPriority w:val="39"/>
    <w:rsid w:val="00D363D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3 Char,Bullet 1 Char,Bullet Points Char,Colorful List - Accent 11 Char,Dot pt Char,F5 List Paragraph Char,Indicator Text Char,Issue Action POC Char,List Paragraph Char Char Char Char,List Paragraph2 Char,MAIN CONTENT Char,Bulle Char"/>
    <w:link w:val="ListParagraph"/>
    <w:uiPriority w:val="34"/>
    <w:qFormat/>
    <w:locked/>
    <w:rsid w:val="00D363D9"/>
  </w:style>
  <w:style w:type="paragraph" w:customStyle="1" w:styleId="ecl-paragraph">
    <w:name w:val="ecl-paragraph"/>
    <w:basedOn w:val="Normal"/>
    <w:rsid w:val="00E36A2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cf01">
    <w:name w:val="cf01"/>
    <w:basedOn w:val="DefaultParagraphFont"/>
    <w:rsid w:val="00E36A23"/>
    <w:rPr>
      <w:rFonts w:ascii="Segoe UI" w:hAnsi="Segoe UI" w:cs="Segoe UI" w:hint="default"/>
      <w:sz w:val="18"/>
      <w:szCs w:val="18"/>
    </w:rPr>
  </w:style>
  <w:style w:type="paragraph" w:customStyle="1" w:styleId="pf0">
    <w:name w:val="pf0"/>
    <w:basedOn w:val="Normal"/>
    <w:rsid w:val="00E36A2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paragraph" w:styleId="NormalWeb">
    <w:name w:val="Normal (Web)"/>
    <w:basedOn w:val="Normal"/>
    <w:uiPriority w:val="99"/>
    <w:unhideWhenUsed/>
    <w:rsid w:val="00E36A2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633898"/>
  </w:style>
  <w:style w:type="paragraph" w:customStyle="1" w:styleId="paragraph">
    <w:name w:val="paragraph"/>
    <w:basedOn w:val="Normal"/>
    <w:rsid w:val="00633898"/>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UnresolvedMention1">
    <w:name w:val="Unresolved Mention1"/>
    <w:basedOn w:val="DefaultParagraphFont"/>
    <w:uiPriority w:val="99"/>
    <w:semiHidden/>
    <w:unhideWhenUsed/>
    <w:rsid w:val="00CA2BB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434BA"/>
    <w:rPr>
      <w:b/>
      <w:bCs/>
      <w:kern w:val="2"/>
      <w14:ligatures w14:val="standardContextual"/>
    </w:rPr>
  </w:style>
  <w:style w:type="character" w:customStyle="1" w:styleId="CommentSubjectChar">
    <w:name w:val="Comment Subject Char"/>
    <w:basedOn w:val="CommentTextChar"/>
    <w:link w:val="CommentSubject"/>
    <w:uiPriority w:val="99"/>
    <w:semiHidden/>
    <w:rsid w:val="001434BA"/>
    <w:rPr>
      <w:b/>
      <w:bCs/>
      <w:kern w:val="0"/>
      <w:sz w:val="20"/>
      <w:szCs w:val="20"/>
      <w:lang w:val="fr-FR"/>
      <w14:ligatures w14:val="none"/>
    </w:rPr>
  </w:style>
  <w:style w:type="paragraph" w:styleId="Revision">
    <w:name w:val="Revision"/>
    <w:hidden/>
    <w:uiPriority w:val="99"/>
    <w:semiHidden/>
    <w:rsid w:val="00BB60B4"/>
    <w:pPr>
      <w:spacing w:after="0" w:line="240" w:lineRule="auto"/>
    </w:pPr>
  </w:style>
  <w:style w:type="character" w:customStyle="1" w:styleId="eop">
    <w:name w:val="eop"/>
    <w:basedOn w:val="DefaultParagraphFont"/>
    <w:rsid w:val="00261024"/>
  </w:style>
  <w:style w:type="character" w:customStyle="1" w:styleId="Mention1">
    <w:name w:val="Mention1"/>
    <w:basedOn w:val="DefaultParagraphFont"/>
    <w:uiPriority w:val="99"/>
    <w:unhideWhenUsed/>
    <w:rsid w:val="00CE07CC"/>
    <w:rPr>
      <w:color w:val="2B579A"/>
      <w:shd w:val="clear" w:color="auto" w:fill="E1DFDD"/>
    </w:rPr>
  </w:style>
  <w:style w:type="paragraph" w:customStyle="1" w:styleId="fn1">
    <w:name w:val="fn1"/>
    <w:basedOn w:val="Normal"/>
    <w:next w:val="FootnoteText"/>
    <w:uiPriority w:val="1"/>
    <w:unhideWhenUsed/>
    <w:qFormat/>
    <w:rsid w:val="00091AF0"/>
    <w:pPr>
      <w:spacing w:after="0" w:line="240" w:lineRule="auto"/>
    </w:pPr>
    <w:rPr>
      <w:kern w:val="0"/>
      <w:sz w:val="20"/>
      <w:szCs w:val="2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rsid w:val="00091AF0"/>
    <w:pPr>
      <w:spacing w:line="240" w:lineRule="exact"/>
    </w:pPr>
    <w:rPr>
      <w:sz w:val="22"/>
      <w:szCs w:val="22"/>
      <w:vertAlign w:val="superscript"/>
    </w:rPr>
  </w:style>
  <w:style w:type="character" w:styleId="FollowedHyperlink">
    <w:name w:val="FollowedHyperlink"/>
    <w:basedOn w:val="DefaultParagraphFont"/>
    <w:uiPriority w:val="99"/>
    <w:semiHidden/>
    <w:unhideWhenUsed/>
    <w:rsid w:val="00EB4BBA"/>
    <w:rPr>
      <w:color w:val="96607D" w:themeColor="followedHyperlink"/>
      <w:u w:val="single"/>
    </w:rPr>
  </w:style>
  <w:style w:type="character" w:customStyle="1" w:styleId="superscript">
    <w:name w:val="superscript"/>
    <w:basedOn w:val="DefaultParagraphFont"/>
    <w:rsid w:val="004455A7"/>
  </w:style>
  <w:style w:type="paragraph" w:customStyle="1" w:styleId="Disclaimer">
    <w:name w:val="Disclaimer"/>
    <w:basedOn w:val="Normal"/>
    <w:rsid w:val="00F101C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F101C8"/>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F101C8"/>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F101C8"/>
    <w:pPr>
      <w:spacing w:after="0" w:line="276" w:lineRule="auto"/>
      <w:ind w:left="5103"/>
    </w:pPr>
    <w:rPr>
      <w:rFonts w:ascii="Times New Roman" w:hAnsi="Times New Roman" w:cs="Times New Roman"/>
      <w:i/>
      <w:kern w:val="0"/>
      <w:sz w:val="28"/>
      <w:szCs w:val="22"/>
      <w14:ligatures w14:val="none"/>
    </w:rPr>
  </w:style>
  <w:style w:type="paragraph" w:styleId="BalloonText">
    <w:name w:val="Balloon Text"/>
    <w:basedOn w:val="Normal"/>
    <w:link w:val="BalloonTextChar"/>
    <w:uiPriority w:val="99"/>
    <w:semiHidden/>
    <w:unhideWhenUsed/>
    <w:rsid w:val="00FD405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D405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86457">
      <w:bodyDiv w:val="1"/>
      <w:marLeft w:val="0"/>
      <w:marRight w:val="0"/>
      <w:marTop w:val="0"/>
      <w:marBottom w:val="0"/>
      <w:divBdr>
        <w:top w:val="none" w:sz="0" w:space="0" w:color="auto"/>
        <w:left w:val="none" w:sz="0" w:space="0" w:color="auto"/>
        <w:bottom w:val="none" w:sz="0" w:space="0" w:color="auto"/>
        <w:right w:val="none" w:sz="0" w:space="0" w:color="auto"/>
      </w:divBdr>
    </w:div>
    <w:div w:id="73745074">
      <w:bodyDiv w:val="1"/>
      <w:marLeft w:val="0"/>
      <w:marRight w:val="0"/>
      <w:marTop w:val="0"/>
      <w:marBottom w:val="0"/>
      <w:divBdr>
        <w:top w:val="none" w:sz="0" w:space="0" w:color="auto"/>
        <w:left w:val="none" w:sz="0" w:space="0" w:color="auto"/>
        <w:bottom w:val="none" w:sz="0" w:space="0" w:color="auto"/>
        <w:right w:val="none" w:sz="0" w:space="0" w:color="auto"/>
      </w:divBdr>
      <w:divsChild>
        <w:div w:id="56369130">
          <w:marLeft w:val="0"/>
          <w:marRight w:val="0"/>
          <w:marTop w:val="0"/>
          <w:marBottom w:val="0"/>
          <w:divBdr>
            <w:top w:val="none" w:sz="0" w:space="0" w:color="auto"/>
            <w:left w:val="none" w:sz="0" w:space="0" w:color="auto"/>
            <w:bottom w:val="none" w:sz="0" w:space="0" w:color="auto"/>
            <w:right w:val="none" w:sz="0" w:space="0" w:color="auto"/>
          </w:divBdr>
        </w:div>
        <w:div w:id="420881840">
          <w:marLeft w:val="0"/>
          <w:marRight w:val="0"/>
          <w:marTop w:val="0"/>
          <w:marBottom w:val="0"/>
          <w:divBdr>
            <w:top w:val="none" w:sz="0" w:space="0" w:color="auto"/>
            <w:left w:val="none" w:sz="0" w:space="0" w:color="auto"/>
            <w:bottom w:val="none" w:sz="0" w:space="0" w:color="auto"/>
            <w:right w:val="none" w:sz="0" w:space="0" w:color="auto"/>
          </w:divBdr>
        </w:div>
        <w:div w:id="483860982">
          <w:marLeft w:val="0"/>
          <w:marRight w:val="0"/>
          <w:marTop w:val="0"/>
          <w:marBottom w:val="0"/>
          <w:divBdr>
            <w:top w:val="none" w:sz="0" w:space="0" w:color="auto"/>
            <w:left w:val="none" w:sz="0" w:space="0" w:color="auto"/>
            <w:bottom w:val="none" w:sz="0" w:space="0" w:color="auto"/>
            <w:right w:val="none" w:sz="0" w:space="0" w:color="auto"/>
          </w:divBdr>
        </w:div>
        <w:div w:id="762146059">
          <w:marLeft w:val="0"/>
          <w:marRight w:val="0"/>
          <w:marTop w:val="0"/>
          <w:marBottom w:val="0"/>
          <w:divBdr>
            <w:top w:val="none" w:sz="0" w:space="0" w:color="auto"/>
            <w:left w:val="none" w:sz="0" w:space="0" w:color="auto"/>
            <w:bottom w:val="none" w:sz="0" w:space="0" w:color="auto"/>
            <w:right w:val="none" w:sz="0" w:space="0" w:color="auto"/>
          </w:divBdr>
        </w:div>
        <w:div w:id="857694741">
          <w:marLeft w:val="0"/>
          <w:marRight w:val="0"/>
          <w:marTop w:val="0"/>
          <w:marBottom w:val="0"/>
          <w:divBdr>
            <w:top w:val="none" w:sz="0" w:space="0" w:color="auto"/>
            <w:left w:val="none" w:sz="0" w:space="0" w:color="auto"/>
            <w:bottom w:val="none" w:sz="0" w:space="0" w:color="auto"/>
            <w:right w:val="none" w:sz="0" w:space="0" w:color="auto"/>
          </w:divBdr>
        </w:div>
        <w:div w:id="989210711">
          <w:marLeft w:val="0"/>
          <w:marRight w:val="0"/>
          <w:marTop w:val="0"/>
          <w:marBottom w:val="0"/>
          <w:divBdr>
            <w:top w:val="none" w:sz="0" w:space="0" w:color="auto"/>
            <w:left w:val="none" w:sz="0" w:space="0" w:color="auto"/>
            <w:bottom w:val="none" w:sz="0" w:space="0" w:color="auto"/>
            <w:right w:val="none" w:sz="0" w:space="0" w:color="auto"/>
          </w:divBdr>
        </w:div>
        <w:div w:id="1022705964">
          <w:marLeft w:val="0"/>
          <w:marRight w:val="0"/>
          <w:marTop w:val="0"/>
          <w:marBottom w:val="0"/>
          <w:divBdr>
            <w:top w:val="none" w:sz="0" w:space="0" w:color="auto"/>
            <w:left w:val="none" w:sz="0" w:space="0" w:color="auto"/>
            <w:bottom w:val="none" w:sz="0" w:space="0" w:color="auto"/>
            <w:right w:val="none" w:sz="0" w:space="0" w:color="auto"/>
          </w:divBdr>
        </w:div>
        <w:div w:id="1080327076">
          <w:marLeft w:val="0"/>
          <w:marRight w:val="0"/>
          <w:marTop w:val="0"/>
          <w:marBottom w:val="0"/>
          <w:divBdr>
            <w:top w:val="none" w:sz="0" w:space="0" w:color="auto"/>
            <w:left w:val="none" w:sz="0" w:space="0" w:color="auto"/>
            <w:bottom w:val="none" w:sz="0" w:space="0" w:color="auto"/>
            <w:right w:val="none" w:sz="0" w:space="0" w:color="auto"/>
          </w:divBdr>
        </w:div>
        <w:div w:id="1381318874">
          <w:marLeft w:val="0"/>
          <w:marRight w:val="0"/>
          <w:marTop w:val="0"/>
          <w:marBottom w:val="0"/>
          <w:divBdr>
            <w:top w:val="none" w:sz="0" w:space="0" w:color="auto"/>
            <w:left w:val="none" w:sz="0" w:space="0" w:color="auto"/>
            <w:bottom w:val="none" w:sz="0" w:space="0" w:color="auto"/>
            <w:right w:val="none" w:sz="0" w:space="0" w:color="auto"/>
          </w:divBdr>
        </w:div>
        <w:div w:id="1449814942">
          <w:marLeft w:val="0"/>
          <w:marRight w:val="0"/>
          <w:marTop w:val="0"/>
          <w:marBottom w:val="0"/>
          <w:divBdr>
            <w:top w:val="none" w:sz="0" w:space="0" w:color="auto"/>
            <w:left w:val="none" w:sz="0" w:space="0" w:color="auto"/>
            <w:bottom w:val="none" w:sz="0" w:space="0" w:color="auto"/>
            <w:right w:val="none" w:sz="0" w:space="0" w:color="auto"/>
          </w:divBdr>
        </w:div>
        <w:div w:id="1471288536">
          <w:marLeft w:val="0"/>
          <w:marRight w:val="0"/>
          <w:marTop w:val="0"/>
          <w:marBottom w:val="0"/>
          <w:divBdr>
            <w:top w:val="none" w:sz="0" w:space="0" w:color="auto"/>
            <w:left w:val="none" w:sz="0" w:space="0" w:color="auto"/>
            <w:bottom w:val="none" w:sz="0" w:space="0" w:color="auto"/>
            <w:right w:val="none" w:sz="0" w:space="0" w:color="auto"/>
          </w:divBdr>
        </w:div>
        <w:div w:id="1528525605">
          <w:marLeft w:val="0"/>
          <w:marRight w:val="0"/>
          <w:marTop w:val="0"/>
          <w:marBottom w:val="0"/>
          <w:divBdr>
            <w:top w:val="none" w:sz="0" w:space="0" w:color="auto"/>
            <w:left w:val="none" w:sz="0" w:space="0" w:color="auto"/>
            <w:bottom w:val="none" w:sz="0" w:space="0" w:color="auto"/>
            <w:right w:val="none" w:sz="0" w:space="0" w:color="auto"/>
          </w:divBdr>
        </w:div>
        <w:div w:id="1571844570">
          <w:marLeft w:val="0"/>
          <w:marRight w:val="0"/>
          <w:marTop w:val="0"/>
          <w:marBottom w:val="0"/>
          <w:divBdr>
            <w:top w:val="none" w:sz="0" w:space="0" w:color="auto"/>
            <w:left w:val="none" w:sz="0" w:space="0" w:color="auto"/>
            <w:bottom w:val="none" w:sz="0" w:space="0" w:color="auto"/>
            <w:right w:val="none" w:sz="0" w:space="0" w:color="auto"/>
          </w:divBdr>
        </w:div>
        <w:div w:id="1580024062">
          <w:marLeft w:val="0"/>
          <w:marRight w:val="0"/>
          <w:marTop w:val="0"/>
          <w:marBottom w:val="0"/>
          <w:divBdr>
            <w:top w:val="none" w:sz="0" w:space="0" w:color="auto"/>
            <w:left w:val="none" w:sz="0" w:space="0" w:color="auto"/>
            <w:bottom w:val="none" w:sz="0" w:space="0" w:color="auto"/>
            <w:right w:val="none" w:sz="0" w:space="0" w:color="auto"/>
          </w:divBdr>
        </w:div>
        <w:div w:id="1747261135">
          <w:marLeft w:val="0"/>
          <w:marRight w:val="0"/>
          <w:marTop w:val="0"/>
          <w:marBottom w:val="0"/>
          <w:divBdr>
            <w:top w:val="none" w:sz="0" w:space="0" w:color="auto"/>
            <w:left w:val="none" w:sz="0" w:space="0" w:color="auto"/>
            <w:bottom w:val="none" w:sz="0" w:space="0" w:color="auto"/>
            <w:right w:val="none" w:sz="0" w:space="0" w:color="auto"/>
          </w:divBdr>
        </w:div>
        <w:div w:id="1775707291">
          <w:marLeft w:val="0"/>
          <w:marRight w:val="0"/>
          <w:marTop w:val="0"/>
          <w:marBottom w:val="0"/>
          <w:divBdr>
            <w:top w:val="none" w:sz="0" w:space="0" w:color="auto"/>
            <w:left w:val="none" w:sz="0" w:space="0" w:color="auto"/>
            <w:bottom w:val="none" w:sz="0" w:space="0" w:color="auto"/>
            <w:right w:val="none" w:sz="0" w:space="0" w:color="auto"/>
          </w:divBdr>
        </w:div>
        <w:div w:id="1826973918">
          <w:marLeft w:val="0"/>
          <w:marRight w:val="0"/>
          <w:marTop w:val="0"/>
          <w:marBottom w:val="0"/>
          <w:divBdr>
            <w:top w:val="none" w:sz="0" w:space="0" w:color="auto"/>
            <w:left w:val="none" w:sz="0" w:space="0" w:color="auto"/>
            <w:bottom w:val="none" w:sz="0" w:space="0" w:color="auto"/>
            <w:right w:val="none" w:sz="0" w:space="0" w:color="auto"/>
          </w:divBdr>
        </w:div>
        <w:div w:id="1847136804">
          <w:marLeft w:val="0"/>
          <w:marRight w:val="0"/>
          <w:marTop w:val="0"/>
          <w:marBottom w:val="0"/>
          <w:divBdr>
            <w:top w:val="none" w:sz="0" w:space="0" w:color="auto"/>
            <w:left w:val="none" w:sz="0" w:space="0" w:color="auto"/>
            <w:bottom w:val="none" w:sz="0" w:space="0" w:color="auto"/>
            <w:right w:val="none" w:sz="0" w:space="0" w:color="auto"/>
          </w:divBdr>
        </w:div>
        <w:div w:id="1968386903">
          <w:marLeft w:val="0"/>
          <w:marRight w:val="0"/>
          <w:marTop w:val="0"/>
          <w:marBottom w:val="0"/>
          <w:divBdr>
            <w:top w:val="none" w:sz="0" w:space="0" w:color="auto"/>
            <w:left w:val="none" w:sz="0" w:space="0" w:color="auto"/>
            <w:bottom w:val="none" w:sz="0" w:space="0" w:color="auto"/>
            <w:right w:val="none" w:sz="0" w:space="0" w:color="auto"/>
          </w:divBdr>
        </w:div>
        <w:div w:id="2063943761">
          <w:marLeft w:val="0"/>
          <w:marRight w:val="0"/>
          <w:marTop w:val="0"/>
          <w:marBottom w:val="0"/>
          <w:divBdr>
            <w:top w:val="none" w:sz="0" w:space="0" w:color="auto"/>
            <w:left w:val="none" w:sz="0" w:space="0" w:color="auto"/>
            <w:bottom w:val="none" w:sz="0" w:space="0" w:color="auto"/>
            <w:right w:val="none" w:sz="0" w:space="0" w:color="auto"/>
          </w:divBdr>
        </w:div>
        <w:div w:id="2091661093">
          <w:marLeft w:val="0"/>
          <w:marRight w:val="0"/>
          <w:marTop w:val="0"/>
          <w:marBottom w:val="0"/>
          <w:divBdr>
            <w:top w:val="none" w:sz="0" w:space="0" w:color="auto"/>
            <w:left w:val="none" w:sz="0" w:space="0" w:color="auto"/>
            <w:bottom w:val="none" w:sz="0" w:space="0" w:color="auto"/>
            <w:right w:val="none" w:sz="0" w:space="0" w:color="auto"/>
          </w:divBdr>
        </w:div>
        <w:div w:id="2128966448">
          <w:marLeft w:val="0"/>
          <w:marRight w:val="0"/>
          <w:marTop w:val="0"/>
          <w:marBottom w:val="0"/>
          <w:divBdr>
            <w:top w:val="none" w:sz="0" w:space="0" w:color="auto"/>
            <w:left w:val="none" w:sz="0" w:space="0" w:color="auto"/>
            <w:bottom w:val="none" w:sz="0" w:space="0" w:color="auto"/>
            <w:right w:val="none" w:sz="0" w:space="0" w:color="auto"/>
          </w:divBdr>
        </w:div>
      </w:divsChild>
    </w:div>
    <w:div w:id="104927467">
      <w:bodyDiv w:val="1"/>
      <w:marLeft w:val="0"/>
      <w:marRight w:val="0"/>
      <w:marTop w:val="0"/>
      <w:marBottom w:val="0"/>
      <w:divBdr>
        <w:top w:val="none" w:sz="0" w:space="0" w:color="auto"/>
        <w:left w:val="none" w:sz="0" w:space="0" w:color="auto"/>
        <w:bottom w:val="none" w:sz="0" w:space="0" w:color="auto"/>
        <w:right w:val="none" w:sz="0" w:space="0" w:color="auto"/>
      </w:divBdr>
    </w:div>
    <w:div w:id="118570786">
      <w:bodyDiv w:val="1"/>
      <w:marLeft w:val="0"/>
      <w:marRight w:val="0"/>
      <w:marTop w:val="0"/>
      <w:marBottom w:val="0"/>
      <w:divBdr>
        <w:top w:val="none" w:sz="0" w:space="0" w:color="auto"/>
        <w:left w:val="none" w:sz="0" w:space="0" w:color="auto"/>
        <w:bottom w:val="none" w:sz="0" w:space="0" w:color="auto"/>
        <w:right w:val="none" w:sz="0" w:space="0" w:color="auto"/>
      </w:divBdr>
    </w:div>
    <w:div w:id="144975024">
      <w:bodyDiv w:val="1"/>
      <w:marLeft w:val="0"/>
      <w:marRight w:val="0"/>
      <w:marTop w:val="0"/>
      <w:marBottom w:val="0"/>
      <w:divBdr>
        <w:top w:val="none" w:sz="0" w:space="0" w:color="auto"/>
        <w:left w:val="none" w:sz="0" w:space="0" w:color="auto"/>
        <w:bottom w:val="none" w:sz="0" w:space="0" w:color="auto"/>
        <w:right w:val="none" w:sz="0" w:space="0" w:color="auto"/>
      </w:divBdr>
    </w:div>
    <w:div w:id="171648487">
      <w:bodyDiv w:val="1"/>
      <w:marLeft w:val="0"/>
      <w:marRight w:val="0"/>
      <w:marTop w:val="0"/>
      <w:marBottom w:val="0"/>
      <w:divBdr>
        <w:top w:val="none" w:sz="0" w:space="0" w:color="auto"/>
        <w:left w:val="none" w:sz="0" w:space="0" w:color="auto"/>
        <w:bottom w:val="none" w:sz="0" w:space="0" w:color="auto"/>
        <w:right w:val="none" w:sz="0" w:space="0" w:color="auto"/>
      </w:divBdr>
      <w:divsChild>
        <w:div w:id="37516421">
          <w:marLeft w:val="0"/>
          <w:marRight w:val="0"/>
          <w:marTop w:val="0"/>
          <w:marBottom w:val="0"/>
          <w:divBdr>
            <w:top w:val="none" w:sz="0" w:space="0" w:color="auto"/>
            <w:left w:val="none" w:sz="0" w:space="0" w:color="auto"/>
            <w:bottom w:val="none" w:sz="0" w:space="0" w:color="auto"/>
            <w:right w:val="none" w:sz="0" w:space="0" w:color="auto"/>
          </w:divBdr>
          <w:divsChild>
            <w:div w:id="435491785">
              <w:marLeft w:val="0"/>
              <w:marRight w:val="0"/>
              <w:marTop w:val="0"/>
              <w:marBottom w:val="0"/>
              <w:divBdr>
                <w:top w:val="none" w:sz="0" w:space="0" w:color="auto"/>
                <w:left w:val="none" w:sz="0" w:space="0" w:color="auto"/>
                <w:bottom w:val="none" w:sz="0" w:space="0" w:color="auto"/>
                <w:right w:val="none" w:sz="0" w:space="0" w:color="auto"/>
              </w:divBdr>
            </w:div>
          </w:divsChild>
        </w:div>
        <w:div w:id="527373550">
          <w:marLeft w:val="0"/>
          <w:marRight w:val="0"/>
          <w:marTop w:val="0"/>
          <w:marBottom w:val="0"/>
          <w:divBdr>
            <w:top w:val="none" w:sz="0" w:space="0" w:color="auto"/>
            <w:left w:val="none" w:sz="0" w:space="0" w:color="auto"/>
            <w:bottom w:val="none" w:sz="0" w:space="0" w:color="auto"/>
            <w:right w:val="none" w:sz="0" w:space="0" w:color="auto"/>
          </w:divBdr>
          <w:divsChild>
            <w:div w:id="651252909">
              <w:marLeft w:val="0"/>
              <w:marRight w:val="0"/>
              <w:marTop w:val="0"/>
              <w:marBottom w:val="0"/>
              <w:divBdr>
                <w:top w:val="none" w:sz="0" w:space="0" w:color="auto"/>
                <w:left w:val="none" w:sz="0" w:space="0" w:color="auto"/>
                <w:bottom w:val="none" w:sz="0" w:space="0" w:color="auto"/>
                <w:right w:val="none" w:sz="0" w:space="0" w:color="auto"/>
              </w:divBdr>
            </w:div>
          </w:divsChild>
        </w:div>
        <w:div w:id="565605054">
          <w:marLeft w:val="0"/>
          <w:marRight w:val="0"/>
          <w:marTop w:val="0"/>
          <w:marBottom w:val="0"/>
          <w:divBdr>
            <w:top w:val="none" w:sz="0" w:space="0" w:color="auto"/>
            <w:left w:val="none" w:sz="0" w:space="0" w:color="auto"/>
            <w:bottom w:val="none" w:sz="0" w:space="0" w:color="auto"/>
            <w:right w:val="none" w:sz="0" w:space="0" w:color="auto"/>
          </w:divBdr>
          <w:divsChild>
            <w:div w:id="1807426843">
              <w:marLeft w:val="0"/>
              <w:marRight w:val="0"/>
              <w:marTop w:val="0"/>
              <w:marBottom w:val="0"/>
              <w:divBdr>
                <w:top w:val="none" w:sz="0" w:space="0" w:color="auto"/>
                <w:left w:val="none" w:sz="0" w:space="0" w:color="auto"/>
                <w:bottom w:val="none" w:sz="0" w:space="0" w:color="auto"/>
                <w:right w:val="none" w:sz="0" w:space="0" w:color="auto"/>
              </w:divBdr>
            </w:div>
          </w:divsChild>
        </w:div>
        <w:div w:id="611589672">
          <w:marLeft w:val="0"/>
          <w:marRight w:val="0"/>
          <w:marTop w:val="0"/>
          <w:marBottom w:val="0"/>
          <w:divBdr>
            <w:top w:val="none" w:sz="0" w:space="0" w:color="auto"/>
            <w:left w:val="none" w:sz="0" w:space="0" w:color="auto"/>
            <w:bottom w:val="none" w:sz="0" w:space="0" w:color="auto"/>
            <w:right w:val="none" w:sz="0" w:space="0" w:color="auto"/>
          </w:divBdr>
          <w:divsChild>
            <w:div w:id="1907959264">
              <w:marLeft w:val="0"/>
              <w:marRight w:val="0"/>
              <w:marTop w:val="0"/>
              <w:marBottom w:val="0"/>
              <w:divBdr>
                <w:top w:val="none" w:sz="0" w:space="0" w:color="auto"/>
                <w:left w:val="none" w:sz="0" w:space="0" w:color="auto"/>
                <w:bottom w:val="none" w:sz="0" w:space="0" w:color="auto"/>
                <w:right w:val="none" w:sz="0" w:space="0" w:color="auto"/>
              </w:divBdr>
            </w:div>
          </w:divsChild>
        </w:div>
        <w:div w:id="857694211">
          <w:marLeft w:val="0"/>
          <w:marRight w:val="0"/>
          <w:marTop w:val="0"/>
          <w:marBottom w:val="0"/>
          <w:divBdr>
            <w:top w:val="none" w:sz="0" w:space="0" w:color="auto"/>
            <w:left w:val="none" w:sz="0" w:space="0" w:color="auto"/>
            <w:bottom w:val="none" w:sz="0" w:space="0" w:color="auto"/>
            <w:right w:val="none" w:sz="0" w:space="0" w:color="auto"/>
          </w:divBdr>
          <w:divsChild>
            <w:div w:id="2066874916">
              <w:marLeft w:val="0"/>
              <w:marRight w:val="0"/>
              <w:marTop w:val="0"/>
              <w:marBottom w:val="0"/>
              <w:divBdr>
                <w:top w:val="none" w:sz="0" w:space="0" w:color="auto"/>
                <w:left w:val="none" w:sz="0" w:space="0" w:color="auto"/>
                <w:bottom w:val="none" w:sz="0" w:space="0" w:color="auto"/>
                <w:right w:val="none" w:sz="0" w:space="0" w:color="auto"/>
              </w:divBdr>
            </w:div>
          </w:divsChild>
        </w:div>
        <w:div w:id="1349675752">
          <w:marLeft w:val="0"/>
          <w:marRight w:val="0"/>
          <w:marTop w:val="0"/>
          <w:marBottom w:val="0"/>
          <w:divBdr>
            <w:top w:val="none" w:sz="0" w:space="0" w:color="auto"/>
            <w:left w:val="none" w:sz="0" w:space="0" w:color="auto"/>
            <w:bottom w:val="none" w:sz="0" w:space="0" w:color="auto"/>
            <w:right w:val="none" w:sz="0" w:space="0" w:color="auto"/>
          </w:divBdr>
          <w:divsChild>
            <w:div w:id="1686400226">
              <w:marLeft w:val="0"/>
              <w:marRight w:val="0"/>
              <w:marTop w:val="0"/>
              <w:marBottom w:val="0"/>
              <w:divBdr>
                <w:top w:val="none" w:sz="0" w:space="0" w:color="auto"/>
                <w:left w:val="none" w:sz="0" w:space="0" w:color="auto"/>
                <w:bottom w:val="none" w:sz="0" w:space="0" w:color="auto"/>
                <w:right w:val="none" w:sz="0" w:space="0" w:color="auto"/>
              </w:divBdr>
            </w:div>
          </w:divsChild>
        </w:div>
        <w:div w:id="1543900264">
          <w:marLeft w:val="0"/>
          <w:marRight w:val="0"/>
          <w:marTop w:val="0"/>
          <w:marBottom w:val="0"/>
          <w:divBdr>
            <w:top w:val="none" w:sz="0" w:space="0" w:color="auto"/>
            <w:left w:val="none" w:sz="0" w:space="0" w:color="auto"/>
            <w:bottom w:val="none" w:sz="0" w:space="0" w:color="auto"/>
            <w:right w:val="none" w:sz="0" w:space="0" w:color="auto"/>
          </w:divBdr>
          <w:divsChild>
            <w:div w:id="1815027780">
              <w:marLeft w:val="0"/>
              <w:marRight w:val="0"/>
              <w:marTop w:val="0"/>
              <w:marBottom w:val="0"/>
              <w:divBdr>
                <w:top w:val="none" w:sz="0" w:space="0" w:color="auto"/>
                <w:left w:val="none" w:sz="0" w:space="0" w:color="auto"/>
                <w:bottom w:val="none" w:sz="0" w:space="0" w:color="auto"/>
                <w:right w:val="none" w:sz="0" w:space="0" w:color="auto"/>
              </w:divBdr>
            </w:div>
          </w:divsChild>
        </w:div>
        <w:div w:id="2109151695">
          <w:marLeft w:val="0"/>
          <w:marRight w:val="0"/>
          <w:marTop w:val="0"/>
          <w:marBottom w:val="0"/>
          <w:divBdr>
            <w:top w:val="none" w:sz="0" w:space="0" w:color="auto"/>
            <w:left w:val="none" w:sz="0" w:space="0" w:color="auto"/>
            <w:bottom w:val="none" w:sz="0" w:space="0" w:color="auto"/>
            <w:right w:val="none" w:sz="0" w:space="0" w:color="auto"/>
          </w:divBdr>
          <w:divsChild>
            <w:div w:id="74823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8031">
      <w:bodyDiv w:val="1"/>
      <w:marLeft w:val="0"/>
      <w:marRight w:val="0"/>
      <w:marTop w:val="0"/>
      <w:marBottom w:val="0"/>
      <w:divBdr>
        <w:top w:val="none" w:sz="0" w:space="0" w:color="auto"/>
        <w:left w:val="none" w:sz="0" w:space="0" w:color="auto"/>
        <w:bottom w:val="none" w:sz="0" w:space="0" w:color="auto"/>
        <w:right w:val="none" w:sz="0" w:space="0" w:color="auto"/>
      </w:divBdr>
    </w:div>
    <w:div w:id="205260015">
      <w:bodyDiv w:val="1"/>
      <w:marLeft w:val="0"/>
      <w:marRight w:val="0"/>
      <w:marTop w:val="0"/>
      <w:marBottom w:val="0"/>
      <w:divBdr>
        <w:top w:val="none" w:sz="0" w:space="0" w:color="auto"/>
        <w:left w:val="none" w:sz="0" w:space="0" w:color="auto"/>
        <w:bottom w:val="none" w:sz="0" w:space="0" w:color="auto"/>
        <w:right w:val="none" w:sz="0" w:space="0" w:color="auto"/>
      </w:divBdr>
    </w:div>
    <w:div w:id="209659347">
      <w:bodyDiv w:val="1"/>
      <w:marLeft w:val="0"/>
      <w:marRight w:val="0"/>
      <w:marTop w:val="0"/>
      <w:marBottom w:val="0"/>
      <w:divBdr>
        <w:top w:val="none" w:sz="0" w:space="0" w:color="auto"/>
        <w:left w:val="none" w:sz="0" w:space="0" w:color="auto"/>
        <w:bottom w:val="none" w:sz="0" w:space="0" w:color="auto"/>
        <w:right w:val="none" w:sz="0" w:space="0" w:color="auto"/>
      </w:divBdr>
    </w:div>
    <w:div w:id="226502638">
      <w:bodyDiv w:val="1"/>
      <w:marLeft w:val="0"/>
      <w:marRight w:val="0"/>
      <w:marTop w:val="0"/>
      <w:marBottom w:val="0"/>
      <w:divBdr>
        <w:top w:val="none" w:sz="0" w:space="0" w:color="auto"/>
        <w:left w:val="none" w:sz="0" w:space="0" w:color="auto"/>
        <w:bottom w:val="none" w:sz="0" w:space="0" w:color="auto"/>
        <w:right w:val="none" w:sz="0" w:space="0" w:color="auto"/>
      </w:divBdr>
      <w:divsChild>
        <w:div w:id="5641719">
          <w:marLeft w:val="0"/>
          <w:marRight w:val="0"/>
          <w:marTop w:val="0"/>
          <w:marBottom w:val="0"/>
          <w:divBdr>
            <w:top w:val="none" w:sz="0" w:space="0" w:color="auto"/>
            <w:left w:val="none" w:sz="0" w:space="0" w:color="auto"/>
            <w:bottom w:val="none" w:sz="0" w:space="0" w:color="auto"/>
            <w:right w:val="none" w:sz="0" w:space="0" w:color="auto"/>
          </w:divBdr>
        </w:div>
        <w:div w:id="284235451">
          <w:marLeft w:val="0"/>
          <w:marRight w:val="0"/>
          <w:marTop w:val="0"/>
          <w:marBottom w:val="0"/>
          <w:divBdr>
            <w:top w:val="none" w:sz="0" w:space="0" w:color="auto"/>
            <w:left w:val="none" w:sz="0" w:space="0" w:color="auto"/>
            <w:bottom w:val="none" w:sz="0" w:space="0" w:color="auto"/>
            <w:right w:val="none" w:sz="0" w:space="0" w:color="auto"/>
          </w:divBdr>
        </w:div>
        <w:div w:id="336199985">
          <w:marLeft w:val="0"/>
          <w:marRight w:val="0"/>
          <w:marTop w:val="0"/>
          <w:marBottom w:val="0"/>
          <w:divBdr>
            <w:top w:val="none" w:sz="0" w:space="0" w:color="auto"/>
            <w:left w:val="none" w:sz="0" w:space="0" w:color="auto"/>
            <w:bottom w:val="none" w:sz="0" w:space="0" w:color="auto"/>
            <w:right w:val="none" w:sz="0" w:space="0" w:color="auto"/>
          </w:divBdr>
        </w:div>
        <w:div w:id="418598152">
          <w:marLeft w:val="0"/>
          <w:marRight w:val="0"/>
          <w:marTop w:val="0"/>
          <w:marBottom w:val="0"/>
          <w:divBdr>
            <w:top w:val="none" w:sz="0" w:space="0" w:color="auto"/>
            <w:left w:val="none" w:sz="0" w:space="0" w:color="auto"/>
            <w:bottom w:val="none" w:sz="0" w:space="0" w:color="auto"/>
            <w:right w:val="none" w:sz="0" w:space="0" w:color="auto"/>
          </w:divBdr>
        </w:div>
        <w:div w:id="470706763">
          <w:marLeft w:val="0"/>
          <w:marRight w:val="0"/>
          <w:marTop w:val="0"/>
          <w:marBottom w:val="0"/>
          <w:divBdr>
            <w:top w:val="none" w:sz="0" w:space="0" w:color="auto"/>
            <w:left w:val="none" w:sz="0" w:space="0" w:color="auto"/>
            <w:bottom w:val="none" w:sz="0" w:space="0" w:color="auto"/>
            <w:right w:val="none" w:sz="0" w:space="0" w:color="auto"/>
          </w:divBdr>
        </w:div>
        <w:div w:id="497042722">
          <w:marLeft w:val="0"/>
          <w:marRight w:val="0"/>
          <w:marTop w:val="0"/>
          <w:marBottom w:val="0"/>
          <w:divBdr>
            <w:top w:val="none" w:sz="0" w:space="0" w:color="auto"/>
            <w:left w:val="none" w:sz="0" w:space="0" w:color="auto"/>
            <w:bottom w:val="none" w:sz="0" w:space="0" w:color="auto"/>
            <w:right w:val="none" w:sz="0" w:space="0" w:color="auto"/>
          </w:divBdr>
        </w:div>
        <w:div w:id="572817227">
          <w:marLeft w:val="0"/>
          <w:marRight w:val="0"/>
          <w:marTop w:val="0"/>
          <w:marBottom w:val="0"/>
          <w:divBdr>
            <w:top w:val="none" w:sz="0" w:space="0" w:color="auto"/>
            <w:left w:val="none" w:sz="0" w:space="0" w:color="auto"/>
            <w:bottom w:val="none" w:sz="0" w:space="0" w:color="auto"/>
            <w:right w:val="none" w:sz="0" w:space="0" w:color="auto"/>
          </w:divBdr>
        </w:div>
        <w:div w:id="762720889">
          <w:marLeft w:val="0"/>
          <w:marRight w:val="0"/>
          <w:marTop w:val="0"/>
          <w:marBottom w:val="0"/>
          <w:divBdr>
            <w:top w:val="none" w:sz="0" w:space="0" w:color="auto"/>
            <w:left w:val="none" w:sz="0" w:space="0" w:color="auto"/>
            <w:bottom w:val="none" w:sz="0" w:space="0" w:color="auto"/>
            <w:right w:val="none" w:sz="0" w:space="0" w:color="auto"/>
          </w:divBdr>
        </w:div>
        <w:div w:id="805975279">
          <w:marLeft w:val="0"/>
          <w:marRight w:val="0"/>
          <w:marTop w:val="0"/>
          <w:marBottom w:val="0"/>
          <w:divBdr>
            <w:top w:val="none" w:sz="0" w:space="0" w:color="auto"/>
            <w:left w:val="none" w:sz="0" w:space="0" w:color="auto"/>
            <w:bottom w:val="none" w:sz="0" w:space="0" w:color="auto"/>
            <w:right w:val="none" w:sz="0" w:space="0" w:color="auto"/>
          </w:divBdr>
        </w:div>
        <w:div w:id="915750877">
          <w:marLeft w:val="0"/>
          <w:marRight w:val="0"/>
          <w:marTop w:val="0"/>
          <w:marBottom w:val="0"/>
          <w:divBdr>
            <w:top w:val="none" w:sz="0" w:space="0" w:color="auto"/>
            <w:left w:val="none" w:sz="0" w:space="0" w:color="auto"/>
            <w:bottom w:val="none" w:sz="0" w:space="0" w:color="auto"/>
            <w:right w:val="none" w:sz="0" w:space="0" w:color="auto"/>
          </w:divBdr>
        </w:div>
        <w:div w:id="1030178878">
          <w:marLeft w:val="0"/>
          <w:marRight w:val="0"/>
          <w:marTop w:val="0"/>
          <w:marBottom w:val="0"/>
          <w:divBdr>
            <w:top w:val="none" w:sz="0" w:space="0" w:color="auto"/>
            <w:left w:val="none" w:sz="0" w:space="0" w:color="auto"/>
            <w:bottom w:val="none" w:sz="0" w:space="0" w:color="auto"/>
            <w:right w:val="none" w:sz="0" w:space="0" w:color="auto"/>
          </w:divBdr>
        </w:div>
        <w:div w:id="1052772282">
          <w:marLeft w:val="0"/>
          <w:marRight w:val="0"/>
          <w:marTop w:val="0"/>
          <w:marBottom w:val="0"/>
          <w:divBdr>
            <w:top w:val="none" w:sz="0" w:space="0" w:color="auto"/>
            <w:left w:val="none" w:sz="0" w:space="0" w:color="auto"/>
            <w:bottom w:val="none" w:sz="0" w:space="0" w:color="auto"/>
            <w:right w:val="none" w:sz="0" w:space="0" w:color="auto"/>
          </w:divBdr>
        </w:div>
        <w:div w:id="1105225122">
          <w:marLeft w:val="0"/>
          <w:marRight w:val="0"/>
          <w:marTop w:val="0"/>
          <w:marBottom w:val="0"/>
          <w:divBdr>
            <w:top w:val="none" w:sz="0" w:space="0" w:color="auto"/>
            <w:left w:val="none" w:sz="0" w:space="0" w:color="auto"/>
            <w:bottom w:val="none" w:sz="0" w:space="0" w:color="auto"/>
            <w:right w:val="none" w:sz="0" w:space="0" w:color="auto"/>
          </w:divBdr>
        </w:div>
        <w:div w:id="1248419640">
          <w:marLeft w:val="0"/>
          <w:marRight w:val="0"/>
          <w:marTop w:val="0"/>
          <w:marBottom w:val="0"/>
          <w:divBdr>
            <w:top w:val="none" w:sz="0" w:space="0" w:color="auto"/>
            <w:left w:val="none" w:sz="0" w:space="0" w:color="auto"/>
            <w:bottom w:val="none" w:sz="0" w:space="0" w:color="auto"/>
            <w:right w:val="none" w:sz="0" w:space="0" w:color="auto"/>
          </w:divBdr>
        </w:div>
        <w:div w:id="1456413609">
          <w:marLeft w:val="0"/>
          <w:marRight w:val="0"/>
          <w:marTop w:val="0"/>
          <w:marBottom w:val="0"/>
          <w:divBdr>
            <w:top w:val="none" w:sz="0" w:space="0" w:color="auto"/>
            <w:left w:val="none" w:sz="0" w:space="0" w:color="auto"/>
            <w:bottom w:val="none" w:sz="0" w:space="0" w:color="auto"/>
            <w:right w:val="none" w:sz="0" w:space="0" w:color="auto"/>
          </w:divBdr>
        </w:div>
        <w:div w:id="1560702644">
          <w:marLeft w:val="0"/>
          <w:marRight w:val="0"/>
          <w:marTop w:val="0"/>
          <w:marBottom w:val="0"/>
          <w:divBdr>
            <w:top w:val="none" w:sz="0" w:space="0" w:color="auto"/>
            <w:left w:val="none" w:sz="0" w:space="0" w:color="auto"/>
            <w:bottom w:val="none" w:sz="0" w:space="0" w:color="auto"/>
            <w:right w:val="none" w:sz="0" w:space="0" w:color="auto"/>
          </w:divBdr>
        </w:div>
        <w:div w:id="1566456115">
          <w:marLeft w:val="0"/>
          <w:marRight w:val="0"/>
          <w:marTop w:val="0"/>
          <w:marBottom w:val="0"/>
          <w:divBdr>
            <w:top w:val="none" w:sz="0" w:space="0" w:color="auto"/>
            <w:left w:val="none" w:sz="0" w:space="0" w:color="auto"/>
            <w:bottom w:val="none" w:sz="0" w:space="0" w:color="auto"/>
            <w:right w:val="none" w:sz="0" w:space="0" w:color="auto"/>
          </w:divBdr>
        </w:div>
        <w:div w:id="1736005227">
          <w:marLeft w:val="0"/>
          <w:marRight w:val="0"/>
          <w:marTop w:val="0"/>
          <w:marBottom w:val="0"/>
          <w:divBdr>
            <w:top w:val="none" w:sz="0" w:space="0" w:color="auto"/>
            <w:left w:val="none" w:sz="0" w:space="0" w:color="auto"/>
            <w:bottom w:val="none" w:sz="0" w:space="0" w:color="auto"/>
            <w:right w:val="none" w:sz="0" w:space="0" w:color="auto"/>
          </w:divBdr>
        </w:div>
        <w:div w:id="1803645034">
          <w:marLeft w:val="0"/>
          <w:marRight w:val="0"/>
          <w:marTop w:val="0"/>
          <w:marBottom w:val="0"/>
          <w:divBdr>
            <w:top w:val="none" w:sz="0" w:space="0" w:color="auto"/>
            <w:left w:val="none" w:sz="0" w:space="0" w:color="auto"/>
            <w:bottom w:val="none" w:sz="0" w:space="0" w:color="auto"/>
            <w:right w:val="none" w:sz="0" w:space="0" w:color="auto"/>
          </w:divBdr>
        </w:div>
        <w:div w:id="1820030379">
          <w:marLeft w:val="0"/>
          <w:marRight w:val="0"/>
          <w:marTop w:val="0"/>
          <w:marBottom w:val="0"/>
          <w:divBdr>
            <w:top w:val="none" w:sz="0" w:space="0" w:color="auto"/>
            <w:left w:val="none" w:sz="0" w:space="0" w:color="auto"/>
            <w:bottom w:val="none" w:sz="0" w:space="0" w:color="auto"/>
            <w:right w:val="none" w:sz="0" w:space="0" w:color="auto"/>
          </w:divBdr>
        </w:div>
        <w:div w:id="1848248243">
          <w:marLeft w:val="0"/>
          <w:marRight w:val="0"/>
          <w:marTop w:val="0"/>
          <w:marBottom w:val="0"/>
          <w:divBdr>
            <w:top w:val="none" w:sz="0" w:space="0" w:color="auto"/>
            <w:left w:val="none" w:sz="0" w:space="0" w:color="auto"/>
            <w:bottom w:val="none" w:sz="0" w:space="0" w:color="auto"/>
            <w:right w:val="none" w:sz="0" w:space="0" w:color="auto"/>
          </w:divBdr>
        </w:div>
        <w:div w:id="1949923525">
          <w:marLeft w:val="0"/>
          <w:marRight w:val="0"/>
          <w:marTop w:val="0"/>
          <w:marBottom w:val="0"/>
          <w:divBdr>
            <w:top w:val="none" w:sz="0" w:space="0" w:color="auto"/>
            <w:left w:val="none" w:sz="0" w:space="0" w:color="auto"/>
            <w:bottom w:val="none" w:sz="0" w:space="0" w:color="auto"/>
            <w:right w:val="none" w:sz="0" w:space="0" w:color="auto"/>
          </w:divBdr>
        </w:div>
      </w:divsChild>
    </w:div>
    <w:div w:id="272447053">
      <w:bodyDiv w:val="1"/>
      <w:marLeft w:val="0"/>
      <w:marRight w:val="0"/>
      <w:marTop w:val="0"/>
      <w:marBottom w:val="0"/>
      <w:divBdr>
        <w:top w:val="none" w:sz="0" w:space="0" w:color="auto"/>
        <w:left w:val="none" w:sz="0" w:space="0" w:color="auto"/>
        <w:bottom w:val="none" w:sz="0" w:space="0" w:color="auto"/>
        <w:right w:val="none" w:sz="0" w:space="0" w:color="auto"/>
      </w:divBdr>
      <w:divsChild>
        <w:div w:id="258877679">
          <w:marLeft w:val="0"/>
          <w:marRight w:val="0"/>
          <w:marTop w:val="0"/>
          <w:marBottom w:val="0"/>
          <w:divBdr>
            <w:top w:val="none" w:sz="0" w:space="0" w:color="auto"/>
            <w:left w:val="none" w:sz="0" w:space="0" w:color="auto"/>
            <w:bottom w:val="none" w:sz="0" w:space="0" w:color="auto"/>
            <w:right w:val="none" w:sz="0" w:space="0" w:color="auto"/>
          </w:divBdr>
          <w:divsChild>
            <w:div w:id="826946437">
              <w:marLeft w:val="0"/>
              <w:marRight w:val="0"/>
              <w:marTop w:val="0"/>
              <w:marBottom w:val="0"/>
              <w:divBdr>
                <w:top w:val="none" w:sz="0" w:space="0" w:color="auto"/>
                <w:left w:val="none" w:sz="0" w:space="0" w:color="auto"/>
                <w:bottom w:val="none" w:sz="0" w:space="0" w:color="auto"/>
                <w:right w:val="none" w:sz="0" w:space="0" w:color="auto"/>
              </w:divBdr>
            </w:div>
          </w:divsChild>
        </w:div>
        <w:div w:id="414664607">
          <w:marLeft w:val="0"/>
          <w:marRight w:val="0"/>
          <w:marTop w:val="0"/>
          <w:marBottom w:val="0"/>
          <w:divBdr>
            <w:top w:val="none" w:sz="0" w:space="0" w:color="auto"/>
            <w:left w:val="none" w:sz="0" w:space="0" w:color="auto"/>
            <w:bottom w:val="none" w:sz="0" w:space="0" w:color="auto"/>
            <w:right w:val="none" w:sz="0" w:space="0" w:color="auto"/>
          </w:divBdr>
          <w:divsChild>
            <w:div w:id="358548387">
              <w:marLeft w:val="0"/>
              <w:marRight w:val="0"/>
              <w:marTop w:val="0"/>
              <w:marBottom w:val="0"/>
              <w:divBdr>
                <w:top w:val="none" w:sz="0" w:space="0" w:color="auto"/>
                <w:left w:val="none" w:sz="0" w:space="0" w:color="auto"/>
                <w:bottom w:val="none" w:sz="0" w:space="0" w:color="auto"/>
                <w:right w:val="none" w:sz="0" w:space="0" w:color="auto"/>
              </w:divBdr>
            </w:div>
          </w:divsChild>
        </w:div>
        <w:div w:id="419253271">
          <w:marLeft w:val="0"/>
          <w:marRight w:val="0"/>
          <w:marTop w:val="0"/>
          <w:marBottom w:val="0"/>
          <w:divBdr>
            <w:top w:val="none" w:sz="0" w:space="0" w:color="auto"/>
            <w:left w:val="none" w:sz="0" w:space="0" w:color="auto"/>
            <w:bottom w:val="none" w:sz="0" w:space="0" w:color="auto"/>
            <w:right w:val="none" w:sz="0" w:space="0" w:color="auto"/>
          </w:divBdr>
          <w:divsChild>
            <w:div w:id="1991012841">
              <w:marLeft w:val="0"/>
              <w:marRight w:val="0"/>
              <w:marTop w:val="0"/>
              <w:marBottom w:val="0"/>
              <w:divBdr>
                <w:top w:val="none" w:sz="0" w:space="0" w:color="auto"/>
                <w:left w:val="none" w:sz="0" w:space="0" w:color="auto"/>
                <w:bottom w:val="none" w:sz="0" w:space="0" w:color="auto"/>
                <w:right w:val="none" w:sz="0" w:space="0" w:color="auto"/>
              </w:divBdr>
            </w:div>
          </w:divsChild>
        </w:div>
        <w:div w:id="873230274">
          <w:marLeft w:val="0"/>
          <w:marRight w:val="0"/>
          <w:marTop w:val="0"/>
          <w:marBottom w:val="0"/>
          <w:divBdr>
            <w:top w:val="none" w:sz="0" w:space="0" w:color="auto"/>
            <w:left w:val="none" w:sz="0" w:space="0" w:color="auto"/>
            <w:bottom w:val="none" w:sz="0" w:space="0" w:color="auto"/>
            <w:right w:val="none" w:sz="0" w:space="0" w:color="auto"/>
          </w:divBdr>
          <w:divsChild>
            <w:div w:id="922490956">
              <w:marLeft w:val="0"/>
              <w:marRight w:val="0"/>
              <w:marTop w:val="0"/>
              <w:marBottom w:val="0"/>
              <w:divBdr>
                <w:top w:val="none" w:sz="0" w:space="0" w:color="auto"/>
                <w:left w:val="none" w:sz="0" w:space="0" w:color="auto"/>
                <w:bottom w:val="none" w:sz="0" w:space="0" w:color="auto"/>
                <w:right w:val="none" w:sz="0" w:space="0" w:color="auto"/>
              </w:divBdr>
            </w:div>
          </w:divsChild>
        </w:div>
        <w:div w:id="962619719">
          <w:marLeft w:val="0"/>
          <w:marRight w:val="0"/>
          <w:marTop w:val="0"/>
          <w:marBottom w:val="0"/>
          <w:divBdr>
            <w:top w:val="none" w:sz="0" w:space="0" w:color="auto"/>
            <w:left w:val="none" w:sz="0" w:space="0" w:color="auto"/>
            <w:bottom w:val="none" w:sz="0" w:space="0" w:color="auto"/>
            <w:right w:val="none" w:sz="0" w:space="0" w:color="auto"/>
          </w:divBdr>
          <w:divsChild>
            <w:div w:id="1677271004">
              <w:marLeft w:val="0"/>
              <w:marRight w:val="0"/>
              <w:marTop w:val="0"/>
              <w:marBottom w:val="0"/>
              <w:divBdr>
                <w:top w:val="none" w:sz="0" w:space="0" w:color="auto"/>
                <w:left w:val="none" w:sz="0" w:space="0" w:color="auto"/>
                <w:bottom w:val="none" w:sz="0" w:space="0" w:color="auto"/>
                <w:right w:val="none" w:sz="0" w:space="0" w:color="auto"/>
              </w:divBdr>
            </w:div>
          </w:divsChild>
        </w:div>
        <w:div w:id="1575160784">
          <w:marLeft w:val="0"/>
          <w:marRight w:val="0"/>
          <w:marTop w:val="0"/>
          <w:marBottom w:val="0"/>
          <w:divBdr>
            <w:top w:val="none" w:sz="0" w:space="0" w:color="auto"/>
            <w:left w:val="none" w:sz="0" w:space="0" w:color="auto"/>
            <w:bottom w:val="none" w:sz="0" w:space="0" w:color="auto"/>
            <w:right w:val="none" w:sz="0" w:space="0" w:color="auto"/>
          </w:divBdr>
          <w:divsChild>
            <w:div w:id="446891534">
              <w:marLeft w:val="0"/>
              <w:marRight w:val="0"/>
              <w:marTop w:val="0"/>
              <w:marBottom w:val="0"/>
              <w:divBdr>
                <w:top w:val="none" w:sz="0" w:space="0" w:color="auto"/>
                <w:left w:val="none" w:sz="0" w:space="0" w:color="auto"/>
                <w:bottom w:val="none" w:sz="0" w:space="0" w:color="auto"/>
                <w:right w:val="none" w:sz="0" w:space="0" w:color="auto"/>
              </w:divBdr>
            </w:div>
          </w:divsChild>
        </w:div>
        <w:div w:id="1622688582">
          <w:marLeft w:val="0"/>
          <w:marRight w:val="0"/>
          <w:marTop w:val="0"/>
          <w:marBottom w:val="0"/>
          <w:divBdr>
            <w:top w:val="none" w:sz="0" w:space="0" w:color="auto"/>
            <w:left w:val="none" w:sz="0" w:space="0" w:color="auto"/>
            <w:bottom w:val="none" w:sz="0" w:space="0" w:color="auto"/>
            <w:right w:val="none" w:sz="0" w:space="0" w:color="auto"/>
          </w:divBdr>
          <w:divsChild>
            <w:div w:id="45182366">
              <w:marLeft w:val="0"/>
              <w:marRight w:val="0"/>
              <w:marTop w:val="0"/>
              <w:marBottom w:val="0"/>
              <w:divBdr>
                <w:top w:val="none" w:sz="0" w:space="0" w:color="auto"/>
                <w:left w:val="none" w:sz="0" w:space="0" w:color="auto"/>
                <w:bottom w:val="none" w:sz="0" w:space="0" w:color="auto"/>
                <w:right w:val="none" w:sz="0" w:space="0" w:color="auto"/>
              </w:divBdr>
            </w:div>
          </w:divsChild>
        </w:div>
        <w:div w:id="1854538015">
          <w:marLeft w:val="0"/>
          <w:marRight w:val="0"/>
          <w:marTop w:val="0"/>
          <w:marBottom w:val="0"/>
          <w:divBdr>
            <w:top w:val="none" w:sz="0" w:space="0" w:color="auto"/>
            <w:left w:val="none" w:sz="0" w:space="0" w:color="auto"/>
            <w:bottom w:val="none" w:sz="0" w:space="0" w:color="auto"/>
            <w:right w:val="none" w:sz="0" w:space="0" w:color="auto"/>
          </w:divBdr>
          <w:divsChild>
            <w:div w:id="108881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87919">
      <w:bodyDiv w:val="1"/>
      <w:marLeft w:val="0"/>
      <w:marRight w:val="0"/>
      <w:marTop w:val="0"/>
      <w:marBottom w:val="0"/>
      <w:divBdr>
        <w:top w:val="none" w:sz="0" w:space="0" w:color="auto"/>
        <w:left w:val="none" w:sz="0" w:space="0" w:color="auto"/>
        <w:bottom w:val="none" w:sz="0" w:space="0" w:color="auto"/>
        <w:right w:val="none" w:sz="0" w:space="0" w:color="auto"/>
      </w:divBdr>
    </w:div>
    <w:div w:id="331950790">
      <w:bodyDiv w:val="1"/>
      <w:marLeft w:val="0"/>
      <w:marRight w:val="0"/>
      <w:marTop w:val="0"/>
      <w:marBottom w:val="0"/>
      <w:divBdr>
        <w:top w:val="none" w:sz="0" w:space="0" w:color="auto"/>
        <w:left w:val="none" w:sz="0" w:space="0" w:color="auto"/>
        <w:bottom w:val="none" w:sz="0" w:space="0" w:color="auto"/>
        <w:right w:val="none" w:sz="0" w:space="0" w:color="auto"/>
      </w:divBdr>
    </w:div>
    <w:div w:id="345250842">
      <w:bodyDiv w:val="1"/>
      <w:marLeft w:val="0"/>
      <w:marRight w:val="0"/>
      <w:marTop w:val="0"/>
      <w:marBottom w:val="0"/>
      <w:divBdr>
        <w:top w:val="none" w:sz="0" w:space="0" w:color="auto"/>
        <w:left w:val="none" w:sz="0" w:space="0" w:color="auto"/>
        <w:bottom w:val="none" w:sz="0" w:space="0" w:color="auto"/>
        <w:right w:val="none" w:sz="0" w:space="0" w:color="auto"/>
      </w:divBdr>
    </w:div>
    <w:div w:id="406222358">
      <w:bodyDiv w:val="1"/>
      <w:marLeft w:val="0"/>
      <w:marRight w:val="0"/>
      <w:marTop w:val="0"/>
      <w:marBottom w:val="0"/>
      <w:divBdr>
        <w:top w:val="none" w:sz="0" w:space="0" w:color="auto"/>
        <w:left w:val="none" w:sz="0" w:space="0" w:color="auto"/>
        <w:bottom w:val="none" w:sz="0" w:space="0" w:color="auto"/>
        <w:right w:val="none" w:sz="0" w:space="0" w:color="auto"/>
      </w:divBdr>
    </w:div>
    <w:div w:id="470707391">
      <w:bodyDiv w:val="1"/>
      <w:marLeft w:val="0"/>
      <w:marRight w:val="0"/>
      <w:marTop w:val="0"/>
      <w:marBottom w:val="0"/>
      <w:divBdr>
        <w:top w:val="none" w:sz="0" w:space="0" w:color="auto"/>
        <w:left w:val="none" w:sz="0" w:space="0" w:color="auto"/>
        <w:bottom w:val="none" w:sz="0" w:space="0" w:color="auto"/>
        <w:right w:val="none" w:sz="0" w:space="0" w:color="auto"/>
      </w:divBdr>
    </w:div>
    <w:div w:id="536115780">
      <w:bodyDiv w:val="1"/>
      <w:marLeft w:val="0"/>
      <w:marRight w:val="0"/>
      <w:marTop w:val="0"/>
      <w:marBottom w:val="0"/>
      <w:divBdr>
        <w:top w:val="none" w:sz="0" w:space="0" w:color="auto"/>
        <w:left w:val="none" w:sz="0" w:space="0" w:color="auto"/>
        <w:bottom w:val="none" w:sz="0" w:space="0" w:color="auto"/>
        <w:right w:val="none" w:sz="0" w:space="0" w:color="auto"/>
      </w:divBdr>
      <w:divsChild>
        <w:div w:id="35471832">
          <w:marLeft w:val="0"/>
          <w:marRight w:val="0"/>
          <w:marTop w:val="0"/>
          <w:marBottom w:val="0"/>
          <w:divBdr>
            <w:top w:val="none" w:sz="0" w:space="0" w:color="auto"/>
            <w:left w:val="none" w:sz="0" w:space="0" w:color="auto"/>
            <w:bottom w:val="none" w:sz="0" w:space="0" w:color="auto"/>
            <w:right w:val="none" w:sz="0" w:space="0" w:color="auto"/>
          </w:divBdr>
        </w:div>
        <w:div w:id="1355763110">
          <w:marLeft w:val="0"/>
          <w:marRight w:val="0"/>
          <w:marTop w:val="0"/>
          <w:marBottom w:val="0"/>
          <w:divBdr>
            <w:top w:val="none" w:sz="0" w:space="0" w:color="auto"/>
            <w:left w:val="none" w:sz="0" w:space="0" w:color="auto"/>
            <w:bottom w:val="none" w:sz="0" w:space="0" w:color="auto"/>
            <w:right w:val="none" w:sz="0" w:space="0" w:color="auto"/>
          </w:divBdr>
        </w:div>
      </w:divsChild>
    </w:div>
    <w:div w:id="543718557">
      <w:bodyDiv w:val="1"/>
      <w:marLeft w:val="0"/>
      <w:marRight w:val="0"/>
      <w:marTop w:val="0"/>
      <w:marBottom w:val="0"/>
      <w:divBdr>
        <w:top w:val="none" w:sz="0" w:space="0" w:color="auto"/>
        <w:left w:val="none" w:sz="0" w:space="0" w:color="auto"/>
        <w:bottom w:val="none" w:sz="0" w:space="0" w:color="auto"/>
        <w:right w:val="none" w:sz="0" w:space="0" w:color="auto"/>
      </w:divBdr>
    </w:div>
    <w:div w:id="558325644">
      <w:bodyDiv w:val="1"/>
      <w:marLeft w:val="0"/>
      <w:marRight w:val="0"/>
      <w:marTop w:val="0"/>
      <w:marBottom w:val="0"/>
      <w:divBdr>
        <w:top w:val="none" w:sz="0" w:space="0" w:color="auto"/>
        <w:left w:val="none" w:sz="0" w:space="0" w:color="auto"/>
        <w:bottom w:val="none" w:sz="0" w:space="0" w:color="auto"/>
        <w:right w:val="none" w:sz="0" w:space="0" w:color="auto"/>
      </w:divBdr>
    </w:div>
    <w:div w:id="571308564">
      <w:bodyDiv w:val="1"/>
      <w:marLeft w:val="0"/>
      <w:marRight w:val="0"/>
      <w:marTop w:val="0"/>
      <w:marBottom w:val="0"/>
      <w:divBdr>
        <w:top w:val="none" w:sz="0" w:space="0" w:color="auto"/>
        <w:left w:val="none" w:sz="0" w:space="0" w:color="auto"/>
        <w:bottom w:val="none" w:sz="0" w:space="0" w:color="auto"/>
        <w:right w:val="none" w:sz="0" w:space="0" w:color="auto"/>
      </w:divBdr>
    </w:div>
    <w:div w:id="668337100">
      <w:bodyDiv w:val="1"/>
      <w:marLeft w:val="0"/>
      <w:marRight w:val="0"/>
      <w:marTop w:val="0"/>
      <w:marBottom w:val="0"/>
      <w:divBdr>
        <w:top w:val="none" w:sz="0" w:space="0" w:color="auto"/>
        <w:left w:val="none" w:sz="0" w:space="0" w:color="auto"/>
        <w:bottom w:val="none" w:sz="0" w:space="0" w:color="auto"/>
        <w:right w:val="none" w:sz="0" w:space="0" w:color="auto"/>
      </w:divBdr>
    </w:div>
    <w:div w:id="691609009">
      <w:bodyDiv w:val="1"/>
      <w:marLeft w:val="0"/>
      <w:marRight w:val="0"/>
      <w:marTop w:val="0"/>
      <w:marBottom w:val="0"/>
      <w:divBdr>
        <w:top w:val="none" w:sz="0" w:space="0" w:color="auto"/>
        <w:left w:val="none" w:sz="0" w:space="0" w:color="auto"/>
        <w:bottom w:val="none" w:sz="0" w:space="0" w:color="auto"/>
        <w:right w:val="none" w:sz="0" w:space="0" w:color="auto"/>
      </w:divBdr>
    </w:div>
    <w:div w:id="733814877">
      <w:bodyDiv w:val="1"/>
      <w:marLeft w:val="0"/>
      <w:marRight w:val="0"/>
      <w:marTop w:val="0"/>
      <w:marBottom w:val="0"/>
      <w:divBdr>
        <w:top w:val="none" w:sz="0" w:space="0" w:color="auto"/>
        <w:left w:val="none" w:sz="0" w:space="0" w:color="auto"/>
        <w:bottom w:val="none" w:sz="0" w:space="0" w:color="auto"/>
        <w:right w:val="none" w:sz="0" w:space="0" w:color="auto"/>
      </w:divBdr>
    </w:div>
    <w:div w:id="775976960">
      <w:bodyDiv w:val="1"/>
      <w:marLeft w:val="0"/>
      <w:marRight w:val="0"/>
      <w:marTop w:val="0"/>
      <w:marBottom w:val="0"/>
      <w:divBdr>
        <w:top w:val="none" w:sz="0" w:space="0" w:color="auto"/>
        <w:left w:val="none" w:sz="0" w:space="0" w:color="auto"/>
        <w:bottom w:val="none" w:sz="0" w:space="0" w:color="auto"/>
        <w:right w:val="none" w:sz="0" w:space="0" w:color="auto"/>
      </w:divBdr>
    </w:div>
    <w:div w:id="793986536">
      <w:bodyDiv w:val="1"/>
      <w:marLeft w:val="0"/>
      <w:marRight w:val="0"/>
      <w:marTop w:val="0"/>
      <w:marBottom w:val="0"/>
      <w:divBdr>
        <w:top w:val="none" w:sz="0" w:space="0" w:color="auto"/>
        <w:left w:val="none" w:sz="0" w:space="0" w:color="auto"/>
        <w:bottom w:val="none" w:sz="0" w:space="0" w:color="auto"/>
        <w:right w:val="none" w:sz="0" w:space="0" w:color="auto"/>
      </w:divBdr>
      <w:divsChild>
        <w:div w:id="754057729">
          <w:marLeft w:val="0"/>
          <w:marRight w:val="0"/>
          <w:marTop w:val="0"/>
          <w:marBottom w:val="0"/>
          <w:divBdr>
            <w:top w:val="none" w:sz="0" w:space="0" w:color="auto"/>
            <w:left w:val="none" w:sz="0" w:space="0" w:color="auto"/>
            <w:bottom w:val="none" w:sz="0" w:space="0" w:color="auto"/>
            <w:right w:val="none" w:sz="0" w:space="0" w:color="auto"/>
          </w:divBdr>
        </w:div>
        <w:div w:id="2037269703">
          <w:marLeft w:val="0"/>
          <w:marRight w:val="0"/>
          <w:marTop w:val="0"/>
          <w:marBottom w:val="0"/>
          <w:divBdr>
            <w:top w:val="none" w:sz="0" w:space="0" w:color="auto"/>
            <w:left w:val="none" w:sz="0" w:space="0" w:color="auto"/>
            <w:bottom w:val="none" w:sz="0" w:space="0" w:color="auto"/>
            <w:right w:val="none" w:sz="0" w:space="0" w:color="auto"/>
          </w:divBdr>
        </w:div>
      </w:divsChild>
    </w:div>
    <w:div w:id="804077976">
      <w:bodyDiv w:val="1"/>
      <w:marLeft w:val="0"/>
      <w:marRight w:val="0"/>
      <w:marTop w:val="0"/>
      <w:marBottom w:val="0"/>
      <w:divBdr>
        <w:top w:val="none" w:sz="0" w:space="0" w:color="auto"/>
        <w:left w:val="none" w:sz="0" w:space="0" w:color="auto"/>
        <w:bottom w:val="none" w:sz="0" w:space="0" w:color="auto"/>
        <w:right w:val="none" w:sz="0" w:space="0" w:color="auto"/>
      </w:divBdr>
    </w:div>
    <w:div w:id="805777990">
      <w:bodyDiv w:val="1"/>
      <w:marLeft w:val="0"/>
      <w:marRight w:val="0"/>
      <w:marTop w:val="0"/>
      <w:marBottom w:val="0"/>
      <w:divBdr>
        <w:top w:val="none" w:sz="0" w:space="0" w:color="auto"/>
        <w:left w:val="none" w:sz="0" w:space="0" w:color="auto"/>
        <w:bottom w:val="none" w:sz="0" w:space="0" w:color="auto"/>
        <w:right w:val="none" w:sz="0" w:space="0" w:color="auto"/>
      </w:divBdr>
    </w:div>
    <w:div w:id="838695178">
      <w:bodyDiv w:val="1"/>
      <w:marLeft w:val="0"/>
      <w:marRight w:val="0"/>
      <w:marTop w:val="0"/>
      <w:marBottom w:val="0"/>
      <w:divBdr>
        <w:top w:val="none" w:sz="0" w:space="0" w:color="auto"/>
        <w:left w:val="none" w:sz="0" w:space="0" w:color="auto"/>
        <w:bottom w:val="none" w:sz="0" w:space="0" w:color="auto"/>
        <w:right w:val="none" w:sz="0" w:space="0" w:color="auto"/>
      </w:divBdr>
      <w:divsChild>
        <w:div w:id="481239710">
          <w:marLeft w:val="0"/>
          <w:marRight w:val="0"/>
          <w:marTop w:val="0"/>
          <w:marBottom w:val="0"/>
          <w:divBdr>
            <w:top w:val="none" w:sz="0" w:space="0" w:color="auto"/>
            <w:left w:val="none" w:sz="0" w:space="0" w:color="auto"/>
            <w:bottom w:val="none" w:sz="0" w:space="0" w:color="auto"/>
            <w:right w:val="none" w:sz="0" w:space="0" w:color="auto"/>
          </w:divBdr>
          <w:divsChild>
            <w:div w:id="1229725222">
              <w:marLeft w:val="0"/>
              <w:marRight w:val="0"/>
              <w:marTop w:val="0"/>
              <w:marBottom w:val="0"/>
              <w:divBdr>
                <w:top w:val="none" w:sz="0" w:space="0" w:color="auto"/>
                <w:left w:val="none" w:sz="0" w:space="0" w:color="auto"/>
                <w:bottom w:val="none" w:sz="0" w:space="0" w:color="auto"/>
                <w:right w:val="none" w:sz="0" w:space="0" w:color="auto"/>
              </w:divBdr>
            </w:div>
          </w:divsChild>
        </w:div>
        <w:div w:id="898443932">
          <w:marLeft w:val="0"/>
          <w:marRight w:val="0"/>
          <w:marTop w:val="0"/>
          <w:marBottom w:val="0"/>
          <w:divBdr>
            <w:top w:val="none" w:sz="0" w:space="0" w:color="auto"/>
            <w:left w:val="none" w:sz="0" w:space="0" w:color="auto"/>
            <w:bottom w:val="none" w:sz="0" w:space="0" w:color="auto"/>
            <w:right w:val="none" w:sz="0" w:space="0" w:color="auto"/>
          </w:divBdr>
          <w:divsChild>
            <w:div w:id="614825087">
              <w:marLeft w:val="0"/>
              <w:marRight w:val="0"/>
              <w:marTop w:val="0"/>
              <w:marBottom w:val="0"/>
              <w:divBdr>
                <w:top w:val="none" w:sz="0" w:space="0" w:color="auto"/>
                <w:left w:val="none" w:sz="0" w:space="0" w:color="auto"/>
                <w:bottom w:val="none" w:sz="0" w:space="0" w:color="auto"/>
                <w:right w:val="none" w:sz="0" w:space="0" w:color="auto"/>
              </w:divBdr>
            </w:div>
          </w:divsChild>
        </w:div>
        <w:div w:id="900750900">
          <w:marLeft w:val="0"/>
          <w:marRight w:val="0"/>
          <w:marTop w:val="0"/>
          <w:marBottom w:val="0"/>
          <w:divBdr>
            <w:top w:val="none" w:sz="0" w:space="0" w:color="auto"/>
            <w:left w:val="none" w:sz="0" w:space="0" w:color="auto"/>
            <w:bottom w:val="none" w:sz="0" w:space="0" w:color="auto"/>
            <w:right w:val="none" w:sz="0" w:space="0" w:color="auto"/>
          </w:divBdr>
          <w:divsChild>
            <w:div w:id="1173059700">
              <w:marLeft w:val="0"/>
              <w:marRight w:val="0"/>
              <w:marTop w:val="0"/>
              <w:marBottom w:val="0"/>
              <w:divBdr>
                <w:top w:val="none" w:sz="0" w:space="0" w:color="auto"/>
                <w:left w:val="none" w:sz="0" w:space="0" w:color="auto"/>
                <w:bottom w:val="none" w:sz="0" w:space="0" w:color="auto"/>
                <w:right w:val="none" w:sz="0" w:space="0" w:color="auto"/>
              </w:divBdr>
            </w:div>
          </w:divsChild>
        </w:div>
        <w:div w:id="976297039">
          <w:marLeft w:val="0"/>
          <w:marRight w:val="0"/>
          <w:marTop w:val="0"/>
          <w:marBottom w:val="0"/>
          <w:divBdr>
            <w:top w:val="none" w:sz="0" w:space="0" w:color="auto"/>
            <w:left w:val="none" w:sz="0" w:space="0" w:color="auto"/>
            <w:bottom w:val="none" w:sz="0" w:space="0" w:color="auto"/>
            <w:right w:val="none" w:sz="0" w:space="0" w:color="auto"/>
          </w:divBdr>
          <w:divsChild>
            <w:div w:id="1515535155">
              <w:marLeft w:val="0"/>
              <w:marRight w:val="0"/>
              <w:marTop w:val="0"/>
              <w:marBottom w:val="0"/>
              <w:divBdr>
                <w:top w:val="none" w:sz="0" w:space="0" w:color="auto"/>
                <w:left w:val="none" w:sz="0" w:space="0" w:color="auto"/>
                <w:bottom w:val="none" w:sz="0" w:space="0" w:color="auto"/>
                <w:right w:val="none" w:sz="0" w:space="0" w:color="auto"/>
              </w:divBdr>
            </w:div>
          </w:divsChild>
        </w:div>
        <w:div w:id="1037970224">
          <w:marLeft w:val="0"/>
          <w:marRight w:val="0"/>
          <w:marTop w:val="0"/>
          <w:marBottom w:val="0"/>
          <w:divBdr>
            <w:top w:val="none" w:sz="0" w:space="0" w:color="auto"/>
            <w:left w:val="none" w:sz="0" w:space="0" w:color="auto"/>
            <w:bottom w:val="none" w:sz="0" w:space="0" w:color="auto"/>
            <w:right w:val="none" w:sz="0" w:space="0" w:color="auto"/>
          </w:divBdr>
          <w:divsChild>
            <w:div w:id="390036053">
              <w:marLeft w:val="0"/>
              <w:marRight w:val="0"/>
              <w:marTop w:val="0"/>
              <w:marBottom w:val="0"/>
              <w:divBdr>
                <w:top w:val="none" w:sz="0" w:space="0" w:color="auto"/>
                <w:left w:val="none" w:sz="0" w:space="0" w:color="auto"/>
                <w:bottom w:val="none" w:sz="0" w:space="0" w:color="auto"/>
                <w:right w:val="none" w:sz="0" w:space="0" w:color="auto"/>
              </w:divBdr>
            </w:div>
          </w:divsChild>
        </w:div>
        <w:div w:id="1249541868">
          <w:marLeft w:val="0"/>
          <w:marRight w:val="0"/>
          <w:marTop w:val="0"/>
          <w:marBottom w:val="0"/>
          <w:divBdr>
            <w:top w:val="none" w:sz="0" w:space="0" w:color="auto"/>
            <w:left w:val="none" w:sz="0" w:space="0" w:color="auto"/>
            <w:bottom w:val="none" w:sz="0" w:space="0" w:color="auto"/>
            <w:right w:val="none" w:sz="0" w:space="0" w:color="auto"/>
          </w:divBdr>
          <w:divsChild>
            <w:div w:id="1775054159">
              <w:marLeft w:val="0"/>
              <w:marRight w:val="0"/>
              <w:marTop w:val="0"/>
              <w:marBottom w:val="0"/>
              <w:divBdr>
                <w:top w:val="none" w:sz="0" w:space="0" w:color="auto"/>
                <w:left w:val="none" w:sz="0" w:space="0" w:color="auto"/>
                <w:bottom w:val="none" w:sz="0" w:space="0" w:color="auto"/>
                <w:right w:val="none" w:sz="0" w:space="0" w:color="auto"/>
              </w:divBdr>
            </w:div>
          </w:divsChild>
        </w:div>
        <w:div w:id="2003660063">
          <w:marLeft w:val="0"/>
          <w:marRight w:val="0"/>
          <w:marTop w:val="0"/>
          <w:marBottom w:val="0"/>
          <w:divBdr>
            <w:top w:val="none" w:sz="0" w:space="0" w:color="auto"/>
            <w:left w:val="none" w:sz="0" w:space="0" w:color="auto"/>
            <w:bottom w:val="none" w:sz="0" w:space="0" w:color="auto"/>
            <w:right w:val="none" w:sz="0" w:space="0" w:color="auto"/>
          </w:divBdr>
          <w:divsChild>
            <w:div w:id="47652672">
              <w:marLeft w:val="0"/>
              <w:marRight w:val="0"/>
              <w:marTop w:val="0"/>
              <w:marBottom w:val="0"/>
              <w:divBdr>
                <w:top w:val="none" w:sz="0" w:space="0" w:color="auto"/>
                <w:left w:val="none" w:sz="0" w:space="0" w:color="auto"/>
                <w:bottom w:val="none" w:sz="0" w:space="0" w:color="auto"/>
                <w:right w:val="none" w:sz="0" w:space="0" w:color="auto"/>
              </w:divBdr>
            </w:div>
          </w:divsChild>
        </w:div>
        <w:div w:id="2127456966">
          <w:marLeft w:val="0"/>
          <w:marRight w:val="0"/>
          <w:marTop w:val="0"/>
          <w:marBottom w:val="0"/>
          <w:divBdr>
            <w:top w:val="none" w:sz="0" w:space="0" w:color="auto"/>
            <w:left w:val="none" w:sz="0" w:space="0" w:color="auto"/>
            <w:bottom w:val="none" w:sz="0" w:space="0" w:color="auto"/>
            <w:right w:val="none" w:sz="0" w:space="0" w:color="auto"/>
          </w:divBdr>
          <w:divsChild>
            <w:div w:id="143000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030235">
      <w:bodyDiv w:val="1"/>
      <w:marLeft w:val="0"/>
      <w:marRight w:val="0"/>
      <w:marTop w:val="0"/>
      <w:marBottom w:val="0"/>
      <w:divBdr>
        <w:top w:val="none" w:sz="0" w:space="0" w:color="auto"/>
        <w:left w:val="none" w:sz="0" w:space="0" w:color="auto"/>
        <w:bottom w:val="none" w:sz="0" w:space="0" w:color="auto"/>
        <w:right w:val="none" w:sz="0" w:space="0" w:color="auto"/>
      </w:divBdr>
      <w:divsChild>
        <w:div w:id="46227368">
          <w:marLeft w:val="0"/>
          <w:marRight w:val="0"/>
          <w:marTop w:val="0"/>
          <w:marBottom w:val="0"/>
          <w:divBdr>
            <w:top w:val="none" w:sz="0" w:space="0" w:color="auto"/>
            <w:left w:val="none" w:sz="0" w:space="0" w:color="auto"/>
            <w:bottom w:val="none" w:sz="0" w:space="0" w:color="auto"/>
            <w:right w:val="none" w:sz="0" w:space="0" w:color="auto"/>
          </w:divBdr>
          <w:divsChild>
            <w:div w:id="1645506308">
              <w:marLeft w:val="0"/>
              <w:marRight w:val="0"/>
              <w:marTop w:val="0"/>
              <w:marBottom w:val="0"/>
              <w:divBdr>
                <w:top w:val="none" w:sz="0" w:space="0" w:color="auto"/>
                <w:left w:val="none" w:sz="0" w:space="0" w:color="auto"/>
                <w:bottom w:val="none" w:sz="0" w:space="0" w:color="auto"/>
                <w:right w:val="none" w:sz="0" w:space="0" w:color="auto"/>
              </w:divBdr>
            </w:div>
          </w:divsChild>
        </w:div>
        <w:div w:id="106895176">
          <w:marLeft w:val="0"/>
          <w:marRight w:val="0"/>
          <w:marTop w:val="0"/>
          <w:marBottom w:val="0"/>
          <w:divBdr>
            <w:top w:val="none" w:sz="0" w:space="0" w:color="auto"/>
            <w:left w:val="none" w:sz="0" w:space="0" w:color="auto"/>
            <w:bottom w:val="none" w:sz="0" w:space="0" w:color="auto"/>
            <w:right w:val="none" w:sz="0" w:space="0" w:color="auto"/>
          </w:divBdr>
          <w:divsChild>
            <w:div w:id="1312365593">
              <w:marLeft w:val="0"/>
              <w:marRight w:val="0"/>
              <w:marTop w:val="0"/>
              <w:marBottom w:val="0"/>
              <w:divBdr>
                <w:top w:val="none" w:sz="0" w:space="0" w:color="auto"/>
                <w:left w:val="none" w:sz="0" w:space="0" w:color="auto"/>
                <w:bottom w:val="none" w:sz="0" w:space="0" w:color="auto"/>
                <w:right w:val="none" w:sz="0" w:space="0" w:color="auto"/>
              </w:divBdr>
            </w:div>
          </w:divsChild>
        </w:div>
        <w:div w:id="110981037">
          <w:marLeft w:val="0"/>
          <w:marRight w:val="0"/>
          <w:marTop w:val="0"/>
          <w:marBottom w:val="0"/>
          <w:divBdr>
            <w:top w:val="none" w:sz="0" w:space="0" w:color="auto"/>
            <w:left w:val="none" w:sz="0" w:space="0" w:color="auto"/>
            <w:bottom w:val="none" w:sz="0" w:space="0" w:color="auto"/>
            <w:right w:val="none" w:sz="0" w:space="0" w:color="auto"/>
          </w:divBdr>
          <w:divsChild>
            <w:div w:id="36323359">
              <w:marLeft w:val="0"/>
              <w:marRight w:val="0"/>
              <w:marTop w:val="0"/>
              <w:marBottom w:val="0"/>
              <w:divBdr>
                <w:top w:val="none" w:sz="0" w:space="0" w:color="auto"/>
                <w:left w:val="none" w:sz="0" w:space="0" w:color="auto"/>
                <w:bottom w:val="none" w:sz="0" w:space="0" w:color="auto"/>
                <w:right w:val="none" w:sz="0" w:space="0" w:color="auto"/>
              </w:divBdr>
            </w:div>
          </w:divsChild>
        </w:div>
        <w:div w:id="249587388">
          <w:marLeft w:val="0"/>
          <w:marRight w:val="0"/>
          <w:marTop w:val="0"/>
          <w:marBottom w:val="0"/>
          <w:divBdr>
            <w:top w:val="none" w:sz="0" w:space="0" w:color="auto"/>
            <w:left w:val="none" w:sz="0" w:space="0" w:color="auto"/>
            <w:bottom w:val="none" w:sz="0" w:space="0" w:color="auto"/>
            <w:right w:val="none" w:sz="0" w:space="0" w:color="auto"/>
          </w:divBdr>
          <w:divsChild>
            <w:div w:id="957181496">
              <w:marLeft w:val="0"/>
              <w:marRight w:val="0"/>
              <w:marTop w:val="0"/>
              <w:marBottom w:val="0"/>
              <w:divBdr>
                <w:top w:val="none" w:sz="0" w:space="0" w:color="auto"/>
                <w:left w:val="none" w:sz="0" w:space="0" w:color="auto"/>
                <w:bottom w:val="none" w:sz="0" w:space="0" w:color="auto"/>
                <w:right w:val="none" w:sz="0" w:space="0" w:color="auto"/>
              </w:divBdr>
            </w:div>
          </w:divsChild>
        </w:div>
        <w:div w:id="298338478">
          <w:marLeft w:val="0"/>
          <w:marRight w:val="0"/>
          <w:marTop w:val="0"/>
          <w:marBottom w:val="0"/>
          <w:divBdr>
            <w:top w:val="none" w:sz="0" w:space="0" w:color="auto"/>
            <w:left w:val="none" w:sz="0" w:space="0" w:color="auto"/>
            <w:bottom w:val="none" w:sz="0" w:space="0" w:color="auto"/>
            <w:right w:val="none" w:sz="0" w:space="0" w:color="auto"/>
          </w:divBdr>
          <w:divsChild>
            <w:div w:id="1479878906">
              <w:marLeft w:val="0"/>
              <w:marRight w:val="0"/>
              <w:marTop w:val="0"/>
              <w:marBottom w:val="0"/>
              <w:divBdr>
                <w:top w:val="none" w:sz="0" w:space="0" w:color="auto"/>
                <w:left w:val="none" w:sz="0" w:space="0" w:color="auto"/>
                <w:bottom w:val="none" w:sz="0" w:space="0" w:color="auto"/>
                <w:right w:val="none" w:sz="0" w:space="0" w:color="auto"/>
              </w:divBdr>
            </w:div>
          </w:divsChild>
        </w:div>
        <w:div w:id="338893316">
          <w:marLeft w:val="0"/>
          <w:marRight w:val="0"/>
          <w:marTop w:val="0"/>
          <w:marBottom w:val="0"/>
          <w:divBdr>
            <w:top w:val="none" w:sz="0" w:space="0" w:color="auto"/>
            <w:left w:val="none" w:sz="0" w:space="0" w:color="auto"/>
            <w:bottom w:val="none" w:sz="0" w:space="0" w:color="auto"/>
            <w:right w:val="none" w:sz="0" w:space="0" w:color="auto"/>
          </w:divBdr>
          <w:divsChild>
            <w:div w:id="1608657566">
              <w:marLeft w:val="0"/>
              <w:marRight w:val="0"/>
              <w:marTop w:val="0"/>
              <w:marBottom w:val="0"/>
              <w:divBdr>
                <w:top w:val="none" w:sz="0" w:space="0" w:color="auto"/>
                <w:left w:val="none" w:sz="0" w:space="0" w:color="auto"/>
                <w:bottom w:val="none" w:sz="0" w:space="0" w:color="auto"/>
                <w:right w:val="none" w:sz="0" w:space="0" w:color="auto"/>
              </w:divBdr>
            </w:div>
          </w:divsChild>
        </w:div>
        <w:div w:id="359356587">
          <w:marLeft w:val="0"/>
          <w:marRight w:val="0"/>
          <w:marTop w:val="0"/>
          <w:marBottom w:val="0"/>
          <w:divBdr>
            <w:top w:val="none" w:sz="0" w:space="0" w:color="auto"/>
            <w:left w:val="none" w:sz="0" w:space="0" w:color="auto"/>
            <w:bottom w:val="none" w:sz="0" w:space="0" w:color="auto"/>
            <w:right w:val="none" w:sz="0" w:space="0" w:color="auto"/>
          </w:divBdr>
          <w:divsChild>
            <w:div w:id="1445226360">
              <w:marLeft w:val="0"/>
              <w:marRight w:val="0"/>
              <w:marTop w:val="0"/>
              <w:marBottom w:val="0"/>
              <w:divBdr>
                <w:top w:val="none" w:sz="0" w:space="0" w:color="auto"/>
                <w:left w:val="none" w:sz="0" w:space="0" w:color="auto"/>
                <w:bottom w:val="none" w:sz="0" w:space="0" w:color="auto"/>
                <w:right w:val="none" w:sz="0" w:space="0" w:color="auto"/>
              </w:divBdr>
            </w:div>
          </w:divsChild>
        </w:div>
        <w:div w:id="392581598">
          <w:marLeft w:val="0"/>
          <w:marRight w:val="0"/>
          <w:marTop w:val="0"/>
          <w:marBottom w:val="0"/>
          <w:divBdr>
            <w:top w:val="none" w:sz="0" w:space="0" w:color="auto"/>
            <w:left w:val="none" w:sz="0" w:space="0" w:color="auto"/>
            <w:bottom w:val="none" w:sz="0" w:space="0" w:color="auto"/>
            <w:right w:val="none" w:sz="0" w:space="0" w:color="auto"/>
          </w:divBdr>
          <w:divsChild>
            <w:div w:id="324433192">
              <w:marLeft w:val="0"/>
              <w:marRight w:val="0"/>
              <w:marTop w:val="0"/>
              <w:marBottom w:val="0"/>
              <w:divBdr>
                <w:top w:val="none" w:sz="0" w:space="0" w:color="auto"/>
                <w:left w:val="none" w:sz="0" w:space="0" w:color="auto"/>
                <w:bottom w:val="none" w:sz="0" w:space="0" w:color="auto"/>
                <w:right w:val="none" w:sz="0" w:space="0" w:color="auto"/>
              </w:divBdr>
            </w:div>
          </w:divsChild>
        </w:div>
        <w:div w:id="417289640">
          <w:marLeft w:val="0"/>
          <w:marRight w:val="0"/>
          <w:marTop w:val="0"/>
          <w:marBottom w:val="0"/>
          <w:divBdr>
            <w:top w:val="none" w:sz="0" w:space="0" w:color="auto"/>
            <w:left w:val="none" w:sz="0" w:space="0" w:color="auto"/>
            <w:bottom w:val="none" w:sz="0" w:space="0" w:color="auto"/>
            <w:right w:val="none" w:sz="0" w:space="0" w:color="auto"/>
          </w:divBdr>
          <w:divsChild>
            <w:div w:id="497384320">
              <w:marLeft w:val="0"/>
              <w:marRight w:val="0"/>
              <w:marTop w:val="0"/>
              <w:marBottom w:val="0"/>
              <w:divBdr>
                <w:top w:val="none" w:sz="0" w:space="0" w:color="auto"/>
                <w:left w:val="none" w:sz="0" w:space="0" w:color="auto"/>
                <w:bottom w:val="none" w:sz="0" w:space="0" w:color="auto"/>
                <w:right w:val="none" w:sz="0" w:space="0" w:color="auto"/>
              </w:divBdr>
            </w:div>
          </w:divsChild>
        </w:div>
        <w:div w:id="533426065">
          <w:marLeft w:val="0"/>
          <w:marRight w:val="0"/>
          <w:marTop w:val="0"/>
          <w:marBottom w:val="0"/>
          <w:divBdr>
            <w:top w:val="none" w:sz="0" w:space="0" w:color="auto"/>
            <w:left w:val="none" w:sz="0" w:space="0" w:color="auto"/>
            <w:bottom w:val="none" w:sz="0" w:space="0" w:color="auto"/>
            <w:right w:val="none" w:sz="0" w:space="0" w:color="auto"/>
          </w:divBdr>
          <w:divsChild>
            <w:div w:id="998580944">
              <w:marLeft w:val="0"/>
              <w:marRight w:val="0"/>
              <w:marTop w:val="0"/>
              <w:marBottom w:val="0"/>
              <w:divBdr>
                <w:top w:val="none" w:sz="0" w:space="0" w:color="auto"/>
                <w:left w:val="none" w:sz="0" w:space="0" w:color="auto"/>
                <w:bottom w:val="none" w:sz="0" w:space="0" w:color="auto"/>
                <w:right w:val="none" w:sz="0" w:space="0" w:color="auto"/>
              </w:divBdr>
            </w:div>
          </w:divsChild>
        </w:div>
        <w:div w:id="545606119">
          <w:marLeft w:val="0"/>
          <w:marRight w:val="0"/>
          <w:marTop w:val="0"/>
          <w:marBottom w:val="0"/>
          <w:divBdr>
            <w:top w:val="none" w:sz="0" w:space="0" w:color="auto"/>
            <w:left w:val="none" w:sz="0" w:space="0" w:color="auto"/>
            <w:bottom w:val="none" w:sz="0" w:space="0" w:color="auto"/>
            <w:right w:val="none" w:sz="0" w:space="0" w:color="auto"/>
          </w:divBdr>
          <w:divsChild>
            <w:div w:id="870800338">
              <w:marLeft w:val="0"/>
              <w:marRight w:val="0"/>
              <w:marTop w:val="0"/>
              <w:marBottom w:val="0"/>
              <w:divBdr>
                <w:top w:val="none" w:sz="0" w:space="0" w:color="auto"/>
                <w:left w:val="none" w:sz="0" w:space="0" w:color="auto"/>
                <w:bottom w:val="none" w:sz="0" w:space="0" w:color="auto"/>
                <w:right w:val="none" w:sz="0" w:space="0" w:color="auto"/>
              </w:divBdr>
            </w:div>
          </w:divsChild>
        </w:div>
        <w:div w:id="557397948">
          <w:marLeft w:val="0"/>
          <w:marRight w:val="0"/>
          <w:marTop w:val="0"/>
          <w:marBottom w:val="0"/>
          <w:divBdr>
            <w:top w:val="none" w:sz="0" w:space="0" w:color="auto"/>
            <w:left w:val="none" w:sz="0" w:space="0" w:color="auto"/>
            <w:bottom w:val="none" w:sz="0" w:space="0" w:color="auto"/>
            <w:right w:val="none" w:sz="0" w:space="0" w:color="auto"/>
          </w:divBdr>
          <w:divsChild>
            <w:div w:id="1800494641">
              <w:marLeft w:val="0"/>
              <w:marRight w:val="0"/>
              <w:marTop w:val="0"/>
              <w:marBottom w:val="0"/>
              <w:divBdr>
                <w:top w:val="none" w:sz="0" w:space="0" w:color="auto"/>
                <w:left w:val="none" w:sz="0" w:space="0" w:color="auto"/>
                <w:bottom w:val="none" w:sz="0" w:space="0" w:color="auto"/>
                <w:right w:val="none" w:sz="0" w:space="0" w:color="auto"/>
              </w:divBdr>
            </w:div>
          </w:divsChild>
        </w:div>
        <w:div w:id="633295301">
          <w:marLeft w:val="0"/>
          <w:marRight w:val="0"/>
          <w:marTop w:val="0"/>
          <w:marBottom w:val="0"/>
          <w:divBdr>
            <w:top w:val="none" w:sz="0" w:space="0" w:color="auto"/>
            <w:left w:val="none" w:sz="0" w:space="0" w:color="auto"/>
            <w:bottom w:val="none" w:sz="0" w:space="0" w:color="auto"/>
            <w:right w:val="none" w:sz="0" w:space="0" w:color="auto"/>
          </w:divBdr>
          <w:divsChild>
            <w:div w:id="1090928178">
              <w:marLeft w:val="0"/>
              <w:marRight w:val="0"/>
              <w:marTop w:val="0"/>
              <w:marBottom w:val="0"/>
              <w:divBdr>
                <w:top w:val="none" w:sz="0" w:space="0" w:color="auto"/>
                <w:left w:val="none" w:sz="0" w:space="0" w:color="auto"/>
                <w:bottom w:val="none" w:sz="0" w:space="0" w:color="auto"/>
                <w:right w:val="none" w:sz="0" w:space="0" w:color="auto"/>
              </w:divBdr>
            </w:div>
          </w:divsChild>
        </w:div>
        <w:div w:id="785075409">
          <w:marLeft w:val="0"/>
          <w:marRight w:val="0"/>
          <w:marTop w:val="0"/>
          <w:marBottom w:val="0"/>
          <w:divBdr>
            <w:top w:val="none" w:sz="0" w:space="0" w:color="auto"/>
            <w:left w:val="none" w:sz="0" w:space="0" w:color="auto"/>
            <w:bottom w:val="none" w:sz="0" w:space="0" w:color="auto"/>
            <w:right w:val="none" w:sz="0" w:space="0" w:color="auto"/>
          </w:divBdr>
          <w:divsChild>
            <w:div w:id="1338577956">
              <w:marLeft w:val="0"/>
              <w:marRight w:val="0"/>
              <w:marTop w:val="0"/>
              <w:marBottom w:val="0"/>
              <w:divBdr>
                <w:top w:val="none" w:sz="0" w:space="0" w:color="auto"/>
                <w:left w:val="none" w:sz="0" w:space="0" w:color="auto"/>
                <w:bottom w:val="none" w:sz="0" w:space="0" w:color="auto"/>
                <w:right w:val="none" w:sz="0" w:space="0" w:color="auto"/>
              </w:divBdr>
            </w:div>
          </w:divsChild>
        </w:div>
        <w:div w:id="827476638">
          <w:marLeft w:val="0"/>
          <w:marRight w:val="0"/>
          <w:marTop w:val="0"/>
          <w:marBottom w:val="0"/>
          <w:divBdr>
            <w:top w:val="none" w:sz="0" w:space="0" w:color="auto"/>
            <w:left w:val="none" w:sz="0" w:space="0" w:color="auto"/>
            <w:bottom w:val="none" w:sz="0" w:space="0" w:color="auto"/>
            <w:right w:val="none" w:sz="0" w:space="0" w:color="auto"/>
          </w:divBdr>
          <w:divsChild>
            <w:div w:id="1737194763">
              <w:marLeft w:val="0"/>
              <w:marRight w:val="0"/>
              <w:marTop w:val="0"/>
              <w:marBottom w:val="0"/>
              <w:divBdr>
                <w:top w:val="none" w:sz="0" w:space="0" w:color="auto"/>
                <w:left w:val="none" w:sz="0" w:space="0" w:color="auto"/>
                <w:bottom w:val="none" w:sz="0" w:space="0" w:color="auto"/>
                <w:right w:val="none" w:sz="0" w:space="0" w:color="auto"/>
              </w:divBdr>
            </w:div>
          </w:divsChild>
        </w:div>
        <w:div w:id="903641793">
          <w:marLeft w:val="0"/>
          <w:marRight w:val="0"/>
          <w:marTop w:val="0"/>
          <w:marBottom w:val="0"/>
          <w:divBdr>
            <w:top w:val="none" w:sz="0" w:space="0" w:color="auto"/>
            <w:left w:val="none" w:sz="0" w:space="0" w:color="auto"/>
            <w:bottom w:val="none" w:sz="0" w:space="0" w:color="auto"/>
            <w:right w:val="none" w:sz="0" w:space="0" w:color="auto"/>
          </w:divBdr>
          <w:divsChild>
            <w:div w:id="1391612658">
              <w:marLeft w:val="0"/>
              <w:marRight w:val="0"/>
              <w:marTop w:val="0"/>
              <w:marBottom w:val="0"/>
              <w:divBdr>
                <w:top w:val="none" w:sz="0" w:space="0" w:color="auto"/>
                <w:left w:val="none" w:sz="0" w:space="0" w:color="auto"/>
                <w:bottom w:val="none" w:sz="0" w:space="0" w:color="auto"/>
                <w:right w:val="none" w:sz="0" w:space="0" w:color="auto"/>
              </w:divBdr>
            </w:div>
          </w:divsChild>
        </w:div>
        <w:div w:id="1008094220">
          <w:marLeft w:val="0"/>
          <w:marRight w:val="0"/>
          <w:marTop w:val="0"/>
          <w:marBottom w:val="0"/>
          <w:divBdr>
            <w:top w:val="none" w:sz="0" w:space="0" w:color="auto"/>
            <w:left w:val="none" w:sz="0" w:space="0" w:color="auto"/>
            <w:bottom w:val="none" w:sz="0" w:space="0" w:color="auto"/>
            <w:right w:val="none" w:sz="0" w:space="0" w:color="auto"/>
          </w:divBdr>
          <w:divsChild>
            <w:div w:id="1918664120">
              <w:marLeft w:val="0"/>
              <w:marRight w:val="0"/>
              <w:marTop w:val="0"/>
              <w:marBottom w:val="0"/>
              <w:divBdr>
                <w:top w:val="none" w:sz="0" w:space="0" w:color="auto"/>
                <w:left w:val="none" w:sz="0" w:space="0" w:color="auto"/>
                <w:bottom w:val="none" w:sz="0" w:space="0" w:color="auto"/>
                <w:right w:val="none" w:sz="0" w:space="0" w:color="auto"/>
              </w:divBdr>
            </w:div>
          </w:divsChild>
        </w:div>
        <w:div w:id="1161700302">
          <w:marLeft w:val="0"/>
          <w:marRight w:val="0"/>
          <w:marTop w:val="0"/>
          <w:marBottom w:val="0"/>
          <w:divBdr>
            <w:top w:val="none" w:sz="0" w:space="0" w:color="auto"/>
            <w:left w:val="none" w:sz="0" w:space="0" w:color="auto"/>
            <w:bottom w:val="none" w:sz="0" w:space="0" w:color="auto"/>
            <w:right w:val="none" w:sz="0" w:space="0" w:color="auto"/>
          </w:divBdr>
          <w:divsChild>
            <w:div w:id="1096511751">
              <w:marLeft w:val="0"/>
              <w:marRight w:val="0"/>
              <w:marTop w:val="0"/>
              <w:marBottom w:val="0"/>
              <w:divBdr>
                <w:top w:val="none" w:sz="0" w:space="0" w:color="auto"/>
                <w:left w:val="none" w:sz="0" w:space="0" w:color="auto"/>
                <w:bottom w:val="none" w:sz="0" w:space="0" w:color="auto"/>
                <w:right w:val="none" w:sz="0" w:space="0" w:color="auto"/>
              </w:divBdr>
            </w:div>
          </w:divsChild>
        </w:div>
        <w:div w:id="1166632219">
          <w:marLeft w:val="0"/>
          <w:marRight w:val="0"/>
          <w:marTop w:val="0"/>
          <w:marBottom w:val="0"/>
          <w:divBdr>
            <w:top w:val="none" w:sz="0" w:space="0" w:color="auto"/>
            <w:left w:val="none" w:sz="0" w:space="0" w:color="auto"/>
            <w:bottom w:val="none" w:sz="0" w:space="0" w:color="auto"/>
            <w:right w:val="none" w:sz="0" w:space="0" w:color="auto"/>
          </w:divBdr>
          <w:divsChild>
            <w:div w:id="2067415917">
              <w:marLeft w:val="0"/>
              <w:marRight w:val="0"/>
              <w:marTop w:val="0"/>
              <w:marBottom w:val="0"/>
              <w:divBdr>
                <w:top w:val="none" w:sz="0" w:space="0" w:color="auto"/>
                <w:left w:val="none" w:sz="0" w:space="0" w:color="auto"/>
                <w:bottom w:val="none" w:sz="0" w:space="0" w:color="auto"/>
                <w:right w:val="none" w:sz="0" w:space="0" w:color="auto"/>
              </w:divBdr>
            </w:div>
          </w:divsChild>
        </w:div>
        <w:div w:id="1190291398">
          <w:marLeft w:val="0"/>
          <w:marRight w:val="0"/>
          <w:marTop w:val="0"/>
          <w:marBottom w:val="0"/>
          <w:divBdr>
            <w:top w:val="none" w:sz="0" w:space="0" w:color="auto"/>
            <w:left w:val="none" w:sz="0" w:space="0" w:color="auto"/>
            <w:bottom w:val="none" w:sz="0" w:space="0" w:color="auto"/>
            <w:right w:val="none" w:sz="0" w:space="0" w:color="auto"/>
          </w:divBdr>
          <w:divsChild>
            <w:div w:id="1290238866">
              <w:marLeft w:val="0"/>
              <w:marRight w:val="0"/>
              <w:marTop w:val="0"/>
              <w:marBottom w:val="0"/>
              <w:divBdr>
                <w:top w:val="none" w:sz="0" w:space="0" w:color="auto"/>
                <w:left w:val="none" w:sz="0" w:space="0" w:color="auto"/>
                <w:bottom w:val="none" w:sz="0" w:space="0" w:color="auto"/>
                <w:right w:val="none" w:sz="0" w:space="0" w:color="auto"/>
              </w:divBdr>
            </w:div>
          </w:divsChild>
        </w:div>
        <w:div w:id="1296369833">
          <w:marLeft w:val="0"/>
          <w:marRight w:val="0"/>
          <w:marTop w:val="0"/>
          <w:marBottom w:val="0"/>
          <w:divBdr>
            <w:top w:val="none" w:sz="0" w:space="0" w:color="auto"/>
            <w:left w:val="none" w:sz="0" w:space="0" w:color="auto"/>
            <w:bottom w:val="none" w:sz="0" w:space="0" w:color="auto"/>
            <w:right w:val="none" w:sz="0" w:space="0" w:color="auto"/>
          </w:divBdr>
          <w:divsChild>
            <w:div w:id="1246114314">
              <w:marLeft w:val="0"/>
              <w:marRight w:val="0"/>
              <w:marTop w:val="0"/>
              <w:marBottom w:val="0"/>
              <w:divBdr>
                <w:top w:val="none" w:sz="0" w:space="0" w:color="auto"/>
                <w:left w:val="none" w:sz="0" w:space="0" w:color="auto"/>
                <w:bottom w:val="none" w:sz="0" w:space="0" w:color="auto"/>
                <w:right w:val="none" w:sz="0" w:space="0" w:color="auto"/>
              </w:divBdr>
            </w:div>
          </w:divsChild>
        </w:div>
        <w:div w:id="1550261204">
          <w:marLeft w:val="0"/>
          <w:marRight w:val="0"/>
          <w:marTop w:val="0"/>
          <w:marBottom w:val="0"/>
          <w:divBdr>
            <w:top w:val="none" w:sz="0" w:space="0" w:color="auto"/>
            <w:left w:val="none" w:sz="0" w:space="0" w:color="auto"/>
            <w:bottom w:val="none" w:sz="0" w:space="0" w:color="auto"/>
            <w:right w:val="none" w:sz="0" w:space="0" w:color="auto"/>
          </w:divBdr>
          <w:divsChild>
            <w:div w:id="1761026620">
              <w:marLeft w:val="0"/>
              <w:marRight w:val="0"/>
              <w:marTop w:val="0"/>
              <w:marBottom w:val="0"/>
              <w:divBdr>
                <w:top w:val="none" w:sz="0" w:space="0" w:color="auto"/>
                <w:left w:val="none" w:sz="0" w:space="0" w:color="auto"/>
                <w:bottom w:val="none" w:sz="0" w:space="0" w:color="auto"/>
                <w:right w:val="none" w:sz="0" w:space="0" w:color="auto"/>
              </w:divBdr>
            </w:div>
          </w:divsChild>
        </w:div>
        <w:div w:id="1636135596">
          <w:marLeft w:val="0"/>
          <w:marRight w:val="0"/>
          <w:marTop w:val="0"/>
          <w:marBottom w:val="0"/>
          <w:divBdr>
            <w:top w:val="none" w:sz="0" w:space="0" w:color="auto"/>
            <w:left w:val="none" w:sz="0" w:space="0" w:color="auto"/>
            <w:bottom w:val="none" w:sz="0" w:space="0" w:color="auto"/>
            <w:right w:val="none" w:sz="0" w:space="0" w:color="auto"/>
          </w:divBdr>
          <w:divsChild>
            <w:div w:id="249395014">
              <w:marLeft w:val="0"/>
              <w:marRight w:val="0"/>
              <w:marTop w:val="0"/>
              <w:marBottom w:val="0"/>
              <w:divBdr>
                <w:top w:val="none" w:sz="0" w:space="0" w:color="auto"/>
                <w:left w:val="none" w:sz="0" w:space="0" w:color="auto"/>
                <w:bottom w:val="none" w:sz="0" w:space="0" w:color="auto"/>
                <w:right w:val="none" w:sz="0" w:space="0" w:color="auto"/>
              </w:divBdr>
            </w:div>
          </w:divsChild>
        </w:div>
        <w:div w:id="1660301591">
          <w:marLeft w:val="0"/>
          <w:marRight w:val="0"/>
          <w:marTop w:val="0"/>
          <w:marBottom w:val="0"/>
          <w:divBdr>
            <w:top w:val="none" w:sz="0" w:space="0" w:color="auto"/>
            <w:left w:val="none" w:sz="0" w:space="0" w:color="auto"/>
            <w:bottom w:val="none" w:sz="0" w:space="0" w:color="auto"/>
            <w:right w:val="none" w:sz="0" w:space="0" w:color="auto"/>
          </w:divBdr>
          <w:divsChild>
            <w:div w:id="1404569670">
              <w:marLeft w:val="0"/>
              <w:marRight w:val="0"/>
              <w:marTop w:val="0"/>
              <w:marBottom w:val="0"/>
              <w:divBdr>
                <w:top w:val="none" w:sz="0" w:space="0" w:color="auto"/>
                <w:left w:val="none" w:sz="0" w:space="0" w:color="auto"/>
                <w:bottom w:val="none" w:sz="0" w:space="0" w:color="auto"/>
                <w:right w:val="none" w:sz="0" w:space="0" w:color="auto"/>
              </w:divBdr>
            </w:div>
          </w:divsChild>
        </w:div>
        <w:div w:id="1672950284">
          <w:marLeft w:val="0"/>
          <w:marRight w:val="0"/>
          <w:marTop w:val="0"/>
          <w:marBottom w:val="0"/>
          <w:divBdr>
            <w:top w:val="none" w:sz="0" w:space="0" w:color="auto"/>
            <w:left w:val="none" w:sz="0" w:space="0" w:color="auto"/>
            <w:bottom w:val="none" w:sz="0" w:space="0" w:color="auto"/>
            <w:right w:val="none" w:sz="0" w:space="0" w:color="auto"/>
          </w:divBdr>
          <w:divsChild>
            <w:div w:id="425155359">
              <w:marLeft w:val="0"/>
              <w:marRight w:val="0"/>
              <w:marTop w:val="0"/>
              <w:marBottom w:val="0"/>
              <w:divBdr>
                <w:top w:val="none" w:sz="0" w:space="0" w:color="auto"/>
                <w:left w:val="none" w:sz="0" w:space="0" w:color="auto"/>
                <w:bottom w:val="none" w:sz="0" w:space="0" w:color="auto"/>
                <w:right w:val="none" w:sz="0" w:space="0" w:color="auto"/>
              </w:divBdr>
            </w:div>
          </w:divsChild>
        </w:div>
        <w:div w:id="1868054598">
          <w:marLeft w:val="0"/>
          <w:marRight w:val="0"/>
          <w:marTop w:val="0"/>
          <w:marBottom w:val="0"/>
          <w:divBdr>
            <w:top w:val="none" w:sz="0" w:space="0" w:color="auto"/>
            <w:left w:val="none" w:sz="0" w:space="0" w:color="auto"/>
            <w:bottom w:val="none" w:sz="0" w:space="0" w:color="auto"/>
            <w:right w:val="none" w:sz="0" w:space="0" w:color="auto"/>
          </w:divBdr>
          <w:divsChild>
            <w:div w:id="1023747514">
              <w:marLeft w:val="0"/>
              <w:marRight w:val="0"/>
              <w:marTop w:val="0"/>
              <w:marBottom w:val="0"/>
              <w:divBdr>
                <w:top w:val="none" w:sz="0" w:space="0" w:color="auto"/>
                <w:left w:val="none" w:sz="0" w:space="0" w:color="auto"/>
                <w:bottom w:val="none" w:sz="0" w:space="0" w:color="auto"/>
                <w:right w:val="none" w:sz="0" w:space="0" w:color="auto"/>
              </w:divBdr>
            </w:div>
          </w:divsChild>
        </w:div>
        <w:div w:id="1923221430">
          <w:marLeft w:val="0"/>
          <w:marRight w:val="0"/>
          <w:marTop w:val="0"/>
          <w:marBottom w:val="0"/>
          <w:divBdr>
            <w:top w:val="none" w:sz="0" w:space="0" w:color="auto"/>
            <w:left w:val="none" w:sz="0" w:space="0" w:color="auto"/>
            <w:bottom w:val="none" w:sz="0" w:space="0" w:color="auto"/>
            <w:right w:val="none" w:sz="0" w:space="0" w:color="auto"/>
          </w:divBdr>
          <w:divsChild>
            <w:div w:id="774443793">
              <w:marLeft w:val="0"/>
              <w:marRight w:val="0"/>
              <w:marTop w:val="0"/>
              <w:marBottom w:val="0"/>
              <w:divBdr>
                <w:top w:val="none" w:sz="0" w:space="0" w:color="auto"/>
                <w:left w:val="none" w:sz="0" w:space="0" w:color="auto"/>
                <w:bottom w:val="none" w:sz="0" w:space="0" w:color="auto"/>
                <w:right w:val="none" w:sz="0" w:space="0" w:color="auto"/>
              </w:divBdr>
            </w:div>
          </w:divsChild>
        </w:div>
        <w:div w:id="1947612960">
          <w:marLeft w:val="0"/>
          <w:marRight w:val="0"/>
          <w:marTop w:val="0"/>
          <w:marBottom w:val="0"/>
          <w:divBdr>
            <w:top w:val="none" w:sz="0" w:space="0" w:color="auto"/>
            <w:left w:val="none" w:sz="0" w:space="0" w:color="auto"/>
            <w:bottom w:val="none" w:sz="0" w:space="0" w:color="auto"/>
            <w:right w:val="none" w:sz="0" w:space="0" w:color="auto"/>
          </w:divBdr>
          <w:divsChild>
            <w:div w:id="1268931246">
              <w:marLeft w:val="0"/>
              <w:marRight w:val="0"/>
              <w:marTop w:val="0"/>
              <w:marBottom w:val="0"/>
              <w:divBdr>
                <w:top w:val="none" w:sz="0" w:space="0" w:color="auto"/>
                <w:left w:val="none" w:sz="0" w:space="0" w:color="auto"/>
                <w:bottom w:val="none" w:sz="0" w:space="0" w:color="auto"/>
                <w:right w:val="none" w:sz="0" w:space="0" w:color="auto"/>
              </w:divBdr>
            </w:div>
          </w:divsChild>
        </w:div>
        <w:div w:id="1947613807">
          <w:marLeft w:val="0"/>
          <w:marRight w:val="0"/>
          <w:marTop w:val="0"/>
          <w:marBottom w:val="0"/>
          <w:divBdr>
            <w:top w:val="none" w:sz="0" w:space="0" w:color="auto"/>
            <w:left w:val="none" w:sz="0" w:space="0" w:color="auto"/>
            <w:bottom w:val="none" w:sz="0" w:space="0" w:color="auto"/>
            <w:right w:val="none" w:sz="0" w:space="0" w:color="auto"/>
          </w:divBdr>
          <w:divsChild>
            <w:div w:id="482967540">
              <w:marLeft w:val="0"/>
              <w:marRight w:val="0"/>
              <w:marTop w:val="0"/>
              <w:marBottom w:val="0"/>
              <w:divBdr>
                <w:top w:val="none" w:sz="0" w:space="0" w:color="auto"/>
                <w:left w:val="none" w:sz="0" w:space="0" w:color="auto"/>
                <w:bottom w:val="none" w:sz="0" w:space="0" w:color="auto"/>
                <w:right w:val="none" w:sz="0" w:space="0" w:color="auto"/>
              </w:divBdr>
            </w:div>
          </w:divsChild>
        </w:div>
        <w:div w:id="2004312674">
          <w:marLeft w:val="0"/>
          <w:marRight w:val="0"/>
          <w:marTop w:val="0"/>
          <w:marBottom w:val="0"/>
          <w:divBdr>
            <w:top w:val="none" w:sz="0" w:space="0" w:color="auto"/>
            <w:left w:val="none" w:sz="0" w:space="0" w:color="auto"/>
            <w:bottom w:val="none" w:sz="0" w:space="0" w:color="auto"/>
            <w:right w:val="none" w:sz="0" w:space="0" w:color="auto"/>
          </w:divBdr>
          <w:divsChild>
            <w:div w:id="1373459435">
              <w:marLeft w:val="0"/>
              <w:marRight w:val="0"/>
              <w:marTop w:val="0"/>
              <w:marBottom w:val="0"/>
              <w:divBdr>
                <w:top w:val="none" w:sz="0" w:space="0" w:color="auto"/>
                <w:left w:val="none" w:sz="0" w:space="0" w:color="auto"/>
                <w:bottom w:val="none" w:sz="0" w:space="0" w:color="auto"/>
                <w:right w:val="none" w:sz="0" w:space="0" w:color="auto"/>
              </w:divBdr>
            </w:div>
          </w:divsChild>
        </w:div>
        <w:div w:id="2066103030">
          <w:marLeft w:val="0"/>
          <w:marRight w:val="0"/>
          <w:marTop w:val="0"/>
          <w:marBottom w:val="0"/>
          <w:divBdr>
            <w:top w:val="none" w:sz="0" w:space="0" w:color="auto"/>
            <w:left w:val="none" w:sz="0" w:space="0" w:color="auto"/>
            <w:bottom w:val="none" w:sz="0" w:space="0" w:color="auto"/>
            <w:right w:val="none" w:sz="0" w:space="0" w:color="auto"/>
          </w:divBdr>
          <w:divsChild>
            <w:div w:id="681706870">
              <w:marLeft w:val="0"/>
              <w:marRight w:val="0"/>
              <w:marTop w:val="0"/>
              <w:marBottom w:val="0"/>
              <w:divBdr>
                <w:top w:val="none" w:sz="0" w:space="0" w:color="auto"/>
                <w:left w:val="none" w:sz="0" w:space="0" w:color="auto"/>
                <w:bottom w:val="none" w:sz="0" w:space="0" w:color="auto"/>
                <w:right w:val="none" w:sz="0" w:space="0" w:color="auto"/>
              </w:divBdr>
            </w:div>
          </w:divsChild>
        </w:div>
        <w:div w:id="2080712739">
          <w:marLeft w:val="0"/>
          <w:marRight w:val="0"/>
          <w:marTop w:val="0"/>
          <w:marBottom w:val="0"/>
          <w:divBdr>
            <w:top w:val="none" w:sz="0" w:space="0" w:color="auto"/>
            <w:left w:val="none" w:sz="0" w:space="0" w:color="auto"/>
            <w:bottom w:val="none" w:sz="0" w:space="0" w:color="auto"/>
            <w:right w:val="none" w:sz="0" w:space="0" w:color="auto"/>
          </w:divBdr>
          <w:divsChild>
            <w:div w:id="89281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66273">
      <w:bodyDiv w:val="1"/>
      <w:marLeft w:val="0"/>
      <w:marRight w:val="0"/>
      <w:marTop w:val="0"/>
      <w:marBottom w:val="0"/>
      <w:divBdr>
        <w:top w:val="none" w:sz="0" w:space="0" w:color="auto"/>
        <w:left w:val="none" w:sz="0" w:space="0" w:color="auto"/>
        <w:bottom w:val="none" w:sz="0" w:space="0" w:color="auto"/>
        <w:right w:val="none" w:sz="0" w:space="0" w:color="auto"/>
      </w:divBdr>
      <w:divsChild>
        <w:div w:id="13457508">
          <w:marLeft w:val="0"/>
          <w:marRight w:val="0"/>
          <w:marTop w:val="0"/>
          <w:marBottom w:val="0"/>
          <w:divBdr>
            <w:top w:val="none" w:sz="0" w:space="0" w:color="auto"/>
            <w:left w:val="none" w:sz="0" w:space="0" w:color="auto"/>
            <w:bottom w:val="none" w:sz="0" w:space="0" w:color="auto"/>
            <w:right w:val="none" w:sz="0" w:space="0" w:color="auto"/>
          </w:divBdr>
          <w:divsChild>
            <w:div w:id="536816166">
              <w:marLeft w:val="0"/>
              <w:marRight w:val="0"/>
              <w:marTop w:val="0"/>
              <w:marBottom w:val="0"/>
              <w:divBdr>
                <w:top w:val="none" w:sz="0" w:space="0" w:color="auto"/>
                <w:left w:val="none" w:sz="0" w:space="0" w:color="auto"/>
                <w:bottom w:val="none" w:sz="0" w:space="0" w:color="auto"/>
                <w:right w:val="none" w:sz="0" w:space="0" w:color="auto"/>
              </w:divBdr>
            </w:div>
          </w:divsChild>
        </w:div>
        <w:div w:id="264927963">
          <w:marLeft w:val="0"/>
          <w:marRight w:val="0"/>
          <w:marTop w:val="0"/>
          <w:marBottom w:val="0"/>
          <w:divBdr>
            <w:top w:val="none" w:sz="0" w:space="0" w:color="auto"/>
            <w:left w:val="none" w:sz="0" w:space="0" w:color="auto"/>
            <w:bottom w:val="none" w:sz="0" w:space="0" w:color="auto"/>
            <w:right w:val="none" w:sz="0" w:space="0" w:color="auto"/>
          </w:divBdr>
          <w:divsChild>
            <w:div w:id="24798325">
              <w:marLeft w:val="0"/>
              <w:marRight w:val="0"/>
              <w:marTop w:val="0"/>
              <w:marBottom w:val="0"/>
              <w:divBdr>
                <w:top w:val="none" w:sz="0" w:space="0" w:color="auto"/>
                <w:left w:val="none" w:sz="0" w:space="0" w:color="auto"/>
                <w:bottom w:val="none" w:sz="0" w:space="0" w:color="auto"/>
                <w:right w:val="none" w:sz="0" w:space="0" w:color="auto"/>
              </w:divBdr>
            </w:div>
          </w:divsChild>
        </w:div>
        <w:div w:id="379482979">
          <w:marLeft w:val="0"/>
          <w:marRight w:val="0"/>
          <w:marTop w:val="0"/>
          <w:marBottom w:val="0"/>
          <w:divBdr>
            <w:top w:val="none" w:sz="0" w:space="0" w:color="auto"/>
            <w:left w:val="none" w:sz="0" w:space="0" w:color="auto"/>
            <w:bottom w:val="none" w:sz="0" w:space="0" w:color="auto"/>
            <w:right w:val="none" w:sz="0" w:space="0" w:color="auto"/>
          </w:divBdr>
          <w:divsChild>
            <w:div w:id="464153902">
              <w:marLeft w:val="0"/>
              <w:marRight w:val="0"/>
              <w:marTop w:val="0"/>
              <w:marBottom w:val="0"/>
              <w:divBdr>
                <w:top w:val="none" w:sz="0" w:space="0" w:color="auto"/>
                <w:left w:val="none" w:sz="0" w:space="0" w:color="auto"/>
                <w:bottom w:val="none" w:sz="0" w:space="0" w:color="auto"/>
                <w:right w:val="none" w:sz="0" w:space="0" w:color="auto"/>
              </w:divBdr>
            </w:div>
          </w:divsChild>
        </w:div>
        <w:div w:id="710570402">
          <w:marLeft w:val="0"/>
          <w:marRight w:val="0"/>
          <w:marTop w:val="0"/>
          <w:marBottom w:val="0"/>
          <w:divBdr>
            <w:top w:val="none" w:sz="0" w:space="0" w:color="auto"/>
            <w:left w:val="none" w:sz="0" w:space="0" w:color="auto"/>
            <w:bottom w:val="none" w:sz="0" w:space="0" w:color="auto"/>
            <w:right w:val="none" w:sz="0" w:space="0" w:color="auto"/>
          </w:divBdr>
          <w:divsChild>
            <w:div w:id="792748717">
              <w:marLeft w:val="0"/>
              <w:marRight w:val="0"/>
              <w:marTop w:val="0"/>
              <w:marBottom w:val="0"/>
              <w:divBdr>
                <w:top w:val="none" w:sz="0" w:space="0" w:color="auto"/>
                <w:left w:val="none" w:sz="0" w:space="0" w:color="auto"/>
                <w:bottom w:val="none" w:sz="0" w:space="0" w:color="auto"/>
                <w:right w:val="none" w:sz="0" w:space="0" w:color="auto"/>
              </w:divBdr>
            </w:div>
          </w:divsChild>
        </w:div>
        <w:div w:id="861168732">
          <w:marLeft w:val="0"/>
          <w:marRight w:val="0"/>
          <w:marTop w:val="0"/>
          <w:marBottom w:val="0"/>
          <w:divBdr>
            <w:top w:val="none" w:sz="0" w:space="0" w:color="auto"/>
            <w:left w:val="none" w:sz="0" w:space="0" w:color="auto"/>
            <w:bottom w:val="none" w:sz="0" w:space="0" w:color="auto"/>
            <w:right w:val="none" w:sz="0" w:space="0" w:color="auto"/>
          </w:divBdr>
          <w:divsChild>
            <w:div w:id="676275687">
              <w:marLeft w:val="0"/>
              <w:marRight w:val="0"/>
              <w:marTop w:val="0"/>
              <w:marBottom w:val="0"/>
              <w:divBdr>
                <w:top w:val="none" w:sz="0" w:space="0" w:color="auto"/>
                <w:left w:val="none" w:sz="0" w:space="0" w:color="auto"/>
                <w:bottom w:val="none" w:sz="0" w:space="0" w:color="auto"/>
                <w:right w:val="none" w:sz="0" w:space="0" w:color="auto"/>
              </w:divBdr>
            </w:div>
          </w:divsChild>
        </w:div>
        <w:div w:id="1471677538">
          <w:marLeft w:val="0"/>
          <w:marRight w:val="0"/>
          <w:marTop w:val="0"/>
          <w:marBottom w:val="0"/>
          <w:divBdr>
            <w:top w:val="none" w:sz="0" w:space="0" w:color="auto"/>
            <w:left w:val="none" w:sz="0" w:space="0" w:color="auto"/>
            <w:bottom w:val="none" w:sz="0" w:space="0" w:color="auto"/>
            <w:right w:val="none" w:sz="0" w:space="0" w:color="auto"/>
          </w:divBdr>
          <w:divsChild>
            <w:div w:id="550965411">
              <w:marLeft w:val="0"/>
              <w:marRight w:val="0"/>
              <w:marTop w:val="0"/>
              <w:marBottom w:val="0"/>
              <w:divBdr>
                <w:top w:val="none" w:sz="0" w:space="0" w:color="auto"/>
                <w:left w:val="none" w:sz="0" w:space="0" w:color="auto"/>
                <w:bottom w:val="none" w:sz="0" w:space="0" w:color="auto"/>
                <w:right w:val="none" w:sz="0" w:space="0" w:color="auto"/>
              </w:divBdr>
            </w:div>
          </w:divsChild>
        </w:div>
        <w:div w:id="1613902876">
          <w:marLeft w:val="0"/>
          <w:marRight w:val="0"/>
          <w:marTop w:val="0"/>
          <w:marBottom w:val="0"/>
          <w:divBdr>
            <w:top w:val="none" w:sz="0" w:space="0" w:color="auto"/>
            <w:left w:val="none" w:sz="0" w:space="0" w:color="auto"/>
            <w:bottom w:val="none" w:sz="0" w:space="0" w:color="auto"/>
            <w:right w:val="none" w:sz="0" w:space="0" w:color="auto"/>
          </w:divBdr>
          <w:divsChild>
            <w:div w:id="1205406103">
              <w:marLeft w:val="0"/>
              <w:marRight w:val="0"/>
              <w:marTop w:val="0"/>
              <w:marBottom w:val="0"/>
              <w:divBdr>
                <w:top w:val="none" w:sz="0" w:space="0" w:color="auto"/>
                <w:left w:val="none" w:sz="0" w:space="0" w:color="auto"/>
                <w:bottom w:val="none" w:sz="0" w:space="0" w:color="auto"/>
                <w:right w:val="none" w:sz="0" w:space="0" w:color="auto"/>
              </w:divBdr>
            </w:div>
          </w:divsChild>
        </w:div>
        <w:div w:id="1781143705">
          <w:marLeft w:val="0"/>
          <w:marRight w:val="0"/>
          <w:marTop w:val="0"/>
          <w:marBottom w:val="0"/>
          <w:divBdr>
            <w:top w:val="none" w:sz="0" w:space="0" w:color="auto"/>
            <w:left w:val="none" w:sz="0" w:space="0" w:color="auto"/>
            <w:bottom w:val="none" w:sz="0" w:space="0" w:color="auto"/>
            <w:right w:val="none" w:sz="0" w:space="0" w:color="auto"/>
          </w:divBdr>
          <w:divsChild>
            <w:div w:id="104899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28165">
      <w:bodyDiv w:val="1"/>
      <w:marLeft w:val="0"/>
      <w:marRight w:val="0"/>
      <w:marTop w:val="0"/>
      <w:marBottom w:val="0"/>
      <w:divBdr>
        <w:top w:val="none" w:sz="0" w:space="0" w:color="auto"/>
        <w:left w:val="none" w:sz="0" w:space="0" w:color="auto"/>
        <w:bottom w:val="none" w:sz="0" w:space="0" w:color="auto"/>
        <w:right w:val="none" w:sz="0" w:space="0" w:color="auto"/>
      </w:divBdr>
      <w:divsChild>
        <w:div w:id="425614854">
          <w:marLeft w:val="0"/>
          <w:marRight w:val="0"/>
          <w:marTop w:val="0"/>
          <w:marBottom w:val="0"/>
          <w:divBdr>
            <w:top w:val="none" w:sz="0" w:space="0" w:color="auto"/>
            <w:left w:val="none" w:sz="0" w:space="0" w:color="auto"/>
            <w:bottom w:val="none" w:sz="0" w:space="0" w:color="auto"/>
            <w:right w:val="none" w:sz="0" w:space="0" w:color="auto"/>
          </w:divBdr>
          <w:divsChild>
            <w:div w:id="906768695">
              <w:marLeft w:val="0"/>
              <w:marRight w:val="0"/>
              <w:marTop w:val="0"/>
              <w:marBottom w:val="0"/>
              <w:divBdr>
                <w:top w:val="none" w:sz="0" w:space="0" w:color="auto"/>
                <w:left w:val="none" w:sz="0" w:space="0" w:color="auto"/>
                <w:bottom w:val="none" w:sz="0" w:space="0" w:color="auto"/>
                <w:right w:val="none" w:sz="0" w:space="0" w:color="auto"/>
              </w:divBdr>
              <w:divsChild>
                <w:div w:id="112427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829028">
      <w:bodyDiv w:val="1"/>
      <w:marLeft w:val="0"/>
      <w:marRight w:val="0"/>
      <w:marTop w:val="0"/>
      <w:marBottom w:val="0"/>
      <w:divBdr>
        <w:top w:val="none" w:sz="0" w:space="0" w:color="auto"/>
        <w:left w:val="none" w:sz="0" w:space="0" w:color="auto"/>
        <w:bottom w:val="none" w:sz="0" w:space="0" w:color="auto"/>
        <w:right w:val="none" w:sz="0" w:space="0" w:color="auto"/>
      </w:divBdr>
    </w:div>
    <w:div w:id="1045108148">
      <w:bodyDiv w:val="1"/>
      <w:marLeft w:val="0"/>
      <w:marRight w:val="0"/>
      <w:marTop w:val="0"/>
      <w:marBottom w:val="0"/>
      <w:divBdr>
        <w:top w:val="none" w:sz="0" w:space="0" w:color="auto"/>
        <w:left w:val="none" w:sz="0" w:space="0" w:color="auto"/>
        <w:bottom w:val="none" w:sz="0" w:space="0" w:color="auto"/>
        <w:right w:val="none" w:sz="0" w:space="0" w:color="auto"/>
      </w:divBdr>
    </w:div>
    <w:div w:id="1074281194">
      <w:bodyDiv w:val="1"/>
      <w:marLeft w:val="0"/>
      <w:marRight w:val="0"/>
      <w:marTop w:val="0"/>
      <w:marBottom w:val="0"/>
      <w:divBdr>
        <w:top w:val="none" w:sz="0" w:space="0" w:color="auto"/>
        <w:left w:val="none" w:sz="0" w:space="0" w:color="auto"/>
        <w:bottom w:val="none" w:sz="0" w:space="0" w:color="auto"/>
        <w:right w:val="none" w:sz="0" w:space="0" w:color="auto"/>
      </w:divBdr>
    </w:div>
    <w:div w:id="1084494495">
      <w:bodyDiv w:val="1"/>
      <w:marLeft w:val="0"/>
      <w:marRight w:val="0"/>
      <w:marTop w:val="0"/>
      <w:marBottom w:val="0"/>
      <w:divBdr>
        <w:top w:val="none" w:sz="0" w:space="0" w:color="auto"/>
        <w:left w:val="none" w:sz="0" w:space="0" w:color="auto"/>
        <w:bottom w:val="none" w:sz="0" w:space="0" w:color="auto"/>
        <w:right w:val="none" w:sz="0" w:space="0" w:color="auto"/>
      </w:divBdr>
    </w:div>
    <w:div w:id="1091462311">
      <w:bodyDiv w:val="1"/>
      <w:marLeft w:val="0"/>
      <w:marRight w:val="0"/>
      <w:marTop w:val="0"/>
      <w:marBottom w:val="0"/>
      <w:divBdr>
        <w:top w:val="none" w:sz="0" w:space="0" w:color="auto"/>
        <w:left w:val="none" w:sz="0" w:space="0" w:color="auto"/>
        <w:bottom w:val="none" w:sz="0" w:space="0" w:color="auto"/>
        <w:right w:val="none" w:sz="0" w:space="0" w:color="auto"/>
      </w:divBdr>
    </w:div>
    <w:div w:id="1109545369">
      <w:bodyDiv w:val="1"/>
      <w:marLeft w:val="0"/>
      <w:marRight w:val="0"/>
      <w:marTop w:val="0"/>
      <w:marBottom w:val="0"/>
      <w:divBdr>
        <w:top w:val="none" w:sz="0" w:space="0" w:color="auto"/>
        <w:left w:val="none" w:sz="0" w:space="0" w:color="auto"/>
        <w:bottom w:val="none" w:sz="0" w:space="0" w:color="auto"/>
        <w:right w:val="none" w:sz="0" w:space="0" w:color="auto"/>
      </w:divBdr>
    </w:div>
    <w:div w:id="1115054093">
      <w:bodyDiv w:val="1"/>
      <w:marLeft w:val="0"/>
      <w:marRight w:val="0"/>
      <w:marTop w:val="0"/>
      <w:marBottom w:val="0"/>
      <w:divBdr>
        <w:top w:val="none" w:sz="0" w:space="0" w:color="auto"/>
        <w:left w:val="none" w:sz="0" w:space="0" w:color="auto"/>
        <w:bottom w:val="none" w:sz="0" w:space="0" w:color="auto"/>
        <w:right w:val="none" w:sz="0" w:space="0" w:color="auto"/>
      </w:divBdr>
    </w:div>
    <w:div w:id="1150556783">
      <w:bodyDiv w:val="1"/>
      <w:marLeft w:val="0"/>
      <w:marRight w:val="0"/>
      <w:marTop w:val="0"/>
      <w:marBottom w:val="0"/>
      <w:divBdr>
        <w:top w:val="none" w:sz="0" w:space="0" w:color="auto"/>
        <w:left w:val="none" w:sz="0" w:space="0" w:color="auto"/>
        <w:bottom w:val="none" w:sz="0" w:space="0" w:color="auto"/>
        <w:right w:val="none" w:sz="0" w:space="0" w:color="auto"/>
      </w:divBdr>
    </w:div>
    <w:div w:id="1161002442">
      <w:bodyDiv w:val="1"/>
      <w:marLeft w:val="0"/>
      <w:marRight w:val="0"/>
      <w:marTop w:val="0"/>
      <w:marBottom w:val="0"/>
      <w:divBdr>
        <w:top w:val="none" w:sz="0" w:space="0" w:color="auto"/>
        <w:left w:val="none" w:sz="0" w:space="0" w:color="auto"/>
        <w:bottom w:val="none" w:sz="0" w:space="0" w:color="auto"/>
        <w:right w:val="none" w:sz="0" w:space="0" w:color="auto"/>
      </w:divBdr>
    </w:div>
    <w:div w:id="1190340489">
      <w:bodyDiv w:val="1"/>
      <w:marLeft w:val="0"/>
      <w:marRight w:val="0"/>
      <w:marTop w:val="0"/>
      <w:marBottom w:val="0"/>
      <w:divBdr>
        <w:top w:val="none" w:sz="0" w:space="0" w:color="auto"/>
        <w:left w:val="none" w:sz="0" w:space="0" w:color="auto"/>
        <w:bottom w:val="none" w:sz="0" w:space="0" w:color="auto"/>
        <w:right w:val="none" w:sz="0" w:space="0" w:color="auto"/>
      </w:divBdr>
    </w:div>
    <w:div w:id="1200820840">
      <w:bodyDiv w:val="1"/>
      <w:marLeft w:val="0"/>
      <w:marRight w:val="0"/>
      <w:marTop w:val="0"/>
      <w:marBottom w:val="0"/>
      <w:divBdr>
        <w:top w:val="none" w:sz="0" w:space="0" w:color="auto"/>
        <w:left w:val="none" w:sz="0" w:space="0" w:color="auto"/>
        <w:bottom w:val="none" w:sz="0" w:space="0" w:color="auto"/>
        <w:right w:val="none" w:sz="0" w:space="0" w:color="auto"/>
      </w:divBdr>
    </w:div>
    <w:div w:id="1202206814">
      <w:bodyDiv w:val="1"/>
      <w:marLeft w:val="0"/>
      <w:marRight w:val="0"/>
      <w:marTop w:val="0"/>
      <w:marBottom w:val="0"/>
      <w:divBdr>
        <w:top w:val="none" w:sz="0" w:space="0" w:color="auto"/>
        <w:left w:val="none" w:sz="0" w:space="0" w:color="auto"/>
        <w:bottom w:val="none" w:sz="0" w:space="0" w:color="auto"/>
        <w:right w:val="none" w:sz="0" w:space="0" w:color="auto"/>
      </w:divBdr>
    </w:div>
    <w:div w:id="1242177621">
      <w:bodyDiv w:val="1"/>
      <w:marLeft w:val="0"/>
      <w:marRight w:val="0"/>
      <w:marTop w:val="0"/>
      <w:marBottom w:val="0"/>
      <w:divBdr>
        <w:top w:val="none" w:sz="0" w:space="0" w:color="auto"/>
        <w:left w:val="none" w:sz="0" w:space="0" w:color="auto"/>
        <w:bottom w:val="none" w:sz="0" w:space="0" w:color="auto"/>
        <w:right w:val="none" w:sz="0" w:space="0" w:color="auto"/>
      </w:divBdr>
    </w:div>
    <w:div w:id="1266696666">
      <w:bodyDiv w:val="1"/>
      <w:marLeft w:val="0"/>
      <w:marRight w:val="0"/>
      <w:marTop w:val="0"/>
      <w:marBottom w:val="0"/>
      <w:divBdr>
        <w:top w:val="none" w:sz="0" w:space="0" w:color="auto"/>
        <w:left w:val="none" w:sz="0" w:space="0" w:color="auto"/>
        <w:bottom w:val="none" w:sz="0" w:space="0" w:color="auto"/>
        <w:right w:val="none" w:sz="0" w:space="0" w:color="auto"/>
      </w:divBdr>
    </w:div>
    <w:div w:id="1280264056">
      <w:bodyDiv w:val="1"/>
      <w:marLeft w:val="0"/>
      <w:marRight w:val="0"/>
      <w:marTop w:val="0"/>
      <w:marBottom w:val="0"/>
      <w:divBdr>
        <w:top w:val="none" w:sz="0" w:space="0" w:color="auto"/>
        <w:left w:val="none" w:sz="0" w:space="0" w:color="auto"/>
        <w:bottom w:val="none" w:sz="0" w:space="0" w:color="auto"/>
        <w:right w:val="none" w:sz="0" w:space="0" w:color="auto"/>
      </w:divBdr>
    </w:div>
    <w:div w:id="1285115575">
      <w:bodyDiv w:val="1"/>
      <w:marLeft w:val="0"/>
      <w:marRight w:val="0"/>
      <w:marTop w:val="0"/>
      <w:marBottom w:val="0"/>
      <w:divBdr>
        <w:top w:val="none" w:sz="0" w:space="0" w:color="auto"/>
        <w:left w:val="none" w:sz="0" w:space="0" w:color="auto"/>
        <w:bottom w:val="none" w:sz="0" w:space="0" w:color="auto"/>
        <w:right w:val="none" w:sz="0" w:space="0" w:color="auto"/>
      </w:divBdr>
    </w:div>
    <w:div w:id="1303459030">
      <w:bodyDiv w:val="1"/>
      <w:marLeft w:val="0"/>
      <w:marRight w:val="0"/>
      <w:marTop w:val="0"/>
      <w:marBottom w:val="0"/>
      <w:divBdr>
        <w:top w:val="none" w:sz="0" w:space="0" w:color="auto"/>
        <w:left w:val="none" w:sz="0" w:space="0" w:color="auto"/>
        <w:bottom w:val="none" w:sz="0" w:space="0" w:color="auto"/>
        <w:right w:val="none" w:sz="0" w:space="0" w:color="auto"/>
      </w:divBdr>
    </w:div>
    <w:div w:id="1349988836">
      <w:bodyDiv w:val="1"/>
      <w:marLeft w:val="0"/>
      <w:marRight w:val="0"/>
      <w:marTop w:val="0"/>
      <w:marBottom w:val="0"/>
      <w:divBdr>
        <w:top w:val="none" w:sz="0" w:space="0" w:color="auto"/>
        <w:left w:val="none" w:sz="0" w:space="0" w:color="auto"/>
        <w:bottom w:val="none" w:sz="0" w:space="0" w:color="auto"/>
        <w:right w:val="none" w:sz="0" w:space="0" w:color="auto"/>
      </w:divBdr>
    </w:div>
    <w:div w:id="1360817729">
      <w:bodyDiv w:val="1"/>
      <w:marLeft w:val="0"/>
      <w:marRight w:val="0"/>
      <w:marTop w:val="0"/>
      <w:marBottom w:val="0"/>
      <w:divBdr>
        <w:top w:val="none" w:sz="0" w:space="0" w:color="auto"/>
        <w:left w:val="none" w:sz="0" w:space="0" w:color="auto"/>
        <w:bottom w:val="none" w:sz="0" w:space="0" w:color="auto"/>
        <w:right w:val="none" w:sz="0" w:space="0" w:color="auto"/>
      </w:divBdr>
    </w:div>
    <w:div w:id="1361593209">
      <w:bodyDiv w:val="1"/>
      <w:marLeft w:val="0"/>
      <w:marRight w:val="0"/>
      <w:marTop w:val="0"/>
      <w:marBottom w:val="0"/>
      <w:divBdr>
        <w:top w:val="none" w:sz="0" w:space="0" w:color="auto"/>
        <w:left w:val="none" w:sz="0" w:space="0" w:color="auto"/>
        <w:bottom w:val="none" w:sz="0" w:space="0" w:color="auto"/>
        <w:right w:val="none" w:sz="0" w:space="0" w:color="auto"/>
      </w:divBdr>
    </w:div>
    <w:div w:id="1426728027">
      <w:bodyDiv w:val="1"/>
      <w:marLeft w:val="0"/>
      <w:marRight w:val="0"/>
      <w:marTop w:val="0"/>
      <w:marBottom w:val="0"/>
      <w:divBdr>
        <w:top w:val="none" w:sz="0" w:space="0" w:color="auto"/>
        <w:left w:val="none" w:sz="0" w:space="0" w:color="auto"/>
        <w:bottom w:val="none" w:sz="0" w:space="0" w:color="auto"/>
        <w:right w:val="none" w:sz="0" w:space="0" w:color="auto"/>
      </w:divBdr>
    </w:div>
    <w:div w:id="1474441250">
      <w:bodyDiv w:val="1"/>
      <w:marLeft w:val="0"/>
      <w:marRight w:val="0"/>
      <w:marTop w:val="0"/>
      <w:marBottom w:val="0"/>
      <w:divBdr>
        <w:top w:val="none" w:sz="0" w:space="0" w:color="auto"/>
        <w:left w:val="none" w:sz="0" w:space="0" w:color="auto"/>
        <w:bottom w:val="none" w:sz="0" w:space="0" w:color="auto"/>
        <w:right w:val="none" w:sz="0" w:space="0" w:color="auto"/>
      </w:divBdr>
    </w:div>
    <w:div w:id="1508211335">
      <w:bodyDiv w:val="1"/>
      <w:marLeft w:val="0"/>
      <w:marRight w:val="0"/>
      <w:marTop w:val="0"/>
      <w:marBottom w:val="0"/>
      <w:divBdr>
        <w:top w:val="none" w:sz="0" w:space="0" w:color="auto"/>
        <w:left w:val="none" w:sz="0" w:space="0" w:color="auto"/>
        <w:bottom w:val="none" w:sz="0" w:space="0" w:color="auto"/>
        <w:right w:val="none" w:sz="0" w:space="0" w:color="auto"/>
      </w:divBdr>
    </w:div>
    <w:div w:id="1521166136">
      <w:bodyDiv w:val="1"/>
      <w:marLeft w:val="0"/>
      <w:marRight w:val="0"/>
      <w:marTop w:val="0"/>
      <w:marBottom w:val="0"/>
      <w:divBdr>
        <w:top w:val="none" w:sz="0" w:space="0" w:color="auto"/>
        <w:left w:val="none" w:sz="0" w:space="0" w:color="auto"/>
        <w:bottom w:val="none" w:sz="0" w:space="0" w:color="auto"/>
        <w:right w:val="none" w:sz="0" w:space="0" w:color="auto"/>
      </w:divBdr>
    </w:div>
    <w:div w:id="1534151142">
      <w:bodyDiv w:val="1"/>
      <w:marLeft w:val="0"/>
      <w:marRight w:val="0"/>
      <w:marTop w:val="0"/>
      <w:marBottom w:val="0"/>
      <w:divBdr>
        <w:top w:val="none" w:sz="0" w:space="0" w:color="auto"/>
        <w:left w:val="none" w:sz="0" w:space="0" w:color="auto"/>
        <w:bottom w:val="none" w:sz="0" w:space="0" w:color="auto"/>
        <w:right w:val="none" w:sz="0" w:space="0" w:color="auto"/>
      </w:divBdr>
    </w:div>
    <w:div w:id="1567687931">
      <w:bodyDiv w:val="1"/>
      <w:marLeft w:val="0"/>
      <w:marRight w:val="0"/>
      <w:marTop w:val="0"/>
      <w:marBottom w:val="0"/>
      <w:divBdr>
        <w:top w:val="none" w:sz="0" w:space="0" w:color="auto"/>
        <w:left w:val="none" w:sz="0" w:space="0" w:color="auto"/>
        <w:bottom w:val="none" w:sz="0" w:space="0" w:color="auto"/>
        <w:right w:val="none" w:sz="0" w:space="0" w:color="auto"/>
      </w:divBdr>
    </w:div>
    <w:div w:id="1568682335">
      <w:bodyDiv w:val="1"/>
      <w:marLeft w:val="0"/>
      <w:marRight w:val="0"/>
      <w:marTop w:val="0"/>
      <w:marBottom w:val="0"/>
      <w:divBdr>
        <w:top w:val="none" w:sz="0" w:space="0" w:color="auto"/>
        <w:left w:val="none" w:sz="0" w:space="0" w:color="auto"/>
        <w:bottom w:val="none" w:sz="0" w:space="0" w:color="auto"/>
        <w:right w:val="none" w:sz="0" w:space="0" w:color="auto"/>
      </w:divBdr>
    </w:div>
    <w:div w:id="1578054776">
      <w:bodyDiv w:val="1"/>
      <w:marLeft w:val="0"/>
      <w:marRight w:val="0"/>
      <w:marTop w:val="0"/>
      <w:marBottom w:val="0"/>
      <w:divBdr>
        <w:top w:val="none" w:sz="0" w:space="0" w:color="auto"/>
        <w:left w:val="none" w:sz="0" w:space="0" w:color="auto"/>
        <w:bottom w:val="none" w:sz="0" w:space="0" w:color="auto"/>
        <w:right w:val="none" w:sz="0" w:space="0" w:color="auto"/>
      </w:divBdr>
      <w:divsChild>
        <w:div w:id="15818173">
          <w:marLeft w:val="0"/>
          <w:marRight w:val="0"/>
          <w:marTop w:val="0"/>
          <w:marBottom w:val="0"/>
          <w:divBdr>
            <w:top w:val="none" w:sz="0" w:space="0" w:color="auto"/>
            <w:left w:val="none" w:sz="0" w:space="0" w:color="auto"/>
            <w:bottom w:val="none" w:sz="0" w:space="0" w:color="auto"/>
            <w:right w:val="none" w:sz="0" w:space="0" w:color="auto"/>
          </w:divBdr>
          <w:divsChild>
            <w:div w:id="754519434">
              <w:marLeft w:val="0"/>
              <w:marRight w:val="0"/>
              <w:marTop w:val="0"/>
              <w:marBottom w:val="0"/>
              <w:divBdr>
                <w:top w:val="none" w:sz="0" w:space="0" w:color="auto"/>
                <w:left w:val="none" w:sz="0" w:space="0" w:color="auto"/>
                <w:bottom w:val="none" w:sz="0" w:space="0" w:color="auto"/>
                <w:right w:val="none" w:sz="0" w:space="0" w:color="auto"/>
              </w:divBdr>
            </w:div>
          </w:divsChild>
        </w:div>
        <w:div w:id="181087411">
          <w:marLeft w:val="0"/>
          <w:marRight w:val="0"/>
          <w:marTop w:val="0"/>
          <w:marBottom w:val="0"/>
          <w:divBdr>
            <w:top w:val="none" w:sz="0" w:space="0" w:color="auto"/>
            <w:left w:val="none" w:sz="0" w:space="0" w:color="auto"/>
            <w:bottom w:val="none" w:sz="0" w:space="0" w:color="auto"/>
            <w:right w:val="none" w:sz="0" w:space="0" w:color="auto"/>
          </w:divBdr>
          <w:divsChild>
            <w:div w:id="2131431258">
              <w:marLeft w:val="0"/>
              <w:marRight w:val="0"/>
              <w:marTop w:val="0"/>
              <w:marBottom w:val="0"/>
              <w:divBdr>
                <w:top w:val="none" w:sz="0" w:space="0" w:color="auto"/>
                <w:left w:val="none" w:sz="0" w:space="0" w:color="auto"/>
                <w:bottom w:val="none" w:sz="0" w:space="0" w:color="auto"/>
                <w:right w:val="none" w:sz="0" w:space="0" w:color="auto"/>
              </w:divBdr>
            </w:div>
          </w:divsChild>
        </w:div>
        <w:div w:id="214587602">
          <w:marLeft w:val="0"/>
          <w:marRight w:val="0"/>
          <w:marTop w:val="0"/>
          <w:marBottom w:val="0"/>
          <w:divBdr>
            <w:top w:val="none" w:sz="0" w:space="0" w:color="auto"/>
            <w:left w:val="none" w:sz="0" w:space="0" w:color="auto"/>
            <w:bottom w:val="none" w:sz="0" w:space="0" w:color="auto"/>
            <w:right w:val="none" w:sz="0" w:space="0" w:color="auto"/>
          </w:divBdr>
          <w:divsChild>
            <w:div w:id="1351299800">
              <w:marLeft w:val="0"/>
              <w:marRight w:val="0"/>
              <w:marTop w:val="0"/>
              <w:marBottom w:val="0"/>
              <w:divBdr>
                <w:top w:val="none" w:sz="0" w:space="0" w:color="auto"/>
                <w:left w:val="none" w:sz="0" w:space="0" w:color="auto"/>
                <w:bottom w:val="none" w:sz="0" w:space="0" w:color="auto"/>
                <w:right w:val="none" w:sz="0" w:space="0" w:color="auto"/>
              </w:divBdr>
            </w:div>
          </w:divsChild>
        </w:div>
        <w:div w:id="220019508">
          <w:marLeft w:val="0"/>
          <w:marRight w:val="0"/>
          <w:marTop w:val="0"/>
          <w:marBottom w:val="0"/>
          <w:divBdr>
            <w:top w:val="none" w:sz="0" w:space="0" w:color="auto"/>
            <w:left w:val="none" w:sz="0" w:space="0" w:color="auto"/>
            <w:bottom w:val="none" w:sz="0" w:space="0" w:color="auto"/>
            <w:right w:val="none" w:sz="0" w:space="0" w:color="auto"/>
          </w:divBdr>
          <w:divsChild>
            <w:div w:id="1157526540">
              <w:marLeft w:val="0"/>
              <w:marRight w:val="0"/>
              <w:marTop w:val="0"/>
              <w:marBottom w:val="0"/>
              <w:divBdr>
                <w:top w:val="none" w:sz="0" w:space="0" w:color="auto"/>
                <w:left w:val="none" w:sz="0" w:space="0" w:color="auto"/>
                <w:bottom w:val="none" w:sz="0" w:space="0" w:color="auto"/>
                <w:right w:val="none" w:sz="0" w:space="0" w:color="auto"/>
              </w:divBdr>
            </w:div>
          </w:divsChild>
        </w:div>
        <w:div w:id="279268219">
          <w:marLeft w:val="0"/>
          <w:marRight w:val="0"/>
          <w:marTop w:val="0"/>
          <w:marBottom w:val="0"/>
          <w:divBdr>
            <w:top w:val="none" w:sz="0" w:space="0" w:color="auto"/>
            <w:left w:val="none" w:sz="0" w:space="0" w:color="auto"/>
            <w:bottom w:val="none" w:sz="0" w:space="0" w:color="auto"/>
            <w:right w:val="none" w:sz="0" w:space="0" w:color="auto"/>
          </w:divBdr>
          <w:divsChild>
            <w:div w:id="1277326655">
              <w:marLeft w:val="0"/>
              <w:marRight w:val="0"/>
              <w:marTop w:val="0"/>
              <w:marBottom w:val="0"/>
              <w:divBdr>
                <w:top w:val="none" w:sz="0" w:space="0" w:color="auto"/>
                <w:left w:val="none" w:sz="0" w:space="0" w:color="auto"/>
                <w:bottom w:val="none" w:sz="0" w:space="0" w:color="auto"/>
                <w:right w:val="none" w:sz="0" w:space="0" w:color="auto"/>
              </w:divBdr>
            </w:div>
          </w:divsChild>
        </w:div>
        <w:div w:id="533544885">
          <w:marLeft w:val="0"/>
          <w:marRight w:val="0"/>
          <w:marTop w:val="0"/>
          <w:marBottom w:val="0"/>
          <w:divBdr>
            <w:top w:val="none" w:sz="0" w:space="0" w:color="auto"/>
            <w:left w:val="none" w:sz="0" w:space="0" w:color="auto"/>
            <w:bottom w:val="none" w:sz="0" w:space="0" w:color="auto"/>
            <w:right w:val="none" w:sz="0" w:space="0" w:color="auto"/>
          </w:divBdr>
          <w:divsChild>
            <w:div w:id="415786649">
              <w:marLeft w:val="0"/>
              <w:marRight w:val="0"/>
              <w:marTop w:val="0"/>
              <w:marBottom w:val="0"/>
              <w:divBdr>
                <w:top w:val="none" w:sz="0" w:space="0" w:color="auto"/>
                <w:left w:val="none" w:sz="0" w:space="0" w:color="auto"/>
                <w:bottom w:val="none" w:sz="0" w:space="0" w:color="auto"/>
                <w:right w:val="none" w:sz="0" w:space="0" w:color="auto"/>
              </w:divBdr>
            </w:div>
          </w:divsChild>
        </w:div>
        <w:div w:id="606617554">
          <w:marLeft w:val="0"/>
          <w:marRight w:val="0"/>
          <w:marTop w:val="0"/>
          <w:marBottom w:val="0"/>
          <w:divBdr>
            <w:top w:val="none" w:sz="0" w:space="0" w:color="auto"/>
            <w:left w:val="none" w:sz="0" w:space="0" w:color="auto"/>
            <w:bottom w:val="none" w:sz="0" w:space="0" w:color="auto"/>
            <w:right w:val="none" w:sz="0" w:space="0" w:color="auto"/>
          </w:divBdr>
          <w:divsChild>
            <w:div w:id="2136411835">
              <w:marLeft w:val="0"/>
              <w:marRight w:val="0"/>
              <w:marTop w:val="0"/>
              <w:marBottom w:val="0"/>
              <w:divBdr>
                <w:top w:val="none" w:sz="0" w:space="0" w:color="auto"/>
                <w:left w:val="none" w:sz="0" w:space="0" w:color="auto"/>
                <w:bottom w:val="none" w:sz="0" w:space="0" w:color="auto"/>
                <w:right w:val="none" w:sz="0" w:space="0" w:color="auto"/>
              </w:divBdr>
            </w:div>
          </w:divsChild>
        </w:div>
        <w:div w:id="635525218">
          <w:marLeft w:val="0"/>
          <w:marRight w:val="0"/>
          <w:marTop w:val="0"/>
          <w:marBottom w:val="0"/>
          <w:divBdr>
            <w:top w:val="none" w:sz="0" w:space="0" w:color="auto"/>
            <w:left w:val="none" w:sz="0" w:space="0" w:color="auto"/>
            <w:bottom w:val="none" w:sz="0" w:space="0" w:color="auto"/>
            <w:right w:val="none" w:sz="0" w:space="0" w:color="auto"/>
          </w:divBdr>
          <w:divsChild>
            <w:div w:id="1615674310">
              <w:marLeft w:val="0"/>
              <w:marRight w:val="0"/>
              <w:marTop w:val="0"/>
              <w:marBottom w:val="0"/>
              <w:divBdr>
                <w:top w:val="none" w:sz="0" w:space="0" w:color="auto"/>
                <w:left w:val="none" w:sz="0" w:space="0" w:color="auto"/>
                <w:bottom w:val="none" w:sz="0" w:space="0" w:color="auto"/>
                <w:right w:val="none" w:sz="0" w:space="0" w:color="auto"/>
              </w:divBdr>
            </w:div>
          </w:divsChild>
        </w:div>
        <w:div w:id="637345941">
          <w:marLeft w:val="0"/>
          <w:marRight w:val="0"/>
          <w:marTop w:val="0"/>
          <w:marBottom w:val="0"/>
          <w:divBdr>
            <w:top w:val="none" w:sz="0" w:space="0" w:color="auto"/>
            <w:left w:val="none" w:sz="0" w:space="0" w:color="auto"/>
            <w:bottom w:val="none" w:sz="0" w:space="0" w:color="auto"/>
            <w:right w:val="none" w:sz="0" w:space="0" w:color="auto"/>
          </w:divBdr>
          <w:divsChild>
            <w:div w:id="106195396">
              <w:marLeft w:val="0"/>
              <w:marRight w:val="0"/>
              <w:marTop w:val="0"/>
              <w:marBottom w:val="0"/>
              <w:divBdr>
                <w:top w:val="none" w:sz="0" w:space="0" w:color="auto"/>
                <w:left w:val="none" w:sz="0" w:space="0" w:color="auto"/>
                <w:bottom w:val="none" w:sz="0" w:space="0" w:color="auto"/>
                <w:right w:val="none" w:sz="0" w:space="0" w:color="auto"/>
              </w:divBdr>
            </w:div>
          </w:divsChild>
        </w:div>
        <w:div w:id="648099539">
          <w:marLeft w:val="0"/>
          <w:marRight w:val="0"/>
          <w:marTop w:val="0"/>
          <w:marBottom w:val="0"/>
          <w:divBdr>
            <w:top w:val="none" w:sz="0" w:space="0" w:color="auto"/>
            <w:left w:val="none" w:sz="0" w:space="0" w:color="auto"/>
            <w:bottom w:val="none" w:sz="0" w:space="0" w:color="auto"/>
            <w:right w:val="none" w:sz="0" w:space="0" w:color="auto"/>
          </w:divBdr>
          <w:divsChild>
            <w:div w:id="413285041">
              <w:marLeft w:val="0"/>
              <w:marRight w:val="0"/>
              <w:marTop w:val="0"/>
              <w:marBottom w:val="0"/>
              <w:divBdr>
                <w:top w:val="none" w:sz="0" w:space="0" w:color="auto"/>
                <w:left w:val="none" w:sz="0" w:space="0" w:color="auto"/>
                <w:bottom w:val="none" w:sz="0" w:space="0" w:color="auto"/>
                <w:right w:val="none" w:sz="0" w:space="0" w:color="auto"/>
              </w:divBdr>
            </w:div>
          </w:divsChild>
        </w:div>
        <w:div w:id="668171781">
          <w:marLeft w:val="0"/>
          <w:marRight w:val="0"/>
          <w:marTop w:val="0"/>
          <w:marBottom w:val="0"/>
          <w:divBdr>
            <w:top w:val="none" w:sz="0" w:space="0" w:color="auto"/>
            <w:left w:val="none" w:sz="0" w:space="0" w:color="auto"/>
            <w:bottom w:val="none" w:sz="0" w:space="0" w:color="auto"/>
            <w:right w:val="none" w:sz="0" w:space="0" w:color="auto"/>
          </w:divBdr>
          <w:divsChild>
            <w:div w:id="1565987392">
              <w:marLeft w:val="0"/>
              <w:marRight w:val="0"/>
              <w:marTop w:val="0"/>
              <w:marBottom w:val="0"/>
              <w:divBdr>
                <w:top w:val="none" w:sz="0" w:space="0" w:color="auto"/>
                <w:left w:val="none" w:sz="0" w:space="0" w:color="auto"/>
                <w:bottom w:val="none" w:sz="0" w:space="0" w:color="auto"/>
                <w:right w:val="none" w:sz="0" w:space="0" w:color="auto"/>
              </w:divBdr>
            </w:div>
          </w:divsChild>
        </w:div>
        <w:div w:id="718169151">
          <w:marLeft w:val="0"/>
          <w:marRight w:val="0"/>
          <w:marTop w:val="0"/>
          <w:marBottom w:val="0"/>
          <w:divBdr>
            <w:top w:val="none" w:sz="0" w:space="0" w:color="auto"/>
            <w:left w:val="none" w:sz="0" w:space="0" w:color="auto"/>
            <w:bottom w:val="none" w:sz="0" w:space="0" w:color="auto"/>
            <w:right w:val="none" w:sz="0" w:space="0" w:color="auto"/>
          </w:divBdr>
          <w:divsChild>
            <w:div w:id="127478421">
              <w:marLeft w:val="0"/>
              <w:marRight w:val="0"/>
              <w:marTop w:val="0"/>
              <w:marBottom w:val="0"/>
              <w:divBdr>
                <w:top w:val="none" w:sz="0" w:space="0" w:color="auto"/>
                <w:left w:val="none" w:sz="0" w:space="0" w:color="auto"/>
                <w:bottom w:val="none" w:sz="0" w:space="0" w:color="auto"/>
                <w:right w:val="none" w:sz="0" w:space="0" w:color="auto"/>
              </w:divBdr>
            </w:div>
          </w:divsChild>
        </w:div>
        <w:div w:id="802503042">
          <w:marLeft w:val="0"/>
          <w:marRight w:val="0"/>
          <w:marTop w:val="0"/>
          <w:marBottom w:val="0"/>
          <w:divBdr>
            <w:top w:val="none" w:sz="0" w:space="0" w:color="auto"/>
            <w:left w:val="none" w:sz="0" w:space="0" w:color="auto"/>
            <w:bottom w:val="none" w:sz="0" w:space="0" w:color="auto"/>
            <w:right w:val="none" w:sz="0" w:space="0" w:color="auto"/>
          </w:divBdr>
          <w:divsChild>
            <w:div w:id="59795468">
              <w:marLeft w:val="0"/>
              <w:marRight w:val="0"/>
              <w:marTop w:val="0"/>
              <w:marBottom w:val="0"/>
              <w:divBdr>
                <w:top w:val="none" w:sz="0" w:space="0" w:color="auto"/>
                <w:left w:val="none" w:sz="0" w:space="0" w:color="auto"/>
                <w:bottom w:val="none" w:sz="0" w:space="0" w:color="auto"/>
                <w:right w:val="none" w:sz="0" w:space="0" w:color="auto"/>
              </w:divBdr>
            </w:div>
          </w:divsChild>
        </w:div>
        <w:div w:id="904922519">
          <w:marLeft w:val="0"/>
          <w:marRight w:val="0"/>
          <w:marTop w:val="0"/>
          <w:marBottom w:val="0"/>
          <w:divBdr>
            <w:top w:val="none" w:sz="0" w:space="0" w:color="auto"/>
            <w:left w:val="none" w:sz="0" w:space="0" w:color="auto"/>
            <w:bottom w:val="none" w:sz="0" w:space="0" w:color="auto"/>
            <w:right w:val="none" w:sz="0" w:space="0" w:color="auto"/>
          </w:divBdr>
          <w:divsChild>
            <w:div w:id="712078012">
              <w:marLeft w:val="0"/>
              <w:marRight w:val="0"/>
              <w:marTop w:val="0"/>
              <w:marBottom w:val="0"/>
              <w:divBdr>
                <w:top w:val="none" w:sz="0" w:space="0" w:color="auto"/>
                <w:left w:val="none" w:sz="0" w:space="0" w:color="auto"/>
                <w:bottom w:val="none" w:sz="0" w:space="0" w:color="auto"/>
                <w:right w:val="none" w:sz="0" w:space="0" w:color="auto"/>
              </w:divBdr>
            </w:div>
          </w:divsChild>
        </w:div>
        <w:div w:id="911280237">
          <w:marLeft w:val="0"/>
          <w:marRight w:val="0"/>
          <w:marTop w:val="0"/>
          <w:marBottom w:val="0"/>
          <w:divBdr>
            <w:top w:val="none" w:sz="0" w:space="0" w:color="auto"/>
            <w:left w:val="none" w:sz="0" w:space="0" w:color="auto"/>
            <w:bottom w:val="none" w:sz="0" w:space="0" w:color="auto"/>
            <w:right w:val="none" w:sz="0" w:space="0" w:color="auto"/>
          </w:divBdr>
          <w:divsChild>
            <w:div w:id="561908101">
              <w:marLeft w:val="0"/>
              <w:marRight w:val="0"/>
              <w:marTop w:val="0"/>
              <w:marBottom w:val="0"/>
              <w:divBdr>
                <w:top w:val="none" w:sz="0" w:space="0" w:color="auto"/>
                <w:left w:val="none" w:sz="0" w:space="0" w:color="auto"/>
                <w:bottom w:val="none" w:sz="0" w:space="0" w:color="auto"/>
                <w:right w:val="none" w:sz="0" w:space="0" w:color="auto"/>
              </w:divBdr>
            </w:div>
          </w:divsChild>
        </w:div>
        <w:div w:id="934702818">
          <w:marLeft w:val="0"/>
          <w:marRight w:val="0"/>
          <w:marTop w:val="0"/>
          <w:marBottom w:val="0"/>
          <w:divBdr>
            <w:top w:val="none" w:sz="0" w:space="0" w:color="auto"/>
            <w:left w:val="none" w:sz="0" w:space="0" w:color="auto"/>
            <w:bottom w:val="none" w:sz="0" w:space="0" w:color="auto"/>
            <w:right w:val="none" w:sz="0" w:space="0" w:color="auto"/>
          </w:divBdr>
          <w:divsChild>
            <w:div w:id="1602880390">
              <w:marLeft w:val="0"/>
              <w:marRight w:val="0"/>
              <w:marTop w:val="0"/>
              <w:marBottom w:val="0"/>
              <w:divBdr>
                <w:top w:val="none" w:sz="0" w:space="0" w:color="auto"/>
                <w:left w:val="none" w:sz="0" w:space="0" w:color="auto"/>
                <w:bottom w:val="none" w:sz="0" w:space="0" w:color="auto"/>
                <w:right w:val="none" w:sz="0" w:space="0" w:color="auto"/>
              </w:divBdr>
            </w:div>
          </w:divsChild>
        </w:div>
        <w:div w:id="971060822">
          <w:marLeft w:val="0"/>
          <w:marRight w:val="0"/>
          <w:marTop w:val="0"/>
          <w:marBottom w:val="0"/>
          <w:divBdr>
            <w:top w:val="none" w:sz="0" w:space="0" w:color="auto"/>
            <w:left w:val="none" w:sz="0" w:space="0" w:color="auto"/>
            <w:bottom w:val="none" w:sz="0" w:space="0" w:color="auto"/>
            <w:right w:val="none" w:sz="0" w:space="0" w:color="auto"/>
          </w:divBdr>
          <w:divsChild>
            <w:div w:id="1687636778">
              <w:marLeft w:val="0"/>
              <w:marRight w:val="0"/>
              <w:marTop w:val="0"/>
              <w:marBottom w:val="0"/>
              <w:divBdr>
                <w:top w:val="none" w:sz="0" w:space="0" w:color="auto"/>
                <w:left w:val="none" w:sz="0" w:space="0" w:color="auto"/>
                <w:bottom w:val="none" w:sz="0" w:space="0" w:color="auto"/>
                <w:right w:val="none" w:sz="0" w:space="0" w:color="auto"/>
              </w:divBdr>
            </w:div>
          </w:divsChild>
        </w:div>
        <w:div w:id="995375339">
          <w:marLeft w:val="0"/>
          <w:marRight w:val="0"/>
          <w:marTop w:val="0"/>
          <w:marBottom w:val="0"/>
          <w:divBdr>
            <w:top w:val="none" w:sz="0" w:space="0" w:color="auto"/>
            <w:left w:val="none" w:sz="0" w:space="0" w:color="auto"/>
            <w:bottom w:val="none" w:sz="0" w:space="0" w:color="auto"/>
            <w:right w:val="none" w:sz="0" w:space="0" w:color="auto"/>
          </w:divBdr>
          <w:divsChild>
            <w:div w:id="1321543814">
              <w:marLeft w:val="0"/>
              <w:marRight w:val="0"/>
              <w:marTop w:val="0"/>
              <w:marBottom w:val="0"/>
              <w:divBdr>
                <w:top w:val="none" w:sz="0" w:space="0" w:color="auto"/>
                <w:left w:val="none" w:sz="0" w:space="0" w:color="auto"/>
                <w:bottom w:val="none" w:sz="0" w:space="0" w:color="auto"/>
                <w:right w:val="none" w:sz="0" w:space="0" w:color="auto"/>
              </w:divBdr>
            </w:div>
          </w:divsChild>
        </w:div>
        <w:div w:id="1035816308">
          <w:marLeft w:val="0"/>
          <w:marRight w:val="0"/>
          <w:marTop w:val="0"/>
          <w:marBottom w:val="0"/>
          <w:divBdr>
            <w:top w:val="none" w:sz="0" w:space="0" w:color="auto"/>
            <w:left w:val="none" w:sz="0" w:space="0" w:color="auto"/>
            <w:bottom w:val="none" w:sz="0" w:space="0" w:color="auto"/>
            <w:right w:val="none" w:sz="0" w:space="0" w:color="auto"/>
          </w:divBdr>
          <w:divsChild>
            <w:div w:id="1081028706">
              <w:marLeft w:val="0"/>
              <w:marRight w:val="0"/>
              <w:marTop w:val="0"/>
              <w:marBottom w:val="0"/>
              <w:divBdr>
                <w:top w:val="none" w:sz="0" w:space="0" w:color="auto"/>
                <w:left w:val="none" w:sz="0" w:space="0" w:color="auto"/>
                <w:bottom w:val="none" w:sz="0" w:space="0" w:color="auto"/>
                <w:right w:val="none" w:sz="0" w:space="0" w:color="auto"/>
              </w:divBdr>
            </w:div>
          </w:divsChild>
        </w:div>
        <w:div w:id="1172330963">
          <w:marLeft w:val="0"/>
          <w:marRight w:val="0"/>
          <w:marTop w:val="0"/>
          <w:marBottom w:val="0"/>
          <w:divBdr>
            <w:top w:val="none" w:sz="0" w:space="0" w:color="auto"/>
            <w:left w:val="none" w:sz="0" w:space="0" w:color="auto"/>
            <w:bottom w:val="none" w:sz="0" w:space="0" w:color="auto"/>
            <w:right w:val="none" w:sz="0" w:space="0" w:color="auto"/>
          </w:divBdr>
          <w:divsChild>
            <w:div w:id="1303001911">
              <w:marLeft w:val="0"/>
              <w:marRight w:val="0"/>
              <w:marTop w:val="0"/>
              <w:marBottom w:val="0"/>
              <w:divBdr>
                <w:top w:val="none" w:sz="0" w:space="0" w:color="auto"/>
                <w:left w:val="none" w:sz="0" w:space="0" w:color="auto"/>
                <w:bottom w:val="none" w:sz="0" w:space="0" w:color="auto"/>
                <w:right w:val="none" w:sz="0" w:space="0" w:color="auto"/>
              </w:divBdr>
            </w:div>
          </w:divsChild>
        </w:div>
        <w:div w:id="1246496266">
          <w:marLeft w:val="0"/>
          <w:marRight w:val="0"/>
          <w:marTop w:val="0"/>
          <w:marBottom w:val="0"/>
          <w:divBdr>
            <w:top w:val="none" w:sz="0" w:space="0" w:color="auto"/>
            <w:left w:val="none" w:sz="0" w:space="0" w:color="auto"/>
            <w:bottom w:val="none" w:sz="0" w:space="0" w:color="auto"/>
            <w:right w:val="none" w:sz="0" w:space="0" w:color="auto"/>
          </w:divBdr>
          <w:divsChild>
            <w:div w:id="390159545">
              <w:marLeft w:val="0"/>
              <w:marRight w:val="0"/>
              <w:marTop w:val="0"/>
              <w:marBottom w:val="0"/>
              <w:divBdr>
                <w:top w:val="none" w:sz="0" w:space="0" w:color="auto"/>
                <w:left w:val="none" w:sz="0" w:space="0" w:color="auto"/>
                <w:bottom w:val="none" w:sz="0" w:space="0" w:color="auto"/>
                <w:right w:val="none" w:sz="0" w:space="0" w:color="auto"/>
              </w:divBdr>
            </w:div>
          </w:divsChild>
        </w:div>
        <w:div w:id="1351298999">
          <w:marLeft w:val="0"/>
          <w:marRight w:val="0"/>
          <w:marTop w:val="0"/>
          <w:marBottom w:val="0"/>
          <w:divBdr>
            <w:top w:val="none" w:sz="0" w:space="0" w:color="auto"/>
            <w:left w:val="none" w:sz="0" w:space="0" w:color="auto"/>
            <w:bottom w:val="none" w:sz="0" w:space="0" w:color="auto"/>
            <w:right w:val="none" w:sz="0" w:space="0" w:color="auto"/>
          </w:divBdr>
          <w:divsChild>
            <w:div w:id="32385843">
              <w:marLeft w:val="0"/>
              <w:marRight w:val="0"/>
              <w:marTop w:val="0"/>
              <w:marBottom w:val="0"/>
              <w:divBdr>
                <w:top w:val="none" w:sz="0" w:space="0" w:color="auto"/>
                <w:left w:val="none" w:sz="0" w:space="0" w:color="auto"/>
                <w:bottom w:val="none" w:sz="0" w:space="0" w:color="auto"/>
                <w:right w:val="none" w:sz="0" w:space="0" w:color="auto"/>
              </w:divBdr>
            </w:div>
          </w:divsChild>
        </w:div>
        <w:div w:id="1352729949">
          <w:marLeft w:val="0"/>
          <w:marRight w:val="0"/>
          <w:marTop w:val="0"/>
          <w:marBottom w:val="0"/>
          <w:divBdr>
            <w:top w:val="none" w:sz="0" w:space="0" w:color="auto"/>
            <w:left w:val="none" w:sz="0" w:space="0" w:color="auto"/>
            <w:bottom w:val="none" w:sz="0" w:space="0" w:color="auto"/>
            <w:right w:val="none" w:sz="0" w:space="0" w:color="auto"/>
          </w:divBdr>
          <w:divsChild>
            <w:div w:id="2043091064">
              <w:marLeft w:val="0"/>
              <w:marRight w:val="0"/>
              <w:marTop w:val="0"/>
              <w:marBottom w:val="0"/>
              <w:divBdr>
                <w:top w:val="none" w:sz="0" w:space="0" w:color="auto"/>
                <w:left w:val="none" w:sz="0" w:space="0" w:color="auto"/>
                <w:bottom w:val="none" w:sz="0" w:space="0" w:color="auto"/>
                <w:right w:val="none" w:sz="0" w:space="0" w:color="auto"/>
              </w:divBdr>
            </w:div>
          </w:divsChild>
        </w:div>
        <w:div w:id="1365518978">
          <w:marLeft w:val="0"/>
          <w:marRight w:val="0"/>
          <w:marTop w:val="0"/>
          <w:marBottom w:val="0"/>
          <w:divBdr>
            <w:top w:val="none" w:sz="0" w:space="0" w:color="auto"/>
            <w:left w:val="none" w:sz="0" w:space="0" w:color="auto"/>
            <w:bottom w:val="none" w:sz="0" w:space="0" w:color="auto"/>
            <w:right w:val="none" w:sz="0" w:space="0" w:color="auto"/>
          </w:divBdr>
          <w:divsChild>
            <w:div w:id="182550082">
              <w:marLeft w:val="0"/>
              <w:marRight w:val="0"/>
              <w:marTop w:val="0"/>
              <w:marBottom w:val="0"/>
              <w:divBdr>
                <w:top w:val="none" w:sz="0" w:space="0" w:color="auto"/>
                <w:left w:val="none" w:sz="0" w:space="0" w:color="auto"/>
                <w:bottom w:val="none" w:sz="0" w:space="0" w:color="auto"/>
                <w:right w:val="none" w:sz="0" w:space="0" w:color="auto"/>
              </w:divBdr>
            </w:div>
          </w:divsChild>
        </w:div>
        <w:div w:id="1387218572">
          <w:marLeft w:val="0"/>
          <w:marRight w:val="0"/>
          <w:marTop w:val="0"/>
          <w:marBottom w:val="0"/>
          <w:divBdr>
            <w:top w:val="none" w:sz="0" w:space="0" w:color="auto"/>
            <w:left w:val="none" w:sz="0" w:space="0" w:color="auto"/>
            <w:bottom w:val="none" w:sz="0" w:space="0" w:color="auto"/>
            <w:right w:val="none" w:sz="0" w:space="0" w:color="auto"/>
          </w:divBdr>
          <w:divsChild>
            <w:div w:id="1513303856">
              <w:marLeft w:val="0"/>
              <w:marRight w:val="0"/>
              <w:marTop w:val="0"/>
              <w:marBottom w:val="0"/>
              <w:divBdr>
                <w:top w:val="none" w:sz="0" w:space="0" w:color="auto"/>
                <w:left w:val="none" w:sz="0" w:space="0" w:color="auto"/>
                <w:bottom w:val="none" w:sz="0" w:space="0" w:color="auto"/>
                <w:right w:val="none" w:sz="0" w:space="0" w:color="auto"/>
              </w:divBdr>
            </w:div>
          </w:divsChild>
        </w:div>
        <w:div w:id="1417940907">
          <w:marLeft w:val="0"/>
          <w:marRight w:val="0"/>
          <w:marTop w:val="0"/>
          <w:marBottom w:val="0"/>
          <w:divBdr>
            <w:top w:val="none" w:sz="0" w:space="0" w:color="auto"/>
            <w:left w:val="none" w:sz="0" w:space="0" w:color="auto"/>
            <w:bottom w:val="none" w:sz="0" w:space="0" w:color="auto"/>
            <w:right w:val="none" w:sz="0" w:space="0" w:color="auto"/>
          </w:divBdr>
          <w:divsChild>
            <w:div w:id="170603692">
              <w:marLeft w:val="0"/>
              <w:marRight w:val="0"/>
              <w:marTop w:val="0"/>
              <w:marBottom w:val="0"/>
              <w:divBdr>
                <w:top w:val="none" w:sz="0" w:space="0" w:color="auto"/>
                <w:left w:val="none" w:sz="0" w:space="0" w:color="auto"/>
                <w:bottom w:val="none" w:sz="0" w:space="0" w:color="auto"/>
                <w:right w:val="none" w:sz="0" w:space="0" w:color="auto"/>
              </w:divBdr>
            </w:div>
          </w:divsChild>
        </w:div>
        <w:div w:id="1465734714">
          <w:marLeft w:val="0"/>
          <w:marRight w:val="0"/>
          <w:marTop w:val="0"/>
          <w:marBottom w:val="0"/>
          <w:divBdr>
            <w:top w:val="none" w:sz="0" w:space="0" w:color="auto"/>
            <w:left w:val="none" w:sz="0" w:space="0" w:color="auto"/>
            <w:bottom w:val="none" w:sz="0" w:space="0" w:color="auto"/>
            <w:right w:val="none" w:sz="0" w:space="0" w:color="auto"/>
          </w:divBdr>
          <w:divsChild>
            <w:div w:id="1048187917">
              <w:marLeft w:val="0"/>
              <w:marRight w:val="0"/>
              <w:marTop w:val="0"/>
              <w:marBottom w:val="0"/>
              <w:divBdr>
                <w:top w:val="none" w:sz="0" w:space="0" w:color="auto"/>
                <w:left w:val="none" w:sz="0" w:space="0" w:color="auto"/>
                <w:bottom w:val="none" w:sz="0" w:space="0" w:color="auto"/>
                <w:right w:val="none" w:sz="0" w:space="0" w:color="auto"/>
              </w:divBdr>
            </w:div>
          </w:divsChild>
        </w:div>
        <w:div w:id="1493132920">
          <w:marLeft w:val="0"/>
          <w:marRight w:val="0"/>
          <w:marTop w:val="0"/>
          <w:marBottom w:val="0"/>
          <w:divBdr>
            <w:top w:val="none" w:sz="0" w:space="0" w:color="auto"/>
            <w:left w:val="none" w:sz="0" w:space="0" w:color="auto"/>
            <w:bottom w:val="none" w:sz="0" w:space="0" w:color="auto"/>
            <w:right w:val="none" w:sz="0" w:space="0" w:color="auto"/>
          </w:divBdr>
          <w:divsChild>
            <w:div w:id="1190296163">
              <w:marLeft w:val="0"/>
              <w:marRight w:val="0"/>
              <w:marTop w:val="0"/>
              <w:marBottom w:val="0"/>
              <w:divBdr>
                <w:top w:val="none" w:sz="0" w:space="0" w:color="auto"/>
                <w:left w:val="none" w:sz="0" w:space="0" w:color="auto"/>
                <w:bottom w:val="none" w:sz="0" w:space="0" w:color="auto"/>
                <w:right w:val="none" w:sz="0" w:space="0" w:color="auto"/>
              </w:divBdr>
            </w:div>
          </w:divsChild>
        </w:div>
        <w:div w:id="1631978080">
          <w:marLeft w:val="0"/>
          <w:marRight w:val="0"/>
          <w:marTop w:val="0"/>
          <w:marBottom w:val="0"/>
          <w:divBdr>
            <w:top w:val="none" w:sz="0" w:space="0" w:color="auto"/>
            <w:left w:val="none" w:sz="0" w:space="0" w:color="auto"/>
            <w:bottom w:val="none" w:sz="0" w:space="0" w:color="auto"/>
            <w:right w:val="none" w:sz="0" w:space="0" w:color="auto"/>
          </w:divBdr>
          <w:divsChild>
            <w:div w:id="241988582">
              <w:marLeft w:val="0"/>
              <w:marRight w:val="0"/>
              <w:marTop w:val="0"/>
              <w:marBottom w:val="0"/>
              <w:divBdr>
                <w:top w:val="none" w:sz="0" w:space="0" w:color="auto"/>
                <w:left w:val="none" w:sz="0" w:space="0" w:color="auto"/>
                <w:bottom w:val="none" w:sz="0" w:space="0" w:color="auto"/>
                <w:right w:val="none" w:sz="0" w:space="0" w:color="auto"/>
              </w:divBdr>
            </w:div>
          </w:divsChild>
        </w:div>
        <w:div w:id="1853454398">
          <w:marLeft w:val="0"/>
          <w:marRight w:val="0"/>
          <w:marTop w:val="0"/>
          <w:marBottom w:val="0"/>
          <w:divBdr>
            <w:top w:val="none" w:sz="0" w:space="0" w:color="auto"/>
            <w:left w:val="none" w:sz="0" w:space="0" w:color="auto"/>
            <w:bottom w:val="none" w:sz="0" w:space="0" w:color="auto"/>
            <w:right w:val="none" w:sz="0" w:space="0" w:color="auto"/>
          </w:divBdr>
          <w:divsChild>
            <w:div w:id="896475658">
              <w:marLeft w:val="0"/>
              <w:marRight w:val="0"/>
              <w:marTop w:val="0"/>
              <w:marBottom w:val="0"/>
              <w:divBdr>
                <w:top w:val="none" w:sz="0" w:space="0" w:color="auto"/>
                <w:left w:val="none" w:sz="0" w:space="0" w:color="auto"/>
                <w:bottom w:val="none" w:sz="0" w:space="0" w:color="auto"/>
                <w:right w:val="none" w:sz="0" w:space="0" w:color="auto"/>
              </w:divBdr>
            </w:div>
          </w:divsChild>
        </w:div>
        <w:div w:id="2066222815">
          <w:marLeft w:val="0"/>
          <w:marRight w:val="0"/>
          <w:marTop w:val="0"/>
          <w:marBottom w:val="0"/>
          <w:divBdr>
            <w:top w:val="none" w:sz="0" w:space="0" w:color="auto"/>
            <w:left w:val="none" w:sz="0" w:space="0" w:color="auto"/>
            <w:bottom w:val="none" w:sz="0" w:space="0" w:color="auto"/>
            <w:right w:val="none" w:sz="0" w:space="0" w:color="auto"/>
          </w:divBdr>
          <w:divsChild>
            <w:div w:id="431171193">
              <w:marLeft w:val="0"/>
              <w:marRight w:val="0"/>
              <w:marTop w:val="0"/>
              <w:marBottom w:val="0"/>
              <w:divBdr>
                <w:top w:val="none" w:sz="0" w:space="0" w:color="auto"/>
                <w:left w:val="none" w:sz="0" w:space="0" w:color="auto"/>
                <w:bottom w:val="none" w:sz="0" w:space="0" w:color="auto"/>
                <w:right w:val="none" w:sz="0" w:space="0" w:color="auto"/>
              </w:divBdr>
            </w:div>
          </w:divsChild>
        </w:div>
        <w:div w:id="2085292972">
          <w:marLeft w:val="0"/>
          <w:marRight w:val="0"/>
          <w:marTop w:val="0"/>
          <w:marBottom w:val="0"/>
          <w:divBdr>
            <w:top w:val="none" w:sz="0" w:space="0" w:color="auto"/>
            <w:left w:val="none" w:sz="0" w:space="0" w:color="auto"/>
            <w:bottom w:val="none" w:sz="0" w:space="0" w:color="auto"/>
            <w:right w:val="none" w:sz="0" w:space="0" w:color="auto"/>
          </w:divBdr>
          <w:divsChild>
            <w:div w:id="110896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5395">
      <w:bodyDiv w:val="1"/>
      <w:marLeft w:val="0"/>
      <w:marRight w:val="0"/>
      <w:marTop w:val="0"/>
      <w:marBottom w:val="0"/>
      <w:divBdr>
        <w:top w:val="none" w:sz="0" w:space="0" w:color="auto"/>
        <w:left w:val="none" w:sz="0" w:space="0" w:color="auto"/>
        <w:bottom w:val="none" w:sz="0" w:space="0" w:color="auto"/>
        <w:right w:val="none" w:sz="0" w:space="0" w:color="auto"/>
      </w:divBdr>
    </w:div>
    <w:div w:id="1610892501">
      <w:bodyDiv w:val="1"/>
      <w:marLeft w:val="0"/>
      <w:marRight w:val="0"/>
      <w:marTop w:val="0"/>
      <w:marBottom w:val="0"/>
      <w:divBdr>
        <w:top w:val="none" w:sz="0" w:space="0" w:color="auto"/>
        <w:left w:val="none" w:sz="0" w:space="0" w:color="auto"/>
        <w:bottom w:val="none" w:sz="0" w:space="0" w:color="auto"/>
        <w:right w:val="none" w:sz="0" w:space="0" w:color="auto"/>
      </w:divBdr>
    </w:div>
    <w:div w:id="1636985804">
      <w:bodyDiv w:val="1"/>
      <w:marLeft w:val="0"/>
      <w:marRight w:val="0"/>
      <w:marTop w:val="0"/>
      <w:marBottom w:val="0"/>
      <w:divBdr>
        <w:top w:val="none" w:sz="0" w:space="0" w:color="auto"/>
        <w:left w:val="none" w:sz="0" w:space="0" w:color="auto"/>
        <w:bottom w:val="none" w:sz="0" w:space="0" w:color="auto"/>
        <w:right w:val="none" w:sz="0" w:space="0" w:color="auto"/>
      </w:divBdr>
    </w:div>
    <w:div w:id="1657025738">
      <w:bodyDiv w:val="1"/>
      <w:marLeft w:val="0"/>
      <w:marRight w:val="0"/>
      <w:marTop w:val="0"/>
      <w:marBottom w:val="0"/>
      <w:divBdr>
        <w:top w:val="none" w:sz="0" w:space="0" w:color="auto"/>
        <w:left w:val="none" w:sz="0" w:space="0" w:color="auto"/>
        <w:bottom w:val="none" w:sz="0" w:space="0" w:color="auto"/>
        <w:right w:val="none" w:sz="0" w:space="0" w:color="auto"/>
      </w:divBdr>
    </w:div>
    <w:div w:id="1686208297">
      <w:bodyDiv w:val="1"/>
      <w:marLeft w:val="0"/>
      <w:marRight w:val="0"/>
      <w:marTop w:val="0"/>
      <w:marBottom w:val="0"/>
      <w:divBdr>
        <w:top w:val="none" w:sz="0" w:space="0" w:color="auto"/>
        <w:left w:val="none" w:sz="0" w:space="0" w:color="auto"/>
        <w:bottom w:val="none" w:sz="0" w:space="0" w:color="auto"/>
        <w:right w:val="none" w:sz="0" w:space="0" w:color="auto"/>
      </w:divBdr>
    </w:div>
    <w:div w:id="1754739039">
      <w:bodyDiv w:val="1"/>
      <w:marLeft w:val="0"/>
      <w:marRight w:val="0"/>
      <w:marTop w:val="0"/>
      <w:marBottom w:val="0"/>
      <w:divBdr>
        <w:top w:val="none" w:sz="0" w:space="0" w:color="auto"/>
        <w:left w:val="none" w:sz="0" w:space="0" w:color="auto"/>
        <w:bottom w:val="none" w:sz="0" w:space="0" w:color="auto"/>
        <w:right w:val="none" w:sz="0" w:space="0" w:color="auto"/>
      </w:divBdr>
      <w:divsChild>
        <w:div w:id="10106933">
          <w:marLeft w:val="0"/>
          <w:marRight w:val="0"/>
          <w:marTop w:val="0"/>
          <w:marBottom w:val="0"/>
          <w:divBdr>
            <w:top w:val="none" w:sz="0" w:space="0" w:color="auto"/>
            <w:left w:val="none" w:sz="0" w:space="0" w:color="auto"/>
            <w:bottom w:val="none" w:sz="0" w:space="0" w:color="auto"/>
            <w:right w:val="none" w:sz="0" w:space="0" w:color="auto"/>
          </w:divBdr>
          <w:divsChild>
            <w:div w:id="1115826819">
              <w:marLeft w:val="0"/>
              <w:marRight w:val="0"/>
              <w:marTop w:val="0"/>
              <w:marBottom w:val="0"/>
              <w:divBdr>
                <w:top w:val="none" w:sz="0" w:space="0" w:color="auto"/>
                <w:left w:val="none" w:sz="0" w:space="0" w:color="auto"/>
                <w:bottom w:val="none" w:sz="0" w:space="0" w:color="auto"/>
                <w:right w:val="none" w:sz="0" w:space="0" w:color="auto"/>
              </w:divBdr>
            </w:div>
          </w:divsChild>
        </w:div>
        <w:div w:id="41904710">
          <w:marLeft w:val="0"/>
          <w:marRight w:val="0"/>
          <w:marTop w:val="0"/>
          <w:marBottom w:val="0"/>
          <w:divBdr>
            <w:top w:val="none" w:sz="0" w:space="0" w:color="auto"/>
            <w:left w:val="none" w:sz="0" w:space="0" w:color="auto"/>
            <w:bottom w:val="none" w:sz="0" w:space="0" w:color="auto"/>
            <w:right w:val="none" w:sz="0" w:space="0" w:color="auto"/>
          </w:divBdr>
          <w:divsChild>
            <w:div w:id="1583874185">
              <w:marLeft w:val="0"/>
              <w:marRight w:val="0"/>
              <w:marTop w:val="0"/>
              <w:marBottom w:val="0"/>
              <w:divBdr>
                <w:top w:val="none" w:sz="0" w:space="0" w:color="auto"/>
                <w:left w:val="none" w:sz="0" w:space="0" w:color="auto"/>
                <w:bottom w:val="none" w:sz="0" w:space="0" w:color="auto"/>
                <w:right w:val="none" w:sz="0" w:space="0" w:color="auto"/>
              </w:divBdr>
            </w:div>
          </w:divsChild>
        </w:div>
        <w:div w:id="48844874">
          <w:marLeft w:val="0"/>
          <w:marRight w:val="0"/>
          <w:marTop w:val="0"/>
          <w:marBottom w:val="0"/>
          <w:divBdr>
            <w:top w:val="none" w:sz="0" w:space="0" w:color="auto"/>
            <w:left w:val="none" w:sz="0" w:space="0" w:color="auto"/>
            <w:bottom w:val="none" w:sz="0" w:space="0" w:color="auto"/>
            <w:right w:val="none" w:sz="0" w:space="0" w:color="auto"/>
          </w:divBdr>
          <w:divsChild>
            <w:div w:id="1956056485">
              <w:marLeft w:val="0"/>
              <w:marRight w:val="0"/>
              <w:marTop w:val="0"/>
              <w:marBottom w:val="0"/>
              <w:divBdr>
                <w:top w:val="none" w:sz="0" w:space="0" w:color="auto"/>
                <w:left w:val="none" w:sz="0" w:space="0" w:color="auto"/>
                <w:bottom w:val="none" w:sz="0" w:space="0" w:color="auto"/>
                <w:right w:val="none" w:sz="0" w:space="0" w:color="auto"/>
              </w:divBdr>
            </w:div>
          </w:divsChild>
        </w:div>
        <w:div w:id="134227899">
          <w:marLeft w:val="0"/>
          <w:marRight w:val="0"/>
          <w:marTop w:val="0"/>
          <w:marBottom w:val="0"/>
          <w:divBdr>
            <w:top w:val="none" w:sz="0" w:space="0" w:color="auto"/>
            <w:left w:val="none" w:sz="0" w:space="0" w:color="auto"/>
            <w:bottom w:val="none" w:sz="0" w:space="0" w:color="auto"/>
            <w:right w:val="none" w:sz="0" w:space="0" w:color="auto"/>
          </w:divBdr>
          <w:divsChild>
            <w:div w:id="64644016">
              <w:marLeft w:val="0"/>
              <w:marRight w:val="0"/>
              <w:marTop w:val="0"/>
              <w:marBottom w:val="0"/>
              <w:divBdr>
                <w:top w:val="none" w:sz="0" w:space="0" w:color="auto"/>
                <w:left w:val="none" w:sz="0" w:space="0" w:color="auto"/>
                <w:bottom w:val="none" w:sz="0" w:space="0" w:color="auto"/>
                <w:right w:val="none" w:sz="0" w:space="0" w:color="auto"/>
              </w:divBdr>
            </w:div>
          </w:divsChild>
        </w:div>
        <w:div w:id="146437235">
          <w:marLeft w:val="0"/>
          <w:marRight w:val="0"/>
          <w:marTop w:val="0"/>
          <w:marBottom w:val="0"/>
          <w:divBdr>
            <w:top w:val="none" w:sz="0" w:space="0" w:color="auto"/>
            <w:left w:val="none" w:sz="0" w:space="0" w:color="auto"/>
            <w:bottom w:val="none" w:sz="0" w:space="0" w:color="auto"/>
            <w:right w:val="none" w:sz="0" w:space="0" w:color="auto"/>
          </w:divBdr>
          <w:divsChild>
            <w:div w:id="1712344603">
              <w:marLeft w:val="0"/>
              <w:marRight w:val="0"/>
              <w:marTop w:val="0"/>
              <w:marBottom w:val="0"/>
              <w:divBdr>
                <w:top w:val="none" w:sz="0" w:space="0" w:color="auto"/>
                <w:left w:val="none" w:sz="0" w:space="0" w:color="auto"/>
                <w:bottom w:val="none" w:sz="0" w:space="0" w:color="auto"/>
                <w:right w:val="none" w:sz="0" w:space="0" w:color="auto"/>
              </w:divBdr>
            </w:div>
          </w:divsChild>
        </w:div>
        <w:div w:id="158083785">
          <w:marLeft w:val="0"/>
          <w:marRight w:val="0"/>
          <w:marTop w:val="0"/>
          <w:marBottom w:val="0"/>
          <w:divBdr>
            <w:top w:val="none" w:sz="0" w:space="0" w:color="auto"/>
            <w:left w:val="none" w:sz="0" w:space="0" w:color="auto"/>
            <w:bottom w:val="none" w:sz="0" w:space="0" w:color="auto"/>
            <w:right w:val="none" w:sz="0" w:space="0" w:color="auto"/>
          </w:divBdr>
          <w:divsChild>
            <w:div w:id="2000186326">
              <w:marLeft w:val="0"/>
              <w:marRight w:val="0"/>
              <w:marTop w:val="0"/>
              <w:marBottom w:val="0"/>
              <w:divBdr>
                <w:top w:val="none" w:sz="0" w:space="0" w:color="auto"/>
                <w:left w:val="none" w:sz="0" w:space="0" w:color="auto"/>
                <w:bottom w:val="none" w:sz="0" w:space="0" w:color="auto"/>
                <w:right w:val="none" w:sz="0" w:space="0" w:color="auto"/>
              </w:divBdr>
            </w:div>
          </w:divsChild>
        </w:div>
        <w:div w:id="285503763">
          <w:marLeft w:val="0"/>
          <w:marRight w:val="0"/>
          <w:marTop w:val="0"/>
          <w:marBottom w:val="0"/>
          <w:divBdr>
            <w:top w:val="none" w:sz="0" w:space="0" w:color="auto"/>
            <w:left w:val="none" w:sz="0" w:space="0" w:color="auto"/>
            <w:bottom w:val="none" w:sz="0" w:space="0" w:color="auto"/>
            <w:right w:val="none" w:sz="0" w:space="0" w:color="auto"/>
          </w:divBdr>
          <w:divsChild>
            <w:div w:id="1998534627">
              <w:marLeft w:val="0"/>
              <w:marRight w:val="0"/>
              <w:marTop w:val="0"/>
              <w:marBottom w:val="0"/>
              <w:divBdr>
                <w:top w:val="none" w:sz="0" w:space="0" w:color="auto"/>
                <w:left w:val="none" w:sz="0" w:space="0" w:color="auto"/>
                <w:bottom w:val="none" w:sz="0" w:space="0" w:color="auto"/>
                <w:right w:val="none" w:sz="0" w:space="0" w:color="auto"/>
              </w:divBdr>
            </w:div>
          </w:divsChild>
        </w:div>
        <w:div w:id="303240011">
          <w:marLeft w:val="0"/>
          <w:marRight w:val="0"/>
          <w:marTop w:val="0"/>
          <w:marBottom w:val="0"/>
          <w:divBdr>
            <w:top w:val="none" w:sz="0" w:space="0" w:color="auto"/>
            <w:left w:val="none" w:sz="0" w:space="0" w:color="auto"/>
            <w:bottom w:val="none" w:sz="0" w:space="0" w:color="auto"/>
            <w:right w:val="none" w:sz="0" w:space="0" w:color="auto"/>
          </w:divBdr>
          <w:divsChild>
            <w:div w:id="1044990515">
              <w:marLeft w:val="0"/>
              <w:marRight w:val="0"/>
              <w:marTop w:val="0"/>
              <w:marBottom w:val="0"/>
              <w:divBdr>
                <w:top w:val="none" w:sz="0" w:space="0" w:color="auto"/>
                <w:left w:val="none" w:sz="0" w:space="0" w:color="auto"/>
                <w:bottom w:val="none" w:sz="0" w:space="0" w:color="auto"/>
                <w:right w:val="none" w:sz="0" w:space="0" w:color="auto"/>
              </w:divBdr>
            </w:div>
          </w:divsChild>
        </w:div>
        <w:div w:id="323976493">
          <w:marLeft w:val="0"/>
          <w:marRight w:val="0"/>
          <w:marTop w:val="0"/>
          <w:marBottom w:val="0"/>
          <w:divBdr>
            <w:top w:val="none" w:sz="0" w:space="0" w:color="auto"/>
            <w:left w:val="none" w:sz="0" w:space="0" w:color="auto"/>
            <w:bottom w:val="none" w:sz="0" w:space="0" w:color="auto"/>
            <w:right w:val="none" w:sz="0" w:space="0" w:color="auto"/>
          </w:divBdr>
          <w:divsChild>
            <w:div w:id="1619144708">
              <w:marLeft w:val="0"/>
              <w:marRight w:val="0"/>
              <w:marTop w:val="0"/>
              <w:marBottom w:val="0"/>
              <w:divBdr>
                <w:top w:val="none" w:sz="0" w:space="0" w:color="auto"/>
                <w:left w:val="none" w:sz="0" w:space="0" w:color="auto"/>
                <w:bottom w:val="none" w:sz="0" w:space="0" w:color="auto"/>
                <w:right w:val="none" w:sz="0" w:space="0" w:color="auto"/>
              </w:divBdr>
            </w:div>
          </w:divsChild>
        </w:div>
        <w:div w:id="359478899">
          <w:marLeft w:val="0"/>
          <w:marRight w:val="0"/>
          <w:marTop w:val="0"/>
          <w:marBottom w:val="0"/>
          <w:divBdr>
            <w:top w:val="none" w:sz="0" w:space="0" w:color="auto"/>
            <w:left w:val="none" w:sz="0" w:space="0" w:color="auto"/>
            <w:bottom w:val="none" w:sz="0" w:space="0" w:color="auto"/>
            <w:right w:val="none" w:sz="0" w:space="0" w:color="auto"/>
          </w:divBdr>
          <w:divsChild>
            <w:div w:id="903101188">
              <w:marLeft w:val="0"/>
              <w:marRight w:val="0"/>
              <w:marTop w:val="0"/>
              <w:marBottom w:val="0"/>
              <w:divBdr>
                <w:top w:val="none" w:sz="0" w:space="0" w:color="auto"/>
                <w:left w:val="none" w:sz="0" w:space="0" w:color="auto"/>
                <w:bottom w:val="none" w:sz="0" w:space="0" w:color="auto"/>
                <w:right w:val="none" w:sz="0" w:space="0" w:color="auto"/>
              </w:divBdr>
            </w:div>
          </w:divsChild>
        </w:div>
        <w:div w:id="594217814">
          <w:marLeft w:val="0"/>
          <w:marRight w:val="0"/>
          <w:marTop w:val="0"/>
          <w:marBottom w:val="0"/>
          <w:divBdr>
            <w:top w:val="none" w:sz="0" w:space="0" w:color="auto"/>
            <w:left w:val="none" w:sz="0" w:space="0" w:color="auto"/>
            <w:bottom w:val="none" w:sz="0" w:space="0" w:color="auto"/>
            <w:right w:val="none" w:sz="0" w:space="0" w:color="auto"/>
          </w:divBdr>
          <w:divsChild>
            <w:div w:id="693850322">
              <w:marLeft w:val="0"/>
              <w:marRight w:val="0"/>
              <w:marTop w:val="0"/>
              <w:marBottom w:val="0"/>
              <w:divBdr>
                <w:top w:val="none" w:sz="0" w:space="0" w:color="auto"/>
                <w:left w:val="none" w:sz="0" w:space="0" w:color="auto"/>
                <w:bottom w:val="none" w:sz="0" w:space="0" w:color="auto"/>
                <w:right w:val="none" w:sz="0" w:space="0" w:color="auto"/>
              </w:divBdr>
            </w:div>
          </w:divsChild>
        </w:div>
        <w:div w:id="627472955">
          <w:marLeft w:val="0"/>
          <w:marRight w:val="0"/>
          <w:marTop w:val="0"/>
          <w:marBottom w:val="0"/>
          <w:divBdr>
            <w:top w:val="none" w:sz="0" w:space="0" w:color="auto"/>
            <w:left w:val="none" w:sz="0" w:space="0" w:color="auto"/>
            <w:bottom w:val="none" w:sz="0" w:space="0" w:color="auto"/>
            <w:right w:val="none" w:sz="0" w:space="0" w:color="auto"/>
          </w:divBdr>
          <w:divsChild>
            <w:div w:id="153188034">
              <w:marLeft w:val="0"/>
              <w:marRight w:val="0"/>
              <w:marTop w:val="0"/>
              <w:marBottom w:val="0"/>
              <w:divBdr>
                <w:top w:val="none" w:sz="0" w:space="0" w:color="auto"/>
                <w:left w:val="none" w:sz="0" w:space="0" w:color="auto"/>
                <w:bottom w:val="none" w:sz="0" w:space="0" w:color="auto"/>
                <w:right w:val="none" w:sz="0" w:space="0" w:color="auto"/>
              </w:divBdr>
            </w:div>
          </w:divsChild>
        </w:div>
        <w:div w:id="653098514">
          <w:marLeft w:val="0"/>
          <w:marRight w:val="0"/>
          <w:marTop w:val="0"/>
          <w:marBottom w:val="0"/>
          <w:divBdr>
            <w:top w:val="none" w:sz="0" w:space="0" w:color="auto"/>
            <w:left w:val="none" w:sz="0" w:space="0" w:color="auto"/>
            <w:bottom w:val="none" w:sz="0" w:space="0" w:color="auto"/>
            <w:right w:val="none" w:sz="0" w:space="0" w:color="auto"/>
          </w:divBdr>
          <w:divsChild>
            <w:div w:id="769356595">
              <w:marLeft w:val="0"/>
              <w:marRight w:val="0"/>
              <w:marTop w:val="0"/>
              <w:marBottom w:val="0"/>
              <w:divBdr>
                <w:top w:val="none" w:sz="0" w:space="0" w:color="auto"/>
                <w:left w:val="none" w:sz="0" w:space="0" w:color="auto"/>
                <w:bottom w:val="none" w:sz="0" w:space="0" w:color="auto"/>
                <w:right w:val="none" w:sz="0" w:space="0" w:color="auto"/>
              </w:divBdr>
            </w:div>
          </w:divsChild>
        </w:div>
        <w:div w:id="746657775">
          <w:marLeft w:val="0"/>
          <w:marRight w:val="0"/>
          <w:marTop w:val="0"/>
          <w:marBottom w:val="0"/>
          <w:divBdr>
            <w:top w:val="none" w:sz="0" w:space="0" w:color="auto"/>
            <w:left w:val="none" w:sz="0" w:space="0" w:color="auto"/>
            <w:bottom w:val="none" w:sz="0" w:space="0" w:color="auto"/>
            <w:right w:val="none" w:sz="0" w:space="0" w:color="auto"/>
          </w:divBdr>
          <w:divsChild>
            <w:div w:id="576135838">
              <w:marLeft w:val="0"/>
              <w:marRight w:val="0"/>
              <w:marTop w:val="0"/>
              <w:marBottom w:val="0"/>
              <w:divBdr>
                <w:top w:val="none" w:sz="0" w:space="0" w:color="auto"/>
                <w:left w:val="none" w:sz="0" w:space="0" w:color="auto"/>
                <w:bottom w:val="none" w:sz="0" w:space="0" w:color="auto"/>
                <w:right w:val="none" w:sz="0" w:space="0" w:color="auto"/>
              </w:divBdr>
            </w:div>
          </w:divsChild>
        </w:div>
        <w:div w:id="784273748">
          <w:marLeft w:val="0"/>
          <w:marRight w:val="0"/>
          <w:marTop w:val="0"/>
          <w:marBottom w:val="0"/>
          <w:divBdr>
            <w:top w:val="none" w:sz="0" w:space="0" w:color="auto"/>
            <w:left w:val="none" w:sz="0" w:space="0" w:color="auto"/>
            <w:bottom w:val="none" w:sz="0" w:space="0" w:color="auto"/>
            <w:right w:val="none" w:sz="0" w:space="0" w:color="auto"/>
          </w:divBdr>
          <w:divsChild>
            <w:div w:id="1358966131">
              <w:marLeft w:val="0"/>
              <w:marRight w:val="0"/>
              <w:marTop w:val="0"/>
              <w:marBottom w:val="0"/>
              <w:divBdr>
                <w:top w:val="none" w:sz="0" w:space="0" w:color="auto"/>
                <w:left w:val="none" w:sz="0" w:space="0" w:color="auto"/>
                <w:bottom w:val="none" w:sz="0" w:space="0" w:color="auto"/>
                <w:right w:val="none" w:sz="0" w:space="0" w:color="auto"/>
              </w:divBdr>
            </w:div>
          </w:divsChild>
        </w:div>
        <w:div w:id="824854208">
          <w:marLeft w:val="0"/>
          <w:marRight w:val="0"/>
          <w:marTop w:val="0"/>
          <w:marBottom w:val="0"/>
          <w:divBdr>
            <w:top w:val="none" w:sz="0" w:space="0" w:color="auto"/>
            <w:left w:val="none" w:sz="0" w:space="0" w:color="auto"/>
            <w:bottom w:val="none" w:sz="0" w:space="0" w:color="auto"/>
            <w:right w:val="none" w:sz="0" w:space="0" w:color="auto"/>
          </w:divBdr>
          <w:divsChild>
            <w:div w:id="1712652930">
              <w:marLeft w:val="0"/>
              <w:marRight w:val="0"/>
              <w:marTop w:val="0"/>
              <w:marBottom w:val="0"/>
              <w:divBdr>
                <w:top w:val="none" w:sz="0" w:space="0" w:color="auto"/>
                <w:left w:val="none" w:sz="0" w:space="0" w:color="auto"/>
                <w:bottom w:val="none" w:sz="0" w:space="0" w:color="auto"/>
                <w:right w:val="none" w:sz="0" w:space="0" w:color="auto"/>
              </w:divBdr>
            </w:div>
          </w:divsChild>
        </w:div>
        <w:div w:id="840774943">
          <w:marLeft w:val="0"/>
          <w:marRight w:val="0"/>
          <w:marTop w:val="0"/>
          <w:marBottom w:val="0"/>
          <w:divBdr>
            <w:top w:val="none" w:sz="0" w:space="0" w:color="auto"/>
            <w:left w:val="none" w:sz="0" w:space="0" w:color="auto"/>
            <w:bottom w:val="none" w:sz="0" w:space="0" w:color="auto"/>
            <w:right w:val="none" w:sz="0" w:space="0" w:color="auto"/>
          </w:divBdr>
          <w:divsChild>
            <w:div w:id="1682851306">
              <w:marLeft w:val="0"/>
              <w:marRight w:val="0"/>
              <w:marTop w:val="0"/>
              <w:marBottom w:val="0"/>
              <w:divBdr>
                <w:top w:val="none" w:sz="0" w:space="0" w:color="auto"/>
                <w:left w:val="none" w:sz="0" w:space="0" w:color="auto"/>
                <w:bottom w:val="none" w:sz="0" w:space="0" w:color="auto"/>
                <w:right w:val="none" w:sz="0" w:space="0" w:color="auto"/>
              </w:divBdr>
            </w:div>
          </w:divsChild>
        </w:div>
        <w:div w:id="1166894985">
          <w:marLeft w:val="0"/>
          <w:marRight w:val="0"/>
          <w:marTop w:val="0"/>
          <w:marBottom w:val="0"/>
          <w:divBdr>
            <w:top w:val="none" w:sz="0" w:space="0" w:color="auto"/>
            <w:left w:val="none" w:sz="0" w:space="0" w:color="auto"/>
            <w:bottom w:val="none" w:sz="0" w:space="0" w:color="auto"/>
            <w:right w:val="none" w:sz="0" w:space="0" w:color="auto"/>
          </w:divBdr>
          <w:divsChild>
            <w:div w:id="37172266">
              <w:marLeft w:val="0"/>
              <w:marRight w:val="0"/>
              <w:marTop w:val="0"/>
              <w:marBottom w:val="0"/>
              <w:divBdr>
                <w:top w:val="none" w:sz="0" w:space="0" w:color="auto"/>
                <w:left w:val="none" w:sz="0" w:space="0" w:color="auto"/>
                <w:bottom w:val="none" w:sz="0" w:space="0" w:color="auto"/>
                <w:right w:val="none" w:sz="0" w:space="0" w:color="auto"/>
              </w:divBdr>
            </w:div>
          </w:divsChild>
        </w:div>
        <w:div w:id="1229418871">
          <w:marLeft w:val="0"/>
          <w:marRight w:val="0"/>
          <w:marTop w:val="0"/>
          <w:marBottom w:val="0"/>
          <w:divBdr>
            <w:top w:val="none" w:sz="0" w:space="0" w:color="auto"/>
            <w:left w:val="none" w:sz="0" w:space="0" w:color="auto"/>
            <w:bottom w:val="none" w:sz="0" w:space="0" w:color="auto"/>
            <w:right w:val="none" w:sz="0" w:space="0" w:color="auto"/>
          </w:divBdr>
          <w:divsChild>
            <w:div w:id="1966764822">
              <w:marLeft w:val="0"/>
              <w:marRight w:val="0"/>
              <w:marTop w:val="0"/>
              <w:marBottom w:val="0"/>
              <w:divBdr>
                <w:top w:val="none" w:sz="0" w:space="0" w:color="auto"/>
                <w:left w:val="none" w:sz="0" w:space="0" w:color="auto"/>
                <w:bottom w:val="none" w:sz="0" w:space="0" w:color="auto"/>
                <w:right w:val="none" w:sz="0" w:space="0" w:color="auto"/>
              </w:divBdr>
            </w:div>
          </w:divsChild>
        </w:div>
        <w:div w:id="1323464757">
          <w:marLeft w:val="0"/>
          <w:marRight w:val="0"/>
          <w:marTop w:val="0"/>
          <w:marBottom w:val="0"/>
          <w:divBdr>
            <w:top w:val="none" w:sz="0" w:space="0" w:color="auto"/>
            <w:left w:val="none" w:sz="0" w:space="0" w:color="auto"/>
            <w:bottom w:val="none" w:sz="0" w:space="0" w:color="auto"/>
            <w:right w:val="none" w:sz="0" w:space="0" w:color="auto"/>
          </w:divBdr>
          <w:divsChild>
            <w:div w:id="1955405972">
              <w:marLeft w:val="0"/>
              <w:marRight w:val="0"/>
              <w:marTop w:val="0"/>
              <w:marBottom w:val="0"/>
              <w:divBdr>
                <w:top w:val="none" w:sz="0" w:space="0" w:color="auto"/>
                <w:left w:val="none" w:sz="0" w:space="0" w:color="auto"/>
                <w:bottom w:val="none" w:sz="0" w:space="0" w:color="auto"/>
                <w:right w:val="none" w:sz="0" w:space="0" w:color="auto"/>
              </w:divBdr>
            </w:div>
          </w:divsChild>
        </w:div>
        <w:div w:id="1387948498">
          <w:marLeft w:val="0"/>
          <w:marRight w:val="0"/>
          <w:marTop w:val="0"/>
          <w:marBottom w:val="0"/>
          <w:divBdr>
            <w:top w:val="none" w:sz="0" w:space="0" w:color="auto"/>
            <w:left w:val="none" w:sz="0" w:space="0" w:color="auto"/>
            <w:bottom w:val="none" w:sz="0" w:space="0" w:color="auto"/>
            <w:right w:val="none" w:sz="0" w:space="0" w:color="auto"/>
          </w:divBdr>
          <w:divsChild>
            <w:div w:id="916668713">
              <w:marLeft w:val="0"/>
              <w:marRight w:val="0"/>
              <w:marTop w:val="0"/>
              <w:marBottom w:val="0"/>
              <w:divBdr>
                <w:top w:val="none" w:sz="0" w:space="0" w:color="auto"/>
                <w:left w:val="none" w:sz="0" w:space="0" w:color="auto"/>
                <w:bottom w:val="none" w:sz="0" w:space="0" w:color="auto"/>
                <w:right w:val="none" w:sz="0" w:space="0" w:color="auto"/>
              </w:divBdr>
            </w:div>
          </w:divsChild>
        </w:div>
        <w:div w:id="1450933834">
          <w:marLeft w:val="0"/>
          <w:marRight w:val="0"/>
          <w:marTop w:val="0"/>
          <w:marBottom w:val="0"/>
          <w:divBdr>
            <w:top w:val="none" w:sz="0" w:space="0" w:color="auto"/>
            <w:left w:val="none" w:sz="0" w:space="0" w:color="auto"/>
            <w:bottom w:val="none" w:sz="0" w:space="0" w:color="auto"/>
            <w:right w:val="none" w:sz="0" w:space="0" w:color="auto"/>
          </w:divBdr>
          <w:divsChild>
            <w:div w:id="1093472376">
              <w:marLeft w:val="0"/>
              <w:marRight w:val="0"/>
              <w:marTop w:val="0"/>
              <w:marBottom w:val="0"/>
              <w:divBdr>
                <w:top w:val="none" w:sz="0" w:space="0" w:color="auto"/>
                <w:left w:val="none" w:sz="0" w:space="0" w:color="auto"/>
                <w:bottom w:val="none" w:sz="0" w:space="0" w:color="auto"/>
                <w:right w:val="none" w:sz="0" w:space="0" w:color="auto"/>
              </w:divBdr>
            </w:div>
          </w:divsChild>
        </w:div>
        <w:div w:id="1613200838">
          <w:marLeft w:val="0"/>
          <w:marRight w:val="0"/>
          <w:marTop w:val="0"/>
          <w:marBottom w:val="0"/>
          <w:divBdr>
            <w:top w:val="none" w:sz="0" w:space="0" w:color="auto"/>
            <w:left w:val="none" w:sz="0" w:space="0" w:color="auto"/>
            <w:bottom w:val="none" w:sz="0" w:space="0" w:color="auto"/>
            <w:right w:val="none" w:sz="0" w:space="0" w:color="auto"/>
          </w:divBdr>
          <w:divsChild>
            <w:div w:id="396830051">
              <w:marLeft w:val="0"/>
              <w:marRight w:val="0"/>
              <w:marTop w:val="0"/>
              <w:marBottom w:val="0"/>
              <w:divBdr>
                <w:top w:val="none" w:sz="0" w:space="0" w:color="auto"/>
                <w:left w:val="none" w:sz="0" w:space="0" w:color="auto"/>
                <w:bottom w:val="none" w:sz="0" w:space="0" w:color="auto"/>
                <w:right w:val="none" w:sz="0" w:space="0" w:color="auto"/>
              </w:divBdr>
            </w:div>
          </w:divsChild>
        </w:div>
        <w:div w:id="1613824407">
          <w:marLeft w:val="0"/>
          <w:marRight w:val="0"/>
          <w:marTop w:val="0"/>
          <w:marBottom w:val="0"/>
          <w:divBdr>
            <w:top w:val="none" w:sz="0" w:space="0" w:color="auto"/>
            <w:left w:val="none" w:sz="0" w:space="0" w:color="auto"/>
            <w:bottom w:val="none" w:sz="0" w:space="0" w:color="auto"/>
            <w:right w:val="none" w:sz="0" w:space="0" w:color="auto"/>
          </w:divBdr>
          <w:divsChild>
            <w:div w:id="611788241">
              <w:marLeft w:val="0"/>
              <w:marRight w:val="0"/>
              <w:marTop w:val="0"/>
              <w:marBottom w:val="0"/>
              <w:divBdr>
                <w:top w:val="none" w:sz="0" w:space="0" w:color="auto"/>
                <w:left w:val="none" w:sz="0" w:space="0" w:color="auto"/>
                <w:bottom w:val="none" w:sz="0" w:space="0" w:color="auto"/>
                <w:right w:val="none" w:sz="0" w:space="0" w:color="auto"/>
              </w:divBdr>
            </w:div>
          </w:divsChild>
        </w:div>
        <w:div w:id="1654993289">
          <w:marLeft w:val="0"/>
          <w:marRight w:val="0"/>
          <w:marTop w:val="0"/>
          <w:marBottom w:val="0"/>
          <w:divBdr>
            <w:top w:val="none" w:sz="0" w:space="0" w:color="auto"/>
            <w:left w:val="none" w:sz="0" w:space="0" w:color="auto"/>
            <w:bottom w:val="none" w:sz="0" w:space="0" w:color="auto"/>
            <w:right w:val="none" w:sz="0" w:space="0" w:color="auto"/>
          </w:divBdr>
          <w:divsChild>
            <w:div w:id="2132674763">
              <w:marLeft w:val="0"/>
              <w:marRight w:val="0"/>
              <w:marTop w:val="0"/>
              <w:marBottom w:val="0"/>
              <w:divBdr>
                <w:top w:val="none" w:sz="0" w:space="0" w:color="auto"/>
                <w:left w:val="none" w:sz="0" w:space="0" w:color="auto"/>
                <w:bottom w:val="none" w:sz="0" w:space="0" w:color="auto"/>
                <w:right w:val="none" w:sz="0" w:space="0" w:color="auto"/>
              </w:divBdr>
            </w:div>
          </w:divsChild>
        </w:div>
        <w:div w:id="1688024614">
          <w:marLeft w:val="0"/>
          <w:marRight w:val="0"/>
          <w:marTop w:val="0"/>
          <w:marBottom w:val="0"/>
          <w:divBdr>
            <w:top w:val="none" w:sz="0" w:space="0" w:color="auto"/>
            <w:left w:val="none" w:sz="0" w:space="0" w:color="auto"/>
            <w:bottom w:val="none" w:sz="0" w:space="0" w:color="auto"/>
            <w:right w:val="none" w:sz="0" w:space="0" w:color="auto"/>
          </w:divBdr>
          <w:divsChild>
            <w:div w:id="1341666570">
              <w:marLeft w:val="0"/>
              <w:marRight w:val="0"/>
              <w:marTop w:val="0"/>
              <w:marBottom w:val="0"/>
              <w:divBdr>
                <w:top w:val="none" w:sz="0" w:space="0" w:color="auto"/>
                <w:left w:val="none" w:sz="0" w:space="0" w:color="auto"/>
                <w:bottom w:val="none" w:sz="0" w:space="0" w:color="auto"/>
                <w:right w:val="none" w:sz="0" w:space="0" w:color="auto"/>
              </w:divBdr>
            </w:div>
          </w:divsChild>
        </w:div>
        <w:div w:id="1748456702">
          <w:marLeft w:val="0"/>
          <w:marRight w:val="0"/>
          <w:marTop w:val="0"/>
          <w:marBottom w:val="0"/>
          <w:divBdr>
            <w:top w:val="none" w:sz="0" w:space="0" w:color="auto"/>
            <w:left w:val="none" w:sz="0" w:space="0" w:color="auto"/>
            <w:bottom w:val="none" w:sz="0" w:space="0" w:color="auto"/>
            <w:right w:val="none" w:sz="0" w:space="0" w:color="auto"/>
          </w:divBdr>
          <w:divsChild>
            <w:div w:id="704721960">
              <w:marLeft w:val="0"/>
              <w:marRight w:val="0"/>
              <w:marTop w:val="0"/>
              <w:marBottom w:val="0"/>
              <w:divBdr>
                <w:top w:val="none" w:sz="0" w:space="0" w:color="auto"/>
                <w:left w:val="none" w:sz="0" w:space="0" w:color="auto"/>
                <w:bottom w:val="none" w:sz="0" w:space="0" w:color="auto"/>
                <w:right w:val="none" w:sz="0" w:space="0" w:color="auto"/>
              </w:divBdr>
            </w:div>
          </w:divsChild>
        </w:div>
        <w:div w:id="1785270021">
          <w:marLeft w:val="0"/>
          <w:marRight w:val="0"/>
          <w:marTop w:val="0"/>
          <w:marBottom w:val="0"/>
          <w:divBdr>
            <w:top w:val="none" w:sz="0" w:space="0" w:color="auto"/>
            <w:left w:val="none" w:sz="0" w:space="0" w:color="auto"/>
            <w:bottom w:val="none" w:sz="0" w:space="0" w:color="auto"/>
            <w:right w:val="none" w:sz="0" w:space="0" w:color="auto"/>
          </w:divBdr>
          <w:divsChild>
            <w:div w:id="1794861573">
              <w:marLeft w:val="0"/>
              <w:marRight w:val="0"/>
              <w:marTop w:val="0"/>
              <w:marBottom w:val="0"/>
              <w:divBdr>
                <w:top w:val="none" w:sz="0" w:space="0" w:color="auto"/>
                <w:left w:val="none" w:sz="0" w:space="0" w:color="auto"/>
                <w:bottom w:val="none" w:sz="0" w:space="0" w:color="auto"/>
                <w:right w:val="none" w:sz="0" w:space="0" w:color="auto"/>
              </w:divBdr>
            </w:div>
          </w:divsChild>
        </w:div>
        <w:div w:id="1902213221">
          <w:marLeft w:val="0"/>
          <w:marRight w:val="0"/>
          <w:marTop w:val="0"/>
          <w:marBottom w:val="0"/>
          <w:divBdr>
            <w:top w:val="none" w:sz="0" w:space="0" w:color="auto"/>
            <w:left w:val="none" w:sz="0" w:space="0" w:color="auto"/>
            <w:bottom w:val="none" w:sz="0" w:space="0" w:color="auto"/>
            <w:right w:val="none" w:sz="0" w:space="0" w:color="auto"/>
          </w:divBdr>
          <w:divsChild>
            <w:div w:id="12921788">
              <w:marLeft w:val="0"/>
              <w:marRight w:val="0"/>
              <w:marTop w:val="0"/>
              <w:marBottom w:val="0"/>
              <w:divBdr>
                <w:top w:val="none" w:sz="0" w:space="0" w:color="auto"/>
                <w:left w:val="none" w:sz="0" w:space="0" w:color="auto"/>
                <w:bottom w:val="none" w:sz="0" w:space="0" w:color="auto"/>
                <w:right w:val="none" w:sz="0" w:space="0" w:color="auto"/>
              </w:divBdr>
            </w:div>
          </w:divsChild>
        </w:div>
        <w:div w:id="2029522387">
          <w:marLeft w:val="0"/>
          <w:marRight w:val="0"/>
          <w:marTop w:val="0"/>
          <w:marBottom w:val="0"/>
          <w:divBdr>
            <w:top w:val="none" w:sz="0" w:space="0" w:color="auto"/>
            <w:left w:val="none" w:sz="0" w:space="0" w:color="auto"/>
            <w:bottom w:val="none" w:sz="0" w:space="0" w:color="auto"/>
            <w:right w:val="none" w:sz="0" w:space="0" w:color="auto"/>
          </w:divBdr>
          <w:divsChild>
            <w:div w:id="1601600083">
              <w:marLeft w:val="0"/>
              <w:marRight w:val="0"/>
              <w:marTop w:val="0"/>
              <w:marBottom w:val="0"/>
              <w:divBdr>
                <w:top w:val="none" w:sz="0" w:space="0" w:color="auto"/>
                <w:left w:val="none" w:sz="0" w:space="0" w:color="auto"/>
                <w:bottom w:val="none" w:sz="0" w:space="0" w:color="auto"/>
                <w:right w:val="none" w:sz="0" w:space="0" w:color="auto"/>
              </w:divBdr>
            </w:div>
          </w:divsChild>
        </w:div>
        <w:div w:id="2039819030">
          <w:marLeft w:val="0"/>
          <w:marRight w:val="0"/>
          <w:marTop w:val="0"/>
          <w:marBottom w:val="0"/>
          <w:divBdr>
            <w:top w:val="none" w:sz="0" w:space="0" w:color="auto"/>
            <w:left w:val="none" w:sz="0" w:space="0" w:color="auto"/>
            <w:bottom w:val="none" w:sz="0" w:space="0" w:color="auto"/>
            <w:right w:val="none" w:sz="0" w:space="0" w:color="auto"/>
          </w:divBdr>
          <w:divsChild>
            <w:div w:id="1218250058">
              <w:marLeft w:val="0"/>
              <w:marRight w:val="0"/>
              <w:marTop w:val="0"/>
              <w:marBottom w:val="0"/>
              <w:divBdr>
                <w:top w:val="none" w:sz="0" w:space="0" w:color="auto"/>
                <w:left w:val="none" w:sz="0" w:space="0" w:color="auto"/>
                <w:bottom w:val="none" w:sz="0" w:space="0" w:color="auto"/>
                <w:right w:val="none" w:sz="0" w:space="0" w:color="auto"/>
              </w:divBdr>
            </w:div>
          </w:divsChild>
        </w:div>
        <w:div w:id="2095010646">
          <w:marLeft w:val="0"/>
          <w:marRight w:val="0"/>
          <w:marTop w:val="0"/>
          <w:marBottom w:val="0"/>
          <w:divBdr>
            <w:top w:val="none" w:sz="0" w:space="0" w:color="auto"/>
            <w:left w:val="none" w:sz="0" w:space="0" w:color="auto"/>
            <w:bottom w:val="none" w:sz="0" w:space="0" w:color="auto"/>
            <w:right w:val="none" w:sz="0" w:space="0" w:color="auto"/>
          </w:divBdr>
          <w:divsChild>
            <w:div w:id="12678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68409">
      <w:bodyDiv w:val="1"/>
      <w:marLeft w:val="0"/>
      <w:marRight w:val="0"/>
      <w:marTop w:val="0"/>
      <w:marBottom w:val="0"/>
      <w:divBdr>
        <w:top w:val="none" w:sz="0" w:space="0" w:color="auto"/>
        <w:left w:val="none" w:sz="0" w:space="0" w:color="auto"/>
        <w:bottom w:val="none" w:sz="0" w:space="0" w:color="auto"/>
        <w:right w:val="none" w:sz="0" w:space="0" w:color="auto"/>
      </w:divBdr>
    </w:div>
    <w:div w:id="1848247604">
      <w:bodyDiv w:val="1"/>
      <w:marLeft w:val="0"/>
      <w:marRight w:val="0"/>
      <w:marTop w:val="0"/>
      <w:marBottom w:val="0"/>
      <w:divBdr>
        <w:top w:val="none" w:sz="0" w:space="0" w:color="auto"/>
        <w:left w:val="none" w:sz="0" w:space="0" w:color="auto"/>
        <w:bottom w:val="none" w:sz="0" w:space="0" w:color="auto"/>
        <w:right w:val="none" w:sz="0" w:space="0" w:color="auto"/>
      </w:divBdr>
      <w:divsChild>
        <w:div w:id="55706338">
          <w:marLeft w:val="0"/>
          <w:marRight w:val="0"/>
          <w:marTop w:val="0"/>
          <w:marBottom w:val="0"/>
          <w:divBdr>
            <w:top w:val="none" w:sz="0" w:space="0" w:color="auto"/>
            <w:left w:val="none" w:sz="0" w:space="0" w:color="auto"/>
            <w:bottom w:val="none" w:sz="0" w:space="0" w:color="auto"/>
            <w:right w:val="none" w:sz="0" w:space="0" w:color="auto"/>
          </w:divBdr>
          <w:divsChild>
            <w:div w:id="220942121">
              <w:marLeft w:val="0"/>
              <w:marRight w:val="0"/>
              <w:marTop w:val="0"/>
              <w:marBottom w:val="0"/>
              <w:divBdr>
                <w:top w:val="none" w:sz="0" w:space="0" w:color="auto"/>
                <w:left w:val="none" w:sz="0" w:space="0" w:color="auto"/>
                <w:bottom w:val="none" w:sz="0" w:space="0" w:color="auto"/>
                <w:right w:val="none" w:sz="0" w:space="0" w:color="auto"/>
              </w:divBdr>
            </w:div>
          </w:divsChild>
        </w:div>
        <w:div w:id="141235168">
          <w:marLeft w:val="0"/>
          <w:marRight w:val="0"/>
          <w:marTop w:val="0"/>
          <w:marBottom w:val="0"/>
          <w:divBdr>
            <w:top w:val="none" w:sz="0" w:space="0" w:color="auto"/>
            <w:left w:val="none" w:sz="0" w:space="0" w:color="auto"/>
            <w:bottom w:val="none" w:sz="0" w:space="0" w:color="auto"/>
            <w:right w:val="none" w:sz="0" w:space="0" w:color="auto"/>
          </w:divBdr>
          <w:divsChild>
            <w:div w:id="1000158622">
              <w:marLeft w:val="0"/>
              <w:marRight w:val="0"/>
              <w:marTop w:val="0"/>
              <w:marBottom w:val="0"/>
              <w:divBdr>
                <w:top w:val="none" w:sz="0" w:space="0" w:color="auto"/>
                <w:left w:val="none" w:sz="0" w:space="0" w:color="auto"/>
                <w:bottom w:val="none" w:sz="0" w:space="0" w:color="auto"/>
                <w:right w:val="none" w:sz="0" w:space="0" w:color="auto"/>
              </w:divBdr>
            </w:div>
          </w:divsChild>
        </w:div>
        <w:div w:id="159542173">
          <w:marLeft w:val="0"/>
          <w:marRight w:val="0"/>
          <w:marTop w:val="0"/>
          <w:marBottom w:val="0"/>
          <w:divBdr>
            <w:top w:val="none" w:sz="0" w:space="0" w:color="auto"/>
            <w:left w:val="none" w:sz="0" w:space="0" w:color="auto"/>
            <w:bottom w:val="none" w:sz="0" w:space="0" w:color="auto"/>
            <w:right w:val="none" w:sz="0" w:space="0" w:color="auto"/>
          </w:divBdr>
          <w:divsChild>
            <w:div w:id="190189909">
              <w:marLeft w:val="0"/>
              <w:marRight w:val="0"/>
              <w:marTop w:val="0"/>
              <w:marBottom w:val="0"/>
              <w:divBdr>
                <w:top w:val="none" w:sz="0" w:space="0" w:color="auto"/>
                <w:left w:val="none" w:sz="0" w:space="0" w:color="auto"/>
                <w:bottom w:val="none" w:sz="0" w:space="0" w:color="auto"/>
                <w:right w:val="none" w:sz="0" w:space="0" w:color="auto"/>
              </w:divBdr>
            </w:div>
          </w:divsChild>
        </w:div>
        <w:div w:id="231737657">
          <w:marLeft w:val="0"/>
          <w:marRight w:val="0"/>
          <w:marTop w:val="0"/>
          <w:marBottom w:val="0"/>
          <w:divBdr>
            <w:top w:val="none" w:sz="0" w:space="0" w:color="auto"/>
            <w:left w:val="none" w:sz="0" w:space="0" w:color="auto"/>
            <w:bottom w:val="none" w:sz="0" w:space="0" w:color="auto"/>
            <w:right w:val="none" w:sz="0" w:space="0" w:color="auto"/>
          </w:divBdr>
          <w:divsChild>
            <w:div w:id="1101685350">
              <w:marLeft w:val="0"/>
              <w:marRight w:val="0"/>
              <w:marTop w:val="0"/>
              <w:marBottom w:val="0"/>
              <w:divBdr>
                <w:top w:val="none" w:sz="0" w:space="0" w:color="auto"/>
                <w:left w:val="none" w:sz="0" w:space="0" w:color="auto"/>
                <w:bottom w:val="none" w:sz="0" w:space="0" w:color="auto"/>
                <w:right w:val="none" w:sz="0" w:space="0" w:color="auto"/>
              </w:divBdr>
            </w:div>
          </w:divsChild>
        </w:div>
        <w:div w:id="239603221">
          <w:marLeft w:val="0"/>
          <w:marRight w:val="0"/>
          <w:marTop w:val="0"/>
          <w:marBottom w:val="0"/>
          <w:divBdr>
            <w:top w:val="none" w:sz="0" w:space="0" w:color="auto"/>
            <w:left w:val="none" w:sz="0" w:space="0" w:color="auto"/>
            <w:bottom w:val="none" w:sz="0" w:space="0" w:color="auto"/>
            <w:right w:val="none" w:sz="0" w:space="0" w:color="auto"/>
          </w:divBdr>
          <w:divsChild>
            <w:div w:id="1589538290">
              <w:marLeft w:val="0"/>
              <w:marRight w:val="0"/>
              <w:marTop w:val="0"/>
              <w:marBottom w:val="0"/>
              <w:divBdr>
                <w:top w:val="none" w:sz="0" w:space="0" w:color="auto"/>
                <w:left w:val="none" w:sz="0" w:space="0" w:color="auto"/>
                <w:bottom w:val="none" w:sz="0" w:space="0" w:color="auto"/>
                <w:right w:val="none" w:sz="0" w:space="0" w:color="auto"/>
              </w:divBdr>
            </w:div>
          </w:divsChild>
        </w:div>
        <w:div w:id="245657154">
          <w:marLeft w:val="0"/>
          <w:marRight w:val="0"/>
          <w:marTop w:val="0"/>
          <w:marBottom w:val="0"/>
          <w:divBdr>
            <w:top w:val="none" w:sz="0" w:space="0" w:color="auto"/>
            <w:left w:val="none" w:sz="0" w:space="0" w:color="auto"/>
            <w:bottom w:val="none" w:sz="0" w:space="0" w:color="auto"/>
            <w:right w:val="none" w:sz="0" w:space="0" w:color="auto"/>
          </w:divBdr>
          <w:divsChild>
            <w:div w:id="1898785318">
              <w:marLeft w:val="0"/>
              <w:marRight w:val="0"/>
              <w:marTop w:val="0"/>
              <w:marBottom w:val="0"/>
              <w:divBdr>
                <w:top w:val="none" w:sz="0" w:space="0" w:color="auto"/>
                <w:left w:val="none" w:sz="0" w:space="0" w:color="auto"/>
                <w:bottom w:val="none" w:sz="0" w:space="0" w:color="auto"/>
                <w:right w:val="none" w:sz="0" w:space="0" w:color="auto"/>
              </w:divBdr>
            </w:div>
          </w:divsChild>
        </w:div>
        <w:div w:id="381759632">
          <w:marLeft w:val="0"/>
          <w:marRight w:val="0"/>
          <w:marTop w:val="0"/>
          <w:marBottom w:val="0"/>
          <w:divBdr>
            <w:top w:val="none" w:sz="0" w:space="0" w:color="auto"/>
            <w:left w:val="none" w:sz="0" w:space="0" w:color="auto"/>
            <w:bottom w:val="none" w:sz="0" w:space="0" w:color="auto"/>
            <w:right w:val="none" w:sz="0" w:space="0" w:color="auto"/>
          </w:divBdr>
          <w:divsChild>
            <w:div w:id="441801755">
              <w:marLeft w:val="0"/>
              <w:marRight w:val="0"/>
              <w:marTop w:val="0"/>
              <w:marBottom w:val="0"/>
              <w:divBdr>
                <w:top w:val="none" w:sz="0" w:space="0" w:color="auto"/>
                <w:left w:val="none" w:sz="0" w:space="0" w:color="auto"/>
                <w:bottom w:val="none" w:sz="0" w:space="0" w:color="auto"/>
                <w:right w:val="none" w:sz="0" w:space="0" w:color="auto"/>
              </w:divBdr>
            </w:div>
          </w:divsChild>
        </w:div>
        <w:div w:id="454569500">
          <w:marLeft w:val="0"/>
          <w:marRight w:val="0"/>
          <w:marTop w:val="0"/>
          <w:marBottom w:val="0"/>
          <w:divBdr>
            <w:top w:val="none" w:sz="0" w:space="0" w:color="auto"/>
            <w:left w:val="none" w:sz="0" w:space="0" w:color="auto"/>
            <w:bottom w:val="none" w:sz="0" w:space="0" w:color="auto"/>
            <w:right w:val="none" w:sz="0" w:space="0" w:color="auto"/>
          </w:divBdr>
          <w:divsChild>
            <w:div w:id="1488354614">
              <w:marLeft w:val="0"/>
              <w:marRight w:val="0"/>
              <w:marTop w:val="0"/>
              <w:marBottom w:val="0"/>
              <w:divBdr>
                <w:top w:val="none" w:sz="0" w:space="0" w:color="auto"/>
                <w:left w:val="none" w:sz="0" w:space="0" w:color="auto"/>
                <w:bottom w:val="none" w:sz="0" w:space="0" w:color="auto"/>
                <w:right w:val="none" w:sz="0" w:space="0" w:color="auto"/>
              </w:divBdr>
            </w:div>
          </w:divsChild>
        </w:div>
        <w:div w:id="487408380">
          <w:marLeft w:val="0"/>
          <w:marRight w:val="0"/>
          <w:marTop w:val="0"/>
          <w:marBottom w:val="0"/>
          <w:divBdr>
            <w:top w:val="none" w:sz="0" w:space="0" w:color="auto"/>
            <w:left w:val="none" w:sz="0" w:space="0" w:color="auto"/>
            <w:bottom w:val="none" w:sz="0" w:space="0" w:color="auto"/>
            <w:right w:val="none" w:sz="0" w:space="0" w:color="auto"/>
          </w:divBdr>
          <w:divsChild>
            <w:div w:id="1420784909">
              <w:marLeft w:val="0"/>
              <w:marRight w:val="0"/>
              <w:marTop w:val="0"/>
              <w:marBottom w:val="0"/>
              <w:divBdr>
                <w:top w:val="none" w:sz="0" w:space="0" w:color="auto"/>
                <w:left w:val="none" w:sz="0" w:space="0" w:color="auto"/>
                <w:bottom w:val="none" w:sz="0" w:space="0" w:color="auto"/>
                <w:right w:val="none" w:sz="0" w:space="0" w:color="auto"/>
              </w:divBdr>
            </w:div>
          </w:divsChild>
        </w:div>
        <w:div w:id="542596725">
          <w:marLeft w:val="0"/>
          <w:marRight w:val="0"/>
          <w:marTop w:val="0"/>
          <w:marBottom w:val="0"/>
          <w:divBdr>
            <w:top w:val="none" w:sz="0" w:space="0" w:color="auto"/>
            <w:left w:val="none" w:sz="0" w:space="0" w:color="auto"/>
            <w:bottom w:val="none" w:sz="0" w:space="0" w:color="auto"/>
            <w:right w:val="none" w:sz="0" w:space="0" w:color="auto"/>
          </w:divBdr>
          <w:divsChild>
            <w:div w:id="406878174">
              <w:marLeft w:val="0"/>
              <w:marRight w:val="0"/>
              <w:marTop w:val="0"/>
              <w:marBottom w:val="0"/>
              <w:divBdr>
                <w:top w:val="none" w:sz="0" w:space="0" w:color="auto"/>
                <w:left w:val="none" w:sz="0" w:space="0" w:color="auto"/>
                <w:bottom w:val="none" w:sz="0" w:space="0" w:color="auto"/>
                <w:right w:val="none" w:sz="0" w:space="0" w:color="auto"/>
              </w:divBdr>
            </w:div>
          </w:divsChild>
        </w:div>
        <w:div w:id="583422093">
          <w:marLeft w:val="0"/>
          <w:marRight w:val="0"/>
          <w:marTop w:val="0"/>
          <w:marBottom w:val="0"/>
          <w:divBdr>
            <w:top w:val="none" w:sz="0" w:space="0" w:color="auto"/>
            <w:left w:val="none" w:sz="0" w:space="0" w:color="auto"/>
            <w:bottom w:val="none" w:sz="0" w:space="0" w:color="auto"/>
            <w:right w:val="none" w:sz="0" w:space="0" w:color="auto"/>
          </w:divBdr>
          <w:divsChild>
            <w:div w:id="1912158897">
              <w:marLeft w:val="0"/>
              <w:marRight w:val="0"/>
              <w:marTop w:val="0"/>
              <w:marBottom w:val="0"/>
              <w:divBdr>
                <w:top w:val="none" w:sz="0" w:space="0" w:color="auto"/>
                <w:left w:val="none" w:sz="0" w:space="0" w:color="auto"/>
                <w:bottom w:val="none" w:sz="0" w:space="0" w:color="auto"/>
                <w:right w:val="none" w:sz="0" w:space="0" w:color="auto"/>
              </w:divBdr>
            </w:div>
          </w:divsChild>
        </w:div>
        <w:div w:id="747654456">
          <w:marLeft w:val="0"/>
          <w:marRight w:val="0"/>
          <w:marTop w:val="0"/>
          <w:marBottom w:val="0"/>
          <w:divBdr>
            <w:top w:val="none" w:sz="0" w:space="0" w:color="auto"/>
            <w:left w:val="none" w:sz="0" w:space="0" w:color="auto"/>
            <w:bottom w:val="none" w:sz="0" w:space="0" w:color="auto"/>
            <w:right w:val="none" w:sz="0" w:space="0" w:color="auto"/>
          </w:divBdr>
          <w:divsChild>
            <w:div w:id="347295380">
              <w:marLeft w:val="0"/>
              <w:marRight w:val="0"/>
              <w:marTop w:val="0"/>
              <w:marBottom w:val="0"/>
              <w:divBdr>
                <w:top w:val="none" w:sz="0" w:space="0" w:color="auto"/>
                <w:left w:val="none" w:sz="0" w:space="0" w:color="auto"/>
                <w:bottom w:val="none" w:sz="0" w:space="0" w:color="auto"/>
                <w:right w:val="none" w:sz="0" w:space="0" w:color="auto"/>
              </w:divBdr>
            </w:div>
          </w:divsChild>
        </w:div>
        <w:div w:id="786890793">
          <w:marLeft w:val="0"/>
          <w:marRight w:val="0"/>
          <w:marTop w:val="0"/>
          <w:marBottom w:val="0"/>
          <w:divBdr>
            <w:top w:val="none" w:sz="0" w:space="0" w:color="auto"/>
            <w:left w:val="none" w:sz="0" w:space="0" w:color="auto"/>
            <w:bottom w:val="none" w:sz="0" w:space="0" w:color="auto"/>
            <w:right w:val="none" w:sz="0" w:space="0" w:color="auto"/>
          </w:divBdr>
          <w:divsChild>
            <w:div w:id="1519734013">
              <w:marLeft w:val="0"/>
              <w:marRight w:val="0"/>
              <w:marTop w:val="0"/>
              <w:marBottom w:val="0"/>
              <w:divBdr>
                <w:top w:val="none" w:sz="0" w:space="0" w:color="auto"/>
                <w:left w:val="none" w:sz="0" w:space="0" w:color="auto"/>
                <w:bottom w:val="none" w:sz="0" w:space="0" w:color="auto"/>
                <w:right w:val="none" w:sz="0" w:space="0" w:color="auto"/>
              </w:divBdr>
            </w:div>
          </w:divsChild>
        </w:div>
        <w:div w:id="806512899">
          <w:marLeft w:val="0"/>
          <w:marRight w:val="0"/>
          <w:marTop w:val="0"/>
          <w:marBottom w:val="0"/>
          <w:divBdr>
            <w:top w:val="none" w:sz="0" w:space="0" w:color="auto"/>
            <w:left w:val="none" w:sz="0" w:space="0" w:color="auto"/>
            <w:bottom w:val="none" w:sz="0" w:space="0" w:color="auto"/>
            <w:right w:val="none" w:sz="0" w:space="0" w:color="auto"/>
          </w:divBdr>
          <w:divsChild>
            <w:div w:id="825438252">
              <w:marLeft w:val="0"/>
              <w:marRight w:val="0"/>
              <w:marTop w:val="0"/>
              <w:marBottom w:val="0"/>
              <w:divBdr>
                <w:top w:val="none" w:sz="0" w:space="0" w:color="auto"/>
                <w:left w:val="none" w:sz="0" w:space="0" w:color="auto"/>
                <w:bottom w:val="none" w:sz="0" w:space="0" w:color="auto"/>
                <w:right w:val="none" w:sz="0" w:space="0" w:color="auto"/>
              </w:divBdr>
            </w:div>
          </w:divsChild>
        </w:div>
        <w:div w:id="816071617">
          <w:marLeft w:val="0"/>
          <w:marRight w:val="0"/>
          <w:marTop w:val="0"/>
          <w:marBottom w:val="0"/>
          <w:divBdr>
            <w:top w:val="none" w:sz="0" w:space="0" w:color="auto"/>
            <w:left w:val="none" w:sz="0" w:space="0" w:color="auto"/>
            <w:bottom w:val="none" w:sz="0" w:space="0" w:color="auto"/>
            <w:right w:val="none" w:sz="0" w:space="0" w:color="auto"/>
          </w:divBdr>
          <w:divsChild>
            <w:div w:id="10574188">
              <w:marLeft w:val="0"/>
              <w:marRight w:val="0"/>
              <w:marTop w:val="0"/>
              <w:marBottom w:val="0"/>
              <w:divBdr>
                <w:top w:val="none" w:sz="0" w:space="0" w:color="auto"/>
                <w:left w:val="none" w:sz="0" w:space="0" w:color="auto"/>
                <w:bottom w:val="none" w:sz="0" w:space="0" w:color="auto"/>
                <w:right w:val="none" w:sz="0" w:space="0" w:color="auto"/>
              </w:divBdr>
            </w:div>
          </w:divsChild>
        </w:div>
        <w:div w:id="990520499">
          <w:marLeft w:val="0"/>
          <w:marRight w:val="0"/>
          <w:marTop w:val="0"/>
          <w:marBottom w:val="0"/>
          <w:divBdr>
            <w:top w:val="none" w:sz="0" w:space="0" w:color="auto"/>
            <w:left w:val="none" w:sz="0" w:space="0" w:color="auto"/>
            <w:bottom w:val="none" w:sz="0" w:space="0" w:color="auto"/>
            <w:right w:val="none" w:sz="0" w:space="0" w:color="auto"/>
          </w:divBdr>
          <w:divsChild>
            <w:div w:id="1628274285">
              <w:marLeft w:val="0"/>
              <w:marRight w:val="0"/>
              <w:marTop w:val="0"/>
              <w:marBottom w:val="0"/>
              <w:divBdr>
                <w:top w:val="none" w:sz="0" w:space="0" w:color="auto"/>
                <w:left w:val="none" w:sz="0" w:space="0" w:color="auto"/>
                <w:bottom w:val="none" w:sz="0" w:space="0" w:color="auto"/>
                <w:right w:val="none" w:sz="0" w:space="0" w:color="auto"/>
              </w:divBdr>
            </w:div>
          </w:divsChild>
        </w:div>
        <w:div w:id="997268171">
          <w:marLeft w:val="0"/>
          <w:marRight w:val="0"/>
          <w:marTop w:val="0"/>
          <w:marBottom w:val="0"/>
          <w:divBdr>
            <w:top w:val="none" w:sz="0" w:space="0" w:color="auto"/>
            <w:left w:val="none" w:sz="0" w:space="0" w:color="auto"/>
            <w:bottom w:val="none" w:sz="0" w:space="0" w:color="auto"/>
            <w:right w:val="none" w:sz="0" w:space="0" w:color="auto"/>
          </w:divBdr>
          <w:divsChild>
            <w:div w:id="1818495759">
              <w:marLeft w:val="0"/>
              <w:marRight w:val="0"/>
              <w:marTop w:val="0"/>
              <w:marBottom w:val="0"/>
              <w:divBdr>
                <w:top w:val="none" w:sz="0" w:space="0" w:color="auto"/>
                <w:left w:val="none" w:sz="0" w:space="0" w:color="auto"/>
                <w:bottom w:val="none" w:sz="0" w:space="0" w:color="auto"/>
                <w:right w:val="none" w:sz="0" w:space="0" w:color="auto"/>
              </w:divBdr>
            </w:div>
          </w:divsChild>
        </w:div>
        <w:div w:id="1021126485">
          <w:marLeft w:val="0"/>
          <w:marRight w:val="0"/>
          <w:marTop w:val="0"/>
          <w:marBottom w:val="0"/>
          <w:divBdr>
            <w:top w:val="none" w:sz="0" w:space="0" w:color="auto"/>
            <w:left w:val="none" w:sz="0" w:space="0" w:color="auto"/>
            <w:bottom w:val="none" w:sz="0" w:space="0" w:color="auto"/>
            <w:right w:val="none" w:sz="0" w:space="0" w:color="auto"/>
          </w:divBdr>
          <w:divsChild>
            <w:div w:id="1188056841">
              <w:marLeft w:val="0"/>
              <w:marRight w:val="0"/>
              <w:marTop w:val="0"/>
              <w:marBottom w:val="0"/>
              <w:divBdr>
                <w:top w:val="none" w:sz="0" w:space="0" w:color="auto"/>
                <w:left w:val="none" w:sz="0" w:space="0" w:color="auto"/>
                <w:bottom w:val="none" w:sz="0" w:space="0" w:color="auto"/>
                <w:right w:val="none" w:sz="0" w:space="0" w:color="auto"/>
              </w:divBdr>
            </w:div>
          </w:divsChild>
        </w:div>
        <w:div w:id="1067725459">
          <w:marLeft w:val="0"/>
          <w:marRight w:val="0"/>
          <w:marTop w:val="0"/>
          <w:marBottom w:val="0"/>
          <w:divBdr>
            <w:top w:val="none" w:sz="0" w:space="0" w:color="auto"/>
            <w:left w:val="none" w:sz="0" w:space="0" w:color="auto"/>
            <w:bottom w:val="none" w:sz="0" w:space="0" w:color="auto"/>
            <w:right w:val="none" w:sz="0" w:space="0" w:color="auto"/>
          </w:divBdr>
          <w:divsChild>
            <w:div w:id="1531264613">
              <w:marLeft w:val="0"/>
              <w:marRight w:val="0"/>
              <w:marTop w:val="0"/>
              <w:marBottom w:val="0"/>
              <w:divBdr>
                <w:top w:val="none" w:sz="0" w:space="0" w:color="auto"/>
                <w:left w:val="none" w:sz="0" w:space="0" w:color="auto"/>
                <w:bottom w:val="none" w:sz="0" w:space="0" w:color="auto"/>
                <w:right w:val="none" w:sz="0" w:space="0" w:color="auto"/>
              </w:divBdr>
            </w:div>
          </w:divsChild>
        </w:div>
        <w:div w:id="1132557012">
          <w:marLeft w:val="0"/>
          <w:marRight w:val="0"/>
          <w:marTop w:val="0"/>
          <w:marBottom w:val="0"/>
          <w:divBdr>
            <w:top w:val="none" w:sz="0" w:space="0" w:color="auto"/>
            <w:left w:val="none" w:sz="0" w:space="0" w:color="auto"/>
            <w:bottom w:val="none" w:sz="0" w:space="0" w:color="auto"/>
            <w:right w:val="none" w:sz="0" w:space="0" w:color="auto"/>
          </w:divBdr>
          <w:divsChild>
            <w:div w:id="1943562145">
              <w:marLeft w:val="0"/>
              <w:marRight w:val="0"/>
              <w:marTop w:val="0"/>
              <w:marBottom w:val="0"/>
              <w:divBdr>
                <w:top w:val="none" w:sz="0" w:space="0" w:color="auto"/>
                <w:left w:val="none" w:sz="0" w:space="0" w:color="auto"/>
                <w:bottom w:val="none" w:sz="0" w:space="0" w:color="auto"/>
                <w:right w:val="none" w:sz="0" w:space="0" w:color="auto"/>
              </w:divBdr>
            </w:div>
          </w:divsChild>
        </w:div>
        <w:div w:id="1140226750">
          <w:marLeft w:val="0"/>
          <w:marRight w:val="0"/>
          <w:marTop w:val="0"/>
          <w:marBottom w:val="0"/>
          <w:divBdr>
            <w:top w:val="none" w:sz="0" w:space="0" w:color="auto"/>
            <w:left w:val="none" w:sz="0" w:space="0" w:color="auto"/>
            <w:bottom w:val="none" w:sz="0" w:space="0" w:color="auto"/>
            <w:right w:val="none" w:sz="0" w:space="0" w:color="auto"/>
          </w:divBdr>
          <w:divsChild>
            <w:div w:id="1181041163">
              <w:marLeft w:val="0"/>
              <w:marRight w:val="0"/>
              <w:marTop w:val="0"/>
              <w:marBottom w:val="0"/>
              <w:divBdr>
                <w:top w:val="none" w:sz="0" w:space="0" w:color="auto"/>
                <w:left w:val="none" w:sz="0" w:space="0" w:color="auto"/>
                <w:bottom w:val="none" w:sz="0" w:space="0" w:color="auto"/>
                <w:right w:val="none" w:sz="0" w:space="0" w:color="auto"/>
              </w:divBdr>
            </w:div>
          </w:divsChild>
        </w:div>
        <w:div w:id="1179658101">
          <w:marLeft w:val="0"/>
          <w:marRight w:val="0"/>
          <w:marTop w:val="0"/>
          <w:marBottom w:val="0"/>
          <w:divBdr>
            <w:top w:val="none" w:sz="0" w:space="0" w:color="auto"/>
            <w:left w:val="none" w:sz="0" w:space="0" w:color="auto"/>
            <w:bottom w:val="none" w:sz="0" w:space="0" w:color="auto"/>
            <w:right w:val="none" w:sz="0" w:space="0" w:color="auto"/>
          </w:divBdr>
          <w:divsChild>
            <w:div w:id="1609854518">
              <w:marLeft w:val="0"/>
              <w:marRight w:val="0"/>
              <w:marTop w:val="0"/>
              <w:marBottom w:val="0"/>
              <w:divBdr>
                <w:top w:val="none" w:sz="0" w:space="0" w:color="auto"/>
                <w:left w:val="none" w:sz="0" w:space="0" w:color="auto"/>
                <w:bottom w:val="none" w:sz="0" w:space="0" w:color="auto"/>
                <w:right w:val="none" w:sz="0" w:space="0" w:color="auto"/>
              </w:divBdr>
            </w:div>
          </w:divsChild>
        </w:div>
        <w:div w:id="1260941187">
          <w:marLeft w:val="0"/>
          <w:marRight w:val="0"/>
          <w:marTop w:val="0"/>
          <w:marBottom w:val="0"/>
          <w:divBdr>
            <w:top w:val="none" w:sz="0" w:space="0" w:color="auto"/>
            <w:left w:val="none" w:sz="0" w:space="0" w:color="auto"/>
            <w:bottom w:val="none" w:sz="0" w:space="0" w:color="auto"/>
            <w:right w:val="none" w:sz="0" w:space="0" w:color="auto"/>
          </w:divBdr>
          <w:divsChild>
            <w:div w:id="1041250970">
              <w:marLeft w:val="0"/>
              <w:marRight w:val="0"/>
              <w:marTop w:val="0"/>
              <w:marBottom w:val="0"/>
              <w:divBdr>
                <w:top w:val="none" w:sz="0" w:space="0" w:color="auto"/>
                <w:left w:val="none" w:sz="0" w:space="0" w:color="auto"/>
                <w:bottom w:val="none" w:sz="0" w:space="0" w:color="auto"/>
                <w:right w:val="none" w:sz="0" w:space="0" w:color="auto"/>
              </w:divBdr>
            </w:div>
          </w:divsChild>
        </w:div>
        <w:div w:id="1357459170">
          <w:marLeft w:val="0"/>
          <w:marRight w:val="0"/>
          <w:marTop w:val="0"/>
          <w:marBottom w:val="0"/>
          <w:divBdr>
            <w:top w:val="none" w:sz="0" w:space="0" w:color="auto"/>
            <w:left w:val="none" w:sz="0" w:space="0" w:color="auto"/>
            <w:bottom w:val="none" w:sz="0" w:space="0" w:color="auto"/>
            <w:right w:val="none" w:sz="0" w:space="0" w:color="auto"/>
          </w:divBdr>
          <w:divsChild>
            <w:div w:id="2125031503">
              <w:marLeft w:val="0"/>
              <w:marRight w:val="0"/>
              <w:marTop w:val="0"/>
              <w:marBottom w:val="0"/>
              <w:divBdr>
                <w:top w:val="none" w:sz="0" w:space="0" w:color="auto"/>
                <w:left w:val="none" w:sz="0" w:space="0" w:color="auto"/>
                <w:bottom w:val="none" w:sz="0" w:space="0" w:color="auto"/>
                <w:right w:val="none" w:sz="0" w:space="0" w:color="auto"/>
              </w:divBdr>
            </w:div>
          </w:divsChild>
        </w:div>
        <w:div w:id="1404330329">
          <w:marLeft w:val="0"/>
          <w:marRight w:val="0"/>
          <w:marTop w:val="0"/>
          <w:marBottom w:val="0"/>
          <w:divBdr>
            <w:top w:val="none" w:sz="0" w:space="0" w:color="auto"/>
            <w:left w:val="none" w:sz="0" w:space="0" w:color="auto"/>
            <w:bottom w:val="none" w:sz="0" w:space="0" w:color="auto"/>
            <w:right w:val="none" w:sz="0" w:space="0" w:color="auto"/>
          </w:divBdr>
          <w:divsChild>
            <w:div w:id="1230729536">
              <w:marLeft w:val="0"/>
              <w:marRight w:val="0"/>
              <w:marTop w:val="0"/>
              <w:marBottom w:val="0"/>
              <w:divBdr>
                <w:top w:val="none" w:sz="0" w:space="0" w:color="auto"/>
                <w:left w:val="none" w:sz="0" w:space="0" w:color="auto"/>
                <w:bottom w:val="none" w:sz="0" w:space="0" w:color="auto"/>
                <w:right w:val="none" w:sz="0" w:space="0" w:color="auto"/>
              </w:divBdr>
            </w:div>
          </w:divsChild>
        </w:div>
        <w:div w:id="1660618866">
          <w:marLeft w:val="0"/>
          <w:marRight w:val="0"/>
          <w:marTop w:val="0"/>
          <w:marBottom w:val="0"/>
          <w:divBdr>
            <w:top w:val="none" w:sz="0" w:space="0" w:color="auto"/>
            <w:left w:val="none" w:sz="0" w:space="0" w:color="auto"/>
            <w:bottom w:val="none" w:sz="0" w:space="0" w:color="auto"/>
            <w:right w:val="none" w:sz="0" w:space="0" w:color="auto"/>
          </w:divBdr>
          <w:divsChild>
            <w:div w:id="1477331886">
              <w:marLeft w:val="0"/>
              <w:marRight w:val="0"/>
              <w:marTop w:val="0"/>
              <w:marBottom w:val="0"/>
              <w:divBdr>
                <w:top w:val="none" w:sz="0" w:space="0" w:color="auto"/>
                <w:left w:val="none" w:sz="0" w:space="0" w:color="auto"/>
                <w:bottom w:val="none" w:sz="0" w:space="0" w:color="auto"/>
                <w:right w:val="none" w:sz="0" w:space="0" w:color="auto"/>
              </w:divBdr>
            </w:div>
          </w:divsChild>
        </w:div>
        <w:div w:id="1720082634">
          <w:marLeft w:val="0"/>
          <w:marRight w:val="0"/>
          <w:marTop w:val="0"/>
          <w:marBottom w:val="0"/>
          <w:divBdr>
            <w:top w:val="none" w:sz="0" w:space="0" w:color="auto"/>
            <w:left w:val="none" w:sz="0" w:space="0" w:color="auto"/>
            <w:bottom w:val="none" w:sz="0" w:space="0" w:color="auto"/>
            <w:right w:val="none" w:sz="0" w:space="0" w:color="auto"/>
          </w:divBdr>
          <w:divsChild>
            <w:div w:id="666444515">
              <w:marLeft w:val="0"/>
              <w:marRight w:val="0"/>
              <w:marTop w:val="0"/>
              <w:marBottom w:val="0"/>
              <w:divBdr>
                <w:top w:val="none" w:sz="0" w:space="0" w:color="auto"/>
                <w:left w:val="none" w:sz="0" w:space="0" w:color="auto"/>
                <w:bottom w:val="none" w:sz="0" w:space="0" w:color="auto"/>
                <w:right w:val="none" w:sz="0" w:space="0" w:color="auto"/>
              </w:divBdr>
            </w:div>
          </w:divsChild>
        </w:div>
        <w:div w:id="1734035568">
          <w:marLeft w:val="0"/>
          <w:marRight w:val="0"/>
          <w:marTop w:val="0"/>
          <w:marBottom w:val="0"/>
          <w:divBdr>
            <w:top w:val="none" w:sz="0" w:space="0" w:color="auto"/>
            <w:left w:val="none" w:sz="0" w:space="0" w:color="auto"/>
            <w:bottom w:val="none" w:sz="0" w:space="0" w:color="auto"/>
            <w:right w:val="none" w:sz="0" w:space="0" w:color="auto"/>
          </w:divBdr>
          <w:divsChild>
            <w:div w:id="246883146">
              <w:marLeft w:val="0"/>
              <w:marRight w:val="0"/>
              <w:marTop w:val="0"/>
              <w:marBottom w:val="0"/>
              <w:divBdr>
                <w:top w:val="none" w:sz="0" w:space="0" w:color="auto"/>
                <w:left w:val="none" w:sz="0" w:space="0" w:color="auto"/>
                <w:bottom w:val="none" w:sz="0" w:space="0" w:color="auto"/>
                <w:right w:val="none" w:sz="0" w:space="0" w:color="auto"/>
              </w:divBdr>
            </w:div>
          </w:divsChild>
        </w:div>
        <w:div w:id="1809055924">
          <w:marLeft w:val="0"/>
          <w:marRight w:val="0"/>
          <w:marTop w:val="0"/>
          <w:marBottom w:val="0"/>
          <w:divBdr>
            <w:top w:val="none" w:sz="0" w:space="0" w:color="auto"/>
            <w:left w:val="none" w:sz="0" w:space="0" w:color="auto"/>
            <w:bottom w:val="none" w:sz="0" w:space="0" w:color="auto"/>
            <w:right w:val="none" w:sz="0" w:space="0" w:color="auto"/>
          </w:divBdr>
          <w:divsChild>
            <w:div w:id="4064713">
              <w:marLeft w:val="0"/>
              <w:marRight w:val="0"/>
              <w:marTop w:val="0"/>
              <w:marBottom w:val="0"/>
              <w:divBdr>
                <w:top w:val="none" w:sz="0" w:space="0" w:color="auto"/>
                <w:left w:val="none" w:sz="0" w:space="0" w:color="auto"/>
                <w:bottom w:val="none" w:sz="0" w:space="0" w:color="auto"/>
                <w:right w:val="none" w:sz="0" w:space="0" w:color="auto"/>
              </w:divBdr>
            </w:div>
          </w:divsChild>
        </w:div>
        <w:div w:id="1903102509">
          <w:marLeft w:val="0"/>
          <w:marRight w:val="0"/>
          <w:marTop w:val="0"/>
          <w:marBottom w:val="0"/>
          <w:divBdr>
            <w:top w:val="none" w:sz="0" w:space="0" w:color="auto"/>
            <w:left w:val="none" w:sz="0" w:space="0" w:color="auto"/>
            <w:bottom w:val="none" w:sz="0" w:space="0" w:color="auto"/>
            <w:right w:val="none" w:sz="0" w:space="0" w:color="auto"/>
          </w:divBdr>
          <w:divsChild>
            <w:div w:id="1221867410">
              <w:marLeft w:val="0"/>
              <w:marRight w:val="0"/>
              <w:marTop w:val="0"/>
              <w:marBottom w:val="0"/>
              <w:divBdr>
                <w:top w:val="none" w:sz="0" w:space="0" w:color="auto"/>
                <w:left w:val="none" w:sz="0" w:space="0" w:color="auto"/>
                <w:bottom w:val="none" w:sz="0" w:space="0" w:color="auto"/>
                <w:right w:val="none" w:sz="0" w:space="0" w:color="auto"/>
              </w:divBdr>
            </w:div>
          </w:divsChild>
        </w:div>
        <w:div w:id="1938057593">
          <w:marLeft w:val="0"/>
          <w:marRight w:val="0"/>
          <w:marTop w:val="0"/>
          <w:marBottom w:val="0"/>
          <w:divBdr>
            <w:top w:val="none" w:sz="0" w:space="0" w:color="auto"/>
            <w:left w:val="none" w:sz="0" w:space="0" w:color="auto"/>
            <w:bottom w:val="none" w:sz="0" w:space="0" w:color="auto"/>
            <w:right w:val="none" w:sz="0" w:space="0" w:color="auto"/>
          </w:divBdr>
          <w:divsChild>
            <w:div w:id="1154376721">
              <w:marLeft w:val="0"/>
              <w:marRight w:val="0"/>
              <w:marTop w:val="0"/>
              <w:marBottom w:val="0"/>
              <w:divBdr>
                <w:top w:val="none" w:sz="0" w:space="0" w:color="auto"/>
                <w:left w:val="none" w:sz="0" w:space="0" w:color="auto"/>
                <w:bottom w:val="none" w:sz="0" w:space="0" w:color="auto"/>
                <w:right w:val="none" w:sz="0" w:space="0" w:color="auto"/>
              </w:divBdr>
            </w:div>
          </w:divsChild>
        </w:div>
        <w:div w:id="2060741027">
          <w:marLeft w:val="0"/>
          <w:marRight w:val="0"/>
          <w:marTop w:val="0"/>
          <w:marBottom w:val="0"/>
          <w:divBdr>
            <w:top w:val="none" w:sz="0" w:space="0" w:color="auto"/>
            <w:left w:val="none" w:sz="0" w:space="0" w:color="auto"/>
            <w:bottom w:val="none" w:sz="0" w:space="0" w:color="auto"/>
            <w:right w:val="none" w:sz="0" w:space="0" w:color="auto"/>
          </w:divBdr>
          <w:divsChild>
            <w:div w:id="317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51467">
      <w:bodyDiv w:val="1"/>
      <w:marLeft w:val="0"/>
      <w:marRight w:val="0"/>
      <w:marTop w:val="0"/>
      <w:marBottom w:val="0"/>
      <w:divBdr>
        <w:top w:val="none" w:sz="0" w:space="0" w:color="auto"/>
        <w:left w:val="none" w:sz="0" w:space="0" w:color="auto"/>
        <w:bottom w:val="none" w:sz="0" w:space="0" w:color="auto"/>
        <w:right w:val="none" w:sz="0" w:space="0" w:color="auto"/>
      </w:divBdr>
    </w:div>
    <w:div w:id="1896894477">
      <w:bodyDiv w:val="1"/>
      <w:marLeft w:val="0"/>
      <w:marRight w:val="0"/>
      <w:marTop w:val="0"/>
      <w:marBottom w:val="0"/>
      <w:divBdr>
        <w:top w:val="none" w:sz="0" w:space="0" w:color="auto"/>
        <w:left w:val="none" w:sz="0" w:space="0" w:color="auto"/>
        <w:bottom w:val="none" w:sz="0" w:space="0" w:color="auto"/>
        <w:right w:val="none" w:sz="0" w:space="0" w:color="auto"/>
      </w:divBdr>
    </w:div>
    <w:div w:id="1919704614">
      <w:bodyDiv w:val="1"/>
      <w:marLeft w:val="0"/>
      <w:marRight w:val="0"/>
      <w:marTop w:val="0"/>
      <w:marBottom w:val="0"/>
      <w:divBdr>
        <w:top w:val="none" w:sz="0" w:space="0" w:color="auto"/>
        <w:left w:val="none" w:sz="0" w:space="0" w:color="auto"/>
        <w:bottom w:val="none" w:sz="0" w:space="0" w:color="auto"/>
        <w:right w:val="none" w:sz="0" w:space="0" w:color="auto"/>
      </w:divBdr>
    </w:div>
    <w:div w:id="1929851073">
      <w:bodyDiv w:val="1"/>
      <w:marLeft w:val="0"/>
      <w:marRight w:val="0"/>
      <w:marTop w:val="0"/>
      <w:marBottom w:val="0"/>
      <w:divBdr>
        <w:top w:val="none" w:sz="0" w:space="0" w:color="auto"/>
        <w:left w:val="none" w:sz="0" w:space="0" w:color="auto"/>
        <w:bottom w:val="none" w:sz="0" w:space="0" w:color="auto"/>
        <w:right w:val="none" w:sz="0" w:space="0" w:color="auto"/>
      </w:divBdr>
    </w:div>
    <w:div w:id="1933467374">
      <w:bodyDiv w:val="1"/>
      <w:marLeft w:val="0"/>
      <w:marRight w:val="0"/>
      <w:marTop w:val="0"/>
      <w:marBottom w:val="0"/>
      <w:divBdr>
        <w:top w:val="none" w:sz="0" w:space="0" w:color="auto"/>
        <w:left w:val="none" w:sz="0" w:space="0" w:color="auto"/>
        <w:bottom w:val="none" w:sz="0" w:space="0" w:color="auto"/>
        <w:right w:val="none" w:sz="0" w:space="0" w:color="auto"/>
      </w:divBdr>
    </w:div>
    <w:div w:id="1937519864">
      <w:bodyDiv w:val="1"/>
      <w:marLeft w:val="0"/>
      <w:marRight w:val="0"/>
      <w:marTop w:val="0"/>
      <w:marBottom w:val="0"/>
      <w:divBdr>
        <w:top w:val="none" w:sz="0" w:space="0" w:color="auto"/>
        <w:left w:val="none" w:sz="0" w:space="0" w:color="auto"/>
        <w:bottom w:val="none" w:sz="0" w:space="0" w:color="auto"/>
        <w:right w:val="none" w:sz="0" w:space="0" w:color="auto"/>
      </w:divBdr>
    </w:div>
    <w:div w:id="1946306728">
      <w:bodyDiv w:val="1"/>
      <w:marLeft w:val="0"/>
      <w:marRight w:val="0"/>
      <w:marTop w:val="0"/>
      <w:marBottom w:val="0"/>
      <w:divBdr>
        <w:top w:val="none" w:sz="0" w:space="0" w:color="auto"/>
        <w:left w:val="none" w:sz="0" w:space="0" w:color="auto"/>
        <w:bottom w:val="none" w:sz="0" w:space="0" w:color="auto"/>
        <w:right w:val="none" w:sz="0" w:space="0" w:color="auto"/>
      </w:divBdr>
    </w:div>
    <w:div w:id="1968046316">
      <w:bodyDiv w:val="1"/>
      <w:marLeft w:val="0"/>
      <w:marRight w:val="0"/>
      <w:marTop w:val="0"/>
      <w:marBottom w:val="0"/>
      <w:divBdr>
        <w:top w:val="none" w:sz="0" w:space="0" w:color="auto"/>
        <w:left w:val="none" w:sz="0" w:space="0" w:color="auto"/>
        <w:bottom w:val="none" w:sz="0" w:space="0" w:color="auto"/>
        <w:right w:val="none" w:sz="0" w:space="0" w:color="auto"/>
      </w:divBdr>
    </w:div>
    <w:div w:id="1979144796">
      <w:bodyDiv w:val="1"/>
      <w:marLeft w:val="0"/>
      <w:marRight w:val="0"/>
      <w:marTop w:val="0"/>
      <w:marBottom w:val="0"/>
      <w:divBdr>
        <w:top w:val="none" w:sz="0" w:space="0" w:color="auto"/>
        <w:left w:val="none" w:sz="0" w:space="0" w:color="auto"/>
        <w:bottom w:val="none" w:sz="0" w:space="0" w:color="auto"/>
        <w:right w:val="none" w:sz="0" w:space="0" w:color="auto"/>
      </w:divBdr>
    </w:div>
    <w:div w:id="2017614192">
      <w:bodyDiv w:val="1"/>
      <w:marLeft w:val="0"/>
      <w:marRight w:val="0"/>
      <w:marTop w:val="0"/>
      <w:marBottom w:val="0"/>
      <w:divBdr>
        <w:top w:val="none" w:sz="0" w:space="0" w:color="auto"/>
        <w:left w:val="none" w:sz="0" w:space="0" w:color="auto"/>
        <w:bottom w:val="none" w:sz="0" w:space="0" w:color="auto"/>
        <w:right w:val="none" w:sz="0" w:space="0" w:color="auto"/>
      </w:divBdr>
      <w:divsChild>
        <w:div w:id="6520173">
          <w:marLeft w:val="0"/>
          <w:marRight w:val="0"/>
          <w:marTop w:val="0"/>
          <w:marBottom w:val="0"/>
          <w:divBdr>
            <w:top w:val="none" w:sz="0" w:space="0" w:color="auto"/>
            <w:left w:val="none" w:sz="0" w:space="0" w:color="auto"/>
            <w:bottom w:val="none" w:sz="0" w:space="0" w:color="auto"/>
            <w:right w:val="none" w:sz="0" w:space="0" w:color="auto"/>
          </w:divBdr>
          <w:divsChild>
            <w:div w:id="1333990628">
              <w:marLeft w:val="0"/>
              <w:marRight w:val="0"/>
              <w:marTop w:val="0"/>
              <w:marBottom w:val="0"/>
              <w:divBdr>
                <w:top w:val="none" w:sz="0" w:space="0" w:color="auto"/>
                <w:left w:val="none" w:sz="0" w:space="0" w:color="auto"/>
                <w:bottom w:val="none" w:sz="0" w:space="0" w:color="auto"/>
                <w:right w:val="none" w:sz="0" w:space="0" w:color="auto"/>
              </w:divBdr>
            </w:div>
          </w:divsChild>
        </w:div>
        <w:div w:id="52319895">
          <w:marLeft w:val="0"/>
          <w:marRight w:val="0"/>
          <w:marTop w:val="0"/>
          <w:marBottom w:val="0"/>
          <w:divBdr>
            <w:top w:val="none" w:sz="0" w:space="0" w:color="auto"/>
            <w:left w:val="none" w:sz="0" w:space="0" w:color="auto"/>
            <w:bottom w:val="none" w:sz="0" w:space="0" w:color="auto"/>
            <w:right w:val="none" w:sz="0" w:space="0" w:color="auto"/>
          </w:divBdr>
          <w:divsChild>
            <w:div w:id="1189372198">
              <w:marLeft w:val="0"/>
              <w:marRight w:val="0"/>
              <w:marTop w:val="0"/>
              <w:marBottom w:val="0"/>
              <w:divBdr>
                <w:top w:val="none" w:sz="0" w:space="0" w:color="auto"/>
                <w:left w:val="none" w:sz="0" w:space="0" w:color="auto"/>
                <w:bottom w:val="none" w:sz="0" w:space="0" w:color="auto"/>
                <w:right w:val="none" w:sz="0" w:space="0" w:color="auto"/>
              </w:divBdr>
            </w:div>
          </w:divsChild>
        </w:div>
        <w:div w:id="85226854">
          <w:marLeft w:val="0"/>
          <w:marRight w:val="0"/>
          <w:marTop w:val="0"/>
          <w:marBottom w:val="0"/>
          <w:divBdr>
            <w:top w:val="none" w:sz="0" w:space="0" w:color="auto"/>
            <w:left w:val="none" w:sz="0" w:space="0" w:color="auto"/>
            <w:bottom w:val="none" w:sz="0" w:space="0" w:color="auto"/>
            <w:right w:val="none" w:sz="0" w:space="0" w:color="auto"/>
          </w:divBdr>
          <w:divsChild>
            <w:div w:id="2015762157">
              <w:marLeft w:val="0"/>
              <w:marRight w:val="0"/>
              <w:marTop w:val="0"/>
              <w:marBottom w:val="0"/>
              <w:divBdr>
                <w:top w:val="none" w:sz="0" w:space="0" w:color="auto"/>
                <w:left w:val="none" w:sz="0" w:space="0" w:color="auto"/>
                <w:bottom w:val="none" w:sz="0" w:space="0" w:color="auto"/>
                <w:right w:val="none" w:sz="0" w:space="0" w:color="auto"/>
              </w:divBdr>
            </w:div>
          </w:divsChild>
        </w:div>
        <w:div w:id="85418718">
          <w:marLeft w:val="0"/>
          <w:marRight w:val="0"/>
          <w:marTop w:val="0"/>
          <w:marBottom w:val="0"/>
          <w:divBdr>
            <w:top w:val="none" w:sz="0" w:space="0" w:color="auto"/>
            <w:left w:val="none" w:sz="0" w:space="0" w:color="auto"/>
            <w:bottom w:val="none" w:sz="0" w:space="0" w:color="auto"/>
            <w:right w:val="none" w:sz="0" w:space="0" w:color="auto"/>
          </w:divBdr>
          <w:divsChild>
            <w:div w:id="1484812459">
              <w:marLeft w:val="0"/>
              <w:marRight w:val="0"/>
              <w:marTop w:val="0"/>
              <w:marBottom w:val="0"/>
              <w:divBdr>
                <w:top w:val="none" w:sz="0" w:space="0" w:color="auto"/>
                <w:left w:val="none" w:sz="0" w:space="0" w:color="auto"/>
                <w:bottom w:val="none" w:sz="0" w:space="0" w:color="auto"/>
                <w:right w:val="none" w:sz="0" w:space="0" w:color="auto"/>
              </w:divBdr>
            </w:div>
          </w:divsChild>
        </w:div>
        <w:div w:id="122968771">
          <w:marLeft w:val="0"/>
          <w:marRight w:val="0"/>
          <w:marTop w:val="0"/>
          <w:marBottom w:val="0"/>
          <w:divBdr>
            <w:top w:val="none" w:sz="0" w:space="0" w:color="auto"/>
            <w:left w:val="none" w:sz="0" w:space="0" w:color="auto"/>
            <w:bottom w:val="none" w:sz="0" w:space="0" w:color="auto"/>
            <w:right w:val="none" w:sz="0" w:space="0" w:color="auto"/>
          </w:divBdr>
          <w:divsChild>
            <w:div w:id="2052456782">
              <w:marLeft w:val="0"/>
              <w:marRight w:val="0"/>
              <w:marTop w:val="0"/>
              <w:marBottom w:val="0"/>
              <w:divBdr>
                <w:top w:val="none" w:sz="0" w:space="0" w:color="auto"/>
                <w:left w:val="none" w:sz="0" w:space="0" w:color="auto"/>
                <w:bottom w:val="none" w:sz="0" w:space="0" w:color="auto"/>
                <w:right w:val="none" w:sz="0" w:space="0" w:color="auto"/>
              </w:divBdr>
            </w:div>
          </w:divsChild>
        </w:div>
        <w:div w:id="126433233">
          <w:marLeft w:val="0"/>
          <w:marRight w:val="0"/>
          <w:marTop w:val="0"/>
          <w:marBottom w:val="0"/>
          <w:divBdr>
            <w:top w:val="none" w:sz="0" w:space="0" w:color="auto"/>
            <w:left w:val="none" w:sz="0" w:space="0" w:color="auto"/>
            <w:bottom w:val="none" w:sz="0" w:space="0" w:color="auto"/>
            <w:right w:val="none" w:sz="0" w:space="0" w:color="auto"/>
          </w:divBdr>
          <w:divsChild>
            <w:div w:id="1397165657">
              <w:marLeft w:val="0"/>
              <w:marRight w:val="0"/>
              <w:marTop w:val="0"/>
              <w:marBottom w:val="0"/>
              <w:divBdr>
                <w:top w:val="none" w:sz="0" w:space="0" w:color="auto"/>
                <w:left w:val="none" w:sz="0" w:space="0" w:color="auto"/>
                <w:bottom w:val="none" w:sz="0" w:space="0" w:color="auto"/>
                <w:right w:val="none" w:sz="0" w:space="0" w:color="auto"/>
              </w:divBdr>
            </w:div>
          </w:divsChild>
        </w:div>
        <w:div w:id="136456573">
          <w:marLeft w:val="0"/>
          <w:marRight w:val="0"/>
          <w:marTop w:val="0"/>
          <w:marBottom w:val="0"/>
          <w:divBdr>
            <w:top w:val="none" w:sz="0" w:space="0" w:color="auto"/>
            <w:left w:val="none" w:sz="0" w:space="0" w:color="auto"/>
            <w:bottom w:val="none" w:sz="0" w:space="0" w:color="auto"/>
            <w:right w:val="none" w:sz="0" w:space="0" w:color="auto"/>
          </w:divBdr>
          <w:divsChild>
            <w:div w:id="271328802">
              <w:marLeft w:val="0"/>
              <w:marRight w:val="0"/>
              <w:marTop w:val="0"/>
              <w:marBottom w:val="0"/>
              <w:divBdr>
                <w:top w:val="none" w:sz="0" w:space="0" w:color="auto"/>
                <w:left w:val="none" w:sz="0" w:space="0" w:color="auto"/>
                <w:bottom w:val="none" w:sz="0" w:space="0" w:color="auto"/>
                <w:right w:val="none" w:sz="0" w:space="0" w:color="auto"/>
              </w:divBdr>
            </w:div>
          </w:divsChild>
        </w:div>
        <w:div w:id="224337863">
          <w:marLeft w:val="0"/>
          <w:marRight w:val="0"/>
          <w:marTop w:val="0"/>
          <w:marBottom w:val="0"/>
          <w:divBdr>
            <w:top w:val="none" w:sz="0" w:space="0" w:color="auto"/>
            <w:left w:val="none" w:sz="0" w:space="0" w:color="auto"/>
            <w:bottom w:val="none" w:sz="0" w:space="0" w:color="auto"/>
            <w:right w:val="none" w:sz="0" w:space="0" w:color="auto"/>
          </w:divBdr>
          <w:divsChild>
            <w:div w:id="52701984">
              <w:marLeft w:val="0"/>
              <w:marRight w:val="0"/>
              <w:marTop w:val="0"/>
              <w:marBottom w:val="0"/>
              <w:divBdr>
                <w:top w:val="none" w:sz="0" w:space="0" w:color="auto"/>
                <w:left w:val="none" w:sz="0" w:space="0" w:color="auto"/>
                <w:bottom w:val="none" w:sz="0" w:space="0" w:color="auto"/>
                <w:right w:val="none" w:sz="0" w:space="0" w:color="auto"/>
              </w:divBdr>
            </w:div>
          </w:divsChild>
        </w:div>
        <w:div w:id="249513025">
          <w:marLeft w:val="0"/>
          <w:marRight w:val="0"/>
          <w:marTop w:val="0"/>
          <w:marBottom w:val="0"/>
          <w:divBdr>
            <w:top w:val="none" w:sz="0" w:space="0" w:color="auto"/>
            <w:left w:val="none" w:sz="0" w:space="0" w:color="auto"/>
            <w:bottom w:val="none" w:sz="0" w:space="0" w:color="auto"/>
            <w:right w:val="none" w:sz="0" w:space="0" w:color="auto"/>
          </w:divBdr>
          <w:divsChild>
            <w:div w:id="2085948931">
              <w:marLeft w:val="0"/>
              <w:marRight w:val="0"/>
              <w:marTop w:val="0"/>
              <w:marBottom w:val="0"/>
              <w:divBdr>
                <w:top w:val="none" w:sz="0" w:space="0" w:color="auto"/>
                <w:left w:val="none" w:sz="0" w:space="0" w:color="auto"/>
                <w:bottom w:val="none" w:sz="0" w:space="0" w:color="auto"/>
                <w:right w:val="none" w:sz="0" w:space="0" w:color="auto"/>
              </w:divBdr>
            </w:div>
          </w:divsChild>
        </w:div>
        <w:div w:id="320423919">
          <w:marLeft w:val="0"/>
          <w:marRight w:val="0"/>
          <w:marTop w:val="0"/>
          <w:marBottom w:val="0"/>
          <w:divBdr>
            <w:top w:val="none" w:sz="0" w:space="0" w:color="auto"/>
            <w:left w:val="none" w:sz="0" w:space="0" w:color="auto"/>
            <w:bottom w:val="none" w:sz="0" w:space="0" w:color="auto"/>
            <w:right w:val="none" w:sz="0" w:space="0" w:color="auto"/>
          </w:divBdr>
          <w:divsChild>
            <w:div w:id="1727872151">
              <w:marLeft w:val="0"/>
              <w:marRight w:val="0"/>
              <w:marTop w:val="0"/>
              <w:marBottom w:val="0"/>
              <w:divBdr>
                <w:top w:val="none" w:sz="0" w:space="0" w:color="auto"/>
                <w:left w:val="none" w:sz="0" w:space="0" w:color="auto"/>
                <w:bottom w:val="none" w:sz="0" w:space="0" w:color="auto"/>
                <w:right w:val="none" w:sz="0" w:space="0" w:color="auto"/>
              </w:divBdr>
            </w:div>
          </w:divsChild>
        </w:div>
        <w:div w:id="455299854">
          <w:marLeft w:val="0"/>
          <w:marRight w:val="0"/>
          <w:marTop w:val="0"/>
          <w:marBottom w:val="0"/>
          <w:divBdr>
            <w:top w:val="none" w:sz="0" w:space="0" w:color="auto"/>
            <w:left w:val="none" w:sz="0" w:space="0" w:color="auto"/>
            <w:bottom w:val="none" w:sz="0" w:space="0" w:color="auto"/>
            <w:right w:val="none" w:sz="0" w:space="0" w:color="auto"/>
          </w:divBdr>
          <w:divsChild>
            <w:div w:id="739325446">
              <w:marLeft w:val="0"/>
              <w:marRight w:val="0"/>
              <w:marTop w:val="0"/>
              <w:marBottom w:val="0"/>
              <w:divBdr>
                <w:top w:val="none" w:sz="0" w:space="0" w:color="auto"/>
                <w:left w:val="none" w:sz="0" w:space="0" w:color="auto"/>
                <w:bottom w:val="none" w:sz="0" w:space="0" w:color="auto"/>
                <w:right w:val="none" w:sz="0" w:space="0" w:color="auto"/>
              </w:divBdr>
            </w:div>
          </w:divsChild>
        </w:div>
        <w:div w:id="655181551">
          <w:marLeft w:val="0"/>
          <w:marRight w:val="0"/>
          <w:marTop w:val="0"/>
          <w:marBottom w:val="0"/>
          <w:divBdr>
            <w:top w:val="none" w:sz="0" w:space="0" w:color="auto"/>
            <w:left w:val="none" w:sz="0" w:space="0" w:color="auto"/>
            <w:bottom w:val="none" w:sz="0" w:space="0" w:color="auto"/>
            <w:right w:val="none" w:sz="0" w:space="0" w:color="auto"/>
          </w:divBdr>
          <w:divsChild>
            <w:div w:id="1683824626">
              <w:marLeft w:val="0"/>
              <w:marRight w:val="0"/>
              <w:marTop w:val="0"/>
              <w:marBottom w:val="0"/>
              <w:divBdr>
                <w:top w:val="none" w:sz="0" w:space="0" w:color="auto"/>
                <w:left w:val="none" w:sz="0" w:space="0" w:color="auto"/>
                <w:bottom w:val="none" w:sz="0" w:space="0" w:color="auto"/>
                <w:right w:val="none" w:sz="0" w:space="0" w:color="auto"/>
              </w:divBdr>
            </w:div>
          </w:divsChild>
        </w:div>
        <w:div w:id="691954317">
          <w:marLeft w:val="0"/>
          <w:marRight w:val="0"/>
          <w:marTop w:val="0"/>
          <w:marBottom w:val="0"/>
          <w:divBdr>
            <w:top w:val="none" w:sz="0" w:space="0" w:color="auto"/>
            <w:left w:val="none" w:sz="0" w:space="0" w:color="auto"/>
            <w:bottom w:val="none" w:sz="0" w:space="0" w:color="auto"/>
            <w:right w:val="none" w:sz="0" w:space="0" w:color="auto"/>
          </w:divBdr>
          <w:divsChild>
            <w:div w:id="1852183714">
              <w:marLeft w:val="0"/>
              <w:marRight w:val="0"/>
              <w:marTop w:val="0"/>
              <w:marBottom w:val="0"/>
              <w:divBdr>
                <w:top w:val="none" w:sz="0" w:space="0" w:color="auto"/>
                <w:left w:val="none" w:sz="0" w:space="0" w:color="auto"/>
                <w:bottom w:val="none" w:sz="0" w:space="0" w:color="auto"/>
                <w:right w:val="none" w:sz="0" w:space="0" w:color="auto"/>
              </w:divBdr>
            </w:div>
          </w:divsChild>
        </w:div>
        <w:div w:id="755051965">
          <w:marLeft w:val="0"/>
          <w:marRight w:val="0"/>
          <w:marTop w:val="0"/>
          <w:marBottom w:val="0"/>
          <w:divBdr>
            <w:top w:val="none" w:sz="0" w:space="0" w:color="auto"/>
            <w:left w:val="none" w:sz="0" w:space="0" w:color="auto"/>
            <w:bottom w:val="none" w:sz="0" w:space="0" w:color="auto"/>
            <w:right w:val="none" w:sz="0" w:space="0" w:color="auto"/>
          </w:divBdr>
          <w:divsChild>
            <w:div w:id="1850102904">
              <w:marLeft w:val="0"/>
              <w:marRight w:val="0"/>
              <w:marTop w:val="0"/>
              <w:marBottom w:val="0"/>
              <w:divBdr>
                <w:top w:val="none" w:sz="0" w:space="0" w:color="auto"/>
                <w:left w:val="none" w:sz="0" w:space="0" w:color="auto"/>
                <w:bottom w:val="none" w:sz="0" w:space="0" w:color="auto"/>
                <w:right w:val="none" w:sz="0" w:space="0" w:color="auto"/>
              </w:divBdr>
            </w:div>
          </w:divsChild>
        </w:div>
        <w:div w:id="847017447">
          <w:marLeft w:val="0"/>
          <w:marRight w:val="0"/>
          <w:marTop w:val="0"/>
          <w:marBottom w:val="0"/>
          <w:divBdr>
            <w:top w:val="none" w:sz="0" w:space="0" w:color="auto"/>
            <w:left w:val="none" w:sz="0" w:space="0" w:color="auto"/>
            <w:bottom w:val="none" w:sz="0" w:space="0" w:color="auto"/>
            <w:right w:val="none" w:sz="0" w:space="0" w:color="auto"/>
          </w:divBdr>
          <w:divsChild>
            <w:div w:id="572352517">
              <w:marLeft w:val="0"/>
              <w:marRight w:val="0"/>
              <w:marTop w:val="0"/>
              <w:marBottom w:val="0"/>
              <w:divBdr>
                <w:top w:val="none" w:sz="0" w:space="0" w:color="auto"/>
                <w:left w:val="none" w:sz="0" w:space="0" w:color="auto"/>
                <w:bottom w:val="none" w:sz="0" w:space="0" w:color="auto"/>
                <w:right w:val="none" w:sz="0" w:space="0" w:color="auto"/>
              </w:divBdr>
            </w:div>
          </w:divsChild>
        </w:div>
        <w:div w:id="848954586">
          <w:marLeft w:val="0"/>
          <w:marRight w:val="0"/>
          <w:marTop w:val="0"/>
          <w:marBottom w:val="0"/>
          <w:divBdr>
            <w:top w:val="none" w:sz="0" w:space="0" w:color="auto"/>
            <w:left w:val="none" w:sz="0" w:space="0" w:color="auto"/>
            <w:bottom w:val="none" w:sz="0" w:space="0" w:color="auto"/>
            <w:right w:val="none" w:sz="0" w:space="0" w:color="auto"/>
          </w:divBdr>
          <w:divsChild>
            <w:div w:id="12418902">
              <w:marLeft w:val="0"/>
              <w:marRight w:val="0"/>
              <w:marTop w:val="0"/>
              <w:marBottom w:val="0"/>
              <w:divBdr>
                <w:top w:val="none" w:sz="0" w:space="0" w:color="auto"/>
                <w:left w:val="none" w:sz="0" w:space="0" w:color="auto"/>
                <w:bottom w:val="none" w:sz="0" w:space="0" w:color="auto"/>
                <w:right w:val="none" w:sz="0" w:space="0" w:color="auto"/>
              </w:divBdr>
            </w:div>
          </w:divsChild>
        </w:div>
        <w:div w:id="906111606">
          <w:marLeft w:val="0"/>
          <w:marRight w:val="0"/>
          <w:marTop w:val="0"/>
          <w:marBottom w:val="0"/>
          <w:divBdr>
            <w:top w:val="none" w:sz="0" w:space="0" w:color="auto"/>
            <w:left w:val="none" w:sz="0" w:space="0" w:color="auto"/>
            <w:bottom w:val="none" w:sz="0" w:space="0" w:color="auto"/>
            <w:right w:val="none" w:sz="0" w:space="0" w:color="auto"/>
          </w:divBdr>
          <w:divsChild>
            <w:div w:id="213473728">
              <w:marLeft w:val="0"/>
              <w:marRight w:val="0"/>
              <w:marTop w:val="0"/>
              <w:marBottom w:val="0"/>
              <w:divBdr>
                <w:top w:val="none" w:sz="0" w:space="0" w:color="auto"/>
                <w:left w:val="none" w:sz="0" w:space="0" w:color="auto"/>
                <w:bottom w:val="none" w:sz="0" w:space="0" w:color="auto"/>
                <w:right w:val="none" w:sz="0" w:space="0" w:color="auto"/>
              </w:divBdr>
            </w:div>
          </w:divsChild>
        </w:div>
        <w:div w:id="949432927">
          <w:marLeft w:val="0"/>
          <w:marRight w:val="0"/>
          <w:marTop w:val="0"/>
          <w:marBottom w:val="0"/>
          <w:divBdr>
            <w:top w:val="none" w:sz="0" w:space="0" w:color="auto"/>
            <w:left w:val="none" w:sz="0" w:space="0" w:color="auto"/>
            <w:bottom w:val="none" w:sz="0" w:space="0" w:color="auto"/>
            <w:right w:val="none" w:sz="0" w:space="0" w:color="auto"/>
          </w:divBdr>
          <w:divsChild>
            <w:div w:id="691809394">
              <w:marLeft w:val="0"/>
              <w:marRight w:val="0"/>
              <w:marTop w:val="0"/>
              <w:marBottom w:val="0"/>
              <w:divBdr>
                <w:top w:val="none" w:sz="0" w:space="0" w:color="auto"/>
                <w:left w:val="none" w:sz="0" w:space="0" w:color="auto"/>
                <w:bottom w:val="none" w:sz="0" w:space="0" w:color="auto"/>
                <w:right w:val="none" w:sz="0" w:space="0" w:color="auto"/>
              </w:divBdr>
            </w:div>
          </w:divsChild>
        </w:div>
        <w:div w:id="973603107">
          <w:marLeft w:val="0"/>
          <w:marRight w:val="0"/>
          <w:marTop w:val="0"/>
          <w:marBottom w:val="0"/>
          <w:divBdr>
            <w:top w:val="none" w:sz="0" w:space="0" w:color="auto"/>
            <w:left w:val="none" w:sz="0" w:space="0" w:color="auto"/>
            <w:bottom w:val="none" w:sz="0" w:space="0" w:color="auto"/>
            <w:right w:val="none" w:sz="0" w:space="0" w:color="auto"/>
          </w:divBdr>
          <w:divsChild>
            <w:div w:id="27994436">
              <w:marLeft w:val="0"/>
              <w:marRight w:val="0"/>
              <w:marTop w:val="0"/>
              <w:marBottom w:val="0"/>
              <w:divBdr>
                <w:top w:val="none" w:sz="0" w:space="0" w:color="auto"/>
                <w:left w:val="none" w:sz="0" w:space="0" w:color="auto"/>
                <w:bottom w:val="none" w:sz="0" w:space="0" w:color="auto"/>
                <w:right w:val="none" w:sz="0" w:space="0" w:color="auto"/>
              </w:divBdr>
            </w:div>
          </w:divsChild>
        </w:div>
        <w:div w:id="1001203803">
          <w:marLeft w:val="0"/>
          <w:marRight w:val="0"/>
          <w:marTop w:val="0"/>
          <w:marBottom w:val="0"/>
          <w:divBdr>
            <w:top w:val="none" w:sz="0" w:space="0" w:color="auto"/>
            <w:left w:val="none" w:sz="0" w:space="0" w:color="auto"/>
            <w:bottom w:val="none" w:sz="0" w:space="0" w:color="auto"/>
            <w:right w:val="none" w:sz="0" w:space="0" w:color="auto"/>
          </w:divBdr>
          <w:divsChild>
            <w:div w:id="1157837979">
              <w:marLeft w:val="0"/>
              <w:marRight w:val="0"/>
              <w:marTop w:val="0"/>
              <w:marBottom w:val="0"/>
              <w:divBdr>
                <w:top w:val="none" w:sz="0" w:space="0" w:color="auto"/>
                <w:left w:val="none" w:sz="0" w:space="0" w:color="auto"/>
                <w:bottom w:val="none" w:sz="0" w:space="0" w:color="auto"/>
                <w:right w:val="none" w:sz="0" w:space="0" w:color="auto"/>
              </w:divBdr>
            </w:div>
          </w:divsChild>
        </w:div>
        <w:div w:id="1035736531">
          <w:marLeft w:val="0"/>
          <w:marRight w:val="0"/>
          <w:marTop w:val="0"/>
          <w:marBottom w:val="0"/>
          <w:divBdr>
            <w:top w:val="none" w:sz="0" w:space="0" w:color="auto"/>
            <w:left w:val="none" w:sz="0" w:space="0" w:color="auto"/>
            <w:bottom w:val="none" w:sz="0" w:space="0" w:color="auto"/>
            <w:right w:val="none" w:sz="0" w:space="0" w:color="auto"/>
          </w:divBdr>
          <w:divsChild>
            <w:div w:id="196355963">
              <w:marLeft w:val="0"/>
              <w:marRight w:val="0"/>
              <w:marTop w:val="0"/>
              <w:marBottom w:val="0"/>
              <w:divBdr>
                <w:top w:val="none" w:sz="0" w:space="0" w:color="auto"/>
                <w:left w:val="none" w:sz="0" w:space="0" w:color="auto"/>
                <w:bottom w:val="none" w:sz="0" w:space="0" w:color="auto"/>
                <w:right w:val="none" w:sz="0" w:space="0" w:color="auto"/>
              </w:divBdr>
            </w:div>
          </w:divsChild>
        </w:div>
        <w:div w:id="1110080180">
          <w:marLeft w:val="0"/>
          <w:marRight w:val="0"/>
          <w:marTop w:val="0"/>
          <w:marBottom w:val="0"/>
          <w:divBdr>
            <w:top w:val="none" w:sz="0" w:space="0" w:color="auto"/>
            <w:left w:val="none" w:sz="0" w:space="0" w:color="auto"/>
            <w:bottom w:val="none" w:sz="0" w:space="0" w:color="auto"/>
            <w:right w:val="none" w:sz="0" w:space="0" w:color="auto"/>
          </w:divBdr>
          <w:divsChild>
            <w:div w:id="1969386015">
              <w:marLeft w:val="0"/>
              <w:marRight w:val="0"/>
              <w:marTop w:val="0"/>
              <w:marBottom w:val="0"/>
              <w:divBdr>
                <w:top w:val="none" w:sz="0" w:space="0" w:color="auto"/>
                <w:left w:val="none" w:sz="0" w:space="0" w:color="auto"/>
                <w:bottom w:val="none" w:sz="0" w:space="0" w:color="auto"/>
                <w:right w:val="none" w:sz="0" w:space="0" w:color="auto"/>
              </w:divBdr>
            </w:div>
          </w:divsChild>
        </w:div>
        <w:div w:id="1113331138">
          <w:marLeft w:val="0"/>
          <w:marRight w:val="0"/>
          <w:marTop w:val="0"/>
          <w:marBottom w:val="0"/>
          <w:divBdr>
            <w:top w:val="none" w:sz="0" w:space="0" w:color="auto"/>
            <w:left w:val="none" w:sz="0" w:space="0" w:color="auto"/>
            <w:bottom w:val="none" w:sz="0" w:space="0" w:color="auto"/>
            <w:right w:val="none" w:sz="0" w:space="0" w:color="auto"/>
          </w:divBdr>
          <w:divsChild>
            <w:div w:id="1255019393">
              <w:marLeft w:val="0"/>
              <w:marRight w:val="0"/>
              <w:marTop w:val="0"/>
              <w:marBottom w:val="0"/>
              <w:divBdr>
                <w:top w:val="none" w:sz="0" w:space="0" w:color="auto"/>
                <w:left w:val="none" w:sz="0" w:space="0" w:color="auto"/>
                <w:bottom w:val="none" w:sz="0" w:space="0" w:color="auto"/>
                <w:right w:val="none" w:sz="0" w:space="0" w:color="auto"/>
              </w:divBdr>
            </w:div>
          </w:divsChild>
        </w:div>
        <w:div w:id="1812290082">
          <w:marLeft w:val="0"/>
          <w:marRight w:val="0"/>
          <w:marTop w:val="0"/>
          <w:marBottom w:val="0"/>
          <w:divBdr>
            <w:top w:val="none" w:sz="0" w:space="0" w:color="auto"/>
            <w:left w:val="none" w:sz="0" w:space="0" w:color="auto"/>
            <w:bottom w:val="none" w:sz="0" w:space="0" w:color="auto"/>
            <w:right w:val="none" w:sz="0" w:space="0" w:color="auto"/>
          </w:divBdr>
          <w:divsChild>
            <w:div w:id="891884401">
              <w:marLeft w:val="0"/>
              <w:marRight w:val="0"/>
              <w:marTop w:val="0"/>
              <w:marBottom w:val="0"/>
              <w:divBdr>
                <w:top w:val="none" w:sz="0" w:space="0" w:color="auto"/>
                <w:left w:val="none" w:sz="0" w:space="0" w:color="auto"/>
                <w:bottom w:val="none" w:sz="0" w:space="0" w:color="auto"/>
                <w:right w:val="none" w:sz="0" w:space="0" w:color="auto"/>
              </w:divBdr>
            </w:div>
          </w:divsChild>
        </w:div>
        <w:div w:id="1812944772">
          <w:marLeft w:val="0"/>
          <w:marRight w:val="0"/>
          <w:marTop w:val="0"/>
          <w:marBottom w:val="0"/>
          <w:divBdr>
            <w:top w:val="none" w:sz="0" w:space="0" w:color="auto"/>
            <w:left w:val="none" w:sz="0" w:space="0" w:color="auto"/>
            <w:bottom w:val="none" w:sz="0" w:space="0" w:color="auto"/>
            <w:right w:val="none" w:sz="0" w:space="0" w:color="auto"/>
          </w:divBdr>
          <w:divsChild>
            <w:div w:id="486671830">
              <w:marLeft w:val="0"/>
              <w:marRight w:val="0"/>
              <w:marTop w:val="0"/>
              <w:marBottom w:val="0"/>
              <w:divBdr>
                <w:top w:val="none" w:sz="0" w:space="0" w:color="auto"/>
                <w:left w:val="none" w:sz="0" w:space="0" w:color="auto"/>
                <w:bottom w:val="none" w:sz="0" w:space="0" w:color="auto"/>
                <w:right w:val="none" w:sz="0" w:space="0" w:color="auto"/>
              </w:divBdr>
            </w:div>
          </w:divsChild>
        </w:div>
        <w:div w:id="1844474388">
          <w:marLeft w:val="0"/>
          <w:marRight w:val="0"/>
          <w:marTop w:val="0"/>
          <w:marBottom w:val="0"/>
          <w:divBdr>
            <w:top w:val="none" w:sz="0" w:space="0" w:color="auto"/>
            <w:left w:val="none" w:sz="0" w:space="0" w:color="auto"/>
            <w:bottom w:val="none" w:sz="0" w:space="0" w:color="auto"/>
            <w:right w:val="none" w:sz="0" w:space="0" w:color="auto"/>
          </w:divBdr>
          <w:divsChild>
            <w:div w:id="552887843">
              <w:marLeft w:val="0"/>
              <w:marRight w:val="0"/>
              <w:marTop w:val="0"/>
              <w:marBottom w:val="0"/>
              <w:divBdr>
                <w:top w:val="none" w:sz="0" w:space="0" w:color="auto"/>
                <w:left w:val="none" w:sz="0" w:space="0" w:color="auto"/>
                <w:bottom w:val="none" w:sz="0" w:space="0" w:color="auto"/>
                <w:right w:val="none" w:sz="0" w:space="0" w:color="auto"/>
              </w:divBdr>
            </w:div>
          </w:divsChild>
        </w:div>
        <w:div w:id="1858226645">
          <w:marLeft w:val="0"/>
          <w:marRight w:val="0"/>
          <w:marTop w:val="0"/>
          <w:marBottom w:val="0"/>
          <w:divBdr>
            <w:top w:val="none" w:sz="0" w:space="0" w:color="auto"/>
            <w:left w:val="none" w:sz="0" w:space="0" w:color="auto"/>
            <w:bottom w:val="none" w:sz="0" w:space="0" w:color="auto"/>
            <w:right w:val="none" w:sz="0" w:space="0" w:color="auto"/>
          </w:divBdr>
          <w:divsChild>
            <w:div w:id="1228418968">
              <w:marLeft w:val="0"/>
              <w:marRight w:val="0"/>
              <w:marTop w:val="0"/>
              <w:marBottom w:val="0"/>
              <w:divBdr>
                <w:top w:val="none" w:sz="0" w:space="0" w:color="auto"/>
                <w:left w:val="none" w:sz="0" w:space="0" w:color="auto"/>
                <w:bottom w:val="none" w:sz="0" w:space="0" w:color="auto"/>
                <w:right w:val="none" w:sz="0" w:space="0" w:color="auto"/>
              </w:divBdr>
            </w:div>
          </w:divsChild>
        </w:div>
        <w:div w:id="1986200805">
          <w:marLeft w:val="0"/>
          <w:marRight w:val="0"/>
          <w:marTop w:val="0"/>
          <w:marBottom w:val="0"/>
          <w:divBdr>
            <w:top w:val="none" w:sz="0" w:space="0" w:color="auto"/>
            <w:left w:val="none" w:sz="0" w:space="0" w:color="auto"/>
            <w:bottom w:val="none" w:sz="0" w:space="0" w:color="auto"/>
            <w:right w:val="none" w:sz="0" w:space="0" w:color="auto"/>
          </w:divBdr>
          <w:divsChild>
            <w:div w:id="767580803">
              <w:marLeft w:val="0"/>
              <w:marRight w:val="0"/>
              <w:marTop w:val="0"/>
              <w:marBottom w:val="0"/>
              <w:divBdr>
                <w:top w:val="none" w:sz="0" w:space="0" w:color="auto"/>
                <w:left w:val="none" w:sz="0" w:space="0" w:color="auto"/>
                <w:bottom w:val="none" w:sz="0" w:space="0" w:color="auto"/>
                <w:right w:val="none" w:sz="0" w:space="0" w:color="auto"/>
              </w:divBdr>
            </w:div>
          </w:divsChild>
        </w:div>
        <w:div w:id="2002273752">
          <w:marLeft w:val="0"/>
          <w:marRight w:val="0"/>
          <w:marTop w:val="0"/>
          <w:marBottom w:val="0"/>
          <w:divBdr>
            <w:top w:val="none" w:sz="0" w:space="0" w:color="auto"/>
            <w:left w:val="none" w:sz="0" w:space="0" w:color="auto"/>
            <w:bottom w:val="none" w:sz="0" w:space="0" w:color="auto"/>
            <w:right w:val="none" w:sz="0" w:space="0" w:color="auto"/>
          </w:divBdr>
          <w:divsChild>
            <w:div w:id="380062315">
              <w:marLeft w:val="0"/>
              <w:marRight w:val="0"/>
              <w:marTop w:val="0"/>
              <w:marBottom w:val="0"/>
              <w:divBdr>
                <w:top w:val="none" w:sz="0" w:space="0" w:color="auto"/>
                <w:left w:val="none" w:sz="0" w:space="0" w:color="auto"/>
                <w:bottom w:val="none" w:sz="0" w:space="0" w:color="auto"/>
                <w:right w:val="none" w:sz="0" w:space="0" w:color="auto"/>
              </w:divBdr>
            </w:div>
          </w:divsChild>
        </w:div>
        <w:div w:id="2052025749">
          <w:marLeft w:val="0"/>
          <w:marRight w:val="0"/>
          <w:marTop w:val="0"/>
          <w:marBottom w:val="0"/>
          <w:divBdr>
            <w:top w:val="none" w:sz="0" w:space="0" w:color="auto"/>
            <w:left w:val="none" w:sz="0" w:space="0" w:color="auto"/>
            <w:bottom w:val="none" w:sz="0" w:space="0" w:color="auto"/>
            <w:right w:val="none" w:sz="0" w:space="0" w:color="auto"/>
          </w:divBdr>
          <w:divsChild>
            <w:div w:id="1357923206">
              <w:marLeft w:val="0"/>
              <w:marRight w:val="0"/>
              <w:marTop w:val="0"/>
              <w:marBottom w:val="0"/>
              <w:divBdr>
                <w:top w:val="none" w:sz="0" w:space="0" w:color="auto"/>
                <w:left w:val="none" w:sz="0" w:space="0" w:color="auto"/>
                <w:bottom w:val="none" w:sz="0" w:space="0" w:color="auto"/>
                <w:right w:val="none" w:sz="0" w:space="0" w:color="auto"/>
              </w:divBdr>
            </w:div>
          </w:divsChild>
        </w:div>
        <w:div w:id="2087804529">
          <w:marLeft w:val="0"/>
          <w:marRight w:val="0"/>
          <w:marTop w:val="0"/>
          <w:marBottom w:val="0"/>
          <w:divBdr>
            <w:top w:val="none" w:sz="0" w:space="0" w:color="auto"/>
            <w:left w:val="none" w:sz="0" w:space="0" w:color="auto"/>
            <w:bottom w:val="none" w:sz="0" w:space="0" w:color="auto"/>
            <w:right w:val="none" w:sz="0" w:space="0" w:color="auto"/>
          </w:divBdr>
          <w:divsChild>
            <w:div w:id="606960402">
              <w:marLeft w:val="0"/>
              <w:marRight w:val="0"/>
              <w:marTop w:val="0"/>
              <w:marBottom w:val="0"/>
              <w:divBdr>
                <w:top w:val="none" w:sz="0" w:space="0" w:color="auto"/>
                <w:left w:val="none" w:sz="0" w:space="0" w:color="auto"/>
                <w:bottom w:val="none" w:sz="0" w:space="0" w:color="auto"/>
                <w:right w:val="none" w:sz="0" w:space="0" w:color="auto"/>
              </w:divBdr>
            </w:div>
          </w:divsChild>
        </w:div>
        <w:div w:id="2140294206">
          <w:marLeft w:val="0"/>
          <w:marRight w:val="0"/>
          <w:marTop w:val="0"/>
          <w:marBottom w:val="0"/>
          <w:divBdr>
            <w:top w:val="none" w:sz="0" w:space="0" w:color="auto"/>
            <w:left w:val="none" w:sz="0" w:space="0" w:color="auto"/>
            <w:bottom w:val="none" w:sz="0" w:space="0" w:color="auto"/>
            <w:right w:val="none" w:sz="0" w:space="0" w:color="auto"/>
          </w:divBdr>
          <w:divsChild>
            <w:div w:id="134744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50383">
      <w:bodyDiv w:val="1"/>
      <w:marLeft w:val="0"/>
      <w:marRight w:val="0"/>
      <w:marTop w:val="0"/>
      <w:marBottom w:val="0"/>
      <w:divBdr>
        <w:top w:val="none" w:sz="0" w:space="0" w:color="auto"/>
        <w:left w:val="none" w:sz="0" w:space="0" w:color="auto"/>
        <w:bottom w:val="none" w:sz="0" w:space="0" w:color="auto"/>
        <w:right w:val="none" w:sz="0" w:space="0" w:color="auto"/>
      </w:divBdr>
    </w:div>
    <w:div w:id="2042122754">
      <w:bodyDiv w:val="1"/>
      <w:marLeft w:val="0"/>
      <w:marRight w:val="0"/>
      <w:marTop w:val="0"/>
      <w:marBottom w:val="0"/>
      <w:divBdr>
        <w:top w:val="none" w:sz="0" w:space="0" w:color="auto"/>
        <w:left w:val="none" w:sz="0" w:space="0" w:color="auto"/>
        <w:bottom w:val="none" w:sz="0" w:space="0" w:color="auto"/>
        <w:right w:val="none" w:sz="0" w:space="0" w:color="auto"/>
      </w:divBdr>
    </w:div>
    <w:div w:id="2067875356">
      <w:bodyDiv w:val="1"/>
      <w:marLeft w:val="0"/>
      <w:marRight w:val="0"/>
      <w:marTop w:val="0"/>
      <w:marBottom w:val="0"/>
      <w:divBdr>
        <w:top w:val="none" w:sz="0" w:space="0" w:color="auto"/>
        <w:left w:val="none" w:sz="0" w:space="0" w:color="auto"/>
        <w:bottom w:val="none" w:sz="0" w:space="0" w:color="auto"/>
        <w:right w:val="none" w:sz="0" w:space="0" w:color="auto"/>
      </w:divBdr>
    </w:div>
    <w:div w:id="2083866439">
      <w:bodyDiv w:val="1"/>
      <w:marLeft w:val="0"/>
      <w:marRight w:val="0"/>
      <w:marTop w:val="0"/>
      <w:marBottom w:val="0"/>
      <w:divBdr>
        <w:top w:val="none" w:sz="0" w:space="0" w:color="auto"/>
        <w:left w:val="none" w:sz="0" w:space="0" w:color="auto"/>
        <w:bottom w:val="none" w:sz="0" w:space="0" w:color="auto"/>
        <w:right w:val="none" w:sz="0" w:space="0" w:color="auto"/>
      </w:divBdr>
    </w:div>
    <w:div w:id="213347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ommission.europa.eu/strategy-and-policy/priorities-2019-2024/economy-works-people/jobs-growth-and-investment/european-pillar-social-rights/european-pillar-social-rights-20-principles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nvironment.ec.europa.eu/topics/water/water-framework-directive/implementation-reports_en" TargetMode="External"/><Relationship Id="rId13" Type="http://schemas.openxmlformats.org/officeDocument/2006/relationships/hyperlink" Target="https://foreverpollution.eu/lobbying/" TargetMode="External"/><Relationship Id="rId18" Type="http://schemas.openxmlformats.org/officeDocument/2006/relationships/hyperlink" Target="https://ec.europa.eu/regional_policy/policy/communities-and-networks/cohesion-4-transition_en" TargetMode="External"/><Relationship Id="rId26" Type="http://schemas.openxmlformats.org/officeDocument/2006/relationships/hyperlink" Target="https://www.unwater.org/sites/default/files/2024-07/UN_System-wide_Strategy_for_Water_and_Sanitation_July2024_vs23July2024.pdf" TargetMode="External"/><Relationship Id="rId3" Type="http://schemas.openxmlformats.org/officeDocument/2006/relationships/hyperlink" Target="https://ec.europa.eu/eurostat/statistics-explained/index.php?title=Businesses_in_the_water_supply%2C_sewerage%2C_waste_management_and_remediation_sector&amp;utm_source=chatgpt.com" TargetMode="External"/><Relationship Id="rId21" Type="http://schemas.openxmlformats.org/officeDocument/2006/relationships/hyperlink" Target="https://www.fao.org/fao-who-codexalimentarius/sh-proxy/tr/?lnk=1&amp;url=https%253A%252F%252Fworkspace.fao.org%252Fsites%252Fcodex%252FStandards%252FCXG%2B100-2023%252FCXG_100e.pdf" TargetMode="External"/><Relationship Id="rId7" Type="http://schemas.openxmlformats.org/officeDocument/2006/relationships/hyperlink" Target="https://www.eea.europa.eu/en/analysis/publications/europes-state-of-water-2024" TargetMode="External"/><Relationship Id="rId12" Type="http://schemas.openxmlformats.org/officeDocument/2006/relationships/hyperlink" Target="https://www.norden.org/en/publication/cost-inaction-0" TargetMode="External"/><Relationship Id="rId17" Type="http://schemas.openxmlformats.org/officeDocument/2006/relationships/hyperlink" Target="https://commission.europa.eu/strategy-and-policy/priorities-2019-2024/economy-works-people/jobs-growth-and-investment/european-pillar-social-rights/european-pillar-social-rights-20-principles_en" TargetMode="External"/><Relationship Id="rId25" Type="http://schemas.openxmlformats.org/officeDocument/2006/relationships/hyperlink" Target="https://docs.un.org/fr/UNEP/EA.6/RES.13" TargetMode="External"/><Relationship Id="rId2" Type="http://schemas.openxmlformats.org/officeDocument/2006/relationships/hyperlink" Target="https://link.epo.org/web/publications/studies/en-innovation-in-water-related-technologies.pdf" TargetMode="External"/><Relationship Id="rId16" Type="http://schemas.openxmlformats.org/officeDocument/2006/relationships/hyperlink" Target="https://www.eea.europa.eu/en/analysis/publications/europes-state-of-water-2024" TargetMode="External"/><Relationship Id="rId20" Type="http://schemas.openxmlformats.org/officeDocument/2006/relationships/hyperlink" Target="https://docs.un.org/fr/A/RES/79/1" TargetMode="External"/><Relationship Id="rId29" Type="http://schemas.openxmlformats.org/officeDocument/2006/relationships/hyperlink" Target="https://www.eib.org/files/press/CommitmenttoWaterSecuritywithlogos.pdf" TargetMode="External"/><Relationship Id="rId1" Type="http://schemas.openxmlformats.org/officeDocument/2006/relationships/hyperlink" Target="https://ec.europa.eu/regional_policy/information-sources/cohesion-report_en" TargetMode="External"/><Relationship Id="rId6" Type="http://schemas.openxmlformats.org/officeDocument/2006/relationships/hyperlink" Target="http://data.europa.eu/eli/reg/2024/1991/oj" TargetMode="External"/><Relationship Id="rId11" Type="http://schemas.openxmlformats.org/officeDocument/2006/relationships/hyperlink" Target="https://environment.ec.europa.eu/publications/river-basin-management-changing-climate_en" TargetMode="External"/><Relationship Id="rId24" Type="http://schemas.openxmlformats.org/officeDocument/2006/relationships/hyperlink" Target="https://data.consilium.europa.eu/doc/document/ST-7443-2023-INIT/en/pdf" TargetMode="External"/><Relationship Id="rId5" Type="http://schemas.openxmlformats.org/officeDocument/2006/relationships/hyperlink" Target="http://data.europa.eu/eli/dir/2007/60/oj" TargetMode="External"/><Relationship Id="rId15" Type="http://schemas.openxmlformats.org/officeDocument/2006/relationships/hyperlink" Target="https://www.eea.europa.eu/en/analysis/publications/europes-state-of-water-2024" TargetMode="External"/><Relationship Id="rId23" Type="http://schemas.openxmlformats.org/officeDocument/2006/relationships/hyperlink" Target="https://sdgs.un.org/conferences/water2023/action-agenda" TargetMode="External"/><Relationship Id="rId28" Type="http://schemas.openxmlformats.org/officeDocument/2006/relationships/hyperlink" Target="https://www.energy-community.org/legal/treaty.html" TargetMode="External"/><Relationship Id="rId10" Type="http://schemas.openxmlformats.org/officeDocument/2006/relationships/hyperlink" Target="https://environment.ec.europa.eu/document/880573b8-3812-49b9-8ca5-53484338f1f1_en" TargetMode="External"/><Relationship Id="rId19" Type="http://schemas.openxmlformats.org/officeDocument/2006/relationships/hyperlink" Target="http://data.europa.eu/doi/10.2801/438491" TargetMode="External"/><Relationship Id="rId4" Type="http://schemas.openxmlformats.org/officeDocument/2006/relationships/hyperlink" Target="http://data.europa.eu/eli/dir/2000/60/oj" TargetMode="External"/><Relationship Id="rId9" Type="http://schemas.openxmlformats.org/officeDocument/2006/relationships/hyperlink" Target="https://environment.ec.europa.eu/document/659eea3a-8a00-410e-bc2f-f94baf210c9b_en" TargetMode="External"/><Relationship Id="rId14" Type="http://schemas.openxmlformats.org/officeDocument/2006/relationships/hyperlink" Target="https://energy.ec.europa.eu/topics/energy-efficiency/energy-efficiency-targets-directive-and-rules/energy-efficiency-first-principle_en" TargetMode="External"/><Relationship Id="rId22" Type="http://schemas.openxmlformats.org/officeDocument/2006/relationships/hyperlink" Target="https://civil-protection-humanitarian-aid.ec.europa.eu/what/humanitarian-aid/climate-change-and-environment_fr" TargetMode="External"/><Relationship Id="rId27" Type="http://schemas.openxmlformats.org/officeDocument/2006/relationships/hyperlink" Target="https://commission.europa.eu/strategy-and-policy/priorities-2019-2024/stronger-europe-world/global-gateway_fr" TargetMode="External"/><Relationship Id="rId30" Type="http://schemas.openxmlformats.org/officeDocument/2006/relationships/hyperlink" Target="https://www.cbd.int/gbf/targ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B673FE53DE948812005833C5F7879" ma:contentTypeVersion="3" ma:contentTypeDescription="Create a new document." ma:contentTypeScope="" ma:versionID="cc104c7e1bf9bb568d4dc6102f431da2">
  <xsd:schema xmlns:xsd="http://www.w3.org/2001/XMLSchema" xmlns:xs="http://www.w3.org/2001/XMLSchema" xmlns:p="http://schemas.microsoft.com/office/2006/metadata/properties" xmlns:ns2="bdc353f2-37e9-4052-891e-6bd848fc7366" targetNamespace="http://schemas.microsoft.com/office/2006/metadata/properties" ma:root="true" ma:fieldsID="b672112b7c59b3e6e9bfa50670350569" ns2:_="">
    <xsd:import namespace="bdc353f2-37e9-4052-891e-6bd848fc73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353f2-37e9-4052-891e-6bd848fc7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9EA67-1060-4116-8468-0A18040EA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353f2-37e9-4052-891e-6bd848fc73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F21C7-9930-4F8F-A779-C0691C168BE3}">
  <ds:schemaRefs>
    <ds:schemaRef ds:uri="http://schemas.microsoft.com/sharepoint/v3/contenttype/forms"/>
  </ds:schemaRefs>
</ds:datastoreItem>
</file>

<file path=customXml/itemProps3.xml><?xml version="1.0" encoding="utf-8"?>
<ds:datastoreItem xmlns:ds="http://schemas.openxmlformats.org/officeDocument/2006/customXml" ds:itemID="{F6883342-D903-4D4E-82D6-3B04A2F0E4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BC016B-39B2-4C01-BA9D-398B11FF1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14651</Words>
  <Characters>83512</Characters>
  <Application>Microsoft Office Word</Application>
  <DocSecurity>0</DocSecurity>
  <Lines>695</Lines>
  <Paragraphs>195</Paragraphs>
  <ScaleCrop>false</ScaleCrop>
  <Manager/>
  <Company/>
  <LinksUpToDate>false</LinksUpToDate>
  <CharactersWithSpaces>97968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2025-06-03T13:33:00Z</dcterms:created>
  <dcterms:modified xsi:type="dcterms:W3CDTF">2025-06-24T10:03:00Z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2025-06-01T10:23:17Z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ab3051ef-c7a5-4860-a8b6-b50a2f8e8d7d</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fmtid="{D5CDD505-2E9C-101B-9397-08002B2CF9AE}" pid="15" name="ContentTypeId">
    <vt:lpwstr>0x010100C41B673FE53DE948812005833C5F7879</vt:lpwstr>
  </property>
</Properties>
</file>