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698D7" w14:textId="3A546BE4" w:rsidR="00A72AA5" w:rsidRPr="009F333A" w:rsidRDefault="002A3248" w:rsidP="002A3248">
      <w:pPr>
        <w:pStyle w:val="Pagedecouverture"/>
        <w:rPr>
          <w:noProof/>
        </w:rPr>
      </w:pPr>
      <w:bookmarkStart w:id="0" w:name="LW_BM_COVERPAGE"/>
      <w:r>
        <w:rPr>
          <w:noProof/>
        </w:rPr>
        <w:pict w14:anchorId="3FA35E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AC7D708-269A-437B-A60A-3D59DAED6299" style="width:455.25pt;height:324pt">
            <v:imagedata r:id="rId11" o:title=""/>
          </v:shape>
        </w:pict>
      </w:r>
    </w:p>
    <w:bookmarkEnd w:id="0"/>
    <w:p w14:paraId="385A1CEF" w14:textId="1F7A8E47" w:rsidR="005354D2" w:rsidRPr="009F333A" w:rsidRDefault="005354D2" w:rsidP="5CF6D586">
      <w:pPr>
        <w:pStyle w:val="Pagedecouverture"/>
        <w:rPr>
          <w:noProof/>
        </w:rPr>
        <w:sectPr w:rsidR="005354D2" w:rsidRPr="009F333A" w:rsidSect="002A324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1C3D456" w14:textId="77777777" w:rsidR="0027310C" w:rsidRPr="002234C8" w:rsidRDefault="0027310C" w:rsidP="0027310C">
      <w:pPr>
        <w:spacing w:after="0"/>
        <w:jc w:val="center"/>
        <w:rPr>
          <w:rFonts w:ascii="Times New Roman" w:hAnsi="Times New Roman" w:cs="Times New Roman"/>
          <w:b/>
          <w:bCs/>
          <w:noProof/>
        </w:rPr>
      </w:pPr>
      <w:bookmarkStart w:id="1" w:name="_GoBack"/>
      <w:bookmarkEnd w:id="1"/>
    </w:p>
    <w:p w14:paraId="6F773E9D" w14:textId="16A77B8F" w:rsidR="004064F2" w:rsidRPr="002234C8" w:rsidRDefault="0027310C" w:rsidP="00EF2686">
      <w:pPr>
        <w:spacing w:after="0"/>
        <w:jc w:val="center"/>
        <w:rPr>
          <w:rFonts w:ascii="Times New Roman" w:hAnsi="Times New Roman" w:cs="Times New Roman"/>
          <w:b/>
          <w:bCs/>
          <w:noProof/>
        </w:rPr>
      </w:pPr>
      <w:r w:rsidRPr="002234C8">
        <w:rPr>
          <w:rFonts w:ascii="Times New Roman" w:hAnsi="Times New Roman"/>
          <w:b/>
          <w:noProof/>
        </w:rPr>
        <w:t>O Strategie europeană pentru reziliența în domeniul apei</w:t>
      </w:r>
    </w:p>
    <w:p w14:paraId="48FDC3F9" w14:textId="77777777" w:rsidR="009C4DF6" w:rsidRPr="002234C8" w:rsidRDefault="009C4DF6" w:rsidP="00EF2686">
      <w:pPr>
        <w:spacing w:after="0"/>
        <w:jc w:val="center"/>
        <w:rPr>
          <w:rFonts w:ascii="Times New Roman" w:hAnsi="Times New Roman" w:cs="Times New Roman"/>
          <w:b/>
          <w:bCs/>
          <w:noProof/>
        </w:rPr>
      </w:pPr>
    </w:p>
    <w:p w14:paraId="4F6A6FE3" w14:textId="0390AD01" w:rsidR="00D363D9" w:rsidRPr="002234C8" w:rsidRDefault="003C6836" w:rsidP="009C4DF6">
      <w:pPr>
        <w:pStyle w:val="Heading1"/>
        <w:spacing w:after="240"/>
        <w:jc w:val="both"/>
        <w:rPr>
          <w:rFonts w:ascii="Times New Roman" w:hAnsi="Times New Roman" w:cs="Times New Roman"/>
          <w:b/>
          <w:smallCaps/>
          <w:noProof/>
          <w:color w:val="000000" w:themeColor="text1"/>
          <w:sz w:val="24"/>
          <w:szCs w:val="24"/>
        </w:rPr>
      </w:pPr>
      <w:r w:rsidRPr="002234C8">
        <w:rPr>
          <w:rFonts w:ascii="Times New Roman" w:hAnsi="Times New Roman"/>
          <w:b/>
          <w:smallCaps/>
          <w:noProof/>
          <w:color w:val="000000" w:themeColor="text1"/>
          <w:sz w:val="24"/>
        </w:rPr>
        <w:t>1.</w:t>
      </w:r>
      <w:r>
        <w:rPr>
          <w:noProof/>
        </w:rPr>
        <w:tab/>
      </w:r>
      <w:r w:rsidRPr="002234C8">
        <w:rPr>
          <w:rFonts w:ascii="Times New Roman" w:hAnsi="Times New Roman"/>
          <w:b/>
          <w:smallCaps/>
          <w:noProof/>
          <w:color w:val="000000" w:themeColor="text1"/>
          <w:sz w:val="24"/>
        </w:rPr>
        <w:t>Introducere – Stabilirea contextului</w:t>
      </w:r>
    </w:p>
    <w:p w14:paraId="13A0BD3F" w14:textId="20F7F12A" w:rsidR="00A70073" w:rsidRPr="00BF5352" w:rsidRDefault="00D363D9" w:rsidP="009C4DF6">
      <w:pPr>
        <w:spacing w:after="240" w:line="240" w:lineRule="auto"/>
        <w:jc w:val="both"/>
        <w:rPr>
          <w:rFonts w:ascii="Times New Roman" w:hAnsi="Times New Roman" w:cs="Times New Roman"/>
          <w:noProof/>
        </w:rPr>
      </w:pPr>
      <w:r w:rsidRPr="002234C8">
        <w:rPr>
          <w:rFonts w:ascii="Times New Roman" w:hAnsi="Times New Roman"/>
          <w:b/>
          <w:noProof/>
        </w:rPr>
        <w:t>Apa este viață</w:t>
      </w:r>
      <w:r>
        <w:rPr>
          <w:rFonts w:ascii="Times New Roman" w:hAnsi="Times New Roman"/>
          <w:noProof/>
        </w:rPr>
        <w:t xml:space="preserve">. Ființele umane, majoritatea speciilor și natura în care trăim și de care depindem nu pot supraviețui fără apă. Mediul nostru, economia noastră, securitatea noastră alimentară și energetică și calitatea vieții noastre se bazează pe o aprovizionare stabilă cu apă de calitate adecvată. </w:t>
      </w:r>
    </w:p>
    <w:p w14:paraId="569D0D1D" w14:textId="2AED0B94" w:rsidR="002E2466" w:rsidRPr="00B301AF" w:rsidRDefault="00A70073" w:rsidP="009C4DF6">
      <w:pPr>
        <w:spacing w:after="240" w:line="240" w:lineRule="auto"/>
        <w:jc w:val="both"/>
        <w:rPr>
          <w:rFonts w:ascii="Times New Roman" w:hAnsi="Times New Roman" w:cs="Times New Roman"/>
          <w:noProof/>
        </w:rPr>
      </w:pPr>
      <w:r w:rsidRPr="002234C8">
        <w:rPr>
          <w:rFonts w:ascii="Times New Roman" w:hAnsi="Times New Roman"/>
          <w:b/>
          <w:noProof/>
        </w:rPr>
        <w:t xml:space="preserve">Cu toate acestea, astăzi nu mai putem considera că apa este de la sine înțeleasă, iar acest lucru afectează cetățenii, întreprinderile și mediul. </w:t>
      </w:r>
      <w:r>
        <w:rPr>
          <w:rFonts w:ascii="Times New Roman" w:hAnsi="Times New Roman"/>
          <w:noProof/>
        </w:rPr>
        <w:t>Europa este continentul cu cea mai rapidă încălzire a Pământului din cauza schimbărilor climatice. Efectele schimbărilor climatice, cum ar fi căldura extremă, inundațiile catastrofale, secetele prelungite și incendiile forestiere, sunt din ce în ce mai frecvente și mai grave și vor continua să se intensifice. Aceste evenimente provoacă efecte asupra sănătății și decese premature, perturbări ale aprovizionării cu energie și cu apă potabilă și pierderi economice</w:t>
      </w:r>
      <w:r>
        <w:rPr>
          <w:rStyle w:val="FootnoteReference"/>
          <w:rFonts w:ascii="Times New Roman" w:hAnsi="Times New Roman" w:cs="Times New Roman"/>
          <w:noProof/>
        </w:rPr>
        <w:footnoteReference w:id="2"/>
      </w:r>
      <w:r>
        <w:rPr>
          <w:rFonts w:ascii="Times New Roman" w:hAnsi="Times New Roman"/>
          <w:noProof/>
        </w:rPr>
        <w:t xml:space="preserve"> tot mai mari pentru întreprinderi, fermieri</w:t>
      </w:r>
      <w:r>
        <w:rPr>
          <w:rFonts w:ascii="Times New Roman" w:hAnsi="Times New Roman"/>
          <w:noProof/>
          <w:color w:val="000000" w:themeColor="text1"/>
        </w:rPr>
        <w:t xml:space="preserve"> și acvacultură. </w:t>
      </w:r>
      <w:r>
        <w:rPr>
          <w:rFonts w:ascii="Times New Roman" w:hAnsi="Times New Roman"/>
          <w:noProof/>
        </w:rPr>
        <w:t>Dacă nu sunt abordate, inegalitățile legate de apă pot afecta coeziunea economică, socială și teritorială generală a UE</w:t>
      </w:r>
      <w:r>
        <w:rPr>
          <w:rStyle w:val="FootnoteReference"/>
          <w:rFonts w:ascii="Times New Roman" w:hAnsi="Times New Roman" w:cs="Times New Roman"/>
          <w:noProof/>
        </w:rPr>
        <w:footnoteReference w:id="3"/>
      </w:r>
      <w:r>
        <w:rPr>
          <w:rFonts w:ascii="Times New Roman" w:hAnsi="Times New Roman"/>
          <w:noProof/>
        </w:rPr>
        <w:t xml:space="preserve"> și la nivel mondial. Acest lucru este valabil în special pentru regiunile ultraperiferice ale UE, unde presiunile climatice și lacunele în materie de infrastructură fac ca accesul la apă curată și sigură să fie deosebit de dificil. </w:t>
      </w:r>
      <w:r w:rsidRPr="002234C8">
        <w:rPr>
          <w:rFonts w:ascii="Times New Roman" w:hAnsi="Times New Roman"/>
          <w:b/>
          <w:noProof/>
        </w:rPr>
        <w:t>Accesul la apă curată și la un preț accesibil este un drept al omului și un bun public.</w:t>
      </w:r>
    </w:p>
    <w:p w14:paraId="1325468D" w14:textId="05D1A9A1" w:rsidR="005A0954" w:rsidRPr="009C4DF6" w:rsidRDefault="746BE677" w:rsidP="009C4DF6">
      <w:pPr>
        <w:spacing w:after="240" w:line="240" w:lineRule="auto"/>
        <w:jc w:val="both"/>
        <w:rPr>
          <w:rFonts w:ascii="Times New Roman" w:hAnsi="Times New Roman" w:cs="Times New Roman"/>
          <w:noProof/>
        </w:rPr>
      </w:pPr>
      <w:r w:rsidRPr="002234C8">
        <w:rPr>
          <w:rFonts w:ascii="Times New Roman" w:hAnsi="Times New Roman"/>
          <w:b/>
          <w:noProof/>
        </w:rPr>
        <w:t>Reziliența în domeniul apei este o chestiune de securitate și de pregătire pentru situații de criză pentru UE.</w:t>
      </w:r>
      <w:r>
        <w:rPr>
          <w:rFonts w:ascii="Times New Roman" w:hAnsi="Times New Roman"/>
          <w:noProof/>
        </w:rPr>
        <w:t xml:space="preserve"> Apa este o necesitate de bază și o resursă critică. Astfel cum s-a subliniat în strategia privind o uniune a pregătirii pentru situații de criză, securitatea aprovizionării cu apă dulce curată și la prețuri accesibile trebuie să fie „o prioritate orientativă” pentru Uniune</w:t>
      </w:r>
      <w:r>
        <w:rPr>
          <w:rStyle w:val="FootnoteReference"/>
          <w:rFonts w:ascii="Times New Roman" w:hAnsi="Times New Roman" w:cs="Times New Roman"/>
          <w:noProof/>
        </w:rPr>
        <w:footnoteReference w:id="4"/>
      </w:r>
      <w:r>
        <w:rPr>
          <w:noProof/>
        </w:rPr>
        <w:t>.</w:t>
      </w:r>
      <w:r>
        <w:rPr>
          <w:rFonts w:ascii="Times New Roman" w:hAnsi="Times New Roman"/>
          <w:noProof/>
        </w:rPr>
        <w:t xml:space="preserve"> </w:t>
      </w:r>
    </w:p>
    <w:p w14:paraId="249193B1" w14:textId="50935467" w:rsidR="003C1DA4" w:rsidRPr="00BF5352" w:rsidRDefault="5FFAC9F5" w:rsidP="009C4DF6">
      <w:pPr>
        <w:spacing w:after="240" w:line="240" w:lineRule="auto"/>
        <w:jc w:val="both"/>
        <w:rPr>
          <w:rFonts w:ascii="Times New Roman" w:eastAsia="Times New Roman" w:hAnsi="Times New Roman" w:cs="Times New Roman"/>
          <w:noProof/>
        </w:rPr>
      </w:pPr>
      <w:r w:rsidRPr="002234C8">
        <w:rPr>
          <w:rFonts w:ascii="Times New Roman" w:hAnsi="Times New Roman"/>
          <w:b/>
          <w:noProof/>
        </w:rPr>
        <w:t>Investițiile în gestionarea durabilă a apei și în inovare vor consolida întreprinderile europene și vor stimula competitivitatea</w:t>
      </w:r>
      <w:r>
        <w:rPr>
          <w:rFonts w:ascii="Times New Roman" w:hAnsi="Times New Roman"/>
          <w:noProof/>
        </w:rPr>
        <w:t>. Cinci dintre primele zece riscuri globale pe termen lung pentru întreprinderi identificate de Forumul Economic Mondial</w:t>
      </w:r>
      <w:r>
        <w:rPr>
          <w:rStyle w:val="FootnoteReference"/>
          <w:rFonts w:ascii="Times New Roman" w:eastAsia="Times New Roman" w:hAnsi="Times New Roman" w:cs="Times New Roman"/>
          <w:noProof/>
        </w:rPr>
        <w:footnoteReference w:id="5"/>
      </w:r>
      <w:r>
        <w:rPr>
          <w:rFonts w:ascii="Times New Roman" w:hAnsi="Times New Roman"/>
          <w:noProof/>
        </w:rPr>
        <w:t xml:space="preserve"> sunt legate de apă. Gestionarea nesustenabilă a apei subminează securitatea generală a aprovizionării și competitivitatea noastră, așa cum se recunoaște în Busola pentru competitivitate</w:t>
      </w:r>
      <w:r>
        <w:rPr>
          <w:rStyle w:val="FootnoteReference"/>
          <w:rFonts w:ascii="Times New Roman" w:eastAsia="Times New Roman" w:hAnsi="Times New Roman" w:cs="Times New Roman"/>
          <w:noProof/>
        </w:rPr>
        <w:footnoteReference w:id="6"/>
      </w:r>
      <w:r>
        <w:rPr>
          <w:rFonts w:ascii="Times New Roman" w:hAnsi="Times New Roman"/>
          <w:noProof/>
        </w:rPr>
        <w:t xml:space="preserve"> și în Pactul pentru o industrie curată</w:t>
      </w:r>
      <w:r>
        <w:rPr>
          <w:rStyle w:val="FootnoteReference"/>
          <w:rFonts w:ascii="Times New Roman" w:eastAsia="Times New Roman" w:hAnsi="Times New Roman" w:cs="Times New Roman"/>
          <w:noProof/>
        </w:rPr>
        <w:footnoteReference w:id="7"/>
      </w:r>
      <w:r>
        <w:rPr>
          <w:rFonts w:ascii="Times New Roman" w:hAnsi="Times New Roman"/>
          <w:noProof/>
        </w:rPr>
        <w:t>. Acest lucru necesită o mai bună integrare a rezilienței în domeniul apei în deciziile comerciale și o viziune integrată a gestionării durabile a apei, care să reflecte scenariile climatice pe termen lung.</w:t>
      </w:r>
    </w:p>
    <w:p w14:paraId="11ADFCFB" w14:textId="28D8241E" w:rsidR="007A0B6A" w:rsidRPr="00BF5352" w:rsidRDefault="13EF2995" w:rsidP="009C4DF6">
      <w:pPr>
        <w:spacing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Reziliența în domeniul apei este o oportunitate de afaceri semnificativă pentru industria UE. </w:t>
      </w:r>
      <w:r>
        <w:rPr>
          <w:rFonts w:ascii="Times New Roman" w:hAnsi="Times New Roman"/>
          <w:noProof/>
        </w:rPr>
        <w:t xml:space="preserve">Europa este lider mondial în domeniul tehnologiei apei, reprezentând </w:t>
      </w:r>
      <w:r w:rsidRPr="002234C8">
        <w:rPr>
          <w:rFonts w:ascii="Times New Roman" w:hAnsi="Times New Roman"/>
          <w:noProof/>
        </w:rPr>
        <w:t>40</w:t>
      </w:r>
      <w:r>
        <w:rPr>
          <w:rFonts w:ascii="Times New Roman" w:hAnsi="Times New Roman"/>
          <w:noProof/>
        </w:rPr>
        <w:t> % din totalul brevetelor conexe la nivel mondial</w:t>
      </w:r>
      <w:r>
        <w:rPr>
          <w:rStyle w:val="FootnoteReference"/>
          <w:rFonts w:ascii="Times New Roman" w:eastAsia="Times New Roman" w:hAnsi="Times New Roman" w:cs="Times New Roman"/>
          <w:noProof/>
        </w:rPr>
        <w:footnoteReference w:id="8"/>
      </w:r>
      <w:r>
        <w:rPr>
          <w:noProof/>
        </w:rPr>
        <w:t>.</w:t>
      </w:r>
      <w:r>
        <w:rPr>
          <w:rFonts w:ascii="Times New Roman" w:hAnsi="Times New Roman"/>
          <w:noProof/>
        </w:rPr>
        <w:t xml:space="preserve"> Numai în </w:t>
      </w:r>
      <w:r w:rsidRPr="002234C8">
        <w:rPr>
          <w:rFonts w:ascii="Times New Roman" w:hAnsi="Times New Roman"/>
          <w:noProof/>
        </w:rPr>
        <w:t>2022</w:t>
      </w:r>
      <w:r>
        <w:rPr>
          <w:rFonts w:ascii="Times New Roman" w:hAnsi="Times New Roman"/>
          <w:noProof/>
        </w:rPr>
        <w:t xml:space="preserve">, sectorul a generat o valoare adăugată de </w:t>
      </w:r>
      <w:r w:rsidRPr="002234C8">
        <w:rPr>
          <w:rFonts w:ascii="Times New Roman" w:hAnsi="Times New Roman"/>
          <w:noProof/>
        </w:rPr>
        <w:t>111</w:t>
      </w:r>
      <w:r>
        <w:rPr>
          <w:rFonts w:ascii="Times New Roman" w:hAnsi="Times New Roman"/>
          <w:noProof/>
        </w:rPr>
        <w:t>,</w:t>
      </w:r>
      <w:r w:rsidRPr="002234C8">
        <w:rPr>
          <w:rFonts w:ascii="Times New Roman" w:hAnsi="Times New Roman"/>
          <w:noProof/>
        </w:rPr>
        <w:t>7</w:t>
      </w:r>
      <w:r>
        <w:rPr>
          <w:rFonts w:ascii="Times New Roman" w:hAnsi="Times New Roman"/>
          <w:noProof/>
        </w:rPr>
        <w:t xml:space="preserve"> miliarde EUR și a sprijinit </w:t>
      </w:r>
      <w:r w:rsidRPr="002234C8">
        <w:rPr>
          <w:rFonts w:ascii="Times New Roman" w:hAnsi="Times New Roman"/>
          <w:noProof/>
        </w:rPr>
        <w:t>1</w:t>
      </w:r>
      <w:r>
        <w:rPr>
          <w:rFonts w:ascii="Times New Roman" w:hAnsi="Times New Roman"/>
          <w:noProof/>
        </w:rPr>
        <w:t>,</w:t>
      </w:r>
      <w:r w:rsidRPr="002234C8">
        <w:rPr>
          <w:rFonts w:ascii="Times New Roman" w:hAnsi="Times New Roman"/>
          <w:noProof/>
        </w:rPr>
        <w:t>6</w:t>
      </w:r>
      <w:r>
        <w:rPr>
          <w:rFonts w:ascii="Times New Roman" w:hAnsi="Times New Roman"/>
          <w:noProof/>
        </w:rPr>
        <w:t xml:space="preserve"> milioane de locuri de muncă în </w:t>
      </w:r>
      <w:r w:rsidRPr="002234C8">
        <w:rPr>
          <w:rFonts w:ascii="Times New Roman" w:hAnsi="Times New Roman"/>
          <w:noProof/>
        </w:rPr>
        <w:t>81</w:t>
      </w:r>
      <w:r>
        <w:rPr>
          <w:rFonts w:ascii="Times New Roman" w:hAnsi="Times New Roman"/>
          <w:noProof/>
        </w:rPr>
        <w:t> </w:t>
      </w:r>
      <w:r w:rsidRPr="002234C8">
        <w:rPr>
          <w:rFonts w:ascii="Times New Roman" w:hAnsi="Times New Roman"/>
          <w:noProof/>
        </w:rPr>
        <w:t>500</w:t>
      </w:r>
      <w:r>
        <w:rPr>
          <w:rFonts w:ascii="Times New Roman" w:hAnsi="Times New Roman"/>
          <w:noProof/>
        </w:rPr>
        <w:t xml:space="preserve"> de întreprinderi, dintre care majoritatea sunt IMM-uri</w:t>
      </w:r>
      <w:r>
        <w:rPr>
          <w:rStyle w:val="FootnoteReference"/>
          <w:rFonts w:ascii="Times New Roman" w:eastAsia="Times New Roman" w:hAnsi="Times New Roman" w:cs="Times New Roman"/>
          <w:noProof/>
        </w:rPr>
        <w:footnoteReference w:id="9"/>
      </w:r>
      <w:r>
        <w:rPr>
          <w:rFonts w:ascii="Times New Roman" w:hAnsi="Times New Roman"/>
          <w:noProof/>
        </w:rPr>
        <w:t xml:space="preserve">. Trebuie să valorificăm această poziție și să consolidăm avantajul competitiv al UE în cadrul pieței unice și în afara acesteia. De exemplu, în anumite sectoare, există potențialul de a reduce costurile legate de apă și de exploatare cu până la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8</w:t>
      </w:r>
      <w:r w:rsidR="002234C8">
        <w:rPr>
          <w:rFonts w:ascii="Times New Roman" w:hAnsi="Times New Roman"/>
          <w:noProof/>
        </w:rPr>
        <w:t> </w:t>
      </w:r>
      <w:r>
        <w:rPr>
          <w:rFonts w:ascii="Times New Roman" w:hAnsi="Times New Roman"/>
          <w:noProof/>
        </w:rPr>
        <w:t xml:space="preserve">miliarde EUR pe an, de a crea </w:t>
      </w:r>
      <w:r w:rsidRPr="002234C8">
        <w:rPr>
          <w:rFonts w:ascii="Times New Roman" w:hAnsi="Times New Roman"/>
          <w:noProof/>
        </w:rPr>
        <w:t>9</w:t>
      </w:r>
      <w:r>
        <w:rPr>
          <w:rFonts w:ascii="Times New Roman" w:hAnsi="Times New Roman"/>
          <w:noProof/>
        </w:rPr>
        <w:t> </w:t>
      </w:r>
      <w:r w:rsidRPr="002234C8">
        <w:rPr>
          <w:rFonts w:ascii="Times New Roman" w:hAnsi="Times New Roman"/>
          <w:noProof/>
        </w:rPr>
        <w:t>000</w:t>
      </w:r>
      <w:r>
        <w:rPr>
          <w:rFonts w:ascii="Times New Roman" w:hAnsi="Times New Roman"/>
          <w:noProof/>
        </w:rPr>
        <w:t xml:space="preserve"> de locuri de muncă suplimentare pe an, dezvoltând în același timp expertiza necesară la nivel mondial</w:t>
      </w:r>
      <w:r>
        <w:rPr>
          <w:rFonts w:ascii="Times New Roman" w:eastAsia="Times New Roman" w:hAnsi="Times New Roman" w:cs="Times New Roman"/>
          <w:noProof/>
          <w:vertAlign w:val="superscript"/>
        </w:rPr>
        <w:footnoteReference w:id="10"/>
      </w:r>
      <w:r>
        <w:rPr>
          <w:rFonts w:ascii="Times New Roman" w:hAnsi="Times New Roman"/>
          <w:noProof/>
        </w:rPr>
        <w:t xml:space="preserve">. </w:t>
      </w:r>
    </w:p>
    <w:p w14:paraId="669E33F0" w14:textId="6039C74F" w:rsidR="00D363D9" w:rsidRPr="00BF5352" w:rsidRDefault="23D85E8C" w:rsidP="009C4DF6">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O poziție de lider mondial puternică a Europei în ceea ce privește reziliența în domeniul apei reprezintă o oportunitate de a construi alianțe strategice cu parteneri internaționali. </w:t>
      </w:r>
      <w:r>
        <w:rPr>
          <w:rFonts w:ascii="Times New Roman" w:hAnsi="Times New Roman"/>
          <w:noProof/>
          <w:color w:val="000000"/>
        </w:rPr>
        <w:t>Concurența</w:t>
      </w:r>
      <w:r>
        <w:rPr>
          <w:rFonts w:ascii="Times New Roman" w:hAnsi="Times New Roman"/>
          <w:noProof/>
          <w:color w:val="000000" w:themeColor="text1"/>
        </w:rPr>
        <w:t xml:space="preserve"> </w:t>
      </w:r>
      <w:r>
        <w:rPr>
          <w:rFonts w:ascii="Times New Roman" w:hAnsi="Times New Roman"/>
          <w:noProof/>
          <w:color w:val="000000"/>
        </w:rPr>
        <w:t xml:space="preserve">mondială pentru </w:t>
      </w:r>
      <w:r>
        <w:rPr>
          <w:rFonts w:ascii="Times New Roman" w:hAnsi="Times New Roman"/>
          <w:noProof/>
          <w:color w:val="000000" w:themeColor="text1"/>
        </w:rPr>
        <w:t xml:space="preserve">reducerea aprovizionării cu apă dulce exacerbează conflictele și strămutările. </w:t>
      </w:r>
      <w:r>
        <w:rPr>
          <w:rFonts w:ascii="Times New Roman" w:hAnsi="Times New Roman"/>
          <w:noProof/>
          <w:color w:val="000000"/>
        </w:rPr>
        <w:t xml:space="preserve">În ritmul actual, cererea de apă la nivel mondial va depăși resursele disponibile cu </w:t>
      </w:r>
      <w:r w:rsidRPr="002234C8">
        <w:rPr>
          <w:rFonts w:ascii="Times New Roman" w:hAnsi="Times New Roman"/>
          <w:noProof/>
          <w:color w:val="000000"/>
        </w:rPr>
        <w:t>40</w:t>
      </w:r>
      <w:r>
        <w:rPr>
          <w:rFonts w:ascii="Times New Roman" w:hAnsi="Times New Roman"/>
          <w:noProof/>
          <w:color w:val="000000"/>
        </w:rPr>
        <w:t xml:space="preserve"> % în </w:t>
      </w:r>
      <w:r w:rsidRPr="002234C8">
        <w:rPr>
          <w:rFonts w:ascii="Times New Roman" w:hAnsi="Times New Roman"/>
          <w:noProof/>
          <w:color w:val="000000"/>
        </w:rPr>
        <w:t>2030</w:t>
      </w:r>
      <w:r>
        <w:rPr>
          <w:rFonts w:ascii="Times New Roman" w:hAnsi="Times New Roman" w:cs="Times New Roman"/>
          <w:noProof/>
          <w:color w:val="000000" w:themeColor="text1"/>
          <w:vertAlign w:val="superscript"/>
        </w:rPr>
        <w:footnoteReference w:id="11"/>
      </w:r>
      <w:r>
        <w:rPr>
          <w:rFonts w:ascii="Times New Roman" w:hAnsi="Times New Roman"/>
          <w:noProof/>
          <w:color w:val="000000"/>
        </w:rPr>
        <w:t xml:space="preserve">. </w:t>
      </w:r>
      <w:r>
        <w:rPr>
          <w:rFonts w:ascii="Times New Roman" w:hAnsi="Times New Roman"/>
          <w:noProof/>
          <w:color w:val="000000" w:themeColor="text1"/>
        </w:rPr>
        <w:t>La nivel mondial</w:t>
      </w:r>
      <w:r>
        <w:rPr>
          <w:rFonts w:ascii="Times New Roman" w:hAnsi="Times New Roman"/>
          <w:noProof/>
        </w:rPr>
        <w:t xml:space="preserve">, </w:t>
      </w:r>
      <w:r>
        <w:rPr>
          <w:rFonts w:ascii="Times New Roman" w:hAnsi="Times New Roman"/>
          <w:noProof/>
          <w:color w:val="000000" w:themeColor="text1"/>
        </w:rPr>
        <w:t xml:space="preserve">dezastrele legate de apă au dus la strămutarea a </w:t>
      </w:r>
      <w:r w:rsidRPr="002234C8">
        <w:rPr>
          <w:rFonts w:ascii="Times New Roman" w:hAnsi="Times New Roman"/>
          <w:noProof/>
          <w:color w:val="000000" w:themeColor="text1"/>
        </w:rPr>
        <w:t>40</w:t>
      </w:r>
      <w:r w:rsidR="002234C8">
        <w:rPr>
          <w:rFonts w:ascii="Times New Roman" w:hAnsi="Times New Roman"/>
          <w:noProof/>
          <w:color w:val="000000" w:themeColor="text1"/>
        </w:rPr>
        <w:t> </w:t>
      </w:r>
      <w:r>
        <w:rPr>
          <w:rFonts w:ascii="Times New Roman" w:hAnsi="Times New Roman"/>
          <w:noProof/>
          <w:color w:val="000000" w:themeColor="text1"/>
        </w:rPr>
        <w:t>de</w:t>
      </w:r>
      <w:r w:rsidR="002234C8">
        <w:rPr>
          <w:rFonts w:ascii="Times New Roman" w:hAnsi="Times New Roman"/>
          <w:noProof/>
          <w:color w:val="000000" w:themeColor="text1"/>
        </w:rPr>
        <w:t> </w:t>
      </w:r>
      <w:r>
        <w:rPr>
          <w:rFonts w:ascii="Times New Roman" w:hAnsi="Times New Roman"/>
          <w:noProof/>
          <w:color w:val="000000" w:themeColor="text1"/>
        </w:rPr>
        <w:t xml:space="preserve">milioane de persoane și au provocat daune în valoare de peste </w:t>
      </w:r>
      <w:r w:rsidRPr="002234C8">
        <w:rPr>
          <w:rFonts w:ascii="Times New Roman" w:hAnsi="Times New Roman"/>
          <w:noProof/>
          <w:color w:val="000000" w:themeColor="text1"/>
        </w:rPr>
        <w:t>480</w:t>
      </w:r>
      <w:r>
        <w:rPr>
          <w:rFonts w:ascii="Times New Roman" w:hAnsi="Times New Roman"/>
          <w:noProof/>
          <w:color w:val="000000" w:themeColor="text1"/>
        </w:rPr>
        <w:t xml:space="preserve"> de miliarde EUR în </w:t>
      </w:r>
      <w:r w:rsidRPr="002234C8">
        <w:rPr>
          <w:rFonts w:ascii="Times New Roman" w:hAnsi="Times New Roman"/>
          <w:noProof/>
          <w:color w:val="000000" w:themeColor="text1"/>
        </w:rPr>
        <w:t>2024</w:t>
      </w:r>
      <w:r>
        <w:rPr>
          <w:rStyle w:val="FootnoteReference"/>
          <w:rFonts w:ascii="Times New Roman" w:eastAsia="Calibri" w:hAnsi="Times New Roman" w:cs="Times New Roman"/>
          <w:noProof/>
          <w:color w:val="000000" w:themeColor="text1"/>
        </w:rPr>
        <w:footnoteReference w:id="12"/>
      </w:r>
      <w:r>
        <w:rPr>
          <w:noProof/>
        </w:rPr>
        <w:t>.</w:t>
      </w:r>
      <w:r>
        <w:rPr>
          <w:rFonts w:ascii="Times New Roman" w:hAnsi="Times New Roman"/>
          <w:noProof/>
          <w:color w:val="000000" w:themeColor="text1"/>
        </w:rPr>
        <w:t xml:space="preserve"> </w:t>
      </w:r>
      <w:r>
        <w:rPr>
          <w:rFonts w:ascii="Times New Roman" w:hAnsi="Times New Roman"/>
          <w:noProof/>
        </w:rPr>
        <w:t>Pornind de la consensul global</w:t>
      </w:r>
      <w:r>
        <w:rPr>
          <w:rStyle w:val="FootnoteReference"/>
          <w:rFonts w:ascii="Times New Roman" w:eastAsia="Times New Roman" w:hAnsi="Times New Roman" w:cs="Times New Roman"/>
          <w:noProof/>
        </w:rPr>
        <w:footnoteReference w:id="13"/>
      </w:r>
      <w:r>
        <w:rPr>
          <w:rFonts w:ascii="Times New Roman" w:hAnsi="Times New Roman"/>
          <w:noProof/>
        </w:rPr>
        <w:t xml:space="preserve"> potrivit căruia modelul nostru actual de gestionare a apei nu este durabil, UE este hotărâtă să facă din viitoarea Conferință a ONU privind apa din </w:t>
      </w:r>
      <w:r w:rsidRPr="002234C8">
        <w:rPr>
          <w:rFonts w:ascii="Times New Roman" w:hAnsi="Times New Roman"/>
          <w:noProof/>
        </w:rPr>
        <w:t>2026</w:t>
      </w:r>
      <w:r>
        <w:rPr>
          <w:rFonts w:ascii="Times New Roman" w:hAnsi="Times New Roman"/>
          <w:noProof/>
        </w:rPr>
        <w:t xml:space="preserve"> o etapă importantă în stimularea progreselor în direcția atingerii obiectivelor de dezvoltare durabilă.  </w:t>
      </w:r>
    </w:p>
    <w:p w14:paraId="67BA18F5" w14:textId="22832B6F" w:rsidR="008F3B65" w:rsidRPr="002234C8" w:rsidRDefault="00697B37" w:rsidP="009C4DF6">
      <w:pPr>
        <w:spacing w:before="100" w:beforeAutospacing="1" w:after="240" w:line="240" w:lineRule="auto"/>
        <w:jc w:val="both"/>
        <w:rPr>
          <w:rFonts w:ascii="Times New Roman" w:hAnsi="Times New Roman" w:cs="Times New Roman"/>
          <w:b/>
          <w:bCs/>
          <w:noProof/>
        </w:rPr>
      </w:pPr>
      <w:r w:rsidRPr="002234C8">
        <w:rPr>
          <w:rFonts w:ascii="Times New Roman" w:hAnsi="Times New Roman"/>
          <w:b/>
          <w:noProof/>
        </w:rPr>
        <w:t xml:space="preserve">Având în vedere toate aceste motive, este momentul să plasăm reziliența în domeniul apei în fruntea agendei politice, </w:t>
      </w:r>
      <w:r>
        <w:rPr>
          <w:rFonts w:ascii="Times New Roman" w:hAnsi="Times New Roman"/>
          <w:noProof/>
        </w:rPr>
        <w:t>așa cum au transmis</w:t>
      </w:r>
      <w:r w:rsidRPr="002234C8">
        <w:rPr>
          <w:rFonts w:ascii="Times New Roman" w:hAnsi="Times New Roman"/>
          <w:b/>
          <w:noProof/>
        </w:rPr>
        <w:t xml:space="preserve"> </w:t>
      </w:r>
      <w:r>
        <w:rPr>
          <w:rFonts w:ascii="Times New Roman" w:hAnsi="Times New Roman"/>
          <w:noProof/>
        </w:rPr>
        <w:t>Consiliul European</w:t>
      </w:r>
      <w:r>
        <w:rPr>
          <w:rFonts w:ascii="Times New Roman" w:eastAsia="Times New Roman" w:hAnsi="Times New Roman" w:cs="Times New Roman"/>
          <w:noProof/>
          <w:vertAlign w:val="superscript"/>
        </w:rPr>
        <w:footnoteReference w:id="14"/>
      </w:r>
      <w:r>
        <w:rPr>
          <w:rFonts w:ascii="Times New Roman" w:hAnsi="Times New Roman"/>
          <w:noProof/>
        </w:rPr>
        <w:t>, Parlamentul European</w:t>
      </w:r>
      <w:r>
        <w:rPr>
          <w:rFonts w:ascii="Times New Roman" w:eastAsia="Times New Roman" w:hAnsi="Times New Roman" w:cs="Times New Roman"/>
          <w:noProof/>
          <w:vertAlign w:val="superscript"/>
        </w:rPr>
        <w:footnoteReference w:id="15"/>
      </w:r>
      <w:r>
        <w:rPr>
          <w:rFonts w:ascii="Times New Roman" w:hAnsi="Times New Roman"/>
          <w:noProof/>
        </w:rPr>
        <w:t xml:space="preserve"> și Comitetul Economic și Social European</w:t>
      </w:r>
      <w:r>
        <w:rPr>
          <w:rFonts w:ascii="Times New Roman" w:eastAsia="Times New Roman" w:hAnsi="Times New Roman" w:cs="Times New Roman"/>
          <w:noProof/>
          <w:vertAlign w:val="superscript"/>
        </w:rPr>
        <w:footnoteReference w:id="16"/>
      </w:r>
      <w:r>
        <w:rPr>
          <w:rFonts w:ascii="Times New Roman" w:hAnsi="Times New Roman"/>
          <w:noProof/>
        </w:rPr>
        <w:t>.</w:t>
      </w:r>
      <w:r w:rsidRPr="002234C8">
        <w:rPr>
          <w:rFonts w:ascii="Times New Roman" w:hAnsi="Times New Roman"/>
          <w:b/>
          <w:noProof/>
        </w:rPr>
        <w:t xml:space="preserve"> </w:t>
      </w:r>
      <w:r>
        <w:rPr>
          <w:rFonts w:ascii="Times New Roman" w:hAnsi="Times New Roman"/>
          <w:noProof/>
        </w:rPr>
        <w:t xml:space="preserve">De aceea, în orientările sale politice pentru perioada </w:t>
      </w:r>
      <w:r w:rsidRPr="002234C8">
        <w:rPr>
          <w:rFonts w:ascii="Times New Roman" w:hAnsi="Times New Roman"/>
          <w:noProof/>
        </w:rPr>
        <w:t>2024</w:t>
      </w:r>
      <w:r>
        <w:rPr>
          <w:rFonts w:ascii="Times New Roman" w:hAnsi="Times New Roman"/>
          <w:noProof/>
        </w:rPr>
        <w:t>-</w:t>
      </w:r>
      <w:r w:rsidRPr="002234C8">
        <w:rPr>
          <w:rFonts w:ascii="Times New Roman" w:hAnsi="Times New Roman"/>
          <w:noProof/>
        </w:rPr>
        <w:t>2029</w:t>
      </w:r>
      <w:r>
        <w:rPr>
          <w:rFonts w:ascii="Times New Roman" w:hAnsi="Times New Roman"/>
          <w:noProof/>
        </w:rPr>
        <w:t>, președinta von der Leyen a anunțat o nouă strategie europeană pentru reziliența în domeniul apei. Acest lucru ar trebui să ajute toate părțile UE să își îmbunătățească sistemele de gestionare a corpurilor de apă, să abordeze deficitul, să consolideze avantajul inovator competitiv al industriei apei</w:t>
      </w:r>
      <w:r>
        <w:rPr>
          <w:rStyle w:val="FootnoteReference"/>
          <w:rFonts w:ascii="Times New Roman" w:hAnsi="Times New Roman" w:cs="Times New Roman"/>
          <w:noProof/>
        </w:rPr>
        <w:footnoteReference w:id="17"/>
      </w:r>
      <w:r>
        <w:rPr>
          <w:rFonts w:ascii="Times New Roman" w:hAnsi="Times New Roman"/>
          <w:noProof/>
        </w:rPr>
        <w:t>, adoptând în același timp o abordare ecologică și circulară.</w:t>
      </w:r>
    </w:p>
    <w:p w14:paraId="7D9C4DFE" w14:textId="50D95179" w:rsidR="00023E50" w:rsidRPr="00BF5352" w:rsidRDefault="45118A9B" w:rsidP="4251B09A">
      <w:pPr>
        <w:spacing w:before="100" w:beforeAutospacing="1" w:after="240" w:line="240" w:lineRule="auto"/>
        <w:jc w:val="both"/>
        <w:rPr>
          <w:rFonts w:ascii="Times New Roman" w:eastAsia="Times New Roman" w:hAnsi="Times New Roman" w:cs="Times New Roman"/>
          <w:noProof/>
        </w:rPr>
      </w:pPr>
      <w:r>
        <w:rPr>
          <w:rFonts w:ascii="Times New Roman" w:hAnsi="Times New Roman"/>
          <w:noProof/>
        </w:rPr>
        <w:t xml:space="preserve">Statele membre și-au organizat gestionarea apei în moduri diferite, implicând diferite forme de proprietate publică sau privată sau o combinație a celor două. Această strategie respectă pe deplin opțiunile naționale respective și recunoaște că nu există o soluție unică potrivită pentru toate cazurile, în special ținând seama de faptul că disponibilitatea apei variază considerabil de la un stat membru la altul, la fel ca vulnerabilitatea diferitelor sectoare la stresul hidric. </w:t>
      </w:r>
    </w:p>
    <w:p w14:paraId="0A752300" w14:textId="53F1A6BD" w:rsidR="00306618" w:rsidRPr="002234C8" w:rsidRDefault="00643891" w:rsidP="009C4DF6">
      <w:pPr>
        <w:pStyle w:val="Heading1"/>
        <w:spacing w:after="240"/>
        <w:jc w:val="both"/>
        <w:rPr>
          <w:rFonts w:ascii="Times New Roman" w:hAnsi="Times New Roman" w:cs="Times New Roman"/>
          <w:b/>
          <w:smallCaps/>
          <w:noProof/>
          <w:color w:val="000000" w:themeColor="text1"/>
          <w:sz w:val="24"/>
          <w:szCs w:val="24"/>
        </w:rPr>
      </w:pPr>
      <w:bookmarkStart w:id="2" w:name="_Hlk197775003"/>
      <w:r w:rsidRPr="002234C8">
        <w:rPr>
          <w:rFonts w:ascii="Times New Roman" w:hAnsi="Times New Roman"/>
          <w:b/>
          <w:smallCaps/>
          <w:noProof/>
          <w:color w:val="000000" w:themeColor="text1"/>
          <w:sz w:val="24"/>
        </w:rPr>
        <w:t>2.</w:t>
      </w:r>
      <w:r>
        <w:rPr>
          <w:noProof/>
        </w:rPr>
        <w:tab/>
      </w:r>
      <w:r w:rsidRPr="002234C8">
        <w:rPr>
          <w:rFonts w:ascii="Times New Roman" w:hAnsi="Times New Roman"/>
          <w:b/>
          <w:smallCaps/>
          <w:noProof/>
          <w:color w:val="000000" w:themeColor="text1"/>
          <w:sz w:val="24"/>
        </w:rPr>
        <w:t xml:space="preserve">Obiectivele-cheie </w:t>
      </w:r>
    </w:p>
    <w:bookmarkEnd w:id="2"/>
    <w:p w14:paraId="685F7EC2" w14:textId="5DFC01FA" w:rsidR="0034718C" w:rsidRPr="00AD6B6D" w:rsidRDefault="00DC3322" w:rsidP="00AD6B6D">
      <w:pPr>
        <w:spacing w:after="240" w:line="240" w:lineRule="auto"/>
        <w:jc w:val="both"/>
        <w:rPr>
          <w:rFonts w:ascii="Times New Roman" w:eastAsia="Times New Roman" w:hAnsi="Times New Roman" w:cs="Times New Roman"/>
          <w:noProof/>
        </w:rPr>
      </w:pPr>
      <w:r>
        <w:rPr>
          <w:rFonts w:ascii="Times New Roman" w:hAnsi="Times New Roman"/>
          <w:noProof/>
        </w:rPr>
        <w:t xml:space="preserve">Prezenta strategie stabilește o cale de urmat pentru a asigura reziliența Europei în domeniul apei, fiind ferm ancorată în viziunea pentru </w:t>
      </w:r>
      <w:r w:rsidRPr="002234C8">
        <w:rPr>
          <w:rFonts w:ascii="Times New Roman" w:hAnsi="Times New Roman"/>
          <w:noProof/>
        </w:rPr>
        <w:t>2050</w:t>
      </w:r>
      <w:r>
        <w:rPr>
          <w:rFonts w:ascii="Times New Roman" w:hAnsi="Times New Roman"/>
          <w:noProof/>
        </w:rPr>
        <w:t xml:space="preserve"> prezentată de UE la Conferința ONU privind apa din </w:t>
      </w:r>
      <w:r w:rsidRPr="002234C8">
        <w:rPr>
          <w:rFonts w:ascii="Times New Roman" w:hAnsi="Times New Roman"/>
          <w:noProof/>
        </w:rPr>
        <w:t>2023</w:t>
      </w:r>
      <w:r>
        <w:rPr>
          <w:rFonts w:ascii="Times New Roman" w:hAnsi="Times New Roman"/>
          <w:noProof/>
        </w:rPr>
        <w:t xml:space="preserve"> – o Europă rezilientă în domeniul apei, care să asigure securitatea apei pentru toți. Acest lucru implică protejarea și refacerea ecosistemelor acvatice și un echilibru just între aprovizionarea cu apă și cererea de apă, care să răspundă nevoilor actuale, inclusiv exercitarea dreptului omului la apă potabilă sigură și la salubritate, fără a compromite drepturile generațiilor viitoare. </w:t>
      </w:r>
    </w:p>
    <w:p w14:paraId="2DE3447D" w14:textId="0D37236E" w:rsidR="00DC3322" w:rsidRPr="00BF5352" w:rsidRDefault="0034718C" w:rsidP="0034718C">
      <w:pPr>
        <w:spacing w:after="0" w:line="240" w:lineRule="auto"/>
        <w:jc w:val="both"/>
        <w:rPr>
          <w:rFonts w:ascii="Times New Roman" w:eastAsia="Times New Roman" w:hAnsi="Times New Roman" w:cs="Times New Roman"/>
          <w:noProof/>
        </w:rPr>
      </w:pPr>
      <w:r>
        <w:rPr>
          <w:rFonts w:ascii="Times New Roman" w:hAnsi="Times New Roman"/>
          <w:noProof/>
        </w:rPr>
        <w:t>Pentru a plasa Europa pe calea rezilienței în domeniul apei, trebuie să depunem eforturi în vederea îndeplinirii a trei obiective:</w:t>
      </w:r>
    </w:p>
    <w:p w14:paraId="4912FEBA" w14:textId="77777777" w:rsidR="0019580D" w:rsidRDefault="0019580D" w:rsidP="00DC3322">
      <w:pPr>
        <w:pStyle w:val="ListParagraph"/>
        <w:spacing w:line="240" w:lineRule="auto"/>
        <w:ind w:left="0"/>
        <w:jc w:val="both"/>
        <w:rPr>
          <w:rFonts w:ascii="Times New Roman" w:hAnsi="Times New Roman" w:cs="Times New Roman"/>
          <w:noProof/>
        </w:rPr>
      </w:pPr>
    </w:p>
    <w:p w14:paraId="59940814" w14:textId="6B6BBE4D" w:rsidR="00DC3322" w:rsidRPr="009F333A" w:rsidRDefault="00DC3322" w:rsidP="00ED14EB">
      <w:pPr>
        <w:pStyle w:val="ListParagraph"/>
        <w:numPr>
          <w:ilvl w:val="0"/>
          <w:numId w:val="3"/>
        </w:numPr>
        <w:spacing w:after="120" w:line="240" w:lineRule="auto"/>
        <w:ind w:left="714" w:hanging="357"/>
        <w:contextualSpacing w:val="0"/>
        <w:jc w:val="both"/>
        <w:rPr>
          <w:rFonts w:ascii="Times New Roman" w:eastAsia="Times New Roman" w:hAnsi="Times New Roman" w:cs="Times New Roman"/>
          <w:noProof/>
        </w:rPr>
      </w:pPr>
      <w:r>
        <w:rPr>
          <w:rFonts w:ascii="Times New Roman" w:hAnsi="Times New Roman"/>
          <w:noProof/>
        </w:rPr>
        <w:t>refacerea și protejarea ciclului apei ca bază pentru aprovizionarea durabilă cu apă;</w:t>
      </w:r>
    </w:p>
    <w:p w14:paraId="1F06C501" w14:textId="1036E0B0" w:rsidR="00DC3322" w:rsidRPr="009F333A" w:rsidRDefault="00630717" w:rsidP="00ED14EB">
      <w:pPr>
        <w:pStyle w:val="ListParagraph"/>
        <w:numPr>
          <w:ilvl w:val="0"/>
          <w:numId w:val="3"/>
        </w:numPr>
        <w:spacing w:before="100" w:beforeAutospacing="1" w:after="120" w:line="240" w:lineRule="auto"/>
        <w:ind w:left="714" w:hanging="357"/>
        <w:contextualSpacing w:val="0"/>
        <w:jc w:val="both"/>
        <w:rPr>
          <w:rFonts w:ascii="Times New Roman" w:eastAsia="Times New Roman" w:hAnsi="Times New Roman" w:cs="Times New Roman"/>
          <w:noProof/>
          <w:kern w:val="0"/>
          <w14:ligatures w14:val="none"/>
        </w:rPr>
      </w:pPr>
      <w:r>
        <w:rPr>
          <w:rFonts w:ascii="Times New Roman" w:hAnsi="Times New Roman"/>
          <w:noProof/>
        </w:rPr>
        <w:t>c</w:t>
      </w:r>
      <w:r w:rsidR="00DC3322">
        <w:rPr>
          <w:rFonts w:ascii="Times New Roman" w:hAnsi="Times New Roman"/>
          <w:noProof/>
        </w:rPr>
        <w:t>onstruirea unei economii inteligente în domeniul apei, împreună cu cetățenii și actorii economici, într-un mod care să sprijine competitivitatea UE, să fie atractiv pentru investitori și să sprijine o industrie a apei prosperă în UE;</w:t>
      </w:r>
    </w:p>
    <w:p w14:paraId="61C073C1" w14:textId="15C898C1" w:rsidR="00DC3322" w:rsidRPr="009F333A" w:rsidRDefault="00DC3322" w:rsidP="00A30966">
      <w:pPr>
        <w:pStyle w:val="ListParagraph"/>
        <w:numPr>
          <w:ilvl w:val="0"/>
          <w:numId w:val="3"/>
        </w:numPr>
        <w:spacing w:after="0" w:line="240" w:lineRule="auto"/>
        <w:jc w:val="both"/>
        <w:rPr>
          <w:rFonts w:ascii="Times New Roman" w:eastAsia="Times New Roman" w:hAnsi="Times New Roman" w:cs="Times New Roman"/>
          <w:noProof/>
        </w:rPr>
      </w:pPr>
      <w:r>
        <w:rPr>
          <w:rFonts w:ascii="Times New Roman" w:hAnsi="Times New Roman"/>
          <w:noProof/>
        </w:rPr>
        <w:t>asigurarea accesului permanent la apă curată și accesibilă ca preț, precum și la servicii de salubritate pentru toți, și consolidarea rolului cetățenilor în direcția rezilienței în domeniul apei.</w:t>
      </w:r>
    </w:p>
    <w:p w14:paraId="67661FD9" w14:textId="760941C4" w:rsidR="009A7DE9" w:rsidRPr="00ED14EB" w:rsidRDefault="008C5B56" w:rsidP="00ED14EB">
      <w:pPr>
        <w:spacing w:before="240" w:after="240" w:line="240" w:lineRule="auto"/>
        <w:jc w:val="both"/>
        <w:rPr>
          <w:rFonts w:ascii="Times New Roman" w:eastAsia="Times New Roman" w:hAnsi="Times New Roman" w:cs="Times New Roman"/>
          <w:noProof/>
          <w:color w:val="000000" w:themeColor="text1"/>
        </w:rPr>
      </w:pPr>
      <w:r>
        <w:rPr>
          <w:rFonts w:ascii="Times New Roman" w:hAnsi="Times New Roman"/>
          <w:noProof/>
        </w:rPr>
        <w:t>Legislația și politicile UE, inclusiv Pactul verde european, oferă o bază solidă pentru atingerea acestor obiective</w:t>
      </w:r>
      <w:r>
        <w:rPr>
          <w:rStyle w:val="FootnoteReference"/>
          <w:rFonts w:ascii="Times New Roman" w:eastAsia="Times New Roman" w:hAnsi="Times New Roman" w:cs="Times New Roman"/>
          <w:noProof/>
        </w:rPr>
        <w:footnoteReference w:id="18"/>
      </w:r>
      <w:r>
        <w:rPr>
          <w:rFonts w:ascii="Times New Roman" w:hAnsi="Times New Roman"/>
          <w:noProof/>
        </w:rPr>
        <w:t xml:space="preserve">. Statele membre – și autoritățile lor locale sau regionale – sunt adesea cele mai în măsură să se ocupe de gestionarea apei, deoarece cunosc cel mai bine circumstanțele, provocările și soluțiile posibile. Prezenta strategie recunoaște pe deplin faptul că statele membre sunt libere să își organizeze sistemele de alimentare cu apă după cum consideră de cuviință, în limitele legislației UE. </w:t>
      </w:r>
      <w:r>
        <w:rPr>
          <w:rFonts w:ascii="Times New Roman" w:hAnsi="Times New Roman"/>
          <w:noProof/>
          <w:color w:val="000000" w:themeColor="text1"/>
        </w:rPr>
        <w:t>Pentru a sprijini inițiativele statelor membre și a consolida cooperarea transfrontalieră în domeniul apei, aceasta identifică cinci domenii de acțiune ale UE: (i) guvernanță și punere în aplicare; (ii) finanțare, investiții și infrastructură; (iii) digitalizare; (iv) cercetare și</w:t>
      </w:r>
      <w:r w:rsidRPr="002234C8">
        <w:rPr>
          <w:rFonts w:ascii="Times New Roman" w:hAnsi="Times New Roman"/>
          <w:b/>
          <w:noProof/>
        </w:rPr>
        <w:t xml:space="preserve"> </w:t>
      </w:r>
      <w:r>
        <w:rPr>
          <w:rFonts w:ascii="Times New Roman" w:hAnsi="Times New Roman"/>
          <w:noProof/>
          <w:color w:val="000000" w:themeColor="text1"/>
        </w:rPr>
        <w:t>inovare, industrie și competențe; și (v) securitate și pregătire.</w:t>
      </w:r>
    </w:p>
    <w:p w14:paraId="310D9224" w14:textId="30809BD1" w:rsidR="00DC3322" w:rsidRPr="002234C8" w:rsidRDefault="00643891" w:rsidP="00ED14EB">
      <w:pPr>
        <w:pStyle w:val="Heading2"/>
        <w:spacing w:after="240"/>
        <w:jc w:val="both"/>
        <w:rPr>
          <w:rFonts w:ascii="Times New Roman" w:hAnsi="Times New Roman" w:cs="Times New Roman"/>
          <w:b/>
          <w:noProof/>
          <w:color w:val="000000" w:themeColor="text1"/>
          <w:sz w:val="24"/>
          <w:szCs w:val="24"/>
        </w:rPr>
      </w:pPr>
      <w:r w:rsidRPr="002234C8">
        <w:rPr>
          <w:rFonts w:ascii="Times New Roman" w:hAnsi="Times New Roman"/>
          <w:b/>
          <w:noProof/>
          <w:color w:val="000000" w:themeColor="text1"/>
          <w:sz w:val="24"/>
        </w:rPr>
        <w:t>2.1</w:t>
      </w:r>
      <w:r>
        <w:rPr>
          <w:noProof/>
        </w:rPr>
        <w:tab/>
      </w:r>
      <w:r w:rsidRPr="002234C8">
        <w:rPr>
          <w:rFonts w:ascii="Times New Roman" w:hAnsi="Times New Roman"/>
          <w:b/>
          <w:noProof/>
          <w:color w:val="000000" w:themeColor="text1"/>
          <w:sz w:val="24"/>
        </w:rPr>
        <w:t>Refacerea și protejarea ciclului apei ca bază pentru aprovizionarea durabilă cu apă</w:t>
      </w:r>
    </w:p>
    <w:p w14:paraId="198512EE" w14:textId="0E705E2A" w:rsidR="00DC3322" w:rsidRPr="009F333A" w:rsidRDefault="00C90A81" w:rsidP="00ED14EB">
      <w:pPr>
        <w:shd w:val="clear" w:color="auto" w:fill="FFFFFF" w:themeFill="background1"/>
        <w:spacing w:after="240" w:line="240" w:lineRule="auto"/>
        <w:jc w:val="both"/>
        <w:rPr>
          <w:rFonts w:ascii="Times New Roman" w:eastAsia="Calibri" w:hAnsi="Times New Roman" w:cs="Times New Roman"/>
          <w:bCs/>
          <w:noProof/>
        </w:rPr>
      </w:pPr>
      <w:r w:rsidRPr="002234C8">
        <w:rPr>
          <w:rFonts w:ascii="Times New Roman" w:hAnsi="Times New Roman"/>
          <w:b/>
          <w:noProof/>
        </w:rPr>
        <w:t xml:space="preserve">Buna </w:t>
      </w:r>
      <w:r w:rsidRPr="002234C8">
        <w:rPr>
          <w:rFonts w:ascii="Times New Roman" w:hAnsi="Times New Roman"/>
          <w:b/>
          <w:noProof/>
          <w:color w:val="121212"/>
        </w:rPr>
        <w:t>funcționare a ciclului apei este esențială pentru reziliența în domeniul apei</w:t>
      </w:r>
      <w:r>
        <w:rPr>
          <w:rFonts w:ascii="Times New Roman" w:hAnsi="Times New Roman"/>
          <w:noProof/>
        </w:rPr>
        <w:t xml:space="preserve">. </w:t>
      </w:r>
      <w:r>
        <w:rPr>
          <w:rFonts w:ascii="Times New Roman" w:hAnsi="Times New Roman"/>
          <w:noProof/>
          <w:color w:val="121212"/>
        </w:rPr>
        <w:t xml:space="preserve">Apa se deplasează într-un ciclu care stochează, purifică și eliberează în mod natural apă, </w:t>
      </w:r>
      <w:r>
        <w:rPr>
          <w:rFonts w:ascii="Times New Roman" w:hAnsi="Times New Roman"/>
          <w:noProof/>
        </w:rPr>
        <w:t>un proces care depinde de soluri, zone umede, păduri și alte ecosisteme sănătoase.</w:t>
      </w:r>
      <w:r w:rsidRPr="002234C8">
        <w:rPr>
          <w:rFonts w:ascii="Times New Roman" w:hAnsi="Times New Roman"/>
          <w:b/>
          <w:noProof/>
        </w:rPr>
        <w:t xml:space="preserve"> </w:t>
      </w:r>
      <w:r>
        <w:rPr>
          <w:rFonts w:ascii="Times New Roman" w:hAnsi="Times New Roman"/>
          <w:noProof/>
        </w:rPr>
        <w:t xml:space="preserve">Cu toate acestea, </w:t>
      </w:r>
      <w:r>
        <w:rPr>
          <w:rStyle w:val="normaltextrun"/>
          <w:rFonts w:ascii="Times New Roman" w:hAnsi="Times New Roman"/>
          <w:noProof/>
          <w:color w:val="000000" w:themeColor="text1"/>
        </w:rPr>
        <w:t xml:space="preserve">supraexploatarea și gestionarea defectuoasă a resurselor de apă, poluarea, precum și schimbările climatice și degradarea mediului </w:t>
      </w:r>
      <w:r>
        <w:rPr>
          <w:rFonts w:ascii="Times New Roman" w:hAnsi="Times New Roman"/>
          <w:noProof/>
          <w:color w:val="121212"/>
        </w:rPr>
        <w:t xml:space="preserve">au afectat profund acest ciclu și au redus semnificativ atât cantitatea, cât și calitatea apei. </w:t>
      </w:r>
    </w:p>
    <w:p w14:paraId="1C78CFB5" w14:textId="5E6E55F4" w:rsidR="00CF166D" w:rsidRPr="009F333A" w:rsidRDefault="00CF166D" w:rsidP="00ED14EB">
      <w:pPr>
        <w:spacing w:before="100" w:beforeAutospacing="1" w:after="240" w:line="240" w:lineRule="auto"/>
        <w:jc w:val="both"/>
        <w:rPr>
          <w:rFonts w:ascii="Times New Roman" w:hAnsi="Times New Roman" w:cs="Times New Roman"/>
          <w:noProof/>
          <w:color w:val="242424"/>
        </w:rPr>
      </w:pPr>
      <w:r w:rsidRPr="002234C8">
        <w:rPr>
          <w:rFonts w:ascii="Times New Roman" w:hAnsi="Times New Roman"/>
          <w:b/>
          <w:noProof/>
        </w:rPr>
        <w:t>Cadrul existent al UE pentru apa dulce, inclusiv Directiva-cadru privind apa</w:t>
      </w:r>
      <w:r w:rsidRPr="002234C8">
        <w:rPr>
          <w:rStyle w:val="FootnoteReference"/>
          <w:rFonts w:ascii="Times New Roman" w:eastAsia="Calibri" w:hAnsi="Times New Roman" w:cs="Times New Roman"/>
          <w:b/>
          <w:bCs/>
          <w:noProof/>
        </w:rPr>
        <w:footnoteReference w:id="19"/>
      </w:r>
      <w:r w:rsidRPr="002234C8">
        <w:rPr>
          <w:rFonts w:ascii="Times New Roman" w:hAnsi="Times New Roman"/>
          <w:b/>
          <w:noProof/>
        </w:rPr>
        <w:t>, Directiva privind gestionarea riscurilor de inundații</w:t>
      </w:r>
      <w:r w:rsidRPr="002234C8">
        <w:rPr>
          <w:rStyle w:val="FootnoteReference"/>
          <w:rFonts w:ascii="Times New Roman" w:eastAsia="Calibri" w:hAnsi="Times New Roman" w:cs="Times New Roman"/>
          <w:b/>
          <w:bCs/>
          <w:noProof/>
        </w:rPr>
        <w:footnoteReference w:id="20"/>
      </w:r>
      <w:r w:rsidRPr="002234C8">
        <w:rPr>
          <w:rFonts w:ascii="Times New Roman" w:hAnsi="Times New Roman"/>
          <w:b/>
          <w:noProof/>
        </w:rPr>
        <w:t xml:space="preserve"> și Regulamentul privind restaurarea naturii</w:t>
      </w:r>
      <w:r w:rsidRPr="002234C8">
        <w:rPr>
          <w:rStyle w:val="FootnoteReference"/>
          <w:rFonts w:ascii="Times New Roman" w:eastAsia="Calibri" w:hAnsi="Times New Roman" w:cs="Times New Roman"/>
          <w:b/>
          <w:bCs/>
          <w:noProof/>
        </w:rPr>
        <w:footnoteReference w:id="21"/>
      </w:r>
      <w:r w:rsidRPr="002234C8">
        <w:rPr>
          <w:rFonts w:ascii="Times New Roman" w:hAnsi="Times New Roman"/>
          <w:b/>
          <w:noProof/>
        </w:rPr>
        <w:t xml:space="preserve">, oferă un cadru de reglementare cuprinzător pentru ciclul apei din Europa. </w:t>
      </w:r>
      <w:r>
        <w:rPr>
          <w:rFonts w:ascii="Times New Roman" w:hAnsi="Times New Roman"/>
          <w:noProof/>
        </w:rPr>
        <w:t>Cu toate acestea, va fi necesară o punere în aplicare eficace pentru a restabili ciclul apei în ceea ce privește cantitatea și calitatea.</w:t>
      </w:r>
      <w:r>
        <w:rPr>
          <w:rFonts w:ascii="Times New Roman" w:hAnsi="Times New Roman"/>
          <w:noProof/>
          <w:color w:val="242424"/>
        </w:rPr>
        <w:t xml:space="preserve"> Obiectivul Directivei-cadru privind apa de a atinge o stare bună a tuturor corpurilor de apă până în </w:t>
      </w:r>
      <w:r w:rsidRPr="002234C8">
        <w:rPr>
          <w:rFonts w:ascii="Times New Roman" w:hAnsi="Times New Roman"/>
          <w:noProof/>
          <w:color w:val="242424"/>
        </w:rPr>
        <w:t>2027</w:t>
      </w:r>
      <w:r>
        <w:rPr>
          <w:rStyle w:val="FootnoteReference"/>
          <w:rFonts w:ascii="Times New Roman" w:hAnsi="Times New Roman" w:cs="Times New Roman"/>
          <w:noProof/>
          <w:color w:val="242424"/>
        </w:rPr>
        <w:footnoteReference w:id="22"/>
      </w:r>
      <w:r>
        <w:rPr>
          <w:rFonts w:ascii="Times New Roman" w:hAnsi="Times New Roman"/>
          <w:noProof/>
          <w:color w:val="242424"/>
        </w:rPr>
        <w:t xml:space="preserve"> și obiectivele </w:t>
      </w:r>
      <w:r>
        <w:rPr>
          <w:rFonts w:ascii="Times New Roman" w:hAnsi="Times New Roman"/>
          <w:noProof/>
          <w:color w:val="000000" w:themeColor="text1"/>
        </w:rPr>
        <w:t>Directivei privind gestionarea riscurilor de inundații</w:t>
      </w:r>
      <w:r>
        <w:rPr>
          <w:rFonts w:ascii="Times New Roman" w:hAnsi="Times New Roman"/>
          <w:noProof/>
          <w:color w:val="242424"/>
        </w:rPr>
        <w:t xml:space="preserve"> rămân reperele principale pentru acțiune. Comisia va acorda prioritate asigurării respectării legislației pe baza celei mai recente evaluări a planurilor naționale de management al bazinelor hidrografice (PMBH)</w:t>
      </w:r>
      <w:r w:rsidRPr="002234C8">
        <w:rPr>
          <w:rFonts w:ascii="Times New Roman" w:hAnsi="Times New Roman"/>
          <w:b/>
          <w:noProof/>
        </w:rPr>
        <w:t xml:space="preserve"> </w:t>
      </w:r>
      <w:r>
        <w:rPr>
          <w:rFonts w:ascii="Times New Roman" w:hAnsi="Times New Roman"/>
          <w:noProof/>
          <w:color w:val="242424"/>
        </w:rPr>
        <w:t>și a planurilor de management al riscului de inundații (PMRI), în dialog cu statele membre</w:t>
      </w:r>
      <w:r>
        <w:rPr>
          <w:rStyle w:val="FootnoteReference"/>
          <w:rFonts w:ascii="Times New Roman" w:hAnsi="Times New Roman" w:cs="Times New Roman"/>
          <w:noProof/>
          <w:color w:val="242424"/>
        </w:rPr>
        <w:footnoteReference w:id="23"/>
      </w:r>
      <w:r>
        <w:rPr>
          <w:noProof/>
        </w:rPr>
        <w:t>.</w:t>
      </w:r>
      <w:r>
        <w:rPr>
          <w:rFonts w:ascii="Times New Roman" w:hAnsi="Times New Roman"/>
          <w:noProof/>
          <w:color w:val="242424"/>
        </w:rPr>
        <w:t xml:space="preserve"> Pentru a sprijini în continuare activitatea statelor membre în ceea ce privește abordarea deficitului de apă și a secetelor, Comisia va elabora indicatori pentru deficitul de apă și va publica orientări tehnice privind planurile de gestionare a secetelor. Regulamentul privind restaurarea naturii</w:t>
      </w:r>
      <w:r w:rsidRPr="002234C8">
        <w:rPr>
          <w:rFonts w:ascii="Times New Roman" w:hAnsi="Times New Roman"/>
          <w:b/>
          <w:noProof/>
        </w:rPr>
        <w:t xml:space="preserve"> </w:t>
      </w:r>
      <w:r>
        <w:rPr>
          <w:rFonts w:ascii="Times New Roman" w:hAnsi="Times New Roman"/>
          <w:noProof/>
          <w:color w:val="242424"/>
        </w:rPr>
        <w:t xml:space="preserve">oferă ocazia de a sprijini gestionarea cantității de apă și de a spori reziliența la secetă și inundații prin soluții bazate pe natură. Reziliența la schimbările climatice și în domeniul apei trebuie să fie pe deplin integrată în planurile naționale de restaurare care urmează să fie elaborate până în </w:t>
      </w:r>
      <w:r w:rsidRPr="002234C8">
        <w:rPr>
          <w:rFonts w:ascii="Times New Roman" w:hAnsi="Times New Roman"/>
          <w:noProof/>
          <w:color w:val="242424"/>
        </w:rPr>
        <w:t>2026</w:t>
      </w:r>
      <w:r>
        <w:rPr>
          <w:rFonts w:ascii="Times New Roman" w:hAnsi="Times New Roman"/>
          <w:noProof/>
          <w:color w:val="242424"/>
        </w:rPr>
        <w:t xml:space="preserve">. </w:t>
      </w:r>
    </w:p>
    <w:p w14:paraId="61C51B5C" w14:textId="435E0A83" w:rsidR="00CF166D" w:rsidRPr="009F333A" w:rsidDel="005B6984" w:rsidRDefault="2FA62F84" w:rsidP="00ED14EB">
      <w:pPr>
        <w:shd w:val="clear" w:color="auto" w:fill="FFFFFF" w:themeFill="background1"/>
        <w:spacing w:after="240" w:line="240" w:lineRule="auto"/>
        <w:jc w:val="both"/>
        <w:rPr>
          <w:rFonts w:ascii="Times New Roman" w:hAnsi="Times New Roman" w:cs="Times New Roman"/>
          <w:noProof/>
        </w:rPr>
      </w:pPr>
      <w:r w:rsidRPr="002234C8">
        <w:rPr>
          <w:rFonts w:ascii="Times New Roman" w:hAnsi="Times New Roman"/>
          <w:b/>
          <w:noProof/>
        </w:rPr>
        <w:t>Obiectivul Directivei-cadru „Strategia pentru mediul marin” din 2008 de a atinge o stare ecologică bună a apelor marine până în 2020 nu a fost îndeplinit.</w:t>
      </w:r>
      <w:r>
        <w:rPr>
          <w:rFonts w:ascii="Times New Roman" w:hAnsi="Times New Roman"/>
          <w:noProof/>
        </w:rPr>
        <w:t xml:space="preserve"> Biodiversitatea marină este în declin, iar poluarea râurilor continuă să afecteze viața marină. În urma unei evaluări recente</w:t>
      </w:r>
      <w:r>
        <w:rPr>
          <w:rFonts w:ascii="Times New Roman" w:hAnsi="Times New Roman" w:cs="Times New Roman"/>
          <w:noProof/>
          <w:vertAlign w:val="superscript"/>
        </w:rPr>
        <w:footnoteReference w:id="24"/>
      </w:r>
      <w:r>
        <w:rPr>
          <w:rFonts w:ascii="Times New Roman" w:hAnsi="Times New Roman"/>
          <w:noProof/>
        </w:rPr>
        <w:t xml:space="preserve">, Comisia va revizui Directiva-cadru „Strategia pentru mediul marin” pentru a îmbunătăți coerența cu acquis-ul UE privind apa dulce, punând accentul pe obținerea de rezultate prin reducerea cerințelor de raportare și prin îmbunătățirea gestionării datelor și a guvernanței în cadrul convențiilor maritime regionale. </w:t>
      </w:r>
    </w:p>
    <w:p w14:paraId="528587D0" w14:textId="7A55B456" w:rsidR="00E21EB9" w:rsidRPr="0060399D" w:rsidRDefault="00CF166D" w:rsidP="00AD6B6D">
      <w:pPr>
        <w:spacing w:beforeAutospacing="1" w:afterAutospacing="1" w:line="240" w:lineRule="auto"/>
        <w:jc w:val="both"/>
        <w:rPr>
          <w:rFonts w:ascii="Times New Roman" w:eastAsia="Times New Roman" w:hAnsi="Times New Roman" w:cs="Times New Roman"/>
          <w:noProof/>
        </w:rPr>
      </w:pPr>
      <w:r w:rsidRPr="002234C8">
        <w:rPr>
          <w:rFonts w:ascii="Times New Roman" w:hAnsi="Times New Roman"/>
          <w:b/>
          <w:noProof/>
          <w:color w:val="121212"/>
        </w:rPr>
        <w:t>Pe lângă legislația existentă, trebuie intensificate eforturile în vederea îmbunătățirii capacității de retenție a apei pe uscat.</w:t>
      </w:r>
      <w:r>
        <w:rPr>
          <w:rFonts w:ascii="Times New Roman" w:hAnsi="Times New Roman"/>
          <w:noProof/>
          <w:color w:val="121212"/>
        </w:rPr>
        <w:t xml:space="preserve"> </w:t>
      </w:r>
      <w:r w:rsidRPr="002234C8">
        <w:rPr>
          <w:rFonts w:ascii="Times New Roman" w:hAnsi="Times New Roman"/>
          <w:b/>
          <w:noProof/>
          <w:color w:val="121212"/>
        </w:rPr>
        <w:t xml:space="preserve">În conformitate cu pactul european privind oceanele, </w:t>
      </w:r>
      <w:r w:rsidRPr="002234C8">
        <w:rPr>
          <w:rFonts w:ascii="Times New Roman" w:hAnsi="Times New Roman"/>
          <w:b/>
          <w:noProof/>
        </w:rPr>
        <w:t xml:space="preserve">trebuie să acordăm prioritate utilizării întregului potențial al ecosistemelor noastre pentru </w:t>
      </w:r>
      <w:r w:rsidRPr="002234C8">
        <w:rPr>
          <w:rFonts w:ascii="Times New Roman" w:hAnsi="Times New Roman"/>
          <w:b/>
          <w:noProof/>
          <w:color w:val="121212"/>
        </w:rPr>
        <w:t>stocarea, purificarea, eliberarea</w:t>
      </w:r>
      <w:r w:rsidRPr="002234C8">
        <w:rPr>
          <w:rFonts w:ascii="Times New Roman" w:hAnsi="Times New Roman"/>
          <w:b/>
          <w:noProof/>
        </w:rPr>
        <w:t xml:space="preserve"> și refacerea apei pe uscat și pe mare, pe baza unei abordări „de la sursă la mare”.</w:t>
      </w:r>
      <w:r>
        <w:rPr>
          <w:rFonts w:ascii="Times New Roman" w:hAnsi="Times New Roman"/>
          <w:noProof/>
        </w:rPr>
        <w:t xml:space="preserve"> Pe drumul spre mare, apa dulce este stocată în mod natural în soluri, </w:t>
      </w:r>
      <w:r>
        <w:rPr>
          <w:noProof/>
        </w:rPr>
        <w:t xml:space="preserve"> </w:t>
      </w:r>
      <w:r>
        <w:rPr>
          <w:rFonts w:ascii="Times New Roman" w:hAnsi="Times New Roman"/>
          <w:noProof/>
        </w:rPr>
        <w:t>păduri, zone umede, zone inundabile și alte ecosisteme. Este necesar să se redreseze funcția de burete natural a peisajelor noastre pentru a reface rezerva noastră de apă subterană și pentru a proteja biodiversitatea. Pentru o mai bună coordonare și extindere a inițiativelor existente</w:t>
      </w:r>
      <w:r>
        <w:rPr>
          <w:rStyle w:val="FootnoteReference"/>
          <w:rFonts w:ascii="Times New Roman" w:hAnsi="Times New Roman"/>
          <w:noProof/>
          <w:lang w:val="en-GB"/>
        </w:rPr>
        <w:footnoteReference w:id="25"/>
      </w:r>
      <w:r>
        <w:rPr>
          <w:rFonts w:ascii="Times New Roman" w:hAnsi="Times New Roman"/>
          <w:noProof/>
        </w:rPr>
        <w:t xml:space="preserve"> care vizează creșterea reținerii apei pe uscat, Comisia va dezvolta un „mecanism de tip burete” („Sponge Facility”), care va oferi un cadru coerent pentru inițiativele noi și existente de creștere a retenției apei pe uscat</w:t>
      </w:r>
      <w:r w:rsidRPr="002234C8">
        <w:rPr>
          <w:rFonts w:ascii="Times New Roman" w:hAnsi="Times New Roman"/>
          <w:b/>
          <w:noProof/>
          <w:color w:val="121212"/>
        </w:rPr>
        <w:t xml:space="preserve">. </w:t>
      </w:r>
      <w:r>
        <w:rPr>
          <w:rFonts w:ascii="Times New Roman" w:hAnsi="Times New Roman"/>
          <w:noProof/>
        </w:rPr>
        <w:t>Astfel cum se prevede în viziunea pentru agricultură și sectorul alimentar, Comisia intenționează, de asemenea, să stimuleze și să sprijine practicile agricole care recuperează, mențin sau îmbunătățesc sănătatea solului, cum ar fi agricultura ecologică și abordările agroecologice care rețin apa în sol. În zonele urbane, ar trebui promovate „orașele-burete”</w:t>
      </w:r>
      <w:r>
        <w:rPr>
          <w:rFonts w:ascii="Times New Roman" w:hAnsi="Times New Roman"/>
          <w:noProof/>
          <w:color w:val="242424"/>
        </w:rPr>
        <w:t xml:space="preserve">, concepute prin soluții bazate pe natură pentru a absorbi și a elibera apa într-un mod controlat. </w:t>
      </w:r>
      <w:r>
        <w:rPr>
          <w:rFonts w:ascii="Times New Roman" w:hAnsi="Times New Roman"/>
          <w:noProof/>
        </w:rPr>
        <w:t>În plus, gestionarea integrată a apelor dulci și marine este esențială.</w:t>
      </w:r>
      <w:r w:rsidRPr="002234C8">
        <w:rPr>
          <w:rFonts w:ascii="Times New Roman" w:hAnsi="Times New Roman"/>
          <w:b/>
          <w:noProof/>
        </w:rPr>
        <w:t xml:space="preserve"> </w:t>
      </w:r>
      <w:r>
        <w:rPr>
          <w:rFonts w:ascii="Times New Roman" w:hAnsi="Times New Roman"/>
          <w:noProof/>
        </w:rPr>
        <w:t>Poluarea râurilor, perturbarea fluxurilor de sedimente și penuria de apă au un impact puternic asupra sănătății ecosistemelor marine și asupra viabilității activităților sociale și economice care depind de acestea, cum ar fi pescuitul, acvacultura sau turismul</w:t>
      </w:r>
      <w:r>
        <w:rPr>
          <w:rStyle w:val="FootnoteReference"/>
          <w:rFonts w:ascii="Times New Roman" w:eastAsia="Times New Roman" w:hAnsi="Times New Roman" w:cs="Times New Roman"/>
          <w:noProof/>
        </w:rPr>
        <w:footnoteReference w:id="26"/>
      </w:r>
      <w:r>
        <w:rPr>
          <w:rFonts w:ascii="Times New Roman" w:hAnsi="Times New Roman"/>
          <w:noProof/>
        </w:rPr>
        <w:t>. Zonele costiere joacă un rol esențial în ciclul apei și sunt esențiale pentru prevenirea pătrunderii poluării terestre în mare. O amenajare eficace a teritoriului poate reduce vulnerabilitatea comunităților costiere, a orașelor, a porturilor maritime, a deltelor</w:t>
      </w:r>
      <w:r w:rsidRPr="002234C8">
        <w:rPr>
          <w:rFonts w:ascii="Times New Roman" w:hAnsi="Times New Roman"/>
          <w:b/>
          <w:noProof/>
        </w:rPr>
        <w:t xml:space="preserve"> fluviale joase la schimbările climatice, în timp ce porturile maritime trebuie, de asemenea, să contribuie la reducerea la minimum a poluării cauzate de nave prin aderarea la legile și politicile relevante.</w:t>
      </w:r>
      <w:r>
        <w:rPr>
          <w:rFonts w:ascii="Times New Roman" w:hAnsi="Times New Roman"/>
          <w:noProof/>
        </w:rPr>
        <w:t xml:space="preserve"> Acesta este, de asemenea, unul dintre subiectele care trebuie abordate în strategia portuară a UE anunțată de Comisie. În cele din urmă, o gestionare durabilă și integrată a căilor navigabile interioare poate contribui în mod semnificativ la reziliența în domeniul apei, printr-o mai bună adaptare la secete și inundații, menținând în același timp conectivitatea rutelor de navigație.</w:t>
      </w:r>
    </w:p>
    <w:p w14:paraId="603AC12F" w14:textId="68D14E6E" w:rsidR="0094545C" w:rsidRDefault="266720B8" w:rsidP="00ED14EB">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color w:val="000000" w:themeColor="text1"/>
        </w:rPr>
        <w:t xml:space="preserve">Stocarea apei în rezervoare și în alte structuri antropice necesită o </w:t>
      </w:r>
      <w:r w:rsidRPr="002234C8">
        <w:rPr>
          <w:rFonts w:ascii="Times New Roman" w:hAnsi="Times New Roman"/>
          <w:b/>
          <w:strike/>
          <w:noProof/>
          <w:color w:val="D13438"/>
        </w:rPr>
        <w:t xml:space="preserve"> </w:t>
      </w:r>
      <w:r w:rsidRPr="002234C8">
        <w:rPr>
          <w:rFonts w:ascii="Times New Roman" w:hAnsi="Times New Roman"/>
          <w:b/>
          <w:noProof/>
          <w:color w:val="000000" w:themeColor="text1"/>
        </w:rPr>
        <w:t>atenție deosebită și o planificare și coordonare atente, deoarece multe sectoare economice au nevoie de o aprovizionare stabilă cu apă și au adesea nevoi diferite de-a lungul anului</w:t>
      </w:r>
      <w:r w:rsidRPr="002234C8">
        <w:rPr>
          <w:rStyle w:val="FootnoteReference"/>
          <w:rFonts w:ascii="Times New Roman" w:eastAsia="Times New Roman" w:hAnsi="Times New Roman" w:cs="Times New Roman"/>
          <w:b/>
          <w:bCs/>
          <w:noProof/>
          <w:color w:val="000000" w:themeColor="text1"/>
          <w:lang w:val="en-GB"/>
        </w:rPr>
        <w:footnoteReference w:id="27"/>
      </w:r>
      <w:r>
        <w:rPr>
          <w:rFonts w:ascii="Times New Roman" w:hAnsi="Times New Roman"/>
          <w:noProof/>
          <w:color w:val="000000" w:themeColor="text1"/>
        </w:rPr>
        <w:t xml:space="preserve">. </w:t>
      </w:r>
      <w:r>
        <w:rPr>
          <w:rFonts w:ascii="Times New Roman" w:hAnsi="Times New Roman"/>
          <w:noProof/>
          <w:color w:val="121212"/>
        </w:rPr>
        <w:t xml:space="preserve">Acțiunile privind gestionarea apei ar trebui să acorde prioritate soluțiilor bazate pe natură, dar trebuie, de asemenea, să se bazeze pe structuri antropice </w:t>
      </w:r>
      <w:r>
        <w:rPr>
          <w:rFonts w:ascii="Times New Roman" w:hAnsi="Times New Roman"/>
          <w:noProof/>
        </w:rPr>
        <w:t xml:space="preserve">sau pe o combinație a celor două. </w:t>
      </w:r>
      <w:r>
        <w:rPr>
          <w:rFonts w:ascii="Times New Roman" w:hAnsi="Times New Roman"/>
          <w:noProof/>
          <w:color w:val="000000" w:themeColor="text1"/>
        </w:rPr>
        <w:t>Planificarea de noi baraje și rezervoare ar trebui să evalueze cu atenție impactul acestora asupra mediului, implicând toți actorii relevanți, și să se asigure că astfel de acțiuni fac parte dintr-o strategie integrată și durabilă de gestionare a apei, care să reflecte pe deplin scenariile și previziunile climatice de referință pe termen lung, pentru a evita investițiile eșuate.</w:t>
      </w:r>
      <w:r w:rsidRPr="002234C8">
        <w:rPr>
          <w:rFonts w:ascii="Times New Roman" w:hAnsi="Times New Roman"/>
          <w:b/>
          <w:noProof/>
          <w:color w:val="121212"/>
        </w:rPr>
        <w:t xml:space="preserve"> </w:t>
      </w:r>
      <w:r>
        <w:rPr>
          <w:rFonts w:ascii="Times New Roman" w:hAnsi="Times New Roman"/>
          <w:noProof/>
        </w:rPr>
        <w:t xml:space="preserve"> </w:t>
      </w:r>
    </w:p>
    <w:p w14:paraId="338EAE05" w14:textId="0C3C8AFA" w:rsidR="006A23E3" w:rsidRDefault="006A23E3" w:rsidP="00ED14EB">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Calitatea și cantitatea apei sunt două fețe ale aceleiași monede și trebuie să continuăm să depunem eforturi pentru a preveni poluarea la sursă. </w:t>
      </w:r>
      <w:r>
        <w:rPr>
          <w:rFonts w:ascii="Times New Roman" w:hAnsi="Times New Roman"/>
          <w:noProof/>
        </w:rPr>
        <w:t xml:space="preserve">În </w:t>
      </w:r>
      <w:r w:rsidRPr="002234C8">
        <w:rPr>
          <w:rFonts w:ascii="Times New Roman" w:hAnsi="Times New Roman"/>
          <w:noProof/>
        </w:rPr>
        <w:t>2021</w:t>
      </w:r>
      <w:r>
        <w:rPr>
          <w:rFonts w:ascii="Times New Roman" w:hAnsi="Times New Roman"/>
          <w:noProof/>
        </w:rPr>
        <w:t xml:space="preserve">, doar </w:t>
      </w:r>
      <w:r w:rsidRPr="002234C8">
        <w:rPr>
          <w:rFonts w:ascii="Times New Roman" w:hAnsi="Times New Roman"/>
          <w:noProof/>
        </w:rPr>
        <w:t>39</w:t>
      </w:r>
      <w:r>
        <w:rPr>
          <w:rFonts w:ascii="Times New Roman" w:hAnsi="Times New Roman"/>
          <w:noProof/>
        </w:rPr>
        <w:t>,</w:t>
      </w:r>
      <w:r w:rsidRPr="002234C8">
        <w:rPr>
          <w:rFonts w:ascii="Times New Roman" w:hAnsi="Times New Roman"/>
          <w:noProof/>
        </w:rPr>
        <w:t>5</w:t>
      </w:r>
      <w:r>
        <w:rPr>
          <w:rFonts w:ascii="Times New Roman" w:hAnsi="Times New Roman"/>
          <w:noProof/>
        </w:rPr>
        <w:t xml:space="preserve"> % din apele de suprafață ale UE aveau o stare ecologică bună și doar </w:t>
      </w:r>
      <w:r w:rsidRPr="002234C8">
        <w:rPr>
          <w:rFonts w:ascii="Times New Roman" w:hAnsi="Times New Roman"/>
          <w:noProof/>
        </w:rPr>
        <w:t>26</w:t>
      </w:r>
      <w:r>
        <w:rPr>
          <w:rFonts w:ascii="Times New Roman" w:hAnsi="Times New Roman"/>
          <w:noProof/>
        </w:rPr>
        <w:t>,</w:t>
      </w:r>
      <w:r w:rsidRPr="002234C8">
        <w:rPr>
          <w:rFonts w:ascii="Times New Roman" w:hAnsi="Times New Roman"/>
          <w:noProof/>
        </w:rPr>
        <w:t>8</w:t>
      </w:r>
      <w:r>
        <w:rPr>
          <w:rFonts w:ascii="Times New Roman" w:hAnsi="Times New Roman"/>
          <w:noProof/>
        </w:rPr>
        <w:t> % aveau o stare chimică bună</w:t>
      </w:r>
      <w:r>
        <w:rPr>
          <w:rStyle w:val="FootnoteReference"/>
          <w:rFonts w:ascii="Times New Roman" w:eastAsia="Times New Roman" w:hAnsi="Times New Roman" w:cs="Times New Roman"/>
          <w:noProof/>
        </w:rPr>
        <w:footnoteReference w:id="28"/>
      </w:r>
      <w:r>
        <w:rPr>
          <w:noProof/>
        </w:rPr>
        <w:t>.</w:t>
      </w:r>
      <w:r>
        <w:rPr>
          <w:rFonts w:ascii="Times New Roman" w:hAnsi="Times New Roman"/>
          <w:noProof/>
        </w:rPr>
        <w:t xml:space="preserve"> Trebuie intensificate acțiunile și trebuie să se pună accentul pe prevenirea utilizării și gestionării nesustenabile a terenurilor, precum și pe schimbările hidromorfologice, pe gestionarea structurală defectuoasă a apei din cauza captării excesive atât legale, cât și ilegale, pe ineficiența utilizării apei în toate sectoarele și pe poluarea apei legată de activități precum agricultura, producția industrială, mineritul și gestionarea deșeurilor. </w:t>
      </w:r>
    </w:p>
    <w:p w14:paraId="03B6D6B4" w14:textId="467732FF" w:rsidR="006A23E3" w:rsidRPr="009F333A" w:rsidRDefault="006A23E3" w:rsidP="00ED14EB">
      <w:pPr>
        <w:pStyle w:val="ecl-paragraph"/>
        <w:spacing w:before="0" w:beforeAutospacing="0" w:after="240" w:afterAutospacing="0"/>
        <w:jc w:val="both"/>
        <w:rPr>
          <w:noProof/>
        </w:rPr>
      </w:pPr>
      <w:r w:rsidRPr="002234C8">
        <w:rPr>
          <w:b/>
          <w:noProof/>
        </w:rPr>
        <w:t>Poluarea apei are un impact direct asupra sănătății.</w:t>
      </w:r>
      <w:r>
        <w:rPr>
          <w:noProof/>
        </w:rPr>
        <w:t xml:space="preserve"> Ea poate duce la boli cu transmitere hidrică și poate exacerba rezistența la antimicrobiene. Criza provocată de pandemia de COVID</w:t>
      </w:r>
      <w:r w:rsidR="002234C8">
        <w:rPr>
          <w:noProof/>
        </w:rPr>
        <w:t>­</w:t>
      </w:r>
      <w:r w:rsidRPr="002234C8">
        <w:rPr>
          <w:noProof/>
        </w:rPr>
        <w:t>19</w:t>
      </w:r>
      <w:r>
        <w:rPr>
          <w:noProof/>
        </w:rPr>
        <w:t xml:space="preserve"> a demonstrat importanța urmăririi agenților patogeni și a parametrilor de sănătate în apele uzate, urmând o abordare de tip „O singură sănătate”, întrucât sănătatea oamenilor, a animalelor, a plantelor și a mediului sunt strâns legate între ele</w:t>
      </w:r>
      <w:r>
        <w:rPr>
          <w:rFonts w:eastAsia="Calibri"/>
          <w:noProof/>
          <w:vertAlign w:val="superscript"/>
        </w:rPr>
        <w:footnoteReference w:id="29"/>
      </w:r>
      <w:r>
        <w:rPr>
          <w:noProof/>
        </w:rPr>
        <w:t>. Comisia va continua să sprijine consolidarea capacităților și dezvoltarea infrastructurii în materie de supraveghere a apelor uzate, în special deoarece schimbările climatice agravează riscurile pentru sănătate ale bolilor legate de apă</w:t>
      </w:r>
      <w:r>
        <w:rPr>
          <w:rStyle w:val="FootnoteReference"/>
          <w:noProof/>
        </w:rPr>
        <w:footnoteReference w:id="30"/>
      </w:r>
      <w:r>
        <w:rPr>
          <w:noProof/>
        </w:rPr>
        <w:t>.</w:t>
      </w:r>
      <w:r>
        <w:rPr>
          <w:noProof/>
          <w:vertAlign w:val="superscript"/>
        </w:rPr>
        <w:t xml:space="preserve"> </w:t>
      </w:r>
    </w:p>
    <w:p w14:paraId="1857658D" w14:textId="4AAF6E17" w:rsidR="006A23E3" w:rsidRPr="009F333A" w:rsidRDefault="7A1DF893" w:rsidP="4251B09A">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Sunt necesare măsuri urgente pentru a combate poluanții care reprezintă un risc pentru sursele noastre vitale de apă potabilă. </w:t>
      </w:r>
      <w:r>
        <w:rPr>
          <w:rFonts w:ascii="Times New Roman" w:hAnsi="Times New Roman"/>
          <w:noProof/>
        </w:rPr>
        <w:t>Poluanții foarte persistenți, cum ar fi PFAS</w:t>
      </w:r>
      <w:r>
        <w:rPr>
          <w:rStyle w:val="FootnoteReference"/>
          <w:rFonts w:ascii="Times New Roman" w:hAnsi="Times New Roman"/>
          <w:noProof/>
        </w:rPr>
        <w:footnoteReference w:id="31"/>
      </w:r>
      <w:r>
        <w:rPr>
          <w:rFonts w:ascii="Times New Roman" w:hAnsi="Times New Roman"/>
          <w:noProof/>
        </w:rPr>
        <w:t xml:space="preserve">, continuă să se acumuleze în apele UE și cauzează un impact estimat asupra sănătății cuprins între </w:t>
      </w:r>
      <w:r w:rsidRPr="002234C8">
        <w:rPr>
          <w:rFonts w:ascii="Times New Roman" w:hAnsi="Times New Roman"/>
          <w:noProof/>
        </w:rPr>
        <w:t>52</w:t>
      </w:r>
      <w:r>
        <w:rPr>
          <w:rFonts w:ascii="Times New Roman" w:hAnsi="Times New Roman"/>
          <w:noProof/>
        </w:rPr>
        <w:t xml:space="preserve"> și </w:t>
      </w:r>
      <w:r w:rsidRPr="002234C8">
        <w:rPr>
          <w:rFonts w:ascii="Times New Roman" w:hAnsi="Times New Roman"/>
          <w:noProof/>
        </w:rPr>
        <w:t>84</w:t>
      </w:r>
      <w:r>
        <w:rPr>
          <w:rFonts w:ascii="Times New Roman" w:hAnsi="Times New Roman"/>
          <w:noProof/>
        </w:rPr>
        <w:t xml:space="preserve"> de miliarde EUR anual</w:t>
      </w:r>
      <w:r>
        <w:rPr>
          <w:rFonts w:ascii="Times New Roman" w:hAnsi="Times New Roman"/>
          <w:noProof/>
          <w:vertAlign w:val="superscript"/>
        </w:rPr>
        <w:footnoteReference w:id="32"/>
      </w:r>
      <w:r>
        <w:rPr>
          <w:rFonts w:ascii="Times New Roman" w:hAnsi="Times New Roman"/>
          <w:noProof/>
        </w:rPr>
        <w:t>. Aceasta reprezintă totodată o sursă majoră de îngrijorare publică. Poluarea apei și a mediului marin, inclusiv cea cauzată de microplastice, trebuie abordată de la sursă sau de-a lungul căilor de transmitere, în conformitate cu Planul de acțiune privind reducerea la zero a poluării apei, aerului și solului</w:t>
      </w:r>
      <w:r>
        <w:rPr>
          <w:rStyle w:val="FootnoteReference"/>
          <w:rFonts w:ascii="Times New Roman" w:eastAsia="Calibri" w:hAnsi="Times New Roman" w:cs="Times New Roman"/>
          <w:noProof/>
        </w:rPr>
        <w:footnoteReference w:id="33"/>
      </w:r>
      <w:r>
        <w:rPr>
          <w:rFonts w:ascii="Times New Roman" w:hAnsi="Times New Roman"/>
          <w:noProof/>
        </w:rPr>
        <w:t>. În plus, UE trebuie să depună eforturi decisive pentru a decontamina siturile deja puternic poluate de aceste substanțe – precum și de alte substanțe omniprezente, persistente, bioacumulative și toxice –, în special în cazurile în care astfel de substanțe rămân indispensabile pentru societate și aplicațiile industriale. Decontaminarea ar trebui să se bazeze pe principiul „poluatorul plătește”, cu fonduri publice alocate pentru curățarea siturilor orfane, în cazul cărora nu a putut fi găsită nicio entitate responsabilă. Deși eforturile de remediere sunt foarte costisitoare</w:t>
      </w:r>
      <w:r>
        <w:rPr>
          <w:rStyle w:val="FootnoteReference"/>
          <w:rFonts w:ascii="Times New Roman" w:eastAsia="Calibri" w:hAnsi="Times New Roman" w:cs="Times New Roman"/>
          <w:noProof/>
        </w:rPr>
        <w:footnoteReference w:id="34"/>
      </w:r>
      <w:r>
        <w:rPr>
          <w:rFonts w:ascii="Times New Roman" w:hAnsi="Times New Roman"/>
          <w:noProof/>
        </w:rPr>
        <w:t>, cercetarea și inovarea pot reduce în mod semnificativ aceste costuri prin tehnologii noi, inclusiv biotehnologii, care vor fi promovate în cadrul strategiei în domeniul bioeconomiei. În plus, dacă vor fi identificați parteneri dispuși să investească alături de UE, Comisia va prezenta o propunere pentru instituirea unei inițiative public-private cu scopul de a obține un progres tehnologic în dezvoltarea unor metode fezabile și accesibile de detectare și remediere a PFAS și a altor substanțe chimice persistente.</w:t>
      </w:r>
    </w:p>
    <w:p w14:paraId="6BDF8180" w14:textId="6B75B4F6" w:rsidR="006A23E3"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sidRPr="002234C8">
        <w:rPr>
          <w:rFonts w:ascii="Times New Roman" w:hAnsi="Times New Roman"/>
          <w:b/>
          <w:noProof/>
        </w:rPr>
        <w:t xml:space="preserve">Limitarea poluării ecosistemelor acvatice cu nutrienți ar trebui plasată în centrul eforturilor de refacere a calității apei. </w:t>
      </w:r>
      <w:r>
        <w:rPr>
          <w:rFonts w:ascii="Times New Roman" w:hAnsi="Times New Roman"/>
          <w:noProof/>
        </w:rPr>
        <w:t xml:space="preserve">Nutrienții proveniți din agricultură, din așezările urbane și din alte surse au impact asupra sănătății umane și provoacă proliferarea algelor și epuizarea oxigenului, fenomene letale pentru ecosistemele acvatice. Aceasta rămâne o provocare majoră și cauzează pierderi socioeconomice estimate la </w:t>
      </w:r>
      <w:r w:rsidRPr="002234C8">
        <w:rPr>
          <w:rFonts w:ascii="Times New Roman" w:hAnsi="Times New Roman"/>
          <w:noProof/>
        </w:rPr>
        <w:t>75</w:t>
      </w:r>
      <w:r>
        <w:rPr>
          <w:rFonts w:ascii="Times New Roman" w:hAnsi="Times New Roman"/>
          <w:noProof/>
        </w:rPr>
        <w:t>-</w:t>
      </w:r>
      <w:r w:rsidRPr="002234C8">
        <w:rPr>
          <w:rFonts w:ascii="Times New Roman" w:hAnsi="Times New Roman"/>
          <w:noProof/>
        </w:rPr>
        <w:t>485</w:t>
      </w:r>
      <w:r>
        <w:rPr>
          <w:rFonts w:ascii="Times New Roman" w:hAnsi="Times New Roman"/>
          <w:noProof/>
        </w:rPr>
        <w:t xml:space="preserve"> de miliarde EUR pe an numai în ceea ce privește azotul</w:t>
      </w:r>
      <w:r>
        <w:rPr>
          <w:rStyle w:val="FootnoteReference"/>
          <w:rFonts w:ascii="Times New Roman" w:hAnsi="Times New Roman" w:cs="Times New Roman"/>
          <w:noProof/>
        </w:rPr>
        <w:footnoteReference w:id="35"/>
      </w:r>
      <w:r>
        <w:rPr>
          <w:rFonts w:ascii="Times New Roman" w:hAnsi="Times New Roman"/>
          <w:noProof/>
        </w:rPr>
        <w:t>. Astfel de costuri necesită o acțiune accelerată de la sursă la mare, inclusiv o mai bună punere în aplicare a Directivei privind nitrații în toate statele membre.</w:t>
      </w:r>
    </w:p>
    <w:p w14:paraId="66040D55" w14:textId="7F930D10" w:rsidR="008524F8" w:rsidRPr="009F333A" w:rsidRDefault="006A23E3" w:rsidP="00ED14EB">
      <w:pPr>
        <w:shd w:val="clear" w:color="auto" w:fill="FFFFFF" w:themeFill="background1"/>
        <w:spacing w:before="100" w:beforeAutospacing="1" w:after="240" w:line="240" w:lineRule="auto"/>
        <w:jc w:val="both"/>
        <w:rPr>
          <w:rFonts w:ascii="Times New Roman" w:hAnsi="Times New Roman" w:cs="Times New Roman"/>
          <w:noProof/>
        </w:rPr>
      </w:pPr>
      <w:r w:rsidRPr="002234C8">
        <w:rPr>
          <w:rFonts w:ascii="Times New Roman" w:hAnsi="Times New Roman"/>
          <w:b/>
          <w:noProof/>
        </w:rPr>
        <w:t>Comisia va sprijini statele membre în evaluarea reducerilor necesare ale încărcărilor cu nutrienți adaptate la specificul fiecărui caz</w:t>
      </w:r>
      <w:r>
        <w:rPr>
          <w:rFonts w:ascii="Times New Roman" w:hAnsi="Times New Roman"/>
          <w:noProof/>
        </w:rPr>
        <w:t>, inclusiv prin modele îmbunătățite, hărți interactive și schimburi de bune practici. Comisia va continua să susțină o gestionare îmbunătățită și integrată a nutrienților prin intermediul diferitelor foruri existente, va contribui la finanțarea instalațiilor de stocare a gunoiului de grajd și va promova circularitatea nutrienților, care poate contribui la reducerea utilizării îngrășămintelor sintetice. În sinergie cu fluxul de lucru privind creșterea animalelor anunțată în Viziunea pentru agricultură și sectorul alimentar, aceste acțiuni vor completa procesul de elaborare a unei viziuni pe termen lung care să respecte diversitatea producției animaliere în UE, asigurând totodată sustenabilitatea acesteia. De asemenea, ele vor consolida eforturile de încurajare a extensificării agriculturii în regiunile cu o concentrație ridicată de efective de animale.</w:t>
      </w:r>
    </w:p>
    <w:tbl>
      <w:tblPr>
        <w:tblStyle w:val="TableGrid"/>
        <w:tblW w:w="0" w:type="auto"/>
        <w:tblLook w:val="04A0" w:firstRow="1" w:lastRow="0" w:firstColumn="1" w:lastColumn="0" w:noHBand="0" w:noVBand="1"/>
      </w:tblPr>
      <w:tblGrid>
        <w:gridCol w:w="7174"/>
        <w:gridCol w:w="1842"/>
      </w:tblGrid>
      <w:tr w:rsidR="00A614BF" w:rsidRPr="009F333A" w14:paraId="52B7891B" w14:textId="77777777" w:rsidTr="008228FF">
        <w:tc>
          <w:tcPr>
            <w:tcW w:w="7174" w:type="dxa"/>
            <w:shd w:val="clear" w:color="auto" w:fill="A5C9EB" w:themeFill="text2" w:themeFillTint="40"/>
          </w:tcPr>
          <w:p w14:paraId="385B2D7F" w14:textId="4099D28A" w:rsidR="00A614BF" w:rsidRPr="009F333A" w:rsidRDefault="00A614BF" w:rsidP="002F3DC7">
            <w:pPr>
              <w:pStyle w:val="paragraph"/>
              <w:spacing w:before="0" w:beforeAutospacing="0" w:after="0" w:afterAutospacing="0"/>
              <w:jc w:val="center"/>
              <w:rPr>
                <w:rFonts w:eastAsia="Calibri"/>
                <w:b/>
                <w:bCs/>
                <w:noProof/>
                <w:sz w:val="24"/>
                <w:szCs w:val="24"/>
              </w:rPr>
            </w:pPr>
            <w:r w:rsidRPr="002234C8">
              <w:rPr>
                <w:b/>
                <w:noProof/>
                <w:sz w:val="24"/>
              </w:rPr>
              <w:t>Acțiuni emblematice – Refacerea și protejarea ciclului apei</w:t>
            </w:r>
          </w:p>
        </w:tc>
        <w:tc>
          <w:tcPr>
            <w:tcW w:w="1842" w:type="dxa"/>
            <w:shd w:val="clear" w:color="auto" w:fill="A5C9EB" w:themeFill="text2" w:themeFillTint="40"/>
          </w:tcPr>
          <w:p w14:paraId="1CED3283" w14:textId="5CDDFAD8" w:rsidR="00A614BF" w:rsidRPr="002234C8" w:rsidRDefault="00A614BF" w:rsidP="002F3DC7">
            <w:pPr>
              <w:pStyle w:val="paragraph"/>
              <w:spacing w:before="0" w:beforeAutospacing="0" w:after="0" w:afterAutospacing="0"/>
              <w:jc w:val="center"/>
              <w:rPr>
                <w:rFonts w:eastAsia="Calibri"/>
                <w:b/>
                <w:bCs/>
                <w:noProof/>
                <w:sz w:val="24"/>
                <w:szCs w:val="24"/>
              </w:rPr>
            </w:pPr>
            <w:r w:rsidRPr="002234C8">
              <w:rPr>
                <w:b/>
                <w:noProof/>
                <w:sz w:val="24"/>
              </w:rPr>
              <w:t>Calendar</w:t>
            </w:r>
          </w:p>
        </w:tc>
      </w:tr>
      <w:tr w:rsidR="00AF61B9" w:rsidRPr="009F333A" w14:paraId="351F359F" w14:textId="77777777" w:rsidTr="008228FF">
        <w:tc>
          <w:tcPr>
            <w:tcW w:w="7174" w:type="dxa"/>
          </w:tcPr>
          <w:p w14:paraId="5CA3119E" w14:textId="4E5560C3" w:rsidR="00AF61B9" w:rsidRPr="007D3D7E" w:rsidRDefault="3C26908C" w:rsidP="26F9187F">
            <w:pPr>
              <w:pStyle w:val="paragraph"/>
              <w:spacing w:before="0" w:beforeAutospacing="0" w:after="0" w:afterAutospacing="0"/>
              <w:jc w:val="both"/>
              <w:rPr>
                <w:rFonts w:eastAsia="Aptos"/>
                <w:b/>
                <w:bCs/>
                <w:noProof/>
                <w:sz w:val="24"/>
                <w:szCs w:val="24"/>
                <w:u w:val="single"/>
              </w:rPr>
            </w:pPr>
            <w:r>
              <w:rPr>
                <w:noProof/>
                <w:sz w:val="24"/>
              </w:rPr>
              <w:t xml:space="preserve">Stabilirea, inclusiv prin dialoguri structurate cu statele membre, a priorităților de punere în aplicare a Directivei-cadru privind apa și a directivelor privind inundațiile, punând accentul pe calitatea și cantitatea apei. </w:t>
            </w:r>
          </w:p>
        </w:tc>
        <w:tc>
          <w:tcPr>
            <w:tcW w:w="1842" w:type="dxa"/>
          </w:tcPr>
          <w:p w14:paraId="76E7C937" w14:textId="66E53B0C" w:rsidR="00AF61B9" w:rsidRPr="009F333A" w:rsidRDefault="00AF61B9" w:rsidP="0066345E">
            <w:pPr>
              <w:pStyle w:val="paragraph"/>
              <w:spacing w:before="0" w:beforeAutospacing="0" w:after="0" w:afterAutospacing="0"/>
              <w:jc w:val="center"/>
              <w:rPr>
                <w:rFonts w:eastAsia="Calibri"/>
                <w:noProof/>
                <w:sz w:val="24"/>
                <w:szCs w:val="24"/>
              </w:rPr>
            </w:pPr>
            <w:r w:rsidRPr="002234C8">
              <w:rPr>
                <w:noProof/>
              </w:rPr>
              <w:t>2025</w:t>
            </w:r>
            <w:r>
              <w:rPr>
                <w:noProof/>
              </w:rPr>
              <w:t>-</w:t>
            </w:r>
            <w:r w:rsidRPr="002234C8">
              <w:rPr>
                <w:noProof/>
              </w:rPr>
              <w:t>2026</w:t>
            </w:r>
          </w:p>
        </w:tc>
      </w:tr>
      <w:tr w:rsidR="00A30966" w:rsidRPr="009F333A" w14:paraId="5DE74CED" w14:textId="77777777" w:rsidTr="008228FF">
        <w:tc>
          <w:tcPr>
            <w:tcW w:w="7174" w:type="dxa"/>
          </w:tcPr>
          <w:p w14:paraId="627310AB" w14:textId="24E221E9" w:rsidR="00A30966" w:rsidRPr="009F333A" w:rsidRDefault="00A30966" w:rsidP="00A30966">
            <w:pPr>
              <w:pStyle w:val="paragraph"/>
              <w:spacing w:before="0" w:beforeAutospacing="0" w:after="0" w:afterAutospacing="0"/>
              <w:jc w:val="both"/>
              <w:rPr>
                <w:rFonts w:eastAsia="Calibri"/>
                <w:noProof/>
                <w:sz w:val="24"/>
                <w:szCs w:val="24"/>
              </w:rPr>
            </w:pPr>
            <w:r>
              <w:rPr>
                <w:noProof/>
                <w:sz w:val="24"/>
              </w:rPr>
              <w:t>Revizuirea Directivei-cadru „Strategia pentru mediul marin”.</w:t>
            </w:r>
          </w:p>
        </w:tc>
        <w:tc>
          <w:tcPr>
            <w:tcW w:w="1842" w:type="dxa"/>
          </w:tcPr>
          <w:p w14:paraId="73534E14" w14:textId="1152A5C9" w:rsidR="00A30966" w:rsidRPr="009F333A" w:rsidRDefault="00A30966" w:rsidP="00A30966">
            <w:pPr>
              <w:pStyle w:val="paragraph"/>
              <w:spacing w:before="0" w:beforeAutospacing="0" w:after="0" w:afterAutospacing="0"/>
              <w:jc w:val="center"/>
              <w:rPr>
                <w:rFonts w:eastAsia="Calibri"/>
                <w:noProof/>
                <w:sz w:val="24"/>
                <w:szCs w:val="24"/>
              </w:rPr>
            </w:pPr>
            <w:r w:rsidRPr="002234C8">
              <w:rPr>
                <w:noProof/>
              </w:rPr>
              <w:t>2027</w:t>
            </w:r>
          </w:p>
        </w:tc>
      </w:tr>
      <w:tr w:rsidR="00367DDA" w:rsidRPr="0060399D" w14:paraId="53BF564E" w14:textId="77777777" w:rsidTr="00D57C4B">
        <w:tc>
          <w:tcPr>
            <w:tcW w:w="7174" w:type="dxa"/>
          </w:tcPr>
          <w:p w14:paraId="3072D8C9" w14:textId="516A3547" w:rsidR="00367DDA" w:rsidRPr="0060399D" w:rsidRDefault="00367DDA" w:rsidP="00D57C4B">
            <w:pPr>
              <w:pStyle w:val="paragraph"/>
              <w:spacing w:before="0" w:beforeAutospacing="0" w:after="0" w:afterAutospacing="0"/>
              <w:jc w:val="both"/>
              <w:rPr>
                <w:rFonts w:eastAsia="Calibri"/>
                <w:noProof/>
                <w:sz w:val="24"/>
                <w:szCs w:val="24"/>
              </w:rPr>
            </w:pPr>
            <w:r>
              <w:rPr>
                <w:noProof/>
                <w:sz w:val="24"/>
              </w:rPr>
              <w:t>Elaborarea unor indicatori privind deficitul de apă și a unor orientări tehnice privind planurile de gestionare a secetei.</w:t>
            </w:r>
          </w:p>
        </w:tc>
        <w:tc>
          <w:tcPr>
            <w:tcW w:w="1842" w:type="dxa"/>
          </w:tcPr>
          <w:p w14:paraId="40F3603A" w14:textId="77777777" w:rsidR="00367DDA" w:rsidRPr="0060399D" w:rsidRDefault="00367DDA" w:rsidP="00AC1DBC">
            <w:pPr>
              <w:pStyle w:val="paragraph"/>
              <w:spacing w:before="0" w:beforeAutospacing="0" w:after="0" w:afterAutospacing="0"/>
              <w:jc w:val="center"/>
              <w:rPr>
                <w:rFonts w:eastAsia="Calibri"/>
                <w:noProof/>
                <w:sz w:val="24"/>
                <w:szCs w:val="24"/>
              </w:rPr>
            </w:pPr>
            <w:r w:rsidRPr="002234C8">
              <w:rPr>
                <w:noProof/>
                <w:sz w:val="24"/>
              </w:rPr>
              <w:t>2026</w:t>
            </w:r>
            <w:r>
              <w:rPr>
                <w:noProof/>
                <w:sz w:val="24"/>
              </w:rPr>
              <w:t>-</w:t>
            </w:r>
            <w:r w:rsidRPr="002234C8">
              <w:rPr>
                <w:noProof/>
                <w:sz w:val="24"/>
              </w:rPr>
              <w:t>2027</w:t>
            </w:r>
          </w:p>
        </w:tc>
      </w:tr>
      <w:tr w:rsidR="00A30966" w:rsidRPr="009F333A" w14:paraId="34C84F20" w14:textId="77777777" w:rsidTr="008228FF">
        <w:tc>
          <w:tcPr>
            <w:tcW w:w="7174" w:type="dxa"/>
          </w:tcPr>
          <w:p w14:paraId="0E7BFA49" w14:textId="2DE2E125" w:rsidR="00A30966" w:rsidRPr="00405080" w:rsidRDefault="00CE18BB" w:rsidP="00A30966">
            <w:pPr>
              <w:pStyle w:val="paragraph"/>
              <w:spacing w:before="0" w:beforeAutospacing="0" w:after="0" w:afterAutospacing="0"/>
              <w:jc w:val="both"/>
              <w:rPr>
                <w:rFonts w:eastAsia="Calibri"/>
                <w:noProof/>
                <w:sz w:val="24"/>
                <w:szCs w:val="24"/>
              </w:rPr>
            </w:pPr>
            <w:r>
              <w:rPr>
                <w:noProof/>
                <w:sz w:val="24"/>
              </w:rPr>
              <w:t>Sprijin pentru abordarea principalelor surse de poluare:</w:t>
            </w:r>
          </w:p>
          <w:p w14:paraId="7495DE78" w14:textId="17E58CD2" w:rsidR="00A30966" w:rsidRPr="00405080" w:rsidRDefault="006E5C14" w:rsidP="00A30966">
            <w:pPr>
              <w:pStyle w:val="paragraph"/>
              <w:numPr>
                <w:ilvl w:val="0"/>
                <w:numId w:val="5"/>
              </w:numPr>
              <w:spacing w:before="0" w:beforeAutospacing="0" w:after="0" w:afterAutospacing="0"/>
              <w:jc w:val="both"/>
              <w:rPr>
                <w:noProof/>
                <w:color w:val="242424"/>
                <w:sz w:val="24"/>
                <w:szCs w:val="24"/>
              </w:rPr>
            </w:pPr>
            <w:r>
              <w:rPr>
                <w:noProof/>
                <w:sz w:val="24"/>
              </w:rPr>
              <w:t>i</w:t>
            </w:r>
            <w:r w:rsidR="00A30966">
              <w:rPr>
                <w:noProof/>
                <w:sz w:val="24"/>
              </w:rPr>
              <w:t>nițiativă public-privată de realizare a unui progres tehnologic în ceea ce privește metodele fezabile și accesibile de detectare și remediere a PFAS și a altor substanțe chimice persistente, în cazul în care se identifică partenerii potriviți</w:t>
            </w:r>
            <w:r>
              <w:rPr>
                <w:noProof/>
                <w:sz w:val="24"/>
              </w:rPr>
              <w:t>;</w:t>
            </w:r>
          </w:p>
          <w:p w14:paraId="77D7F717" w14:textId="3A56A30C" w:rsidR="00A30966" w:rsidRPr="009F333A" w:rsidRDefault="006E5C14" w:rsidP="00A30966">
            <w:pPr>
              <w:pStyle w:val="paragraph"/>
              <w:numPr>
                <w:ilvl w:val="0"/>
                <w:numId w:val="5"/>
              </w:numPr>
              <w:spacing w:before="0" w:beforeAutospacing="0" w:after="0" w:afterAutospacing="0"/>
              <w:jc w:val="both"/>
              <w:rPr>
                <w:noProof/>
                <w:color w:val="242424"/>
                <w:sz w:val="24"/>
                <w:szCs w:val="24"/>
              </w:rPr>
            </w:pPr>
            <w:r>
              <w:rPr>
                <w:noProof/>
                <w:sz w:val="24"/>
              </w:rPr>
              <w:t>l</w:t>
            </w:r>
            <w:r w:rsidR="00A30966">
              <w:rPr>
                <w:noProof/>
                <w:sz w:val="24"/>
              </w:rPr>
              <w:t xml:space="preserve">ansarea unui set de instrumente de asistență pentru statele membre, menit să sprijine acțiunile de reducere a poluării cu nutrienți, inclusiv prin modele îmbunătățite, hărți interactive și schimburi de bune practici. </w:t>
            </w:r>
          </w:p>
        </w:tc>
        <w:tc>
          <w:tcPr>
            <w:tcW w:w="1842" w:type="dxa"/>
          </w:tcPr>
          <w:p w14:paraId="73FEBE4D"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2BF80DC" w14:textId="3FFD138D" w:rsidR="00A30966" w:rsidRPr="009F333A" w:rsidRDefault="00A30966" w:rsidP="00A30966">
            <w:pPr>
              <w:pStyle w:val="paragraph"/>
              <w:spacing w:before="0" w:beforeAutospacing="0" w:after="0" w:afterAutospacing="0"/>
              <w:jc w:val="center"/>
              <w:rPr>
                <w:rFonts w:eastAsia="Calibri"/>
                <w:noProof/>
                <w:sz w:val="24"/>
                <w:szCs w:val="24"/>
              </w:rPr>
            </w:pPr>
            <w:r w:rsidRPr="002234C8">
              <w:rPr>
                <w:noProof/>
                <w:sz w:val="24"/>
              </w:rPr>
              <w:t>2027</w:t>
            </w:r>
          </w:p>
          <w:p w14:paraId="1BE7634C" w14:textId="77777777" w:rsidR="00A30966" w:rsidRPr="009F333A" w:rsidRDefault="00A30966" w:rsidP="00A30966">
            <w:pPr>
              <w:pStyle w:val="paragraph"/>
              <w:spacing w:before="0" w:beforeAutospacing="0" w:after="0" w:afterAutospacing="0"/>
              <w:jc w:val="center"/>
              <w:rPr>
                <w:rFonts w:eastAsia="Calibri"/>
                <w:noProof/>
                <w:sz w:val="24"/>
                <w:szCs w:val="24"/>
              </w:rPr>
            </w:pPr>
          </w:p>
          <w:p w14:paraId="37773BC4" w14:textId="77777777" w:rsidR="00A30966" w:rsidRDefault="00A30966" w:rsidP="00A30966">
            <w:pPr>
              <w:pStyle w:val="paragraph"/>
              <w:spacing w:before="0" w:beforeAutospacing="0" w:after="0" w:afterAutospacing="0"/>
              <w:jc w:val="center"/>
              <w:rPr>
                <w:rFonts w:eastAsia="Calibri"/>
                <w:noProof/>
                <w:sz w:val="24"/>
                <w:szCs w:val="24"/>
              </w:rPr>
            </w:pPr>
          </w:p>
          <w:p w14:paraId="7021CFA3" w14:textId="77777777" w:rsidR="00405080" w:rsidRPr="009F333A" w:rsidRDefault="00405080" w:rsidP="00A30966">
            <w:pPr>
              <w:pStyle w:val="paragraph"/>
              <w:spacing w:before="0" w:beforeAutospacing="0" w:after="0" w:afterAutospacing="0"/>
              <w:jc w:val="center"/>
              <w:rPr>
                <w:rFonts w:eastAsia="Calibri"/>
                <w:noProof/>
                <w:sz w:val="24"/>
                <w:szCs w:val="24"/>
              </w:rPr>
            </w:pPr>
          </w:p>
          <w:p w14:paraId="332F331B" w14:textId="6274D75F" w:rsidR="00A30966" w:rsidRPr="009F333A" w:rsidRDefault="00A30966" w:rsidP="00A30966">
            <w:pPr>
              <w:pStyle w:val="paragraph"/>
              <w:spacing w:before="0" w:beforeAutospacing="0" w:after="0" w:afterAutospacing="0"/>
              <w:jc w:val="center"/>
              <w:rPr>
                <w:rFonts w:eastAsia="Calibri"/>
                <w:noProof/>
                <w:sz w:val="24"/>
                <w:szCs w:val="24"/>
              </w:rPr>
            </w:pPr>
            <w:r w:rsidRPr="002234C8">
              <w:rPr>
                <w:noProof/>
                <w:sz w:val="24"/>
              </w:rPr>
              <w:t>2026</w:t>
            </w:r>
            <w:r>
              <w:rPr>
                <w:noProof/>
                <w:sz w:val="24"/>
              </w:rPr>
              <w:t>-</w:t>
            </w:r>
            <w:r w:rsidRPr="002234C8">
              <w:rPr>
                <w:noProof/>
                <w:sz w:val="24"/>
              </w:rPr>
              <w:t>2027</w:t>
            </w:r>
          </w:p>
        </w:tc>
      </w:tr>
    </w:tbl>
    <w:p w14:paraId="55C8147B" w14:textId="77777777" w:rsidR="00764310" w:rsidRPr="002234C8" w:rsidRDefault="00764310" w:rsidP="00144E5B">
      <w:pPr>
        <w:spacing w:after="0" w:line="240" w:lineRule="auto"/>
        <w:jc w:val="both"/>
        <w:rPr>
          <w:rFonts w:ascii="Times New Roman" w:hAnsi="Times New Roman" w:cs="Times New Roman"/>
          <w:b/>
          <w:bCs/>
          <w:noProof/>
        </w:rPr>
      </w:pPr>
    </w:p>
    <w:p w14:paraId="3490BFA9" w14:textId="03FF4E59" w:rsidR="00DD65ED" w:rsidRPr="002234C8" w:rsidRDefault="00B21B4E" w:rsidP="00ED14EB">
      <w:pPr>
        <w:pStyle w:val="Heading2"/>
        <w:spacing w:after="240"/>
        <w:ind w:left="720" w:hanging="720"/>
        <w:jc w:val="both"/>
        <w:rPr>
          <w:rFonts w:ascii="Times New Roman" w:hAnsi="Times New Roman" w:cs="Times New Roman"/>
          <w:b/>
          <w:noProof/>
          <w:color w:val="000000" w:themeColor="text1"/>
          <w:sz w:val="24"/>
          <w:szCs w:val="24"/>
        </w:rPr>
      </w:pPr>
      <w:r w:rsidRPr="002234C8">
        <w:rPr>
          <w:rFonts w:ascii="Times New Roman" w:hAnsi="Times New Roman"/>
          <w:b/>
          <w:noProof/>
          <w:color w:val="000000" w:themeColor="text1"/>
          <w:sz w:val="24"/>
        </w:rPr>
        <w:t>2.2</w:t>
      </w:r>
      <w:r>
        <w:rPr>
          <w:noProof/>
        </w:rPr>
        <w:tab/>
      </w:r>
      <w:r w:rsidRPr="002234C8">
        <w:rPr>
          <w:rFonts w:ascii="Times New Roman" w:hAnsi="Times New Roman"/>
          <w:b/>
          <w:noProof/>
          <w:color w:val="000000" w:themeColor="text1"/>
          <w:sz w:val="24"/>
        </w:rPr>
        <w:t>Construirea unei economii inteligente în domeniul apei, care să nu lase pe nimeni în urmă, să sprijine competitivitatea UE și să atragă investitorii</w:t>
      </w:r>
    </w:p>
    <w:p w14:paraId="76B3B026" w14:textId="03E5E73C" w:rsidR="00845991" w:rsidRPr="0060399D" w:rsidRDefault="4B4DC9DA" w:rsidP="00ED14EB">
      <w:pPr>
        <w:spacing w:after="240" w:line="240" w:lineRule="auto"/>
        <w:jc w:val="both"/>
        <w:rPr>
          <w:rFonts w:ascii="Times New Roman" w:eastAsia="Times New Roman" w:hAnsi="Times New Roman" w:cs="Times New Roman"/>
          <w:noProof/>
        </w:rPr>
      </w:pPr>
      <w:r w:rsidRPr="002234C8">
        <w:rPr>
          <w:rFonts w:ascii="Times New Roman" w:hAnsi="Times New Roman"/>
          <w:b/>
          <w:noProof/>
        </w:rPr>
        <w:t>Apa este o resursă finită care trebuie utilizată în mod eficient</w:t>
      </w:r>
      <w:r>
        <w:rPr>
          <w:rFonts w:ascii="Times New Roman" w:hAnsi="Times New Roman"/>
          <w:noProof/>
        </w:rPr>
        <w:t>. Trebuie să reducem cererea în toate sectoarele economiei, prin promovarea economiilor de apă, a utilizării în mod eficient și a reutilizării apei. Având în vedere deficitul tot mai mare de apă și înmulțirea secetelor, acest demers este esențial pentru a asigura în continuare aprovizionarea cu apă, pentru a răspunde cererilor diferiților utilizatori într-un mod echitabil și pentru a sprijini ecosistemele acvatice și terestre. Acest aspect este deosebit de important în regiunile cu „zone fierbinți” critice de supraexploatare, unde deficitul de apă devine sistemic și reprezintă o constrângere semnificativă pentru dezvoltarea economică, inclusiv în unele comunități izolate și insulare, unde disponibilitatea apei dulci este limitată. Pe măsură ce schimbările climatice se intensifică, deficitul de apă va afecta un număr tot mai mare de regiuni</w:t>
      </w:r>
      <w:r>
        <w:rPr>
          <w:rStyle w:val="FootnoteReference"/>
          <w:rFonts w:ascii="Times New Roman" w:hAnsi="Times New Roman" w:cs="Times New Roman"/>
          <w:noProof/>
        </w:rPr>
        <w:footnoteReference w:id="36"/>
      </w:r>
      <w:r>
        <w:rPr>
          <w:rFonts w:ascii="Times New Roman" w:hAnsi="Times New Roman"/>
          <w:noProof/>
        </w:rPr>
        <w:t xml:space="preserve">. Eforturile în materie de eficiență trebuie să se concentreze în special asupra celor mai mari utilizatori de apă, actuali și viitori, care au, de asemenea, cel mai mare interes să evite captarea excesivă a apei care ar putea duce la întreruperea aprovizionării. </w:t>
      </w:r>
    </w:p>
    <w:p w14:paraId="47E90605" w14:textId="0AA15FFC" w:rsidR="00DC3322" w:rsidRPr="002234C8" w:rsidRDefault="00DC3322" w:rsidP="00ED14EB">
      <w:pPr>
        <w:spacing w:after="240" w:line="240" w:lineRule="auto"/>
        <w:jc w:val="both"/>
        <w:rPr>
          <w:rFonts w:ascii="Times New Roman" w:eastAsia="Calibri" w:hAnsi="Times New Roman" w:cs="Times New Roman"/>
          <w:b/>
          <w:bCs/>
          <w:noProof/>
        </w:rPr>
      </w:pPr>
      <w:r w:rsidRPr="002234C8">
        <w:rPr>
          <w:rFonts w:ascii="Times New Roman" w:hAnsi="Times New Roman"/>
          <w:b/>
          <w:noProof/>
        </w:rPr>
        <w:t xml:space="preserve">Utilizarea eficientă a apei este esențială și trebuie să fie o prioritate. </w:t>
      </w:r>
      <w:r>
        <w:rPr>
          <w:rFonts w:ascii="Times New Roman" w:hAnsi="Times New Roman"/>
          <w:noProof/>
        </w:rPr>
        <w:t>Prezenta strategie este însoțită de o recomandare privind aplicarea principiului „eficiența apei înainte de toate”, inspirată din experiența dobândită cu principiul „eficiența energetică înainte de toate”</w:t>
      </w:r>
      <w:r>
        <w:rPr>
          <w:rFonts w:ascii="Times New Roman" w:eastAsia="Calibri" w:hAnsi="Times New Roman" w:cs="Times New Roman"/>
          <w:noProof/>
          <w:vertAlign w:val="superscript"/>
        </w:rPr>
        <w:footnoteReference w:id="37"/>
      </w:r>
      <w:r>
        <w:rPr>
          <w:rFonts w:ascii="Times New Roman" w:hAnsi="Times New Roman"/>
          <w:noProof/>
        </w:rPr>
        <w:t>. Aceasta stabilește principii directoare pentru luarea deciziilor și pentru investiții</w:t>
      </w:r>
      <w:r w:rsidRPr="002234C8">
        <w:rPr>
          <w:rFonts w:ascii="Times New Roman" w:hAnsi="Times New Roman"/>
          <w:b/>
          <w:noProof/>
        </w:rPr>
        <w:t xml:space="preserve">, </w:t>
      </w:r>
      <w:r>
        <w:rPr>
          <w:rFonts w:ascii="Times New Roman" w:hAnsi="Times New Roman"/>
          <w:noProof/>
        </w:rPr>
        <w:t>pe baza unei ordini de prioritate clare și previzibile, dar flexibile, în ceea ce privește modul în care sunt gestionate cererea și oferta de apă. La nivelul UE, prioritatea ar trebui să fie reducerea cererii și a captărilor excesive. Acest lucru ar trebui urmat de măsuri de eficiență din faza de proiectare și de reutilizare, în timp ce creșterea ofertei ar trebui să fie ultima opțiune.</w:t>
      </w:r>
      <w:r w:rsidRPr="002234C8">
        <w:rPr>
          <w:rFonts w:ascii="Times New Roman" w:hAnsi="Times New Roman"/>
          <w:b/>
          <w:noProof/>
        </w:rPr>
        <w:t xml:space="preserve"> </w:t>
      </w:r>
    </w:p>
    <w:p w14:paraId="2E6ACA0E" w14:textId="5C2CF403" w:rsidR="000944BB" w:rsidRPr="009F333A" w:rsidRDefault="79811F02" w:rsidP="00ED14EB">
      <w:pPr>
        <w:spacing w:after="240" w:line="240" w:lineRule="auto"/>
        <w:jc w:val="both"/>
        <w:rPr>
          <w:rFonts w:ascii="Times New Roman" w:eastAsia="Calibri" w:hAnsi="Times New Roman" w:cs="Times New Roman"/>
          <w:noProof/>
        </w:rPr>
      </w:pPr>
      <w:bookmarkStart w:id="3" w:name="_Hlk199164651"/>
      <w:r w:rsidRPr="002234C8">
        <w:rPr>
          <w:rFonts w:ascii="Times New Roman" w:hAnsi="Times New Roman"/>
          <w:b/>
          <w:noProof/>
        </w:rPr>
        <w:t>Pentru a direcționa acțiunile privind utilizarea eficientă a apei în întreaga UE, având în vedere potențialul de economisire a apei</w:t>
      </w:r>
      <w:r w:rsidRPr="002234C8">
        <w:rPr>
          <w:rStyle w:val="FootnoteReference"/>
          <w:rFonts w:ascii="Times New Roman" w:eastAsia="Calibri" w:hAnsi="Times New Roman" w:cs="Times New Roman"/>
          <w:b/>
          <w:bCs/>
          <w:noProof/>
        </w:rPr>
        <w:footnoteReference w:id="38"/>
      </w:r>
      <w:r w:rsidRPr="002234C8">
        <w:rPr>
          <w:rFonts w:ascii="Times New Roman" w:hAnsi="Times New Roman"/>
          <w:b/>
          <w:noProof/>
        </w:rPr>
        <w:t>, UE ar trebui să urmărească creșterea eficienței utilizării apei cu cel puțin 10 % până în 2030</w:t>
      </w:r>
      <w:r>
        <w:rPr>
          <w:rFonts w:ascii="Times New Roman" w:hAnsi="Times New Roman"/>
          <w:noProof/>
        </w:rPr>
        <w:t xml:space="preserve">. Comisia va colabora cu statele membre și cu părțile interesate pentru a elabora o metodologie comună pentru obiectivele privind utilizarea eficientă a apei, ținând seama de diferențele teritoriale și de alte diferențe dintre țări, regiuni și sectoare. Pe această bază, în cadrul revizuirii acestei strategii în </w:t>
      </w:r>
      <w:r w:rsidRPr="002234C8">
        <w:rPr>
          <w:rFonts w:ascii="Times New Roman" w:hAnsi="Times New Roman"/>
          <w:noProof/>
        </w:rPr>
        <w:t>2027</w:t>
      </w:r>
      <w:r>
        <w:rPr>
          <w:rFonts w:ascii="Times New Roman" w:hAnsi="Times New Roman"/>
          <w:noProof/>
        </w:rPr>
        <w:t>, Comisia intenționează să elaboreze criterii de referință comune. Unele state membre au stabilit deja ținte specifice pentru a spori eficiența utilizării apei la nivel național, regional sau de bazin hidrografic</w:t>
      </w:r>
      <w:r>
        <w:rPr>
          <w:rStyle w:val="FootnoteReference"/>
          <w:rFonts w:ascii="Times New Roman" w:eastAsia="Calibri" w:hAnsi="Times New Roman" w:cs="Times New Roman"/>
          <w:noProof/>
        </w:rPr>
        <w:footnoteReference w:id="39"/>
      </w:r>
      <w:r>
        <w:rPr>
          <w:noProof/>
        </w:rPr>
        <w:t>.</w:t>
      </w:r>
      <w:r>
        <w:rPr>
          <w:rFonts w:ascii="Times New Roman" w:hAnsi="Times New Roman"/>
          <w:noProof/>
        </w:rPr>
        <w:t xml:space="preserve"> Statele membre sunt încurajate să își stabilească propriile ținte privind utilizarea eficientă a apei, în funcție de circumstanțele lor naționale. </w:t>
      </w:r>
      <w:bookmarkEnd w:id="3"/>
    </w:p>
    <w:p w14:paraId="4FB53C4E" w14:textId="4AF8C825" w:rsidR="00257752" w:rsidRPr="00ED14EB" w:rsidRDefault="00F83C87" w:rsidP="00ED14EB">
      <w:pPr>
        <w:spacing w:after="240" w:line="240" w:lineRule="auto"/>
        <w:jc w:val="both"/>
        <w:rPr>
          <w:rFonts w:ascii="Times New Roman" w:eastAsia="Calibri" w:hAnsi="Times New Roman" w:cs="Times New Roman"/>
          <w:noProof/>
        </w:rPr>
      </w:pPr>
      <w:r w:rsidRPr="002234C8">
        <w:rPr>
          <w:rFonts w:ascii="Times New Roman" w:hAnsi="Times New Roman"/>
          <w:b/>
          <w:noProof/>
        </w:rPr>
        <w:t xml:space="preserve">O economie inteligentă în domeniul apei necesită un control mai bun al resurselor. </w:t>
      </w:r>
      <w:r>
        <w:rPr>
          <w:rFonts w:ascii="Times New Roman" w:hAnsi="Times New Roman"/>
          <w:noProof/>
        </w:rPr>
        <w:t xml:space="preserve">Pe baza datelor din perioada </w:t>
      </w:r>
      <w:r w:rsidRPr="002234C8">
        <w:rPr>
          <w:rFonts w:ascii="Times New Roman" w:hAnsi="Times New Roman"/>
          <w:noProof/>
        </w:rPr>
        <w:t>2010</w:t>
      </w:r>
      <w:r>
        <w:rPr>
          <w:rFonts w:ascii="Times New Roman" w:hAnsi="Times New Roman"/>
          <w:noProof/>
        </w:rPr>
        <w:t>-</w:t>
      </w:r>
      <w:r w:rsidRPr="002234C8">
        <w:rPr>
          <w:rFonts w:ascii="Times New Roman" w:hAnsi="Times New Roman"/>
          <w:noProof/>
        </w:rPr>
        <w:t>2021</w:t>
      </w:r>
      <w:r>
        <w:rPr>
          <w:rStyle w:val="FootnoteReference"/>
          <w:rFonts w:ascii="Times New Roman" w:eastAsia="Calibri" w:hAnsi="Times New Roman" w:cs="Times New Roman"/>
          <w:noProof/>
        </w:rPr>
        <w:footnoteReference w:id="40"/>
      </w:r>
      <w:r>
        <w:rPr>
          <w:rFonts w:ascii="Times New Roman" w:hAnsi="Times New Roman"/>
          <w:noProof/>
        </w:rPr>
        <w:t xml:space="preserve">, </w:t>
      </w:r>
      <w:r w:rsidRPr="002234C8">
        <w:rPr>
          <w:rFonts w:ascii="Times New Roman" w:hAnsi="Times New Roman"/>
          <w:noProof/>
        </w:rPr>
        <w:t>81</w:t>
      </w:r>
      <w:r>
        <w:rPr>
          <w:rFonts w:ascii="Times New Roman" w:hAnsi="Times New Roman"/>
          <w:noProof/>
        </w:rPr>
        <w:t> % din consumul total de apă revine utilizatorilor care captează apa direct la sursă utilizând sisteme private, iar multe state membre nu dispun de date exacte privind disponibilitatea apei dulci. În conformitate cu Directiva-cadru privind apa, autoritățile trebuie să efectueze evaluări actualizate ale disponibilității apei și ale captărilor de apă de către utilizatorii de apă și să își intensifice eforturile de înregistrare și control al tuturor captărilor, pierderilor și returnărilor. Introducerea contorizării inteligente a apei în toate sectoarele economice va contribui la realizarea unei monitorizări riguroase a fluxurilor de apă și, de asemenea, va ajuta cetățenii și întreprinderile să își gestioneze mai eficient utilizarea apei. Comisia va promova schimbul de bune practici privind echilibrarea apei și contorizarea inteligentă a apei în toate sectoarele economice. De asemenea, Comisia va depune eforturi în vederea lansării unei inițiative a UE privind infrastructura de apă și contorizarea inteligentă pentru toți</w:t>
      </w:r>
      <w:r w:rsidRPr="002234C8">
        <w:rPr>
          <w:rFonts w:ascii="Times New Roman" w:hAnsi="Times New Roman"/>
          <w:b/>
          <w:noProof/>
        </w:rPr>
        <w:t xml:space="preserve"> </w:t>
      </w:r>
      <w:r>
        <w:rPr>
          <w:rFonts w:ascii="Times New Roman" w:hAnsi="Times New Roman"/>
          <w:noProof/>
        </w:rPr>
        <w:t xml:space="preserve">(a se vedea secțiunea </w:t>
      </w:r>
      <w:r w:rsidRPr="002234C8">
        <w:rPr>
          <w:rFonts w:ascii="Times New Roman" w:hAnsi="Times New Roman"/>
          <w:noProof/>
        </w:rPr>
        <w:t>3</w:t>
      </w:r>
      <w:r>
        <w:rPr>
          <w:rFonts w:ascii="Times New Roman" w:hAnsi="Times New Roman"/>
          <w:noProof/>
        </w:rPr>
        <w:t>.</w:t>
      </w:r>
      <w:r w:rsidRPr="002234C8">
        <w:rPr>
          <w:rFonts w:ascii="Times New Roman" w:hAnsi="Times New Roman"/>
          <w:noProof/>
        </w:rPr>
        <w:t>3</w:t>
      </w:r>
      <w:r>
        <w:rPr>
          <w:rFonts w:ascii="Times New Roman" w:hAnsi="Times New Roman"/>
          <w:noProof/>
        </w:rPr>
        <w:t xml:space="preserve">). În plus, Comisia va evalua, până la sfârșitul anului </w:t>
      </w:r>
      <w:r w:rsidRPr="002234C8">
        <w:rPr>
          <w:rFonts w:ascii="Times New Roman" w:hAnsi="Times New Roman"/>
          <w:noProof/>
        </w:rPr>
        <w:t>2026</w:t>
      </w:r>
      <w:r>
        <w:rPr>
          <w:rFonts w:ascii="Times New Roman" w:hAnsi="Times New Roman"/>
          <w:noProof/>
        </w:rPr>
        <w:t>, calitatea datelor disponibile privind apa și, după caz, va revizui legislația relevantă pentru a introduce noi module de conturi economice de mediu pentru conturile de apă</w:t>
      </w:r>
      <w:r>
        <w:rPr>
          <w:rStyle w:val="FootnoteReference"/>
          <w:rFonts w:ascii="Times New Roman" w:eastAsia="Calibri" w:hAnsi="Times New Roman" w:cs="Times New Roman"/>
          <w:noProof/>
        </w:rPr>
        <w:footnoteReference w:id="41"/>
      </w:r>
      <w:r>
        <w:rPr>
          <w:rFonts w:ascii="Times New Roman" w:hAnsi="Times New Roman"/>
          <w:noProof/>
        </w:rPr>
        <w:t>.</w:t>
      </w:r>
    </w:p>
    <w:p w14:paraId="3F0CEDF7" w14:textId="45231E37" w:rsidR="00C11801" w:rsidRPr="009F333A" w:rsidRDefault="4C41879B" w:rsidP="00257752">
      <w:pPr>
        <w:spacing w:after="0" w:line="240" w:lineRule="auto"/>
        <w:jc w:val="both"/>
        <w:rPr>
          <w:rFonts w:ascii="Times New Roman" w:eastAsia="Times New Roman" w:hAnsi="Times New Roman" w:cs="Times New Roman"/>
          <w:noProof/>
        </w:rPr>
      </w:pPr>
      <w:r w:rsidRPr="002234C8">
        <w:rPr>
          <w:rFonts w:ascii="Times New Roman" w:hAnsi="Times New Roman"/>
          <w:b/>
          <w:noProof/>
        </w:rPr>
        <w:t>Trebuie să se acorde o atenție deosebită evaluării și, ori de câte ori este posibil, limitării cererii de apă care decurge din transformarea industrială și digitală curată și sprijinirii acesteia printr-o planificare inteligentă în domeniul apei.</w:t>
      </w:r>
      <w:r>
        <w:rPr>
          <w:rFonts w:ascii="Times New Roman" w:hAnsi="Times New Roman"/>
          <w:noProof/>
        </w:rPr>
        <w:t xml:space="preserve">  Sectoarele-cheie pentru autonomia strategică a UE, cum ar fi producția de baterii, semiconductorii, hidrogenul, microcipurile și centrele de date, consumă volume mari de apă, adesea apă ultrapură</w:t>
      </w:r>
      <w:r>
        <w:rPr>
          <w:rFonts w:ascii="Times New Roman" w:eastAsia="Times New Roman" w:hAnsi="Times New Roman" w:cs="Times New Roman"/>
          <w:noProof/>
          <w:vertAlign w:val="superscript"/>
        </w:rPr>
        <w:footnoteReference w:id="42"/>
      </w:r>
      <w:r>
        <w:rPr>
          <w:rFonts w:ascii="Times New Roman" w:hAnsi="Times New Roman"/>
          <w:noProof/>
        </w:rPr>
        <w:t>. În același timp, promovarea tranziției către o energie curată și decarbonizarea sistemului nostru energetic al UE vor contribui la îmbunătățirea gestionării apei</w:t>
      </w:r>
      <w:r>
        <w:rPr>
          <w:rFonts w:ascii="Times New Roman" w:eastAsia="Times New Roman" w:hAnsi="Times New Roman" w:cs="Times New Roman"/>
          <w:noProof/>
          <w:vertAlign w:val="superscript"/>
        </w:rPr>
        <w:footnoteReference w:id="43"/>
      </w:r>
      <w:r>
        <w:rPr>
          <w:rFonts w:ascii="Times New Roman" w:hAnsi="Times New Roman"/>
          <w:noProof/>
        </w:rPr>
        <w:t>. În acest context, economiile de apă și de energie, care merg de obicei mână în mână, trebuie maximizate, iar reziliența în materie de apă trebuie să beneficieze de o atenție deosebită în amenajarea teritoriului. În special, pentru a promova economiile de apă între centrele de date, Comisia va evalua eficiența energetică și sustenabilitatea generală a acestora și va propune standarde minime de performanță, inclusiv în ceea ce privește consumul de apă</w:t>
      </w:r>
      <w:r>
        <w:rPr>
          <w:rFonts w:ascii="Times New Roman" w:eastAsia="Times New Roman" w:hAnsi="Times New Roman" w:cs="Times New Roman"/>
          <w:noProof/>
          <w:vertAlign w:val="superscript"/>
        </w:rPr>
        <w:footnoteReference w:id="44"/>
      </w:r>
      <w:r>
        <w:rPr>
          <w:rFonts w:ascii="Times New Roman" w:hAnsi="Times New Roman"/>
          <w:noProof/>
        </w:rPr>
        <w:t>. Pentru a sprijini statele membre în identificarea celor mai bune domenii pentru instituirea unor operațiuni comerciale cu utilizare intensivă a apei și pentru a atrage investițiile necesare în domeniul apei, Comisia va îmbunătăți instrumentele de vizualizare existente care reunesc date de mediu și date referitoare la rețelele de apă și energie.</w:t>
      </w:r>
    </w:p>
    <w:p w14:paraId="2A1CC25D" w14:textId="77777777" w:rsidR="00257752" w:rsidRPr="002234C8" w:rsidRDefault="00257752" w:rsidP="00257752">
      <w:pPr>
        <w:spacing w:after="0" w:line="240" w:lineRule="auto"/>
        <w:jc w:val="both"/>
        <w:rPr>
          <w:rFonts w:ascii="Times New Roman" w:eastAsia="Times New Roman" w:hAnsi="Times New Roman" w:cs="Times New Roman"/>
          <w:b/>
          <w:bCs/>
          <w:noProof/>
        </w:rPr>
      </w:pPr>
    </w:p>
    <w:p w14:paraId="75F90EB9" w14:textId="04522C07" w:rsidR="004F5E79" w:rsidRPr="009F333A" w:rsidRDefault="0026522E" w:rsidP="00ED14EB">
      <w:pPr>
        <w:spacing w:after="240" w:line="240" w:lineRule="auto"/>
        <w:jc w:val="both"/>
        <w:rPr>
          <w:rFonts w:ascii="Times New Roman" w:eastAsiaTheme="minorEastAsia" w:hAnsi="Times New Roman" w:cs="Times New Roman"/>
          <w:noProof/>
        </w:rPr>
      </w:pPr>
      <w:r w:rsidRPr="002234C8">
        <w:rPr>
          <w:rFonts w:ascii="Times New Roman" w:hAnsi="Times New Roman"/>
          <w:b/>
          <w:noProof/>
        </w:rPr>
        <w:t>Reutilizarea sigură a apei în agricultură, în producția de energie și în procesele industriale trebuie să se afle în centrul gestionării integrate a apei</w:t>
      </w:r>
      <w:r>
        <w:rPr>
          <w:rFonts w:ascii="Times New Roman" w:hAnsi="Times New Roman"/>
          <w:noProof/>
        </w:rPr>
        <w:t xml:space="preserve">. În prezent, doar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4</w:t>
      </w:r>
      <w:r>
        <w:rPr>
          <w:rFonts w:ascii="Times New Roman" w:hAnsi="Times New Roman"/>
          <w:noProof/>
        </w:rPr>
        <w:t xml:space="preserve"> % din apele uzate sunt reutilizate în UE, cu diferențe majore între statele membre, variind de la zero la </w:t>
      </w:r>
      <w:r w:rsidRPr="002234C8">
        <w:rPr>
          <w:rFonts w:ascii="Times New Roman" w:hAnsi="Times New Roman"/>
          <w:noProof/>
        </w:rPr>
        <w:t>80</w:t>
      </w:r>
      <w:r>
        <w:rPr>
          <w:rFonts w:ascii="Times New Roman" w:hAnsi="Times New Roman"/>
          <w:noProof/>
        </w:rPr>
        <w:t> %</w:t>
      </w:r>
      <w:r>
        <w:rPr>
          <w:rStyle w:val="FootnoteReference"/>
          <w:rFonts w:ascii="Times New Roman" w:hAnsi="Times New Roman" w:cs="Times New Roman"/>
          <w:noProof/>
        </w:rPr>
        <w:footnoteReference w:id="45"/>
      </w:r>
      <w:r>
        <w:rPr>
          <w:rFonts w:ascii="Times New Roman" w:hAnsi="Times New Roman"/>
          <w:noProof/>
        </w:rPr>
        <w:t>. Comisia va sprijini statele membre prin orientări privind reutilizarea în condiții de siguranță a apei, precum și prin consolidarea capacităților în contextul punerii în aplicare a legislației existente</w:t>
      </w:r>
      <w:r>
        <w:rPr>
          <w:rStyle w:val="FootnoteReference"/>
          <w:rFonts w:ascii="Times New Roman" w:hAnsi="Times New Roman"/>
          <w:noProof/>
        </w:rPr>
        <w:footnoteReference w:id="46"/>
      </w:r>
      <w:r>
        <w:rPr>
          <w:noProof/>
        </w:rPr>
        <w:t xml:space="preserve">. </w:t>
      </w:r>
      <w:r>
        <w:rPr>
          <w:rFonts w:ascii="Times New Roman" w:hAnsi="Times New Roman"/>
          <w:noProof/>
        </w:rPr>
        <w:t xml:space="preserve">Până în iunie </w:t>
      </w:r>
      <w:r w:rsidRPr="002234C8">
        <w:rPr>
          <w:rFonts w:ascii="Times New Roman" w:hAnsi="Times New Roman"/>
          <w:noProof/>
        </w:rPr>
        <w:t>2028</w:t>
      </w:r>
      <w:r>
        <w:rPr>
          <w:rFonts w:ascii="Times New Roman" w:hAnsi="Times New Roman"/>
          <w:noProof/>
        </w:rPr>
        <w:t>, Comisia va evalua Regulamentul privind reutilizarea apei și, ulterior, va lua în considerare extinderea domeniului său de aplicare în așteptarea rezultatelor evaluării.</w:t>
      </w:r>
    </w:p>
    <w:p w14:paraId="7A3B70FD" w14:textId="02DA899B" w:rsidR="00DD2EED" w:rsidRPr="00ED14EB" w:rsidRDefault="0026522E" w:rsidP="00ED14EB">
      <w:pPr>
        <w:spacing w:after="240" w:line="240" w:lineRule="auto"/>
        <w:jc w:val="both"/>
        <w:rPr>
          <w:rFonts w:ascii="Times New Roman" w:hAnsi="Times New Roman" w:cs="Times New Roman"/>
          <w:noProof/>
        </w:rPr>
      </w:pPr>
      <w:r w:rsidRPr="002234C8">
        <w:rPr>
          <w:rFonts w:ascii="Times New Roman" w:hAnsi="Times New Roman"/>
          <w:b/>
          <w:noProof/>
        </w:rPr>
        <w:t>În ceea ce privește aprovizionarea publică cu apă, reprezentând 13 % din consumul de apă din UE, trebuie să se pună accentul pe combaterea scurgerilor și a pierderilor neintenționate, susținută de instrumente digitale.</w:t>
      </w:r>
      <w:r>
        <w:rPr>
          <w:rFonts w:ascii="Times New Roman" w:hAnsi="Times New Roman"/>
          <w:noProof/>
        </w:rPr>
        <w:t xml:space="preserve"> Întrucât nivelurile actuale de scurgere la nivel național variază de la </w:t>
      </w:r>
      <w:r w:rsidRPr="002234C8">
        <w:rPr>
          <w:rFonts w:ascii="Times New Roman" w:hAnsi="Times New Roman"/>
          <w:noProof/>
        </w:rPr>
        <w:t>8</w:t>
      </w:r>
      <w:r>
        <w:rPr>
          <w:rFonts w:ascii="Times New Roman" w:hAnsi="Times New Roman"/>
          <w:noProof/>
        </w:rPr>
        <w:t xml:space="preserve"> % la </w:t>
      </w:r>
      <w:r w:rsidRPr="002234C8">
        <w:rPr>
          <w:rFonts w:ascii="Times New Roman" w:hAnsi="Times New Roman"/>
          <w:noProof/>
        </w:rPr>
        <w:t>57</w:t>
      </w:r>
      <w:r>
        <w:rPr>
          <w:rFonts w:ascii="Times New Roman" w:hAnsi="Times New Roman"/>
          <w:noProof/>
        </w:rPr>
        <w:t xml:space="preserve"> %, potențialul de îmbunătățire este semnificativ, în special prin contorizarea inteligentă a apei și prin teledetecție. Directiva privind apa potabilă impune statelor membre să reducă scurgerile din rețelele de alimentare cu apă. Statele membre cu niveluri de scurgere a apei care depășesc pragul la nivelul UE – care urmează să fie stabilit până în </w:t>
      </w:r>
      <w:r w:rsidRPr="002234C8">
        <w:rPr>
          <w:rFonts w:ascii="Times New Roman" w:hAnsi="Times New Roman"/>
          <w:noProof/>
        </w:rPr>
        <w:t>2028</w:t>
      </w:r>
      <w:r>
        <w:rPr>
          <w:rFonts w:ascii="Times New Roman" w:hAnsi="Times New Roman"/>
          <w:noProof/>
        </w:rPr>
        <w:t xml:space="preserve"> – vor trebui să prezinte, până în </w:t>
      </w:r>
      <w:r w:rsidRPr="002234C8">
        <w:rPr>
          <w:rFonts w:ascii="Times New Roman" w:hAnsi="Times New Roman"/>
          <w:noProof/>
        </w:rPr>
        <w:t>2030</w:t>
      </w:r>
      <w:r>
        <w:rPr>
          <w:rFonts w:ascii="Times New Roman" w:hAnsi="Times New Roman"/>
          <w:noProof/>
        </w:rPr>
        <w:t xml:space="preserve">, planuri naționale de acțiune pentru reducerea scurgerilor din rețelele lor de aprovizionare. </w:t>
      </w:r>
    </w:p>
    <w:p w14:paraId="27295F6C" w14:textId="54230962" w:rsidR="00943602" w:rsidRDefault="70438955" w:rsidP="00ED14EB">
      <w:pPr>
        <w:spacing w:after="240" w:line="240" w:lineRule="auto"/>
        <w:jc w:val="both"/>
        <w:rPr>
          <w:rFonts w:ascii="Times New Roman" w:eastAsia="Calibri" w:hAnsi="Times New Roman" w:cs="Times New Roman"/>
          <w:noProof/>
        </w:rPr>
      </w:pPr>
      <w:r w:rsidRPr="002234C8">
        <w:rPr>
          <w:rFonts w:ascii="Times New Roman" w:hAnsi="Times New Roman"/>
          <w:b/>
          <w:noProof/>
        </w:rPr>
        <w:t xml:space="preserve">Sistemele alimentare durabile reprezintă un aliat major pentru reziliența în domeniul apei, iar politica agricolă comună joacă un rol esențial. </w:t>
      </w:r>
      <w:r>
        <w:rPr>
          <w:rFonts w:ascii="Times New Roman" w:hAnsi="Times New Roman"/>
          <w:noProof/>
        </w:rPr>
        <w:t xml:space="preserve">Agricultura durabilă și gestionarea pădurilor contribuie în mod semnificativ la creșterea rezilienței în domeniul apei și la schimbările climatice, la atenuarea secetelor și a inundațiilor (secțiunea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1</w:t>
      </w:r>
      <w:r>
        <w:rPr>
          <w:rFonts w:ascii="Times New Roman" w:hAnsi="Times New Roman"/>
          <w:noProof/>
        </w:rPr>
        <w:t xml:space="preserve">). Pe de altă parte, producția, prelucrarea, vânzarea cu amănuntul, ambalarea și transportul alimentelor au un impact profund asupra calității și cantității apei. Agricultura reprezintă </w:t>
      </w:r>
      <w:r w:rsidRPr="002234C8">
        <w:rPr>
          <w:rFonts w:ascii="Times New Roman" w:hAnsi="Times New Roman"/>
          <w:noProof/>
        </w:rPr>
        <w:t>51</w:t>
      </w:r>
      <w:r>
        <w:rPr>
          <w:rFonts w:ascii="Times New Roman" w:hAnsi="Times New Roman"/>
          <w:noProof/>
        </w:rPr>
        <w:t> % din consumul total de apă din UE, cu diferențe foarte semnificative între nordul și sudul Europei</w:t>
      </w:r>
      <w:r>
        <w:rPr>
          <w:rStyle w:val="FootnoteReference"/>
          <w:rFonts w:ascii="Times New Roman" w:eastAsia="Times New Roman" w:hAnsi="Times New Roman" w:cs="Times New Roman"/>
          <w:noProof/>
        </w:rPr>
        <w:footnoteReference w:id="47"/>
      </w:r>
      <w:r>
        <w:rPr>
          <w:rFonts w:ascii="Times New Roman" w:hAnsi="Times New Roman"/>
          <w:noProof/>
        </w:rPr>
        <w:t xml:space="preserve">. Viziunea pentru agricultură și sectorul alimentar a subliniat importanța calității și disponibilității apei pentru securitatea alimentară. În plus, pescuitul și maricultura sustenabile ar trebui sprijinite în continuare, deoarece nu implică utilizarea apei dulci. </w:t>
      </w:r>
    </w:p>
    <w:p w14:paraId="7EDD1EF4" w14:textId="17E914C6" w:rsidR="26F9187F" w:rsidRPr="009F333A" w:rsidRDefault="005F524F" w:rsidP="00ED14EB">
      <w:pPr>
        <w:spacing w:after="240" w:line="240" w:lineRule="auto"/>
        <w:jc w:val="both"/>
        <w:rPr>
          <w:rFonts w:ascii="Times New Roman" w:eastAsia="Calibri" w:hAnsi="Times New Roman" w:cs="Times New Roman"/>
          <w:noProof/>
        </w:rPr>
      </w:pPr>
      <w:r w:rsidRPr="002234C8">
        <w:rPr>
          <w:rFonts w:ascii="Times New Roman" w:hAnsi="Times New Roman"/>
          <w:b/>
          <w:noProof/>
        </w:rPr>
        <w:t>PAC și planurile strategice naționale oferă sprijin pentru practici agricole și investiții</w:t>
      </w:r>
      <w:r>
        <w:rPr>
          <w:rFonts w:ascii="Times New Roman" w:hAnsi="Times New Roman"/>
          <w:noProof/>
        </w:rPr>
        <w:t xml:space="preserve"> </w:t>
      </w:r>
      <w:r w:rsidRPr="002234C8">
        <w:rPr>
          <w:rFonts w:ascii="Times New Roman" w:hAnsi="Times New Roman"/>
          <w:b/>
          <w:noProof/>
        </w:rPr>
        <w:t>care sporesc eficiența utilizării apei și circularitatea și îmbunătățesc retenția apei, reducând în același timp poluarea cu nutrienți și pesticide.</w:t>
      </w:r>
      <w:r>
        <w:rPr>
          <w:rFonts w:ascii="Times New Roman" w:hAnsi="Times New Roman"/>
          <w:noProof/>
        </w:rPr>
        <w:t xml:space="preserve"> Aceasta include, de asemenea, sprijin pentru agricultura ecologică, cu beneficiile multiple ale acesteia legate de sănătatea solului și de limitarea utilizării îngrășămintelor artificiale, a erbicidelor și a pesticidelor. Este esențial să se asigure că statele membre utilizează la maximum aceste posibilități și promovează practici agricole reziliente în domeniul apei, cum ar</w:t>
      </w:r>
      <w:r w:rsidRPr="002234C8">
        <w:rPr>
          <w:rFonts w:ascii="Times New Roman" w:hAnsi="Times New Roman"/>
          <w:b/>
          <w:noProof/>
        </w:rPr>
        <w:t xml:space="preserve"> </w:t>
      </w:r>
      <w:r>
        <w:rPr>
          <w:rFonts w:ascii="Times New Roman" w:hAnsi="Times New Roman"/>
          <w:noProof/>
        </w:rPr>
        <w:t xml:space="preserve">fi agricultura de precizie, irigarea prin picurare, reutilizarea apei, gestionarea îmbunătățită a solului și utilizarea pesticidelor, elementele de peisaj și culturile mai rezistente la schimbările climatice. În următoarea perioadă de programare, Comisia va continua să stimuleze fermierii să îmbunătățească performanța în materie de mediu și climă a exploatațiilor lor, inclusiv în direcția unei mai bune gestionări a apei. </w:t>
      </w:r>
    </w:p>
    <w:p w14:paraId="75CCFCBC" w14:textId="661A2E0A" w:rsidR="00196087" w:rsidRPr="009F333A" w:rsidRDefault="002F71BB" w:rsidP="00ED14EB">
      <w:pPr>
        <w:spacing w:after="240" w:line="240" w:lineRule="auto"/>
        <w:jc w:val="both"/>
        <w:rPr>
          <w:rFonts w:ascii="Times New Roman" w:hAnsi="Times New Roman" w:cs="Times New Roman"/>
          <w:noProof/>
        </w:rPr>
      </w:pPr>
      <w:r w:rsidRPr="002234C8">
        <w:rPr>
          <w:rFonts w:ascii="Times New Roman" w:hAnsi="Times New Roman"/>
          <w:b/>
          <w:noProof/>
        </w:rPr>
        <w:t xml:space="preserve">Producția de energie eficientă din punctul de vedere al consumului de apă poate avea o contribuție majoră la reziliența în domeniul apei. </w:t>
      </w:r>
      <w:r w:rsidRPr="002234C8">
        <w:rPr>
          <w:rFonts w:ascii="Times New Roman" w:hAnsi="Times New Roman"/>
          <w:noProof/>
        </w:rPr>
        <w:t>17</w:t>
      </w:r>
      <w:r>
        <w:rPr>
          <w:rFonts w:ascii="Times New Roman" w:hAnsi="Times New Roman"/>
          <w:noProof/>
        </w:rPr>
        <w:t> % din consumul total de apă al UE este utilizat ca intermediar de sinteză sau ca agent de răcire</w:t>
      </w:r>
      <w:r>
        <w:rPr>
          <w:rStyle w:val="FootnoteReference"/>
          <w:rFonts w:ascii="Times New Roman" w:eastAsia="Times New Roman" w:hAnsi="Times New Roman" w:cs="Times New Roman"/>
          <w:noProof/>
        </w:rPr>
        <w:footnoteReference w:id="48"/>
      </w:r>
      <w:r>
        <w:rPr>
          <w:rFonts w:ascii="Times New Roman" w:hAnsi="Times New Roman"/>
          <w:noProof/>
        </w:rPr>
        <w:t>. În cazul în care sunt identificați partenerii potriviți dispuși să investească alături de UE, Comisia va prezenta o propunere de instituire a unei inițiative public-private pentru a realiza un progres tehnologic în ceea ce privește metodele fezabile și accesibile de răcire uscată.</w:t>
      </w:r>
    </w:p>
    <w:p w14:paraId="0F14765F" w14:textId="124524C6" w:rsidR="008C2B88" w:rsidRDefault="4F5C50E8" w:rsidP="00ED14EB">
      <w:pPr>
        <w:spacing w:before="240"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Reziliența în domeniul apei ar trebui integrată în toate sectoarele industriale. </w:t>
      </w:r>
      <w:r>
        <w:rPr>
          <w:rFonts w:ascii="Times New Roman" w:hAnsi="Times New Roman"/>
          <w:noProof/>
        </w:rPr>
        <w:t>Directiva revizuită privind emisiile industriale va asigura faptul că marii actori industriali vor reduce treptat cererea de apă, vor spori eficiența utilizării apei și vor îmbunătăți reutilizarea apei în cadrul proceselor de producție. Eficiența utilizării apei și reutilizarea acesteia ar trebui integrate în sectoarele industriale cele mai mari consumatoare de apă, în special prin intermediul platformelor de sprijin disponibile pentru părțile interesate</w:t>
      </w:r>
      <w:r>
        <w:rPr>
          <w:rStyle w:val="FootnoteReference"/>
          <w:rFonts w:ascii="Times New Roman" w:eastAsia="Times New Roman" w:hAnsi="Times New Roman" w:cs="Times New Roman"/>
          <w:noProof/>
        </w:rPr>
        <w:footnoteReference w:id="49"/>
      </w:r>
      <w:r>
        <w:rPr>
          <w:rFonts w:ascii="Times New Roman" w:hAnsi="Times New Roman"/>
          <w:noProof/>
        </w:rPr>
        <w:t xml:space="preserve">. În acest context, Comisia va lansa un proiect-pilot pentru a promova utilizarea eficientă a apei în anumite clustere industriale.  </w:t>
      </w:r>
    </w:p>
    <w:p w14:paraId="38102646" w14:textId="04D65349" w:rsidR="005721CD" w:rsidRPr="009F333A" w:rsidRDefault="5F71BDAC" w:rsidP="4251B09A">
      <w:pPr>
        <w:spacing w:after="240" w:line="240" w:lineRule="auto"/>
        <w:jc w:val="both"/>
        <w:rPr>
          <w:rFonts w:ascii="Calibri" w:eastAsia="Calibri" w:hAnsi="Calibri" w:cs="Calibri"/>
          <w:noProof/>
          <w:sz w:val="22"/>
          <w:szCs w:val="22"/>
        </w:rPr>
      </w:pPr>
      <w:r w:rsidRPr="002234C8">
        <w:rPr>
          <w:rFonts w:ascii="Times New Roman" w:hAnsi="Times New Roman"/>
          <w:b/>
          <w:noProof/>
        </w:rPr>
        <w:t>O intensificare a aprovizionării folosind apa de mare pentru a înlocui apa dulce poate face parte din soluție, în special în regiunile grav afectate de deficitul de apă, dacă se realizează în mod sustenabil</w:t>
      </w:r>
      <w:r>
        <w:rPr>
          <w:rFonts w:ascii="Times New Roman" w:hAnsi="Times New Roman"/>
          <w:noProof/>
        </w:rPr>
        <w:t xml:space="preserve">. Ca parte a unei abordări bazate pe gestionarea integrată, care acordă prioritate reducerii cererii în detrimentul creșterii ofertei în funcție de condițiile locale, desalinizarea apei de mare poate asigura o aprovizionare constantă cu apă dincolo de ciclul hidrologic. Cu toate acestea, ea rămâne o metodă costisitoare, foarte mare consumatoare de energie și cu un impact semnificativ asupra mediului. Prin urmare, Comisia va sprijini inovarea în acest domeniu în vederea limitării consumului de energie și a reducerii emisiilor de gaze cu efect de seră, în special prin promovarea utilizării surselor regenerabile de energie. Soluțiile inovatoare ar trebui, de asemenea, să atenueze impactul eliminării saramurii asupra mediului și să sporească reciclarea și reutilizarea energiei și a mineralelor din saramură în sectorul industrial. </w:t>
      </w:r>
    </w:p>
    <w:tbl>
      <w:tblPr>
        <w:tblStyle w:val="TableGrid"/>
        <w:tblW w:w="0" w:type="auto"/>
        <w:tblLook w:val="04A0" w:firstRow="1" w:lastRow="0" w:firstColumn="1" w:lastColumn="0" w:noHBand="0" w:noVBand="1"/>
      </w:tblPr>
      <w:tblGrid>
        <w:gridCol w:w="7508"/>
        <w:gridCol w:w="1508"/>
      </w:tblGrid>
      <w:tr w:rsidR="08268B41" w:rsidRPr="009F333A" w14:paraId="01130B76" w14:textId="77777777" w:rsidTr="26F9187F">
        <w:trPr>
          <w:trHeight w:val="300"/>
        </w:trPr>
        <w:tc>
          <w:tcPr>
            <w:tcW w:w="7508" w:type="dxa"/>
            <w:shd w:val="clear" w:color="auto" w:fill="A5C9EB" w:themeFill="text2" w:themeFillTint="40"/>
          </w:tcPr>
          <w:p w14:paraId="6F5416C2" w14:textId="7B6CAB08" w:rsidR="190E38C8" w:rsidRPr="009F333A" w:rsidRDefault="08268B41" w:rsidP="08268B41">
            <w:pPr>
              <w:pStyle w:val="paragraph"/>
              <w:spacing w:before="0" w:beforeAutospacing="0" w:after="0" w:afterAutospacing="0"/>
              <w:jc w:val="center"/>
              <w:rPr>
                <w:rFonts w:eastAsia="Calibri"/>
                <w:b/>
                <w:bCs/>
                <w:noProof/>
                <w:sz w:val="24"/>
                <w:szCs w:val="24"/>
              </w:rPr>
            </w:pPr>
            <w:r w:rsidRPr="002234C8">
              <w:rPr>
                <w:b/>
                <w:noProof/>
                <w:sz w:val="24"/>
              </w:rPr>
              <w:t>Acțiuni emblematice - Construirea unei economii inteligente în domeniul apei, care să nu lase pe nimeni în urmă, să sprijine competitivitatea UE și să atragă investitorii</w:t>
            </w:r>
          </w:p>
        </w:tc>
        <w:tc>
          <w:tcPr>
            <w:tcW w:w="1508" w:type="dxa"/>
            <w:shd w:val="clear" w:color="auto" w:fill="A5C9EB" w:themeFill="text2" w:themeFillTint="40"/>
          </w:tcPr>
          <w:p w14:paraId="32FA16AA" w14:textId="6F1DB28D" w:rsidR="08268B41" w:rsidRPr="002234C8" w:rsidRDefault="08268B41" w:rsidP="08268B41">
            <w:pPr>
              <w:pStyle w:val="paragraph"/>
              <w:spacing w:before="0" w:beforeAutospacing="0" w:after="0" w:afterAutospacing="0"/>
              <w:jc w:val="center"/>
              <w:rPr>
                <w:rFonts w:eastAsia="Calibri"/>
                <w:b/>
                <w:bCs/>
                <w:noProof/>
                <w:sz w:val="24"/>
                <w:szCs w:val="24"/>
              </w:rPr>
            </w:pPr>
            <w:r w:rsidRPr="002234C8">
              <w:rPr>
                <w:b/>
                <w:noProof/>
              </w:rPr>
              <w:t>Calendar</w:t>
            </w:r>
          </w:p>
        </w:tc>
      </w:tr>
      <w:tr w:rsidR="08268B41" w:rsidRPr="009F333A" w14:paraId="40158C56" w14:textId="77777777" w:rsidTr="26F9187F">
        <w:trPr>
          <w:trHeight w:val="300"/>
        </w:trPr>
        <w:tc>
          <w:tcPr>
            <w:tcW w:w="7508" w:type="dxa"/>
          </w:tcPr>
          <w:p w14:paraId="39778988" w14:textId="7ED279B3" w:rsidR="001C0E08" w:rsidRPr="009F333A" w:rsidRDefault="70B8964C" w:rsidP="004A7211">
            <w:pPr>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Recomandarea privind principiul „eficiența apei înainte de toate”, orientări și raportul AEM privind potențialul neexploatat de utilizare eficientă a apei.</w:t>
            </w:r>
          </w:p>
        </w:tc>
        <w:tc>
          <w:tcPr>
            <w:tcW w:w="1508" w:type="dxa"/>
          </w:tcPr>
          <w:p w14:paraId="52493123" w14:textId="7490F81C" w:rsidR="7585C899" w:rsidRPr="009F333A" w:rsidRDefault="009D0C35" w:rsidP="08268B41">
            <w:pPr>
              <w:pStyle w:val="paragraph"/>
              <w:spacing w:before="0" w:beforeAutospacing="0" w:after="0" w:afterAutospacing="0"/>
              <w:jc w:val="center"/>
              <w:rPr>
                <w:rFonts w:eastAsia="Calibri"/>
                <w:noProof/>
                <w:sz w:val="24"/>
                <w:szCs w:val="24"/>
              </w:rPr>
            </w:pPr>
            <w:r w:rsidRPr="002234C8">
              <w:rPr>
                <w:noProof/>
                <w:sz w:val="24"/>
              </w:rPr>
              <w:t>2025</w:t>
            </w:r>
            <w:r>
              <w:rPr>
                <w:noProof/>
                <w:sz w:val="24"/>
              </w:rPr>
              <w:t>-</w:t>
            </w:r>
            <w:r w:rsidRPr="002234C8">
              <w:rPr>
                <w:noProof/>
                <w:sz w:val="24"/>
              </w:rPr>
              <w:t>2026</w:t>
            </w:r>
          </w:p>
          <w:p w14:paraId="6A3E5833" w14:textId="7472601C" w:rsidR="08268B41" w:rsidRPr="009F333A" w:rsidRDefault="08268B41" w:rsidP="08268B41">
            <w:pPr>
              <w:pStyle w:val="paragraph"/>
              <w:spacing w:before="0" w:beforeAutospacing="0" w:after="0" w:afterAutospacing="0"/>
              <w:jc w:val="center"/>
              <w:rPr>
                <w:rFonts w:eastAsia="Calibri"/>
                <w:noProof/>
                <w:sz w:val="24"/>
                <w:szCs w:val="24"/>
              </w:rPr>
            </w:pPr>
          </w:p>
        </w:tc>
      </w:tr>
      <w:tr w:rsidR="003E15CC" w:rsidRPr="009F333A" w14:paraId="67B05F79" w14:textId="77777777" w:rsidTr="000027CE">
        <w:trPr>
          <w:trHeight w:val="348"/>
        </w:trPr>
        <w:tc>
          <w:tcPr>
            <w:tcW w:w="7508" w:type="dxa"/>
          </w:tcPr>
          <w:p w14:paraId="5B105363" w14:textId="77777777" w:rsidR="003E15CC" w:rsidRPr="009F333A" w:rsidRDefault="003E15CC" w:rsidP="000027CE">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Sprijinirea adoptării practicilor de reutilizare a apei și dincolo de agricultură și revizuirea Regulamentului privind reutilizarea apei.</w:t>
            </w:r>
          </w:p>
        </w:tc>
        <w:tc>
          <w:tcPr>
            <w:tcW w:w="1508" w:type="dxa"/>
          </w:tcPr>
          <w:p w14:paraId="1C5BF1A1" w14:textId="77777777" w:rsidR="003E15CC" w:rsidRPr="009F333A" w:rsidRDefault="003E15CC" w:rsidP="000027CE">
            <w:pPr>
              <w:pStyle w:val="paragraph"/>
              <w:spacing w:before="0" w:beforeAutospacing="0" w:after="0" w:afterAutospacing="0"/>
              <w:jc w:val="center"/>
              <w:rPr>
                <w:rFonts w:eastAsia="Calibri"/>
                <w:noProof/>
                <w:sz w:val="24"/>
                <w:szCs w:val="24"/>
              </w:rPr>
            </w:pPr>
            <w:r w:rsidRPr="002234C8">
              <w:rPr>
                <w:noProof/>
                <w:sz w:val="24"/>
              </w:rPr>
              <w:t>2026</w:t>
            </w:r>
            <w:r>
              <w:rPr>
                <w:noProof/>
                <w:sz w:val="24"/>
              </w:rPr>
              <w:t>-</w:t>
            </w:r>
            <w:r w:rsidRPr="002234C8">
              <w:rPr>
                <w:noProof/>
                <w:sz w:val="24"/>
              </w:rPr>
              <w:t>2028</w:t>
            </w:r>
          </w:p>
          <w:p w14:paraId="0E518036" w14:textId="77777777" w:rsidR="003E15CC" w:rsidRPr="009F333A" w:rsidRDefault="003E15CC" w:rsidP="000027CE">
            <w:pPr>
              <w:pStyle w:val="paragraph"/>
              <w:spacing w:before="0" w:beforeAutospacing="0" w:after="0" w:afterAutospacing="0"/>
              <w:jc w:val="center"/>
              <w:rPr>
                <w:rFonts w:eastAsia="Calibri"/>
                <w:noProof/>
                <w:sz w:val="24"/>
                <w:szCs w:val="24"/>
              </w:rPr>
            </w:pPr>
          </w:p>
        </w:tc>
      </w:tr>
      <w:tr w:rsidR="003E15CC" w:rsidRPr="009F333A" w14:paraId="3F202CD0" w14:textId="77777777" w:rsidTr="000027CE">
        <w:trPr>
          <w:trHeight w:val="300"/>
        </w:trPr>
        <w:tc>
          <w:tcPr>
            <w:tcW w:w="7508" w:type="dxa"/>
          </w:tcPr>
          <w:p w14:paraId="34546887" w14:textId="77777777" w:rsidR="003E15CC" w:rsidRPr="009F333A" w:rsidRDefault="003E15CC" w:rsidP="000027CE">
            <w:pPr>
              <w:jc w:val="both"/>
              <w:rPr>
                <w:rFonts w:ascii="Times New Roman" w:eastAsia="Times New Roman" w:hAnsi="Times New Roman" w:cs="Times New Roman"/>
                <w:noProof/>
                <w:sz w:val="24"/>
                <w:szCs w:val="24"/>
              </w:rPr>
            </w:pPr>
            <w:r w:rsidRPr="002234C8">
              <w:rPr>
                <w:rFonts w:ascii="Times New Roman" w:hAnsi="Times New Roman"/>
                <w:b/>
                <w:noProof/>
                <w:sz w:val="24"/>
              </w:rPr>
              <w:t>Aprovizionarea publică cu apă</w:t>
            </w:r>
            <w:r>
              <w:rPr>
                <w:rFonts w:ascii="Times New Roman" w:hAnsi="Times New Roman"/>
                <w:noProof/>
                <w:sz w:val="24"/>
              </w:rPr>
              <w:t xml:space="preserve">: </w:t>
            </w:r>
          </w:p>
          <w:p w14:paraId="253ACC1A" w14:textId="6F7AE0DD" w:rsidR="003E15CC" w:rsidRPr="009F333A" w:rsidRDefault="00C95CC0" w:rsidP="009F333A">
            <w:pPr>
              <w:pStyle w:val="ListParagraph"/>
              <w:numPr>
                <w:ilvl w:val="0"/>
                <w:numId w:val="2"/>
              </w:numPr>
              <w:jc w:val="both"/>
              <w:rPr>
                <w:rFonts w:ascii="Times New Roman" w:eastAsia="Times New Roman" w:hAnsi="Times New Roman" w:cs="Times New Roman"/>
                <w:noProof/>
                <w:sz w:val="24"/>
                <w:szCs w:val="24"/>
              </w:rPr>
            </w:pPr>
            <w:r>
              <w:rPr>
                <w:rFonts w:ascii="Times New Roman" w:hAnsi="Times New Roman"/>
                <w:noProof/>
                <w:sz w:val="24"/>
              </w:rPr>
              <w:t>sprijin pentru reducerea scurgerilor și modernizarea infrastructurii și evaluarea aprofundată a datelor.</w:t>
            </w:r>
          </w:p>
        </w:tc>
        <w:tc>
          <w:tcPr>
            <w:tcW w:w="1508" w:type="dxa"/>
          </w:tcPr>
          <w:p w14:paraId="5BB4B8BE" w14:textId="77777777" w:rsidR="003E15CC" w:rsidRPr="009F333A" w:rsidRDefault="003E15CC" w:rsidP="000027CE">
            <w:pPr>
              <w:pStyle w:val="paragraph"/>
              <w:jc w:val="center"/>
              <w:rPr>
                <w:rFonts w:eastAsia="Calibri"/>
                <w:noProof/>
                <w:sz w:val="24"/>
                <w:szCs w:val="24"/>
              </w:rPr>
            </w:pPr>
            <w:r w:rsidRPr="002234C8">
              <w:rPr>
                <w:noProof/>
                <w:sz w:val="24"/>
              </w:rPr>
              <w:t>2025</w:t>
            </w:r>
            <w:r>
              <w:rPr>
                <w:noProof/>
                <w:sz w:val="24"/>
              </w:rPr>
              <w:t>-</w:t>
            </w:r>
            <w:r w:rsidRPr="002234C8">
              <w:rPr>
                <w:noProof/>
                <w:sz w:val="24"/>
              </w:rPr>
              <w:t>2028</w:t>
            </w:r>
          </w:p>
        </w:tc>
      </w:tr>
      <w:tr w:rsidR="08268B41" w:rsidRPr="009F333A" w14:paraId="6551FCEE" w14:textId="77777777" w:rsidTr="009F333A">
        <w:trPr>
          <w:trHeight w:val="2328"/>
        </w:trPr>
        <w:tc>
          <w:tcPr>
            <w:tcW w:w="7508" w:type="dxa"/>
          </w:tcPr>
          <w:p w14:paraId="55BEC585" w14:textId="4D7515BB" w:rsidR="08268B41" w:rsidRPr="002234C8" w:rsidRDefault="368A7827" w:rsidP="08268B41">
            <w:pPr>
              <w:jc w:val="both"/>
              <w:rPr>
                <w:rFonts w:ascii="Times New Roman" w:hAnsi="Times New Roman" w:cs="Times New Roman"/>
                <w:b/>
                <w:noProof/>
                <w:sz w:val="24"/>
                <w:szCs w:val="24"/>
              </w:rPr>
            </w:pPr>
            <w:r w:rsidRPr="002234C8">
              <w:rPr>
                <w:rFonts w:ascii="Times New Roman" w:hAnsi="Times New Roman"/>
                <w:b/>
                <w:noProof/>
                <w:sz w:val="24"/>
              </w:rPr>
              <w:t xml:space="preserve">Agricultură: </w:t>
            </w:r>
          </w:p>
          <w:p w14:paraId="4FA95A93" w14:textId="223815E1" w:rsidR="08268B41" w:rsidRPr="009F333A" w:rsidRDefault="002A7E05" w:rsidP="00A30966">
            <w:pPr>
              <w:pStyle w:val="ListParagraph"/>
              <w:numPr>
                <w:ilvl w:val="0"/>
                <w:numId w:val="2"/>
              </w:numPr>
              <w:jc w:val="both"/>
              <w:rPr>
                <w:rFonts w:ascii="Times New Roman" w:eastAsia="Times New Roman" w:hAnsi="Times New Roman" w:cs="Times New Roman"/>
                <w:noProof/>
                <w:sz w:val="24"/>
                <w:szCs w:val="24"/>
              </w:rPr>
            </w:pPr>
            <w:r>
              <w:rPr>
                <w:rFonts w:ascii="Times New Roman" w:hAnsi="Times New Roman"/>
                <w:noProof/>
                <w:sz w:val="24"/>
              </w:rPr>
              <w:t>maximizarea utilizării planurilor strategice PAC pentru reziliența în domeniul apei prin schimbul de cunoștințe și soluții inovatoare promovate de rețeaua PAC a UE, prin Parteneriatul european pentru inovare (PEI-AGRI), precum și prin servicii îmbunătățite și independente de consiliere agricolă;</w:t>
            </w:r>
          </w:p>
          <w:p w14:paraId="6D90D35A" w14:textId="53B5CB68" w:rsidR="08268B41" w:rsidRPr="00A84B5E" w:rsidRDefault="00625E10" w:rsidP="00625E1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în următoarea perioadă de programare, continuarea acordării de stimulente fermierilor în vederea îmbunătățirii performanței în materie de mediu și climă a exploatațiilor lor, inclusiv în direcția unei mai bune gestionări a apei.</w:t>
            </w:r>
          </w:p>
        </w:tc>
        <w:tc>
          <w:tcPr>
            <w:tcW w:w="1508" w:type="dxa"/>
          </w:tcPr>
          <w:p w14:paraId="3982771C" w14:textId="5BAFAA4C" w:rsidR="57787EC9" w:rsidRPr="009F333A" w:rsidRDefault="00CB5DB8" w:rsidP="00905E09">
            <w:pPr>
              <w:jc w:val="center"/>
              <w:rPr>
                <w:bCs/>
                <w:noProof/>
                <w:sz w:val="24"/>
                <w:szCs w:val="24"/>
              </w:rPr>
            </w:pPr>
            <w:r w:rsidRPr="002234C8">
              <w:rPr>
                <w:rFonts w:ascii="Times New Roman" w:hAnsi="Times New Roman"/>
                <w:noProof/>
                <w:sz w:val="24"/>
              </w:rPr>
              <w:t>2025</w:t>
            </w:r>
            <w:r>
              <w:rPr>
                <w:rFonts w:ascii="Times New Roman" w:hAnsi="Times New Roman"/>
                <w:noProof/>
                <w:sz w:val="24"/>
              </w:rPr>
              <w:t>-</w:t>
            </w:r>
            <w:r w:rsidRPr="002234C8">
              <w:rPr>
                <w:rFonts w:ascii="Times New Roman" w:hAnsi="Times New Roman"/>
                <w:noProof/>
                <w:sz w:val="24"/>
              </w:rPr>
              <w:t>2026</w:t>
            </w:r>
          </w:p>
        </w:tc>
      </w:tr>
      <w:tr w:rsidR="08268B41" w:rsidRPr="009F333A" w14:paraId="59DD9A71" w14:textId="77777777" w:rsidTr="26F9187F">
        <w:trPr>
          <w:trHeight w:val="300"/>
        </w:trPr>
        <w:tc>
          <w:tcPr>
            <w:tcW w:w="7508" w:type="dxa"/>
          </w:tcPr>
          <w:p w14:paraId="235AFC43" w14:textId="7DF390AC" w:rsidR="00610149" w:rsidRPr="009F333A" w:rsidRDefault="2091464C" w:rsidP="00610149">
            <w:pPr>
              <w:jc w:val="both"/>
              <w:rPr>
                <w:rFonts w:ascii="Times New Roman" w:eastAsia="Times New Roman" w:hAnsi="Times New Roman" w:cs="Times New Roman"/>
                <w:noProof/>
                <w:sz w:val="24"/>
                <w:szCs w:val="24"/>
              </w:rPr>
            </w:pPr>
            <w:r w:rsidRPr="002234C8">
              <w:rPr>
                <w:rFonts w:ascii="Times New Roman" w:hAnsi="Times New Roman"/>
                <w:b/>
                <w:noProof/>
                <w:sz w:val="24"/>
              </w:rPr>
              <w:t>Industrie și energie</w:t>
            </w:r>
            <w:r>
              <w:rPr>
                <w:rFonts w:ascii="Times New Roman" w:hAnsi="Times New Roman"/>
                <w:noProof/>
                <w:sz w:val="24"/>
              </w:rPr>
              <w:t xml:space="preserve">: </w:t>
            </w:r>
          </w:p>
          <w:p w14:paraId="28693E72" w14:textId="26C39865" w:rsidR="00776324" w:rsidRPr="009F333A" w:rsidRDefault="0003755F"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lansarea unui proiect-pilot pentru promovarea utilizării eficiente a apei, inclusiv a tehnologiilor fără apă și cu ciclu închis al apei, în anumite clustere industriale;</w:t>
            </w:r>
          </w:p>
          <w:p w14:paraId="11BFC555" w14:textId="77777777" w:rsidR="00604392" w:rsidRPr="009F333A" w:rsidRDefault="00714FDD"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includerea utilizării apei printre parametrii unui sistem comun al Uniunii de evaluare a sustenabilității centrelor de date și propunerea de standarde minime de performanță privind consumul de apă;</w:t>
            </w:r>
          </w:p>
          <w:p w14:paraId="1E9C6703" w14:textId="4E538B83" w:rsidR="003E15CC" w:rsidRPr="009F333A" w:rsidRDefault="005D7772" w:rsidP="00A30966">
            <w:pPr>
              <w:pStyle w:val="ListParagraph"/>
              <w:numPr>
                <w:ilvl w:val="0"/>
                <w:numId w:val="2"/>
              </w:numPr>
              <w:jc w:val="both"/>
              <w:rPr>
                <w:rFonts w:ascii="Times New Roman" w:eastAsia="Calibri" w:hAnsi="Times New Roman" w:cs="Times New Roman"/>
                <w:noProof/>
                <w:sz w:val="24"/>
                <w:szCs w:val="24"/>
              </w:rPr>
            </w:pPr>
            <w:r>
              <w:rPr>
                <w:rFonts w:ascii="Times New Roman" w:hAnsi="Times New Roman"/>
                <w:noProof/>
                <w:sz w:val="24"/>
              </w:rPr>
              <w:t>inițiativă public-privată de realizare a unui progres tehnologic în ceea ce privește metodele fezabile și accesibile pentru răcirea uscată, în cazul în care se identifică partenerii potriviți.</w:t>
            </w:r>
          </w:p>
        </w:tc>
        <w:tc>
          <w:tcPr>
            <w:tcW w:w="1508" w:type="dxa"/>
          </w:tcPr>
          <w:p w14:paraId="280CB83E" w14:textId="0C520E53" w:rsidR="08268B41" w:rsidRPr="009F333A" w:rsidRDefault="00013FAF" w:rsidP="002F71BB">
            <w:pPr>
              <w:pStyle w:val="paragraph"/>
              <w:jc w:val="center"/>
              <w:rPr>
                <w:rFonts w:eastAsia="Calibri"/>
                <w:noProof/>
                <w:sz w:val="24"/>
                <w:szCs w:val="24"/>
              </w:rPr>
            </w:pPr>
            <w:r w:rsidRPr="002234C8">
              <w:rPr>
                <w:noProof/>
                <w:sz w:val="24"/>
              </w:rPr>
              <w:t>2025</w:t>
            </w:r>
            <w:r>
              <w:rPr>
                <w:noProof/>
                <w:sz w:val="24"/>
              </w:rPr>
              <w:t>-</w:t>
            </w:r>
            <w:r w:rsidRPr="002234C8">
              <w:rPr>
                <w:noProof/>
                <w:sz w:val="24"/>
              </w:rPr>
              <w:t>2027</w:t>
            </w:r>
          </w:p>
        </w:tc>
      </w:tr>
    </w:tbl>
    <w:p w14:paraId="23ACF224" w14:textId="07CC595C" w:rsidR="08268B41" w:rsidRPr="002234C8" w:rsidRDefault="08268B41" w:rsidP="08268B41">
      <w:pPr>
        <w:spacing w:after="0" w:line="240" w:lineRule="auto"/>
        <w:jc w:val="both"/>
        <w:rPr>
          <w:rFonts w:ascii="Times New Roman" w:eastAsia="Times New Roman" w:hAnsi="Times New Roman" w:cs="Times New Roman"/>
          <w:b/>
          <w:bCs/>
          <w:noProof/>
        </w:rPr>
      </w:pPr>
    </w:p>
    <w:p w14:paraId="00DD7032" w14:textId="37A5801E" w:rsidR="00EF6F10" w:rsidRPr="002234C8" w:rsidRDefault="00432111" w:rsidP="00ED14EB">
      <w:pPr>
        <w:pStyle w:val="Heading2"/>
        <w:spacing w:after="240"/>
        <w:ind w:left="720" w:hanging="720"/>
        <w:jc w:val="both"/>
        <w:rPr>
          <w:rFonts w:ascii="Times New Roman" w:hAnsi="Times New Roman" w:cs="Times New Roman"/>
          <w:b/>
          <w:noProof/>
          <w:color w:val="000000" w:themeColor="text1"/>
          <w:sz w:val="24"/>
          <w:szCs w:val="24"/>
        </w:rPr>
      </w:pPr>
      <w:r w:rsidRPr="002234C8">
        <w:rPr>
          <w:rFonts w:ascii="Times New Roman" w:hAnsi="Times New Roman"/>
          <w:b/>
          <w:noProof/>
          <w:color w:val="000000" w:themeColor="text1"/>
          <w:sz w:val="24"/>
        </w:rPr>
        <w:t>2.3</w:t>
      </w:r>
      <w:r>
        <w:rPr>
          <w:noProof/>
        </w:rPr>
        <w:tab/>
      </w:r>
      <w:r w:rsidRPr="002234C8">
        <w:rPr>
          <w:rFonts w:ascii="Times New Roman" w:hAnsi="Times New Roman"/>
          <w:b/>
          <w:noProof/>
          <w:color w:val="000000" w:themeColor="text1"/>
          <w:sz w:val="24"/>
        </w:rPr>
        <w:t>Asigurarea apei curate și la prețuri accesibile pentru toți, responsabilizarea consumatorilor și a altor utilizatori</w:t>
      </w:r>
    </w:p>
    <w:p w14:paraId="76CE9EA2" w14:textId="0157946C" w:rsidR="1866DE9C" w:rsidRPr="009504D6" w:rsidRDefault="60BFAB94" w:rsidP="1866DE9C">
      <w:pPr>
        <w:pStyle w:val="ecl-paragraph"/>
        <w:spacing w:before="0" w:beforeAutospacing="0" w:after="0" w:afterAutospacing="0"/>
        <w:jc w:val="both"/>
        <w:rPr>
          <w:noProof/>
        </w:rPr>
      </w:pPr>
      <w:r w:rsidRPr="002234C8">
        <w:rPr>
          <w:b/>
          <w:noProof/>
        </w:rPr>
        <w:t>Accesul la apă potabilă sigură și curată și la salubritate este un drept al omului.</w:t>
      </w:r>
      <w:r>
        <w:rPr>
          <w:noProof/>
        </w:rPr>
        <w:t xml:space="preserve"> Trei decenii de dezvoltare și punere în aplicare a legislației UE privind apa, inclusiv a Directivei privind apa potabilă și a Directivei privind epurarea apelor uzate urbane, în paralel cu investițiile semnificative ale UE, au asigurat, în general, accesul la apă potabilă sigură și la salubritate în întreaga UE, în conformitate cu </w:t>
      </w:r>
      <w:hyperlink r:id="rId18">
        <w:r>
          <w:rPr>
            <w:noProof/>
          </w:rPr>
          <w:t>Pilonul european al drepturilor sociale</w:t>
        </w:r>
        <w:r>
          <w:rPr>
            <w:rStyle w:val="FootnoteReference"/>
            <w:noProof/>
          </w:rPr>
          <w:footnoteReference w:id="50"/>
        </w:r>
      </w:hyperlink>
      <w:r>
        <w:rPr>
          <w:noProof/>
          <w:color w:val="000000" w:themeColor="text1"/>
        </w:rPr>
        <w:t xml:space="preserve">. Cu toate acestea, </w:t>
      </w:r>
      <w:r w:rsidRPr="002234C8">
        <w:rPr>
          <w:noProof/>
        </w:rPr>
        <w:t>1</w:t>
      </w:r>
      <w:r>
        <w:rPr>
          <w:noProof/>
        </w:rPr>
        <w:t>,</w:t>
      </w:r>
      <w:r w:rsidRPr="002234C8">
        <w:rPr>
          <w:noProof/>
        </w:rPr>
        <w:t>5</w:t>
      </w:r>
      <w:r>
        <w:rPr>
          <w:noProof/>
        </w:rPr>
        <w:t xml:space="preserve"> % din populația UE trăiește fără instalații sanitare de bază, iar aproximativ </w:t>
      </w:r>
      <w:r w:rsidRPr="002234C8">
        <w:rPr>
          <w:noProof/>
        </w:rPr>
        <w:t>4</w:t>
      </w:r>
      <w:r>
        <w:rPr>
          <w:noProof/>
        </w:rPr>
        <w:t> % nu au acces adecvat la apă potabilă sigură. Acțiunile în acest domeniu trebuie să asigure eforturi favorabile incluziunii și echitabile, care să răspundă nevoilor femeilor și ale grupurilor vulnerabile, cum ar fi persoanele cu handicap și minoritățile, precum și în regiunile UE cel mai puțin prospere, pentru a promova coeziunea socială, economică și teritorială, inclusiv în regiunile ultraperiferice. Pentru acestea din urmă, de o importanță deosebită sunt provocările climatice specifice cu care se confruntă, împreună cu infrastructura de apă inadecvată, care afectează în mod direct accesul la apă potabilă. Sprijinirea sistemelor de filtrare a apei în zonele cu apă dură sau foarte dură este un alt aspect relevant.</w:t>
      </w:r>
    </w:p>
    <w:p w14:paraId="792F3A69" w14:textId="25AC40DC" w:rsidR="00C0140B" w:rsidRPr="009F333A" w:rsidRDefault="000466F1" w:rsidP="00ED14EB">
      <w:pPr>
        <w:spacing w:before="100" w:beforeAutospacing="1" w:after="240" w:line="240" w:lineRule="auto"/>
        <w:jc w:val="both"/>
        <w:rPr>
          <w:rFonts w:ascii="Times New Roman" w:hAnsi="Times New Roman"/>
          <w:noProof/>
        </w:rPr>
      </w:pPr>
      <w:r w:rsidRPr="002234C8">
        <w:rPr>
          <w:rFonts w:ascii="Times New Roman" w:hAnsi="Times New Roman"/>
          <w:b/>
          <w:noProof/>
        </w:rPr>
        <w:t xml:space="preserve">Consumatorii joacă un rol esențial în consolidarea rezilienței în domeniul apei. </w:t>
      </w:r>
      <w:r>
        <w:rPr>
          <w:rFonts w:ascii="Times New Roman" w:hAnsi="Times New Roman"/>
          <w:noProof/>
        </w:rPr>
        <w:t>Pe lângă eticheta ecologică a UE consacrată, Regulamentul privind proiectarea ecologică a produselor sustenabile (ESPR)</w:t>
      </w:r>
      <w:r>
        <w:rPr>
          <w:rStyle w:val="FootnoteReference"/>
          <w:rFonts w:ascii="Times New Roman" w:eastAsia="Times New Roman" w:hAnsi="Times New Roman" w:cs="Times New Roman"/>
          <w:noProof/>
        </w:rPr>
        <w:footnoteReference w:id="51"/>
      </w:r>
      <w:r>
        <w:rPr>
          <w:rFonts w:ascii="Times New Roman" w:hAnsi="Times New Roman"/>
          <w:noProof/>
        </w:rPr>
        <w:t xml:space="preserve"> va ajuta consumatorii să reducă consumul de apă prin alegerea unor produse mai puțin poluante și mai eficiente din punctul de vedere al consumului de apă. Acest lucru ar trebui să orienteze cererea către produse inteligente din punctul de vedere al apei, stimulând competitivitatea curată și circulară a UE. Apar noi inițiative private, cum ar fi eticheta unificată a apei, pentru a evalua eficiența produselor din perspectiva utilizării apei.  </w:t>
      </w:r>
    </w:p>
    <w:p w14:paraId="791A7B1C" w14:textId="0D6185F8" w:rsidR="00ED14EB" w:rsidRDefault="679CD995" w:rsidP="00ED14EB">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În ceea ce privește utilizarea apei în locuințe și planificarea urbană, economisirea energiei și economisirea apei ar trebui să meargă întotdeauna mână în mână</w:t>
      </w:r>
      <w:r>
        <w:rPr>
          <w:rFonts w:ascii="Times New Roman" w:hAnsi="Times New Roman"/>
          <w:noProof/>
        </w:rPr>
        <w:t>. Noua Directivă privind performanța energetică a clădirilor</w:t>
      </w:r>
      <w:r>
        <w:rPr>
          <w:rStyle w:val="FootnoteReference"/>
          <w:rFonts w:ascii="Times New Roman" w:eastAsia="Times New Roman" w:hAnsi="Times New Roman" w:cs="Times New Roman"/>
          <w:noProof/>
        </w:rPr>
        <w:footnoteReference w:id="52"/>
      </w:r>
      <w:r>
        <w:rPr>
          <w:rFonts w:ascii="Times New Roman" w:hAnsi="Times New Roman"/>
          <w:noProof/>
        </w:rPr>
        <w:t xml:space="preserve">, care sprijină eficiența energetică, inclusiv utilizarea eficientă a apei calde ca unul dintre obiectivele sale, și noul Bauhaus european oferă oportunități semnificative de stimulare a eforturilor în direcția rezilienței în domeniul apei în mediul construit, sporind în același timp implicarea utilizatorilor și a cetățenilor și schimbul de bune practici privind planificarea și conceptele de proiectare reziliente la apă. Acest lucru se va reflecta în viitorul program de lucru pentru perioada </w:t>
      </w:r>
      <w:r w:rsidRPr="002234C8">
        <w:rPr>
          <w:rFonts w:ascii="Times New Roman" w:hAnsi="Times New Roman"/>
          <w:noProof/>
        </w:rPr>
        <w:t>2026</w:t>
      </w:r>
      <w:r>
        <w:rPr>
          <w:rFonts w:ascii="Times New Roman" w:hAnsi="Times New Roman"/>
          <w:noProof/>
        </w:rPr>
        <w:t>-</w:t>
      </w:r>
      <w:r w:rsidRPr="002234C8">
        <w:rPr>
          <w:rFonts w:ascii="Times New Roman" w:hAnsi="Times New Roman"/>
          <w:noProof/>
        </w:rPr>
        <w:t>2027</w:t>
      </w:r>
      <w:r>
        <w:rPr>
          <w:rFonts w:ascii="Times New Roman" w:hAnsi="Times New Roman"/>
          <w:noProof/>
        </w:rPr>
        <w:t xml:space="preserve"> al Mecanismului pentru noul Bauhaus european și în viitorul plan privind locuințele la prețuri accesibile, care va lua în considerare, de asemenea, sustenabilitatea locuințelor, inclusiv reziliența în domeniul apei. </w:t>
      </w:r>
    </w:p>
    <w:p w14:paraId="4487CFF7" w14:textId="0CF5B73D" w:rsidR="00E05499" w:rsidRPr="00ED14EB" w:rsidRDefault="004D1FF6" w:rsidP="00ED14EB">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Trebuie să se pună un accent mai puternic pe sensibilizarea și implicarea publicului în gestionarea apei. </w:t>
      </w:r>
      <w:bookmarkStart w:id="4" w:name="_Hlk199062773"/>
      <w:r>
        <w:rPr>
          <w:rFonts w:ascii="Times New Roman" w:hAnsi="Times New Roman"/>
          <w:noProof/>
        </w:rPr>
        <w:t xml:space="preserve">O mai bună sensibilizare poate fi sprijinită prin instrumente digitale și este esențială pentru a spori disponibilitatea cetățenilor de a economisi apa, dar și pentru a reduce expunerea acestora la riscurile generate de inundații sau de secetă (a se vedea secțiunea </w:t>
      </w:r>
      <w:r w:rsidRPr="002234C8">
        <w:rPr>
          <w:rFonts w:ascii="Times New Roman" w:hAnsi="Times New Roman"/>
          <w:noProof/>
        </w:rPr>
        <w:t>3</w:t>
      </w:r>
      <w:r>
        <w:rPr>
          <w:rFonts w:ascii="Times New Roman" w:hAnsi="Times New Roman"/>
          <w:noProof/>
        </w:rPr>
        <w:t xml:space="preserve">). </w:t>
      </w:r>
      <w:bookmarkEnd w:id="4"/>
      <w:r>
        <w:rPr>
          <w:rFonts w:ascii="Times New Roman" w:hAnsi="Times New Roman"/>
          <w:noProof/>
        </w:rPr>
        <w:t xml:space="preserve">Asigurarea punerii în aplicare depline a cerințelor de informare publică și transparență va contribui la creșterea gradului de sensibilizare a cetățenilor și a gradului de pregătire a acestora de a se implica în procesul de guvernanță incluzivă în domeniul apei. Comisia va promova schimbul de bune practici în ceea ce privește sensibilizarea și capacitarea societății pentru a se implica mai eficient în gestionarea apei și în planurile de management al bazinelor hidrografice și al riscului de inundații. </w:t>
      </w:r>
    </w:p>
    <w:p w14:paraId="718719A0" w14:textId="0550E0D5" w:rsidR="00A74178" w:rsidRPr="00943602" w:rsidRDefault="5861F32C" w:rsidP="00ED14EB">
      <w:pPr>
        <w:spacing w:before="240" w:after="240" w:line="257" w:lineRule="auto"/>
        <w:jc w:val="both"/>
        <w:rPr>
          <w:rFonts w:ascii="Times New Roman" w:eastAsia="Times New Roman" w:hAnsi="Times New Roman" w:cs="Times New Roman"/>
          <w:noProof/>
        </w:rPr>
      </w:pPr>
      <w:r w:rsidRPr="002234C8">
        <w:rPr>
          <w:rFonts w:ascii="Times New Roman" w:hAnsi="Times New Roman"/>
          <w:b/>
          <w:noProof/>
        </w:rPr>
        <w:t>Politicile de tarifare a apei bazate pe utilizarea efectivă, pe impactul asupra mediului și pe capacitatea de plată sunt esențiale pentru a asigura accesul la apă, creând în același timp stimulente adecvate pentru consumatori și alți utilizatori.</w:t>
      </w:r>
      <w:r>
        <w:rPr>
          <w:rFonts w:ascii="Times New Roman" w:hAnsi="Times New Roman"/>
          <w:noProof/>
        </w:rPr>
        <w:t xml:space="preserve"> Directiva-cadru privind apa stimulează politicile naționale solide de tarifare a apei, bazate pe recuperarea costurilor împărțită în mod echitabil și pe principiul „poluatorul plătește”. Directivele revizuite privind apa potabilă și apele uzate urbane asigură furnizarea regulată și cuprinzătoare de informații privind consumul de apă și prețurile, precum și recomandări pentru reducerea acestuia. Schimbul de bune practici va ajuta statele membre să utilizeze aceste instrumente în cel mai eficient mod.</w:t>
      </w:r>
    </w:p>
    <w:tbl>
      <w:tblPr>
        <w:tblStyle w:val="TableGrid"/>
        <w:tblW w:w="0" w:type="auto"/>
        <w:tblLook w:val="04A0" w:firstRow="1" w:lastRow="0" w:firstColumn="1" w:lastColumn="0" w:noHBand="0" w:noVBand="1"/>
      </w:tblPr>
      <w:tblGrid>
        <w:gridCol w:w="7508"/>
        <w:gridCol w:w="1508"/>
      </w:tblGrid>
      <w:tr w:rsidR="2A2EF8A8" w:rsidRPr="009F333A" w14:paraId="6F9B27CB" w14:textId="77777777" w:rsidTr="008B4BEC">
        <w:trPr>
          <w:trHeight w:val="300"/>
        </w:trPr>
        <w:tc>
          <w:tcPr>
            <w:tcW w:w="7508" w:type="dxa"/>
            <w:shd w:val="clear" w:color="auto" w:fill="A5C9EB" w:themeFill="text2" w:themeFillTint="40"/>
          </w:tcPr>
          <w:p w14:paraId="54400CD6" w14:textId="18A17DC1" w:rsidR="01113CB2" w:rsidRPr="009F333A" w:rsidRDefault="2A2EF8A8" w:rsidP="2A2EF8A8">
            <w:pPr>
              <w:pStyle w:val="paragraph"/>
              <w:spacing w:before="0" w:beforeAutospacing="0" w:after="0" w:afterAutospacing="0"/>
              <w:jc w:val="center"/>
              <w:rPr>
                <w:b/>
                <w:noProof/>
                <w:sz w:val="24"/>
                <w:szCs w:val="24"/>
              </w:rPr>
            </w:pPr>
            <w:r w:rsidRPr="002234C8">
              <w:rPr>
                <w:b/>
                <w:noProof/>
                <w:sz w:val="24"/>
              </w:rPr>
              <w:t xml:space="preserve">Acțiuni emblematice - </w:t>
            </w:r>
            <w:r w:rsidRPr="002234C8">
              <w:rPr>
                <w:b/>
                <w:noProof/>
                <w:color w:val="000000" w:themeColor="text1"/>
                <w:sz w:val="24"/>
              </w:rPr>
              <w:t>Asigurarea apei curate și la prețuri accesibile pentru toți, responsabilizarea consumatorilor și a altor utilizatori</w:t>
            </w:r>
          </w:p>
        </w:tc>
        <w:tc>
          <w:tcPr>
            <w:tcW w:w="1508" w:type="dxa"/>
            <w:shd w:val="clear" w:color="auto" w:fill="A5C9EB" w:themeFill="text2" w:themeFillTint="40"/>
          </w:tcPr>
          <w:p w14:paraId="56F1AF2E" w14:textId="768A7A48" w:rsidR="2A2EF8A8" w:rsidRPr="002234C8" w:rsidRDefault="2A2EF8A8" w:rsidP="2A2EF8A8">
            <w:pPr>
              <w:pStyle w:val="paragraph"/>
              <w:spacing w:before="0" w:beforeAutospacing="0" w:after="0" w:afterAutospacing="0"/>
              <w:jc w:val="center"/>
              <w:rPr>
                <w:rFonts w:eastAsia="Calibri"/>
                <w:b/>
                <w:bCs/>
                <w:noProof/>
                <w:sz w:val="24"/>
                <w:szCs w:val="24"/>
              </w:rPr>
            </w:pPr>
            <w:r w:rsidRPr="002234C8">
              <w:rPr>
                <w:b/>
                <w:noProof/>
                <w:sz w:val="24"/>
              </w:rPr>
              <w:t>Calendar</w:t>
            </w:r>
          </w:p>
        </w:tc>
      </w:tr>
      <w:tr w:rsidR="008B4BEC" w:rsidRPr="009F333A" w14:paraId="304F2209" w14:textId="77777777" w:rsidTr="000027CE">
        <w:trPr>
          <w:trHeight w:val="300"/>
        </w:trPr>
        <w:tc>
          <w:tcPr>
            <w:tcW w:w="7508" w:type="dxa"/>
          </w:tcPr>
          <w:p w14:paraId="2CFF87B9" w14:textId="77777777" w:rsidR="008B4BEC" w:rsidRPr="0061109A" w:rsidRDefault="008B4BEC" w:rsidP="0061109A">
            <w:pPr>
              <w:jc w:val="both"/>
              <w:rPr>
                <w:rFonts w:ascii="Times New Roman" w:eastAsia="Times New Roman" w:hAnsi="Times New Roman" w:cs="Times New Roman"/>
                <w:noProof/>
                <w:sz w:val="24"/>
                <w:szCs w:val="24"/>
              </w:rPr>
            </w:pPr>
            <w:r>
              <w:rPr>
                <w:rFonts w:ascii="Times New Roman" w:hAnsi="Times New Roman"/>
                <w:noProof/>
                <w:sz w:val="24"/>
              </w:rPr>
              <w:t>Abordarea amprentei de apă a produselor atunci când se stabilesc sau se actualizează cerințele în temeiul ESPR și al etichetei ecologice a UE.</w:t>
            </w:r>
          </w:p>
        </w:tc>
        <w:tc>
          <w:tcPr>
            <w:tcW w:w="1508" w:type="dxa"/>
          </w:tcPr>
          <w:p w14:paraId="62068CA9" w14:textId="77777777" w:rsidR="008B4BEC" w:rsidRPr="009F333A" w:rsidRDefault="008B4BEC" w:rsidP="000027CE">
            <w:pPr>
              <w:pStyle w:val="paragraph"/>
              <w:spacing w:before="0" w:beforeAutospacing="0" w:after="0" w:afterAutospacing="0"/>
              <w:jc w:val="center"/>
              <w:rPr>
                <w:rFonts w:eastAsia="Calibri"/>
                <w:noProof/>
                <w:sz w:val="24"/>
                <w:szCs w:val="24"/>
              </w:rPr>
            </w:pPr>
            <w:r w:rsidRPr="002234C8">
              <w:rPr>
                <w:noProof/>
                <w:sz w:val="24"/>
              </w:rPr>
              <w:t>2025</w:t>
            </w:r>
            <w:r>
              <w:rPr>
                <w:noProof/>
                <w:sz w:val="24"/>
              </w:rPr>
              <w:t>-</w:t>
            </w:r>
            <w:r w:rsidRPr="002234C8">
              <w:rPr>
                <w:noProof/>
                <w:sz w:val="24"/>
              </w:rPr>
              <w:t>2027</w:t>
            </w:r>
          </w:p>
        </w:tc>
      </w:tr>
      <w:tr w:rsidR="008B4BEC" w:rsidRPr="009F333A" w14:paraId="7B6B6412" w14:textId="77777777" w:rsidTr="000027CE">
        <w:trPr>
          <w:trHeight w:val="300"/>
        </w:trPr>
        <w:tc>
          <w:tcPr>
            <w:tcW w:w="7508" w:type="dxa"/>
          </w:tcPr>
          <w:p w14:paraId="353FF673" w14:textId="5367BA12" w:rsidR="008B4BEC" w:rsidRPr="0061109A" w:rsidRDefault="008B4BEC" w:rsidP="000027CE">
            <w:pPr>
              <w:jc w:val="both"/>
              <w:rPr>
                <w:rFonts w:ascii="Times New Roman" w:eastAsia="Times New Roman" w:hAnsi="Times New Roman" w:cs="Times New Roman"/>
                <w:noProof/>
                <w:sz w:val="24"/>
                <w:szCs w:val="24"/>
              </w:rPr>
            </w:pPr>
            <w:r>
              <w:rPr>
                <w:rFonts w:ascii="Times New Roman" w:hAnsi="Times New Roman"/>
                <w:noProof/>
                <w:sz w:val="24"/>
              </w:rPr>
              <w:t xml:space="preserve">Promovarea celor mai bune practici privind sensibilizarea publicului și rolul tarifării apei pentru a promova eficiența utilizării apei, recuperarea costurilor și principiul „poluatorul plătește”, precum și guvernanța națională aferentă în domeniul apei. </w:t>
            </w:r>
          </w:p>
        </w:tc>
        <w:tc>
          <w:tcPr>
            <w:tcW w:w="1508" w:type="dxa"/>
          </w:tcPr>
          <w:p w14:paraId="71DE623B" w14:textId="77777777" w:rsidR="008B4BEC" w:rsidRPr="009F333A" w:rsidRDefault="008B4BEC" w:rsidP="000027CE">
            <w:pPr>
              <w:pStyle w:val="paragraph"/>
              <w:spacing w:before="0" w:beforeAutospacing="0" w:after="0" w:afterAutospacing="0"/>
              <w:jc w:val="center"/>
              <w:rPr>
                <w:rFonts w:eastAsia="Calibri"/>
                <w:noProof/>
                <w:sz w:val="24"/>
                <w:szCs w:val="24"/>
              </w:rPr>
            </w:pPr>
            <w:r w:rsidRPr="002234C8">
              <w:rPr>
                <w:noProof/>
                <w:sz w:val="24"/>
              </w:rPr>
              <w:t>2026</w:t>
            </w:r>
            <w:r>
              <w:rPr>
                <w:noProof/>
                <w:sz w:val="24"/>
              </w:rPr>
              <w:t>-</w:t>
            </w:r>
            <w:r w:rsidRPr="002234C8">
              <w:rPr>
                <w:noProof/>
                <w:sz w:val="24"/>
              </w:rPr>
              <w:t>2027</w:t>
            </w:r>
          </w:p>
        </w:tc>
      </w:tr>
      <w:tr w:rsidR="003E4FEA" w:rsidRPr="009F333A" w14:paraId="2346CF24" w14:textId="77777777" w:rsidTr="008B4BEC">
        <w:trPr>
          <w:trHeight w:val="300"/>
        </w:trPr>
        <w:tc>
          <w:tcPr>
            <w:tcW w:w="7508" w:type="dxa"/>
          </w:tcPr>
          <w:p w14:paraId="6763FD17" w14:textId="175364F3" w:rsidR="003E4FEA" w:rsidRPr="0061109A" w:rsidRDefault="003E4FEA" w:rsidP="0061109A">
            <w:pPr>
              <w:jc w:val="both"/>
              <w:rPr>
                <w:rFonts w:ascii="Times New Roman" w:eastAsia="Times New Roman" w:hAnsi="Times New Roman" w:cs="Times New Roman"/>
                <w:noProof/>
                <w:sz w:val="24"/>
                <w:szCs w:val="24"/>
              </w:rPr>
            </w:pPr>
            <w:r>
              <w:rPr>
                <w:rFonts w:ascii="Times New Roman" w:hAnsi="Times New Roman"/>
                <w:noProof/>
                <w:sz w:val="24"/>
              </w:rPr>
              <w:t xml:space="preserve">Stimularea eforturilor de asigurare a rezilienței în domeniul apei în mediul construit prin intermediul viitorului program de lucru pentru perioada </w:t>
            </w:r>
            <w:r w:rsidRPr="002234C8">
              <w:rPr>
                <w:rFonts w:ascii="Times New Roman" w:hAnsi="Times New Roman"/>
                <w:noProof/>
                <w:sz w:val="24"/>
              </w:rPr>
              <w:t>2026</w:t>
            </w:r>
            <w:r w:rsidR="002234C8">
              <w:rPr>
                <w:rFonts w:ascii="Times New Roman" w:hAnsi="Times New Roman" w:cs="Times New Roman"/>
                <w:noProof/>
                <w:sz w:val="24"/>
              </w:rPr>
              <w:t>­</w:t>
            </w:r>
            <w:r w:rsidRPr="002234C8">
              <w:rPr>
                <w:rFonts w:ascii="Times New Roman" w:hAnsi="Times New Roman"/>
                <w:noProof/>
                <w:sz w:val="24"/>
              </w:rPr>
              <w:t>2027</w:t>
            </w:r>
            <w:r>
              <w:rPr>
                <w:rFonts w:ascii="Times New Roman" w:hAnsi="Times New Roman"/>
                <w:noProof/>
                <w:sz w:val="24"/>
              </w:rPr>
              <w:t xml:space="preserve"> al Mecanismului pentru noul Bauhaus european și al viitorului plan privind locuințele la prețuri accesibile.</w:t>
            </w:r>
          </w:p>
        </w:tc>
        <w:tc>
          <w:tcPr>
            <w:tcW w:w="1508" w:type="dxa"/>
          </w:tcPr>
          <w:p w14:paraId="01F15B43" w14:textId="0CB10D91" w:rsidR="003E4FEA" w:rsidRPr="009F333A" w:rsidRDefault="003E4FEA" w:rsidP="002A4925">
            <w:pPr>
              <w:pStyle w:val="paragraph"/>
              <w:spacing w:before="0" w:beforeAutospacing="0" w:after="0" w:afterAutospacing="0"/>
              <w:jc w:val="center"/>
              <w:rPr>
                <w:rFonts w:eastAsia="Calibri"/>
                <w:noProof/>
              </w:rPr>
            </w:pPr>
            <w:r w:rsidRPr="002234C8">
              <w:rPr>
                <w:noProof/>
              </w:rPr>
              <w:t>2026</w:t>
            </w:r>
          </w:p>
        </w:tc>
      </w:tr>
    </w:tbl>
    <w:p w14:paraId="3350389F" w14:textId="77777777" w:rsidR="00E64CF3" w:rsidRPr="009F333A" w:rsidRDefault="00E64CF3" w:rsidP="00ED14EB">
      <w:pPr>
        <w:rPr>
          <w:noProof/>
        </w:rPr>
      </w:pPr>
    </w:p>
    <w:p w14:paraId="351881EE" w14:textId="60954869" w:rsidR="00E36A23" w:rsidRPr="002234C8" w:rsidRDefault="00432111" w:rsidP="00943602">
      <w:pPr>
        <w:pStyle w:val="Heading2"/>
        <w:rPr>
          <w:rFonts w:ascii="Times New Roman Bold" w:hAnsi="Times New Roman Bold" w:cs="Times New Roman"/>
          <w:b/>
          <w:bCs/>
          <w:smallCaps/>
          <w:noProof/>
          <w:color w:val="auto"/>
          <w:sz w:val="24"/>
          <w:szCs w:val="24"/>
        </w:rPr>
      </w:pPr>
      <w:r w:rsidRPr="002234C8">
        <w:rPr>
          <w:rFonts w:ascii="Times New Roman Bold" w:hAnsi="Times New Roman Bold"/>
          <w:b/>
          <w:smallCaps/>
          <w:noProof/>
          <w:color w:val="auto"/>
          <w:sz w:val="24"/>
        </w:rPr>
        <w:t>3.</w:t>
      </w:r>
      <w:r>
        <w:rPr>
          <w:noProof/>
        </w:rPr>
        <w:tab/>
      </w:r>
      <w:r w:rsidRPr="002234C8">
        <w:rPr>
          <w:rFonts w:ascii="Times New Roman Bold" w:hAnsi="Times New Roman Bold"/>
          <w:b/>
          <w:smallCaps/>
          <w:noProof/>
          <w:color w:val="auto"/>
          <w:sz w:val="24"/>
        </w:rPr>
        <w:t>Cinci domenii favorizante pentru a pregăti calea către o Europă rezilientă în domeniul apei</w:t>
      </w:r>
    </w:p>
    <w:p w14:paraId="3084D5A6" w14:textId="2DA53C63" w:rsidR="00E36A23" w:rsidRPr="009F333A" w:rsidRDefault="008B4A35" w:rsidP="00ED14EB">
      <w:pPr>
        <w:spacing w:after="240" w:line="240" w:lineRule="auto"/>
        <w:jc w:val="both"/>
        <w:rPr>
          <w:rFonts w:ascii="Times New Roman" w:hAnsi="Times New Roman"/>
          <w:noProof/>
        </w:rPr>
      </w:pPr>
      <w:r>
        <w:rPr>
          <w:rFonts w:ascii="Times New Roman" w:hAnsi="Times New Roman"/>
          <w:noProof/>
        </w:rPr>
        <w:t>Pentru a atinge obiectivele prezentate în strategie, avem nevoie de o abordare la nivelul întregii societăți, printr-o cooperare consolidată între cetățeni, întreprinderi, societatea civilă și grupurile reprezentative pentru protecția naturii, precum și de administrații</w:t>
      </w:r>
      <w:r w:rsidRPr="002234C8">
        <w:rPr>
          <w:rFonts w:ascii="Times New Roman" w:hAnsi="Times New Roman"/>
          <w:b/>
          <w:noProof/>
        </w:rPr>
        <w:t xml:space="preserve"> </w:t>
      </w:r>
      <w:r>
        <w:rPr>
          <w:rFonts w:ascii="Times New Roman" w:hAnsi="Times New Roman"/>
          <w:noProof/>
        </w:rPr>
        <w:t>angajate care să lucreze la toate nivelurile și compartimentările politice, implicând toate părțile interesate. UE va sprijini acest demers prin acțiuni în cinci domenii.</w:t>
      </w:r>
    </w:p>
    <w:p w14:paraId="39A365FF" w14:textId="4C8CACE8" w:rsidR="00943602" w:rsidRPr="002234C8" w:rsidRDefault="003440AE" w:rsidP="00ED14EB">
      <w:pPr>
        <w:pStyle w:val="Heading2"/>
        <w:spacing w:after="240"/>
        <w:rPr>
          <w:rFonts w:ascii="Times New Roman" w:hAnsi="Times New Roman" w:cs="Times New Roman"/>
          <w:b/>
          <w:noProof/>
          <w:color w:val="000000" w:themeColor="text1"/>
          <w:sz w:val="24"/>
          <w:szCs w:val="24"/>
        </w:rPr>
      </w:pPr>
      <w:r w:rsidRPr="002234C8">
        <w:rPr>
          <w:rFonts w:ascii="Times New Roman" w:hAnsi="Times New Roman"/>
          <w:b/>
          <w:noProof/>
          <w:color w:val="000000" w:themeColor="text1"/>
          <w:sz w:val="24"/>
        </w:rPr>
        <w:t>3.1</w:t>
      </w:r>
      <w:r>
        <w:rPr>
          <w:noProof/>
        </w:rPr>
        <w:tab/>
      </w:r>
      <w:r w:rsidRPr="002234C8">
        <w:rPr>
          <w:rFonts w:ascii="Times New Roman" w:hAnsi="Times New Roman"/>
          <w:b/>
          <w:noProof/>
          <w:color w:val="000000" w:themeColor="text1"/>
          <w:sz w:val="24"/>
        </w:rPr>
        <w:t>Guvernanța și punerea în aplicare pentru a stimula schimbarea</w:t>
      </w:r>
    </w:p>
    <w:p w14:paraId="0DF75CC5" w14:textId="03C4E482" w:rsidR="00DD2EED" w:rsidRPr="009F333A" w:rsidRDefault="004A03DA" w:rsidP="00ED14EB">
      <w:pPr>
        <w:spacing w:after="240" w:line="240" w:lineRule="auto"/>
        <w:jc w:val="both"/>
        <w:rPr>
          <w:rFonts w:ascii="Times New Roman" w:hAnsi="Times New Roman" w:cs="Times New Roman"/>
          <w:noProof/>
        </w:rPr>
      </w:pPr>
      <w:r w:rsidRPr="002234C8">
        <w:rPr>
          <w:rFonts w:ascii="Times New Roman" w:hAnsi="Times New Roman"/>
          <w:b/>
          <w:noProof/>
        </w:rPr>
        <w:t>Realizarea rezilienței în domeniul apei va depinde de o mai bună punere în aplicare a acquis-ului cuprinzător al UE în domeniul apei</w:t>
      </w:r>
      <w:r>
        <w:rPr>
          <w:rFonts w:ascii="Times New Roman" w:hAnsi="Times New Roman"/>
          <w:noProof/>
        </w:rPr>
        <w:t>,</w:t>
      </w:r>
      <w:r w:rsidRPr="002234C8">
        <w:rPr>
          <w:rFonts w:ascii="Times New Roman" w:hAnsi="Times New Roman"/>
          <w:b/>
          <w:noProof/>
        </w:rPr>
        <w:t xml:space="preserve"> </w:t>
      </w:r>
      <w:r>
        <w:rPr>
          <w:rFonts w:ascii="Times New Roman" w:hAnsi="Times New Roman"/>
          <w:noProof/>
        </w:rPr>
        <w:t>precum și de sinergii mai puternice cu politicile din sectoare precum agricultura, industria, energia, transporturile și protecția consumatorilor. De zeci de ani, autoritățile de reglementare acționează pentru a proteja apa atât în politicile de mediu, cât și în cele de sănătate ale UE. Prin intermediul Pactului verde european, mai multe acte legislative esențiale au fost revizuite și modernizate, stimulând multe progrese. Cu toate acestea, după cum se arată într-un raport recent al Comisiei</w:t>
      </w:r>
      <w:r>
        <w:rPr>
          <w:rStyle w:val="FootnoteReference"/>
          <w:rFonts w:ascii="Times New Roman" w:eastAsia="Times New Roman" w:hAnsi="Times New Roman" w:cs="Times New Roman"/>
          <w:noProof/>
        </w:rPr>
        <w:footnoteReference w:id="53"/>
      </w:r>
      <w:r>
        <w:rPr>
          <w:rFonts w:ascii="Times New Roman" w:hAnsi="Times New Roman"/>
          <w:noProof/>
        </w:rPr>
        <w:t xml:space="preserve">, lacunele în ceea ce privește punerea în aplicare și finanțarea au împiedicat în mod considerabil realizarea obiectivelor legislației în domeniul apei. De exemplu, la elaborarea celui de al treilea plan de management al bazinelor hidrografice și a celui de al doilea plan de management al riscului de inundații, mai multe state membre nu au dat curs în mod corespunzător recomandărilor Comisiei emise în </w:t>
      </w:r>
      <w:r w:rsidRPr="002234C8">
        <w:rPr>
          <w:rFonts w:ascii="Times New Roman" w:hAnsi="Times New Roman"/>
          <w:noProof/>
        </w:rPr>
        <w:t>2019</w:t>
      </w:r>
      <w:r>
        <w:rPr>
          <w:rFonts w:ascii="Times New Roman" w:hAnsi="Times New Roman"/>
          <w:noProof/>
        </w:rPr>
        <w:t xml:space="preserve"> și nu au instituit încă registre, controale și, după caz, sancțiuni adecvate pentru a evita captările excesive.</w:t>
      </w:r>
    </w:p>
    <w:p w14:paraId="21427B70" w14:textId="61FFC543" w:rsidR="007D7C0E" w:rsidRPr="009F333A" w:rsidRDefault="60BFAB94" w:rsidP="00ED14EB">
      <w:pPr>
        <w:spacing w:after="240" w:line="240" w:lineRule="auto"/>
        <w:jc w:val="both"/>
        <w:rPr>
          <w:rStyle w:val="normaltextrun"/>
          <w:rFonts w:ascii="Times New Roman" w:eastAsia="Calibri" w:hAnsi="Times New Roman" w:cs="Times New Roman"/>
          <w:noProof/>
        </w:rPr>
      </w:pPr>
      <w:r w:rsidRPr="002234C8">
        <w:rPr>
          <w:rFonts w:ascii="Times New Roman" w:hAnsi="Times New Roman"/>
          <w:b/>
          <w:noProof/>
        </w:rPr>
        <w:t xml:space="preserve">Pe baza constatărilor celei mai recente evaluări a planurilor naționale și </w:t>
      </w:r>
      <w:r w:rsidRPr="002234C8">
        <w:rPr>
          <w:rFonts w:ascii="Times New Roman" w:hAnsi="Times New Roman"/>
          <w:b/>
          <w:noProof/>
          <w:color w:val="242424"/>
        </w:rPr>
        <w:t>a recomandărilor sale specifice fiecărei țări și la nivelul UE</w:t>
      </w:r>
      <w:r w:rsidRPr="002234C8">
        <w:rPr>
          <w:rFonts w:ascii="Times New Roman" w:hAnsi="Times New Roman"/>
          <w:b/>
          <w:noProof/>
        </w:rPr>
        <w:t>, Comisia va intensifica asigurarea respectării legislației</w:t>
      </w:r>
      <w:r w:rsidRPr="002234C8">
        <w:rPr>
          <w:rFonts w:ascii="Times New Roman" w:hAnsi="Times New Roman"/>
          <w:b/>
          <w:noProof/>
          <w:color w:val="242424"/>
        </w:rPr>
        <w:t xml:space="preserve">. </w:t>
      </w:r>
      <w:r>
        <w:rPr>
          <w:rFonts w:ascii="Times New Roman" w:hAnsi="Times New Roman"/>
          <w:noProof/>
          <w:color w:val="242424"/>
        </w:rPr>
        <w:t xml:space="preserve">Comisia va </w:t>
      </w:r>
      <w:r>
        <w:rPr>
          <w:rFonts w:ascii="Times New Roman" w:hAnsi="Times New Roman"/>
          <w:noProof/>
        </w:rPr>
        <w:t xml:space="preserve">lansa dialoguri structurate cu statele membre pentru a colabora în vederea unei puneri în aplicare consolidate a acquis-ului extins al UE în domeniul apei. </w:t>
      </w:r>
      <w:r>
        <w:rPr>
          <w:rStyle w:val="normaltextrun"/>
          <w:rFonts w:ascii="Times New Roman" w:hAnsi="Times New Roman"/>
          <w:noProof/>
        </w:rPr>
        <w:t>Instrumentul de sprijin tehnic poate ajuta statele membre să abordeze provocările legate de apă, inclusiv cele identificate în cadrul semestrului european.</w:t>
      </w:r>
    </w:p>
    <w:p w14:paraId="261D9DCB" w14:textId="1641E9DE" w:rsidR="00ED14EB" w:rsidRDefault="15C420B0" w:rsidP="00ED14EB">
      <w:pPr>
        <w:spacing w:after="240" w:line="240" w:lineRule="auto"/>
        <w:jc w:val="both"/>
        <w:rPr>
          <w:rFonts w:ascii="Times New Roman" w:eastAsia="Times New Roman" w:hAnsi="Times New Roman" w:cs="Times New Roman"/>
          <w:noProof/>
        </w:rPr>
      </w:pPr>
      <w:r w:rsidRPr="002234C8">
        <w:rPr>
          <w:rFonts w:ascii="Times New Roman" w:hAnsi="Times New Roman"/>
          <w:b/>
          <w:noProof/>
        </w:rPr>
        <w:t>Simplificarea normelor UE în domeniul apei poate aduce o contribuție importantă la punerea lor în aplicare</w:t>
      </w:r>
      <w:r>
        <w:rPr>
          <w:rFonts w:ascii="Times New Roman" w:hAnsi="Times New Roman"/>
          <w:noProof/>
        </w:rPr>
        <w:t xml:space="preserve">. Comisia evaluează periodic principalele acte legislative, cum ar fi Directiva privind nitrații, aflată în prezent în curs de evaluare. În plus, Comisia urmărește să simplifice și să sporească eficiența raportării electronice în temeiul Directivei-cadru privind apa, pe baza unui studiu în derulare. Revizuirea Directivei-cadru „Strategia pentru mediul marin” va duce, de asemenea, la o simplificare semnificativă. </w:t>
      </w:r>
      <w:bookmarkStart w:id="5" w:name="_Hlk199365638"/>
      <w:r>
        <w:rPr>
          <w:rFonts w:ascii="Times New Roman" w:hAnsi="Times New Roman"/>
          <w:noProof/>
        </w:rPr>
        <w:t>În contextul punerii în aplicare a sistemului de răspundere extinsă a producătorilor menționat la articolul </w:t>
      </w:r>
      <w:r w:rsidRPr="002234C8">
        <w:rPr>
          <w:rFonts w:ascii="Times New Roman" w:hAnsi="Times New Roman"/>
          <w:noProof/>
        </w:rPr>
        <w:t>9</w:t>
      </w:r>
      <w:r>
        <w:rPr>
          <w:rFonts w:ascii="Times New Roman" w:hAnsi="Times New Roman"/>
          <w:noProof/>
        </w:rPr>
        <w:t xml:space="preserve"> din Directiva (UE) </w:t>
      </w:r>
      <w:r w:rsidRPr="002234C8">
        <w:rPr>
          <w:rFonts w:ascii="Times New Roman" w:hAnsi="Times New Roman"/>
          <w:noProof/>
        </w:rPr>
        <w:t>2024</w:t>
      </w:r>
      <w:r>
        <w:rPr>
          <w:rFonts w:ascii="Times New Roman" w:hAnsi="Times New Roman"/>
          <w:noProof/>
        </w:rPr>
        <w:t>/</w:t>
      </w:r>
      <w:r w:rsidRPr="002234C8">
        <w:rPr>
          <w:rFonts w:ascii="Times New Roman" w:hAnsi="Times New Roman"/>
          <w:noProof/>
        </w:rPr>
        <w:t>3019</w:t>
      </w:r>
      <w:r>
        <w:rPr>
          <w:rFonts w:ascii="Times New Roman" w:hAnsi="Times New Roman"/>
          <w:noProof/>
        </w:rPr>
        <w:t xml:space="preserve"> privind epurarea apelor uzate urbane, Comisia va efectua un studiu actualizat al costurilor și al impactului potențial al acestuia asupra sectoarelor vizate. În plus, Comisia va continua să sprijine statele membre în conceperea pragmatică a sistemelor naționale, cu scopul de a evita consecințele neașteptate sau nedorite, mai ales în ceea ce privește disponibilitatea și accesibilitatea medicamentelor</w:t>
      </w:r>
      <w:r>
        <w:rPr>
          <w:rStyle w:val="FootnoteReference"/>
          <w:rFonts w:ascii="Times New Roman" w:eastAsia="Calibri" w:hAnsi="Times New Roman" w:cs="Times New Roman"/>
          <w:noProof/>
        </w:rPr>
        <w:footnoteReference w:id="54"/>
      </w:r>
      <w:bookmarkEnd w:id="5"/>
      <w:r>
        <w:rPr>
          <w:rFonts w:ascii="Times New Roman" w:hAnsi="Times New Roman"/>
          <w:noProof/>
        </w:rPr>
        <w:t>.</w:t>
      </w:r>
    </w:p>
    <w:p w14:paraId="08CBF7A9" w14:textId="69378ED6" w:rsidR="00B35612" w:rsidRDefault="00B35612" w:rsidP="00B35612">
      <w:pPr>
        <w:spacing w:after="0" w:line="240" w:lineRule="auto"/>
        <w:jc w:val="both"/>
        <w:rPr>
          <w:rFonts w:ascii="Times New Roman" w:eastAsia="Times New Roman" w:hAnsi="Times New Roman" w:cs="Times New Roman"/>
          <w:noProof/>
        </w:rPr>
      </w:pPr>
      <w:r w:rsidRPr="002234C8">
        <w:rPr>
          <w:rStyle w:val="normaltextrun"/>
          <w:rFonts w:ascii="Times New Roman" w:hAnsi="Times New Roman"/>
          <w:b/>
          <w:noProof/>
        </w:rPr>
        <w:t>Planificarea spațială inteligentă din punctul de vedere al apei trebuie să ghideze o implementare durabilă a tranziției verzi și a celei digitale.</w:t>
      </w:r>
      <w:r>
        <w:rPr>
          <w:rStyle w:val="normaltextrun"/>
          <w:rFonts w:ascii="Times New Roman" w:hAnsi="Times New Roman"/>
          <w:noProof/>
        </w:rPr>
        <w:t xml:space="preserve"> Comisia va </w:t>
      </w:r>
      <w:r>
        <w:rPr>
          <w:rFonts w:ascii="Times New Roman" w:hAnsi="Times New Roman"/>
          <w:noProof/>
        </w:rPr>
        <w:t xml:space="preserve">consolida instrumentele de vizualizare existente care reunesc date de mediu cu date referitoare la rețelele de apă și energie.  Scopul este de a fundamenta deciziile statelor membre de amenajare a teritoriului, ajutându-le să identifice cele mai bune zone pentru înființarea de activități comerciale cu utilizare intensivă a apei și, în același timp, să atragă investitori pentru a realiza refacerea naturii și modernizarea rețelelor de alimentare cu apă pentru a sprijini aceste întreprinderi. </w:t>
      </w:r>
    </w:p>
    <w:p w14:paraId="13E8B1B0" w14:textId="77777777" w:rsidR="00B35612" w:rsidRPr="006E5C14" w:rsidRDefault="00B35612" w:rsidP="00B35612">
      <w:pPr>
        <w:spacing w:after="0" w:line="240" w:lineRule="auto"/>
        <w:jc w:val="both"/>
        <w:rPr>
          <w:rStyle w:val="normaltextrun"/>
          <w:rFonts w:ascii="Times New Roman" w:eastAsia="Calibri" w:hAnsi="Times New Roman" w:cs="Times New Roman"/>
          <w:noProof/>
        </w:rPr>
      </w:pPr>
    </w:p>
    <w:p w14:paraId="0D817060" w14:textId="136F90CB" w:rsidR="49A1E820" w:rsidRPr="00C62AE0" w:rsidRDefault="672E393D"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Cooperarea transfrontalieră trebuie îmbunătățită în continuare. </w:t>
      </w:r>
      <w:r>
        <w:rPr>
          <w:rFonts w:ascii="Times New Roman" w:hAnsi="Times New Roman"/>
          <w:noProof/>
        </w:rPr>
        <w:t xml:space="preserve">Europa are </w:t>
      </w:r>
      <w:r w:rsidRPr="002234C8">
        <w:rPr>
          <w:rFonts w:ascii="Times New Roman" w:hAnsi="Times New Roman"/>
          <w:noProof/>
        </w:rPr>
        <w:t>75</w:t>
      </w:r>
      <w:r>
        <w:rPr>
          <w:rFonts w:ascii="Times New Roman" w:hAnsi="Times New Roman"/>
          <w:noProof/>
        </w:rPr>
        <w:t xml:space="preserve"> de bazine hidrografice transfrontaliere. Deși Directiva-cadru privind apa impune în mod explicit statelor membre să asigure o punere în aplicare coordonată pentru bazinele hidrografice internaționale, există posibilitatea unei evaluări mai armonizate a stării corpurilor de apă, a unei mai bune coerențe între măsurile luate de țările din amonte și din aval, inclusiv cu țările riverane partenere din afara UE, precum și a unei atenții sporite acordate gestionării cantităților de apă. Comisia va sprijini inițiativele </w:t>
      </w:r>
      <w:r w:rsidRPr="007D3D7E">
        <w:rPr>
          <w:rFonts w:ascii="Times New Roman" w:hAnsi="Times New Roman"/>
          <w:i/>
          <w:noProof/>
        </w:rPr>
        <w:t>inter pares</w:t>
      </w:r>
      <w:r>
        <w:rPr>
          <w:rFonts w:ascii="Times New Roman" w:hAnsi="Times New Roman"/>
          <w:noProof/>
        </w:rPr>
        <w:t xml:space="preserve">, pentru a încuraja cooperarea dintre organizațiile, regiunile și orașele din bazinele hidrografice și maritime, prin intermediul programelor și inițiativelor UE, cum ar fi Orizont Europa, Parteneriatul tematic pentru Agenda urbană a Uniunii Europene (UAUE) pentru „Orașe responsabile în domeniul apei”, și </w:t>
      </w:r>
      <w:bookmarkStart w:id="6" w:name="_Hlk197608541"/>
      <w:r>
        <w:rPr>
          <w:rFonts w:ascii="Times New Roman" w:hAnsi="Times New Roman"/>
          <w:noProof/>
        </w:rPr>
        <w:t>Comunitatea de bune practici „Coeziune pentru tranziții”</w:t>
      </w:r>
      <w:r>
        <w:rPr>
          <w:rStyle w:val="FootnoteReference"/>
          <w:rFonts w:ascii="Times New Roman" w:hAnsi="Times New Roman" w:cs="Times New Roman"/>
          <w:noProof/>
        </w:rPr>
        <w:footnoteReference w:id="55"/>
      </w:r>
      <w:bookmarkEnd w:id="6"/>
      <w:r>
        <w:rPr>
          <w:rFonts w:ascii="Times New Roman" w:hAnsi="Times New Roman"/>
          <w:noProof/>
        </w:rPr>
        <w:t>. Acest lucru va asigura implicarea importantă a nivelurilor regional și local, după cum o demonstrează inițiativele din cadrul programelor Interreg.</w:t>
      </w:r>
    </w:p>
    <w:tbl>
      <w:tblPr>
        <w:tblStyle w:val="TableGrid"/>
        <w:tblW w:w="9016" w:type="dxa"/>
        <w:tblLook w:val="04A0" w:firstRow="1" w:lastRow="0" w:firstColumn="1" w:lastColumn="0" w:noHBand="0" w:noVBand="1"/>
      </w:tblPr>
      <w:tblGrid>
        <w:gridCol w:w="7170"/>
        <w:gridCol w:w="1846"/>
      </w:tblGrid>
      <w:tr w:rsidR="3C378456" w:rsidRPr="009F333A" w14:paraId="6ADF027F" w14:textId="77777777" w:rsidTr="4251B09A">
        <w:trPr>
          <w:trHeight w:val="300"/>
        </w:trPr>
        <w:tc>
          <w:tcPr>
            <w:tcW w:w="7170" w:type="dxa"/>
            <w:shd w:val="clear" w:color="auto" w:fill="A5C9EB" w:themeFill="text2" w:themeFillTint="40"/>
          </w:tcPr>
          <w:p w14:paraId="3BEB04FB" w14:textId="4CFBF874" w:rsidR="2A2EF8A8" w:rsidRPr="009F333A" w:rsidRDefault="3C378456" w:rsidP="3C378456">
            <w:pPr>
              <w:pStyle w:val="paragraph"/>
              <w:spacing w:before="0" w:beforeAutospacing="0" w:after="0" w:afterAutospacing="0"/>
              <w:jc w:val="center"/>
              <w:rPr>
                <w:b/>
                <w:bCs/>
                <w:noProof/>
                <w:sz w:val="24"/>
                <w:szCs w:val="24"/>
              </w:rPr>
            </w:pPr>
            <w:r w:rsidRPr="002234C8">
              <w:rPr>
                <w:b/>
                <w:noProof/>
                <w:sz w:val="24"/>
              </w:rPr>
              <w:t>Acțiuni emblematice – Guvernanța și punerea în aplicare pentru stimularea schimbării</w:t>
            </w:r>
          </w:p>
        </w:tc>
        <w:tc>
          <w:tcPr>
            <w:tcW w:w="1846" w:type="dxa"/>
            <w:shd w:val="clear" w:color="auto" w:fill="A5C9EB" w:themeFill="text2" w:themeFillTint="40"/>
          </w:tcPr>
          <w:p w14:paraId="78ADB0BA" w14:textId="768A7A48" w:rsidR="3C378456" w:rsidRPr="002234C8" w:rsidRDefault="3C378456" w:rsidP="3C378456">
            <w:pPr>
              <w:pStyle w:val="paragraph"/>
              <w:spacing w:before="0" w:beforeAutospacing="0" w:after="0" w:afterAutospacing="0"/>
              <w:jc w:val="center"/>
              <w:rPr>
                <w:rFonts w:eastAsia="Calibri"/>
                <w:b/>
                <w:bCs/>
                <w:noProof/>
                <w:sz w:val="24"/>
                <w:szCs w:val="24"/>
              </w:rPr>
            </w:pPr>
            <w:r w:rsidRPr="002234C8">
              <w:rPr>
                <w:b/>
                <w:noProof/>
                <w:sz w:val="24"/>
              </w:rPr>
              <w:t>Calendar</w:t>
            </w:r>
          </w:p>
        </w:tc>
      </w:tr>
      <w:tr w:rsidR="3C378456" w:rsidRPr="009F333A" w14:paraId="261128DC" w14:textId="77777777" w:rsidTr="4251B09A">
        <w:trPr>
          <w:trHeight w:val="300"/>
        </w:trPr>
        <w:tc>
          <w:tcPr>
            <w:tcW w:w="7170" w:type="dxa"/>
          </w:tcPr>
          <w:p w14:paraId="6B0B55A2" w14:textId="4287E4DD" w:rsidR="3F1985D0" w:rsidRPr="009F333A" w:rsidDel="3F1985D0" w:rsidRDefault="00426AD2" w:rsidP="3F1985D0">
            <w:pPr>
              <w:jc w:val="both"/>
              <w:rPr>
                <w:rFonts w:ascii="Times New Roman" w:eastAsia="Times New Roman" w:hAnsi="Times New Roman" w:cs="Times New Roman"/>
                <w:noProof/>
                <w:sz w:val="24"/>
                <w:szCs w:val="24"/>
              </w:rPr>
            </w:pPr>
            <w:r>
              <w:rPr>
                <w:rFonts w:ascii="Times New Roman" w:hAnsi="Times New Roman"/>
                <w:noProof/>
                <w:sz w:val="24"/>
              </w:rPr>
              <w:t>Intensificarea măsurilor de asigurare a respectării legislației și lansarea de dialoguri structurate cu toate statele membre pentru a accelera și a intensifica punerea în aplicare a acquis-ului UE în domeniul apei, pe baza priorităților-cheie în materie de asigurare a respectării legislației care decurg din cea mai recentă evaluare a planurilor de management al bazinelor hidrografice și al riscului de inundații.</w:t>
            </w:r>
          </w:p>
        </w:tc>
        <w:tc>
          <w:tcPr>
            <w:tcW w:w="1846" w:type="dxa"/>
          </w:tcPr>
          <w:p w14:paraId="6CF12367" w14:textId="238FFE92" w:rsidR="3C378456" w:rsidRPr="009F333A" w:rsidRDefault="563F8609" w:rsidP="3C378456">
            <w:pPr>
              <w:pStyle w:val="paragraph"/>
              <w:spacing w:before="0" w:beforeAutospacing="0" w:after="0" w:afterAutospacing="0"/>
              <w:jc w:val="center"/>
              <w:rPr>
                <w:rFonts w:eastAsia="Calibri"/>
                <w:noProof/>
                <w:sz w:val="24"/>
                <w:szCs w:val="24"/>
              </w:rPr>
            </w:pPr>
            <w:r w:rsidRPr="002234C8">
              <w:rPr>
                <w:noProof/>
                <w:sz w:val="24"/>
              </w:rPr>
              <w:t>2025</w:t>
            </w:r>
            <w:r>
              <w:rPr>
                <w:noProof/>
                <w:sz w:val="24"/>
              </w:rPr>
              <w:t>-</w:t>
            </w:r>
            <w:r w:rsidRPr="002234C8">
              <w:rPr>
                <w:noProof/>
                <w:sz w:val="24"/>
              </w:rPr>
              <w:t>2026</w:t>
            </w:r>
          </w:p>
        </w:tc>
      </w:tr>
      <w:tr w:rsidR="3C378456" w:rsidRPr="009F333A" w14:paraId="41D5F64A" w14:textId="77777777" w:rsidTr="4251B09A">
        <w:trPr>
          <w:trHeight w:val="300"/>
        </w:trPr>
        <w:tc>
          <w:tcPr>
            <w:tcW w:w="7170" w:type="dxa"/>
          </w:tcPr>
          <w:p w14:paraId="47B8A6DC" w14:textId="42813730" w:rsidR="119F391C" w:rsidRPr="009F333A" w:rsidRDefault="008E54BE" w:rsidP="00905E09">
            <w:pPr>
              <w:jc w:val="both"/>
              <w:rPr>
                <w:rFonts w:ascii="Times New Roman" w:hAnsi="Times New Roman" w:cs="Times New Roman"/>
                <w:noProof/>
                <w:sz w:val="24"/>
                <w:szCs w:val="24"/>
              </w:rPr>
            </w:pPr>
            <w:r>
              <w:rPr>
                <w:rFonts w:ascii="Times New Roman" w:hAnsi="Times New Roman"/>
                <w:noProof/>
                <w:sz w:val="24"/>
              </w:rPr>
              <w:t>În cadrul Comunității de bune practici „Coeziune pentru tranziții”, organizarea unei cooperări periodice cu regiunile, orașele și autoritățile din domeniul apei, pentru a promova schimbul de bune practici privind „peisajele-burete”, precum și cooperarea transfrontalieră în domeniul apei, identificate în cadrul Interreg.</w:t>
            </w:r>
          </w:p>
        </w:tc>
        <w:tc>
          <w:tcPr>
            <w:tcW w:w="1846" w:type="dxa"/>
          </w:tcPr>
          <w:p w14:paraId="14A51A8E" w14:textId="149718F0" w:rsidR="3C378456" w:rsidRPr="009F333A" w:rsidRDefault="001F40B8" w:rsidP="004F5F6B">
            <w:pPr>
              <w:jc w:val="center"/>
              <w:rPr>
                <w:noProof/>
                <w:sz w:val="24"/>
                <w:szCs w:val="24"/>
              </w:rPr>
            </w:pPr>
            <w:r w:rsidRPr="002234C8">
              <w:rPr>
                <w:rFonts w:ascii="Times New Roman" w:hAnsi="Times New Roman"/>
                <w:noProof/>
                <w:sz w:val="24"/>
              </w:rPr>
              <w:t>2025</w:t>
            </w:r>
            <w:r>
              <w:rPr>
                <w:rFonts w:ascii="Times New Roman" w:hAnsi="Times New Roman"/>
                <w:noProof/>
                <w:sz w:val="24"/>
              </w:rPr>
              <w:t>-</w:t>
            </w:r>
            <w:r w:rsidRPr="002234C8">
              <w:rPr>
                <w:rFonts w:ascii="Times New Roman" w:hAnsi="Times New Roman"/>
                <w:noProof/>
                <w:sz w:val="24"/>
              </w:rPr>
              <w:t>2027</w:t>
            </w:r>
          </w:p>
        </w:tc>
      </w:tr>
      <w:tr w:rsidR="00367DDA" w:rsidRPr="0060399D" w14:paraId="483A0C94" w14:textId="77777777" w:rsidTr="4251B09A">
        <w:trPr>
          <w:trHeight w:val="300"/>
        </w:trPr>
        <w:tc>
          <w:tcPr>
            <w:tcW w:w="7170" w:type="dxa"/>
          </w:tcPr>
          <w:p w14:paraId="0217AA17" w14:textId="407163B7" w:rsidR="00367DDA" w:rsidRPr="0060399D" w:rsidRDefault="00367DDA" w:rsidP="00D57C4B">
            <w:pPr>
              <w:jc w:val="both"/>
              <w:rPr>
                <w:rFonts w:ascii="Times New Roman" w:hAnsi="Times New Roman" w:cs="Times New Roman"/>
                <w:noProof/>
                <w:sz w:val="24"/>
                <w:szCs w:val="24"/>
              </w:rPr>
            </w:pPr>
            <w:r>
              <w:rPr>
                <w:rFonts w:ascii="Times New Roman" w:hAnsi="Times New Roman"/>
                <w:noProof/>
                <w:sz w:val="24"/>
              </w:rPr>
              <w:t>Lansarea unui vizualizator care integrează date de mediu cu date referitoare la rețelele de apă și de energie pentru a sprijini statele membre în eforturile lor de amenajare a teritoriului în vederea identificării celor mai bune zone pentru localizarea avantajoasă pentru toate părțile a operațiunilor comerciale cu utilizare intensivă a apei.</w:t>
            </w:r>
          </w:p>
        </w:tc>
        <w:tc>
          <w:tcPr>
            <w:tcW w:w="1846" w:type="dxa"/>
          </w:tcPr>
          <w:p w14:paraId="60E4E535" w14:textId="0DC13389" w:rsidR="00367DDA" w:rsidRPr="0060399D" w:rsidRDefault="500ABE51" w:rsidP="00A9342C">
            <w:pPr>
              <w:jc w:val="center"/>
              <w:rPr>
                <w:rFonts w:ascii="Times New Roman" w:hAnsi="Times New Roman" w:cs="Times New Roman"/>
                <w:noProof/>
                <w:sz w:val="24"/>
                <w:szCs w:val="24"/>
              </w:rPr>
            </w:pPr>
            <w:r w:rsidRPr="002234C8">
              <w:rPr>
                <w:rFonts w:ascii="Times New Roman" w:hAnsi="Times New Roman"/>
                <w:noProof/>
                <w:sz w:val="24"/>
              </w:rPr>
              <w:t>2027</w:t>
            </w:r>
          </w:p>
        </w:tc>
      </w:tr>
    </w:tbl>
    <w:p w14:paraId="2387E912" w14:textId="77777777" w:rsidR="00C62AE0" w:rsidRPr="002234C8" w:rsidRDefault="00C62AE0" w:rsidP="00C62AE0">
      <w:pPr>
        <w:pStyle w:val="Heading2"/>
        <w:spacing w:before="0"/>
        <w:rPr>
          <w:rFonts w:ascii="Times New Roman" w:hAnsi="Times New Roman" w:cs="Times New Roman"/>
          <w:b/>
          <w:noProof/>
          <w:color w:val="000000" w:themeColor="text1"/>
          <w:sz w:val="24"/>
          <w:szCs w:val="24"/>
        </w:rPr>
      </w:pPr>
    </w:p>
    <w:p w14:paraId="6E522A54" w14:textId="3EF3A183" w:rsidR="00EF6F10" w:rsidRPr="002234C8" w:rsidRDefault="003440AE" w:rsidP="00C62AE0">
      <w:pPr>
        <w:pStyle w:val="Heading2"/>
        <w:spacing w:after="240"/>
        <w:rPr>
          <w:rFonts w:ascii="Times New Roman" w:hAnsi="Times New Roman" w:cs="Times New Roman"/>
          <w:b/>
          <w:noProof/>
          <w:color w:val="000000" w:themeColor="text1"/>
          <w:sz w:val="24"/>
          <w:szCs w:val="24"/>
        </w:rPr>
      </w:pPr>
      <w:r w:rsidRPr="002234C8">
        <w:rPr>
          <w:rFonts w:ascii="Times New Roman" w:hAnsi="Times New Roman"/>
          <w:b/>
          <w:noProof/>
          <w:color w:val="000000" w:themeColor="text1"/>
          <w:sz w:val="24"/>
        </w:rPr>
        <w:t>3.2</w:t>
      </w:r>
      <w:r>
        <w:rPr>
          <w:noProof/>
        </w:rPr>
        <w:tab/>
      </w:r>
      <w:r w:rsidRPr="002234C8">
        <w:rPr>
          <w:rFonts w:ascii="Times New Roman" w:hAnsi="Times New Roman"/>
          <w:b/>
          <w:noProof/>
          <w:color w:val="000000" w:themeColor="text1"/>
          <w:sz w:val="24"/>
        </w:rPr>
        <w:t>Finanțare, investiții și infrastructură pentru asigurarea unei aprovizionări stabile</w:t>
      </w:r>
    </w:p>
    <w:p w14:paraId="596C272C" w14:textId="5656C1DD" w:rsidR="00943602" w:rsidRPr="00C62AE0" w:rsidRDefault="60BFAB94"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Fără investiții publice și private suplimentare semnificative în toate etapele gestionării apei, progresele în direcția rezilienței în domeniul apei vor fi prea lente sau nu vor avea un impact major.</w:t>
      </w:r>
      <w:r>
        <w:rPr>
          <w:rFonts w:ascii="Times New Roman" w:hAnsi="Times New Roman"/>
          <w:noProof/>
        </w:rPr>
        <w:t xml:space="preserve"> Investițiile anuale actuale de capital pentru măsurile în domeniul apei (realizate de UE, BEI și din bugetele naționale) se ridică la aproximativ </w:t>
      </w:r>
      <w:r w:rsidRPr="002234C8">
        <w:rPr>
          <w:rFonts w:ascii="Times New Roman" w:hAnsi="Times New Roman"/>
          <w:noProof/>
        </w:rPr>
        <w:t>55</w:t>
      </w:r>
      <w:r>
        <w:rPr>
          <w:rFonts w:ascii="Times New Roman" w:hAnsi="Times New Roman"/>
          <w:noProof/>
        </w:rPr>
        <w:t xml:space="preserve"> de miliarde EUR (la prețurile din </w:t>
      </w:r>
      <w:r w:rsidRPr="002234C8">
        <w:rPr>
          <w:rFonts w:ascii="Times New Roman" w:hAnsi="Times New Roman"/>
          <w:noProof/>
        </w:rPr>
        <w:t>2022</w:t>
      </w:r>
      <w:r>
        <w:rPr>
          <w:rFonts w:ascii="Times New Roman" w:hAnsi="Times New Roman"/>
          <w:noProof/>
        </w:rPr>
        <w:t xml:space="preserve">), ceea ce sugerează un deficit anual de investiții de aproximativ </w:t>
      </w:r>
      <w:r w:rsidRPr="002234C8">
        <w:rPr>
          <w:rFonts w:ascii="Times New Roman" w:hAnsi="Times New Roman"/>
          <w:noProof/>
        </w:rPr>
        <w:t>23</w:t>
      </w:r>
      <w:r w:rsidR="002234C8">
        <w:rPr>
          <w:rFonts w:ascii="Times New Roman" w:hAnsi="Times New Roman"/>
          <w:noProof/>
        </w:rPr>
        <w:t> </w:t>
      </w:r>
      <w:r>
        <w:rPr>
          <w:rFonts w:ascii="Times New Roman" w:hAnsi="Times New Roman"/>
          <w:noProof/>
        </w:rPr>
        <w:t>de</w:t>
      </w:r>
      <w:r w:rsidR="002234C8">
        <w:rPr>
          <w:rFonts w:ascii="Times New Roman" w:hAnsi="Times New Roman"/>
          <w:noProof/>
        </w:rPr>
        <w:t> </w:t>
      </w:r>
      <w:r>
        <w:rPr>
          <w:rFonts w:ascii="Times New Roman" w:hAnsi="Times New Roman"/>
          <w:noProof/>
        </w:rPr>
        <w:t>miliarde EUR pe an (</w:t>
      </w:r>
      <w:r w:rsidRPr="002234C8">
        <w:rPr>
          <w:rFonts w:ascii="Times New Roman" w:hAnsi="Times New Roman"/>
          <w:noProof/>
        </w:rPr>
        <w:t>0</w:t>
      </w:r>
      <w:r>
        <w:rPr>
          <w:rFonts w:ascii="Times New Roman" w:hAnsi="Times New Roman"/>
          <w:noProof/>
        </w:rPr>
        <w:t>,</w:t>
      </w:r>
      <w:r w:rsidRPr="002234C8">
        <w:rPr>
          <w:rFonts w:ascii="Times New Roman" w:hAnsi="Times New Roman"/>
          <w:noProof/>
        </w:rPr>
        <w:t>1</w:t>
      </w:r>
      <w:r>
        <w:rPr>
          <w:rFonts w:ascii="Times New Roman" w:hAnsi="Times New Roman"/>
          <w:noProof/>
        </w:rPr>
        <w:t> % din PIB-ul UE) pentru punerea în aplicare a legislației existente în domeniul apei</w:t>
      </w:r>
      <w:r>
        <w:rPr>
          <w:rStyle w:val="FootnoteReference"/>
          <w:rFonts w:ascii="Times New Roman" w:eastAsia="Times New Roman" w:hAnsi="Times New Roman" w:cs="Times New Roman"/>
          <w:noProof/>
        </w:rPr>
        <w:footnoteReference w:id="56"/>
      </w:r>
      <w:r>
        <w:rPr>
          <w:rFonts w:ascii="Times New Roman" w:hAnsi="Times New Roman"/>
          <w:noProof/>
        </w:rPr>
        <w:t>. Aceasta include investiții pentru transformarea apei de ploaie în apă „verde” (stocată în ecosisteme terestre) prin soluții bazate pe natură și a apei „gri” (utilizată în așezări urbane sau în procese industriale) în apă „albastră” (râuri și mări) pentru a o face din nou compatibilă cu natura. Investițiile trebuie să acopere toate etapele gestionării apei și să fie planificate în mod integrat, ținând seama de viitoarele scenarii climatice și de evaluarea riscurilor rezultate</w:t>
      </w:r>
      <w:r w:rsidRPr="002234C8">
        <w:rPr>
          <w:rFonts w:ascii="Times New Roman" w:hAnsi="Times New Roman"/>
          <w:b/>
          <w:noProof/>
        </w:rPr>
        <w:t xml:space="preserve">. </w:t>
      </w:r>
      <w:r>
        <w:rPr>
          <w:rFonts w:ascii="Times New Roman" w:hAnsi="Times New Roman"/>
          <w:noProof/>
        </w:rPr>
        <w:t>De asemenea, investițiile trebuie să sprijine noile tehnologii din domeniul apei. De exemplu, statele membre pot utiliza stimulentele prevăzute în platforma BlueInvest în sectoarele albastre și dezvoltarea tehnologiilor critice legate de apă care îndeplinesc cerințele platformei „Tehnologii strategice pentru Europa” (STEP). În același timp, statele membre trebuie să evite subvențiile care, ca efect secundar, pot dăuna mediului sau pot duce la o utilizare ineficientă a apei.</w:t>
      </w:r>
    </w:p>
    <w:p w14:paraId="783E0400" w14:textId="5FD72A29" w:rsidR="00943602" w:rsidRPr="00C62AE0" w:rsidRDefault="00DB6C0E" w:rsidP="00C62AE0">
      <w:pPr>
        <w:spacing w:after="240" w:line="240" w:lineRule="auto"/>
        <w:jc w:val="both"/>
        <w:rPr>
          <w:rFonts w:ascii="Times New Roman" w:eastAsia="Calibri" w:hAnsi="Times New Roman" w:cs="Times New Roman"/>
          <w:noProof/>
        </w:rPr>
      </w:pPr>
      <w:r w:rsidRPr="002234C8">
        <w:rPr>
          <w:rFonts w:ascii="Times New Roman" w:hAnsi="Times New Roman"/>
          <w:b/>
          <w:noProof/>
        </w:rPr>
        <w:t>În recenta evaluare la jumătatea perioadei a politicii de coeziune, Comisia a propus un pachet excepțional de măsuri pentru a încuraja statele membre și regiunile să investească în reziliența în domeniul apei</w:t>
      </w:r>
      <w:r>
        <w:rPr>
          <w:rFonts w:ascii="Times New Roman" w:hAnsi="Times New Roman"/>
          <w:noProof/>
        </w:rPr>
        <w:t xml:space="preserve">. Acest pachet include până la </w:t>
      </w:r>
      <w:r w:rsidRPr="002234C8">
        <w:rPr>
          <w:rFonts w:ascii="Times New Roman" w:hAnsi="Times New Roman"/>
          <w:noProof/>
        </w:rPr>
        <w:t>100</w:t>
      </w:r>
      <w:r>
        <w:rPr>
          <w:rFonts w:ascii="Times New Roman" w:hAnsi="Times New Roman"/>
          <w:noProof/>
        </w:rPr>
        <w:t xml:space="preserve"> % din finanțarea UE și </w:t>
      </w:r>
      <w:r w:rsidRPr="002234C8">
        <w:rPr>
          <w:rFonts w:ascii="Times New Roman" w:hAnsi="Times New Roman"/>
          <w:noProof/>
        </w:rPr>
        <w:t>30</w:t>
      </w:r>
      <w:r>
        <w:rPr>
          <w:rFonts w:ascii="Times New Roman" w:hAnsi="Times New Roman"/>
          <w:noProof/>
        </w:rPr>
        <w:t> % din prefinanțarea investițiilor în reziliența în domeniul apei</w:t>
      </w:r>
      <w:r>
        <w:rPr>
          <w:noProof/>
        </w:rPr>
        <w:t xml:space="preserve"> </w:t>
      </w:r>
      <w:r>
        <w:rPr>
          <w:rFonts w:ascii="Times New Roman" w:hAnsi="Times New Roman"/>
          <w:noProof/>
        </w:rPr>
        <w:t xml:space="preserve">programate în cadrul priorității specifice pentru acest nou obiectiv specific, precum și diverse flexibilități. </w:t>
      </w:r>
    </w:p>
    <w:p w14:paraId="731EB42C" w14:textId="5C794E4C" w:rsidR="000F0844" w:rsidRPr="009F333A" w:rsidRDefault="00F979AB"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 xml:space="preserve">Unele state membre întâmpină dificultăți în cheltuirea fondurilor UE disponibile din cauza lipsei capacității administrative și a barierelor juridice sau organizaționale. </w:t>
      </w:r>
      <w:r>
        <w:rPr>
          <w:rFonts w:ascii="Times New Roman" w:hAnsi="Times New Roman"/>
          <w:noProof/>
        </w:rPr>
        <w:t xml:space="preserve">Capacitatea de a realiza investiții în reziliența în domeniul apei trebuie îmbunătățită, îndeosebi în regiunile mai puțin dezvoltate. Împreună cu reformele privind guvernanța apei la nivelul adecvat, asistența tehnică poate contribui la asigurarea utilizării cât mai eficiente a fondurilor UE disponibile. </w:t>
      </w:r>
    </w:p>
    <w:p w14:paraId="33B7607B" w14:textId="34BD9207" w:rsidR="004437EF" w:rsidRPr="00C62AE0" w:rsidRDefault="00B46DEA"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Fondurile UE disponibile ar trebui mobilizate rapid pentru investiții care vizează reducerea scurgerilor prin utilizarea instrumentelor digitale, a contorizării inteligente și a tehnologiilor de îmbunătățire a utilizării eficiente a apei</w:t>
      </w:r>
      <w:r>
        <w:rPr>
          <w:rFonts w:ascii="Times New Roman" w:hAnsi="Times New Roman"/>
          <w:noProof/>
        </w:rPr>
        <w:t xml:space="preserve">. Aceste investiții necesită o planificare mai puțin complexă decât proiectele mari din domeniul apei. Comisia va elabora orientări adresate statelor membre pentru proiectele de tip „plug and play” (pilot) în aceste domenii, pentru a simplifica și a raționaliza procedurile. </w:t>
      </w:r>
    </w:p>
    <w:p w14:paraId="63F11456" w14:textId="38B28998" w:rsidR="002857B6" w:rsidRPr="002234C8" w:rsidRDefault="002857B6" w:rsidP="00C62AE0">
      <w:pPr>
        <w:spacing w:after="240" w:line="240" w:lineRule="auto"/>
        <w:jc w:val="both"/>
        <w:rPr>
          <w:rFonts w:ascii="Times New Roman" w:eastAsia="Times New Roman" w:hAnsi="Times New Roman" w:cs="Times New Roman"/>
          <w:b/>
          <w:bCs/>
          <w:noProof/>
        </w:rPr>
      </w:pPr>
      <w:r w:rsidRPr="002234C8">
        <w:rPr>
          <w:rFonts w:ascii="Times New Roman" w:hAnsi="Times New Roman"/>
          <w:b/>
          <w:noProof/>
        </w:rPr>
        <w:t xml:space="preserve">Următorul cadru financiar multianual (CFM) reprezintă o oportunitate de a sprijini în continuare reziliența în domeniul apei prin investiții și reforme. </w:t>
      </w:r>
      <w:r>
        <w:rPr>
          <w:rFonts w:ascii="Times New Roman" w:hAnsi="Times New Roman"/>
          <w:noProof/>
        </w:rPr>
        <w:t>În contextul acordurilor de parteneriat naționale și regionale, statele membre ar putea aborda domenii precum îmbunătățirea guvernanței, evaluarea riscurilor și pregătirea pentru dezastre, creșterea eficienței și a reutilizării apei, reducerea prioritară a cererii și intensificarea controalelor. În plus, Comisia va încuraja statele membre să coopereze în cadrul unei inițiative privind coridoarele verzi și albastre pentru a sprijini refacerea mediului și a infrastructurii ecologice, inclusiv a râurilor, a zonelor umede și a coastelor.</w:t>
      </w:r>
      <w:r w:rsidRPr="002234C8">
        <w:rPr>
          <w:rFonts w:ascii="Times New Roman" w:hAnsi="Times New Roman"/>
          <w:b/>
          <w:noProof/>
        </w:rPr>
        <w:t xml:space="preserve"> </w:t>
      </w:r>
    </w:p>
    <w:p w14:paraId="2200D297" w14:textId="224388E7" w:rsidR="00BE67A8" w:rsidRPr="009F333A" w:rsidRDefault="00E5091A"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În plus, Comisia își consolidează cooperarea cu Grupul Băncii Europene de Investiții (BEI)</w:t>
      </w:r>
      <w:r>
        <w:rPr>
          <w:rFonts w:ascii="Times New Roman" w:hAnsi="Times New Roman"/>
          <w:noProof/>
        </w:rPr>
        <w:t xml:space="preserve"> pentru a intensifica investițiile publice și private în domeniul apei, atât în UE, cât și la nivel mondial. Grupul BEI, deja cel mai mare finanțator la nivel mondial din sectorul apei, a elaborat un program în domeniul apei pentru a sprijini Strategia Comisiei privind reziliența în domeniul apei cu peste </w:t>
      </w:r>
      <w:r w:rsidRPr="002234C8">
        <w:rPr>
          <w:rFonts w:ascii="Times New Roman" w:hAnsi="Times New Roman"/>
          <w:noProof/>
        </w:rPr>
        <w:t>15</w:t>
      </w:r>
      <w:r>
        <w:rPr>
          <w:rFonts w:ascii="Times New Roman" w:hAnsi="Times New Roman"/>
          <w:noProof/>
        </w:rPr>
        <w:t xml:space="preserve"> miliarde EUR sub formă de finanțare planificată în perioada </w:t>
      </w:r>
      <w:r w:rsidRPr="002234C8">
        <w:rPr>
          <w:rFonts w:ascii="Times New Roman" w:hAnsi="Times New Roman"/>
          <w:noProof/>
        </w:rPr>
        <w:t>2025</w:t>
      </w:r>
      <w:r w:rsidR="002234C8">
        <w:rPr>
          <w:rFonts w:ascii="Times New Roman" w:hAnsi="Times New Roman" w:cs="Times New Roman"/>
          <w:noProof/>
        </w:rPr>
        <w:t>­</w:t>
      </w:r>
      <w:r w:rsidRPr="002234C8">
        <w:rPr>
          <w:rFonts w:ascii="Times New Roman" w:hAnsi="Times New Roman"/>
          <w:noProof/>
        </w:rPr>
        <w:t>2027</w:t>
      </w:r>
      <w:r>
        <w:rPr>
          <w:rFonts w:ascii="Times New Roman" w:hAnsi="Times New Roman"/>
          <w:noProof/>
        </w:rPr>
        <w:t xml:space="preserve"> pentru proiecte de îmbunătățire a accesului la apă, a controlului poluării, a rezilienței și a competitivității sectorului apei din UE, inclusiv prin infrastructuri mari și soluții bazate pe natură. În plus, Comisia și Banca Europeană de Investiții își vor uni forțele pentru a aborda blocajele în ceea ce privește implementarea investițiilor în domeniul apei. Aceasta va include propunerea unui nou Mecanism de consiliere în domeniul apei durabile pentru a finanța asistența tehnică acordată de BEI pentru construirea rezervei de proiecte, precum și pentru o mai bună cuantificare a nevoilor de finanțare și a opțiunilor de facilitare a investițiilor în domeniul apei. </w:t>
      </w:r>
    </w:p>
    <w:p w14:paraId="6D1B373C" w14:textId="381D100E" w:rsidR="00227156" w:rsidRPr="00C62AE0" w:rsidRDefault="009A2079" w:rsidP="00C62AE0">
      <w:pPr>
        <w:spacing w:after="240" w:line="240" w:lineRule="auto"/>
        <w:jc w:val="both"/>
        <w:rPr>
          <w:rFonts w:ascii="Times New Roman" w:eastAsia="Times New Roman" w:hAnsi="Times New Roman" w:cs="Times New Roman"/>
          <w:noProof/>
        </w:rPr>
      </w:pPr>
      <w:r w:rsidRPr="002234C8">
        <w:rPr>
          <w:rFonts w:ascii="Times New Roman" w:hAnsi="Times New Roman"/>
          <w:b/>
          <w:noProof/>
        </w:rPr>
        <w:t>Investițiile private vor trebui intensificate în mod considerabil</w:t>
      </w:r>
      <w:r>
        <w:rPr>
          <w:rFonts w:ascii="Times New Roman" w:hAnsi="Times New Roman"/>
          <w:noProof/>
        </w:rPr>
        <w:t xml:space="preserve">. Cooperarea cu instituțiile financiare poate mobiliza mai multă finanțare privată pentru reziliența în domeniul apei prin abordări bazate pe finanțare mixtă, modele inovatoare precum apa ca serviciu și ecosisteme structurate pentru obligațiunile verzi și albastre. Recompensarea sistemelor de servicii ecosistemice are potențialul de a sprijini, de asemenea, crearea piețelor necesare. Comisia va adopta o foaie de parcurs pentru credite pentru natură pentru a valorifica potențialul acestor instrumente și pentru a stimula extinderea acestor piețe. În plus, cadrul simplificat al UE privind finanțarea durabilă și punerea în aplicare a uniunii europene a economiilor și a investițiilor urmăresc să sporească oportunitățile de finanțare pentru întreprinderile din UE, inclusiv în sectorul apei. </w:t>
      </w:r>
    </w:p>
    <w:p w14:paraId="5044F729" w14:textId="77735E7E" w:rsidR="008A523E" w:rsidRPr="00B723FC" w:rsidRDefault="00227156" w:rsidP="00BE7C07">
      <w:pPr>
        <w:spacing w:after="240" w:line="240" w:lineRule="auto"/>
        <w:jc w:val="both"/>
        <w:rPr>
          <w:rFonts w:ascii="Times New Roman" w:hAnsi="Times New Roman"/>
          <w:noProof/>
        </w:rPr>
      </w:pPr>
      <w:r w:rsidRPr="002234C8">
        <w:rPr>
          <w:rFonts w:ascii="Times New Roman" w:hAnsi="Times New Roman"/>
          <w:b/>
          <w:noProof/>
        </w:rPr>
        <w:t>Perturbările provocate de schimbările climatice întăresc argumentele economice pentru investițiile în apă, iar abordările inovatoare pot contribui la deblocarea unor investiții private semnificative</w:t>
      </w:r>
      <w:r>
        <w:rPr>
          <w:rFonts w:ascii="Times New Roman" w:hAnsi="Times New Roman"/>
          <w:noProof/>
        </w:rPr>
        <w:t xml:space="preserve">. Apa este recunoscută din ce în ce mai mult ca un factor semnificativ din punct de vedere financiar pentru întreprinderi, investitori și guverne. </w:t>
      </w:r>
      <w:bookmarkStart w:id="7" w:name="_Hlk197326521"/>
      <w:r>
        <w:rPr>
          <w:rFonts w:ascii="Times New Roman" w:hAnsi="Times New Roman"/>
          <w:noProof/>
        </w:rPr>
        <w:t xml:space="preserve">Există însă obstacole semnificative în calea investițiilor private în apă, care necesită adesea o cooperare strânsă între diferitele părți interesate, nu în ultimul rând pentru a depăși problemele legate de beneficiarii care nu au partea lor de contribuție („problema pasagerului clandestin”). Comisia va înființa un Accelerator de investiții pentru reziliența în domeniul apei pentru a implementa </w:t>
      </w:r>
      <w:r w:rsidRPr="002234C8">
        <w:rPr>
          <w:rFonts w:ascii="Times New Roman" w:hAnsi="Times New Roman"/>
          <w:noProof/>
        </w:rPr>
        <w:t>20</w:t>
      </w:r>
      <w:r>
        <w:rPr>
          <w:rFonts w:ascii="Times New Roman" w:hAnsi="Times New Roman"/>
          <w:noProof/>
        </w:rPr>
        <w:t xml:space="preserve"> de cazuri-pilot inovatoare pentru retenția naturală a apei și utilizarea eficientă a apei, reunind investitori locali în domeniul apei, furnizori de soluții și entități afectate de probleme, pentru a inspira acțiuni similare în întreaga UE. Acest demers s-ar putea baza, de asemenea, pe rețelele de laboratoare vii instituite, de exemplu, în cadrul parteneriatelor și misiunilor europene. Pentru a aborda provocarea tot mai mare reprezentată de asigurarea pierderilor economice cauzate de catastrofe naturale, inclusiv de dezastre legate de apă în UE, Comisia va explora posibile soluții de reducere a decalajelor în materie de protecție sub forma asigurărilor, dând curs propunerilor Băncii Centrale Europene și ale Autorității Europene de Asigurări și Pensii Ocupaționale.</w:t>
      </w:r>
      <w:r>
        <w:rPr>
          <w:rStyle w:val="FootnoteReference"/>
          <w:rFonts w:ascii="Times New Roman" w:hAnsi="Times New Roman"/>
          <w:noProof/>
        </w:rPr>
        <w:footnoteReference w:id="57"/>
      </w:r>
      <w:bookmarkEnd w:id="7"/>
      <w:r>
        <w:rPr>
          <w:rFonts w:ascii="Times New Roman" w:hAnsi="Times New Roman"/>
          <w:noProof/>
        </w:rPr>
        <w:t xml:space="preserve"> Stimulentele pentru îmbunătățirea informațiilor, a tarifării și a controlului apei utilizate (a se vedea secțiunea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3</w:t>
      </w:r>
      <w:r>
        <w:rPr>
          <w:rFonts w:ascii="Times New Roman" w:hAnsi="Times New Roman"/>
          <w:noProof/>
        </w:rPr>
        <w:t>) vor contribui, de asemenea, la creșterea atractivității argumentelor economice pentru investițiile în apă, inclusiv în sectoarele care depind în mare măsură de apă și care sunt din ce în ce mai vulnerabile la deficitul de apă, cum ar fi agricultura, acvacultura și energia.</w:t>
      </w:r>
    </w:p>
    <w:tbl>
      <w:tblPr>
        <w:tblStyle w:val="TableGrid"/>
        <w:tblW w:w="0" w:type="auto"/>
        <w:tblLook w:val="04A0" w:firstRow="1" w:lastRow="0" w:firstColumn="1" w:lastColumn="0" w:noHBand="0" w:noVBand="1"/>
      </w:tblPr>
      <w:tblGrid>
        <w:gridCol w:w="7508"/>
        <w:gridCol w:w="1508"/>
      </w:tblGrid>
      <w:tr w:rsidR="491A941D" w:rsidRPr="009F333A" w14:paraId="6E1F0827" w14:textId="77777777" w:rsidTr="1D1BF648">
        <w:trPr>
          <w:trHeight w:val="300"/>
        </w:trPr>
        <w:tc>
          <w:tcPr>
            <w:tcW w:w="7508" w:type="dxa"/>
            <w:shd w:val="clear" w:color="auto" w:fill="A5C9EB" w:themeFill="text2" w:themeFillTint="40"/>
          </w:tcPr>
          <w:p w14:paraId="03ED0E55" w14:textId="56326DD7" w:rsidR="2A9C6A92" w:rsidRPr="009F333A" w:rsidRDefault="491A941D" w:rsidP="491A941D">
            <w:pPr>
              <w:pStyle w:val="paragraph"/>
              <w:spacing w:before="0" w:beforeAutospacing="0" w:after="0" w:afterAutospacing="0"/>
              <w:jc w:val="center"/>
              <w:rPr>
                <w:b/>
                <w:bCs/>
                <w:noProof/>
                <w:sz w:val="24"/>
                <w:szCs w:val="24"/>
              </w:rPr>
            </w:pPr>
            <w:r w:rsidRPr="002234C8">
              <w:rPr>
                <w:b/>
                <w:noProof/>
                <w:sz w:val="24"/>
              </w:rPr>
              <w:t xml:space="preserve">Acțiuni emblematice - Finanțare, investiții și infrastructură pentru asigurarea unei aprovizionări stabile  </w:t>
            </w:r>
          </w:p>
        </w:tc>
        <w:tc>
          <w:tcPr>
            <w:tcW w:w="1508" w:type="dxa"/>
            <w:shd w:val="clear" w:color="auto" w:fill="A5C9EB" w:themeFill="text2" w:themeFillTint="40"/>
          </w:tcPr>
          <w:p w14:paraId="157BC3A7" w14:textId="768A7A48" w:rsidR="491A941D" w:rsidRPr="002234C8" w:rsidRDefault="491A941D" w:rsidP="491A941D">
            <w:pPr>
              <w:pStyle w:val="paragraph"/>
              <w:spacing w:before="0" w:beforeAutospacing="0" w:after="0" w:afterAutospacing="0"/>
              <w:jc w:val="center"/>
              <w:rPr>
                <w:rFonts w:eastAsia="Calibri"/>
                <w:b/>
                <w:bCs/>
                <w:noProof/>
                <w:sz w:val="24"/>
                <w:szCs w:val="24"/>
              </w:rPr>
            </w:pPr>
            <w:r w:rsidRPr="002234C8">
              <w:rPr>
                <w:b/>
                <w:noProof/>
                <w:sz w:val="24"/>
              </w:rPr>
              <w:t>Calendar</w:t>
            </w:r>
          </w:p>
        </w:tc>
      </w:tr>
      <w:tr w:rsidR="491A941D" w:rsidRPr="0061109A" w14:paraId="0BE61F5A" w14:textId="77777777" w:rsidTr="0061109A">
        <w:trPr>
          <w:trHeight w:val="940"/>
        </w:trPr>
        <w:tc>
          <w:tcPr>
            <w:tcW w:w="7508" w:type="dxa"/>
          </w:tcPr>
          <w:p w14:paraId="7E71C47D" w14:textId="57155C37" w:rsidR="491A941D" w:rsidRPr="0061109A" w:rsidRDefault="003467F3" w:rsidP="0061109A">
            <w:pPr>
              <w:spacing w:line="259" w:lineRule="auto"/>
              <w:jc w:val="both"/>
              <w:rPr>
                <w:rFonts w:ascii="Times New Roman" w:hAnsi="Times New Roman" w:cs="Times New Roman"/>
                <w:noProof/>
                <w:sz w:val="24"/>
                <w:szCs w:val="24"/>
              </w:rPr>
            </w:pPr>
            <w:r>
              <w:rPr>
                <w:rFonts w:ascii="Times New Roman" w:hAnsi="Times New Roman"/>
                <w:noProof/>
                <w:sz w:val="24"/>
              </w:rPr>
              <w:t>Lansarea Programului BEI privind apa și a Mecanismului de consiliere în domeniul apei durabile, în cooperare cu Comisia, pentru a intensifica asistența acordată potențialilor contractanți de împrumuturi, sporind rezerva de proiecte.</w:t>
            </w:r>
          </w:p>
        </w:tc>
        <w:tc>
          <w:tcPr>
            <w:tcW w:w="1508" w:type="dxa"/>
          </w:tcPr>
          <w:p w14:paraId="10CD31FA" w14:textId="3F9F70B6" w:rsidR="4C37FDE5" w:rsidRPr="00D4626B" w:rsidRDefault="006A4D7E" w:rsidP="00D4626B">
            <w:pPr>
              <w:pStyle w:val="paragraph"/>
              <w:spacing w:before="0" w:beforeAutospacing="0" w:after="0" w:afterAutospacing="0"/>
              <w:jc w:val="center"/>
              <w:rPr>
                <w:rFonts w:eastAsia="Calibri"/>
                <w:noProof/>
                <w:sz w:val="24"/>
                <w:szCs w:val="24"/>
              </w:rPr>
            </w:pPr>
            <w:r w:rsidRPr="002234C8">
              <w:rPr>
                <w:noProof/>
                <w:sz w:val="24"/>
              </w:rPr>
              <w:t>2025</w:t>
            </w:r>
            <w:r>
              <w:rPr>
                <w:noProof/>
                <w:sz w:val="24"/>
              </w:rPr>
              <w:t xml:space="preserve"> </w:t>
            </w:r>
          </w:p>
        </w:tc>
      </w:tr>
      <w:tr w:rsidR="00712E77" w:rsidRPr="0061109A" w14:paraId="6A0D2F05" w14:textId="77777777" w:rsidTr="0061109A">
        <w:trPr>
          <w:trHeight w:val="557"/>
        </w:trPr>
        <w:tc>
          <w:tcPr>
            <w:tcW w:w="7508" w:type="dxa"/>
          </w:tcPr>
          <w:p w14:paraId="3DB8F97C" w14:textId="3E492F68" w:rsidR="00712E77" w:rsidRPr="0061109A" w:rsidRDefault="00734F0B" w:rsidP="0061109A">
            <w:pPr>
              <w:spacing w:line="259" w:lineRule="auto"/>
              <w:jc w:val="both"/>
              <w:rPr>
                <w:rFonts w:ascii="Times New Roman" w:hAnsi="Times New Roman" w:cs="Times New Roman"/>
                <w:noProof/>
                <w:sz w:val="24"/>
                <w:szCs w:val="24"/>
              </w:rPr>
            </w:pPr>
            <w:r>
              <w:rPr>
                <w:rFonts w:ascii="Times New Roman" w:hAnsi="Times New Roman"/>
                <w:noProof/>
                <w:sz w:val="24"/>
              </w:rPr>
              <w:t>Sprijinirea statelor membre și a regiunilor în reorientarea fondurilor politicii de coeziune pentru reziliența în domeniul apei în cadrul evaluării la jumătatea perioadei.</w:t>
            </w:r>
          </w:p>
        </w:tc>
        <w:tc>
          <w:tcPr>
            <w:tcW w:w="1508" w:type="dxa"/>
          </w:tcPr>
          <w:p w14:paraId="7C47D040" w14:textId="293319CC" w:rsidR="00712E77" w:rsidRPr="00D4626B" w:rsidRDefault="00734F0B" w:rsidP="00D4626B">
            <w:pPr>
              <w:pStyle w:val="paragraph"/>
              <w:spacing w:before="0" w:beforeAutospacing="0" w:after="0" w:afterAutospacing="0"/>
              <w:jc w:val="center"/>
              <w:rPr>
                <w:rFonts w:eastAsia="Calibri"/>
                <w:noProof/>
                <w:sz w:val="24"/>
                <w:szCs w:val="24"/>
              </w:rPr>
            </w:pPr>
            <w:r w:rsidRPr="002234C8">
              <w:rPr>
                <w:noProof/>
                <w:sz w:val="24"/>
              </w:rPr>
              <w:t>2025</w:t>
            </w:r>
          </w:p>
        </w:tc>
      </w:tr>
      <w:tr w:rsidR="491A941D" w:rsidRPr="0061109A" w14:paraId="4637B51C" w14:textId="77777777" w:rsidTr="0061109A">
        <w:trPr>
          <w:trHeight w:val="240"/>
        </w:trPr>
        <w:tc>
          <w:tcPr>
            <w:tcW w:w="7508" w:type="dxa"/>
          </w:tcPr>
          <w:p w14:paraId="5F2A3250" w14:textId="5755F736" w:rsidR="4C37FDE5" w:rsidRPr="0061109A" w:rsidRDefault="3D959856" w:rsidP="1D1BF648">
            <w:pPr>
              <w:spacing w:line="259" w:lineRule="auto"/>
              <w:jc w:val="both"/>
              <w:rPr>
                <w:rFonts w:ascii="Times New Roman" w:hAnsi="Times New Roman" w:cs="Times New Roman"/>
                <w:noProof/>
                <w:sz w:val="24"/>
                <w:szCs w:val="24"/>
              </w:rPr>
            </w:pPr>
            <w:r>
              <w:rPr>
                <w:rFonts w:ascii="Times New Roman" w:hAnsi="Times New Roman"/>
                <w:noProof/>
                <w:sz w:val="24"/>
              </w:rPr>
              <w:t>Înființarea unui Accelerator de investiții pentru reziliența în domeniul apei</w:t>
            </w:r>
          </w:p>
        </w:tc>
        <w:tc>
          <w:tcPr>
            <w:tcW w:w="1508" w:type="dxa"/>
          </w:tcPr>
          <w:p w14:paraId="581C3B21" w14:textId="6B07D63A" w:rsidR="4C37FDE5" w:rsidRPr="00D4626B" w:rsidRDefault="4C37FDE5" w:rsidP="00D4626B">
            <w:pPr>
              <w:pStyle w:val="paragraph"/>
              <w:spacing w:before="0" w:beforeAutospacing="0" w:after="0" w:afterAutospacing="0"/>
              <w:jc w:val="center"/>
              <w:rPr>
                <w:rFonts w:eastAsia="Calibri"/>
                <w:noProof/>
                <w:sz w:val="24"/>
                <w:szCs w:val="24"/>
              </w:rPr>
            </w:pPr>
            <w:r w:rsidRPr="002234C8">
              <w:rPr>
                <w:noProof/>
                <w:sz w:val="24"/>
              </w:rPr>
              <w:t>2026</w:t>
            </w:r>
            <w:r>
              <w:rPr>
                <w:noProof/>
                <w:sz w:val="24"/>
              </w:rPr>
              <w:t>-</w:t>
            </w:r>
            <w:r w:rsidRPr="002234C8">
              <w:rPr>
                <w:noProof/>
                <w:sz w:val="24"/>
              </w:rPr>
              <w:t>2027</w:t>
            </w:r>
          </w:p>
        </w:tc>
      </w:tr>
      <w:tr w:rsidR="00C60DAB" w:rsidRPr="009F333A" w14:paraId="5ED77B03" w14:textId="77777777" w:rsidTr="1D1BF648">
        <w:trPr>
          <w:trHeight w:val="300"/>
        </w:trPr>
        <w:tc>
          <w:tcPr>
            <w:tcW w:w="7508" w:type="dxa"/>
          </w:tcPr>
          <w:p w14:paraId="69145C68" w14:textId="68277D46" w:rsidR="00C60DAB" w:rsidRPr="0061109A" w:rsidRDefault="00C60DAB" w:rsidP="002F71BB">
            <w:pPr>
              <w:spacing w:line="259" w:lineRule="auto"/>
              <w:jc w:val="both"/>
              <w:rPr>
                <w:rFonts w:ascii="Times New Roman" w:eastAsia="Times New Roman" w:hAnsi="Times New Roman" w:cs="Times New Roman"/>
                <w:noProof/>
                <w:sz w:val="24"/>
                <w:szCs w:val="24"/>
              </w:rPr>
            </w:pPr>
            <w:r>
              <w:rPr>
                <w:rFonts w:ascii="Times New Roman" w:hAnsi="Times New Roman"/>
                <w:noProof/>
                <w:sz w:val="24"/>
              </w:rPr>
              <w:t xml:space="preserve">Lansarea unei inițiative privind coridoarele verzi și albastre pentru a sprijini refacerea mediului și a infrastructurii ecologice, inclusiv a râurilor și a zonelor umede, și refacerea zonelor costiere, pentru a restabili ciclul apei printr-o abordare de la sursă la mare. </w:t>
            </w:r>
          </w:p>
        </w:tc>
        <w:tc>
          <w:tcPr>
            <w:tcW w:w="1508" w:type="dxa"/>
          </w:tcPr>
          <w:p w14:paraId="4D29FCE3" w14:textId="0A5A8D20" w:rsidR="00C60DAB" w:rsidRPr="00D4626B" w:rsidRDefault="00833F63" w:rsidP="00D4626B">
            <w:pPr>
              <w:pStyle w:val="paragraph"/>
              <w:spacing w:before="0" w:beforeAutospacing="0" w:after="0" w:afterAutospacing="0"/>
              <w:jc w:val="center"/>
              <w:rPr>
                <w:rFonts w:eastAsia="Calibri"/>
                <w:noProof/>
                <w:sz w:val="24"/>
                <w:szCs w:val="24"/>
              </w:rPr>
            </w:pPr>
            <w:r w:rsidRPr="002234C8">
              <w:rPr>
                <w:noProof/>
                <w:sz w:val="24"/>
              </w:rPr>
              <w:t>2027</w:t>
            </w:r>
          </w:p>
        </w:tc>
      </w:tr>
      <w:tr w:rsidR="00367DDA" w:rsidRPr="0060399D" w14:paraId="7F14E949" w14:textId="77777777" w:rsidTr="00D57C4B">
        <w:trPr>
          <w:trHeight w:val="300"/>
        </w:trPr>
        <w:tc>
          <w:tcPr>
            <w:tcW w:w="7508" w:type="dxa"/>
            <w:shd w:val="clear" w:color="auto" w:fill="auto"/>
          </w:tcPr>
          <w:p w14:paraId="5461586A" w14:textId="53878972" w:rsidR="00367DDA" w:rsidRPr="0060399D" w:rsidRDefault="00B013F3" w:rsidP="00D57C4B">
            <w:pPr>
              <w:spacing w:line="259" w:lineRule="auto"/>
              <w:jc w:val="both"/>
              <w:rPr>
                <w:rFonts w:ascii="Times New Roman" w:hAnsi="Times New Roman" w:cs="Times New Roman"/>
                <w:noProof/>
                <w:sz w:val="24"/>
                <w:szCs w:val="24"/>
              </w:rPr>
            </w:pPr>
            <w:r>
              <w:rPr>
                <w:rFonts w:ascii="Times New Roman" w:hAnsi="Times New Roman"/>
                <w:noProof/>
                <w:sz w:val="24"/>
              </w:rPr>
              <w:t>Adoptarea unei foi de parcurs pentru credite pentru natură pentru a valorifica potențialul acestor instrumente și pentru a stimula extinderea acestor piețe.</w:t>
            </w:r>
          </w:p>
        </w:tc>
        <w:tc>
          <w:tcPr>
            <w:tcW w:w="1508" w:type="dxa"/>
            <w:shd w:val="clear" w:color="auto" w:fill="auto"/>
          </w:tcPr>
          <w:p w14:paraId="3589B5EC" w14:textId="12AD7FB8" w:rsidR="00367DDA" w:rsidRPr="00D4626B" w:rsidRDefault="00D206BD" w:rsidP="00D4626B">
            <w:pPr>
              <w:pStyle w:val="paragraph"/>
              <w:spacing w:before="0" w:beforeAutospacing="0" w:after="0" w:afterAutospacing="0"/>
              <w:jc w:val="center"/>
              <w:rPr>
                <w:rFonts w:eastAsia="Calibri"/>
                <w:noProof/>
                <w:sz w:val="24"/>
                <w:szCs w:val="24"/>
              </w:rPr>
            </w:pPr>
            <w:r w:rsidRPr="002234C8">
              <w:rPr>
                <w:noProof/>
                <w:sz w:val="24"/>
              </w:rPr>
              <w:t>2025</w:t>
            </w:r>
          </w:p>
        </w:tc>
      </w:tr>
    </w:tbl>
    <w:p w14:paraId="48CBF4ED" w14:textId="29F0BBC9" w:rsidR="491A941D" w:rsidRPr="009F333A" w:rsidRDefault="491A941D" w:rsidP="00B723FC">
      <w:pPr>
        <w:spacing w:after="240" w:line="240" w:lineRule="auto"/>
        <w:jc w:val="both"/>
        <w:rPr>
          <w:noProof/>
        </w:rPr>
      </w:pPr>
    </w:p>
    <w:p w14:paraId="338ABE41" w14:textId="3F00EFEE" w:rsidR="00B8215F" w:rsidRPr="002234C8" w:rsidRDefault="00215AE8" w:rsidP="00B723FC">
      <w:pPr>
        <w:pStyle w:val="Heading2"/>
        <w:spacing w:before="0" w:after="240" w:line="240" w:lineRule="auto"/>
        <w:ind w:left="720" w:hanging="720"/>
        <w:jc w:val="both"/>
        <w:rPr>
          <w:rFonts w:ascii="Times New Roman" w:hAnsi="Times New Roman" w:cs="Times New Roman"/>
          <w:b/>
          <w:bCs/>
          <w:noProof/>
          <w:color w:val="auto"/>
          <w:sz w:val="24"/>
          <w:szCs w:val="24"/>
        </w:rPr>
      </w:pPr>
      <w:r w:rsidRPr="002234C8">
        <w:rPr>
          <w:rFonts w:ascii="Times New Roman" w:hAnsi="Times New Roman"/>
          <w:b/>
          <w:noProof/>
          <w:color w:val="auto"/>
          <w:sz w:val="24"/>
        </w:rPr>
        <w:t>3.3</w:t>
      </w:r>
      <w:r>
        <w:rPr>
          <w:noProof/>
        </w:rPr>
        <w:tab/>
      </w:r>
      <w:r w:rsidRPr="002234C8">
        <w:rPr>
          <w:rFonts w:ascii="Times New Roman" w:hAnsi="Times New Roman"/>
          <w:b/>
          <w:noProof/>
          <w:color w:val="auto"/>
          <w:sz w:val="24"/>
        </w:rPr>
        <w:t xml:space="preserve">Digitalizarea și inteligența artificială pentru a accelera și a simplifica buna gestionare a apei  </w:t>
      </w:r>
    </w:p>
    <w:p w14:paraId="78F7A936" w14:textId="07085532" w:rsidR="00E36A23" w:rsidRPr="009F333A" w:rsidRDefault="00E36A23" w:rsidP="00B723FC">
      <w:pPr>
        <w:spacing w:after="240" w:line="240" w:lineRule="auto"/>
        <w:jc w:val="both"/>
        <w:rPr>
          <w:rFonts w:ascii="Times New Roman" w:hAnsi="Times New Roman" w:cs="Times New Roman"/>
          <w:noProof/>
        </w:rPr>
      </w:pPr>
      <w:r w:rsidRPr="002234C8">
        <w:rPr>
          <w:rFonts w:ascii="Times New Roman" w:hAnsi="Times New Roman"/>
          <w:b/>
          <w:noProof/>
        </w:rPr>
        <w:t>Digitalizarea are un potențial semnificativ de revoluționare a gestionării apei</w:t>
      </w:r>
      <w:r>
        <w:rPr>
          <w:rFonts w:ascii="Times New Roman" w:hAnsi="Times New Roman"/>
          <w:noProof/>
        </w:rPr>
        <w:t xml:space="preserve"> </w:t>
      </w:r>
      <w:r w:rsidRPr="002234C8">
        <w:rPr>
          <w:rFonts w:ascii="Times New Roman" w:hAnsi="Times New Roman"/>
          <w:b/>
          <w:noProof/>
        </w:rPr>
        <w:t xml:space="preserve">și de promovare a utilizării durabile a apei. </w:t>
      </w:r>
      <w:r>
        <w:rPr>
          <w:rFonts w:ascii="Times New Roman" w:hAnsi="Times New Roman"/>
          <w:noProof/>
        </w:rPr>
        <w:t>Aceasta va</w:t>
      </w:r>
      <w:r w:rsidRPr="002234C8">
        <w:rPr>
          <w:rFonts w:ascii="Times New Roman" w:hAnsi="Times New Roman"/>
          <w:b/>
          <w:noProof/>
        </w:rPr>
        <w:t xml:space="preserve"> </w:t>
      </w:r>
      <w:r>
        <w:rPr>
          <w:rFonts w:ascii="Times New Roman" w:hAnsi="Times New Roman"/>
          <w:noProof/>
        </w:rPr>
        <w:t>oferi informații oportune pentru o mai bună elaborare a politicilor și pentru o mai bună proiectare și exploatare a infrastructurii și a serviciilor de alimentare cu apă. Pe piață sunt disponibile numeroase soluții digitale, inclusiv inteligența artificială</w:t>
      </w:r>
      <w:r>
        <w:rPr>
          <w:rStyle w:val="FootnoteReference"/>
          <w:rFonts w:ascii="Times New Roman" w:hAnsi="Times New Roman" w:cs="Times New Roman"/>
          <w:noProof/>
        </w:rPr>
        <w:footnoteReference w:id="58"/>
      </w:r>
      <w:r>
        <w:rPr>
          <w:rFonts w:ascii="Times New Roman" w:hAnsi="Times New Roman"/>
          <w:noProof/>
        </w:rPr>
        <w:t xml:space="preserve">. Cu toate acestea, implementarea lor este în continuare prea lentă și neuniformă. </w:t>
      </w:r>
    </w:p>
    <w:p w14:paraId="135874B6" w14:textId="14747253" w:rsidR="00E36A23" w:rsidRPr="009F333A" w:rsidRDefault="587E4FF8" w:rsidP="00B723FC">
      <w:pPr>
        <w:spacing w:after="240" w:line="240" w:lineRule="auto"/>
        <w:jc w:val="both"/>
        <w:rPr>
          <w:rFonts w:ascii="Times New Roman" w:hAnsi="Times New Roman" w:cs="Times New Roman"/>
          <w:noProof/>
        </w:rPr>
      </w:pPr>
      <w:r w:rsidRPr="002234C8">
        <w:rPr>
          <w:rFonts w:ascii="Times New Roman" w:hAnsi="Times New Roman"/>
          <w:b/>
          <w:noProof/>
        </w:rPr>
        <w:t>Pentru a valorifica acest potențial în mare măsură neexploatat și pe baza viitoarelor comunicări privind uniunea europeană datelor și aplicarea IA, Comisia va adopta un plan de acțiune menit să facă față provocărilor specifice din sectorul apei</w:t>
      </w:r>
      <w:r>
        <w:rPr>
          <w:rFonts w:ascii="Times New Roman" w:hAnsi="Times New Roman"/>
          <w:noProof/>
        </w:rPr>
        <w:t>, cum ar fi sistemele analogice și de îmbătrânire, seturi de date foarte mari dispersate în numeroase depozite de date diferite. Acest plan va include doi piloni principali: (i) implementarea de soluții digitale prin finanțare și schimb de cunoștințe pentru a dezvolta competențe digitale și a încuraja transferul de tehnologie în sectorul apei; și (ii) sprijin pentru schimbul de date privind apa prin promovarea dezvoltării unor portaluri naționale de date pentru a depăși fragmentarea și a face datele ușor de găsit, accesibile gratuit, interoperabile și reutilizabile, în conformitate cu cerințele Directivei privind datele deschise</w:t>
      </w:r>
      <w:r>
        <w:rPr>
          <w:rStyle w:val="FootnoteReference"/>
          <w:rFonts w:ascii="Times New Roman" w:hAnsi="Times New Roman" w:cs="Times New Roman"/>
          <w:noProof/>
        </w:rPr>
        <w:footnoteReference w:id="59"/>
      </w:r>
      <w:r>
        <w:rPr>
          <w:rFonts w:ascii="Times New Roman" w:hAnsi="Times New Roman"/>
          <w:noProof/>
        </w:rPr>
        <w:t xml:space="preserve">. </w:t>
      </w:r>
    </w:p>
    <w:p w14:paraId="755F37BA" w14:textId="5F648F40" w:rsidR="00E36A23" w:rsidRPr="00B723FC" w:rsidRDefault="001824B7" w:rsidP="00B723FC">
      <w:pPr>
        <w:spacing w:after="240" w:line="240" w:lineRule="auto"/>
        <w:jc w:val="both"/>
        <w:rPr>
          <w:rFonts w:ascii="Times New Roman" w:hAnsi="Times New Roman" w:cs="Times New Roman"/>
          <w:noProof/>
        </w:rPr>
      </w:pPr>
      <w:r w:rsidRPr="002234C8">
        <w:rPr>
          <w:rFonts w:ascii="Times New Roman" w:hAnsi="Times New Roman"/>
          <w:b/>
          <w:noProof/>
        </w:rPr>
        <w:t>Un „ghișeu unic” pentru produsele de observare a Pământului relevante pentru gestionarea apei va face ca gestionarea apei din spațiu să fie ușor accesibilă tuturor</w:t>
      </w:r>
      <w:r>
        <w:rPr>
          <w:rFonts w:ascii="Times New Roman" w:hAnsi="Times New Roman"/>
          <w:noProof/>
        </w:rPr>
        <w:t xml:space="preserve">. Deși instrumentul de observare a Pământului a fost utilizat timp de decenii pentru a anticipa secetele și inundațiile, utilizarea sa zilnică pentru gestionarea apei este mult mai puțin răspândită. Copernicus și cele șase servicii specializate ale sale oferă un portofoliu amplu de produse legate de apă disponibile în mod complet, gratuit și deschis. Totuși, aceste informații sunt dispersate. Comisia va institui un „ghișeu unic” pentru produsele de observare a Pământului relevante pentru gestionarea apei – un centru tematic privind apa – pentru a reuni datele, produsele și instrumentele Copernicus legate de apă și pentru a facilita accesul la aceste date și utilizarea acestora. Aceasta va încuraja colaborarea dintre comunitățile de observare a Pământului și de gestionare a apei, în parteneriat cu Centrul de cunoștințe privind observarea Pământului al Centrului Comun de Cercetare, asigurându-se că produsele Copernicus răspund nevoilor utilizatorilor și ale factorilor de decizie politică. </w:t>
      </w:r>
    </w:p>
    <w:p w14:paraId="064CB1C0" w14:textId="72621D52" w:rsidR="00E36A23" w:rsidRPr="009F333A" w:rsidRDefault="12FAE12F" w:rsidP="00B723FC">
      <w:pPr>
        <w:spacing w:after="240" w:line="240" w:lineRule="auto"/>
        <w:jc w:val="both"/>
        <w:rPr>
          <w:rFonts w:ascii="Times New Roman" w:hAnsi="Times New Roman" w:cs="Times New Roman"/>
          <w:noProof/>
        </w:rPr>
      </w:pPr>
      <w:r w:rsidRPr="002234C8">
        <w:rPr>
          <w:rFonts w:ascii="Times New Roman" w:hAnsi="Times New Roman"/>
          <w:b/>
          <w:noProof/>
        </w:rPr>
        <w:t>Autoritățile de gestionare a apei și autoritățile de planificare și autorizare, precum și sectorul privat ar putea avea nevoie de asistență pentru evaluarea riscurilor cauzate de schimbările climatice</w:t>
      </w:r>
      <w:r>
        <w:rPr>
          <w:rFonts w:ascii="Times New Roman" w:hAnsi="Times New Roman"/>
          <w:noProof/>
        </w:rPr>
        <w:t xml:space="preserve">. Modelele digitale în curs de elaborare de către Comisie, cum ar fi platforma europeană Digital Twin Ocean și inițiativa Destinația Pământ, vor sprijini evaluarea condițiilor și disponibilității apei pe termen lung în diferite scenarii de schimbări climatice sau activități umane. Astfel de capacități pot deveni disponibile pentru administrațiile naționale și locale înainte de </w:t>
      </w:r>
      <w:r w:rsidRPr="002234C8">
        <w:rPr>
          <w:rFonts w:ascii="Times New Roman" w:hAnsi="Times New Roman"/>
          <w:noProof/>
        </w:rPr>
        <w:t>2030</w:t>
      </w:r>
      <w:r>
        <w:rPr>
          <w:rFonts w:ascii="Times New Roman" w:hAnsi="Times New Roman"/>
          <w:noProof/>
        </w:rPr>
        <w:t>.</w:t>
      </w:r>
    </w:p>
    <w:tbl>
      <w:tblPr>
        <w:tblStyle w:val="TableGrid"/>
        <w:tblW w:w="0" w:type="auto"/>
        <w:tblLook w:val="04A0" w:firstRow="1" w:lastRow="0" w:firstColumn="1" w:lastColumn="0" w:noHBand="0" w:noVBand="1"/>
      </w:tblPr>
      <w:tblGrid>
        <w:gridCol w:w="7508"/>
        <w:gridCol w:w="1508"/>
      </w:tblGrid>
      <w:tr w:rsidR="491A941D" w:rsidRPr="009F333A" w14:paraId="0FFBA1A9" w14:textId="77777777" w:rsidTr="1D1BF648">
        <w:trPr>
          <w:trHeight w:val="300"/>
        </w:trPr>
        <w:tc>
          <w:tcPr>
            <w:tcW w:w="7508" w:type="dxa"/>
            <w:shd w:val="clear" w:color="auto" w:fill="A5C9EB" w:themeFill="text2" w:themeFillTint="40"/>
          </w:tcPr>
          <w:p w14:paraId="6E094C55" w14:textId="72567D4C" w:rsidR="2A9C6A92" w:rsidRPr="009F333A" w:rsidRDefault="491A941D" w:rsidP="491A941D">
            <w:pPr>
              <w:pStyle w:val="paragraph"/>
              <w:spacing w:before="0" w:beforeAutospacing="0" w:after="0" w:afterAutospacing="0"/>
              <w:jc w:val="center"/>
              <w:rPr>
                <w:b/>
                <w:bCs/>
                <w:noProof/>
                <w:sz w:val="24"/>
                <w:szCs w:val="24"/>
              </w:rPr>
            </w:pPr>
            <w:r w:rsidRPr="002234C8">
              <w:rPr>
                <w:b/>
                <w:noProof/>
                <w:sz w:val="24"/>
              </w:rPr>
              <w:t xml:space="preserve">Acțiuni emblematice - Digitalizarea și inteligența artificială, pentru a accelera și a simplifica buna gestionare a apei </w:t>
            </w:r>
          </w:p>
        </w:tc>
        <w:tc>
          <w:tcPr>
            <w:tcW w:w="1508" w:type="dxa"/>
            <w:shd w:val="clear" w:color="auto" w:fill="A5C9EB" w:themeFill="text2" w:themeFillTint="40"/>
          </w:tcPr>
          <w:p w14:paraId="37D95C72" w14:textId="768A7A48" w:rsidR="491A941D" w:rsidRPr="002234C8" w:rsidRDefault="491A941D" w:rsidP="491A941D">
            <w:pPr>
              <w:pStyle w:val="paragraph"/>
              <w:spacing w:before="0" w:beforeAutospacing="0" w:after="0" w:afterAutospacing="0"/>
              <w:jc w:val="center"/>
              <w:rPr>
                <w:rFonts w:eastAsia="Calibri"/>
                <w:b/>
                <w:bCs/>
                <w:noProof/>
                <w:sz w:val="24"/>
                <w:szCs w:val="24"/>
              </w:rPr>
            </w:pPr>
            <w:r w:rsidRPr="002234C8">
              <w:rPr>
                <w:b/>
                <w:noProof/>
                <w:sz w:val="24"/>
              </w:rPr>
              <w:t>Calendar</w:t>
            </w:r>
          </w:p>
        </w:tc>
      </w:tr>
      <w:tr w:rsidR="00176531" w:rsidRPr="009F333A" w14:paraId="325C4D79" w14:textId="77777777" w:rsidTr="1D1BF648">
        <w:trPr>
          <w:trHeight w:val="300"/>
        </w:trPr>
        <w:tc>
          <w:tcPr>
            <w:tcW w:w="7508" w:type="dxa"/>
          </w:tcPr>
          <w:p w14:paraId="4D58B330" w14:textId="5D4B60D4" w:rsidR="00176531" w:rsidRPr="009F333A" w:rsidRDefault="7100F878" w:rsidP="491A941D">
            <w:pPr>
              <w:jc w:val="both"/>
              <w:rPr>
                <w:rFonts w:ascii="Times New Roman" w:hAnsi="Times New Roman" w:cs="Times New Roman"/>
                <w:noProof/>
              </w:rPr>
            </w:pPr>
            <w:r>
              <w:rPr>
                <w:rFonts w:ascii="Times New Roman" w:hAnsi="Times New Roman"/>
                <w:noProof/>
                <w:sz w:val="24"/>
              </w:rPr>
              <w:t xml:space="preserve">Dezvoltarea și punerea în aplicare a aplicațiilor Destinația Pământ și Digital Twin Ocean pentru reziliența în domeniul apei și, până în </w:t>
            </w:r>
            <w:r w:rsidRPr="002234C8">
              <w:rPr>
                <w:rFonts w:ascii="Times New Roman" w:hAnsi="Times New Roman"/>
                <w:noProof/>
                <w:sz w:val="24"/>
              </w:rPr>
              <w:t>2030</w:t>
            </w:r>
            <w:r>
              <w:rPr>
                <w:rFonts w:ascii="Times New Roman" w:hAnsi="Times New Roman"/>
                <w:noProof/>
                <w:sz w:val="24"/>
              </w:rPr>
              <w:t xml:space="preserve">, punerea capacităților la dispoziția administrațiilor naționale și locale din UE și din afara acesteia. </w:t>
            </w:r>
          </w:p>
        </w:tc>
        <w:tc>
          <w:tcPr>
            <w:tcW w:w="1508" w:type="dxa"/>
          </w:tcPr>
          <w:p w14:paraId="5EDF2A08" w14:textId="37055028" w:rsidR="00176531" w:rsidRPr="009F333A" w:rsidRDefault="00176531" w:rsidP="491A941D">
            <w:pPr>
              <w:pStyle w:val="paragraph"/>
              <w:spacing w:before="0" w:beforeAutospacing="0" w:after="0" w:afterAutospacing="0"/>
              <w:jc w:val="center"/>
              <w:rPr>
                <w:rFonts w:eastAsia="Calibri"/>
                <w:noProof/>
                <w:sz w:val="24"/>
                <w:szCs w:val="24"/>
              </w:rPr>
            </w:pPr>
            <w:r w:rsidRPr="002234C8">
              <w:rPr>
                <w:noProof/>
                <w:sz w:val="24"/>
              </w:rPr>
              <w:t>2025</w:t>
            </w:r>
            <w:r>
              <w:rPr>
                <w:noProof/>
                <w:sz w:val="24"/>
              </w:rPr>
              <w:t>-</w:t>
            </w:r>
            <w:r w:rsidRPr="002234C8">
              <w:rPr>
                <w:noProof/>
                <w:sz w:val="24"/>
              </w:rPr>
              <w:t>2030</w:t>
            </w:r>
          </w:p>
        </w:tc>
      </w:tr>
      <w:tr w:rsidR="491A941D" w:rsidRPr="009F333A" w14:paraId="7D3902AD" w14:textId="77777777" w:rsidTr="1D1BF648">
        <w:trPr>
          <w:trHeight w:val="300"/>
        </w:trPr>
        <w:tc>
          <w:tcPr>
            <w:tcW w:w="7508" w:type="dxa"/>
          </w:tcPr>
          <w:p w14:paraId="5368B02C" w14:textId="2FCE86CC" w:rsidR="491A941D" w:rsidRPr="002234C8" w:rsidRDefault="449EF7A4" w:rsidP="1D1BF648">
            <w:pPr>
              <w:jc w:val="both"/>
              <w:rPr>
                <w:rFonts w:ascii="Times New Roman" w:eastAsia="Times New Roman" w:hAnsi="Times New Roman" w:cs="Times New Roman"/>
                <w:b/>
                <w:bCs/>
                <w:noProof/>
              </w:rPr>
            </w:pPr>
            <w:r>
              <w:rPr>
                <w:rFonts w:ascii="Times New Roman" w:hAnsi="Times New Roman"/>
                <w:noProof/>
                <w:sz w:val="24"/>
              </w:rPr>
              <w:t>Elaborarea unui plan de acțiune la nivelul UE privind digitalizarea în sectorul apei, inclusiv a unei inițiative la nivelul UE privind contorizarea inteligentă pentru toți.</w:t>
            </w:r>
          </w:p>
        </w:tc>
        <w:tc>
          <w:tcPr>
            <w:tcW w:w="1508" w:type="dxa"/>
          </w:tcPr>
          <w:p w14:paraId="0D743B70" w14:textId="3AAAEBB6" w:rsidR="3E3E80C7" w:rsidRPr="009F333A" w:rsidRDefault="3E3E80C7" w:rsidP="491A941D">
            <w:pPr>
              <w:pStyle w:val="paragraph"/>
              <w:spacing w:before="0" w:beforeAutospacing="0" w:after="0" w:afterAutospacing="0"/>
              <w:jc w:val="center"/>
              <w:rPr>
                <w:rFonts w:eastAsia="Calibri"/>
                <w:noProof/>
                <w:sz w:val="24"/>
                <w:szCs w:val="24"/>
              </w:rPr>
            </w:pPr>
            <w:r w:rsidRPr="002234C8">
              <w:rPr>
                <w:noProof/>
                <w:sz w:val="24"/>
              </w:rPr>
              <w:t>2026</w:t>
            </w:r>
          </w:p>
        </w:tc>
      </w:tr>
      <w:tr w:rsidR="491A941D" w:rsidRPr="009F333A" w14:paraId="6C21BFB2" w14:textId="77777777" w:rsidTr="1D1BF648">
        <w:trPr>
          <w:trHeight w:val="300"/>
        </w:trPr>
        <w:tc>
          <w:tcPr>
            <w:tcW w:w="7508" w:type="dxa"/>
          </w:tcPr>
          <w:p w14:paraId="67376A33" w14:textId="21161B86" w:rsidR="491A941D" w:rsidRPr="009F333A" w:rsidRDefault="491A941D" w:rsidP="491A941D">
            <w:pPr>
              <w:spacing w:line="259" w:lineRule="auto"/>
              <w:jc w:val="both"/>
              <w:rPr>
                <w:rFonts w:ascii="Times New Roman" w:hAnsi="Times New Roman" w:cs="Times New Roman"/>
                <w:noProof/>
                <w:sz w:val="24"/>
                <w:szCs w:val="24"/>
              </w:rPr>
            </w:pPr>
            <w:r>
              <w:rPr>
                <w:rFonts w:ascii="Times New Roman" w:hAnsi="Times New Roman"/>
                <w:noProof/>
                <w:sz w:val="24"/>
              </w:rPr>
              <w:t xml:space="preserve">Lansarea unui centru tematic privind apa în cadrul Copernicus. </w:t>
            </w:r>
          </w:p>
        </w:tc>
        <w:tc>
          <w:tcPr>
            <w:tcW w:w="1508" w:type="dxa"/>
          </w:tcPr>
          <w:p w14:paraId="3A5BCE05" w14:textId="655376F2" w:rsidR="12056CB8" w:rsidRPr="009F333A" w:rsidRDefault="12056CB8" w:rsidP="491A941D">
            <w:pPr>
              <w:pStyle w:val="paragraph"/>
              <w:spacing w:before="0" w:beforeAutospacing="0" w:after="0" w:afterAutospacing="0"/>
              <w:jc w:val="center"/>
              <w:rPr>
                <w:rFonts w:eastAsia="Calibri"/>
                <w:noProof/>
                <w:sz w:val="24"/>
                <w:szCs w:val="24"/>
              </w:rPr>
            </w:pPr>
            <w:r w:rsidRPr="002234C8">
              <w:rPr>
                <w:noProof/>
                <w:sz w:val="24"/>
              </w:rPr>
              <w:t>2026</w:t>
            </w:r>
          </w:p>
        </w:tc>
      </w:tr>
    </w:tbl>
    <w:p w14:paraId="7DC90992" w14:textId="5AB68A1A" w:rsidR="491A941D" w:rsidRPr="009F333A" w:rsidRDefault="491A941D" w:rsidP="00B723FC">
      <w:pPr>
        <w:spacing w:after="240" w:line="240" w:lineRule="auto"/>
        <w:jc w:val="both"/>
        <w:rPr>
          <w:rFonts w:ascii="Times New Roman" w:hAnsi="Times New Roman" w:cs="Times New Roman"/>
          <w:noProof/>
        </w:rPr>
      </w:pPr>
    </w:p>
    <w:p w14:paraId="24B90AA1" w14:textId="3A6929B1" w:rsidR="00F261DA" w:rsidRPr="002234C8" w:rsidRDefault="002F6CFB" w:rsidP="00B723FC">
      <w:pPr>
        <w:pStyle w:val="Heading2"/>
        <w:spacing w:before="0" w:after="240" w:line="240" w:lineRule="auto"/>
        <w:jc w:val="both"/>
        <w:rPr>
          <w:rFonts w:ascii="Times New Roman" w:hAnsi="Times New Roman" w:cs="Times New Roman"/>
          <w:b/>
          <w:bCs/>
          <w:noProof/>
          <w:color w:val="auto"/>
          <w:sz w:val="24"/>
          <w:szCs w:val="24"/>
        </w:rPr>
      </w:pPr>
      <w:r w:rsidRPr="002234C8">
        <w:rPr>
          <w:rFonts w:ascii="Times New Roman" w:hAnsi="Times New Roman"/>
          <w:b/>
          <w:noProof/>
          <w:color w:val="auto"/>
          <w:sz w:val="24"/>
        </w:rPr>
        <w:t>3.4</w:t>
      </w:r>
      <w:r>
        <w:rPr>
          <w:noProof/>
        </w:rPr>
        <w:tab/>
      </w:r>
      <w:r w:rsidRPr="002234C8">
        <w:rPr>
          <w:rFonts w:ascii="Times New Roman" w:hAnsi="Times New Roman"/>
          <w:b/>
          <w:noProof/>
          <w:color w:val="auto"/>
          <w:sz w:val="24"/>
        </w:rPr>
        <w:t>Cercetare și inovare, industria apei și competențe pentru consolidarea competitivității</w:t>
      </w:r>
    </w:p>
    <w:p w14:paraId="4D74F0DC" w14:textId="6F714A3B" w:rsidR="00DA2A46" w:rsidRPr="00B723FC" w:rsidRDefault="001A3066" w:rsidP="00B723FC">
      <w:pPr>
        <w:spacing w:after="240" w:line="240" w:lineRule="auto"/>
        <w:jc w:val="both"/>
        <w:rPr>
          <w:rFonts w:ascii="Times New Roman" w:eastAsia="Times New Roman" w:hAnsi="Times New Roman" w:cs="Times New Roman"/>
          <w:noProof/>
        </w:rPr>
      </w:pPr>
      <w:r w:rsidRPr="002234C8">
        <w:rPr>
          <w:rFonts w:ascii="Times New Roman" w:hAnsi="Times New Roman"/>
          <w:b/>
          <w:noProof/>
        </w:rPr>
        <w:t>Inovarea în domeniul apei trebuie intensificată, pe baza Strategiei UE privind startup-urile și întreprinderile în curs de extindere</w:t>
      </w:r>
      <w:r>
        <w:rPr>
          <w:rFonts w:ascii="Times New Roman" w:hAnsi="Times New Roman"/>
          <w:noProof/>
        </w:rPr>
        <w:t>. Apa este o componentă importantă a programelor-cadru ale UE pentru C&amp;I și există deja un portofoliu amplu de idei și soluții inovatoare dezvoltate în Europa. Cu toate acestea, implementarea efectivă a acestor soluții dincolo de etapa proiectului este încă lentă. Pentru a aborda această chestiune, Comisia va stabili o interfață științifică/politică pentru a valorifica cunoștințele din acțiunile de C&amp;I, finanțate de UE și de la nivel național.</w:t>
      </w:r>
    </w:p>
    <w:p w14:paraId="42FA8B6B" w14:textId="3BE9C4AC" w:rsidR="00C0135C" w:rsidRPr="00B723FC" w:rsidRDefault="005D112C" w:rsidP="00B723FC">
      <w:pPr>
        <w:spacing w:after="240" w:line="240" w:lineRule="auto"/>
        <w:jc w:val="both"/>
        <w:rPr>
          <w:noProof/>
        </w:rPr>
      </w:pPr>
      <w:r w:rsidRPr="002234C8">
        <w:rPr>
          <w:rFonts w:ascii="Times New Roman" w:hAnsi="Times New Roman"/>
          <w:b/>
          <w:noProof/>
        </w:rPr>
        <w:t>Comisia va lansa o Alianță industrială inteligentă în domeniul apei pentru a sprijini consolidarea acestei interfețe</w:t>
      </w:r>
      <w:r>
        <w:rPr>
          <w:rFonts w:ascii="Times New Roman" w:hAnsi="Times New Roman"/>
          <w:noProof/>
        </w:rPr>
        <w:t>, prin stimularea inovării și a competitivității și prin asigurarea competențelor necesare în domeniul apei. În plus, în conformitate cu Pactul pentru o industrie curată, Comisia va analiza modul în care achizițiile publice pot promova considerentele legate de reziliența în domeniul apei în cadrul licitațiilor publice relevante și un acces simplificat pe piață pentru IMM-uri, pentru a le ajuta să își valorifice potențialul de inovare. În completarea acestor inițiative, Comisia va lansa, de asemenea, o Academie europeană a apei pentru a răspunde nevoilor de capacitate din sectorul apei din Europa, promovând parteneriatele public-private, inovarea și transferul de tehnologie pentru a acoperi lacunele în materie de competențe.</w:t>
      </w:r>
    </w:p>
    <w:p w14:paraId="7936C1EB" w14:textId="28E65BA5" w:rsidR="00C34176" w:rsidRPr="00B723FC" w:rsidRDefault="1B90001B" w:rsidP="4251B09A">
      <w:pPr>
        <w:spacing w:after="240" w:line="240" w:lineRule="auto"/>
        <w:jc w:val="both"/>
        <w:rPr>
          <w:rFonts w:ascii="Times New Roman" w:hAnsi="Times New Roman"/>
          <w:noProof/>
        </w:rPr>
      </w:pPr>
      <w:r w:rsidRPr="002234C8">
        <w:rPr>
          <w:rFonts w:ascii="Times New Roman" w:hAnsi="Times New Roman"/>
          <w:b/>
          <w:noProof/>
        </w:rPr>
        <w:t>Persoanele de toate vârstele și din diferite discipline trebuie să dezvolte noi competențe.</w:t>
      </w:r>
      <w:r>
        <w:rPr>
          <w:rFonts w:ascii="Times New Roman" w:hAnsi="Times New Roman"/>
          <w:noProof/>
        </w:rPr>
        <w:t xml:space="preserve"> Nivelul de ocupare a forței de muncă în sectorul apei a crescut în ultimii ani și va continua să crească</w:t>
      </w:r>
      <w:r>
        <w:rPr>
          <w:rStyle w:val="FootnoteReference"/>
          <w:rFonts w:ascii="Times New Roman" w:hAnsi="Times New Roman"/>
          <w:noProof/>
        </w:rPr>
        <w:footnoteReference w:id="60"/>
      </w:r>
      <w:r>
        <w:rPr>
          <w:rFonts w:ascii="Times New Roman" w:hAnsi="Times New Roman"/>
          <w:noProof/>
        </w:rPr>
        <w:t>. Cu toate acestea, atât autoritățile publice, cât și sectorul privat se confruntă cu îmbătrânirea forței de muncă și cu un deficit de competențe, îndeosebi în domenii tehnice precum tratarea și gestionarea apei, precum și în ceea ce privește competențele digitale. Pachetul de măsuri privind uniunea competențelor, inclusiv Fondul social european Plus, poate impulsiona formarea autorităților, a profesioniștilor din domeniul gestionării apei și a comunităților. În ceea ce privește apa dulce și oceanele, trebuie promovate competențele în domeniul științei, tehnologiei, ingineriei și matematicii (STIM)</w:t>
      </w:r>
      <w:r>
        <w:rPr>
          <w:rStyle w:val="FootnoteReference"/>
          <w:rFonts w:eastAsiaTheme="minorEastAsia"/>
          <w:noProof/>
        </w:rPr>
        <w:footnoteReference w:id="61"/>
      </w:r>
      <w:r>
        <w:rPr>
          <w:rFonts w:ascii="Times New Roman" w:hAnsi="Times New Roman"/>
          <w:noProof/>
        </w:rPr>
        <w:t>. Pentru a dota forța de muncă din domeniul apei din UE cu competențele adecvate, Comisia, industria apei din UE și părțile interesate vor colabora inclusiv cu privire la posibila</w:t>
      </w:r>
      <w:r w:rsidRPr="002234C8">
        <w:rPr>
          <w:rFonts w:ascii="Times New Roman" w:hAnsi="Times New Roman"/>
          <w:b/>
          <w:noProof/>
        </w:rPr>
        <w:t xml:space="preserve"> </w:t>
      </w:r>
      <w:r>
        <w:rPr>
          <w:rFonts w:ascii="Times New Roman" w:hAnsi="Times New Roman"/>
          <w:noProof/>
        </w:rPr>
        <w:t xml:space="preserve">lansare a unui parteneriat la scară largă pentru competențe. În plus, Comisia va consolida formarea profesională prin creșterea sprijinului acordat Platformei de excelență profesională în domeniul apei. De asemenea, Comisia va utiliza rețeaua existentă a școlilor albastre europene pentru a crește nivelul de alfabetizare și de sensibilizare pentru a aborda protecția apelor dulci și a oceanelor în cadrul unei abordări de la sursă la mare. </w:t>
      </w:r>
    </w:p>
    <w:p w14:paraId="1124169F" w14:textId="0E5EC2D6" w:rsidR="00E94B96" w:rsidRPr="009F333A" w:rsidRDefault="00C34176" w:rsidP="00B723FC">
      <w:pPr>
        <w:spacing w:after="240" w:line="240" w:lineRule="auto"/>
        <w:jc w:val="both"/>
        <w:rPr>
          <w:rFonts w:ascii="Times New Roman" w:hAnsi="Times New Roman"/>
          <w:noProof/>
        </w:rPr>
      </w:pPr>
      <w:r w:rsidRPr="002234C8">
        <w:rPr>
          <w:rFonts w:ascii="Times New Roman" w:hAnsi="Times New Roman"/>
          <w:b/>
          <w:noProof/>
        </w:rPr>
        <w:t>În pofida unei baze solide de cunoștințe, există în continuare lacune în ceea ce privește înțelegerea situației apelor dulci și marine europene, a disponibilității resurselor de apă, a schimbărilor climatice și a legăturii dintre apă și energie și ecosistemele alimentare</w:t>
      </w:r>
      <w:r>
        <w:rPr>
          <w:rFonts w:ascii="Times New Roman" w:hAnsi="Times New Roman"/>
          <w:noProof/>
        </w:rPr>
        <w:t xml:space="preserve">. Utilizarea eficace a fondurilor UE pentru cercetare poate contribui la introducerea pe piață a tehnologiilor inovatoare și la sprijinirea IMM-urilor. Pe baza cercetării de vârf din cadrul misiunilor UE de refacere a oceanelor și apelor noastre și de adaptare la schimbările climatice, Comisia va adopta, până la sfârșitul anului </w:t>
      </w:r>
      <w:r w:rsidRPr="002234C8">
        <w:rPr>
          <w:rFonts w:ascii="Times New Roman" w:hAnsi="Times New Roman"/>
          <w:noProof/>
        </w:rPr>
        <w:t>2026</w:t>
      </w:r>
      <w:r>
        <w:rPr>
          <w:rFonts w:ascii="Times New Roman" w:hAnsi="Times New Roman"/>
          <w:noProof/>
        </w:rPr>
        <w:t>, o strategie de C&amp;I în domeniul rezilienței în domeniul apei, care va aborda fragmentarea inițiativelor UE în materie de C&amp;I.</w:t>
      </w:r>
    </w:p>
    <w:p w14:paraId="640D1C91" w14:textId="1A8782D6" w:rsidR="4D4C52AE" w:rsidRPr="002234C8" w:rsidRDefault="0086276C" w:rsidP="007F521D">
      <w:pPr>
        <w:spacing w:after="240" w:line="240" w:lineRule="auto"/>
        <w:jc w:val="both"/>
        <w:rPr>
          <w:rFonts w:ascii="Times New Roman" w:eastAsia="Times New Roman" w:hAnsi="Times New Roman" w:cs="Times New Roman"/>
          <w:b/>
          <w:bCs/>
          <w:noProof/>
        </w:rPr>
      </w:pPr>
      <w:r w:rsidRPr="002234C8">
        <w:rPr>
          <w:rFonts w:ascii="Times New Roman" w:hAnsi="Times New Roman"/>
          <w:b/>
          <w:noProof/>
        </w:rPr>
        <w:t>În cele din urmă, pentru a stimula competitivitatea Europei în domeniul apei prin stimularea inovării și eliminarea lacunelor în materie de competențe și cunoștințe, trebuie să creăm mai multe sinergii și să conectăm industria, educația și cercetarea cu o abordare de la sursă la mare</w:t>
      </w:r>
      <w:r>
        <w:rPr>
          <w:rFonts w:ascii="Times New Roman" w:hAnsi="Times New Roman"/>
          <w:noProof/>
        </w:rPr>
        <w:t xml:space="preserve">. Acesta este motivul pentru care Comisia va lansa, în </w:t>
      </w:r>
      <w:r w:rsidRPr="002234C8">
        <w:rPr>
          <w:rFonts w:ascii="Times New Roman" w:hAnsi="Times New Roman"/>
          <w:noProof/>
        </w:rPr>
        <w:t>2026</w:t>
      </w:r>
      <w:r>
        <w:rPr>
          <w:rFonts w:ascii="Times New Roman" w:hAnsi="Times New Roman"/>
          <w:noProof/>
        </w:rPr>
        <w:t>, o comunitate de cunoaștere și inovare (CCI) în sectoarele și ecosistemele de apă, marine și maritime, în cadrul Institutului European de Tehnologie (EIT).</w:t>
      </w:r>
    </w:p>
    <w:tbl>
      <w:tblPr>
        <w:tblStyle w:val="TableGrid"/>
        <w:tblW w:w="0" w:type="auto"/>
        <w:tblLook w:val="04A0" w:firstRow="1" w:lastRow="0" w:firstColumn="1" w:lastColumn="0" w:noHBand="0" w:noVBand="1"/>
      </w:tblPr>
      <w:tblGrid>
        <w:gridCol w:w="7225"/>
        <w:gridCol w:w="1791"/>
      </w:tblGrid>
      <w:tr w:rsidR="491A941D" w:rsidRPr="009F333A" w14:paraId="3B18BA06" w14:textId="77777777" w:rsidTr="09B83B87">
        <w:trPr>
          <w:trHeight w:val="300"/>
        </w:trPr>
        <w:tc>
          <w:tcPr>
            <w:tcW w:w="7225" w:type="dxa"/>
            <w:shd w:val="clear" w:color="auto" w:fill="A5C9EB" w:themeFill="text2" w:themeFillTint="40"/>
          </w:tcPr>
          <w:p w14:paraId="3CFB30B2" w14:textId="6885CD81" w:rsidR="491A941D" w:rsidRPr="009F333A" w:rsidRDefault="55DCA886" w:rsidP="491A941D">
            <w:pPr>
              <w:pStyle w:val="paragraph"/>
              <w:spacing w:before="0" w:beforeAutospacing="0" w:after="0" w:afterAutospacing="0"/>
              <w:jc w:val="center"/>
              <w:rPr>
                <w:rFonts w:eastAsia="Calibri"/>
                <w:b/>
                <w:bCs/>
                <w:noProof/>
                <w:sz w:val="24"/>
                <w:szCs w:val="24"/>
              </w:rPr>
            </w:pPr>
            <w:r w:rsidRPr="002234C8">
              <w:rPr>
                <w:b/>
                <w:noProof/>
                <w:sz w:val="24"/>
              </w:rPr>
              <w:t>Acțiuni emblematice – Cercetare și inovare, industria apei și competențe pentru consolidarea competitivității</w:t>
            </w:r>
          </w:p>
        </w:tc>
        <w:tc>
          <w:tcPr>
            <w:tcW w:w="1791" w:type="dxa"/>
            <w:shd w:val="clear" w:color="auto" w:fill="A5C9EB" w:themeFill="text2" w:themeFillTint="40"/>
          </w:tcPr>
          <w:p w14:paraId="01CEF3F8" w14:textId="768A7A48" w:rsidR="491A941D" w:rsidRPr="002234C8" w:rsidRDefault="491A941D" w:rsidP="491A941D">
            <w:pPr>
              <w:pStyle w:val="paragraph"/>
              <w:spacing w:before="0" w:beforeAutospacing="0" w:after="0" w:afterAutospacing="0"/>
              <w:jc w:val="center"/>
              <w:rPr>
                <w:rFonts w:eastAsia="Calibri"/>
                <w:b/>
                <w:bCs/>
                <w:noProof/>
                <w:sz w:val="24"/>
                <w:szCs w:val="24"/>
              </w:rPr>
            </w:pPr>
            <w:r w:rsidRPr="002234C8">
              <w:rPr>
                <w:b/>
                <w:noProof/>
                <w:sz w:val="24"/>
              </w:rPr>
              <w:t>Calendar</w:t>
            </w:r>
          </w:p>
        </w:tc>
      </w:tr>
      <w:tr w:rsidR="00C47C3B" w:rsidRPr="009F333A" w14:paraId="1F5283DE" w14:textId="77777777" w:rsidTr="09B83B87">
        <w:trPr>
          <w:trHeight w:val="300"/>
        </w:trPr>
        <w:tc>
          <w:tcPr>
            <w:tcW w:w="7225" w:type="dxa"/>
          </w:tcPr>
          <w:p w14:paraId="487ADD4F" w14:textId="07089EA7" w:rsidR="00C47C3B" w:rsidRPr="002234C8" w:rsidRDefault="00541F39" w:rsidP="1D1BF648">
            <w:pPr>
              <w:jc w:val="both"/>
              <w:rPr>
                <w:rFonts w:ascii="Times New Roman" w:eastAsia="Times New Roman" w:hAnsi="Times New Roman" w:cs="Times New Roman"/>
                <w:b/>
                <w:bCs/>
                <w:noProof/>
                <w:sz w:val="24"/>
                <w:szCs w:val="24"/>
              </w:rPr>
            </w:pPr>
            <w:r>
              <w:rPr>
                <w:rFonts w:ascii="Times New Roman" w:hAnsi="Times New Roman"/>
                <w:noProof/>
                <w:sz w:val="24"/>
              </w:rPr>
              <w:t>O interfață științifică/politică pentru diseminarea rezultatelor proiectelor de C&amp;I, finanțate de UE, de exemplu prin intermediul unei platforme de tip ghișeu unic.</w:t>
            </w:r>
          </w:p>
        </w:tc>
        <w:tc>
          <w:tcPr>
            <w:tcW w:w="1791" w:type="dxa"/>
          </w:tcPr>
          <w:p w14:paraId="2C89035B" w14:textId="23275558" w:rsidR="00C47C3B" w:rsidRPr="002234C8" w:rsidRDefault="6ED72890" w:rsidP="1D1BF648">
            <w:pPr>
              <w:pStyle w:val="paragraph"/>
              <w:jc w:val="center"/>
              <w:rPr>
                <w:b/>
                <w:bCs/>
                <w:noProof/>
              </w:rPr>
            </w:pPr>
            <w:r w:rsidRPr="002234C8">
              <w:rPr>
                <w:noProof/>
              </w:rPr>
              <w:t>2026</w:t>
            </w:r>
            <w:r>
              <w:rPr>
                <w:noProof/>
              </w:rPr>
              <w:t xml:space="preserve"> </w:t>
            </w:r>
          </w:p>
        </w:tc>
      </w:tr>
      <w:tr w:rsidR="491A941D" w:rsidRPr="009F333A" w14:paraId="2B79D5D1" w14:textId="77777777" w:rsidTr="09B83B87">
        <w:trPr>
          <w:trHeight w:val="300"/>
        </w:trPr>
        <w:tc>
          <w:tcPr>
            <w:tcW w:w="7225" w:type="dxa"/>
          </w:tcPr>
          <w:p w14:paraId="587CFF92" w14:textId="05E068BA" w:rsidR="491A941D" w:rsidRPr="009F333A" w:rsidRDefault="004469DE" w:rsidP="1D1BF648">
            <w:pPr>
              <w:jc w:val="both"/>
              <w:rPr>
                <w:rFonts w:ascii="Times New Roman" w:eastAsia="Times New Roman" w:hAnsi="Times New Roman" w:cs="Times New Roman"/>
                <w:noProof/>
                <w:sz w:val="24"/>
                <w:szCs w:val="24"/>
              </w:rPr>
            </w:pPr>
            <w:r>
              <w:rPr>
                <w:rFonts w:ascii="Times New Roman" w:hAnsi="Times New Roman"/>
                <w:noProof/>
                <w:sz w:val="24"/>
              </w:rPr>
              <w:t>Strategia C&amp;I privind reziliența în domeniul apei.</w:t>
            </w:r>
          </w:p>
        </w:tc>
        <w:tc>
          <w:tcPr>
            <w:tcW w:w="1791" w:type="dxa"/>
          </w:tcPr>
          <w:p w14:paraId="0D140D05" w14:textId="53761434" w:rsidR="491A941D" w:rsidRPr="009F333A" w:rsidRDefault="00926EC2" w:rsidP="002F71BB">
            <w:pPr>
              <w:pStyle w:val="paragraph"/>
              <w:jc w:val="center"/>
              <w:rPr>
                <w:rFonts w:eastAsia="Calibri"/>
                <w:noProof/>
                <w:sz w:val="24"/>
                <w:szCs w:val="24"/>
              </w:rPr>
            </w:pPr>
            <w:r w:rsidRPr="002234C8">
              <w:rPr>
                <w:noProof/>
                <w:sz w:val="24"/>
              </w:rPr>
              <w:t>2026</w:t>
            </w:r>
          </w:p>
        </w:tc>
      </w:tr>
      <w:tr w:rsidR="491A941D" w:rsidRPr="009F333A" w14:paraId="4EAC3711" w14:textId="77777777" w:rsidTr="09B83B87">
        <w:trPr>
          <w:trHeight w:val="300"/>
        </w:trPr>
        <w:tc>
          <w:tcPr>
            <w:tcW w:w="7225" w:type="dxa"/>
          </w:tcPr>
          <w:p w14:paraId="27619A7C" w14:textId="0D1E5A00" w:rsidR="491A941D" w:rsidRPr="009F333A" w:rsidRDefault="491A941D" w:rsidP="00905E09">
            <w:pPr>
              <w:jc w:val="both"/>
              <w:rPr>
                <w:rFonts w:ascii="Times New Roman" w:eastAsia="Times New Roman" w:hAnsi="Times New Roman" w:cs="Times New Roman"/>
                <w:noProof/>
                <w:sz w:val="24"/>
                <w:szCs w:val="24"/>
              </w:rPr>
            </w:pPr>
            <w:r>
              <w:rPr>
                <w:rFonts w:ascii="Times New Roman" w:hAnsi="Times New Roman"/>
                <w:noProof/>
                <w:sz w:val="24"/>
              </w:rPr>
              <w:t>Alianța industrială inteligentă în domeniul apei pentru stimularea competitivității.</w:t>
            </w:r>
          </w:p>
        </w:tc>
        <w:tc>
          <w:tcPr>
            <w:tcW w:w="1791" w:type="dxa"/>
          </w:tcPr>
          <w:p w14:paraId="0DF12047" w14:textId="6D3E7021" w:rsidR="491A941D" w:rsidRPr="009F333A" w:rsidRDefault="00DC3322" w:rsidP="00905E09">
            <w:pPr>
              <w:jc w:val="center"/>
              <w:rPr>
                <w:noProof/>
                <w:sz w:val="24"/>
                <w:szCs w:val="24"/>
              </w:rPr>
            </w:pPr>
            <w:r w:rsidRPr="002234C8">
              <w:rPr>
                <w:rFonts w:ascii="Times New Roman" w:hAnsi="Times New Roman"/>
                <w:noProof/>
              </w:rPr>
              <w:t>2026</w:t>
            </w:r>
          </w:p>
        </w:tc>
      </w:tr>
      <w:tr w:rsidR="491A941D" w:rsidRPr="009F333A" w14:paraId="40E06F12" w14:textId="77777777" w:rsidTr="09B83B87">
        <w:trPr>
          <w:trHeight w:val="300"/>
        </w:trPr>
        <w:tc>
          <w:tcPr>
            <w:tcW w:w="7225" w:type="dxa"/>
          </w:tcPr>
          <w:p w14:paraId="6C6F1A0E" w14:textId="606F6ED7" w:rsidR="491A941D" w:rsidRPr="009F333A" w:rsidRDefault="00E9019B" w:rsidP="00905E09">
            <w:pPr>
              <w:jc w:val="both"/>
              <w:rPr>
                <w:rFonts w:ascii="Times New Roman" w:eastAsia="Times New Roman" w:hAnsi="Times New Roman" w:cs="Times New Roman"/>
                <w:noProof/>
                <w:sz w:val="24"/>
                <w:szCs w:val="24"/>
              </w:rPr>
            </w:pPr>
            <w:r>
              <w:rPr>
                <w:rFonts w:ascii="Times New Roman" w:hAnsi="Times New Roman"/>
                <w:noProof/>
                <w:sz w:val="24"/>
              </w:rPr>
              <w:t>Academia Europeană a Apei.</w:t>
            </w:r>
          </w:p>
        </w:tc>
        <w:tc>
          <w:tcPr>
            <w:tcW w:w="1791" w:type="dxa"/>
          </w:tcPr>
          <w:p w14:paraId="60F7C33E" w14:textId="508F1BD8" w:rsidR="491A941D" w:rsidRPr="009F333A" w:rsidRDefault="00926EC2" w:rsidP="00905E09">
            <w:pPr>
              <w:jc w:val="center"/>
              <w:rPr>
                <w:noProof/>
                <w:sz w:val="24"/>
                <w:szCs w:val="24"/>
              </w:rPr>
            </w:pPr>
            <w:r w:rsidRPr="002234C8">
              <w:rPr>
                <w:rFonts w:ascii="Times New Roman" w:hAnsi="Times New Roman"/>
                <w:noProof/>
              </w:rPr>
              <w:t>2026</w:t>
            </w:r>
            <w:r>
              <w:rPr>
                <w:rFonts w:ascii="Times New Roman" w:hAnsi="Times New Roman"/>
                <w:noProof/>
              </w:rPr>
              <w:t>-</w:t>
            </w:r>
            <w:r w:rsidRPr="002234C8">
              <w:rPr>
                <w:rFonts w:ascii="Times New Roman" w:hAnsi="Times New Roman"/>
                <w:noProof/>
              </w:rPr>
              <w:t>2027</w:t>
            </w:r>
          </w:p>
        </w:tc>
      </w:tr>
      <w:tr w:rsidR="000963D5" w:rsidRPr="009F333A" w14:paraId="12800CBC" w14:textId="77777777" w:rsidTr="09B83B87">
        <w:trPr>
          <w:trHeight w:val="300"/>
        </w:trPr>
        <w:tc>
          <w:tcPr>
            <w:tcW w:w="7225" w:type="dxa"/>
          </w:tcPr>
          <w:p w14:paraId="52B84D91" w14:textId="2DFC1AD4" w:rsidR="000963D5" w:rsidRPr="009F333A" w:rsidRDefault="003D60F6" w:rsidP="00905E09">
            <w:pPr>
              <w:jc w:val="both"/>
              <w:rPr>
                <w:rFonts w:ascii="Times New Roman" w:eastAsia="Times New Roman" w:hAnsi="Times New Roman" w:cs="Times New Roman"/>
                <w:noProof/>
                <w:sz w:val="24"/>
                <w:szCs w:val="24"/>
              </w:rPr>
            </w:pPr>
            <w:r>
              <w:rPr>
                <w:rFonts w:ascii="Times New Roman" w:hAnsi="Times New Roman"/>
                <w:noProof/>
                <w:sz w:val="24"/>
              </w:rPr>
              <w:t>Comunitatea de cunoaștere și inovare (CCI) în sectoarele și ecosistemele de apă, marine și maritime din cadrul Institutului European de Inovare și Tehnologie (EIT).</w:t>
            </w:r>
          </w:p>
        </w:tc>
        <w:tc>
          <w:tcPr>
            <w:tcW w:w="1791" w:type="dxa"/>
          </w:tcPr>
          <w:p w14:paraId="0384A379" w14:textId="594AA562" w:rsidR="000963D5" w:rsidRPr="009F333A" w:rsidRDefault="003D60F6" w:rsidP="00905E09">
            <w:pPr>
              <w:jc w:val="center"/>
              <w:rPr>
                <w:rFonts w:ascii="Times New Roman" w:hAnsi="Times New Roman" w:cs="Times New Roman"/>
                <w:noProof/>
              </w:rPr>
            </w:pPr>
            <w:r w:rsidRPr="002234C8">
              <w:rPr>
                <w:rFonts w:ascii="Times New Roman" w:hAnsi="Times New Roman"/>
                <w:noProof/>
              </w:rPr>
              <w:t>2026</w:t>
            </w:r>
          </w:p>
        </w:tc>
      </w:tr>
    </w:tbl>
    <w:p w14:paraId="15A3A41F" w14:textId="4627F524" w:rsidR="491A941D" w:rsidRPr="009F333A" w:rsidRDefault="491A941D" w:rsidP="00B723FC">
      <w:pPr>
        <w:spacing w:after="240" w:line="240" w:lineRule="auto"/>
        <w:jc w:val="both"/>
        <w:rPr>
          <w:rFonts w:ascii="Times New Roman" w:hAnsi="Times New Roman" w:cs="Times New Roman"/>
          <w:noProof/>
        </w:rPr>
      </w:pPr>
    </w:p>
    <w:p w14:paraId="425B56C9" w14:textId="0B982FDE" w:rsidR="00EF6F10" w:rsidRPr="002234C8" w:rsidRDefault="00EA774E" w:rsidP="00B723FC">
      <w:pPr>
        <w:pStyle w:val="Heading2"/>
        <w:spacing w:before="0" w:after="240" w:line="240" w:lineRule="auto"/>
        <w:jc w:val="both"/>
        <w:rPr>
          <w:rFonts w:ascii="Times New Roman" w:hAnsi="Times New Roman" w:cs="Times New Roman"/>
          <w:b/>
          <w:bCs/>
          <w:noProof/>
          <w:color w:val="auto"/>
          <w:sz w:val="24"/>
          <w:szCs w:val="24"/>
        </w:rPr>
      </w:pPr>
      <w:bookmarkStart w:id="8" w:name="_Hlk197781391"/>
      <w:r w:rsidRPr="002234C8">
        <w:rPr>
          <w:rFonts w:ascii="Times New Roman" w:hAnsi="Times New Roman"/>
          <w:b/>
          <w:noProof/>
          <w:color w:val="auto"/>
          <w:sz w:val="24"/>
        </w:rPr>
        <w:t>3.5</w:t>
      </w:r>
      <w:r>
        <w:rPr>
          <w:noProof/>
        </w:rPr>
        <w:tab/>
      </w:r>
      <w:r w:rsidRPr="002234C8">
        <w:rPr>
          <w:rFonts w:ascii="Times New Roman" w:hAnsi="Times New Roman"/>
          <w:b/>
          <w:noProof/>
          <w:color w:val="auto"/>
          <w:sz w:val="24"/>
        </w:rPr>
        <w:t>Securitatea și pregătirea pentru stimularea rezilienței colective</w:t>
      </w:r>
    </w:p>
    <w:bookmarkEnd w:id="8"/>
    <w:p w14:paraId="02D292F6" w14:textId="03A36027" w:rsidR="00633898" w:rsidRPr="007D3D7E" w:rsidRDefault="7FF28CE3" w:rsidP="4251B09A">
      <w:pPr>
        <w:spacing w:after="240" w:line="240" w:lineRule="auto"/>
        <w:jc w:val="both"/>
        <w:rPr>
          <w:rFonts w:ascii="Times New Roman" w:eastAsia="Times New Roman" w:hAnsi="Times New Roman" w:cs="Times New Roman"/>
          <w:noProof/>
          <w:color w:val="008080"/>
          <w:u w:val="single"/>
        </w:rPr>
      </w:pPr>
      <w:r w:rsidRPr="002234C8">
        <w:rPr>
          <w:rFonts w:ascii="Times New Roman" w:hAnsi="Times New Roman"/>
          <w:b/>
          <w:noProof/>
        </w:rPr>
        <w:t>Amenințările generate de climă și pierderile de biodiversitate, atacurile răuvoitoare legate de perturbarea infrastructurii critice de apă și a aprovizionării cu apă, alături de poluarea accidentală a apelor interioare și marine au fost identificate de statele membre ca fiind principalele riscuri legate de apă</w:t>
      </w:r>
      <w:r>
        <w:rPr>
          <w:rFonts w:ascii="Times New Roman" w:hAnsi="Times New Roman"/>
          <w:noProof/>
        </w:rPr>
        <w:t xml:space="preserve">. În ultimii ani, astfel de dezastre au declanșat un număr tot mai mare de cereri de asistență din partea mecanismului de protecție civilă al UE (UCPM), atât în Europa, cât și în alte părți ale lumii. UE va continua să dea dovadă de solidaritate pentru cooperarea transfrontalieră, însă, pentru a utiliza în mod eficient fondurile disponibile și pentru a reduce nevoia de ajutor în caz de dezastre, o astfel de solidaritate trebuie </w:t>
      </w:r>
      <w:r>
        <w:rPr>
          <w:rFonts w:ascii="Times New Roman" w:hAnsi="Times New Roman"/>
          <w:noProof/>
          <w:color w:val="000000" w:themeColor="text1"/>
        </w:rPr>
        <w:t xml:space="preserve">să fie completată de </w:t>
      </w:r>
      <w:r>
        <w:rPr>
          <w:rFonts w:ascii="Times New Roman" w:hAnsi="Times New Roman"/>
          <w:noProof/>
        </w:rPr>
        <w:t>principiile pregătirii din faza de proiectare. În acest context, prezintă o relevanță deosebită Regulamentul RESTORE</w:t>
      </w:r>
      <w:r>
        <w:rPr>
          <w:rFonts w:ascii="Times New Roman" w:eastAsia="Times New Roman" w:hAnsi="Times New Roman" w:cs="Times New Roman"/>
          <w:noProof/>
          <w:vertAlign w:val="superscript"/>
        </w:rPr>
        <w:footnoteReference w:id="62"/>
      </w:r>
      <w:r>
        <w:rPr>
          <w:rFonts w:ascii="Times New Roman" w:hAnsi="Times New Roman"/>
          <w:noProof/>
        </w:rPr>
        <w:t>, care sprijină statele membre să mobilizeze rapid fonduri, precum și evaluarea la jumătatea perioadei a politicii de coeziune.</w:t>
      </w:r>
    </w:p>
    <w:p w14:paraId="67B783BD" w14:textId="4AC40948" w:rsidR="00633898" w:rsidRPr="009F333A" w:rsidRDefault="7FF28CE3" w:rsidP="00B723FC">
      <w:pPr>
        <w:spacing w:before="100" w:beforeAutospacing="1" w:after="240" w:line="240" w:lineRule="auto"/>
        <w:jc w:val="both"/>
        <w:rPr>
          <w:rFonts w:ascii="Times New Roman" w:eastAsia="Times New Roman" w:hAnsi="Times New Roman" w:cs="Times New Roman"/>
          <w:noProof/>
        </w:rPr>
      </w:pPr>
      <w:r w:rsidRPr="002234C8">
        <w:rPr>
          <w:rFonts w:ascii="Times New Roman" w:hAnsi="Times New Roman"/>
          <w:b/>
          <w:noProof/>
        </w:rPr>
        <w:t>Cetățenii au nevoie de soluții locale care să îi protejeze și să le permită să fie pregătiți pentru ceea ce nu poate fi prevenit</w:t>
      </w:r>
      <w:r>
        <w:rPr>
          <w:rFonts w:ascii="Times New Roman" w:hAnsi="Times New Roman"/>
          <w:noProof/>
        </w:rPr>
        <w:t>, în conformitate cu Strategia europeană privind o Uniune a pregătirii</w:t>
      </w:r>
      <w:r>
        <w:rPr>
          <w:rFonts w:ascii="Times New Roman" w:eastAsia="Times New Roman" w:hAnsi="Times New Roman" w:cs="Times New Roman"/>
          <w:noProof/>
          <w:vertAlign w:val="superscript"/>
        </w:rPr>
        <w:footnoteReference w:id="63"/>
      </w:r>
      <w:r>
        <w:rPr>
          <w:rFonts w:ascii="Times New Roman" w:hAnsi="Times New Roman"/>
          <w:noProof/>
        </w:rPr>
        <w:t>. Astfel de acțiuni trebuie să integreze considerente de planificare urbană pentru a combate poluarea, contribuind în același timp la atenuarea schimbărilor climatice și adaptarea la acestea, la îmbunătățirea gestionării riscurilor de secetă și inundații, la optimizarea utilizării instrumentelor digitale și a sistemelor de alertă rapidă, precum și la consolidarea legăturilor cu instrumentele de gestionare a riscurilor deja existente la nivelul european (cum ar fi instrumentele de avertizare timpurie ale serviciului Copernicus de gestionare a situațiilor de urgență</w:t>
      </w:r>
      <w:r>
        <w:rPr>
          <w:rFonts w:ascii="Times New Roman" w:eastAsia="Times New Roman" w:hAnsi="Times New Roman" w:cs="Times New Roman"/>
          <w:noProof/>
          <w:vertAlign w:val="superscript"/>
        </w:rPr>
        <w:footnoteReference w:id="64"/>
      </w:r>
      <w:r>
        <w:rPr>
          <w:rFonts w:ascii="Times New Roman" w:hAnsi="Times New Roman"/>
          <w:noProof/>
          <w:vertAlign w:val="superscript"/>
        </w:rPr>
        <w:t>)</w:t>
      </w:r>
      <w:r>
        <w:rPr>
          <w:rFonts w:ascii="Times New Roman" w:hAnsi="Times New Roman"/>
          <w:noProof/>
        </w:rPr>
        <w:t>, la nivel național și local. Cetățenii și comunitățile trebuie să aibă capacitatea de a acționa în direcția adaptării la schimbările climatice și a protecției împotriva riscurilor de inundații și de secetă. Punerea la dispoziție a informațiilor cu privire la riscurile specifice de inundații și de secetă pentru clădiri și terenuri reprezintă un prim pas către creșterea rezilienței societății.</w:t>
      </w:r>
    </w:p>
    <w:p w14:paraId="00C2F4CF" w14:textId="07434AAB" w:rsidR="00633898" w:rsidRPr="00B723FC" w:rsidRDefault="7FF28CE3" w:rsidP="00B723FC">
      <w:pPr>
        <w:spacing w:after="240" w:line="240" w:lineRule="auto"/>
        <w:jc w:val="both"/>
        <w:rPr>
          <w:rFonts w:ascii="Times New Roman" w:eastAsia="Times New Roman" w:hAnsi="Times New Roman" w:cs="Times New Roman"/>
          <w:noProof/>
        </w:rPr>
      </w:pPr>
      <w:r w:rsidRPr="002234C8">
        <w:rPr>
          <w:rFonts w:ascii="Times New Roman" w:hAnsi="Times New Roman"/>
          <w:b/>
          <w:noProof/>
        </w:rPr>
        <w:t>În UE există numeroase instrumente pentru a proteja populația împotriva dezastrelor legate de apă sau pentru a atenua impactul acestora, însă ele nu sunt întotdeauna suficient de cunoscute sau utilizate.</w:t>
      </w:r>
      <w:r>
        <w:rPr>
          <w:rFonts w:ascii="Times New Roman" w:hAnsi="Times New Roman"/>
          <w:noProof/>
        </w:rPr>
        <w:t xml:space="preserve"> Este important ca cetățenii să poată înțelege și gestiona riscurile tot mai mari ale dezastrelor hidrologice determinate de schimbările climatice, astfel cum se prevede în obiectivele Uniunii în materie de reziliență la dezastre, elaborate în cadrul UCPM</w:t>
      </w:r>
      <w:r>
        <w:rPr>
          <w:rFonts w:ascii="Times New Roman" w:eastAsia="Times New Roman" w:hAnsi="Times New Roman" w:cs="Times New Roman"/>
          <w:noProof/>
          <w:vertAlign w:val="superscript"/>
        </w:rPr>
        <w:footnoteReference w:id="65"/>
      </w:r>
      <w:r>
        <w:rPr>
          <w:rFonts w:ascii="Times New Roman" w:hAnsi="Times New Roman"/>
          <w:noProof/>
        </w:rPr>
        <w:t xml:space="preserve">. Comisia va consolida sistemele UE de alertă timpurie și de monitorizare în timp real pentru inundații și secetă prin sprijinirea acțiunilor statelor membre, prin consolidarea Observatorului european al secetei și a Sistemului european de avertizare în caz de inundații al serviciului Copernicus de gestionare a situațiilor de urgență. </w:t>
      </w:r>
    </w:p>
    <w:p w14:paraId="653920A0" w14:textId="122AD454" w:rsidR="00633898" w:rsidRPr="00B723FC" w:rsidRDefault="7FF28CE3" w:rsidP="00B723FC">
      <w:pPr>
        <w:spacing w:after="240" w:line="240" w:lineRule="auto"/>
        <w:jc w:val="both"/>
        <w:rPr>
          <w:rFonts w:ascii="Times New Roman" w:eastAsia="Times New Roman" w:hAnsi="Times New Roman" w:cs="Times New Roman"/>
          <w:noProof/>
          <w:color w:val="000000" w:themeColor="text1"/>
        </w:rPr>
      </w:pPr>
      <w:r w:rsidRPr="002234C8">
        <w:rPr>
          <w:rFonts w:ascii="Times New Roman" w:hAnsi="Times New Roman"/>
          <w:b/>
          <w:noProof/>
        </w:rPr>
        <w:t>Cunoașterea și abordarea punctelor noastre slabe ne vor face mai rezilienți.</w:t>
      </w:r>
      <w:r>
        <w:rPr>
          <w:rFonts w:ascii="Times New Roman" w:hAnsi="Times New Roman"/>
          <w:noProof/>
        </w:rPr>
        <w:t xml:space="preserve"> Pe măsură ce frecvența și gravitatea impactului atacurilor cibernetice împotriva instalațiilor de alimentare cu apă cresc, o planificare adecvată a securității și o mai bună înțelegere a vulnerabilităților vor ajuta Uniunea și operatorii economici să contracareze acțiunile ostile împotriva integrității fizice și cibernetice, inclusiv a infrastructurii de alimentare cu apă potabilă și de epurare a apelor uzate, precum și contaminarea deliberată cu apă.</w:t>
      </w:r>
      <w:r>
        <w:rPr>
          <w:rFonts w:ascii="Times New Roman" w:hAnsi="Times New Roman"/>
          <w:noProof/>
          <w:color w:val="000000"/>
        </w:rPr>
        <w:t xml:space="preserve"> Această planificare va beneficia în mare măsură de punerea deplină în aplicare </w:t>
      </w:r>
      <w:r>
        <w:rPr>
          <w:rFonts w:ascii="Times New Roman" w:hAnsi="Times New Roman"/>
          <w:noProof/>
        </w:rPr>
        <w:t>a Directivei privind reziliența entităților critice (REC)</w:t>
      </w:r>
      <w:r>
        <w:rPr>
          <w:rStyle w:val="FootnoteReference"/>
          <w:rFonts w:ascii="Times New Roman" w:eastAsia="Times New Roman" w:hAnsi="Times New Roman" w:cs="Times New Roman"/>
          <w:noProof/>
        </w:rPr>
        <w:footnoteReference w:id="66"/>
      </w:r>
      <w:r>
        <w:rPr>
          <w:rFonts w:ascii="Times New Roman" w:hAnsi="Times New Roman"/>
          <w:noProof/>
        </w:rPr>
        <w:t xml:space="preserve"> și a Directivei privind măsuri pentru un nivel comun ridicat de securitate cibernetică în Uniune (Directiva NIS </w:t>
      </w:r>
      <w:r w:rsidRPr="002234C8">
        <w:rPr>
          <w:rFonts w:ascii="Times New Roman" w:hAnsi="Times New Roman"/>
          <w:noProof/>
        </w:rPr>
        <w:t>2</w:t>
      </w:r>
      <w:r>
        <w:rPr>
          <w:rFonts w:ascii="Times New Roman" w:hAnsi="Times New Roman"/>
          <w:noProof/>
        </w:rPr>
        <w:t>)</w:t>
      </w:r>
      <w:r>
        <w:rPr>
          <w:rFonts w:ascii="Times New Roman" w:eastAsia="Times New Roman" w:hAnsi="Times New Roman" w:cs="Times New Roman"/>
          <w:noProof/>
          <w:vertAlign w:val="superscript"/>
        </w:rPr>
        <w:footnoteReference w:id="67"/>
      </w:r>
      <w:r>
        <w:rPr>
          <w:rFonts w:ascii="Times New Roman" w:hAnsi="Times New Roman"/>
          <w:noProof/>
        </w:rPr>
        <w:t>. Viitoarea comunicare a Comisiei de stabilire a unor orientări fără caracter obligatoriu pentru a sprijini statele membre în identificarea entităților lor critice și în raportarea cu privire la rezultatele evaluărilor riscurilor se va aplica sectoarelor apei potabile și apelor uzate, în conformitate cu domeniul de aplicare al Directivei REC. Un alt element important al consolidării rezilienței UE este sprijinirea autorităților publice, a întreprinderilor și a publicului în pregătirea pentru viitoarele riscuri climatice, inclusiv prin utilizarea unor scenarii comune de referință în materie de climă și a unor instrumente digitale pentru sistemele UE de alertă timpurie și monitorizare în timp real.</w:t>
      </w:r>
    </w:p>
    <w:tbl>
      <w:tblPr>
        <w:tblStyle w:val="TableGrid"/>
        <w:tblW w:w="0" w:type="auto"/>
        <w:tblLook w:val="04A0" w:firstRow="1" w:lastRow="0" w:firstColumn="1" w:lastColumn="0" w:noHBand="0" w:noVBand="1"/>
      </w:tblPr>
      <w:tblGrid>
        <w:gridCol w:w="7366"/>
        <w:gridCol w:w="1650"/>
      </w:tblGrid>
      <w:tr w:rsidR="791D9994" w:rsidRPr="009F333A" w14:paraId="155A76F2" w14:textId="77777777" w:rsidTr="1D1BF648">
        <w:trPr>
          <w:trHeight w:val="300"/>
        </w:trPr>
        <w:tc>
          <w:tcPr>
            <w:tcW w:w="7366" w:type="dxa"/>
            <w:shd w:val="clear" w:color="auto" w:fill="A5C9EB" w:themeFill="text2" w:themeFillTint="40"/>
          </w:tcPr>
          <w:p w14:paraId="53D552EE" w14:textId="29CD80FE" w:rsidR="59BC6D07" w:rsidRPr="009F333A" w:rsidRDefault="00633898" w:rsidP="791D9994">
            <w:pPr>
              <w:pStyle w:val="paragraph"/>
              <w:spacing w:before="0" w:beforeAutospacing="0" w:after="0" w:afterAutospacing="0"/>
              <w:jc w:val="center"/>
              <w:rPr>
                <w:b/>
                <w:bCs/>
                <w:noProof/>
                <w:sz w:val="24"/>
                <w:szCs w:val="24"/>
              </w:rPr>
            </w:pPr>
            <w:r>
              <w:rPr>
                <w:noProof/>
              </w:rPr>
              <w:t xml:space="preserve"> </w:t>
            </w:r>
            <w:r w:rsidRPr="002234C8">
              <w:rPr>
                <w:b/>
                <w:noProof/>
                <w:sz w:val="24"/>
              </w:rPr>
              <w:t>Acțiuni emblematice – Securitatea și pregătirea pentru stimularea rezilienței colective</w:t>
            </w:r>
          </w:p>
        </w:tc>
        <w:tc>
          <w:tcPr>
            <w:tcW w:w="1650" w:type="dxa"/>
            <w:shd w:val="clear" w:color="auto" w:fill="A5C9EB" w:themeFill="text2" w:themeFillTint="40"/>
          </w:tcPr>
          <w:p w14:paraId="2F9924BC" w14:textId="768A7A48" w:rsidR="791D9994" w:rsidRPr="002234C8" w:rsidRDefault="791D9994" w:rsidP="791D9994">
            <w:pPr>
              <w:pStyle w:val="paragraph"/>
              <w:spacing w:before="0" w:beforeAutospacing="0" w:after="0" w:afterAutospacing="0"/>
              <w:jc w:val="center"/>
              <w:rPr>
                <w:rFonts w:eastAsia="Calibri"/>
                <w:b/>
                <w:bCs/>
                <w:noProof/>
                <w:sz w:val="24"/>
                <w:szCs w:val="24"/>
              </w:rPr>
            </w:pPr>
            <w:r w:rsidRPr="002234C8">
              <w:rPr>
                <w:b/>
                <w:noProof/>
                <w:sz w:val="24"/>
              </w:rPr>
              <w:t>Calendar</w:t>
            </w:r>
          </w:p>
        </w:tc>
      </w:tr>
      <w:tr w:rsidR="791D9994" w:rsidRPr="009F333A" w14:paraId="56A38F55" w14:textId="77777777" w:rsidTr="1D1BF648">
        <w:trPr>
          <w:trHeight w:val="557"/>
        </w:trPr>
        <w:tc>
          <w:tcPr>
            <w:tcW w:w="7366" w:type="dxa"/>
          </w:tcPr>
          <w:p w14:paraId="192DD3FE" w14:textId="7AC09B62" w:rsidR="791D9994" w:rsidRPr="009F333A" w:rsidRDefault="000741C2" w:rsidP="791D9994">
            <w:pPr>
              <w:jc w:val="both"/>
              <w:rPr>
                <w:rFonts w:ascii="Times New Roman" w:eastAsia="Times New Roman" w:hAnsi="Times New Roman" w:cs="Times New Roman"/>
                <w:noProof/>
                <w:sz w:val="24"/>
                <w:szCs w:val="24"/>
              </w:rPr>
            </w:pPr>
            <w:r>
              <w:rPr>
                <w:rFonts w:ascii="Times New Roman" w:hAnsi="Times New Roman"/>
                <w:noProof/>
                <w:sz w:val="24"/>
              </w:rPr>
              <w:t>Sporirea rezilienței infrastructurii de apă terestre și offshore prin punerea în aplicare a Directivei privind reziliența entităților critice.</w:t>
            </w:r>
          </w:p>
        </w:tc>
        <w:tc>
          <w:tcPr>
            <w:tcW w:w="1650" w:type="dxa"/>
          </w:tcPr>
          <w:p w14:paraId="0A23322B" w14:textId="54C9E4A4" w:rsidR="791D9994" w:rsidRPr="009F333A" w:rsidRDefault="71716001" w:rsidP="791D9994">
            <w:pPr>
              <w:pStyle w:val="paragraph"/>
              <w:spacing w:before="0" w:beforeAutospacing="0" w:after="0" w:afterAutospacing="0"/>
              <w:jc w:val="center"/>
              <w:rPr>
                <w:rFonts w:eastAsia="Calibri"/>
                <w:noProof/>
                <w:sz w:val="24"/>
                <w:szCs w:val="24"/>
              </w:rPr>
            </w:pPr>
            <w:r w:rsidRPr="002234C8">
              <w:rPr>
                <w:noProof/>
                <w:sz w:val="24"/>
              </w:rPr>
              <w:t>2025</w:t>
            </w:r>
          </w:p>
        </w:tc>
      </w:tr>
      <w:tr w:rsidR="791D9994" w:rsidRPr="009F333A" w14:paraId="33A3A006" w14:textId="77777777" w:rsidTr="1D1BF648">
        <w:trPr>
          <w:trHeight w:val="300"/>
        </w:trPr>
        <w:tc>
          <w:tcPr>
            <w:tcW w:w="7366" w:type="dxa"/>
          </w:tcPr>
          <w:p w14:paraId="0B893EC8" w14:textId="496356F9" w:rsidR="791D9994" w:rsidRPr="009F333A" w:rsidRDefault="0A36411C" w:rsidP="791D9994">
            <w:pPr>
              <w:jc w:val="both"/>
              <w:rPr>
                <w:rFonts w:ascii="Times New Roman" w:eastAsia="Times New Roman" w:hAnsi="Times New Roman" w:cs="Times New Roman"/>
                <w:noProof/>
                <w:sz w:val="24"/>
                <w:szCs w:val="24"/>
              </w:rPr>
            </w:pPr>
            <w:r>
              <w:rPr>
                <w:rFonts w:ascii="Times New Roman" w:hAnsi="Times New Roman"/>
                <w:noProof/>
                <w:sz w:val="24"/>
              </w:rPr>
              <w:t>Consolidarea sistemelor UE de alertă timpurie și de monitorizare în timp real prin consolidarea Observatorului european al secetei și a Sistemului european de avertizare în caz de inundații al serviciului Copernicus de gestionare a situațiilor de urgență.</w:t>
            </w:r>
          </w:p>
        </w:tc>
        <w:tc>
          <w:tcPr>
            <w:tcW w:w="1650" w:type="dxa"/>
          </w:tcPr>
          <w:p w14:paraId="66907BDE" w14:textId="19AA550A" w:rsidR="791D9994" w:rsidRPr="009F333A" w:rsidRDefault="0A36411C" w:rsidP="791D9994">
            <w:pPr>
              <w:pStyle w:val="paragraph"/>
              <w:spacing w:before="0" w:beforeAutospacing="0" w:after="0" w:afterAutospacing="0"/>
              <w:jc w:val="center"/>
              <w:rPr>
                <w:rFonts w:eastAsia="Calibri"/>
                <w:noProof/>
                <w:sz w:val="24"/>
                <w:szCs w:val="24"/>
              </w:rPr>
            </w:pPr>
            <w:r>
              <w:rPr>
                <w:noProof/>
                <w:sz w:val="24"/>
              </w:rPr>
              <w:t xml:space="preserve">Începând cu </w:t>
            </w:r>
            <w:r w:rsidRPr="002234C8">
              <w:rPr>
                <w:noProof/>
                <w:sz w:val="24"/>
              </w:rPr>
              <w:t>2025</w:t>
            </w:r>
          </w:p>
        </w:tc>
      </w:tr>
      <w:tr w:rsidR="791D9994" w:rsidRPr="009F333A" w14:paraId="1D5A23A8" w14:textId="77777777" w:rsidTr="1D1BF648">
        <w:trPr>
          <w:trHeight w:val="300"/>
        </w:trPr>
        <w:tc>
          <w:tcPr>
            <w:tcW w:w="7366" w:type="dxa"/>
            <w:shd w:val="clear" w:color="auto" w:fill="auto"/>
          </w:tcPr>
          <w:p w14:paraId="292F4E16" w14:textId="76897944" w:rsidR="5CFBCBB8" w:rsidRPr="009F333A" w:rsidRDefault="00C509FD" w:rsidP="5CFBCBB8">
            <w:pPr>
              <w:jc w:val="both"/>
              <w:rPr>
                <w:rFonts w:ascii="Times New Roman" w:eastAsia="Calibri" w:hAnsi="Times New Roman" w:cs="Times New Roman"/>
                <w:noProof/>
                <w:sz w:val="24"/>
                <w:szCs w:val="24"/>
              </w:rPr>
            </w:pPr>
            <w:r>
              <w:rPr>
                <w:rFonts w:ascii="Times New Roman" w:hAnsi="Times New Roman"/>
                <w:noProof/>
                <w:sz w:val="24"/>
              </w:rPr>
              <w:t>Adoptarea unui plan european de adaptare la schimbările climatice.</w:t>
            </w:r>
          </w:p>
        </w:tc>
        <w:tc>
          <w:tcPr>
            <w:tcW w:w="1650" w:type="dxa"/>
            <w:shd w:val="clear" w:color="auto" w:fill="auto"/>
          </w:tcPr>
          <w:p w14:paraId="07A39DD3" w14:textId="3E306098" w:rsidR="5CFBCBB8" w:rsidRPr="009F333A" w:rsidRDefault="5CFBCBB8" w:rsidP="5CFBCBB8">
            <w:pPr>
              <w:pStyle w:val="paragraph"/>
              <w:spacing w:before="0" w:beforeAutospacing="0" w:after="0" w:afterAutospacing="0"/>
              <w:jc w:val="center"/>
              <w:rPr>
                <w:rFonts w:eastAsia="Calibri"/>
                <w:noProof/>
                <w:sz w:val="24"/>
                <w:szCs w:val="24"/>
              </w:rPr>
            </w:pPr>
            <w:r w:rsidRPr="002234C8">
              <w:rPr>
                <w:noProof/>
                <w:sz w:val="24"/>
              </w:rPr>
              <w:t>2026</w:t>
            </w:r>
          </w:p>
        </w:tc>
      </w:tr>
    </w:tbl>
    <w:p w14:paraId="5B1BA326" w14:textId="77777777" w:rsidR="00B723FC" w:rsidRPr="002234C8" w:rsidRDefault="00B723FC" w:rsidP="00BE7C07">
      <w:pPr>
        <w:pStyle w:val="Heading1"/>
        <w:spacing w:before="0" w:after="240"/>
        <w:jc w:val="both"/>
        <w:rPr>
          <w:rFonts w:ascii="Times New Roman Bold" w:hAnsi="Times New Roman Bold" w:cs="Times New Roman"/>
          <w:b/>
          <w:smallCaps/>
          <w:noProof/>
          <w:color w:val="000000" w:themeColor="text1"/>
          <w:sz w:val="24"/>
          <w:szCs w:val="24"/>
        </w:rPr>
      </w:pPr>
      <w:bookmarkStart w:id="9" w:name="_Hlk197781440"/>
    </w:p>
    <w:p w14:paraId="63328BBD" w14:textId="3906F617" w:rsidR="00EF6F10" w:rsidRPr="002234C8" w:rsidRDefault="008A0B73" w:rsidP="00BE7C07">
      <w:pPr>
        <w:pStyle w:val="Heading1"/>
        <w:spacing w:before="0" w:after="240"/>
        <w:jc w:val="both"/>
        <w:rPr>
          <w:rFonts w:ascii="Times New Roman Bold" w:hAnsi="Times New Roman Bold" w:cs="Times New Roman"/>
          <w:b/>
          <w:smallCaps/>
          <w:noProof/>
          <w:color w:val="000000" w:themeColor="text1"/>
          <w:sz w:val="24"/>
          <w:szCs w:val="24"/>
        </w:rPr>
      </w:pPr>
      <w:r w:rsidRPr="002234C8">
        <w:rPr>
          <w:rFonts w:ascii="Times New Roman Bold" w:hAnsi="Times New Roman Bold"/>
          <w:b/>
          <w:smallCaps/>
          <w:noProof/>
          <w:color w:val="000000" w:themeColor="text1"/>
          <w:sz w:val="24"/>
        </w:rPr>
        <w:t>4.</w:t>
      </w:r>
      <w:r>
        <w:rPr>
          <w:noProof/>
        </w:rPr>
        <w:tab/>
      </w:r>
      <w:r w:rsidRPr="002234C8">
        <w:rPr>
          <w:rFonts w:ascii="Times New Roman Bold" w:hAnsi="Times New Roman Bold"/>
          <w:b/>
          <w:smallCaps/>
          <w:noProof/>
          <w:color w:val="000000" w:themeColor="text1"/>
          <w:sz w:val="24"/>
        </w:rPr>
        <w:t xml:space="preserve">Să acționăm la nivel mondial – prin puterea exemplului, prin angajament și prin inițiative </w:t>
      </w:r>
    </w:p>
    <w:bookmarkEnd w:id="9"/>
    <w:p w14:paraId="59E7E21A" w14:textId="165A7DEB" w:rsidR="003E152B" w:rsidRPr="009F333A" w:rsidRDefault="76ABD5FE" w:rsidP="4251B09A">
      <w:pPr>
        <w:spacing w:before="100" w:beforeAutospacing="1" w:after="240" w:line="240" w:lineRule="auto"/>
        <w:jc w:val="both"/>
        <w:rPr>
          <w:rFonts w:ascii="Times New Roman" w:eastAsiaTheme="minorEastAsia" w:hAnsi="Times New Roman" w:cs="Times New Roman"/>
          <w:noProof/>
        </w:rPr>
      </w:pPr>
      <w:r w:rsidRPr="002234C8">
        <w:rPr>
          <w:rFonts w:ascii="Times New Roman" w:hAnsi="Times New Roman"/>
          <w:b/>
          <w:noProof/>
        </w:rPr>
        <w:t>Mai sunt cinci ani până la finalul Agendei 2030. Progresele înregistrate în direcția atingerii obiectivului de dezvoltare durabilă nr. 6</w:t>
      </w:r>
      <w:r w:rsidRPr="002234C8">
        <w:rPr>
          <w:rStyle w:val="FootnoteReference"/>
          <w:rFonts w:ascii="Times New Roman" w:eastAsiaTheme="minorEastAsia" w:hAnsi="Times New Roman" w:cs="Times New Roman"/>
          <w:b/>
          <w:bCs/>
          <w:noProof/>
        </w:rPr>
        <w:footnoteReference w:id="68"/>
      </w:r>
      <w:r w:rsidRPr="002234C8">
        <w:rPr>
          <w:rFonts w:ascii="Times New Roman" w:hAnsi="Times New Roman"/>
          <w:b/>
          <w:noProof/>
        </w:rPr>
        <w:t xml:space="preserve"> sunt cu mult sub ritmul necesar</w:t>
      </w:r>
      <w:r>
        <w:rPr>
          <w:rFonts w:ascii="Times New Roman" w:hAnsi="Times New Roman"/>
          <w:noProof/>
        </w:rPr>
        <w:t xml:space="preserve">. La nivel mondial,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2</w:t>
      </w:r>
      <w:r>
        <w:rPr>
          <w:rFonts w:ascii="Times New Roman" w:hAnsi="Times New Roman"/>
          <w:noProof/>
        </w:rPr>
        <w:t xml:space="preserve"> miliarde de persoane nu au încă acces la apă potabilă sigură, peste jumătate din omenire nu beneficiază de acces la servicii de salubritate în condiții de siguranță, iar multe bazine hidrografice se confruntă cu niveluri crescânde de degradare, ceea ce amenință sănătatea ecosistemelor și disponibilitatea apei, situație agravată de schimbările climatice. Zonele umede sunt cei mai eficienți gestionari naturali ai apei, însă, la nivel global, acestea dispar de trei ori mai rapid decât pădurile, crescând riscul de deșertificare și inundații. Se estimează că aproape jumătate din populația lumii va suferi de stres hidric până în </w:t>
      </w:r>
      <w:r w:rsidRPr="002234C8">
        <w:rPr>
          <w:rFonts w:ascii="Times New Roman" w:hAnsi="Times New Roman"/>
          <w:noProof/>
        </w:rPr>
        <w:t>2030</w:t>
      </w:r>
      <w:r>
        <w:rPr>
          <w:rStyle w:val="FootnoteReference"/>
          <w:rFonts w:ascii="Times New Roman" w:eastAsiaTheme="minorEastAsia" w:hAnsi="Times New Roman" w:cs="Times New Roman"/>
          <w:noProof/>
        </w:rPr>
        <w:footnoteReference w:id="69"/>
      </w:r>
      <w:r>
        <w:rPr>
          <w:rFonts w:ascii="Times New Roman" w:hAnsi="Times New Roman"/>
          <w:noProof/>
        </w:rPr>
        <w:t>. </w:t>
      </w:r>
    </w:p>
    <w:p w14:paraId="2FD9EECA" w14:textId="429C1EF0" w:rsidR="003E152B" w:rsidRPr="009F333A" w:rsidRDefault="7986D151" w:rsidP="00B723FC">
      <w:pPr>
        <w:spacing w:after="240" w:line="240" w:lineRule="auto"/>
        <w:jc w:val="both"/>
        <w:rPr>
          <w:rFonts w:ascii="Times New Roman" w:eastAsiaTheme="minorEastAsia" w:hAnsi="Times New Roman" w:cs="Times New Roman"/>
          <w:noProof/>
        </w:rPr>
      </w:pPr>
      <w:r w:rsidRPr="002234C8">
        <w:rPr>
          <w:rFonts w:ascii="Times New Roman" w:hAnsi="Times New Roman"/>
          <w:b/>
          <w:noProof/>
        </w:rPr>
        <w:t>Sunt necesare acțiuni rapide și transformatoare la nivel mondial, inclusiv redefinirea modului în care evaluăm și guvernăm apa pentru binele comun, pentru a evita o criză accelerată a apei</w:t>
      </w:r>
      <w:r>
        <w:rPr>
          <w:rFonts w:ascii="Times New Roman" w:hAnsi="Times New Roman"/>
          <w:noProof/>
        </w:rPr>
        <w:t>. Prin acțiunile sale din cadrul Global Gateway, UE va contribui la protejarea și refacerea ciclului global al apei, la construirea unei economii inteligente în domeniul apei și la asigurarea securității apei pentru toți, în conformitate cu obiectivele de la nivelul UE ale acestei strategii și ale Pactului pentru viitor</w:t>
      </w:r>
      <w:r>
        <w:rPr>
          <w:rStyle w:val="FootnoteReference"/>
          <w:rFonts w:ascii="Times New Roman" w:eastAsiaTheme="minorEastAsia" w:hAnsi="Times New Roman" w:cs="Times New Roman"/>
          <w:noProof/>
        </w:rPr>
        <w:footnoteReference w:id="70"/>
      </w:r>
      <w:r>
        <w:rPr>
          <w:rFonts w:ascii="Times New Roman" w:hAnsi="Times New Roman"/>
          <w:noProof/>
        </w:rPr>
        <w:t xml:space="preserve">. UE va extinde parteneriatele strategice și diplomația în domeniul apei pentru a promova gestionarea integrată a resurselor de apă, abordarea de la sursă la mare, utilizarea soluțiilor bazate pe natură, investițiile în apă durabilă și salubritate pentru toți și reformele de politică bazate pe inovare. Ca parte a construirii unei economii inteligente, circulare și competitive în domeniul apei, UE va sprijini inițiativele globale de promovare a eficienței apei și a reutilizării apei în toate sectoarele economice. </w:t>
      </w:r>
      <w:bookmarkStart w:id="10" w:name="_Hlk198290661"/>
      <w:r>
        <w:rPr>
          <w:rFonts w:ascii="Times New Roman" w:hAnsi="Times New Roman"/>
          <w:noProof/>
        </w:rPr>
        <w:t>În plus, UE va sprijini finalizarea și adoptarea orientărilor Codex Alimentarius</w:t>
      </w:r>
      <w:r>
        <w:rPr>
          <w:rStyle w:val="FootnoteReference"/>
          <w:rFonts w:ascii="Times New Roman" w:eastAsiaTheme="minorEastAsia" w:hAnsi="Times New Roman" w:cs="Times New Roman"/>
          <w:noProof/>
        </w:rPr>
        <w:footnoteReference w:id="71"/>
      </w:r>
      <w:r>
        <w:rPr>
          <w:rFonts w:ascii="Times New Roman" w:hAnsi="Times New Roman"/>
          <w:noProof/>
        </w:rPr>
        <w:t xml:space="preserve"> pentru a asigura utilizarea și reutilizarea sigură din punct de vedere microbiologic a apei în producția de alimente în întreaga lume</w:t>
      </w:r>
      <w:bookmarkEnd w:id="10"/>
      <w:r>
        <w:rPr>
          <w:rFonts w:ascii="Times New Roman" w:hAnsi="Times New Roman"/>
          <w:noProof/>
        </w:rPr>
        <w:t>.</w:t>
      </w:r>
    </w:p>
    <w:p w14:paraId="56AA9213" w14:textId="59C77E8B" w:rsidR="003E152B" w:rsidRPr="009F333A" w:rsidRDefault="7986D151" w:rsidP="4251B09A">
      <w:pPr>
        <w:spacing w:after="240" w:line="240" w:lineRule="auto"/>
        <w:jc w:val="both"/>
        <w:rPr>
          <w:rFonts w:ascii="Times New Roman" w:eastAsiaTheme="minorEastAsia" w:hAnsi="Times New Roman" w:cs="Times New Roman"/>
          <w:noProof/>
        </w:rPr>
      </w:pPr>
      <w:r w:rsidRPr="002234C8">
        <w:rPr>
          <w:rFonts w:ascii="Times New Roman" w:hAnsi="Times New Roman"/>
          <w:b/>
          <w:noProof/>
        </w:rPr>
        <w:t>Interconexiunea dintre apă, pace și securitate</w:t>
      </w:r>
      <w:r>
        <w:rPr>
          <w:rFonts w:ascii="Times New Roman" w:hAnsi="Times New Roman"/>
          <w:noProof/>
        </w:rPr>
        <w:t xml:space="preserve"> </w:t>
      </w:r>
      <w:r w:rsidRPr="002234C8">
        <w:rPr>
          <w:rFonts w:ascii="Times New Roman" w:hAnsi="Times New Roman"/>
          <w:b/>
          <w:noProof/>
        </w:rPr>
        <w:t>va fi consolidată</w:t>
      </w:r>
      <w:r>
        <w:rPr>
          <w:rFonts w:ascii="Times New Roman" w:hAnsi="Times New Roman"/>
          <w:noProof/>
        </w:rPr>
        <w:t xml:space="preserve"> prin reunirea actorilor din domeniul umanitar, al dezvoltării și al păcii, promovând respectarea dreptului internațional umanitar pentru a sprijini siguranța și securitatea resurselor de apă, a personalului din sectorul apei și a infrastructurilor din zonele de conflict. Prin stabilirea unor cerințe minime de mediu pentru operațiunile de ajutor umanitar finanțate de UE, UE promovează sustenabilitatea resurselor de apă în contexte care sunt afectate în mod deosebit de penuria de apă</w:t>
      </w:r>
      <w:r>
        <w:rPr>
          <w:rStyle w:val="FootnoteReference"/>
          <w:rFonts w:ascii="Times New Roman" w:eastAsiaTheme="minorEastAsia" w:hAnsi="Times New Roman" w:cs="Times New Roman"/>
          <w:noProof/>
        </w:rPr>
        <w:footnoteReference w:id="72"/>
      </w:r>
      <w:r>
        <w:rPr>
          <w:rFonts w:ascii="Times New Roman" w:hAnsi="Times New Roman"/>
          <w:noProof/>
        </w:rPr>
        <w:t>.</w:t>
      </w:r>
      <w:r>
        <w:rPr>
          <w:rFonts w:ascii="Times New Roman" w:hAnsi="Times New Roman"/>
          <w:noProof/>
          <w:color w:val="000000" w:themeColor="text1"/>
        </w:rPr>
        <w:t xml:space="preserve"> </w:t>
      </w:r>
      <w:r>
        <w:rPr>
          <w:rFonts w:ascii="Times New Roman" w:hAnsi="Times New Roman"/>
          <w:noProof/>
        </w:rPr>
        <w:t xml:space="preserve">  </w:t>
      </w:r>
    </w:p>
    <w:p w14:paraId="27F30B1C" w14:textId="0FF63FB9" w:rsidR="0010597D" w:rsidRPr="009F333A" w:rsidRDefault="3F4E58D5" w:rsidP="00B723FC">
      <w:pPr>
        <w:spacing w:after="240" w:line="240" w:lineRule="auto"/>
        <w:jc w:val="both"/>
        <w:rPr>
          <w:rFonts w:ascii="Times New Roman" w:eastAsiaTheme="minorEastAsia" w:hAnsi="Times New Roman" w:cs="Times New Roman"/>
          <w:noProof/>
        </w:rPr>
      </w:pPr>
      <w:r w:rsidRPr="002234C8">
        <w:rPr>
          <w:rFonts w:ascii="Times New Roman" w:hAnsi="Times New Roman"/>
          <w:b/>
          <w:noProof/>
        </w:rPr>
        <w:t>O guvernanță globală mai solidă în domeniul apei este esențială pentru a asigura un progres constant, o orientare strategică și pentru a depăși fragmentarea.</w:t>
      </w:r>
      <w:r>
        <w:rPr>
          <w:rFonts w:ascii="Times New Roman" w:hAnsi="Times New Roman"/>
          <w:noProof/>
        </w:rPr>
        <w:t xml:space="preserve"> Conferința ONU privind apa din </w:t>
      </w:r>
      <w:r w:rsidRPr="002234C8">
        <w:rPr>
          <w:rFonts w:ascii="Times New Roman" w:hAnsi="Times New Roman"/>
          <w:noProof/>
        </w:rPr>
        <w:t>2023</w:t>
      </w:r>
      <w:r>
        <w:rPr>
          <w:rFonts w:ascii="Times New Roman" w:hAnsi="Times New Roman"/>
          <w:noProof/>
        </w:rPr>
        <w:t xml:space="preserve"> a plasat apa în mod ferm în peisajul politic mondial prin intermediul agendei ambițioase de acțiune în domeniul apei</w:t>
      </w:r>
      <w:r>
        <w:rPr>
          <w:rFonts w:ascii="Times New Roman" w:eastAsiaTheme="minorEastAsia" w:hAnsi="Times New Roman" w:cs="Times New Roman"/>
          <w:noProof/>
          <w:vertAlign w:val="superscript"/>
        </w:rPr>
        <w:footnoteReference w:id="73"/>
      </w:r>
      <w:r>
        <w:rPr>
          <w:rFonts w:ascii="Times New Roman" w:hAnsi="Times New Roman"/>
          <w:noProof/>
        </w:rPr>
        <w:t>, urmată de rezoluția UNEA-</w:t>
      </w:r>
      <w:r w:rsidRPr="002234C8">
        <w:rPr>
          <w:rFonts w:ascii="Times New Roman" w:hAnsi="Times New Roman"/>
          <w:noProof/>
        </w:rPr>
        <w:t>6</w:t>
      </w:r>
      <w:r>
        <w:rPr>
          <w:rFonts w:ascii="Times New Roman" w:hAnsi="Times New Roman"/>
          <w:noProof/>
        </w:rPr>
        <w:t xml:space="preserve"> privind apa</w:t>
      </w:r>
      <w:r>
        <w:rPr>
          <w:rFonts w:ascii="Times New Roman" w:eastAsiaTheme="minorEastAsia" w:hAnsi="Times New Roman" w:cs="Times New Roman"/>
          <w:noProof/>
          <w:vertAlign w:val="superscript"/>
        </w:rPr>
        <w:footnoteReference w:id="74"/>
      </w:r>
      <w:r>
        <w:rPr>
          <w:rFonts w:ascii="Times New Roman" w:hAnsi="Times New Roman"/>
          <w:noProof/>
        </w:rPr>
        <w:t>, de strategia sistemică pentru apă și salubritate</w:t>
      </w:r>
      <w:r>
        <w:rPr>
          <w:rFonts w:ascii="Times New Roman" w:eastAsiaTheme="minorEastAsia" w:hAnsi="Times New Roman" w:cs="Times New Roman"/>
          <w:noProof/>
          <w:vertAlign w:val="superscript"/>
        </w:rPr>
        <w:footnoteReference w:id="75"/>
      </w:r>
      <w:r>
        <w:rPr>
          <w:rFonts w:ascii="Times New Roman" w:hAnsi="Times New Roman"/>
          <w:noProof/>
        </w:rPr>
        <w:t xml:space="preserve"> și de numirea trimisului special al ONU pentru apă. Uniunea Europeană va depune eforturi pentru obținerea unor rezultate ambițioase și orientate spre acțiune la viitoarele conferințe ale ONU privind apa, inclusiv stabilirea unui proces interguvernamental regulat al ONU privind apa, integrarea apei în procesele multilaterale și implicarea în coaliții-cheie. De asemenea, UE va implica țările partenere în ceea ce privește guvernanța în domeniul apei, inclusiv prin construirea rețelei sale de emisari în domeniul apei ai statelor membre ale UE.</w:t>
      </w:r>
    </w:p>
    <w:p w14:paraId="770A8F2E" w14:textId="4054F499" w:rsidR="4251B09A" w:rsidRDefault="7986D151" w:rsidP="4251B09A">
      <w:pPr>
        <w:spacing w:after="0" w:line="240" w:lineRule="auto"/>
        <w:jc w:val="both"/>
        <w:rPr>
          <w:rFonts w:ascii="Times New Roman" w:eastAsiaTheme="minorEastAsia" w:hAnsi="Times New Roman" w:cs="Times New Roman"/>
          <w:noProof/>
        </w:rPr>
      </w:pPr>
      <w:r w:rsidRPr="002234C8">
        <w:rPr>
          <w:rFonts w:ascii="Times New Roman" w:hAnsi="Times New Roman"/>
          <w:b/>
          <w:noProof/>
        </w:rPr>
        <w:t>UE va sprijini extinderea Convenției ONU privind apa</w:t>
      </w:r>
      <w:r>
        <w:rPr>
          <w:rStyle w:val="FootnoteReference"/>
          <w:rFonts w:ascii="Times New Roman" w:eastAsiaTheme="minorEastAsia" w:hAnsi="Times New Roman" w:cs="Times New Roman"/>
          <w:noProof/>
        </w:rPr>
        <w:footnoteReference w:id="76"/>
      </w:r>
      <w:r>
        <w:rPr>
          <w:rFonts w:ascii="Times New Roman" w:hAnsi="Times New Roman"/>
          <w:noProof/>
        </w:rPr>
        <w:t xml:space="preserve"> ca mijloc de promovare a gestionării durabile a resurselor comune de apă, a prevenirii conflictelor, a consolidării păcii, a securității și a dezvoltării economice.</w:t>
      </w:r>
      <w:r>
        <w:rPr>
          <w:rFonts w:ascii="Times New Roman" w:hAnsi="Times New Roman"/>
          <w:noProof/>
          <w:vertAlign w:val="superscript"/>
        </w:rPr>
        <w:t xml:space="preserve"> </w:t>
      </w:r>
      <w:r>
        <w:rPr>
          <w:rFonts w:ascii="Times New Roman" w:hAnsi="Times New Roman"/>
          <w:noProof/>
        </w:rPr>
        <w:t>Prin intermediul Global Gateway</w:t>
      </w:r>
      <w:r>
        <w:rPr>
          <w:rStyle w:val="FootnoteReference"/>
          <w:rFonts w:ascii="Times New Roman" w:eastAsiaTheme="minorEastAsia" w:hAnsi="Times New Roman" w:cs="Times New Roman"/>
          <w:noProof/>
        </w:rPr>
        <w:footnoteReference w:id="77"/>
      </w:r>
      <w:r>
        <w:rPr>
          <w:rFonts w:ascii="Times New Roman" w:hAnsi="Times New Roman"/>
          <w:noProof/>
        </w:rPr>
        <w:t xml:space="preserve">, Echipa Europa (Comisia, BEI și instituțiile de finanțare a dezvoltării ale statelor membre) pune la dispoziție peste </w:t>
      </w:r>
      <w:r w:rsidRPr="002234C8">
        <w:rPr>
          <w:rFonts w:ascii="Times New Roman" w:hAnsi="Times New Roman"/>
          <w:noProof/>
        </w:rPr>
        <w:t>1</w:t>
      </w:r>
      <w:r>
        <w:rPr>
          <w:rFonts w:ascii="Times New Roman" w:hAnsi="Times New Roman"/>
          <w:noProof/>
        </w:rPr>
        <w:t>,</w:t>
      </w:r>
      <w:r w:rsidRPr="002234C8">
        <w:rPr>
          <w:rFonts w:ascii="Times New Roman" w:hAnsi="Times New Roman"/>
          <w:noProof/>
        </w:rPr>
        <w:t>2</w:t>
      </w:r>
      <w:r>
        <w:rPr>
          <w:rFonts w:ascii="Times New Roman" w:hAnsi="Times New Roman"/>
          <w:noProof/>
        </w:rPr>
        <w:t xml:space="preserve"> miliarde EUR pentru sprijinirea guvernanței, a cunoștințelor și a investițiilor în </w:t>
      </w:r>
      <w:r w:rsidRPr="002234C8">
        <w:rPr>
          <w:rFonts w:ascii="Times New Roman" w:hAnsi="Times New Roman"/>
          <w:noProof/>
        </w:rPr>
        <w:t>18</w:t>
      </w:r>
      <w:r w:rsidR="002234C8">
        <w:rPr>
          <w:rFonts w:ascii="Times New Roman" w:hAnsi="Times New Roman"/>
          <w:noProof/>
        </w:rPr>
        <w:t> </w:t>
      </w:r>
      <w:r>
        <w:rPr>
          <w:rFonts w:ascii="Times New Roman" w:hAnsi="Times New Roman"/>
          <w:noProof/>
        </w:rPr>
        <w:t xml:space="preserve">bazine hidrografice transfrontaliere majore din </w:t>
      </w:r>
      <w:r w:rsidRPr="002234C8">
        <w:rPr>
          <w:rFonts w:ascii="Times New Roman" w:hAnsi="Times New Roman"/>
          <w:noProof/>
        </w:rPr>
        <w:t>47</w:t>
      </w:r>
      <w:r>
        <w:rPr>
          <w:rFonts w:ascii="Times New Roman" w:hAnsi="Times New Roman"/>
          <w:noProof/>
        </w:rPr>
        <w:t xml:space="preserve"> de țări din Africa și Asia Centrală. Aceasta include inițiative precum Fondul internațional pentru Marea Aral și programul „Africa albastră”.</w:t>
      </w:r>
    </w:p>
    <w:p w14:paraId="63D4FCC7" w14:textId="1F5F76DE" w:rsidR="003E152B" w:rsidRPr="009F333A" w:rsidRDefault="7986D151" w:rsidP="4251B09A">
      <w:pPr>
        <w:spacing w:before="100" w:beforeAutospacing="1" w:after="240" w:line="276" w:lineRule="auto"/>
        <w:jc w:val="both"/>
        <w:rPr>
          <w:rFonts w:ascii="Times New Roman" w:eastAsiaTheme="minorEastAsia" w:hAnsi="Times New Roman" w:cs="Times New Roman"/>
          <w:noProof/>
        </w:rPr>
      </w:pPr>
      <w:r w:rsidRPr="002234C8">
        <w:rPr>
          <w:rFonts w:ascii="Times New Roman" w:hAnsi="Times New Roman"/>
          <w:b/>
          <w:noProof/>
        </w:rPr>
        <w:t>UE va consolida parteneriatele naționale și regionale în domeniul apei</w:t>
      </w:r>
      <w:r>
        <w:rPr>
          <w:rFonts w:ascii="Times New Roman" w:hAnsi="Times New Roman"/>
          <w:noProof/>
        </w:rPr>
        <w:t>. Printre acestea se numără</w:t>
      </w:r>
      <w:r w:rsidRPr="002234C8">
        <w:rPr>
          <w:rFonts w:ascii="Times New Roman" w:hAnsi="Times New Roman"/>
          <w:b/>
          <w:noProof/>
        </w:rPr>
        <w:t xml:space="preserve"> </w:t>
      </w:r>
      <w:r>
        <w:rPr>
          <w:rFonts w:ascii="Times New Roman" w:hAnsi="Times New Roman"/>
          <w:noProof/>
        </w:rPr>
        <w:t xml:space="preserve">Agenda pentru apă a Uniunii pentru Mediterana </w:t>
      </w:r>
      <w:r w:rsidRPr="002234C8">
        <w:rPr>
          <w:rFonts w:ascii="Times New Roman" w:hAnsi="Times New Roman"/>
          <w:noProof/>
        </w:rPr>
        <w:t>2030</w:t>
      </w:r>
      <w:r>
        <w:rPr>
          <w:rFonts w:ascii="Times New Roman" w:hAnsi="Times New Roman"/>
          <w:noProof/>
        </w:rPr>
        <w:t xml:space="preserve"> și viitorul nou Pact pentru Mediterana, pentru a aborda deficitul tot mai mare de apă și impactul climatic în regiune. UE va sprijini țările candidate și țările vizate de politica de vecinătate, inclusiv prin intermediul Cadrului de investiții pentru Balcanii de Vest și vecinătatea estică și al Mecanismului pentru Ucraina. În acest context, abordarea strategică a UE privind Marea Neagră</w:t>
      </w:r>
      <w:r>
        <w:rPr>
          <w:rStyle w:val="FootnoteReference"/>
          <w:rFonts w:ascii="Times New Roman" w:eastAsiaTheme="minorEastAsia" w:hAnsi="Times New Roman" w:cs="Times New Roman"/>
          <w:noProof/>
        </w:rPr>
        <w:footnoteReference w:id="78"/>
      </w:r>
      <w:r>
        <w:rPr>
          <w:rFonts w:ascii="Times New Roman" w:hAnsi="Times New Roman"/>
          <w:noProof/>
        </w:rPr>
        <w:t xml:space="preserve"> este deosebit de importantă, în sprijinirea comunităților locale împotriva, printre altele, a daunelor aduse mediului provocate de război. UE va propune introducerea legislației relevante privind apa în acquis-ul reglementat de Tratatul de instituire a Comunității Energiei</w:t>
      </w:r>
      <w:r>
        <w:rPr>
          <w:rStyle w:val="FootnoteReference"/>
          <w:rFonts w:ascii="Times New Roman" w:eastAsiaTheme="minorEastAsia" w:hAnsi="Times New Roman" w:cs="Times New Roman"/>
          <w:noProof/>
          <w:lang w:val="en-GB"/>
        </w:rPr>
        <w:footnoteReference w:id="79"/>
      </w:r>
      <w:r>
        <w:rPr>
          <w:rFonts w:ascii="Times New Roman" w:hAnsi="Times New Roman"/>
          <w:noProof/>
        </w:rPr>
        <w:t xml:space="preserve">. UE și Asia Centrală își vor consolida cooperarea prin intermediul parteneriatului strategic convenit recent, cu un pachet de investiții Global Gateway în valoare de </w:t>
      </w:r>
      <w:r w:rsidRPr="002234C8">
        <w:rPr>
          <w:rFonts w:ascii="Times New Roman" w:hAnsi="Times New Roman"/>
          <w:noProof/>
        </w:rPr>
        <w:t>12</w:t>
      </w:r>
      <w:r>
        <w:rPr>
          <w:rFonts w:ascii="Times New Roman" w:hAnsi="Times New Roman"/>
          <w:noProof/>
        </w:rPr>
        <w:t xml:space="preserve"> miliarde EUR, care se va concentra asupra a patru priorități-cheie, printre care clima, apa și energia. Industria de vârf a UE în domeniul apei este esențială pentru a sprijini țările partenere, pentru a dezvolta tehnologii eficiente din punctul de vedere al consumului de apă, pentru a finanța infrastructura durabilă și pentru a stimula inovarea. UE va sprijini stimulentele pentru politici, mecanismele de finanțare și IMM</w:t>
      </w:r>
      <w:r w:rsidR="002234C8">
        <w:rPr>
          <w:rFonts w:ascii="Times New Roman" w:hAnsi="Times New Roman" w:cs="Times New Roman"/>
          <w:noProof/>
        </w:rPr>
        <w:t>­</w:t>
      </w:r>
      <w:r>
        <w:rPr>
          <w:rFonts w:ascii="Times New Roman" w:hAnsi="Times New Roman"/>
          <w:noProof/>
        </w:rPr>
        <w:t>urile din domeniul apei pentru a profita de oportunitățile de piață relevante.</w:t>
      </w:r>
    </w:p>
    <w:p w14:paraId="406338E9" w14:textId="22BFDF9F" w:rsidR="00922BFF" w:rsidRPr="009F333A" w:rsidRDefault="5BF79FF7" w:rsidP="4251B09A">
      <w:pPr>
        <w:spacing w:before="100" w:beforeAutospacing="1" w:after="240" w:line="240" w:lineRule="auto"/>
        <w:jc w:val="both"/>
        <w:rPr>
          <w:rFonts w:ascii="Times New Roman" w:eastAsiaTheme="minorEastAsia" w:hAnsi="Times New Roman" w:cs="Times New Roman"/>
          <w:noProof/>
        </w:rPr>
      </w:pPr>
      <w:r w:rsidRPr="002234C8">
        <w:rPr>
          <w:rFonts w:ascii="Times New Roman" w:hAnsi="Times New Roman"/>
          <w:b/>
          <w:noProof/>
        </w:rPr>
        <w:t>UE își menține angajamentul de a contribui la eliminarea deficitului considerabil de finanțare internațională în domeniul apei</w:t>
      </w:r>
      <w:r>
        <w:rPr>
          <w:rFonts w:ascii="Times New Roman" w:hAnsi="Times New Roman"/>
          <w:noProof/>
        </w:rPr>
        <w:t>. Prin intermediul Global Gateway, UE și statele sale membre rămân cel mai mare contribuitor la ajutorul oficial pentru dezvoltare, inclusiv în ceea ce privește infrastructura de apă și soluțiile bazate pe natură, consolidate prin mobilizarea implicării sectorului privat prin intermediul Fondului european pentru dezvoltare durabilă (FEDD +). BEI și Banca Europeană pentru Reconstrucție și Dezvoltare, împreună cu alte bănci multilaterale de dezvoltare, s-au angajat la niveluri mai ridicate de finanțare pentru securitatea apei și își vor consolida cooperarea</w:t>
      </w:r>
      <w:r>
        <w:rPr>
          <w:rStyle w:val="FootnoteReference"/>
          <w:rFonts w:ascii="Times New Roman" w:eastAsiaTheme="minorEastAsia" w:hAnsi="Times New Roman" w:cs="Times New Roman"/>
          <w:noProof/>
          <w:lang w:val="en-US"/>
        </w:rPr>
        <w:footnoteReference w:id="80"/>
      </w:r>
      <w:r>
        <w:rPr>
          <w:rFonts w:ascii="Times New Roman" w:hAnsi="Times New Roman"/>
          <w:noProof/>
        </w:rPr>
        <w:t xml:space="preserve">. UE va continua să sprijine investițiile în principal prin mecanisme de finanțare mixtă și garanții și prin îmbunătățirea climatului de investiții prin facilitarea reformelor juridice și promovarea unor standarde sociale și de mediu ridicate. Printre acestea se numără inițiative precum Climate Investor </w:t>
      </w:r>
      <w:r w:rsidRPr="002234C8">
        <w:rPr>
          <w:rFonts w:ascii="Times New Roman" w:hAnsi="Times New Roman"/>
          <w:noProof/>
        </w:rPr>
        <w:t>2</w:t>
      </w:r>
      <w:r>
        <w:rPr>
          <w:rFonts w:ascii="Times New Roman" w:hAnsi="Times New Roman"/>
          <w:noProof/>
        </w:rPr>
        <w:t xml:space="preserve">, un mecanism de finanțare mixtă care mobilizează până la </w:t>
      </w:r>
      <w:r w:rsidRPr="002234C8">
        <w:rPr>
          <w:rFonts w:ascii="Times New Roman" w:hAnsi="Times New Roman"/>
          <w:noProof/>
        </w:rPr>
        <w:t>2</w:t>
      </w:r>
      <w:r>
        <w:rPr>
          <w:rFonts w:ascii="Times New Roman" w:hAnsi="Times New Roman"/>
          <w:noProof/>
        </w:rPr>
        <w:t>,</w:t>
      </w:r>
      <w:r w:rsidRPr="002234C8">
        <w:rPr>
          <w:rFonts w:ascii="Times New Roman" w:hAnsi="Times New Roman"/>
          <w:noProof/>
        </w:rPr>
        <w:t>2</w:t>
      </w:r>
      <w:r>
        <w:rPr>
          <w:rFonts w:ascii="Times New Roman" w:hAnsi="Times New Roman"/>
          <w:noProof/>
        </w:rPr>
        <w:t xml:space="preserve"> miliarde EUR pentru proiecte de infrastructură în domeniul apei, al salubrității și al oceanelor, precum și achiziții strategice și sprijin pentru cadrele de mediu, sociale și de guvernanță. Parteneriatele pentru comerț și investiții curate ar putea juca, de asemenea, un rol.</w:t>
      </w:r>
    </w:p>
    <w:tbl>
      <w:tblPr>
        <w:tblW w:w="902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33"/>
        <w:gridCol w:w="2392"/>
      </w:tblGrid>
      <w:tr w:rsidR="0058425F" w:rsidRPr="009F333A" w14:paraId="6220D593" w14:textId="77777777" w:rsidTr="00CB6DEB">
        <w:trPr>
          <w:trHeight w:val="300"/>
        </w:trPr>
        <w:tc>
          <w:tcPr>
            <w:tcW w:w="663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9788FB6" w14:textId="5C41ED95" w:rsidR="0058425F" w:rsidRPr="009F333A" w:rsidRDefault="0058425F" w:rsidP="007E625D">
            <w:pPr>
              <w:spacing w:after="0" w:line="240" w:lineRule="auto"/>
              <w:ind w:left="152" w:right="99"/>
              <w:jc w:val="center"/>
              <w:rPr>
                <w:rFonts w:ascii="Times New Roman" w:eastAsiaTheme="minorEastAsia" w:hAnsi="Times New Roman" w:cs="Times New Roman"/>
                <w:noProof/>
              </w:rPr>
            </w:pPr>
            <w:r w:rsidRPr="002234C8">
              <w:rPr>
                <w:rFonts w:ascii="Times New Roman" w:hAnsi="Times New Roman"/>
                <w:b/>
                <w:noProof/>
              </w:rPr>
              <w:t>Acțiuni emblematice - Să acționăm la nivel mondial – prin puterea exemplului, prin angajament și prin inițiative</w:t>
            </w:r>
          </w:p>
        </w:tc>
        <w:tc>
          <w:tcPr>
            <w:tcW w:w="2392"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012E23D2" w14:textId="77777777" w:rsidR="0058425F" w:rsidRPr="009F333A" w:rsidRDefault="0058425F" w:rsidP="00CB6DEB">
            <w:pPr>
              <w:spacing w:after="0" w:line="240" w:lineRule="auto"/>
              <w:jc w:val="center"/>
              <w:rPr>
                <w:rFonts w:ascii="Times New Roman" w:eastAsiaTheme="minorEastAsia" w:hAnsi="Times New Roman" w:cs="Times New Roman"/>
                <w:noProof/>
              </w:rPr>
            </w:pPr>
            <w:r w:rsidRPr="002234C8">
              <w:rPr>
                <w:rFonts w:ascii="Times New Roman" w:hAnsi="Times New Roman"/>
                <w:b/>
                <w:noProof/>
              </w:rPr>
              <w:t>Calendar</w:t>
            </w:r>
            <w:r>
              <w:rPr>
                <w:rFonts w:ascii="Times New Roman" w:hAnsi="Times New Roman"/>
                <w:noProof/>
              </w:rPr>
              <w:t xml:space="preserve"> </w:t>
            </w:r>
          </w:p>
        </w:tc>
      </w:tr>
      <w:tr w:rsidR="0058425F" w:rsidRPr="009F333A" w14:paraId="50F909BB" w14:textId="77777777" w:rsidTr="00CB6DEB">
        <w:trPr>
          <w:trHeight w:val="300"/>
        </w:trPr>
        <w:tc>
          <w:tcPr>
            <w:tcW w:w="6633" w:type="dxa"/>
            <w:tcBorders>
              <w:top w:val="nil"/>
              <w:left w:val="single" w:sz="6" w:space="0" w:color="auto"/>
              <w:bottom w:val="single" w:sz="6" w:space="0" w:color="auto"/>
              <w:right w:val="single" w:sz="6" w:space="0" w:color="auto"/>
            </w:tcBorders>
            <w:shd w:val="clear" w:color="auto" w:fill="auto"/>
            <w:vAlign w:val="center"/>
            <w:hideMark/>
          </w:tcPr>
          <w:p w14:paraId="6C6B850A" w14:textId="3BBAA2D8" w:rsidR="0058425F" w:rsidRPr="009F333A" w:rsidRDefault="0058425F" w:rsidP="00CB6DEB">
            <w:pPr>
              <w:spacing w:after="0" w:line="240" w:lineRule="auto"/>
              <w:ind w:left="152" w:right="99"/>
              <w:jc w:val="both"/>
              <w:rPr>
                <w:rFonts w:ascii="Times New Roman" w:eastAsiaTheme="minorEastAsia" w:hAnsi="Times New Roman" w:cs="Times New Roman"/>
                <w:noProof/>
              </w:rPr>
            </w:pPr>
            <w:r>
              <w:rPr>
                <w:rFonts w:ascii="Times New Roman" w:hAnsi="Times New Roman"/>
                <w:noProof/>
              </w:rPr>
              <w:t>Promovarea rezilienței în domeniul apei prin intermediul Global Gateway, prin sprijinirea inițiativelor prioritare în domeniul apei și prin consolidarea angajamentului național și regional.</w:t>
            </w:r>
          </w:p>
        </w:tc>
        <w:tc>
          <w:tcPr>
            <w:tcW w:w="2392" w:type="dxa"/>
            <w:tcBorders>
              <w:top w:val="nil"/>
              <w:left w:val="single" w:sz="6" w:space="0" w:color="auto"/>
              <w:bottom w:val="single" w:sz="6" w:space="0" w:color="auto"/>
              <w:right w:val="single" w:sz="6" w:space="0" w:color="auto"/>
            </w:tcBorders>
            <w:shd w:val="clear" w:color="auto" w:fill="auto"/>
            <w:vAlign w:val="center"/>
            <w:hideMark/>
          </w:tcPr>
          <w:p w14:paraId="73DBC3F2" w14:textId="77777777" w:rsidR="0058425F" w:rsidRPr="009F333A" w:rsidRDefault="0058425F" w:rsidP="00CB6DEB">
            <w:pPr>
              <w:spacing w:after="0" w:line="240" w:lineRule="auto"/>
              <w:jc w:val="center"/>
              <w:rPr>
                <w:rFonts w:ascii="Times New Roman" w:eastAsiaTheme="minorEastAsia"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bl>
    <w:p w14:paraId="63A7FAD5" w14:textId="77777777" w:rsidR="00B723FC" w:rsidRPr="002234C8" w:rsidRDefault="00B723FC" w:rsidP="00B723FC">
      <w:pPr>
        <w:pStyle w:val="Heading1"/>
        <w:spacing w:before="0" w:after="0"/>
        <w:jc w:val="both"/>
        <w:rPr>
          <w:rFonts w:ascii="Times New Roman Bold" w:hAnsi="Times New Roman Bold" w:cs="Times New Roman"/>
          <w:b/>
          <w:smallCaps/>
          <w:noProof/>
          <w:color w:val="000000" w:themeColor="text1"/>
          <w:sz w:val="24"/>
          <w:szCs w:val="24"/>
        </w:rPr>
      </w:pPr>
    </w:p>
    <w:p w14:paraId="2B4D1CEA" w14:textId="62B0F159" w:rsidR="00633898" w:rsidRPr="002234C8" w:rsidRDefault="008A0B73" w:rsidP="00B723FC">
      <w:pPr>
        <w:pStyle w:val="Heading1"/>
        <w:spacing w:before="240" w:after="240"/>
        <w:jc w:val="both"/>
        <w:rPr>
          <w:rFonts w:ascii="Times New Roman Bold" w:hAnsi="Times New Roman Bold" w:cs="Times New Roman"/>
          <w:b/>
          <w:smallCaps/>
          <w:noProof/>
          <w:color w:val="000000" w:themeColor="text1"/>
          <w:sz w:val="24"/>
          <w:szCs w:val="24"/>
        </w:rPr>
      </w:pPr>
      <w:r w:rsidRPr="002234C8">
        <w:rPr>
          <w:rFonts w:ascii="Times New Roman Bold" w:hAnsi="Times New Roman Bold"/>
          <w:b/>
          <w:smallCaps/>
          <w:noProof/>
          <w:color w:val="000000" w:themeColor="text1"/>
          <w:sz w:val="24"/>
        </w:rPr>
        <w:t>5.</w:t>
      </w:r>
      <w:r>
        <w:rPr>
          <w:noProof/>
        </w:rPr>
        <w:tab/>
      </w:r>
      <w:r w:rsidRPr="002234C8">
        <w:rPr>
          <w:rFonts w:ascii="Times New Roman Bold" w:hAnsi="Times New Roman Bold"/>
          <w:b/>
          <w:smallCaps/>
          <w:noProof/>
          <w:color w:val="000000" w:themeColor="text1"/>
          <w:sz w:val="24"/>
        </w:rPr>
        <w:t>Concluzii</w:t>
      </w:r>
    </w:p>
    <w:p w14:paraId="408EB062" w14:textId="3927CFC1" w:rsidR="00473B94" w:rsidRPr="009F333A" w:rsidRDefault="00473B94" w:rsidP="00B723FC">
      <w:pPr>
        <w:spacing w:after="240" w:line="240" w:lineRule="auto"/>
        <w:jc w:val="both"/>
        <w:rPr>
          <w:rFonts w:ascii="Times New Roman" w:eastAsia="Times New Roman" w:hAnsi="Times New Roman" w:cs="Times New Roman"/>
          <w:noProof/>
        </w:rPr>
      </w:pPr>
      <w:r>
        <w:rPr>
          <w:rFonts w:ascii="Times New Roman" w:hAnsi="Times New Roman"/>
          <w:noProof/>
        </w:rPr>
        <w:t xml:space="preserve">Comisia invită statele membre, partenerii instituționali, întreprinderile și toate părțile societății să ia măsuri în concordanță cu orientările indicate în prezenta strategie. </w:t>
      </w:r>
    </w:p>
    <w:p w14:paraId="1324A582" w14:textId="4759F295" w:rsidR="521F75C0" w:rsidRPr="009F333A" w:rsidRDefault="00633898" w:rsidP="00B723FC">
      <w:pPr>
        <w:spacing w:after="240" w:line="240" w:lineRule="auto"/>
        <w:jc w:val="both"/>
        <w:rPr>
          <w:rFonts w:ascii="Times New Roman" w:eastAsia="Times New Roman" w:hAnsi="Times New Roman" w:cs="Times New Roman"/>
          <w:noProof/>
        </w:rPr>
      </w:pPr>
      <w:r>
        <w:rPr>
          <w:rFonts w:ascii="Times New Roman" w:hAnsi="Times New Roman"/>
          <w:noProof/>
        </w:rPr>
        <w:t xml:space="preserve">Începând din decembrie </w:t>
      </w:r>
      <w:r w:rsidRPr="002234C8">
        <w:rPr>
          <w:rFonts w:ascii="Times New Roman" w:hAnsi="Times New Roman"/>
          <w:noProof/>
        </w:rPr>
        <w:t>2025</w:t>
      </w:r>
      <w:r>
        <w:rPr>
          <w:rFonts w:ascii="Times New Roman" w:hAnsi="Times New Roman"/>
          <w:noProof/>
        </w:rPr>
        <w:t>, Comisia va convoca, o dată la doi ani, un Forum pentru reziliența în domeniul apei, reunind într-un dialog incluziv părțile interesate din UE și alte părți relevante, pentru a evalua progresele înregistrate în ceea ce privește consolidarea rezilienței în domeniul apei la toate nivelurile de guvernare, în sectorul economic și în societatea civilă, precum și pentru a monitoriza punerea în aplicare a prezentei strategii.</w:t>
      </w:r>
    </w:p>
    <w:p w14:paraId="688D0F2A" w14:textId="60BC254E" w:rsidR="00633898" w:rsidRPr="00B723FC" w:rsidRDefault="2200A8F6" w:rsidP="00B723FC">
      <w:pPr>
        <w:spacing w:after="240" w:line="240" w:lineRule="auto"/>
        <w:jc w:val="both"/>
        <w:rPr>
          <w:rFonts w:ascii="Times New Roman" w:eastAsia="Times New Roman" w:hAnsi="Times New Roman" w:cs="Times New Roman"/>
          <w:noProof/>
        </w:rPr>
      </w:pPr>
      <w:r>
        <w:rPr>
          <w:rFonts w:ascii="Times New Roman" w:hAnsi="Times New Roman"/>
          <w:noProof/>
        </w:rPr>
        <w:t xml:space="preserve">În </w:t>
      </w:r>
      <w:r w:rsidRPr="002234C8">
        <w:rPr>
          <w:rFonts w:ascii="Times New Roman" w:hAnsi="Times New Roman"/>
          <w:noProof/>
        </w:rPr>
        <w:t>2027</w:t>
      </w:r>
      <w:r>
        <w:rPr>
          <w:rFonts w:ascii="Times New Roman" w:hAnsi="Times New Roman"/>
          <w:noProof/>
        </w:rPr>
        <w:t xml:space="preserve">, Comisia va efectua o evaluare intermediară a progreselor înregistrate în punerea în aplicare a acțiunilor incluse în prezenta strategie. De asemenea, va efectua o primă evaluare a gradului de adoptare a Recomandării privind eficiența apei înainte de toate. În acest context, unele dintre acțiuni pot fi actualizate sau revizuite. </w:t>
      </w:r>
    </w:p>
    <w:p w14:paraId="762BEBF4" w14:textId="51A4704E" w:rsidR="00F411F4" w:rsidRPr="009F333A" w:rsidRDefault="00633898" w:rsidP="00B723FC">
      <w:pPr>
        <w:spacing w:after="240" w:line="240" w:lineRule="auto"/>
        <w:jc w:val="both"/>
        <w:rPr>
          <w:rFonts w:ascii="Times New Roman" w:hAnsi="Times New Roman" w:cs="Times New Roman"/>
          <w:noProof/>
          <w:color w:val="000000"/>
          <w:shd w:val="clear" w:color="auto" w:fill="FFFFFF"/>
        </w:rPr>
      </w:pPr>
      <w:r>
        <w:rPr>
          <w:rFonts w:ascii="Times New Roman" w:hAnsi="Times New Roman"/>
          <w:noProof/>
          <w:color w:val="000000"/>
          <w:shd w:val="clear" w:color="auto" w:fill="FFFFFF"/>
        </w:rPr>
        <w:t xml:space="preserve">În </w:t>
      </w:r>
      <w:r w:rsidRPr="002234C8">
        <w:rPr>
          <w:rFonts w:ascii="Times New Roman" w:hAnsi="Times New Roman"/>
          <w:noProof/>
          <w:color w:val="000000"/>
          <w:shd w:val="clear" w:color="auto" w:fill="FFFFFF"/>
        </w:rPr>
        <w:t>2029</w:t>
      </w:r>
      <w:r>
        <w:rPr>
          <w:rFonts w:ascii="Times New Roman" w:hAnsi="Times New Roman"/>
          <w:noProof/>
          <w:color w:val="000000"/>
          <w:shd w:val="clear" w:color="auto" w:fill="FFFFFF"/>
        </w:rPr>
        <w:t>, Comisia va evalua progresele înregistrate, inclusiv o evaluare completă a acțiunilor naționale întreprinse în conformitate cu Recomandarea privind eficiența apei înainte de toate. Comisia va identifica, de asemenea, posibile acțiuni suplimentare necesare pentru a răspunde preocupărilor emergente și, în consecință, va revizui, după caz, obiectivele și acțiunile identificate, în vederea realizării rezilienței în domeniul apei în toate sectoarele societății.</w:t>
      </w:r>
    </w:p>
    <w:p w14:paraId="2D33905B" w14:textId="3B5195FB" w:rsidR="00D67D7D" w:rsidRPr="002234C8" w:rsidRDefault="00D67D7D" w:rsidP="00BD0924">
      <w:pPr>
        <w:rPr>
          <w:rFonts w:ascii="Times New Roman" w:hAnsi="Times New Roman" w:cs="Times New Roman"/>
          <w:b/>
          <w:bCs/>
          <w:smallCaps/>
          <w:noProof/>
        </w:rPr>
      </w:pPr>
      <w:r>
        <w:rPr>
          <w:noProof/>
        </w:rPr>
        <w:br w:type="page"/>
      </w:r>
      <w:r w:rsidRPr="002234C8">
        <w:rPr>
          <w:rFonts w:ascii="Times New Roman" w:hAnsi="Times New Roman"/>
          <w:b/>
          <w:smallCaps/>
          <w:noProof/>
        </w:rPr>
        <w:t>Anexa I – Lista completă a acțiunilor</w:t>
      </w:r>
    </w:p>
    <w:p w14:paraId="2E35B2AD" w14:textId="77777777" w:rsidR="00D67D7D" w:rsidRPr="009F333A" w:rsidRDefault="00D67D7D" w:rsidP="00D67D7D">
      <w:pPr>
        <w:spacing w:after="0"/>
        <w:rPr>
          <w:rFonts w:ascii="Times New Roman" w:hAnsi="Times New Roman" w:cs="Times New Roman"/>
          <w:noProof/>
        </w:rPr>
      </w:pPr>
    </w:p>
    <w:tbl>
      <w:tblPr>
        <w:tblStyle w:val="TableGrid"/>
        <w:tblW w:w="8862" w:type="dxa"/>
        <w:tblInd w:w="-10" w:type="dxa"/>
        <w:tblLayout w:type="fixed"/>
        <w:tblLook w:val="04A0" w:firstRow="1" w:lastRow="0" w:firstColumn="1" w:lastColumn="0" w:noHBand="0" w:noVBand="1"/>
      </w:tblPr>
      <w:tblGrid>
        <w:gridCol w:w="709"/>
        <w:gridCol w:w="6460"/>
        <w:gridCol w:w="1693"/>
      </w:tblGrid>
      <w:tr w:rsidR="00AA7C1C" w:rsidRPr="009F333A" w14:paraId="0F8AAD7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5D14527D" w14:textId="77777777" w:rsidR="00D67D7D" w:rsidRPr="009F333A" w:rsidRDefault="00D67D7D">
            <w:pPr>
              <w:rPr>
                <w:rFonts w:ascii="Times New Roman" w:hAnsi="Times New Roman" w:cs="Times New Roman"/>
                <w:noProof/>
                <w:sz w:val="24"/>
                <w:szCs w:val="24"/>
              </w:rPr>
            </w:pPr>
          </w:p>
        </w:tc>
        <w:tc>
          <w:tcPr>
            <w:tcW w:w="6460"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FAD75BA" w14:textId="77777777" w:rsidR="00D67D7D" w:rsidRPr="009F333A" w:rsidRDefault="00D67D7D" w:rsidP="003B6B9C">
            <w:pPr>
              <w:jc w:val="center"/>
              <w:rPr>
                <w:rFonts w:ascii="Times New Roman" w:hAnsi="Times New Roman" w:cs="Times New Roman"/>
                <w:noProof/>
                <w:sz w:val="24"/>
                <w:szCs w:val="24"/>
              </w:rPr>
            </w:pPr>
            <w:r w:rsidRPr="002234C8">
              <w:rPr>
                <w:rFonts w:ascii="Times New Roman" w:hAnsi="Times New Roman"/>
                <w:b/>
                <w:noProof/>
                <w:sz w:val="24"/>
              </w:rPr>
              <w:t>ACȚIUNI</w:t>
            </w:r>
          </w:p>
        </w:tc>
        <w:tc>
          <w:tcPr>
            <w:tcW w:w="1693" w:type="dxa"/>
            <w:tcBorders>
              <w:top w:val="single" w:sz="8" w:space="0" w:color="auto"/>
              <w:left w:val="single" w:sz="8" w:space="0" w:color="auto"/>
              <w:bottom w:val="single" w:sz="8" w:space="0" w:color="auto"/>
              <w:right w:val="single" w:sz="8" w:space="0" w:color="auto"/>
            </w:tcBorders>
            <w:shd w:val="clear" w:color="auto" w:fill="A5C9EB" w:themeFill="text2" w:themeFillTint="40"/>
            <w:tcMar>
              <w:left w:w="108" w:type="dxa"/>
              <w:right w:w="108" w:type="dxa"/>
            </w:tcMar>
            <w:vAlign w:val="center"/>
          </w:tcPr>
          <w:p w14:paraId="6C8A451F" w14:textId="77E1DAF3" w:rsidR="00D67D7D" w:rsidRPr="009F333A" w:rsidRDefault="00D67D7D" w:rsidP="003B6B9C">
            <w:pPr>
              <w:jc w:val="center"/>
              <w:rPr>
                <w:rFonts w:ascii="Times New Roman" w:hAnsi="Times New Roman" w:cs="Times New Roman"/>
                <w:noProof/>
                <w:sz w:val="24"/>
                <w:szCs w:val="24"/>
              </w:rPr>
            </w:pPr>
            <w:r w:rsidRPr="002234C8">
              <w:rPr>
                <w:rFonts w:ascii="Times New Roman" w:hAnsi="Times New Roman"/>
                <w:b/>
                <w:noProof/>
                <w:sz w:val="24"/>
              </w:rPr>
              <w:t>Calendar</w:t>
            </w:r>
          </w:p>
        </w:tc>
      </w:tr>
      <w:tr w:rsidR="00A234BE" w:rsidRPr="009F333A" w14:paraId="373DE84D"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562DD47F" w14:textId="6C1D78D7" w:rsidR="00D67D7D" w:rsidRPr="002234C8" w:rsidRDefault="00FE3653" w:rsidP="009927ED">
            <w:pPr>
              <w:jc w:val="center"/>
              <w:rPr>
                <w:rFonts w:ascii="Times New Roman" w:hAnsi="Times New Roman" w:cs="Times New Roman"/>
                <w:b/>
                <w:bCs/>
                <w:smallCaps/>
                <w:noProof/>
                <w:color w:val="000000" w:themeColor="text1"/>
                <w:sz w:val="24"/>
                <w:szCs w:val="24"/>
              </w:rPr>
            </w:pPr>
            <w:r w:rsidRPr="002234C8">
              <w:rPr>
                <w:rFonts w:ascii="Times New Roman" w:hAnsi="Times New Roman"/>
                <w:b/>
                <w:smallCaps/>
                <w:noProof/>
                <w:color w:val="000000" w:themeColor="text1"/>
                <w:sz w:val="24"/>
              </w:rPr>
              <w:t>Refacerea și protejarea ciclului apei</w:t>
            </w:r>
          </w:p>
        </w:tc>
      </w:tr>
      <w:tr w:rsidR="007F48DB" w:rsidRPr="009F333A" w14:paraId="348B5D3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1F3063" w14:textId="77777777" w:rsidR="007F48DB" w:rsidRPr="009F333A" w:rsidRDefault="007F48D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6B903754" w14:textId="7267A9D6" w:rsidR="007F48DB" w:rsidRPr="009F333A" w:rsidRDefault="007F48DB" w:rsidP="00FE3653">
            <w:pPr>
              <w:spacing w:line="257" w:lineRule="auto"/>
              <w:jc w:val="both"/>
              <w:rPr>
                <w:rFonts w:ascii="Times New Roman" w:eastAsia="Calibri" w:hAnsi="Times New Roman" w:cs="Times New Roman"/>
                <w:b/>
                <w:noProof/>
              </w:rPr>
            </w:pPr>
            <w:r w:rsidRPr="002234C8">
              <w:rPr>
                <w:rFonts w:ascii="Times New Roman" w:hAnsi="Times New Roman"/>
                <w:b/>
                <w:noProof/>
              </w:rPr>
              <w:t xml:space="preserve">Stabilirea, inclusiv prin dialoguri structurate cu statele membre, a priorităților de punere în aplicare a Directivei-cadru privind apa și a directivelor privind inundațiile, punând accentul pe calitatea și cantitatea apei. </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6A78AFA" w14:textId="0DEB7B38" w:rsidR="007F48DB" w:rsidRPr="002234C8" w:rsidRDefault="007F48DB" w:rsidP="00FE3653">
            <w:pPr>
              <w:jc w:val="center"/>
              <w:rPr>
                <w:rFonts w:ascii="Times New Roman" w:eastAsia="Calibri" w:hAnsi="Times New Roman" w:cs="Times New Roman"/>
                <w:b/>
                <w:noProof/>
              </w:rPr>
            </w:pPr>
            <w:r w:rsidRPr="002234C8">
              <w:rPr>
                <w:rFonts w:ascii="Times New Roman" w:hAnsi="Times New Roman"/>
                <w:b/>
                <w:noProof/>
              </w:rPr>
              <w:t>2025-2026</w:t>
            </w:r>
          </w:p>
        </w:tc>
      </w:tr>
      <w:tr w:rsidR="00CD3D92" w:rsidRPr="009F333A" w14:paraId="1A8F45A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C23ADF7" w14:textId="77777777" w:rsidR="00CD3D92" w:rsidRPr="009F333A" w:rsidRDefault="00CD3D92"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FD5A603" w14:textId="5CF9837A" w:rsidR="00CD3D92" w:rsidRPr="009F333A" w:rsidRDefault="00CD3D92" w:rsidP="00FE3653">
            <w:pPr>
              <w:spacing w:line="257" w:lineRule="auto"/>
              <w:jc w:val="both"/>
              <w:rPr>
                <w:rFonts w:ascii="Times New Roman" w:eastAsia="Calibri" w:hAnsi="Times New Roman" w:cs="Times New Roman"/>
                <w:b/>
                <w:noProof/>
              </w:rPr>
            </w:pPr>
            <w:r w:rsidRPr="002234C8">
              <w:rPr>
                <w:rFonts w:ascii="Times New Roman" w:hAnsi="Times New Roman"/>
                <w:b/>
                <w:noProof/>
              </w:rPr>
              <w:t>Revizuirea Directivei-cadru „Strategia pentru mediul marin”.</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024E8D4C" w14:textId="0A9FA4D9" w:rsidR="00CD3D92" w:rsidRPr="002234C8" w:rsidRDefault="00CD3D92" w:rsidP="00FE3653">
            <w:pPr>
              <w:jc w:val="center"/>
              <w:rPr>
                <w:rFonts w:ascii="Times New Roman" w:eastAsia="Calibri" w:hAnsi="Times New Roman" w:cs="Times New Roman"/>
                <w:b/>
                <w:bCs/>
                <w:noProof/>
              </w:rPr>
            </w:pPr>
            <w:r w:rsidRPr="002234C8">
              <w:rPr>
                <w:rFonts w:ascii="Times New Roman" w:hAnsi="Times New Roman"/>
                <w:b/>
                <w:noProof/>
              </w:rPr>
              <w:t>2027</w:t>
            </w:r>
          </w:p>
        </w:tc>
      </w:tr>
      <w:tr w:rsidR="0090151B" w:rsidRPr="009F333A" w14:paraId="2C59016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B2AB0E9" w14:textId="77777777" w:rsidR="0090151B" w:rsidRPr="009F333A" w:rsidRDefault="0090151B"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FD1B7C8" w14:textId="65F24F05" w:rsidR="0090151B" w:rsidRPr="009F333A" w:rsidRDefault="0090151B" w:rsidP="00FE3653">
            <w:pPr>
              <w:spacing w:line="257" w:lineRule="auto"/>
              <w:jc w:val="both"/>
              <w:rPr>
                <w:rFonts w:ascii="Times New Roman" w:eastAsia="Calibri" w:hAnsi="Times New Roman" w:cs="Times New Roman"/>
                <w:b/>
                <w:noProof/>
              </w:rPr>
            </w:pPr>
            <w:r w:rsidRPr="002234C8">
              <w:rPr>
                <w:rFonts w:ascii="Times New Roman" w:hAnsi="Times New Roman"/>
                <w:b/>
                <w:noProof/>
              </w:rPr>
              <w:t>Elaborarea unor indicatori privind deficitul de apă și a unor orientări tehnice privind planurile de gestionare a secetei.</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4B844507" w14:textId="01F5E54C" w:rsidR="0090151B" w:rsidRPr="002234C8" w:rsidRDefault="0090151B" w:rsidP="00FE3653">
            <w:pPr>
              <w:jc w:val="center"/>
              <w:rPr>
                <w:rFonts w:ascii="Times New Roman" w:eastAsia="Calibri" w:hAnsi="Times New Roman" w:cs="Times New Roman"/>
                <w:b/>
                <w:bCs/>
                <w:noProof/>
              </w:rPr>
            </w:pPr>
            <w:r w:rsidRPr="002234C8">
              <w:rPr>
                <w:rFonts w:ascii="Times New Roman" w:hAnsi="Times New Roman"/>
                <w:b/>
                <w:noProof/>
              </w:rPr>
              <w:t>2026-2027</w:t>
            </w:r>
          </w:p>
        </w:tc>
      </w:tr>
      <w:tr w:rsidR="00AD1869" w:rsidRPr="009F333A" w14:paraId="291B21C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B3B317F" w14:textId="77777777" w:rsidR="00AD1869" w:rsidRPr="009F333A" w:rsidRDefault="00AD1869" w:rsidP="00FE3653">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712ED685" w14:textId="77777777" w:rsidR="004E7DEE" w:rsidRPr="002234C8" w:rsidRDefault="004E7DEE" w:rsidP="004E7DEE">
            <w:pPr>
              <w:spacing w:line="257" w:lineRule="auto"/>
              <w:jc w:val="both"/>
              <w:rPr>
                <w:rFonts w:ascii="Times New Roman" w:eastAsia="Calibri" w:hAnsi="Times New Roman" w:cs="Times New Roman"/>
                <w:b/>
                <w:noProof/>
              </w:rPr>
            </w:pPr>
            <w:r w:rsidRPr="002234C8">
              <w:rPr>
                <w:rFonts w:ascii="Times New Roman" w:hAnsi="Times New Roman"/>
                <w:b/>
                <w:noProof/>
              </w:rPr>
              <w:t>Pentru a aborda principalele surse de poluare:</w:t>
            </w:r>
          </w:p>
          <w:p w14:paraId="669603A6" w14:textId="58794391" w:rsidR="004E7DEE" w:rsidRPr="002234C8" w:rsidRDefault="006E5C14" w:rsidP="004E7DEE">
            <w:pPr>
              <w:pStyle w:val="ListParagraph"/>
              <w:numPr>
                <w:ilvl w:val="0"/>
                <w:numId w:val="7"/>
              </w:numPr>
              <w:spacing w:line="257" w:lineRule="auto"/>
              <w:jc w:val="both"/>
              <w:rPr>
                <w:rFonts w:ascii="Times New Roman" w:eastAsia="Calibri" w:hAnsi="Times New Roman" w:cs="Times New Roman"/>
                <w:b/>
                <w:noProof/>
              </w:rPr>
            </w:pPr>
            <w:r w:rsidRPr="002234C8">
              <w:rPr>
                <w:rFonts w:ascii="Times New Roman" w:hAnsi="Times New Roman"/>
                <w:b/>
                <w:noProof/>
              </w:rPr>
              <w:t>i</w:t>
            </w:r>
            <w:r w:rsidR="004E7DEE" w:rsidRPr="002234C8">
              <w:rPr>
                <w:rFonts w:ascii="Times New Roman" w:hAnsi="Times New Roman"/>
                <w:b/>
                <w:noProof/>
              </w:rPr>
              <w:t>nițiativă public-privată de realizare a unui progres tehnologic în ceea ce privește metodele fezabile și accesibile de detectare și remediere a PFAS și a altor substanțe chimice persistente, în cazul în care se identifică partenerii potriviți</w:t>
            </w:r>
            <w:r w:rsidRPr="002234C8">
              <w:rPr>
                <w:rFonts w:ascii="Times New Roman" w:hAnsi="Times New Roman"/>
                <w:b/>
                <w:noProof/>
              </w:rPr>
              <w:t>;</w:t>
            </w:r>
          </w:p>
          <w:p w14:paraId="38E6ABD4" w14:textId="1796679D" w:rsidR="00AD1869" w:rsidRPr="009F333A" w:rsidRDefault="006E5C14" w:rsidP="004E7DEE">
            <w:pPr>
              <w:pStyle w:val="ListParagraph"/>
              <w:numPr>
                <w:ilvl w:val="0"/>
                <w:numId w:val="7"/>
              </w:numPr>
              <w:spacing w:line="257" w:lineRule="auto"/>
              <w:jc w:val="both"/>
              <w:rPr>
                <w:rFonts w:ascii="Times New Roman" w:eastAsia="Calibri" w:hAnsi="Times New Roman" w:cs="Times New Roman"/>
                <w:b/>
                <w:bCs/>
                <w:noProof/>
              </w:rPr>
            </w:pPr>
            <w:r w:rsidRPr="002234C8">
              <w:rPr>
                <w:rFonts w:ascii="Times New Roman" w:hAnsi="Times New Roman"/>
                <w:b/>
                <w:noProof/>
              </w:rPr>
              <w:t>l</w:t>
            </w:r>
            <w:r w:rsidR="004E7DEE" w:rsidRPr="002234C8">
              <w:rPr>
                <w:rFonts w:ascii="Times New Roman" w:hAnsi="Times New Roman"/>
                <w:b/>
                <w:noProof/>
              </w:rPr>
              <w:t>ansarea unui set de instrumente de asistență pentru statele membre, menit să sprijine acțiunile de reducere a poluării cu nutrienți,</w:t>
            </w:r>
            <w:r w:rsidR="004E7DEE">
              <w:rPr>
                <w:noProof/>
              </w:rPr>
              <w:t xml:space="preserve"> </w:t>
            </w:r>
            <w:r w:rsidR="004E7DEE" w:rsidRPr="002234C8">
              <w:rPr>
                <w:rFonts w:ascii="Times New Roman" w:hAnsi="Times New Roman"/>
                <w:b/>
                <w:noProof/>
              </w:rPr>
              <w:t>inclusiv prin modele îmbunătățite, hărți interactive și schimburi de bune practici</w:t>
            </w:r>
            <w:r w:rsidR="004E7DEE">
              <w:rPr>
                <w:noProof/>
              </w:rPr>
              <w:t>.</w:t>
            </w:r>
          </w:p>
        </w:tc>
        <w:tc>
          <w:tcPr>
            <w:tcW w:w="1693" w:type="dxa"/>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1043E17C" w14:textId="77777777" w:rsidR="00AD1869" w:rsidRPr="002234C8" w:rsidRDefault="00AD1869" w:rsidP="00FE3653">
            <w:pPr>
              <w:jc w:val="center"/>
              <w:rPr>
                <w:rFonts w:ascii="Times New Roman" w:eastAsia="Calibri" w:hAnsi="Times New Roman" w:cs="Times New Roman"/>
                <w:b/>
                <w:bCs/>
                <w:noProof/>
              </w:rPr>
            </w:pPr>
          </w:p>
          <w:p w14:paraId="1CFFD8EE" w14:textId="77777777" w:rsidR="004E7DEE" w:rsidRPr="002234C8" w:rsidRDefault="004E7DEE" w:rsidP="004F0C22">
            <w:pPr>
              <w:spacing w:before="60"/>
              <w:jc w:val="center"/>
              <w:rPr>
                <w:rFonts w:ascii="Times New Roman" w:eastAsia="Calibri" w:hAnsi="Times New Roman" w:cs="Times New Roman"/>
                <w:b/>
                <w:bCs/>
                <w:noProof/>
              </w:rPr>
            </w:pPr>
            <w:r w:rsidRPr="002234C8">
              <w:rPr>
                <w:rFonts w:ascii="Times New Roman" w:hAnsi="Times New Roman"/>
                <w:b/>
                <w:noProof/>
              </w:rPr>
              <w:t>2027</w:t>
            </w:r>
          </w:p>
          <w:p w14:paraId="680C2F8B" w14:textId="77777777" w:rsidR="004E7DEE" w:rsidRPr="002234C8" w:rsidRDefault="004E7DEE" w:rsidP="00FE3653">
            <w:pPr>
              <w:jc w:val="center"/>
              <w:rPr>
                <w:rFonts w:ascii="Times New Roman" w:eastAsia="Calibri" w:hAnsi="Times New Roman" w:cs="Times New Roman"/>
                <w:b/>
                <w:bCs/>
                <w:noProof/>
              </w:rPr>
            </w:pPr>
          </w:p>
          <w:p w14:paraId="4E1F3C81" w14:textId="77777777" w:rsidR="004E7DEE" w:rsidRPr="002234C8" w:rsidRDefault="004E7DEE" w:rsidP="00FE3653">
            <w:pPr>
              <w:jc w:val="center"/>
              <w:rPr>
                <w:rFonts w:ascii="Times New Roman" w:eastAsia="Calibri" w:hAnsi="Times New Roman" w:cs="Times New Roman"/>
                <w:b/>
                <w:bCs/>
                <w:noProof/>
              </w:rPr>
            </w:pPr>
          </w:p>
          <w:p w14:paraId="473722BF" w14:textId="77777777" w:rsidR="004E7DEE" w:rsidRPr="002234C8" w:rsidRDefault="004E7DEE" w:rsidP="00FE3653">
            <w:pPr>
              <w:jc w:val="center"/>
              <w:rPr>
                <w:rFonts w:ascii="Times New Roman" w:eastAsia="Calibri" w:hAnsi="Times New Roman" w:cs="Times New Roman"/>
                <w:b/>
                <w:bCs/>
                <w:noProof/>
              </w:rPr>
            </w:pPr>
          </w:p>
          <w:p w14:paraId="045AC3EE" w14:textId="09E4CB66" w:rsidR="00AD1869" w:rsidRPr="002234C8" w:rsidRDefault="004F0C22" w:rsidP="00BD1CF1">
            <w:pPr>
              <w:spacing w:before="60"/>
              <w:jc w:val="center"/>
              <w:rPr>
                <w:rFonts w:ascii="Times New Roman" w:eastAsia="Calibri" w:hAnsi="Times New Roman" w:cs="Times New Roman"/>
                <w:b/>
                <w:bCs/>
                <w:noProof/>
              </w:rPr>
            </w:pPr>
            <w:r w:rsidRPr="002234C8">
              <w:rPr>
                <w:rFonts w:ascii="Times New Roman" w:hAnsi="Times New Roman"/>
                <w:b/>
                <w:noProof/>
              </w:rPr>
              <w:t>2026-2027</w:t>
            </w:r>
          </w:p>
        </w:tc>
      </w:tr>
      <w:tr w:rsidR="007F48DB" w:rsidRPr="009F333A" w14:paraId="2D0FF569"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2D30328C" w14:textId="304798EB" w:rsidR="007F48DB" w:rsidRPr="009F333A" w:rsidRDefault="003B6B9C" w:rsidP="009927ED">
            <w:pPr>
              <w:jc w:val="center"/>
              <w:rPr>
                <w:rFonts w:ascii="Times New Roman" w:hAnsi="Times New Roman" w:cs="Times New Roman"/>
                <w:noProof/>
                <w:sz w:val="24"/>
                <w:szCs w:val="24"/>
              </w:rPr>
            </w:pPr>
            <w:r w:rsidRPr="002234C8">
              <w:rPr>
                <w:rFonts w:ascii="Times New Roman" w:hAnsi="Times New Roman"/>
                <w:b/>
                <w:smallCaps/>
                <w:noProof/>
                <w:color w:val="000000" w:themeColor="text1"/>
                <w:sz w:val="24"/>
              </w:rPr>
              <w:t>Construirea unei economii inteligente în domeniul apei, care să nu lase pe nimeni în urmă, să sprijine competitivitatea UE și să atragă investitorii</w:t>
            </w:r>
          </w:p>
        </w:tc>
      </w:tr>
      <w:tr w:rsidR="007F48DB" w:rsidRPr="009F333A" w14:paraId="1BD4F21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8467ABC"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2DF63FA" w14:textId="2A8B02F2" w:rsidR="007F48DB" w:rsidRPr="009F333A" w:rsidRDefault="007F48DB" w:rsidP="00576F7E">
            <w:pPr>
              <w:spacing w:line="257" w:lineRule="auto"/>
              <w:jc w:val="both"/>
              <w:rPr>
                <w:rFonts w:ascii="Times New Roman" w:eastAsia="Times New Roman" w:hAnsi="Times New Roman" w:cs="Times New Roman"/>
                <w:noProof/>
              </w:rPr>
            </w:pPr>
            <w:r w:rsidRPr="002234C8">
              <w:rPr>
                <w:rFonts w:ascii="Times New Roman" w:hAnsi="Times New Roman"/>
                <w:b/>
                <w:noProof/>
              </w:rPr>
              <w:t>Recomandarea privind principiul „eficiența apei înainte de toate”, orientări și raportul AEM privind potențialul neexploatat de utilizare eficientă a apei.</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207E2DC" w14:textId="3AA265AC" w:rsidR="007F48DB" w:rsidRPr="002234C8" w:rsidRDefault="007F48DB" w:rsidP="002A1356">
            <w:pPr>
              <w:pStyle w:val="paragraph"/>
              <w:spacing w:before="0" w:beforeAutospacing="0" w:after="0" w:afterAutospacing="0"/>
              <w:jc w:val="center"/>
              <w:rPr>
                <w:rFonts w:eastAsia="Calibri"/>
                <w:b/>
                <w:noProof/>
              </w:rPr>
            </w:pPr>
            <w:r w:rsidRPr="002234C8">
              <w:rPr>
                <w:b/>
                <w:noProof/>
              </w:rPr>
              <w:t>2025-2026</w:t>
            </w:r>
          </w:p>
          <w:p w14:paraId="6F0B33F3" w14:textId="77777777" w:rsidR="007F48DB" w:rsidRPr="009F333A" w:rsidRDefault="007F48DB" w:rsidP="002A1356">
            <w:pPr>
              <w:jc w:val="center"/>
              <w:rPr>
                <w:rFonts w:ascii="Times New Roman" w:eastAsia="Times New Roman" w:hAnsi="Times New Roman" w:cs="Times New Roman"/>
                <w:noProof/>
              </w:rPr>
            </w:pPr>
          </w:p>
        </w:tc>
      </w:tr>
      <w:tr w:rsidR="007F48DB" w:rsidRPr="009F333A" w14:paraId="3EBA5BE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3EE375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4CE03C2" w14:textId="696B7FA3" w:rsidR="007F48DB" w:rsidRPr="001279E9" w:rsidRDefault="001279E9" w:rsidP="001279E9">
            <w:pPr>
              <w:jc w:val="both"/>
              <w:rPr>
                <w:rFonts w:ascii="Times New Roman" w:hAnsi="Times New Roman"/>
                <w:b/>
                <w:bCs/>
                <w:noProof/>
              </w:rPr>
            </w:pPr>
            <w:r w:rsidRPr="002234C8">
              <w:rPr>
                <w:rFonts w:ascii="Times New Roman" w:hAnsi="Times New Roman"/>
                <w:b/>
                <w:noProof/>
              </w:rPr>
              <w:t>Sprijinirea adoptării practicilor de reutilizare a apei și dincolo de agricultură și revizuirea Regulamentului privind reutilizarea apei.</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1E730CAF" w14:textId="12326F09" w:rsidR="007F48DB" w:rsidRPr="002234C8" w:rsidRDefault="00934F97" w:rsidP="002A1356">
            <w:pPr>
              <w:pStyle w:val="paragraph"/>
              <w:spacing w:before="0" w:beforeAutospacing="0" w:after="0" w:afterAutospacing="0"/>
              <w:jc w:val="center"/>
              <w:rPr>
                <w:rFonts w:eastAsia="Calibri"/>
                <w:b/>
                <w:noProof/>
              </w:rPr>
            </w:pPr>
            <w:r w:rsidRPr="002234C8">
              <w:rPr>
                <w:b/>
                <w:noProof/>
              </w:rPr>
              <w:t>2026-2028</w:t>
            </w:r>
          </w:p>
        </w:tc>
      </w:tr>
      <w:tr w:rsidR="00C95CC0" w:rsidRPr="009F333A" w14:paraId="7A5B05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1B23A2B" w14:textId="77777777" w:rsidR="00C95CC0" w:rsidRPr="009F333A" w:rsidRDefault="00C95CC0"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8DA3E7" w14:textId="77777777" w:rsidR="00C95CC0" w:rsidRPr="007D3D7E" w:rsidRDefault="00C95CC0" w:rsidP="00C95CC0">
            <w:pPr>
              <w:jc w:val="both"/>
              <w:rPr>
                <w:rFonts w:ascii="Times New Roman" w:eastAsia="Times New Roman" w:hAnsi="Times New Roman" w:cs="Times New Roman"/>
                <w:b/>
                <w:noProof/>
                <w:u w:val="single"/>
              </w:rPr>
            </w:pPr>
            <w:r w:rsidRPr="007D3D7E">
              <w:rPr>
                <w:rFonts w:ascii="Times New Roman" w:hAnsi="Times New Roman"/>
                <w:b/>
                <w:noProof/>
                <w:u w:val="single"/>
              </w:rPr>
              <w:t>Aprovizionarea publică cu apă</w:t>
            </w:r>
            <w:r w:rsidRPr="002234C8">
              <w:rPr>
                <w:rFonts w:ascii="Times New Roman" w:hAnsi="Times New Roman"/>
                <w:b/>
                <w:noProof/>
              </w:rPr>
              <w:t>:</w:t>
            </w:r>
            <w:r w:rsidRPr="007D3D7E">
              <w:rPr>
                <w:rFonts w:ascii="Times New Roman" w:hAnsi="Times New Roman"/>
                <w:b/>
                <w:noProof/>
                <w:u w:val="single"/>
              </w:rPr>
              <w:t xml:space="preserve"> </w:t>
            </w:r>
          </w:p>
          <w:p w14:paraId="2D6E4389" w14:textId="419CB207" w:rsidR="00C95CC0" w:rsidRPr="00C95CC0" w:rsidRDefault="006E5C14" w:rsidP="00C95CC0">
            <w:pPr>
              <w:pStyle w:val="ListParagraph"/>
              <w:numPr>
                <w:ilvl w:val="0"/>
                <w:numId w:val="8"/>
              </w:numPr>
              <w:spacing w:line="257" w:lineRule="auto"/>
              <w:jc w:val="both"/>
              <w:rPr>
                <w:rFonts w:ascii="Times New Roman" w:hAnsi="Times New Roman"/>
                <w:b/>
                <w:bCs/>
                <w:noProof/>
              </w:rPr>
            </w:pPr>
            <w:r w:rsidRPr="002234C8">
              <w:rPr>
                <w:rFonts w:ascii="Times New Roman" w:hAnsi="Times New Roman"/>
                <w:b/>
                <w:noProof/>
              </w:rPr>
              <w:t>s</w:t>
            </w:r>
            <w:r w:rsidR="00C95CC0" w:rsidRPr="002234C8">
              <w:rPr>
                <w:rFonts w:ascii="Times New Roman" w:hAnsi="Times New Roman"/>
                <w:b/>
                <w:noProof/>
              </w:rPr>
              <w:t>prijin pentru reducerea scurgerilor și modernizarea infrastructurii și evaluarea aprofundată a datelor.</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7A21B649" w14:textId="264F5A00" w:rsidR="00C95CC0" w:rsidRPr="002234C8" w:rsidRDefault="00C95CC0" w:rsidP="002A1356">
            <w:pPr>
              <w:pStyle w:val="paragraph"/>
              <w:spacing w:before="0" w:beforeAutospacing="0" w:after="0" w:afterAutospacing="0"/>
              <w:jc w:val="center"/>
              <w:rPr>
                <w:rFonts w:eastAsia="Calibri"/>
                <w:b/>
                <w:noProof/>
              </w:rPr>
            </w:pPr>
            <w:r w:rsidRPr="002234C8">
              <w:rPr>
                <w:b/>
                <w:noProof/>
              </w:rPr>
              <w:t>2025-2028</w:t>
            </w:r>
          </w:p>
        </w:tc>
      </w:tr>
      <w:tr w:rsidR="007F48DB" w:rsidRPr="009F333A" w14:paraId="0BD61D4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728BF2B"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41F2E51" w14:textId="77777777" w:rsidR="007F48DB" w:rsidRPr="002234C8" w:rsidRDefault="007F48DB" w:rsidP="002A1356">
            <w:pPr>
              <w:jc w:val="both"/>
              <w:rPr>
                <w:rFonts w:ascii="Times New Roman" w:hAnsi="Times New Roman" w:cs="Times New Roman"/>
                <w:b/>
                <w:noProof/>
              </w:rPr>
            </w:pPr>
            <w:r w:rsidRPr="007D3D7E">
              <w:rPr>
                <w:rFonts w:ascii="Times New Roman" w:hAnsi="Times New Roman"/>
                <w:b/>
                <w:noProof/>
                <w:u w:val="single"/>
              </w:rPr>
              <w:t>Agricultură</w:t>
            </w:r>
            <w:r w:rsidRPr="002234C8">
              <w:rPr>
                <w:rFonts w:ascii="Times New Roman" w:hAnsi="Times New Roman"/>
                <w:b/>
                <w:noProof/>
              </w:rPr>
              <w:t xml:space="preserve">: </w:t>
            </w:r>
          </w:p>
          <w:p w14:paraId="7020538E" w14:textId="77777777" w:rsidR="00076EB9" w:rsidRPr="002234C8" w:rsidRDefault="00076EB9" w:rsidP="00076EB9">
            <w:pPr>
              <w:pStyle w:val="ListParagraph"/>
              <w:numPr>
                <w:ilvl w:val="0"/>
                <w:numId w:val="2"/>
              </w:numPr>
              <w:jc w:val="both"/>
              <w:rPr>
                <w:rFonts w:ascii="Times New Roman" w:eastAsia="Times New Roman" w:hAnsi="Times New Roman" w:cs="Times New Roman"/>
                <w:b/>
                <w:noProof/>
              </w:rPr>
            </w:pPr>
            <w:r w:rsidRPr="002234C8">
              <w:rPr>
                <w:rFonts w:ascii="Times New Roman" w:hAnsi="Times New Roman"/>
                <w:b/>
                <w:noProof/>
              </w:rPr>
              <w:t>maximizarea utilizării planurilor strategice PAC pentru reziliența în domeniul apei prin schimbul de cunoștințe și soluții inovatoare promovate de rețeaua PAC a UE, prin Parteneriatul european pentru inovare (PEI-AGRI), precum și prin servicii îmbunătățite și independente de consiliere agricolă;</w:t>
            </w:r>
          </w:p>
          <w:p w14:paraId="213AC5EA" w14:textId="0B4D393A" w:rsidR="007F48DB" w:rsidRPr="00D25DAB" w:rsidRDefault="00A84B5E" w:rsidP="00D25DAB">
            <w:pPr>
              <w:pStyle w:val="ListParagraph"/>
              <w:numPr>
                <w:ilvl w:val="0"/>
                <w:numId w:val="2"/>
              </w:numPr>
              <w:jc w:val="both"/>
              <w:rPr>
                <w:rFonts w:ascii="Times New Roman" w:eastAsia="Times New Roman" w:hAnsi="Times New Roman" w:cs="Times New Roman"/>
                <w:noProof/>
              </w:rPr>
            </w:pPr>
            <w:r w:rsidRPr="002234C8">
              <w:rPr>
                <w:rFonts w:ascii="Times New Roman" w:hAnsi="Times New Roman"/>
                <w:b/>
                <w:noProof/>
              </w:rPr>
              <w:t>în următoarea perioadă de programare, continuarea acordării de stimulente fermierilor în vederea îmbunătățirii performanței în materie de mediu și climă a exploatațiilor lor, inclusiv în direcția unei mai bune gestionări a apei.</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DF9427F" w14:textId="77777777" w:rsidR="007F48DB" w:rsidRPr="002234C8" w:rsidRDefault="007F48DB" w:rsidP="000B73B3">
            <w:pPr>
              <w:jc w:val="both"/>
              <w:rPr>
                <w:rFonts w:ascii="Times New Roman" w:hAnsi="Times New Roman" w:cs="Times New Roman"/>
                <w:b/>
                <w:noProof/>
              </w:rPr>
            </w:pPr>
          </w:p>
          <w:p w14:paraId="66C76E0F" w14:textId="59611240" w:rsidR="007F48DB" w:rsidRPr="002234C8" w:rsidRDefault="007F48DB" w:rsidP="002A1356">
            <w:pPr>
              <w:jc w:val="center"/>
              <w:rPr>
                <w:rFonts w:ascii="Times New Roman" w:eastAsia="Times New Roman" w:hAnsi="Times New Roman" w:cs="Times New Roman"/>
                <w:b/>
                <w:noProof/>
              </w:rPr>
            </w:pPr>
            <w:r w:rsidRPr="002234C8">
              <w:rPr>
                <w:rFonts w:ascii="Times New Roman" w:hAnsi="Times New Roman"/>
                <w:b/>
                <w:noProof/>
              </w:rPr>
              <w:t>2025-2026</w:t>
            </w:r>
          </w:p>
        </w:tc>
      </w:tr>
      <w:tr w:rsidR="007F48DB" w:rsidRPr="009F333A" w14:paraId="32AF265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D4063C8" w14:textId="77777777" w:rsidR="007F48DB" w:rsidRPr="009F333A" w:rsidRDefault="007F48DB" w:rsidP="002A1356">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FCE5102" w14:textId="67D6CABD" w:rsidR="007F48DB" w:rsidRPr="002234C8" w:rsidRDefault="007F48DB" w:rsidP="002A1356">
            <w:pPr>
              <w:jc w:val="both"/>
              <w:rPr>
                <w:rFonts w:ascii="Times New Roman" w:eastAsia="Times New Roman" w:hAnsi="Times New Roman" w:cs="Times New Roman"/>
                <w:b/>
                <w:noProof/>
              </w:rPr>
            </w:pPr>
            <w:r w:rsidRPr="007D3D7E">
              <w:rPr>
                <w:rFonts w:ascii="Times New Roman" w:hAnsi="Times New Roman"/>
                <w:b/>
                <w:noProof/>
                <w:u w:val="single"/>
              </w:rPr>
              <w:t>Industrie și energie</w:t>
            </w:r>
            <w:r w:rsidRPr="002234C8">
              <w:rPr>
                <w:rFonts w:ascii="Times New Roman" w:hAnsi="Times New Roman"/>
                <w:b/>
                <w:noProof/>
              </w:rPr>
              <w:t xml:space="preserve">: </w:t>
            </w:r>
          </w:p>
          <w:p w14:paraId="3E67B5BA" w14:textId="1CD7FCA8" w:rsidR="00C95C61" w:rsidRPr="002234C8" w:rsidRDefault="00C95C61" w:rsidP="00C95C61">
            <w:pPr>
              <w:pStyle w:val="ListParagraph"/>
              <w:numPr>
                <w:ilvl w:val="0"/>
                <w:numId w:val="2"/>
              </w:numPr>
              <w:jc w:val="both"/>
              <w:rPr>
                <w:rFonts w:ascii="Times New Roman" w:eastAsia="Calibri" w:hAnsi="Times New Roman" w:cs="Times New Roman"/>
                <w:b/>
                <w:noProof/>
              </w:rPr>
            </w:pPr>
            <w:r w:rsidRPr="002234C8">
              <w:rPr>
                <w:rFonts w:ascii="Times New Roman" w:hAnsi="Times New Roman"/>
                <w:b/>
                <w:noProof/>
              </w:rPr>
              <w:t>lansarea unui proiect-pilot pentru promovarea utilizării eficiente a apei, inclusiv a tehnologiilor fără apă și cu ciclu închis al apei, în anumite clustere industriale;</w:t>
            </w:r>
          </w:p>
          <w:p w14:paraId="41112F8F" w14:textId="77777777" w:rsidR="007F48DB" w:rsidRPr="001279E9" w:rsidRDefault="00C95C61" w:rsidP="00E57436">
            <w:pPr>
              <w:pStyle w:val="paragraph"/>
              <w:numPr>
                <w:ilvl w:val="0"/>
                <w:numId w:val="2"/>
              </w:numPr>
              <w:spacing w:before="0" w:beforeAutospacing="0" w:after="0" w:afterAutospacing="0"/>
              <w:jc w:val="both"/>
              <w:textAlignment w:val="baseline"/>
              <w:rPr>
                <w:noProof/>
              </w:rPr>
            </w:pPr>
            <w:r w:rsidRPr="002234C8">
              <w:rPr>
                <w:b/>
                <w:noProof/>
              </w:rPr>
              <w:t>includerea utilizării apei printre parametrii unui sistem comun al Uniunii de evaluare a sustenabilității centrelor de date și propunerea de standarde minime de performanță privind consumul de apă;</w:t>
            </w:r>
          </w:p>
          <w:p w14:paraId="4A40C42D" w14:textId="7FD50962" w:rsidR="001279E9" w:rsidRPr="001279E9" w:rsidRDefault="006E5C14" w:rsidP="00E57436">
            <w:pPr>
              <w:pStyle w:val="paragraph"/>
              <w:numPr>
                <w:ilvl w:val="0"/>
                <w:numId w:val="2"/>
              </w:numPr>
              <w:spacing w:before="0" w:beforeAutospacing="0" w:after="0" w:afterAutospacing="0"/>
              <w:jc w:val="both"/>
              <w:textAlignment w:val="baseline"/>
              <w:rPr>
                <w:b/>
                <w:bCs/>
                <w:noProof/>
              </w:rPr>
            </w:pPr>
            <w:r w:rsidRPr="002234C8">
              <w:rPr>
                <w:b/>
                <w:noProof/>
                <w:sz w:val="24"/>
              </w:rPr>
              <w:t>i</w:t>
            </w:r>
            <w:r w:rsidR="001279E9" w:rsidRPr="002234C8">
              <w:rPr>
                <w:b/>
                <w:noProof/>
                <w:sz w:val="24"/>
              </w:rPr>
              <w:t>nițiativă public-privată de realizare a unui progres tehnologic în ceea ce privește metodele fezabile și accesibile pentru răcirea uscată, în cazul în care se identifică partenerii potriviți.</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31B2C7FE" w14:textId="056CDA8F" w:rsidR="007F48DB" w:rsidRPr="002234C8" w:rsidRDefault="007F48DB" w:rsidP="002A1356">
            <w:pPr>
              <w:jc w:val="center"/>
              <w:rPr>
                <w:rFonts w:ascii="Times New Roman" w:eastAsia="Times New Roman" w:hAnsi="Times New Roman" w:cs="Times New Roman"/>
                <w:b/>
                <w:noProof/>
              </w:rPr>
            </w:pPr>
            <w:r w:rsidRPr="002234C8">
              <w:rPr>
                <w:rFonts w:ascii="Times New Roman" w:hAnsi="Times New Roman"/>
                <w:b/>
                <w:noProof/>
              </w:rPr>
              <w:t>2025-2026</w:t>
            </w:r>
          </w:p>
        </w:tc>
      </w:tr>
      <w:tr w:rsidR="007F48DB" w:rsidRPr="009F333A" w14:paraId="0D97743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9E191FD" w14:textId="77777777" w:rsidR="007F48DB" w:rsidRPr="009F333A" w:rsidRDefault="007F48DB">
            <w:pPr>
              <w:spacing w:before="240"/>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DAA6D9A" w14:textId="7FF0061F" w:rsidR="007F48DB" w:rsidRPr="009F333A" w:rsidRDefault="007F48DB" w:rsidP="004D0B73">
            <w:pPr>
              <w:jc w:val="both"/>
              <w:rPr>
                <w:rFonts w:ascii="Times New Roman" w:eastAsia="Times New Roman" w:hAnsi="Times New Roman" w:cs="Times New Roman"/>
                <w:noProof/>
              </w:rPr>
            </w:pPr>
            <w:r>
              <w:rPr>
                <w:rFonts w:ascii="Times New Roman" w:hAnsi="Times New Roman"/>
                <w:noProof/>
              </w:rPr>
              <w:t>Promovarea schimbului de bune practici privind bilanțurile de apă dulce, contabilizarea fluxurilor de apă, eficiența utilizării apei și măsurarea inteligentă a consumului de apă în toate sectoarele economice.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3B8CDB" w14:textId="77777777" w:rsidR="007F48DB" w:rsidRPr="009F333A" w:rsidRDefault="007F48DB" w:rsidP="004D0B73">
            <w:pPr>
              <w:jc w:val="center"/>
              <w:rPr>
                <w:rFonts w:ascii="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r w:rsidR="007F48DB" w:rsidRPr="009F333A" w14:paraId="3020BCBE"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51D89D2" w14:textId="77777777" w:rsidR="007F48DB" w:rsidRPr="009F333A" w:rsidRDefault="007F48DB">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93D0299" w14:textId="027524A5" w:rsidR="007F48DB" w:rsidRPr="009F333A" w:rsidRDefault="007F48DB" w:rsidP="004D0B73">
            <w:pPr>
              <w:jc w:val="both"/>
              <w:rPr>
                <w:rFonts w:ascii="Times New Roman" w:eastAsia="Times New Roman" w:hAnsi="Times New Roman" w:cs="Times New Roman"/>
                <w:noProof/>
              </w:rPr>
            </w:pPr>
            <w:r>
              <w:rPr>
                <w:rFonts w:ascii="Times New Roman" w:hAnsi="Times New Roman"/>
                <w:noProof/>
              </w:rPr>
              <w:t>Evaluarea calității datelor disponibile privind apa și, după caz, prezentarea unei propuneri legislative pentru introducerea unor noi module de conturi economice de mediu pentru conturile de apă.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998219" w14:textId="23212095" w:rsidR="007F48DB" w:rsidRPr="009F333A" w:rsidRDefault="007F48DB" w:rsidP="004D0B73">
            <w:pPr>
              <w:jc w:val="center"/>
              <w:rPr>
                <w:rFonts w:ascii="Times New Roman" w:eastAsia="Times New Roman" w:hAnsi="Times New Roman" w:cs="Times New Roman"/>
                <w:noProof/>
              </w:rPr>
            </w:pPr>
            <w:r>
              <w:rPr>
                <w:rFonts w:ascii="Times New Roman" w:hAnsi="Times New Roman"/>
                <w:noProof/>
              </w:rPr>
              <w:t xml:space="preserve">Până la sfârșitul anului </w:t>
            </w:r>
            <w:r w:rsidRPr="002234C8">
              <w:rPr>
                <w:rFonts w:ascii="Times New Roman" w:hAnsi="Times New Roman"/>
                <w:noProof/>
              </w:rPr>
              <w:t>2026</w:t>
            </w:r>
          </w:p>
        </w:tc>
      </w:tr>
      <w:tr w:rsidR="007F48DB" w:rsidRPr="009F333A" w14:paraId="329613D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609AED7F" w14:textId="046EA983" w:rsidR="007F48DB" w:rsidRPr="009F333A" w:rsidRDefault="007F48DB">
            <w:pPr>
              <w:jc w:val="center"/>
              <w:rPr>
                <w:rFonts w:ascii="Times New Roman" w:eastAsia="Times New Roman" w:hAnsi="Times New Roman" w:cs="Times New Roman"/>
                <w:noProof/>
                <w:sz w:val="24"/>
                <w:szCs w:val="24"/>
              </w:rPr>
            </w:pPr>
            <w:r w:rsidRPr="002234C8">
              <w:rPr>
                <w:rFonts w:ascii="Times New Roman" w:hAnsi="Times New Roman"/>
                <w:b/>
                <w:smallCaps/>
                <w:noProof/>
                <w:sz w:val="24"/>
              </w:rPr>
              <w:t>Asigurarea apei curate și la prețuri accesibile pentru toți, responsabilizarea consumatorilor și a altor utilizatori</w:t>
            </w:r>
          </w:p>
        </w:tc>
      </w:tr>
      <w:tr w:rsidR="00B91E43" w:rsidRPr="009F333A" w14:paraId="3F379B5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61366D5" w14:textId="77777777" w:rsidR="00B91E43" w:rsidRPr="009F333A" w:rsidRDefault="00B91E43" w:rsidP="009927ED">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15CBDA4" w14:textId="368E8107" w:rsidR="00B91E43" w:rsidRPr="009F333A" w:rsidRDefault="00B94BFA" w:rsidP="009927ED">
            <w:pPr>
              <w:spacing w:line="257" w:lineRule="auto"/>
              <w:jc w:val="both"/>
              <w:rPr>
                <w:rFonts w:ascii="Times New Roman" w:hAnsi="Times New Roman" w:cs="Times New Roman"/>
                <w:b/>
                <w:noProof/>
              </w:rPr>
            </w:pPr>
            <w:r w:rsidRPr="002234C8">
              <w:rPr>
                <w:rFonts w:ascii="Times New Roman" w:hAnsi="Times New Roman"/>
                <w:b/>
                <w:noProof/>
              </w:rPr>
              <w:t>Abordarea amprentei de apă a produselor atunci când se stabilesc sau se actualizează cerințele în temeiul ESPR și al etichetei ecologice a UE.</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4DE40243" w14:textId="2B9D9C1E" w:rsidR="00B91E43" w:rsidRPr="002234C8" w:rsidRDefault="00B94BFA" w:rsidP="009927ED">
            <w:pPr>
              <w:jc w:val="center"/>
              <w:rPr>
                <w:rFonts w:ascii="Times New Roman" w:eastAsia="Calibri" w:hAnsi="Times New Roman" w:cs="Times New Roman"/>
                <w:b/>
                <w:noProof/>
              </w:rPr>
            </w:pPr>
            <w:r w:rsidRPr="002234C8">
              <w:rPr>
                <w:rFonts w:ascii="Times New Roman" w:hAnsi="Times New Roman"/>
                <w:b/>
                <w:noProof/>
              </w:rPr>
              <w:t>2025-2027</w:t>
            </w:r>
          </w:p>
        </w:tc>
      </w:tr>
      <w:tr w:rsidR="005D7772" w:rsidRPr="009F333A" w14:paraId="0F0F57AD"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78FDB93" w14:textId="77777777" w:rsidR="005D7772" w:rsidRPr="009F333A" w:rsidRDefault="005D7772"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4E76274" w14:textId="3B208FB6" w:rsidR="005D7772" w:rsidRPr="009F333A" w:rsidRDefault="00912BD9" w:rsidP="00ED35FF">
            <w:pPr>
              <w:jc w:val="both"/>
              <w:rPr>
                <w:rFonts w:ascii="Times New Roman" w:eastAsia="Times New Roman" w:hAnsi="Times New Roman" w:cs="Times New Roman"/>
                <w:b/>
                <w:bCs/>
                <w:noProof/>
              </w:rPr>
            </w:pPr>
            <w:r w:rsidRPr="002234C8">
              <w:rPr>
                <w:rFonts w:ascii="Times New Roman" w:hAnsi="Times New Roman"/>
                <w:b/>
                <w:noProof/>
              </w:rPr>
              <w:t>Promovarea celor mai bune practici privind sensibilizarea publicului și rolul tarifării apei pentru a promova eficiența utilizării apei, recuperarea costurilor și principiul „poluatorul plătește”, precum și guvernanța națională aferentă în domeniul apei.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B8E3FE" w14:textId="77777777" w:rsidR="005D7772" w:rsidRPr="002234C8" w:rsidRDefault="005D7772" w:rsidP="00ED35FF">
            <w:pPr>
              <w:jc w:val="center"/>
              <w:rPr>
                <w:rFonts w:ascii="Times New Roman" w:eastAsia="Times New Roman" w:hAnsi="Times New Roman" w:cs="Times New Roman"/>
                <w:b/>
                <w:bCs/>
                <w:noProof/>
              </w:rPr>
            </w:pPr>
            <w:r w:rsidRPr="002234C8">
              <w:rPr>
                <w:rFonts w:ascii="Times New Roman" w:hAnsi="Times New Roman"/>
                <w:b/>
                <w:noProof/>
              </w:rPr>
              <w:t>2026-2027</w:t>
            </w:r>
          </w:p>
        </w:tc>
      </w:tr>
      <w:tr w:rsidR="00912BD9" w:rsidRPr="009F333A" w14:paraId="31B2E7F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377CAD" w14:textId="77777777" w:rsidR="00912BD9" w:rsidRPr="009F333A" w:rsidRDefault="00912BD9" w:rsidP="00ED35FF">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38B6C460" w14:textId="77777777" w:rsidR="00912BD9" w:rsidRPr="009F333A" w:rsidRDefault="00912BD9" w:rsidP="00ED35FF">
            <w:pPr>
              <w:spacing w:line="257" w:lineRule="auto"/>
              <w:jc w:val="both"/>
              <w:rPr>
                <w:rFonts w:ascii="Times New Roman" w:hAnsi="Times New Roman" w:cs="Times New Roman"/>
                <w:b/>
                <w:noProof/>
              </w:rPr>
            </w:pPr>
            <w:r w:rsidRPr="002234C8">
              <w:rPr>
                <w:rFonts w:ascii="Times New Roman" w:hAnsi="Times New Roman"/>
                <w:b/>
                <w:noProof/>
              </w:rPr>
              <w:t>Stimularea eforturilor de asigurare a rezilienței în domeniul apei în mediul construit prin intermediul viitorului program de lucru pentru perioada 2026-2027 al Mecanismului pentru noul Bauhaus european și al viitorului plan privind locuințele la prețuri accesibile.</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5698744F" w14:textId="77777777" w:rsidR="00912BD9" w:rsidRPr="002234C8" w:rsidRDefault="00912BD9" w:rsidP="00ED35FF">
            <w:pPr>
              <w:jc w:val="center"/>
              <w:rPr>
                <w:rFonts w:ascii="Times New Roman" w:eastAsia="Calibri" w:hAnsi="Times New Roman" w:cs="Times New Roman"/>
                <w:b/>
                <w:noProof/>
              </w:rPr>
            </w:pPr>
            <w:r w:rsidRPr="002234C8">
              <w:rPr>
                <w:rFonts w:ascii="Times New Roman" w:hAnsi="Times New Roman"/>
                <w:b/>
                <w:noProof/>
              </w:rPr>
              <w:t>2026</w:t>
            </w:r>
          </w:p>
        </w:tc>
      </w:tr>
      <w:tr w:rsidR="00912BD9" w:rsidRPr="009F333A" w14:paraId="7FDD915F"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73E05303" w14:textId="73A87B45" w:rsidR="00912BD9" w:rsidRPr="009F333A" w:rsidRDefault="00912BD9" w:rsidP="00912BD9">
            <w:pPr>
              <w:jc w:val="center"/>
              <w:rPr>
                <w:rFonts w:ascii="Times New Roman" w:eastAsia="Times New Roman" w:hAnsi="Times New Roman" w:cs="Times New Roman"/>
                <w:noProof/>
                <w:sz w:val="24"/>
                <w:szCs w:val="24"/>
              </w:rPr>
            </w:pPr>
            <w:r w:rsidRPr="002234C8">
              <w:rPr>
                <w:rFonts w:ascii="Times New Roman" w:hAnsi="Times New Roman"/>
                <w:b/>
                <w:smallCaps/>
                <w:noProof/>
                <w:sz w:val="24"/>
              </w:rPr>
              <w:t>Guvernanța și punerea în aplicare pentru a stimula schimbarea</w:t>
            </w:r>
          </w:p>
        </w:tc>
      </w:tr>
      <w:tr w:rsidR="00912BD9" w:rsidRPr="009F333A" w14:paraId="4EDF75D6"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7108324"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5F117149" w14:textId="4842944C" w:rsidR="00912BD9" w:rsidRPr="009F333A" w:rsidDel="2964AEB5" w:rsidRDefault="00912BD9" w:rsidP="00912BD9">
            <w:pPr>
              <w:jc w:val="both"/>
              <w:rPr>
                <w:rFonts w:ascii="Times New Roman" w:eastAsia="Times New Roman" w:hAnsi="Times New Roman" w:cs="Times New Roman"/>
                <w:noProof/>
              </w:rPr>
            </w:pPr>
            <w:r w:rsidRPr="002234C8">
              <w:rPr>
                <w:rFonts w:ascii="Times New Roman" w:hAnsi="Times New Roman"/>
                <w:b/>
                <w:noProof/>
              </w:rPr>
              <w:t>intensificarea măsurilor de asigurare a respectării legislației și lansarea de dialoguri structurate cu toate statele membre pentru a accelera și a intensifica punerea în aplicare a acquis-ului UE în domeniul apei, pe baza priorităților-cheie în materie de asigurare a respectării legislației care decurg din cea mai recentă evaluare a planurilor de management al bazinelor hidrografice și al riscului de inundații.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B33D782" w14:textId="69761868" w:rsidR="00912BD9" w:rsidRPr="009F333A" w:rsidRDefault="00912BD9" w:rsidP="00912BD9">
            <w:pPr>
              <w:jc w:val="center"/>
              <w:rPr>
                <w:rFonts w:ascii="Times New Roman" w:eastAsia="Times New Roman" w:hAnsi="Times New Roman" w:cs="Times New Roman"/>
                <w:noProof/>
              </w:rPr>
            </w:pPr>
            <w:r w:rsidRPr="002234C8">
              <w:rPr>
                <w:rFonts w:ascii="Times New Roman" w:hAnsi="Times New Roman"/>
                <w:b/>
                <w:noProof/>
              </w:rPr>
              <w:t>2025-2026</w:t>
            </w:r>
          </w:p>
        </w:tc>
      </w:tr>
      <w:tr w:rsidR="00912BD9" w:rsidRPr="009F333A" w14:paraId="64BAD3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EC30373"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4A6838AE" w14:textId="6D0966C5" w:rsidR="00912BD9" w:rsidRPr="009F333A" w:rsidDel="00A710D3" w:rsidRDefault="00912BD9" w:rsidP="00912BD9">
            <w:pPr>
              <w:jc w:val="both"/>
              <w:rPr>
                <w:rFonts w:ascii="Times New Roman" w:eastAsia="Times New Roman" w:hAnsi="Times New Roman" w:cs="Times New Roman"/>
                <w:b/>
                <w:bCs/>
                <w:noProof/>
              </w:rPr>
            </w:pPr>
            <w:r w:rsidRPr="002234C8">
              <w:rPr>
                <w:rFonts w:ascii="Times New Roman" w:hAnsi="Times New Roman"/>
                <w:b/>
                <w:noProof/>
              </w:rPr>
              <w:t>În cadrul Comunității de bune practici „Coeziune pentru tranziții”, organizarea unei cooperări periodice cu regiunile, orașele și autoritățile din domeniul apei, pentru a promova schimbul de bune practici privind „peisajele-burete” și cooperarea transfrontalieră în domeniul apei, identificate în cadrul Interreg.</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B534640" w14:textId="4BEFB8ED" w:rsidR="00912BD9" w:rsidRPr="002234C8" w:rsidRDefault="00912BD9" w:rsidP="00912BD9">
            <w:pPr>
              <w:jc w:val="center"/>
              <w:rPr>
                <w:rFonts w:ascii="Times New Roman" w:eastAsia="Times New Roman" w:hAnsi="Times New Roman" w:cs="Times New Roman"/>
                <w:b/>
                <w:bCs/>
                <w:noProof/>
              </w:rPr>
            </w:pPr>
            <w:r w:rsidRPr="002234C8">
              <w:rPr>
                <w:rFonts w:ascii="Times New Roman" w:hAnsi="Times New Roman"/>
                <w:b/>
                <w:noProof/>
              </w:rPr>
              <w:t>2025-2027</w:t>
            </w:r>
          </w:p>
        </w:tc>
      </w:tr>
      <w:tr w:rsidR="001F1F4C" w:rsidRPr="009F333A" w14:paraId="3C91E785"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25FD85" w14:textId="77777777" w:rsidR="001F1F4C" w:rsidRPr="009F333A" w:rsidRDefault="001F1F4C"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vAlign w:val="center"/>
          </w:tcPr>
          <w:p w14:paraId="197B9F2D" w14:textId="7C499D7D" w:rsidR="001F1F4C" w:rsidRPr="001F1F4C" w:rsidRDefault="001F1F4C" w:rsidP="00912BD9">
            <w:pPr>
              <w:jc w:val="both"/>
              <w:rPr>
                <w:rFonts w:ascii="Times New Roman" w:eastAsia="Times New Roman" w:hAnsi="Times New Roman" w:cs="Times New Roman"/>
                <w:b/>
                <w:bCs/>
                <w:noProof/>
              </w:rPr>
            </w:pPr>
            <w:r w:rsidRPr="002234C8">
              <w:rPr>
                <w:rFonts w:ascii="Times New Roman" w:hAnsi="Times New Roman"/>
                <w:b/>
                <w:noProof/>
                <w:sz w:val="24"/>
              </w:rPr>
              <w:t>Lansarea unui vizualizator care integrează date de mediu cu date referitoare la rețelele de apă și energie pentru a sprijini statele membre în eforturile lor de amenajare a teritoriului în vederea identificării celor mai bune zone pentru localizarea avantajoasă pentru toate părțile a operațiunilor comerciale cu utilizare intensivă a apei.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36963C3E" w14:textId="3A9A1D20" w:rsidR="001F1F4C" w:rsidRPr="002234C8" w:rsidRDefault="001F1F4C" w:rsidP="00912BD9">
            <w:pPr>
              <w:jc w:val="center"/>
              <w:rPr>
                <w:rFonts w:ascii="Times New Roman" w:eastAsia="Times New Roman" w:hAnsi="Times New Roman" w:cs="Times New Roman"/>
                <w:b/>
                <w:bCs/>
                <w:noProof/>
              </w:rPr>
            </w:pPr>
            <w:r w:rsidRPr="002234C8">
              <w:rPr>
                <w:rFonts w:ascii="Times New Roman" w:hAnsi="Times New Roman"/>
                <w:b/>
                <w:noProof/>
              </w:rPr>
              <w:t>2027</w:t>
            </w:r>
          </w:p>
        </w:tc>
      </w:tr>
      <w:tr w:rsidR="00912BD9" w:rsidRPr="009F333A" w14:paraId="418325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B5E3634"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 xml:space="preserve"> </w:t>
            </w:r>
          </w:p>
        </w:tc>
        <w:tc>
          <w:tcPr>
            <w:tcW w:w="6460" w:type="dxa"/>
            <w:tcBorders>
              <w:top w:val="nil"/>
              <w:left w:val="single" w:sz="8" w:space="0" w:color="auto"/>
              <w:bottom w:val="single" w:sz="8" w:space="0" w:color="auto"/>
              <w:right w:val="single" w:sz="8" w:space="0" w:color="auto"/>
            </w:tcBorders>
            <w:tcMar>
              <w:left w:w="108" w:type="dxa"/>
              <w:right w:w="108" w:type="dxa"/>
            </w:tcMar>
          </w:tcPr>
          <w:p w14:paraId="28524F9E" w14:textId="6D249D78" w:rsidR="00912BD9" w:rsidRPr="009F333A" w:rsidRDefault="00912BD9" w:rsidP="00912BD9">
            <w:pPr>
              <w:jc w:val="both"/>
              <w:rPr>
                <w:rFonts w:ascii="Times New Roman" w:eastAsia="Times New Roman" w:hAnsi="Times New Roman" w:cs="Times New Roman"/>
                <w:noProof/>
              </w:rPr>
            </w:pPr>
            <w:bookmarkStart w:id="11" w:name="_Hlk197773047"/>
            <w:r>
              <w:rPr>
                <w:rFonts w:ascii="Times New Roman" w:hAnsi="Times New Roman"/>
                <w:noProof/>
              </w:rPr>
              <w:t xml:space="preserve">Crearea unui forum privind reziliența în domeniul apei. </w:t>
            </w:r>
            <w:bookmarkEnd w:id="11"/>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8C53B5C"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2026</w:t>
            </w:r>
          </w:p>
        </w:tc>
      </w:tr>
      <w:tr w:rsidR="00912BD9" w:rsidRPr="009F333A" w14:paraId="48E43E4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0A751646" w14:textId="7E4F351B" w:rsidR="00912BD9" w:rsidRPr="002234C8" w:rsidRDefault="23F02BA4" w:rsidP="002234C8">
            <w:pPr>
              <w:keepNext/>
              <w:jc w:val="center"/>
              <w:rPr>
                <w:rFonts w:ascii="Times New Roman" w:hAnsi="Times New Roman" w:cs="Times New Roman"/>
                <w:b/>
                <w:bCs/>
                <w:noProof/>
                <w:sz w:val="24"/>
                <w:szCs w:val="24"/>
              </w:rPr>
            </w:pPr>
            <w:r w:rsidRPr="002234C8">
              <w:rPr>
                <w:rFonts w:ascii="Times New Roman" w:hAnsi="Times New Roman"/>
                <w:b/>
                <w:smallCaps/>
                <w:noProof/>
                <w:sz w:val="24"/>
              </w:rPr>
              <w:t>Finanțare, investiții și infrastructură pentru asigurarea unei aprovizionări stabile</w:t>
            </w:r>
          </w:p>
        </w:tc>
      </w:tr>
      <w:tr w:rsidR="00912BD9" w:rsidRPr="009F333A" w14:paraId="7DFA8C8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DB31696"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A768249" w14:textId="52A472C9" w:rsidR="00912BD9" w:rsidRPr="009F333A" w:rsidRDefault="00912BD9" w:rsidP="00912BD9">
            <w:pPr>
              <w:spacing w:line="257" w:lineRule="auto"/>
              <w:jc w:val="both"/>
              <w:rPr>
                <w:rFonts w:ascii="Times New Roman" w:eastAsia="Times New Roman" w:hAnsi="Times New Roman" w:cs="Times New Roman"/>
                <w:b/>
                <w:noProof/>
              </w:rPr>
            </w:pPr>
            <w:r w:rsidRPr="002234C8">
              <w:rPr>
                <w:rFonts w:ascii="Times New Roman" w:hAnsi="Times New Roman"/>
                <w:b/>
                <w:noProof/>
              </w:rPr>
              <w:t>Lansarea Programului BEI privind apa și a Mecanismului de consiliere în domeniul apei durabile, în cooperare cu Comisia, pentru a intensifica asistența acordată potențialilor contractanți de împrumuturi, sporind rezerva de proiecte.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7105DC" w14:textId="634433C4"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2025</w:t>
            </w:r>
          </w:p>
        </w:tc>
      </w:tr>
      <w:tr w:rsidR="00912BD9" w:rsidRPr="009F333A" w14:paraId="3DB94CC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35A86F"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542BB04" w14:textId="446C3432" w:rsidR="00912BD9" w:rsidRPr="009F333A" w:rsidDel="008B5C53" w:rsidRDefault="00912BD9" w:rsidP="00912BD9">
            <w:pPr>
              <w:spacing w:line="257" w:lineRule="auto"/>
              <w:jc w:val="both"/>
              <w:rPr>
                <w:rFonts w:ascii="Times New Roman" w:hAnsi="Times New Roman" w:cs="Times New Roman"/>
                <w:b/>
                <w:noProof/>
              </w:rPr>
            </w:pPr>
            <w:r w:rsidRPr="002234C8">
              <w:rPr>
                <w:rFonts w:ascii="Times New Roman" w:hAnsi="Times New Roman"/>
                <w:b/>
                <w:noProof/>
              </w:rPr>
              <w:t>Sprijinirea statelor membre și a regiunilor în reorientarea fondurilor politicii de coeziune pentru reziliența în domeniul apei în cadrul evaluării la jumătatea perioadei.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C0D8522" w14:textId="50470BA8"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2025</w:t>
            </w:r>
          </w:p>
        </w:tc>
      </w:tr>
      <w:tr w:rsidR="00912BD9" w:rsidRPr="009F333A" w14:paraId="5EA699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8C36FEC"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AD4ED84" w14:textId="22966445" w:rsidR="00912BD9" w:rsidRPr="009F333A" w:rsidRDefault="00912BD9" w:rsidP="00912BD9">
            <w:pPr>
              <w:spacing w:line="257" w:lineRule="auto"/>
              <w:jc w:val="both"/>
              <w:rPr>
                <w:rFonts w:ascii="Times New Roman" w:eastAsia="Times New Roman" w:hAnsi="Times New Roman" w:cs="Times New Roman"/>
                <w:b/>
                <w:bCs/>
                <w:noProof/>
              </w:rPr>
            </w:pPr>
            <w:bookmarkStart w:id="12" w:name="_Hlk197773761"/>
            <w:r w:rsidRPr="002234C8">
              <w:rPr>
                <w:rFonts w:ascii="Times New Roman" w:hAnsi="Times New Roman"/>
                <w:b/>
                <w:noProof/>
              </w:rPr>
              <w:t xml:space="preserve"> Înființarea unui Accelerator de investiții pentru reziliența în domeniul apei.</w:t>
            </w:r>
            <w:bookmarkEnd w:id="12"/>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5A88FEE" w14:textId="3D4DB7CB"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2026-2027</w:t>
            </w:r>
          </w:p>
        </w:tc>
      </w:tr>
      <w:tr w:rsidR="00912BD9" w:rsidRPr="009F333A" w14:paraId="1F09891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FE3A79D"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BA21756" w14:textId="068E014C" w:rsidR="00912BD9" w:rsidRPr="009F333A" w:rsidDel="00A8798D" w:rsidRDefault="00912BD9" w:rsidP="00912BD9">
            <w:pPr>
              <w:spacing w:line="257" w:lineRule="auto"/>
              <w:jc w:val="both"/>
              <w:rPr>
                <w:rFonts w:ascii="Times New Roman" w:eastAsia="Times New Roman" w:hAnsi="Times New Roman" w:cs="Times New Roman"/>
                <w:b/>
                <w:noProof/>
              </w:rPr>
            </w:pPr>
            <w:r w:rsidRPr="002234C8">
              <w:rPr>
                <w:rFonts w:ascii="Times New Roman" w:hAnsi="Times New Roman"/>
                <w:b/>
                <w:noProof/>
              </w:rPr>
              <w:t xml:space="preserve">Lansarea unei inițiative privind coridoarele verzi și albastre pentru a sprijini refacerea mediului și a infrastructurii ecologice, inclusiv a râurilor și a zonelor umede, și refacerea zonelor costiere, pentru a restabili ciclul apei printr-o abordare de la sursă la mare.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4662E43" w14:textId="411533B1"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2027</w:t>
            </w:r>
          </w:p>
        </w:tc>
      </w:tr>
      <w:tr w:rsidR="00B013F3" w:rsidRPr="009F333A" w14:paraId="585AE868"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EC1F661" w14:textId="77777777" w:rsidR="00B013F3" w:rsidRPr="009F333A" w:rsidRDefault="00B013F3"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15C340" w14:textId="5B9E3909" w:rsidR="00B013F3" w:rsidRPr="009F333A" w:rsidRDefault="00B013F3" w:rsidP="00912BD9">
            <w:pPr>
              <w:spacing w:line="257" w:lineRule="auto"/>
              <w:jc w:val="both"/>
              <w:rPr>
                <w:rFonts w:ascii="Times New Roman" w:eastAsia="Times New Roman" w:hAnsi="Times New Roman" w:cs="Times New Roman"/>
                <w:b/>
                <w:bCs/>
                <w:noProof/>
              </w:rPr>
            </w:pPr>
            <w:r w:rsidRPr="002234C8">
              <w:rPr>
                <w:rFonts w:ascii="Times New Roman" w:hAnsi="Times New Roman"/>
                <w:b/>
                <w:noProof/>
              </w:rPr>
              <w:t>Adoptarea unei foi de parcurs pentru credite pentru natură pentru a valorifica potențialul acestor instrumente și pentru a stimula extinderea acestor piețe.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7F04A2F" w14:textId="589FD8E2" w:rsidR="00B013F3" w:rsidRPr="002234C8" w:rsidRDefault="00B013F3" w:rsidP="00912BD9">
            <w:pPr>
              <w:jc w:val="center"/>
              <w:rPr>
                <w:rFonts w:ascii="Times New Roman" w:eastAsia="Times New Roman" w:hAnsi="Times New Roman" w:cs="Times New Roman"/>
                <w:b/>
                <w:bCs/>
                <w:noProof/>
              </w:rPr>
            </w:pPr>
            <w:r w:rsidRPr="002234C8">
              <w:rPr>
                <w:rFonts w:ascii="Times New Roman" w:hAnsi="Times New Roman"/>
                <w:b/>
                <w:noProof/>
              </w:rPr>
              <w:t>2025</w:t>
            </w:r>
          </w:p>
        </w:tc>
      </w:tr>
      <w:tr w:rsidR="00912BD9" w:rsidRPr="009F333A" w14:paraId="0D3B98A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AF9D562" w14:textId="77777777" w:rsidR="00912BD9" w:rsidRPr="009F333A" w:rsidRDefault="00912BD9" w:rsidP="00912BD9">
            <w:pPr>
              <w:spacing w:before="240"/>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0D7BF289" w14:textId="35A83B19" w:rsidR="00912BD9" w:rsidRPr="009F333A" w:rsidRDefault="23F02BA4" w:rsidP="00912BD9">
            <w:pPr>
              <w:jc w:val="both"/>
              <w:rPr>
                <w:rFonts w:ascii="Times New Roman" w:eastAsia="Times New Roman" w:hAnsi="Times New Roman" w:cs="Times New Roman"/>
                <w:noProof/>
              </w:rPr>
            </w:pPr>
            <w:r>
              <w:rPr>
                <w:rStyle w:val="normaltextrun"/>
                <w:rFonts w:ascii="Times New Roman" w:hAnsi="Times New Roman"/>
                <w:noProof/>
              </w:rPr>
              <w:t>Utilizarea Instrumentului de sprijin tehnic pentru a ajuta statele membre să abordeze provocările legate de apă, în special cele identificate în cadrul semestrului european.</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1434D4" w14:textId="1502C8C1"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r w:rsidR="00912BD9" w:rsidRPr="009F333A" w14:paraId="109CB4FA"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40A4E2C7" w14:textId="067D5FA2" w:rsidR="00912BD9" w:rsidRPr="009F333A" w:rsidRDefault="00912BD9" w:rsidP="00912BD9">
            <w:pPr>
              <w:jc w:val="center"/>
              <w:rPr>
                <w:rFonts w:ascii="Times New Roman" w:eastAsia="Calibri" w:hAnsi="Times New Roman" w:cs="Times New Roman"/>
                <w:noProof/>
              </w:rPr>
            </w:pPr>
            <w:r w:rsidRPr="002234C8">
              <w:rPr>
                <w:rFonts w:ascii="Times New Roman" w:hAnsi="Times New Roman"/>
                <w:b/>
                <w:smallCaps/>
                <w:noProof/>
                <w:sz w:val="24"/>
              </w:rPr>
              <w:t xml:space="preserve">Digitalizarea și inteligența artificială pentru a accelera și a simplifica buna gestionare a apei  </w:t>
            </w:r>
          </w:p>
        </w:tc>
      </w:tr>
      <w:tr w:rsidR="00912BD9" w:rsidRPr="009F333A" w14:paraId="1DD92C80"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FE3EA68"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55A46C00" w14:textId="251F4414" w:rsidR="00912BD9" w:rsidRPr="009F333A" w:rsidRDefault="00912BD9" w:rsidP="00912BD9">
            <w:pPr>
              <w:jc w:val="both"/>
              <w:rPr>
                <w:rFonts w:ascii="Times New Roman" w:hAnsi="Times New Roman"/>
                <w:b/>
                <w:noProof/>
              </w:rPr>
            </w:pPr>
            <w:r w:rsidRPr="002234C8">
              <w:rPr>
                <w:rFonts w:ascii="Times New Roman" w:hAnsi="Times New Roman"/>
                <w:b/>
                <w:noProof/>
              </w:rPr>
              <w:t>Dezvoltarea și punerea în aplicare a aplicațiilor Destinația Pământ și Digital Twin Ocean pentru reziliența în domeniul apei și, până în 2030, punerea capacităților la dispoziția administrațiilor naționale și locale din UE și din afara acesteia.</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1FD01C23" w14:textId="7D463566"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2025-2030</w:t>
            </w:r>
          </w:p>
          <w:p w14:paraId="0DD41FEB" w14:textId="77777777" w:rsidR="00912BD9" w:rsidRPr="002234C8" w:rsidRDefault="00912BD9" w:rsidP="00912BD9">
            <w:pPr>
              <w:jc w:val="center"/>
              <w:rPr>
                <w:rFonts w:ascii="Times New Roman" w:eastAsia="Times New Roman" w:hAnsi="Times New Roman" w:cs="Times New Roman"/>
                <w:b/>
                <w:noProof/>
              </w:rPr>
            </w:pPr>
          </w:p>
        </w:tc>
      </w:tr>
      <w:tr w:rsidR="00912BD9" w:rsidRPr="009F333A" w14:paraId="0FECCD5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B6CA6C5"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1246CFBA" w14:textId="3F11CB04" w:rsidR="00912BD9" w:rsidRPr="009F333A" w:rsidRDefault="00912BD9" w:rsidP="00912BD9">
            <w:pPr>
              <w:jc w:val="both"/>
              <w:rPr>
                <w:rFonts w:ascii="Times New Roman" w:eastAsia="Times New Roman" w:hAnsi="Times New Roman" w:cs="Times New Roman"/>
                <w:b/>
                <w:noProof/>
              </w:rPr>
            </w:pPr>
            <w:r w:rsidRPr="002234C8">
              <w:rPr>
                <w:rFonts w:ascii="Times New Roman" w:hAnsi="Times New Roman"/>
                <w:b/>
                <w:noProof/>
              </w:rPr>
              <w:t>Elaborarea unui plan de acțiune la nivelul UE privind digitalizarea în sectorul apei, inclusiv a unei inițiative la nivelul UE privind contorizarea inteligentă pentru toți.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19BC54C" w14:textId="301B9DEB"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tr w:rsidR="00912BD9" w:rsidRPr="009F333A" w14:paraId="5777D1B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84CBE97"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3388989" w14:textId="4A8DFC8A" w:rsidR="00912BD9" w:rsidRPr="009F333A" w:rsidRDefault="00912BD9" w:rsidP="00912BD9">
            <w:pPr>
              <w:spacing w:line="259" w:lineRule="auto"/>
              <w:jc w:val="both"/>
              <w:rPr>
                <w:rFonts w:ascii="Times New Roman" w:hAnsi="Times New Roman" w:cs="Times New Roman"/>
                <w:b/>
                <w:noProof/>
              </w:rPr>
            </w:pPr>
            <w:r w:rsidRPr="002234C8">
              <w:rPr>
                <w:rFonts w:ascii="Times New Roman" w:hAnsi="Times New Roman"/>
                <w:b/>
                <w:noProof/>
              </w:rPr>
              <w:t xml:space="preserve">Lansarea unui centru tematic privind apa în cadrul Copernicus. </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5B012F13" w14:textId="77777777"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tr w:rsidR="00912BD9" w:rsidRPr="009F333A" w14:paraId="33951BB0"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17DDD084" w14:textId="3BB548B3" w:rsidR="00912BD9" w:rsidRPr="009F333A" w:rsidRDefault="00912BD9" w:rsidP="00912BD9">
            <w:pPr>
              <w:jc w:val="center"/>
              <w:rPr>
                <w:rFonts w:ascii="Times New Roman" w:hAnsi="Times New Roman" w:cs="Times New Roman"/>
                <w:noProof/>
                <w:sz w:val="24"/>
                <w:szCs w:val="24"/>
              </w:rPr>
            </w:pPr>
            <w:r w:rsidRPr="002234C8">
              <w:rPr>
                <w:rFonts w:ascii="Times New Roman" w:hAnsi="Times New Roman"/>
                <w:b/>
                <w:smallCaps/>
                <w:noProof/>
                <w:sz w:val="24"/>
              </w:rPr>
              <w:t>Cercetare și inovare, industria apei și competențe pentru consolidarea competitivității</w:t>
            </w:r>
          </w:p>
        </w:tc>
      </w:tr>
      <w:tr w:rsidR="00912BD9" w:rsidRPr="009F333A" w14:paraId="2E4967E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0A9A07"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AC3AC79" w14:textId="33324513" w:rsidR="00912BD9" w:rsidRPr="009F333A" w:rsidRDefault="00912BD9" w:rsidP="00912BD9">
            <w:pPr>
              <w:spacing w:line="259" w:lineRule="auto"/>
              <w:jc w:val="both"/>
              <w:rPr>
                <w:rFonts w:ascii="Times New Roman" w:hAnsi="Times New Roman" w:cs="Times New Roman"/>
                <w:b/>
                <w:noProof/>
              </w:rPr>
            </w:pPr>
            <w:r w:rsidRPr="002234C8">
              <w:rPr>
                <w:rFonts w:ascii="Times New Roman" w:hAnsi="Times New Roman"/>
                <w:b/>
                <w:noProof/>
              </w:rPr>
              <w:t>O interfață științifică/politică pentru diseminarea rezultatelor proiectelor de C&amp;I, finanțate de UE, de exemplu prin intermediul unei platforme de tip ghișeu unic.</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FBC850E" w14:textId="6E38C24C"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tr w:rsidR="00912BD9" w:rsidRPr="009F333A" w14:paraId="00BBDC5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41091" w14:textId="77777777" w:rsidR="00912BD9" w:rsidRPr="009F333A" w:rsidRDefault="00912BD9" w:rsidP="00912BD9">
            <w:pPr>
              <w:jc w:val="center"/>
              <w:rPr>
                <w:rFonts w:ascii="Times New Roman" w:eastAsia="Times New Roman" w:hAnsi="Times New Roman" w:cs="Times New Roman"/>
                <w:b/>
                <w:noProof/>
              </w:rPr>
            </w:pPr>
            <w:bookmarkStart w:id="13" w:name="_Hlk197773859"/>
          </w:p>
        </w:tc>
        <w:tc>
          <w:tcPr>
            <w:tcW w:w="6460" w:type="dxa"/>
            <w:tcBorders>
              <w:top w:val="nil"/>
              <w:left w:val="single" w:sz="8" w:space="0" w:color="auto"/>
              <w:bottom w:val="single" w:sz="8" w:space="0" w:color="auto"/>
              <w:right w:val="single" w:sz="8" w:space="0" w:color="auto"/>
            </w:tcBorders>
            <w:tcMar>
              <w:left w:w="108" w:type="dxa"/>
              <w:right w:w="108" w:type="dxa"/>
            </w:tcMar>
          </w:tcPr>
          <w:p w14:paraId="285E60E7" w14:textId="65953F82" w:rsidR="00912BD9" w:rsidRPr="009F333A" w:rsidRDefault="00912BD9" w:rsidP="00912BD9">
            <w:pPr>
              <w:spacing w:line="259" w:lineRule="auto"/>
              <w:jc w:val="both"/>
              <w:rPr>
                <w:rFonts w:ascii="Times New Roman" w:hAnsi="Times New Roman" w:cs="Times New Roman"/>
                <w:b/>
                <w:noProof/>
              </w:rPr>
            </w:pPr>
            <w:r w:rsidRPr="002234C8">
              <w:rPr>
                <w:rFonts w:ascii="Times New Roman" w:hAnsi="Times New Roman"/>
                <w:b/>
                <w:noProof/>
              </w:rPr>
              <w:t>Strategia C&amp;I privind reziliența în domeniul apei.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7B83451" w14:textId="4372DB4C"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tr w:rsidR="00912BD9" w:rsidRPr="009F333A" w14:paraId="7DB5DF3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6CB8F35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0E5B69E2" w14:textId="222D59E2" w:rsidR="00912BD9" w:rsidRPr="009F333A" w:rsidRDefault="00912BD9" w:rsidP="00912BD9">
            <w:pPr>
              <w:spacing w:line="259" w:lineRule="auto"/>
              <w:jc w:val="both"/>
              <w:rPr>
                <w:rFonts w:ascii="Times New Roman" w:hAnsi="Times New Roman" w:cs="Times New Roman"/>
                <w:b/>
                <w:noProof/>
              </w:rPr>
            </w:pPr>
            <w:r w:rsidRPr="002234C8">
              <w:rPr>
                <w:rFonts w:ascii="Times New Roman" w:hAnsi="Times New Roman"/>
                <w:b/>
                <w:noProof/>
              </w:rPr>
              <w:t>Alianța industrială inteligentă în domeniul apei pentru stimularea competitivității.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3F9B587" w14:textId="237EF44E"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tr w:rsidR="00912BD9" w:rsidRPr="009F333A" w14:paraId="5059CD0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64B97D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2D0C4B1A" w14:textId="0ADD584C" w:rsidR="00912BD9" w:rsidRPr="009F333A" w:rsidRDefault="00912BD9" w:rsidP="00912BD9">
            <w:pPr>
              <w:spacing w:line="259" w:lineRule="auto"/>
              <w:jc w:val="both"/>
              <w:rPr>
                <w:rFonts w:ascii="Times New Roman" w:hAnsi="Times New Roman"/>
                <w:b/>
                <w:noProof/>
              </w:rPr>
            </w:pPr>
            <w:r w:rsidRPr="002234C8">
              <w:rPr>
                <w:rFonts w:ascii="Times New Roman" w:hAnsi="Times New Roman"/>
                <w:b/>
                <w:noProof/>
              </w:rPr>
              <w:t>Academia Europeană a Apei.</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4BA9E8EE" w14:textId="2C073645"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2026-2027</w:t>
            </w:r>
          </w:p>
        </w:tc>
      </w:tr>
      <w:tr w:rsidR="00912BD9" w:rsidRPr="009F333A" w14:paraId="741F036A"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A5D4B23"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81884A9" w14:textId="60BC4B99" w:rsidR="00912BD9" w:rsidRPr="009F333A" w:rsidRDefault="00912BD9" w:rsidP="00912BD9">
            <w:pPr>
              <w:spacing w:line="259" w:lineRule="auto"/>
              <w:jc w:val="both"/>
              <w:rPr>
                <w:rFonts w:ascii="Times New Roman" w:hAnsi="Times New Roman"/>
                <w:b/>
                <w:noProof/>
              </w:rPr>
            </w:pPr>
            <w:r w:rsidRPr="002234C8">
              <w:rPr>
                <w:rFonts w:ascii="Times New Roman" w:hAnsi="Times New Roman"/>
                <w:b/>
                <w:noProof/>
              </w:rPr>
              <w:t>Comunitatea de cunoaștere și inovare (CCI) în sectoarele și ecosistemele de apă, marine și maritime din cadrul Institutului European de Inovare și Tehnologie (EIT).</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FA6267B" w14:textId="519D1A69"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2026</w:t>
            </w:r>
          </w:p>
        </w:tc>
      </w:tr>
      <w:bookmarkEnd w:id="13"/>
      <w:tr w:rsidR="00912BD9" w:rsidRPr="009F333A" w14:paraId="0D1C1F9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D43D323" w14:textId="77777777" w:rsidR="00912BD9" w:rsidRPr="009F333A" w:rsidRDefault="00912BD9" w:rsidP="00912BD9">
            <w:pPr>
              <w:jc w:val="center"/>
              <w:rPr>
                <w:rFonts w:ascii="Times New Roman" w:hAnsi="Times New Roman" w:cs="Times New Roman"/>
                <w:noProof/>
              </w:rPr>
            </w:pPr>
            <w:r>
              <w:rPr>
                <w:rFonts w:ascii="Times New Roman" w:hAnsi="Times New Roman"/>
                <w:noProof/>
              </w:rPr>
              <w:t xml:space="preserve"> </w:t>
            </w: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07A2A2" w14:textId="4AAA88F2" w:rsidR="00912BD9" w:rsidRPr="007D3D7E" w:rsidRDefault="00912BD9" w:rsidP="00912BD9">
            <w:pPr>
              <w:jc w:val="both"/>
              <w:rPr>
                <w:rFonts w:ascii="Times New Roman" w:eastAsia="Times New Roman" w:hAnsi="Times New Roman" w:cs="Times New Roman"/>
                <w:i/>
                <w:noProof/>
              </w:rPr>
            </w:pPr>
            <w:r>
              <w:rPr>
                <w:rFonts w:ascii="Times New Roman" w:hAnsi="Times New Roman"/>
                <w:noProof/>
              </w:rPr>
              <w:t>Stimularea în continuare a cercetării și inovării pentru a promova desalinizarea durabilă.</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F6EE2E" w14:textId="77777777" w:rsidR="00912BD9" w:rsidRPr="009F333A" w:rsidRDefault="00912BD9" w:rsidP="00912BD9">
            <w:pPr>
              <w:jc w:val="center"/>
              <w:rPr>
                <w:rFonts w:ascii="Times New Roman" w:hAnsi="Times New Roman" w:cs="Times New Roman"/>
                <w:noProof/>
              </w:rPr>
            </w:pPr>
            <w:r w:rsidRPr="002234C8">
              <w:rPr>
                <w:rFonts w:ascii="Times New Roman" w:hAnsi="Times New Roman"/>
                <w:noProof/>
              </w:rPr>
              <w:t>2026</w:t>
            </w:r>
          </w:p>
        </w:tc>
      </w:tr>
      <w:tr w:rsidR="00912BD9" w:rsidRPr="009F333A" w14:paraId="792219F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10D8B4A" w14:textId="77777777" w:rsidR="00912BD9" w:rsidRPr="009F333A" w:rsidRDefault="00912BD9" w:rsidP="00912BD9">
            <w:pPr>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FA56514" w14:textId="4667FA18"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Water Tech Challenge (Provocarea legată de tehnologia apei), în cooperare cu CEI.</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23B03E" w14:textId="4BF4B623"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de stabilit</w:t>
            </w:r>
          </w:p>
        </w:tc>
      </w:tr>
      <w:tr w:rsidR="00912BD9" w:rsidRPr="009F333A" w14:paraId="48C894AC"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tcPr>
          <w:p w14:paraId="4A556320" w14:textId="51989657" w:rsidR="00912BD9" w:rsidRPr="009F333A" w:rsidRDefault="00912BD9" w:rsidP="00912BD9">
            <w:pPr>
              <w:jc w:val="center"/>
              <w:rPr>
                <w:rFonts w:ascii="Times New Roman" w:hAnsi="Times New Roman" w:cs="Times New Roman"/>
                <w:noProof/>
                <w:sz w:val="24"/>
                <w:szCs w:val="24"/>
              </w:rPr>
            </w:pPr>
            <w:r w:rsidRPr="002234C8">
              <w:rPr>
                <w:rFonts w:ascii="Times New Roman" w:hAnsi="Times New Roman"/>
                <w:b/>
                <w:smallCaps/>
                <w:noProof/>
                <w:sz w:val="24"/>
              </w:rPr>
              <w:t>Securitatea și pregătirea pentru stimularea rezilienței colective</w:t>
            </w:r>
          </w:p>
        </w:tc>
      </w:tr>
      <w:tr w:rsidR="00912BD9" w:rsidRPr="009F333A" w14:paraId="5178DF64"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F51D40B"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14077D9" w14:textId="0B40FBBA" w:rsidR="00912BD9" w:rsidRPr="009F333A" w:rsidRDefault="00912BD9" w:rsidP="00912BD9">
            <w:pPr>
              <w:jc w:val="both"/>
              <w:rPr>
                <w:rFonts w:ascii="Times New Roman" w:hAnsi="Times New Roman"/>
                <w:b/>
                <w:noProof/>
              </w:rPr>
            </w:pPr>
            <w:r w:rsidRPr="002234C8">
              <w:rPr>
                <w:rFonts w:ascii="Times New Roman" w:hAnsi="Times New Roman"/>
                <w:b/>
                <w:noProof/>
              </w:rPr>
              <w:t>Sporirea rezilienței infrastructurii de apă terestre și offshore prin punerea în aplicare a Directivei privind reziliența entităților critice.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61428F1B" w14:textId="36FDA54F"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2025</w:t>
            </w:r>
          </w:p>
        </w:tc>
      </w:tr>
      <w:tr w:rsidR="00912BD9" w:rsidRPr="009F333A" w14:paraId="4E0F837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61B2318"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4A1E2955" w14:textId="42C24DA1" w:rsidR="00912BD9" w:rsidRPr="009F333A" w:rsidRDefault="00912BD9" w:rsidP="00912BD9">
            <w:pPr>
              <w:jc w:val="both"/>
              <w:rPr>
                <w:rFonts w:ascii="Times New Roman" w:hAnsi="Times New Roman"/>
                <w:b/>
                <w:noProof/>
              </w:rPr>
            </w:pPr>
            <w:r w:rsidRPr="002234C8">
              <w:rPr>
                <w:rFonts w:ascii="Times New Roman" w:hAnsi="Times New Roman"/>
                <w:b/>
                <w:noProof/>
              </w:rPr>
              <w:t>Consolidarea sistemelor UE de alertă timpurie și de monitorizare în timp real prin consolidarea Observatorului european al secetei și a Sistemului european de avertizare în caz de inundații al serviciului Copernicus de gestionare a situațiilor de urgență.</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02248503" w14:textId="0AF809BF" w:rsidR="00912BD9" w:rsidRPr="002234C8" w:rsidRDefault="00912BD9" w:rsidP="00912BD9">
            <w:pPr>
              <w:jc w:val="center"/>
              <w:rPr>
                <w:rFonts w:ascii="Times New Roman" w:eastAsia="Times New Roman" w:hAnsi="Times New Roman" w:cs="Times New Roman"/>
                <w:b/>
                <w:noProof/>
              </w:rPr>
            </w:pPr>
            <w:r w:rsidRPr="002234C8">
              <w:rPr>
                <w:rFonts w:ascii="Times New Roman" w:hAnsi="Times New Roman"/>
                <w:b/>
                <w:noProof/>
              </w:rPr>
              <w:t>Începând cu 2025</w:t>
            </w:r>
          </w:p>
        </w:tc>
      </w:tr>
      <w:tr w:rsidR="00912BD9" w:rsidRPr="009F333A" w14:paraId="339201E6" w14:textId="77777777" w:rsidTr="4251B09A">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1FD1E1" w14:textId="77777777" w:rsidR="00912BD9" w:rsidRPr="009F333A"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77C3A443" w14:textId="6445ED43" w:rsidR="00912BD9" w:rsidRPr="009F333A" w:rsidRDefault="00912BD9" w:rsidP="00912BD9">
            <w:pPr>
              <w:jc w:val="both"/>
              <w:rPr>
                <w:rFonts w:ascii="Times New Roman" w:hAnsi="Times New Roman"/>
                <w:b/>
                <w:noProof/>
              </w:rPr>
            </w:pPr>
            <w:r w:rsidRPr="002234C8">
              <w:rPr>
                <w:rFonts w:ascii="Times New Roman" w:hAnsi="Times New Roman"/>
                <w:b/>
                <w:noProof/>
              </w:rPr>
              <w:t>Adoptarea unui plan european de adaptare la schimbările climatice.</w:t>
            </w:r>
          </w:p>
        </w:tc>
        <w:tc>
          <w:tcPr>
            <w:tcW w:w="1693" w:type="dxa"/>
            <w:tcBorders>
              <w:top w:val="nil"/>
              <w:left w:val="single" w:sz="8" w:space="0" w:color="auto"/>
              <w:bottom w:val="single" w:sz="8" w:space="0" w:color="auto"/>
              <w:right w:val="single" w:sz="8" w:space="0" w:color="auto"/>
            </w:tcBorders>
            <w:tcMar>
              <w:left w:w="108" w:type="dxa"/>
              <w:right w:w="108" w:type="dxa"/>
            </w:tcMar>
          </w:tcPr>
          <w:p w14:paraId="2781A48A" w14:textId="4858F389" w:rsidR="00912BD9" w:rsidRPr="002234C8" w:rsidRDefault="00912BD9" w:rsidP="00912BD9">
            <w:pPr>
              <w:jc w:val="center"/>
              <w:rPr>
                <w:rFonts w:ascii="Times New Roman" w:eastAsia="Calibri" w:hAnsi="Times New Roman" w:cs="Times New Roman"/>
                <w:b/>
                <w:noProof/>
              </w:rPr>
            </w:pPr>
            <w:r w:rsidRPr="002234C8">
              <w:rPr>
                <w:rFonts w:ascii="Times New Roman" w:hAnsi="Times New Roman"/>
                <w:b/>
                <w:noProof/>
              </w:rPr>
              <w:t>2026</w:t>
            </w:r>
          </w:p>
        </w:tc>
      </w:tr>
      <w:tr w:rsidR="00912BD9" w:rsidRPr="009F333A" w14:paraId="1EC9D33B" w14:textId="77777777" w:rsidTr="002A0715">
        <w:trPr>
          <w:trHeight w:val="53"/>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4E9919A7" w14:textId="77777777" w:rsidR="00912BD9" w:rsidRPr="002234C8" w:rsidRDefault="00912BD9" w:rsidP="00912BD9">
            <w:pPr>
              <w:jc w:val="center"/>
              <w:rPr>
                <w:rFonts w:ascii="Times New Roman" w:eastAsia="Times New Roman" w:hAnsi="Times New Roman" w:cs="Times New Roman"/>
                <w:b/>
                <w:noProof/>
              </w:rPr>
            </w:pPr>
          </w:p>
        </w:tc>
        <w:tc>
          <w:tcPr>
            <w:tcW w:w="6460" w:type="dxa"/>
            <w:tcBorders>
              <w:top w:val="nil"/>
              <w:left w:val="single" w:sz="8" w:space="0" w:color="auto"/>
              <w:bottom w:val="single" w:sz="8" w:space="0" w:color="auto"/>
              <w:right w:val="single" w:sz="8" w:space="0" w:color="auto"/>
            </w:tcBorders>
            <w:tcMar>
              <w:left w:w="108" w:type="dxa"/>
              <w:right w:w="108" w:type="dxa"/>
            </w:tcMar>
          </w:tcPr>
          <w:p w14:paraId="6279FCD9" w14:textId="1AFDDD44" w:rsidR="00912BD9" w:rsidRPr="00D74CDF" w:rsidRDefault="00912BD9" w:rsidP="00912BD9">
            <w:pPr>
              <w:jc w:val="both"/>
              <w:rPr>
                <w:rFonts w:ascii="Times New Roman" w:hAnsi="Times New Roman"/>
                <w:bCs/>
                <w:noProof/>
              </w:rPr>
            </w:pPr>
            <w:r>
              <w:rPr>
                <w:rFonts w:ascii="Times New Roman" w:hAnsi="Times New Roman"/>
                <w:noProof/>
              </w:rPr>
              <w:t xml:space="preserve">Consolidarea prevenirii bolilor infecțioase cu transmitere hidrică prin punerea în aplicare a Regulamentului (UE) </w:t>
            </w:r>
            <w:r w:rsidRPr="002234C8">
              <w:rPr>
                <w:rFonts w:ascii="Times New Roman" w:hAnsi="Times New Roman"/>
                <w:noProof/>
              </w:rPr>
              <w:t>2022</w:t>
            </w:r>
            <w:r>
              <w:rPr>
                <w:rFonts w:ascii="Times New Roman" w:hAnsi="Times New Roman"/>
                <w:noProof/>
              </w:rPr>
              <w:t>/</w:t>
            </w:r>
            <w:r w:rsidRPr="002234C8">
              <w:rPr>
                <w:rFonts w:ascii="Times New Roman" w:hAnsi="Times New Roman"/>
                <w:noProof/>
              </w:rPr>
              <w:t>2371</w:t>
            </w:r>
            <w:r>
              <w:rPr>
                <w:rFonts w:ascii="Times New Roman" w:hAnsi="Times New Roman"/>
                <w:noProof/>
              </w:rPr>
              <w:t xml:space="preserve"> privind amenințările transfrontaliere grave pentru sănătate.</w:t>
            </w:r>
          </w:p>
        </w:tc>
        <w:tc>
          <w:tcPr>
            <w:tcW w:w="1693" w:type="dxa"/>
            <w:tcBorders>
              <w:top w:val="nil"/>
              <w:left w:val="single" w:sz="8" w:space="0" w:color="auto"/>
              <w:bottom w:val="single" w:sz="8" w:space="0" w:color="auto"/>
              <w:right w:val="single" w:sz="8" w:space="0" w:color="auto"/>
            </w:tcBorders>
            <w:tcMar>
              <w:left w:w="108" w:type="dxa"/>
              <w:right w:w="108" w:type="dxa"/>
            </w:tcMar>
            <w:vAlign w:val="center"/>
          </w:tcPr>
          <w:p w14:paraId="7CE60139" w14:textId="66AD619E" w:rsidR="00912BD9" w:rsidRPr="00D74CDF" w:rsidRDefault="00912BD9" w:rsidP="002A0715">
            <w:pPr>
              <w:jc w:val="center"/>
              <w:rPr>
                <w:rFonts w:ascii="Times New Roman" w:eastAsia="Calibri" w:hAnsi="Times New Roman" w:cs="Times New Roman"/>
                <w:bCs/>
                <w:noProof/>
              </w:rPr>
            </w:pPr>
            <w:r>
              <w:rPr>
                <w:rFonts w:ascii="Times New Roman" w:hAnsi="Times New Roman"/>
                <w:noProof/>
              </w:rPr>
              <w:t xml:space="preserve">Începând cu </w:t>
            </w:r>
            <w:r w:rsidRPr="002234C8">
              <w:rPr>
                <w:rFonts w:ascii="Times New Roman" w:hAnsi="Times New Roman"/>
                <w:noProof/>
              </w:rPr>
              <w:t>2022</w:t>
            </w:r>
          </w:p>
        </w:tc>
      </w:tr>
      <w:tr w:rsidR="00912BD9" w:rsidRPr="009F333A" w14:paraId="56E58B05" w14:textId="77777777" w:rsidTr="4251B09A">
        <w:trPr>
          <w:trHeight w:val="300"/>
        </w:trPr>
        <w:tc>
          <w:tcPr>
            <w:tcW w:w="8862" w:type="dxa"/>
            <w:gridSpan w:val="3"/>
            <w:tcBorders>
              <w:top w:val="single" w:sz="8" w:space="0" w:color="auto"/>
              <w:left w:val="single" w:sz="8" w:space="0" w:color="auto"/>
              <w:bottom w:val="single" w:sz="8" w:space="0" w:color="auto"/>
              <w:right w:val="single" w:sz="8" w:space="0" w:color="auto"/>
            </w:tcBorders>
            <w:shd w:val="clear" w:color="auto" w:fill="C1E4F5" w:themeFill="accent1" w:themeFillTint="33"/>
            <w:tcMar>
              <w:left w:w="108" w:type="dxa"/>
              <w:right w:w="108" w:type="dxa"/>
            </w:tcMar>
            <w:vAlign w:val="center"/>
          </w:tcPr>
          <w:p w14:paraId="3B376334" w14:textId="2672DA58" w:rsidR="00912BD9" w:rsidRPr="002234C8" w:rsidRDefault="00912BD9" w:rsidP="00912BD9">
            <w:pPr>
              <w:jc w:val="center"/>
              <w:rPr>
                <w:rFonts w:ascii="Times New Roman" w:eastAsiaTheme="minorEastAsia" w:hAnsi="Times New Roman" w:cs="Times New Roman"/>
                <w:b/>
                <w:smallCaps/>
                <w:noProof/>
                <w:color w:val="000000" w:themeColor="text1"/>
              </w:rPr>
            </w:pPr>
            <w:r w:rsidRPr="002234C8">
              <w:rPr>
                <w:rFonts w:ascii="Times New Roman" w:hAnsi="Times New Roman"/>
                <w:b/>
                <w:smallCaps/>
                <w:noProof/>
                <w:color w:val="000000" w:themeColor="text1"/>
              </w:rPr>
              <w:t>Să acționăm la nivel mondial – prin puterea exemplului, prin angajament și prin inițiative</w:t>
            </w:r>
          </w:p>
        </w:tc>
      </w:tr>
      <w:tr w:rsidR="00912BD9" w:rsidRPr="009F333A" w14:paraId="2AFC46FC"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0D1F16EF"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F7842" w14:textId="7E5EAAE1" w:rsidR="00912BD9" w:rsidRPr="009F333A" w:rsidRDefault="00912BD9" w:rsidP="00912BD9">
            <w:pPr>
              <w:jc w:val="both"/>
              <w:rPr>
                <w:rFonts w:ascii="Times New Roman" w:eastAsiaTheme="minorEastAsia" w:hAnsi="Times New Roman" w:cs="Times New Roman"/>
                <w:b/>
                <w:bCs/>
                <w:noProof/>
              </w:rPr>
            </w:pPr>
            <w:r w:rsidRPr="002234C8">
              <w:rPr>
                <w:rFonts w:ascii="Times New Roman" w:hAnsi="Times New Roman"/>
                <w:b/>
                <w:noProof/>
              </w:rPr>
              <w:t xml:space="preserve">Promovarea rezilienței în domeniul apei prin intermediul Global Gateway, prin sprijinirea inițiativelor prioritare în domeniul apei și prin consolidarea angajamentului național și regional. </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7566F9" w14:textId="56392BC3" w:rsidR="00912BD9" w:rsidRPr="002234C8" w:rsidRDefault="00912BD9" w:rsidP="00912BD9">
            <w:pPr>
              <w:spacing w:before="240"/>
              <w:jc w:val="center"/>
              <w:rPr>
                <w:rFonts w:ascii="Times New Roman" w:eastAsiaTheme="minorEastAsia" w:hAnsi="Times New Roman" w:cs="Times New Roman"/>
                <w:b/>
                <w:noProof/>
              </w:rPr>
            </w:pPr>
            <w:r w:rsidRPr="002234C8">
              <w:rPr>
                <w:rFonts w:ascii="Times New Roman" w:hAnsi="Times New Roman"/>
                <w:b/>
                <w:noProof/>
              </w:rPr>
              <w:t>Începând cu 2025</w:t>
            </w:r>
          </w:p>
        </w:tc>
      </w:tr>
      <w:tr w:rsidR="00912BD9" w:rsidRPr="009F333A" w14:paraId="66F2AC79"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3A6F8B96"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AD6DA" w14:textId="379F5556" w:rsidR="00912BD9" w:rsidRPr="001D018A" w:rsidRDefault="00912BD9" w:rsidP="00912BD9">
            <w:pPr>
              <w:jc w:val="both"/>
              <w:rPr>
                <w:rFonts w:ascii="Times New Roman" w:hAnsi="Times New Roman"/>
                <w:bCs/>
                <w:noProof/>
              </w:rPr>
            </w:pPr>
            <w:r>
              <w:rPr>
                <w:rFonts w:ascii="Times New Roman" w:hAnsi="Times New Roman"/>
                <w:noProof/>
              </w:rPr>
              <w:t>Consolidarea guvernanței globale în domeniul apei prin implicarea în discuții privind un viitor cadru global de guvernanță a apei.</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214F79" w14:textId="77777777" w:rsidR="00912BD9" w:rsidRPr="001D018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r w:rsidR="00912BD9" w:rsidRPr="009F333A" w14:paraId="63EFE6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1FB46BF9"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9F0493" w14:textId="70B94498" w:rsidR="00912BD9" w:rsidRPr="002234C8" w:rsidRDefault="00912BD9" w:rsidP="00912BD9">
            <w:pPr>
              <w:jc w:val="both"/>
              <w:rPr>
                <w:rFonts w:ascii="Times New Roman" w:eastAsiaTheme="minorEastAsia" w:hAnsi="Times New Roman" w:cs="Times New Roman"/>
                <w:b/>
                <w:noProof/>
              </w:rPr>
            </w:pPr>
            <w:r>
              <w:rPr>
                <w:rFonts w:ascii="Times New Roman" w:hAnsi="Times New Roman"/>
                <w:noProof/>
              </w:rPr>
              <w:t>Promovarea cooperării transfrontaliere în domeniul apei prin sprijinirea aderării la Convenția ONU privind apa.</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F626D" w14:textId="21E522F5" w:rsidR="00912BD9" w:rsidRPr="009F333A" w:rsidRDefault="00912BD9" w:rsidP="00912BD9">
            <w:pPr>
              <w:spacing w:before="240"/>
              <w:jc w:val="center"/>
              <w:rPr>
                <w:rFonts w:ascii="Times New Roman" w:eastAsiaTheme="minorEastAsia"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r w:rsidR="00912BD9" w:rsidRPr="009F333A" w14:paraId="7E1ED0D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0B3881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782D67" w14:textId="594AA9C4" w:rsidR="00912BD9" w:rsidRPr="002234C8" w:rsidRDefault="00912BD9" w:rsidP="00912BD9">
            <w:pPr>
              <w:jc w:val="both"/>
              <w:rPr>
                <w:rFonts w:ascii="Times New Roman" w:eastAsiaTheme="minorEastAsia" w:hAnsi="Times New Roman" w:cs="Times New Roman"/>
                <w:b/>
                <w:noProof/>
              </w:rPr>
            </w:pPr>
            <w:r>
              <w:rPr>
                <w:rFonts w:ascii="Times New Roman" w:hAnsi="Times New Roman"/>
                <w:noProof/>
              </w:rPr>
              <w:t xml:space="preserve">Sprijinirea accesului la o sursă îmbunătățită de apă potabilă și/sau la instalații sanitare pentru cel puțin </w:t>
            </w:r>
            <w:r w:rsidRPr="002234C8">
              <w:rPr>
                <w:rFonts w:ascii="Times New Roman" w:hAnsi="Times New Roman"/>
                <w:noProof/>
              </w:rPr>
              <w:t>70</w:t>
            </w:r>
            <w:r>
              <w:rPr>
                <w:rFonts w:ascii="Times New Roman" w:hAnsi="Times New Roman"/>
                <w:noProof/>
              </w:rPr>
              <w:t xml:space="preserve"> de milioane de persoane, deblocarea unor investiții mai mari și stimularea competitivității industriei apei din UE.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727C7D" w14:textId="142D7ABC" w:rsidR="00912BD9" w:rsidRPr="009F333A" w:rsidRDefault="00912BD9" w:rsidP="00912BD9">
            <w:pPr>
              <w:spacing w:before="240"/>
              <w:jc w:val="center"/>
              <w:rPr>
                <w:rFonts w:ascii="Times New Roman" w:eastAsiaTheme="minorEastAsia" w:hAnsi="Times New Roman" w:cs="Times New Roman"/>
                <w:noProof/>
              </w:rPr>
            </w:pPr>
            <w:r>
              <w:rPr>
                <w:rFonts w:ascii="Times New Roman" w:hAnsi="Times New Roman"/>
                <w:noProof/>
              </w:rPr>
              <w:t>în derulare</w:t>
            </w:r>
          </w:p>
        </w:tc>
      </w:tr>
      <w:tr w:rsidR="00912BD9" w:rsidRPr="009F333A" w:rsidDel="00170684" w14:paraId="407654AB"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87D1E3E"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2FE28A1" w14:textId="5BBB12D3" w:rsidR="00912BD9" w:rsidRPr="009F333A" w:rsidDel="00170684" w:rsidRDefault="00912BD9" w:rsidP="00912BD9">
            <w:pPr>
              <w:jc w:val="both"/>
              <w:rPr>
                <w:rFonts w:ascii="Times New Roman" w:hAnsi="Times New Roman"/>
                <w:noProof/>
              </w:rPr>
            </w:pPr>
            <w:r>
              <w:rPr>
                <w:rFonts w:ascii="Times New Roman" w:hAnsi="Times New Roman"/>
                <w:noProof/>
              </w:rPr>
              <w:t>Creșterea semnificativă a investițiilor în soluții bazate pe natură în infrastructuri sau în combinație cu infrastructurile.</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B69AF49" w14:textId="1A94C0EB" w:rsidR="00912BD9" w:rsidRPr="009F333A" w:rsidDel="00170684"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2026</w:t>
            </w:r>
          </w:p>
        </w:tc>
      </w:tr>
      <w:tr w:rsidR="00912BD9" w:rsidRPr="009F333A" w:rsidDel="00170684" w14:paraId="2A6098B3"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51ECA98C"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7F313772" w14:textId="5F0D75D7" w:rsidR="00912BD9" w:rsidRPr="009F333A" w:rsidRDefault="00912BD9" w:rsidP="00912BD9">
            <w:pPr>
              <w:jc w:val="both"/>
              <w:rPr>
                <w:rFonts w:ascii="Times New Roman" w:hAnsi="Times New Roman"/>
                <w:noProof/>
              </w:rPr>
            </w:pPr>
            <w:r>
              <w:rPr>
                <w:rFonts w:ascii="Times New Roman" w:hAnsi="Times New Roman"/>
                <w:noProof/>
              </w:rPr>
              <w:t>Integrarea apei în procesele internaționale, inclusiv în cele trei Convenții de la Rio privind schimbările climatice, biodiversitatea și deșertificarea.</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tcPr>
          <w:p w14:paraId="1E291D95" w14:textId="21187F1F"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p>
        </w:tc>
      </w:tr>
      <w:tr w:rsidR="00912BD9" w:rsidRPr="009F333A" w14:paraId="6627DA9B" w14:textId="77777777" w:rsidTr="002A0715">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9B1A207"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2EA1D450" w14:textId="76BD6542" w:rsidR="00912BD9" w:rsidRPr="009F333A" w:rsidRDefault="23F02BA4" w:rsidP="00912BD9">
            <w:pPr>
              <w:jc w:val="both"/>
              <w:rPr>
                <w:rFonts w:ascii="Times New Roman" w:eastAsia="Times New Roman" w:hAnsi="Times New Roman" w:cs="Times New Roman"/>
                <w:noProof/>
              </w:rPr>
            </w:pPr>
            <w:r>
              <w:rPr>
                <w:rFonts w:ascii="Times New Roman" w:hAnsi="Times New Roman"/>
                <w:noProof/>
              </w:rPr>
              <w:t>Consolidarea punerii în aplicare a obiectivelor și țintelor legate de apă</w:t>
            </w:r>
            <w:r>
              <w:rPr>
                <w:rStyle w:val="FootnoteReference"/>
                <w:rFonts w:ascii="Times New Roman" w:eastAsia="Times New Roman" w:hAnsi="Times New Roman" w:cs="Times New Roman"/>
                <w:noProof/>
                <w:lang w:eastAsia="en-IE"/>
              </w:rPr>
              <w:footnoteReference w:id="81"/>
            </w:r>
            <w:r>
              <w:rPr>
                <w:rFonts w:ascii="Times New Roman" w:hAnsi="Times New Roman"/>
                <w:noProof/>
              </w:rPr>
              <w:t xml:space="preserve"> ale Cadrului mondial pentru biodiversitate de la Kunming Montreal.</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ADEF3" w14:textId="6F32F9FC" w:rsidR="00912BD9" w:rsidRPr="009F333A" w:rsidRDefault="00912BD9" w:rsidP="002A0715">
            <w:pPr>
              <w:spacing w:before="240"/>
              <w:jc w:val="center"/>
              <w:rPr>
                <w:rFonts w:ascii="Times New Roman" w:eastAsia="Times New Roman" w:hAnsi="Times New Roman" w:cs="Times New Roman"/>
                <w:noProof/>
              </w:rPr>
            </w:pPr>
            <w:r>
              <w:rPr>
                <w:rFonts w:ascii="Times New Roman" w:hAnsi="Times New Roman"/>
                <w:noProof/>
              </w:rPr>
              <w:t>în derulare</w:t>
            </w:r>
          </w:p>
        </w:tc>
      </w:tr>
      <w:tr w:rsidR="00912BD9" w:rsidRPr="009F333A" w14:paraId="5CCE5DCE" w14:textId="77777777" w:rsidTr="0059590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21FA4D58"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75E510" w14:textId="10FEC122" w:rsidR="00912BD9" w:rsidRPr="009F333A" w:rsidRDefault="00912BD9" w:rsidP="0059590A">
            <w:pPr>
              <w:rPr>
                <w:rFonts w:ascii="Times New Roman" w:eastAsia="Times New Roman" w:hAnsi="Times New Roman" w:cs="Times New Roman"/>
                <w:noProof/>
              </w:rPr>
            </w:pPr>
            <w:r>
              <w:rPr>
                <w:rFonts w:ascii="Times New Roman" w:hAnsi="Times New Roman"/>
                <w:noProof/>
              </w:rPr>
              <w:t>Consolidarea angajamentului UE în cadrul Convenției Ramsar.</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E16437" w14:textId="77777777" w:rsidR="00912BD9" w:rsidRPr="009F333A" w:rsidRDefault="00912BD9" w:rsidP="00912BD9">
            <w:pPr>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r>
              <w:rPr>
                <w:rFonts w:ascii="Times New Roman" w:hAnsi="Times New Roman"/>
                <w:noProof/>
              </w:rPr>
              <w:t> </w:t>
            </w:r>
          </w:p>
        </w:tc>
      </w:tr>
      <w:tr w:rsidR="00912BD9" w:rsidRPr="009F333A" w14:paraId="2E0440E2"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3F1A124"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7BFE535" w14:textId="149FF956"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Consolidarea angajamentului, printre altele, în cadrul G</w:t>
            </w:r>
            <w:r w:rsidRPr="002234C8">
              <w:rPr>
                <w:rFonts w:ascii="Times New Roman" w:hAnsi="Times New Roman"/>
                <w:noProof/>
              </w:rPr>
              <w:t>7</w:t>
            </w:r>
            <w:r>
              <w:rPr>
                <w:rFonts w:ascii="Times New Roman" w:hAnsi="Times New Roman"/>
                <w:noProof/>
              </w:rPr>
              <w:t>, G</w:t>
            </w:r>
            <w:r w:rsidRPr="002234C8">
              <w:rPr>
                <w:rFonts w:ascii="Times New Roman" w:hAnsi="Times New Roman"/>
                <w:noProof/>
              </w:rPr>
              <w:t>20</w:t>
            </w:r>
            <w:r>
              <w:rPr>
                <w:rFonts w:ascii="Times New Roman" w:hAnsi="Times New Roman"/>
                <w:noProof/>
              </w:rPr>
              <w:t>, al Coaliției pentru cooperare transfrontalieră în domeniul apei, al Freshwater Challenge și al Dialogului privind apa de la Baku.</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C8D0EF" w14:textId="77777777"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r>
              <w:rPr>
                <w:rFonts w:ascii="Times New Roman" w:hAnsi="Times New Roman"/>
                <w:noProof/>
              </w:rPr>
              <w:t>  </w:t>
            </w:r>
          </w:p>
        </w:tc>
      </w:tr>
      <w:tr w:rsidR="00912BD9" w:rsidRPr="009F333A" w14:paraId="25C86D31"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439F2B1"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6E207346" w14:textId="74A69D11" w:rsidR="00912BD9" w:rsidRPr="007D3D7E" w:rsidRDefault="00912BD9" w:rsidP="00912BD9">
            <w:pPr>
              <w:jc w:val="both"/>
              <w:rPr>
                <w:rFonts w:ascii="Times New Roman" w:hAnsi="Times New Roman"/>
                <w:i/>
                <w:iCs/>
                <w:noProof/>
              </w:rPr>
            </w:pPr>
            <w:r>
              <w:rPr>
                <w:rFonts w:ascii="Times New Roman" w:hAnsi="Times New Roman"/>
                <w:noProof/>
              </w:rPr>
              <w:t>Evaluarea nevoilor de investiții pentru fiecare țară candidată în vederea respectării acquis-ului în domeniul apei.</w:t>
            </w:r>
          </w:p>
        </w:tc>
        <w:tc>
          <w:tcPr>
            <w:tcW w:w="169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14:paraId="6DF331BF" w14:textId="77777777"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2026</w:t>
            </w:r>
            <w:r>
              <w:rPr>
                <w:rFonts w:ascii="Times New Roman" w:hAnsi="Times New Roman"/>
                <w:noProof/>
              </w:rPr>
              <w:t> </w:t>
            </w:r>
          </w:p>
        </w:tc>
      </w:tr>
      <w:tr w:rsidR="00912BD9" w:rsidRPr="009F333A" w14:paraId="6432126F" w14:textId="77777777" w:rsidTr="4251B09A">
        <w:trPr>
          <w:trHeight w:val="300"/>
        </w:trPr>
        <w:tc>
          <w:tcPr>
            <w:tcW w:w="709" w:type="dxa"/>
            <w:tcBorders>
              <w:top w:val="single" w:sz="8" w:space="0" w:color="auto"/>
              <w:left w:val="single" w:sz="8" w:space="0" w:color="auto"/>
              <w:bottom w:val="single" w:sz="8" w:space="0" w:color="auto"/>
              <w:right w:val="single" w:sz="8" w:space="0" w:color="auto"/>
            </w:tcBorders>
            <w:shd w:val="clear" w:color="auto" w:fill="C1F0C7" w:themeFill="accent3" w:themeFillTint="33"/>
            <w:tcMar>
              <w:left w:w="108" w:type="dxa"/>
              <w:right w:w="108" w:type="dxa"/>
            </w:tcMar>
            <w:vAlign w:val="center"/>
          </w:tcPr>
          <w:p w14:paraId="771C4F6A" w14:textId="77777777" w:rsidR="00912BD9" w:rsidRPr="009F333A" w:rsidRDefault="00912BD9" w:rsidP="00912BD9">
            <w:pPr>
              <w:spacing w:before="240"/>
              <w:jc w:val="center"/>
              <w:rPr>
                <w:rFonts w:ascii="Times New Roman" w:eastAsia="Times New Roman" w:hAnsi="Times New Roman" w:cs="Times New Roman"/>
                <w:noProof/>
              </w:rPr>
            </w:pPr>
          </w:p>
        </w:tc>
        <w:tc>
          <w:tcPr>
            <w:tcW w:w="6460" w:type="dxa"/>
            <w:tcBorders>
              <w:top w:val="single" w:sz="8" w:space="0" w:color="auto"/>
              <w:left w:val="single" w:sz="8" w:space="0" w:color="auto"/>
              <w:bottom w:val="single" w:sz="8" w:space="0" w:color="auto"/>
              <w:right w:val="single" w:sz="8" w:space="0" w:color="auto"/>
            </w:tcBorders>
            <w:tcMar>
              <w:left w:w="108" w:type="dxa"/>
              <w:right w:w="108" w:type="dxa"/>
            </w:tcMar>
          </w:tcPr>
          <w:p w14:paraId="141F9723" w14:textId="493D6192" w:rsidR="00912BD9" w:rsidRPr="009F333A" w:rsidRDefault="00912BD9" w:rsidP="00912BD9">
            <w:pPr>
              <w:jc w:val="both"/>
              <w:rPr>
                <w:rFonts w:ascii="Times New Roman" w:eastAsia="Times New Roman" w:hAnsi="Times New Roman" w:cs="Times New Roman"/>
                <w:noProof/>
              </w:rPr>
            </w:pPr>
            <w:r>
              <w:rPr>
                <w:rFonts w:ascii="Times New Roman" w:hAnsi="Times New Roman"/>
                <w:noProof/>
              </w:rPr>
              <w:t>Intensificarea angajamentului în cadrul Uniunii pentru Mediterana și al Parteneriatului albastru pentru Mediterana.</w:t>
            </w:r>
          </w:p>
        </w:tc>
        <w:tc>
          <w:tcPr>
            <w:tcW w:w="16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F5D67C" w14:textId="77777777" w:rsidR="00912BD9" w:rsidRPr="009F333A" w:rsidRDefault="00912BD9" w:rsidP="00912BD9">
            <w:pPr>
              <w:spacing w:before="240"/>
              <w:jc w:val="center"/>
              <w:rPr>
                <w:rFonts w:ascii="Times New Roman" w:eastAsia="Times New Roman" w:hAnsi="Times New Roman" w:cs="Times New Roman"/>
                <w:noProof/>
              </w:rPr>
            </w:pPr>
            <w:r>
              <w:rPr>
                <w:rFonts w:ascii="Times New Roman" w:hAnsi="Times New Roman"/>
                <w:noProof/>
              </w:rPr>
              <w:t xml:space="preserve">Începând cu </w:t>
            </w:r>
            <w:r w:rsidRPr="002234C8">
              <w:rPr>
                <w:rFonts w:ascii="Times New Roman" w:hAnsi="Times New Roman"/>
                <w:noProof/>
              </w:rPr>
              <w:t>2025</w:t>
            </w:r>
            <w:r>
              <w:rPr>
                <w:rFonts w:ascii="Times New Roman" w:hAnsi="Times New Roman"/>
                <w:noProof/>
              </w:rPr>
              <w:t> </w:t>
            </w:r>
          </w:p>
        </w:tc>
      </w:tr>
    </w:tbl>
    <w:p w14:paraId="29DBB90D" w14:textId="6247C510" w:rsidR="00F411F4" w:rsidRPr="009F333A" w:rsidRDefault="00F411F4">
      <w:pPr>
        <w:rPr>
          <w:rFonts w:ascii="Times New Roman" w:hAnsi="Times New Roman" w:cs="Times New Roman"/>
          <w:noProof/>
          <w:color w:val="000000"/>
          <w:shd w:val="clear" w:color="auto" w:fill="FFFFFF"/>
        </w:rPr>
      </w:pPr>
    </w:p>
    <w:p w14:paraId="4C360C71" w14:textId="77777777" w:rsidR="006C0E91" w:rsidRPr="009F333A" w:rsidRDefault="006C0E91">
      <w:pPr>
        <w:rPr>
          <w:rFonts w:ascii="Times New Roman" w:hAnsi="Times New Roman" w:cs="Times New Roman"/>
          <w:noProof/>
          <w:color w:val="000000"/>
          <w:shd w:val="clear" w:color="auto" w:fill="FFFFFF"/>
        </w:rPr>
      </w:pPr>
    </w:p>
    <w:p w14:paraId="13608077" w14:textId="7B83C498" w:rsidR="00397B1A" w:rsidRPr="009F333A" w:rsidRDefault="00397B1A">
      <w:pPr>
        <w:rPr>
          <w:rFonts w:ascii="Times New Roman" w:hAnsi="Times New Roman" w:cs="Times New Roman"/>
          <w:noProof/>
          <w:color w:val="000000"/>
          <w:shd w:val="clear" w:color="auto" w:fill="FFFFFF"/>
        </w:rPr>
      </w:pPr>
      <w:r>
        <w:rPr>
          <w:noProof/>
        </w:rPr>
        <w:br w:type="page"/>
      </w:r>
    </w:p>
    <w:p w14:paraId="70F9A171" w14:textId="79278048" w:rsidR="00ED188B" w:rsidRPr="002234C8" w:rsidRDefault="00ED188B" w:rsidP="00E12D04">
      <w:pPr>
        <w:rPr>
          <w:rFonts w:ascii="Times New Roman Bold" w:hAnsi="Times New Roman Bold" w:cs="Times New Roman"/>
          <w:b/>
          <w:smallCaps/>
          <w:noProof/>
        </w:rPr>
      </w:pPr>
      <w:r w:rsidRPr="002234C8">
        <w:rPr>
          <w:rFonts w:ascii="Times New Roman Bold" w:hAnsi="Times New Roman Bold"/>
          <w:b/>
          <w:smallCaps/>
          <w:noProof/>
        </w:rPr>
        <w:t>Anexa II – Principalele obiective intermediare pentru perioada 2027-2033</w:t>
      </w:r>
    </w:p>
    <w:tbl>
      <w:tblPr>
        <w:tblStyle w:val="TableGrid"/>
        <w:tblW w:w="0" w:type="auto"/>
        <w:tblInd w:w="113" w:type="dxa"/>
        <w:tblLook w:val="04A0" w:firstRow="1" w:lastRow="0" w:firstColumn="1" w:lastColumn="0" w:noHBand="0" w:noVBand="1"/>
      </w:tblPr>
      <w:tblGrid>
        <w:gridCol w:w="8903"/>
      </w:tblGrid>
      <w:tr w:rsidR="00AD01DA" w:rsidRPr="00523A34" w14:paraId="45D3B8A2" w14:textId="77777777" w:rsidTr="008E410C">
        <w:trPr>
          <w:trHeight w:val="841"/>
        </w:trPr>
        <w:tc>
          <w:tcPr>
            <w:tcW w:w="8903" w:type="dxa"/>
          </w:tcPr>
          <w:p w14:paraId="7E2F958B" w14:textId="2BCBE727" w:rsidR="00AD01DA" w:rsidRPr="002234C8" w:rsidRDefault="00AD01DA" w:rsidP="00BE5CDC">
            <w:pPr>
              <w:spacing w:after="120"/>
              <w:ind w:left="312"/>
              <w:jc w:val="center"/>
              <w:rPr>
                <w:rFonts w:ascii="Times New Roman" w:hAnsi="Times New Roman" w:cs="Times New Roman"/>
                <w:b/>
                <w:bCs/>
                <w:noProof/>
                <w:color w:val="0F4761" w:themeColor="accent1" w:themeShade="BF"/>
              </w:rPr>
            </w:pPr>
            <w:r>
              <w:rPr>
                <w:noProof/>
              </w:rPr>
              <w:br w:type="page"/>
            </w:r>
            <w:bookmarkStart w:id="14" w:name="_Hlk197774368"/>
            <w:r w:rsidRPr="002234C8">
              <w:rPr>
                <w:rFonts w:ascii="Times New Roman" w:hAnsi="Times New Roman"/>
                <w:b/>
                <w:noProof/>
                <w:color w:val="0F4761" w:themeColor="accent1" w:themeShade="BF"/>
              </w:rPr>
              <w:t>Refacerea și protejarea ciclului apei</w:t>
            </w:r>
            <w:bookmarkEnd w:id="14"/>
          </w:p>
          <w:p w14:paraId="0288FCF8" w14:textId="0EAA4F04" w:rsidR="00AD01DA" w:rsidRPr="009F333A" w:rsidRDefault="00AD01DA"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 xml:space="preserve">Până în </w:t>
            </w:r>
            <w:r w:rsidRPr="002234C8">
              <w:rPr>
                <w:rFonts w:ascii="Times New Roman" w:hAnsi="Times New Roman"/>
                <w:noProof/>
                <w:color w:val="0F4761" w:themeColor="accent1" w:themeShade="BF"/>
                <w:sz w:val="24"/>
              </w:rPr>
              <w:t>2030</w:t>
            </w:r>
            <w:r>
              <w:rPr>
                <w:rFonts w:ascii="Times New Roman" w:hAnsi="Times New Roman"/>
                <w:noProof/>
                <w:sz w:val="24"/>
              </w:rPr>
              <w:t xml:space="preserve">, vor fi puse în aplicare măsuri de refacere pentru cel puțin </w:t>
            </w:r>
            <w:r w:rsidRPr="002234C8">
              <w:rPr>
                <w:rFonts w:ascii="Times New Roman" w:hAnsi="Times New Roman"/>
                <w:noProof/>
                <w:sz w:val="24"/>
              </w:rPr>
              <w:t>30</w:t>
            </w:r>
            <w:r>
              <w:rPr>
                <w:rFonts w:ascii="Times New Roman" w:hAnsi="Times New Roman"/>
                <w:noProof/>
                <w:sz w:val="24"/>
              </w:rPr>
              <w:t> % din habitatele costiere și de apă dulce ale UE care nu sunt în stare bună (</w:t>
            </w:r>
            <w:r w:rsidRPr="007D3D7E">
              <w:rPr>
                <w:rFonts w:ascii="Times New Roman" w:hAnsi="Times New Roman"/>
                <w:i/>
                <w:noProof/>
                <w:sz w:val="24"/>
              </w:rPr>
              <w:t>Regulamentul privind restaurarea naturii</w:t>
            </w:r>
            <w:r>
              <w:rPr>
                <w:rFonts w:ascii="Times New Roman" w:hAnsi="Times New Roman"/>
                <w:noProof/>
                <w:sz w:val="24"/>
              </w:rPr>
              <w:t>).</w:t>
            </w:r>
          </w:p>
          <w:p w14:paraId="391EC90D" w14:textId="7E29897A" w:rsidR="0061648E" w:rsidRPr="009F333A" w:rsidRDefault="0061648E"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 xml:space="preserve">Până în </w:t>
            </w:r>
            <w:r w:rsidRPr="002234C8">
              <w:rPr>
                <w:rFonts w:ascii="Times New Roman" w:hAnsi="Times New Roman"/>
                <w:noProof/>
                <w:color w:val="0F4761" w:themeColor="accent1" w:themeShade="BF"/>
                <w:sz w:val="24"/>
              </w:rPr>
              <w:t>2030</w:t>
            </w:r>
            <w:r>
              <w:rPr>
                <w:rFonts w:ascii="Times New Roman" w:hAnsi="Times New Roman"/>
                <w:noProof/>
                <w:sz w:val="24"/>
              </w:rPr>
              <w:t xml:space="preserve">, cel puțin </w:t>
            </w:r>
            <w:r w:rsidRPr="002234C8">
              <w:rPr>
                <w:rFonts w:ascii="Times New Roman" w:hAnsi="Times New Roman"/>
                <w:noProof/>
                <w:sz w:val="24"/>
              </w:rPr>
              <w:t>30</w:t>
            </w:r>
            <w:r>
              <w:rPr>
                <w:rFonts w:ascii="Times New Roman" w:hAnsi="Times New Roman"/>
                <w:noProof/>
                <w:sz w:val="24"/>
              </w:rPr>
              <w:t> % din speciile și habitatele care nu se află în prezent într-un stadiu corespunzător se încadrează în această categorie sau prezintă o puternică tendință pozitivă (</w:t>
            </w:r>
            <w:r w:rsidRPr="007D3D7E">
              <w:rPr>
                <w:rFonts w:ascii="Times New Roman" w:hAnsi="Times New Roman"/>
                <w:i/>
                <w:noProof/>
                <w:sz w:val="24"/>
              </w:rPr>
              <w:t>Strategia UE privind biodiversitatea pentru 2030</w:t>
            </w:r>
            <w:r>
              <w:rPr>
                <w:rFonts w:ascii="Times New Roman" w:hAnsi="Times New Roman"/>
                <w:noProof/>
                <w:sz w:val="24"/>
              </w:rPr>
              <w:t>).</w:t>
            </w:r>
          </w:p>
          <w:p w14:paraId="5C5D7927" w14:textId="677FF346" w:rsidR="00AD01DA" w:rsidRPr="009F333A" w:rsidRDefault="00AD01DA" w:rsidP="00277AD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 xml:space="preserve">Până în </w:t>
            </w:r>
            <w:r w:rsidRPr="002234C8">
              <w:rPr>
                <w:rFonts w:ascii="Times New Roman" w:hAnsi="Times New Roman"/>
                <w:noProof/>
                <w:color w:val="0F4761" w:themeColor="accent1" w:themeShade="BF"/>
                <w:sz w:val="24"/>
              </w:rPr>
              <w:t>2030</w:t>
            </w:r>
            <w:r>
              <w:rPr>
                <w:rFonts w:ascii="Times New Roman" w:hAnsi="Times New Roman"/>
                <w:noProof/>
                <w:sz w:val="24"/>
              </w:rPr>
              <w:t xml:space="preserve">, cel puțin </w:t>
            </w:r>
            <w:r w:rsidRPr="002234C8">
              <w:rPr>
                <w:rFonts w:ascii="Times New Roman" w:hAnsi="Times New Roman"/>
                <w:noProof/>
                <w:sz w:val="24"/>
              </w:rPr>
              <w:t>25</w:t>
            </w:r>
            <w:r>
              <w:rPr>
                <w:rFonts w:ascii="Times New Roman" w:hAnsi="Times New Roman"/>
                <w:noProof/>
                <w:sz w:val="24"/>
              </w:rPr>
              <w:t> </w:t>
            </w:r>
            <w:r w:rsidRPr="002234C8">
              <w:rPr>
                <w:rFonts w:ascii="Times New Roman" w:hAnsi="Times New Roman"/>
                <w:noProof/>
                <w:sz w:val="24"/>
              </w:rPr>
              <w:t>000</w:t>
            </w:r>
            <w:r>
              <w:rPr>
                <w:rFonts w:ascii="Times New Roman" w:hAnsi="Times New Roman"/>
                <w:noProof/>
                <w:sz w:val="24"/>
              </w:rPr>
              <w:t> km de râuri din UE vor trebui restaurați pentru a deveni râuri cu curgere liberă (</w:t>
            </w:r>
            <w:r w:rsidRPr="007D3D7E">
              <w:rPr>
                <w:rFonts w:ascii="Times New Roman" w:hAnsi="Times New Roman"/>
                <w:i/>
                <w:noProof/>
                <w:sz w:val="24"/>
              </w:rPr>
              <w:t>Strategia UE privind biodiversitatea pentru 2030</w:t>
            </w:r>
            <w:r>
              <w:rPr>
                <w:rFonts w:ascii="Times New Roman" w:hAnsi="Times New Roman"/>
                <w:noProof/>
                <w:sz w:val="24"/>
              </w:rPr>
              <w:t>).</w:t>
            </w:r>
          </w:p>
          <w:p w14:paraId="03F0AD8D" w14:textId="2CD7F737" w:rsidR="00314294" w:rsidRPr="009F333A" w:rsidRDefault="009432B6" w:rsidP="09B83B87">
            <w:pPr>
              <w:spacing w:after="120"/>
              <w:jc w:val="both"/>
              <w:rPr>
                <w:rFonts w:ascii="Times New Roman" w:hAnsi="Times New Roman" w:cs="Times New Roman"/>
                <w:noProof/>
                <w:sz w:val="24"/>
                <w:szCs w:val="24"/>
              </w:rPr>
            </w:pPr>
            <w:r>
              <w:rPr>
                <w:rFonts w:ascii="Times New Roman" w:hAnsi="Times New Roman"/>
                <w:noProof/>
                <w:color w:val="0F4761" w:themeColor="accent1" w:themeShade="BF"/>
                <w:sz w:val="24"/>
              </w:rPr>
              <w:t xml:space="preserve">Până în </w:t>
            </w:r>
            <w:r w:rsidRPr="002234C8">
              <w:rPr>
                <w:rFonts w:ascii="Times New Roman" w:hAnsi="Times New Roman"/>
                <w:noProof/>
                <w:color w:val="0F4761" w:themeColor="accent1" w:themeShade="BF"/>
                <w:sz w:val="24"/>
              </w:rPr>
              <w:t>2027</w:t>
            </w:r>
            <w:r>
              <w:rPr>
                <w:rFonts w:ascii="Times New Roman" w:hAnsi="Times New Roman"/>
                <w:noProof/>
                <w:color w:val="0F4761" w:themeColor="accent1" w:themeShade="BF"/>
                <w:sz w:val="24"/>
              </w:rPr>
              <w:t xml:space="preserve">, </w:t>
            </w:r>
            <w:r>
              <w:rPr>
                <w:rFonts w:ascii="Times New Roman" w:hAnsi="Times New Roman"/>
                <w:noProof/>
                <w:sz w:val="24"/>
              </w:rPr>
              <w:t>statele membre vor trebui să protejeze, să îmbunătățească și să refacă toate corpurile de apă de suprafață și subterane în scopul obținerii unei stări bune</w:t>
            </w:r>
            <w:bookmarkStart w:id="15" w:name="_Hlk197774391"/>
            <w:r>
              <w:rPr>
                <w:rFonts w:ascii="Times New Roman" w:hAnsi="Times New Roman"/>
                <w:noProof/>
                <w:sz w:val="24"/>
              </w:rPr>
              <w:t xml:space="preserve"> (</w:t>
            </w:r>
            <w:r w:rsidRPr="007D3D7E">
              <w:rPr>
                <w:rFonts w:ascii="Times New Roman" w:hAnsi="Times New Roman"/>
                <w:i/>
                <w:noProof/>
                <w:sz w:val="24"/>
              </w:rPr>
              <w:t>Directiva-cadru privind apa</w:t>
            </w:r>
            <w:r>
              <w:rPr>
                <w:rFonts w:ascii="Times New Roman" w:hAnsi="Times New Roman"/>
                <w:noProof/>
                <w:sz w:val="24"/>
              </w:rPr>
              <w:t>).</w:t>
            </w:r>
          </w:p>
          <w:bookmarkEnd w:id="15"/>
          <w:p w14:paraId="09415AC5" w14:textId="053EFB4B" w:rsidR="00AD01DA" w:rsidRPr="002234C8" w:rsidRDefault="004B5A06" w:rsidP="00277AD7">
            <w:pPr>
              <w:spacing w:after="120"/>
              <w:jc w:val="center"/>
              <w:rPr>
                <w:rFonts w:ascii="Times New Roman" w:hAnsi="Times New Roman" w:cs="Times New Roman"/>
                <w:b/>
                <w:bCs/>
                <w:noProof/>
                <w:color w:val="0F4761" w:themeColor="accent1" w:themeShade="BF"/>
              </w:rPr>
            </w:pPr>
            <w:r w:rsidRPr="002234C8">
              <w:rPr>
                <w:rFonts w:ascii="Times New Roman" w:hAnsi="Times New Roman"/>
                <w:b/>
                <w:noProof/>
                <w:color w:val="0F4761" w:themeColor="accent1" w:themeShade="BF"/>
              </w:rPr>
              <w:t>Construirea unei economii inteligente în domeniul apei, care să nu lase pe nimeni în urmă, să sprijine competitivitatea UE și să atragă investitorii</w:t>
            </w:r>
          </w:p>
          <w:p w14:paraId="2B43FDED" w14:textId="77777777" w:rsidR="00AD01DA" w:rsidRPr="009F333A" w:rsidRDefault="00AD01DA" w:rsidP="00277AD7">
            <w:pPr>
              <w:spacing w:after="120"/>
              <w:jc w:val="both"/>
              <w:rPr>
                <w:rFonts w:ascii="Times New Roman" w:hAnsi="Times New Roman" w:cs="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2030</w:t>
            </w:r>
            <w:r>
              <w:rPr>
                <w:rFonts w:ascii="Times New Roman" w:hAnsi="Times New Roman"/>
                <w:noProof/>
                <w:color w:val="000000" w:themeColor="text1"/>
              </w:rPr>
              <w:t xml:space="preserve">, </w:t>
            </w:r>
            <w:r>
              <w:rPr>
                <w:rFonts w:ascii="Times New Roman" w:hAnsi="Times New Roman"/>
                <w:noProof/>
              </w:rPr>
              <w:t>sectoarele cu cel mai mare consum de apă vor fi adoptat și consolidat practici eficiente din punctul de vedere al consumului de apă, inclusiv următoarele sectoare, pe baza legislației UE existente:</w:t>
            </w:r>
          </w:p>
          <w:p w14:paraId="143473F6" w14:textId="747E5D65" w:rsidR="00AD01DA" w:rsidRPr="009F333A" w:rsidRDefault="006E5C14" w:rsidP="00A30966">
            <w:pPr>
              <w:pStyle w:val="ListParagraph"/>
              <w:numPr>
                <w:ilvl w:val="0"/>
                <w:numId w:val="1"/>
              </w:numPr>
              <w:spacing w:before="120" w:after="120"/>
              <w:ind w:left="714" w:hanging="357"/>
              <w:jc w:val="both"/>
              <w:rPr>
                <w:rFonts w:ascii="Times New Roman" w:hAnsi="Times New Roman" w:cs="Times New Roman"/>
                <w:noProof/>
              </w:rPr>
            </w:pPr>
            <w:r>
              <w:rPr>
                <w:rFonts w:ascii="Times New Roman" w:hAnsi="Times New Roman"/>
                <w:noProof/>
              </w:rPr>
              <w:t>e</w:t>
            </w:r>
            <w:r w:rsidR="00E4091A">
              <w:rPr>
                <w:rFonts w:ascii="Times New Roman" w:hAnsi="Times New Roman"/>
                <w:noProof/>
              </w:rPr>
              <w:t xml:space="preserve">nergia: planurile naționale de renovare a clădirilor, care trebuie să fie prezentate </w:t>
            </w:r>
            <w:r w:rsidR="00E4091A">
              <w:rPr>
                <w:rFonts w:ascii="Times New Roman" w:hAnsi="Times New Roman"/>
                <w:noProof/>
                <w:color w:val="0F4761" w:themeColor="accent1" w:themeShade="BF"/>
              </w:rPr>
              <w:t xml:space="preserve">până în </w:t>
            </w:r>
            <w:r w:rsidR="00E4091A" w:rsidRPr="002234C8">
              <w:rPr>
                <w:rFonts w:ascii="Times New Roman" w:hAnsi="Times New Roman"/>
                <w:noProof/>
                <w:color w:val="0F4761" w:themeColor="accent1" w:themeShade="BF"/>
              </w:rPr>
              <w:t>2026</w:t>
            </w:r>
            <w:r w:rsidR="00E4091A">
              <w:rPr>
                <w:rFonts w:ascii="Times New Roman" w:hAnsi="Times New Roman"/>
                <w:noProof/>
              </w:rPr>
              <w:t xml:space="preserve">, vor începe să fie implementate în fiecare stat membru pentru a realiza transformarea progresivă a clădirilor existente în clădiri decarbonizate și foarte eficiente din punct de vedere energetic până în </w:t>
            </w:r>
            <w:r w:rsidR="00E4091A" w:rsidRPr="002234C8">
              <w:rPr>
                <w:rFonts w:ascii="Times New Roman" w:hAnsi="Times New Roman"/>
                <w:noProof/>
              </w:rPr>
              <w:t>2050</w:t>
            </w:r>
            <w:r w:rsidR="00E4091A">
              <w:rPr>
                <w:rFonts w:ascii="Times New Roman" w:hAnsi="Times New Roman"/>
                <w:noProof/>
              </w:rPr>
              <w:t>, inclusiv prin abordări și programe care vizează tratarea apei (</w:t>
            </w:r>
            <w:r w:rsidR="00E4091A" w:rsidRPr="007D3D7E">
              <w:rPr>
                <w:rFonts w:ascii="Times New Roman" w:hAnsi="Times New Roman"/>
                <w:i/>
                <w:noProof/>
              </w:rPr>
              <w:t>Directiva privind performanța energetică a clădirilor</w:t>
            </w:r>
            <w:r w:rsidR="00E4091A">
              <w:rPr>
                <w:rFonts w:ascii="Times New Roman" w:hAnsi="Times New Roman"/>
                <w:noProof/>
              </w:rPr>
              <w:t>)</w:t>
            </w:r>
            <w:r>
              <w:rPr>
                <w:rFonts w:ascii="Times New Roman" w:hAnsi="Times New Roman"/>
                <w:noProof/>
              </w:rPr>
              <w:t>;</w:t>
            </w:r>
          </w:p>
          <w:p w14:paraId="3B515DEA" w14:textId="4581AB74" w:rsidR="00AD01DA" w:rsidRPr="009F333A" w:rsidRDefault="006E5C14" w:rsidP="00A30966">
            <w:pPr>
              <w:pStyle w:val="ListParagraph"/>
              <w:numPr>
                <w:ilvl w:val="0"/>
                <w:numId w:val="1"/>
              </w:numPr>
              <w:spacing w:before="120" w:after="120"/>
              <w:ind w:left="714" w:hanging="357"/>
              <w:jc w:val="both"/>
              <w:rPr>
                <w:rFonts w:ascii="Times New Roman" w:hAnsi="Times New Roman" w:cs="Times New Roman"/>
                <w:noProof/>
              </w:rPr>
            </w:pPr>
            <w:r>
              <w:rPr>
                <w:rFonts w:ascii="Times New Roman" w:hAnsi="Times New Roman"/>
                <w:noProof/>
                <w:color w:val="000000" w:themeColor="text1"/>
              </w:rPr>
              <w:t>i</w:t>
            </w:r>
            <w:r w:rsidR="00AD01DA">
              <w:rPr>
                <w:rFonts w:ascii="Times New Roman" w:hAnsi="Times New Roman"/>
                <w:noProof/>
                <w:color w:val="000000" w:themeColor="text1"/>
              </w:rPr>
              <w:t>ndustria</w:t>
            </w:r>
            <w:r w:rsidR="00AD01DA">
              <w:rPr>
                <w:rFonts w:ascii="Times New Roman" w:hAnsi="Times New Roman"/>
                <w:noProof/>
              </w:rPr>
              <w:t xml:space="preserve">: </w:t>
            </w:r>
            <w:r w:rsidR="00AD01DA">
              <w:rPr>
                <w:rFonts w:ascii="Times New Roman" w:hAnsi="Times New Roman"/>
                <w:noProof/>
                <w:color w:val="3071C3"/>
              </w:rPr>
              <w:t xml:space="preserve"> </w:t>
            </w:r>
            <w:r w:rsidR="00AD01DA">
              <w:rPr>
                <w:rFonts w:ascii="Times New Roman" w:hAnsi="Times New Roman"/>
                <w:noProof/>
              </w:rPr>
              <w:t>utilizarea apei va începe să fie redusă în mod concret în cadrul celor mai mari procese de producție industriale și zootehnice din UE</w:t>
            </w:r>
            <w:r w:rsidR="00AD01DA" w:rsidRPr="007D3D7E">
              <w:rPr>
                <w:rFonts w:ascii="Times New Roman" w:hAnsi="Times New Roman"/>
                <w:i/>
                <w:noProof/>
              </w:rPr>
              <w:t xml:space="preserve"> (Directiva privind emisiile industriale).</w:t>
            </w:r>
          </w:p>
          <w:p w14:paraId="0B28D0A8" w14:textId="2C990B76" w:rsidR="009B5D56" w:rsidRPr="001D018A" w:rsidRDefault="009B5D56" w:rsidP="009B5D56">
            <w:pPr>
              <w:spacing w:after="120"/>
              <w:jc w:val="both"/>
              <w:rPr>
                <w:rFonts w:ascii="Times New Roman" w:hAnsi="Times New Roman" w:cs="Times New Roman"/>
                <w:noProof/>
              </w:rPr>
            </w:pPr>
            <w:r>
              <w:rPr>
                <w:rFonts w:ascii="Times New Roman" w:hAnsi="Times New Roman"/>
                <w:noProof/>
              </w:rPr>
              <w:t xml:space="preserve">În plus, în ceea ce privește agricultura, </w:t>
            </w: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2027</w:t>
            </w:r>
            <w:r>
              <w:rPr>
                <w:rFonts w:ascii="Times New Roman" w:hAnsi="Times New Roman"/>
                <w:noProof/>
                <w:color w:val="0F4761" w:themeColor="accent1" w:themeShade="BF"/>
              </w:rPr>
              <w:t>,</w:t>
            </w:r>
            <w:r>
              <w:rPr>
                <w:rFonts w:ascii="Times New Roman" w:hAnsi="Times New Roman"/>
                <w:noProof/>
              </w:rPr>
              <w:t xml:space="preserve"> planurile strategice PAC au oferit sprijin pentru practici (dincolo de cerințele obligatorii) de îmbunătățire a sănătății solului (și, prin urmare, de îmbunătățire a retenției apei și de limitare a eroziunii) pe </w:t>
            </w:r>
            <w:r w:rsidRPr="002234C8">
              <w:rPr>
                <w:rFonts w:ascii="Times New Roman" w:hAnsi="Times New Roman"/>
                <w:noProof/>
              </w:rPr>
              <w:t>47</w:t>
            </w:r>
            <w:r>
              <w:rPr>
                <w:rFonts w:ascii="Times New Roman" w:hAnsi="Times New Roman"/>
                <w:noProof/>
              </w:rPr>
              <w:t xml:space="preserve"> % din suprafața agricolă a UE. Sprijinul pentru practicile de utilizare durabilă a pesticidelor și de îmbunătățire a gestionării nutrienților va acoperi </w:t>
            </w:r>
            <w:r w:rsidRPr="002234C8">
              <w:rPr>
                <w:rFonts w:ascii="Times New Roman" w:hAnsi="Times New Roman"/>
                <w:noProof/>
              </w:rPr>
              <w:t>27</w:t>
            </w:r>
            <w:r>
              <w:rPr>
                <w:rFonts w:ascii="Times New Roman" w:hAnsi="Times New Roman"/>
                <w:noProof/>
              </w:rPr>
              <w:t xml:space="preserve"> % și, respectiv, </w:t>
            </w:r>
            <w:r w:rsidRPr="002234C8">
              <w:rPr>
                <w:rFonts w:ascii="Times New Roman" w:hAnsi="Times New Roman"/>
                <w:noProof/>
              </w:rPr>
              <w:t>15</w:t>
            </w:r>
            <w:r>
              <w:rPr>
                <w:rFonts w:ascii="Times New Roman" w:hAnsi="Times New Roman"/>
                <w:noProof/>
              </w:rPr>
              <w:t> % din suprafața agricolă a UE (sprijinul PAC și planurile strategice PAC).</w:t>
            </w:r>
          </w:p>
          <w:p w14:paraId="3B8CA0AA" w14:textId="0C5FF5D2" w:rsidR="00AD01DA" w:rsidRPr="009F333A" w:rsidRDefault="00AD01DA" w:rsidP="00277AD7">
            <w:pPr>
              <w:spacing w:after="120"/>
              <w:jc w:val="both"/>
              <w:rPr>
                <w:rFonts w:ascii="Times New Roman" w:hAnsi="Times New Roman" w:cs="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2030</w:t>
            </w:r>
            <w:r>
              <w:rPr>
                <w:rFonts w:ascii="Times New Roman" w:hAnsi="Times New Roman"/>
                <w:noProof/>
              </w:rPr>
              <w:t xml:space="preserve">, statele membre cu niveluri de scurgere a apei care depășesc pragul la nivelul UE – care urmează să fie stabilit până în </w:t>
            </w:r>
            <w:r w:rsidRPr="002234C8">
              <w:rPr>
                <w:rFonts w:ascii="Times New Roman" w:hAnsi="Times New Roman"/>
                <w:noProof/>
              </w:rPr>
              <w:t>2028</w:t>
            </w:r>
            <w:r>
              <w:rPr>
                <w:rFonts w:ascii="Times New Roman" w:hAnsi="Times New Roman"/>
                <w:noProof/>
              </w:rPr>
              <w:t xml:space="preserve"> – vor prezenta un plan de acțiune cu măsuri de reducere a scurgerilor în rețelele lor de aprovizionare (</w:t>
            </w:r>
            <w:r w:rsidRPr="007D3D7E">
              <w:rPr>
                <w:rFonts w:ascii="Times New Roman" w:hAnsi="Times New Roman"/>
                <w:i/>
                <w:noProof/>
              </w:rPr>
              <w:t>Directiva privind apa potabilă</w:t>
            </w:r>
            <w:r>
              <w:rPr>
                <w:rFonts w:ascii="Times New Roman" w:hAnsi="Times New Roman"/>
                <w:noProof/>
              </w:rPr>
              <w:t>).</w:t>
            </w:r>
          </w:p>
          <w:p w14:paraId="5EB56920" w14:textId="103F0345" w:rsidR="00305627" w:rsidRPr="009F333A" w:rsidRDefault="52945F3F" w:rsidP="009D2CBB">
            <w:pPr>
              <w:spacing w:before="120" w:after="120"/>
              <w:jc w:val="both"/>
              <w:rPr>
                <w:rFonts w:ascii="Times New Roman" w:hAnsi="Times New Roman" w:cs="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2030</w:t>
            </w:r>
            <w:r>
              <w:rPr>
                <w:rFonts w:ascii="Times New Roman" w:hAnsi="Times New Roman"/>
                <w:noProof/>
              </w:rPr>
              <w:t>, Comisia și statele membre vor promova reutilizarea apelor uzate urbane epurate în toate scopurile adecvate, nu doar în agricultură, și vor evalua fezabilitatea și oportunitatea stabilirii unui obiectiv al UE privind reutilizarea apei în toate sectoarele economice (</w:t>
            </w:r>
            <w:r w:rsidRPr="007D3D7E">
              <w:rPr>
                <w:rFonts w:ascii="Times New Roman" w:hAnsi="Times New Roman"/>
                <w:i/>
                <w:noProof/>
              </w:rPr>
              <w:t>Regulamentul privind reutilizarea apei</w:t>
            </w:r>
            <w:r>
              <w:rPr>
                <w:rFonts w:ascii="Times New Roman" w:hAnsi="Times New Roman"/>
                <w:noProof/>
              </w:rPr>
              <w:t>).</w:t>
            </w:r>
          </w:p>
          <w:p w14:paraId="1D92133F" w14:textId="53DC164E" w:rsidR="00AD01DA" w:rsidRPr="002234C8" w:rsidRDefault="00AD01DA" w:rsidP="004B5A06">
            <w:pPr>
              <w:spacing w:after="120" w:line="259" w:lineRule="auto"/>
              <w:jc w:val="center"/>
              <w:rPr>
                <w:rFonts w:ascii="Times New Roman" w:hAnsi="Times New Roman" w:cs="Times New Roman"/>
                <w:b/>
                <w:noProof/>
                <w:color w:val="0F4761" w:themeColor="accent1" w:themeShade="BF"/>
              </w:rPr>
            </w:pPr>
            <w:r w:rsidRPr="002234C8">
              <w:rPr>
                <w:rFonts w:ascii="Times New Roman" w:hAnsi="Times New Roman"/>
                <w:b/>
                <w:noProof/>
                <w:color w:val="0F4761" w:themeColor="accent1" w:themeShade="BF"/>
              </w:rPr>
              <w:t>Asigurarea apei curate și la prețuri accesibile pentru toți, responsabilizarea consumatorilor și a altor utilizatori</w:t>
            </w:r>
          </w:p>
          <w:p w14:paraId="07F912EF" w14:textId="1D70EAE4" w:rsidR="00AD01DA" w:rsidRPr="009F333A" w:rsidRDefault="41D98564" w:rsidP="00277AD7">
            <w:pPr>
              <w:spacing w:after="120"/>
              <w:jc w:val="both"/>
              <w:rPr>
                <w:rFonts w:ascii="Times New Roman" w:hAnsi="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2027</w:t>
            </w:r>
            <w:r>
              <w:rPr>
                <w:rFonts w:ascii="Times New Roman" w:hAnsi="Times New Roman"/>
                <w:noProof/>
                <w:color w:val="215E99" w:themeColor="text2" w:themeTint="BF"/>
              </w:rPr>
              <w:t xml:space="preserve">, </w:t>
            </w:r>
            <w:r>
              <w:rPr>
                <w:rFonts w:ascii="Times New Roman" w:hAnsi="Times New Roman"/>
                <w:noProof/>
              </w:rPr>
              <w:t>statele membre vor introduce facturi transparente la apa potabilă și la apele uzate, pentru a spori gradul de sensibilizare a consumatorilor cu privire la consumul lor și la prețul real al apei, precum și sisteme de supraveghere pentru monitorizarea parametrilor de sănătate publică în apele uzate urbane în caz de urgență (</w:t>
            </w:r>
            <w:r w:rsidRPr="007D3D7E">
              <w:rPr>
                <w:rFonts w:ascii="Times New Roman" w:hAnsi="Times New Roman"/>
                <w:i/>
                <w:noProof/>
              </w:rPr>
              <w:t>Directiva privind apa potabilă, Directiva privind epurarea apelor uzate urbane</w:t>
            </w:r>
            <w:r>
              <w:rPr>
                <w:rFonts w:ascii="Times New Roman" w:hAnsi="Times New Roman"/>
                <w:noProof/>
              </w:rPr>
              <w:t>)</w:t>
            </w:r>
            <w:r w:rsidRPr="007D3D7E">
              <w:rPr>
                <w:rFonts w:ascii="Times New Roman" w:hAnsi="Times New Roman"/>
                <w:noProof/>
                <w:u w:val="single"/>
              </w:rPr>
              <w:t>.</w:t>
            </w:r>
            <w:r>
              <w:rPr>
                <w:rFonts w:ascii="Times New Roman" w:hAnsi="Times New Roman"/>
                <w:noProof/>
              </w:rPr>
              <w:t xml:space="preserve"> </w:t>
            </w:r>
          </w:p>
          <w:p w14:paraId="01AA8AC0" w14:textId="77777777" w:rsidR="00C90712" w:rsidRPr="009F333A" w:rsidRDefault="00AD01DA" w:rsidP="00C90712">
            <w:pPr>
              <w:spacing w:after="120"/>
              <w:jc w:val="both"/>
              <w:rPr>
                <w:rFonts w:ascii="Times New Roman" w:hAnsi="Times New Roman" w:cs="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2029</w:t>
            </w:r>
            <w:r>
              <w:rPr>
                <w:rFonts w:ascii="Times New Roman" w:hAnsi="Times New Roman"/>
                <w:noProof/>
              </w:rPr>
              <w:t>, statele membre vor informa Comisia cu privire la măsurile luate pentru a îmbunătăți accesul la apă potabilă și la servicii de salubritate pentru toți, inclusiv pentru grupurile vulnerabile și marginalizate, și vor începe să transmită Comisiei date actualizate o dată la șase ani în această privință (</w:t>
            </w:r>
            <w:r w:rsidRPr="007D3D7E">
              <w:rPr>
                <w:rFonts w:ascii="Times New Roman" w:hAnsi="Times New Roman"/>
                <w:i/>
                <w:noProof/>
              </w:rPr>
              <w:t>Directiva privind apa potabilă</w:t>
            </w:r>
            <w:r>
              <w:rPr>
                <w:rFonts w:ascii="Times New Roman" w:hAnsi="Times New Roman"/>
                <w:noProof/>
              </w:rPr>
              <w:t xml:space="preserve"> și </w:t>
            </w:r>
            <w:r w:rsidRPr="007D3D7E">
              <w:rPr>
                <w:rFonts w:ascii="Times New Roman" w:hAnsi="Times New Roman"/>
                <w:i/>
                <w:noProof/>
              </w:rPr>
              <w:t>Directiva privind epurarea apelor uzate urbane</w:t>
            </w:r>
            <w:r>
              <w:rPr>
                <w:rFonts w:ascii="Times New Roman" w:hAnsi="Times New Roman"/>
                <w:noProof/>
              </w:rPr>
              <w:t xml:space="preserve">). </w:t>
            </w:r>
          </w:p>
          <w:p w14:paraId="79581364" w14:textId="07F2A92B" w:rsidR="00AD01DA" w:rsidRPr="009F333A" w:rsidRDefault="00C90712" w:rsidP="00305627">
            <w:pPr>
              <w:jc w:val="both"/>
              <w:rPr>
                <w:rFonts w:ascii="Times New Roman" w:eastAsia="Times New Roman" w:hAnsi="Times New Roman" w:cs="Times New Roman"/>
                <w:noProof/>
                <w:sz w:val="24"/>
                <w:szCs w:val="24"/>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2030</w:t>
            </w:r>
            <w:r>
              <w:rPr>
                <w:rFonts w:ascii="Times New Roman" w:hAnsi="Times New Roman"/>
                <w:noProof/>
                <w:sz w:val="24"/>
              </w:rPr>
              <w:t xml:space="preserve">, UE va sprijini accesul a </w:t>
            </w:r>
            <w:r w:rsidRPr="002234C8">
              <w:rPr>
                <w:rFonts w:ascii="Times New Roman" w:hAnsi="Times New Roman"/>
                <w:noProof/>
                <w:sz w:val="24"/>
              </w:rPr>
              <w:t>70</w:t>
            </w:r>
            <w:r>
              <w:rPr>
                <w:rFonts w:ascii="Times New Roman" w:hAnsi="Times New Roman"/>
                <w:noProof/>
                <w:sz w:val="24"/>
              </w:rPr>
              <w:t xml:space="preserve"> de milioane de persoane la o sursă îmbunătățită de apă potabilă și/sau la instalații sanitare (</w:t>
            </w:r>
            <w:r w:rsidRPr="007D3D7E">
              <w:rPr>
                <w:rFonts w:ascii="Times New Roman" w:hAnsi="Times New Roman"/>
                <w:i/>
                <w:noProof/>
                <w:sz w:val="24"/>
              </w:rPr>
              <w:t>angajamentul UE în cadrul Agendei de acțiune privind apa</w:t>
            </w:r>
            <w:r>
              <w:rPr>
                <w:rFonts w:ascii="Times New Roman" w:hAnsi="Times New Roman"/>
                <w:noProof/>
                <w:sz w:val="24"/>
              </w:rPr>
              <w:t xml:space="preserve">). </w:t>
            </w:r>
          </w:p>
          <w:p w14:paraId="28E4DBE1" w14:textId="77777777" w:rsidR="00305627" w:rsidRPr="002234C8" w:rsidRDefault="00305627" w:rsidP="00305627">
            <w:pPr>
              <w:jc w:val="both"/>
              <w:rPr>
                <w:rFonts w:ascii="Times New Roman" w:hAnsi="Times New Roman" w:cs="Times New Roman"/>
                <w:noProof/>
              </w:rPr>
            </w:pPr>
          </w:p>
          <w:p w14:paraId="15ADC10C" w14:textId="0798AD07" w:rsidR="00AD01DA" w:rsidRPr="008E410C" w:rsidRDefault="52945F3F" w:rsidP="00277AD7">
            <w:pPr>
              <w:jc w:val="both"/>
              <w:rPr>
                <w:rFonts w:ascii="Times New Roman" w:hAnsi="Times New Roman" w:cs="Times New Roman"/>
                <w:noProof/>
              </w:rPr>
            </w:pPr>
            <w:r>
              <w:rPr>
                <w:rFonts w:ascii="Times New Roman" w:hAnsi="Times New Roman"/>
                <w:noProof/>
                <w:color w:val="0F4761" w:themeColor="accent1" w:themeShade="BF"/>
              </w:rPr>
              <w:t xml:space="preserve">Până în </w:t>
            </w:r>
            <w:r w:rsidRPr="002234C8">
              <w:rPr>
                <w:rFonts w:ascii="Times New Roman" w:hAnsi="Times New Roman"/>
                <w:noProof/>
                <w:color w:val="0F4761" w:themeColor="accent1" w:themeShade="BF"/>
              </w:rPr>
              <w:t>2033</w:t>
            </w:r>
            <w:r>
              <w:rPr>
                <w:rFonts w:ascii="Times New Roman" w:hAnsi="Times New Roman"/>
                <w:noProof/>
              </w:rPr>
              <w:t xml:space="preserve">, toate orașele cu peste </w:t>
            </w:r>
            <w:r w:rsidRPr="002234C8">
              <w:rPr>
                <w:rFonts w:ascii="Times New Roman" w:hAnsi="Times New Roman"/>
                <w:noProof/>
              </w:rPr>
              <w:t>100</w:t>
            </w:r>
            <w:r>
              <w:rPr>
                <w:rFonts w:ascii="Times New Roman" w:hAnsi="Times New Roman"/>
                <w:noProof/>
              </w:rPr>
              <w:t> </w:t>
            </w:r>
            <w:r w:rsidRPr="002234C8">
              <w:rPr>
                <w:rFonts w:ascii="Times New Roman" w:hAnsi="Times New Roman"/>
                <w:noProof/>
              </w:rPr>
              <w:t>000</w:t>
            </w:r>
            <w:r>
              <w:rPr>
                <w:rFonts w:ascii="Times New Roman" w:hAnsi="Times New Roman"/>
                <w:noProof/>
              </w:rPr>
              <w:t xml:space="preserve"> de locuitori din UE vor elabora planuri integrate de gestionare a apelor uzate urbane, acordând prioritate soluțiilor bazate pe natură și infrastructurilor verzi/albastre (</w:t>
            </w:r>
            <w:r w:rsidRPr="007D3D7E">
              <w:rPr>
                <w:rFonts w:ascii="Times New Roman" w:hAnsi="Times New Roman"/>
                <w:i/>
                <w:noProof/>
              </w:rPr>
              <w:t>Directiva privind tratarea apelor urbane reziduale</w:t>
            </w:r>
            <w:r>
              <w:rPr>
                <w:rFonts w:ascii="Times New Roman" w:hAnsi="Times New Roman"/>
                <w:noProof/>
              </w:rPr>
              <w:t>).</w:t>
            </w:r>
          </w:p>
        </w:tc>
      </w:tr>
    </w:tbl>
    <w:p w14:paraId="2D401A88" w14:textId="77777777" w:rsidR="009906B1" w:rsidRPr="009906B1" w:rsidRDefault="009906B1" w:rsidP="00F125D5">
      <w:pPr>
        <w:rPr>
          <w:noProof/>
        </w:rPr>
      </w:pPr>
    </w:p>
    <w:sectPr w:rsidR="009906B1" w:rsidRPr="009906B1" w:rsidSect="005354D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F0471" w14:textId="77777777" w:rsidR="00EC4C9B" w:rsidRDefault="00EC4C9B" w:rsidP="005354D2">
      <w:pPr>
        <w:spacing w:after="0" w:line="240" w:lineRule="auto"/>
      </w:pPr>
      <w:r>
        <w:separator/>
      </w:r>
    </w:p>
  </w:endnote>
  <w:endnote w:type="continuationSeparator" w:id="0">
    <w:p w14:paraId="7B100192" w14:textId="77777777" w:rsidR="00EC4C9B" w:rsidRDefault="00EC4C9B" w:rsidP="005354D2">
      <w:pPr>
        <w:spacing w:after="0" w:line="240" w:lineRule="auto"/>
      </w:pPr>
      <w:r>
        <w:continuationSeparator/>
      </w:r>
    </w:p>
  </w:endnote>
  <w:endnote w:type="continuationNotice" w:id="1">
    <w:p w14:paraId="5178D93C" w14:textId="77777777" w:rsidR="00EC4C9B" w:rsidRDefault="00EC4C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89173" w14:textId="773DE580" w:rsidR="002A3248" w:rsidRPr="002A3248" w:rsidRDefault="002A3248" w:rsidP="002A3248">
    <w:pPr>
      <w:pStyle w:val="FooterCoverPage"/>
      <w:rPr>
        <w:rFonts w:ascii="Arial" w:hAnsi="Arial" w:cs="Arial"/>
        <w:b/>
        <w:sz w:val="48"/>
      </w:rPr>
    </w:pPr>
    <w:r w:rsidRPr="002A3248">
      <w:rPr>
        <w:rFonts w:ascii="Arial" w:hAnsi="Arial" w:cs="Arial"/>
        <w:b/>
        <w:sz w:val="48"/>
      </w:rPr>
      <w:t>RO</w:t>
    </w:r>
    <w:r w:rsidRPr="002A3248">
      <w:rPr>
        <w:rFonts w:ascii="Arial" w:hAnsi="Arial" w:cs="Arial"/>
        <w:b/>
        <w:sz w:val="48"/>
      </w:rPr>
      <w:tab/>
    </w:r>
    <w:r w:rsidRPr="002A3248">
      <w:rPr>
        <w:rFonts w:ascii="Arial" w:hAnsi="Arial" w:cs="Arial"/>
        <w:b/>
        <w:sz w:val="48"/>
      </w:rPr>
      <w:tab/>
    </w:r>
    <w:r w:rsidRPr="002A3248">
      <w:tab/>
    </w:r>
    <w:r w:rsidRPr="002A324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DB45" w14:textId="7D1D38B3" w:rsidR="002A3248" w:rsidRPr="002A3248" w:rsidRDefault="002A3248" w:rsidP="002A3248">
    <w:pPr>
      <w:pStyle w:val="FooterCoverPage"/>
      <w:rPr>
        <w:rFonts w:ascii="Arial" w:hAnsi="Arial" w:cs="Arial"/>
        <w:b/>
        <w:sz w:val="48"/>
      </w:rPr>
    </w:pPr>
    <w:r w:rsidRPr="002A3248">
      <w:rPr>
        <w:rFonts w:ascii="Arial" w:hAnsi="Arial" w:cs="Arial"/>
        <w:b/>
        <w:sz w:val="48"/>
      </w:rPr>
      <w:t>RO</w:t>
    </w:r>
    <w:r w:rsidRPr="002A3248">
      <w:rPr>
        <w:rFonts w:ascii="Arial" w:hAnsi="Arial" w:cs="Arial"/>
        <w:b/>
        <w:sz w:val="48"/>
      </w:rPr>
      <w:tab/>
    </w:r>
    <w:r w:rsidRPr="002A3248">
      <w:rPr>
        <w:rFonts w:ascii="Arial" w:hAnsi="Arial" w:cs="Arial"/>
        <w:b/>
        <w:sz w:val="48"/>
      </w:rPr>
      <w:tab/>
    </w:r>
    <w:r w:rsidRPr="002A3248">
      <w:tab/>
    </w:r>
    <w:r w:rsidRPr="002A324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90834" w14:textId="77777777" w:rsidR="002A3248" w:rsidRPr="002A3248" w:rsidRDefault="002A3248" w:rsidP="002A32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A1297" w14:textId="77777777" w:rsidR="00D057A3" w:rsidRDefault="00D057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358341"/>
      <w:docPartObj>
        <w:docPartGallery w:val="Page Numbers (Bottom of Page)"/>
        <w:docPartUnique/>
      </w:docPartObj>
    </w:sdtPr>
    <w:sdtEndPr>
      <w:rPr>
        <w:noProof/>
      </w:rPr>
    </w:sdtEndPr>
    <w:sdtContent>
      <w:p w14:paraId="17711762" w14:textId="6C3CF4D7" w:rsidR="00D057A3" w:rsidRDefault="00D057A3">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A3248">
          <w:rPr>
            <w:rFonts w:ascii="Times New Roman" w:hAnsi="Times New Roman" w:cs="Times New Roman"/>
            <w:noProof/>
          </w:rPr>
          <w:t>1</w:t>
        </w:r>
        <w:r>
          <w:rPr>
            <w:rFonts w:ascii="Times New Roman" w:hAnsi="Times New Roman" w:cs="Times New Roman"/>
          </w:rPr>
          <w:fldChar w:fldCharType="end"/>
        </w:r>
      </w:p>
    </w:sdtContent>
  </w:sdt>
  <w:p w14:paraId="66D154B1" w14:textId="77777777" w:rsidR="00D057A3" w:rsidRDefault="00D057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19F9C" w14:textId="77777777" w:rsidR="00D057A3" w:rsidRDefault="00D05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31DAF" w14:textId="77777777" w:rsidR="00EC4C9B" w:rsidRDefault="00EC4C9B" w:rsidP="005354D2">
      <w:pPr>
        <w:spacing w:after="0" w:line="240" w:lineRule="auto"/>
      </w:pPr>
      <w:r>
        <w:separator/>
      </w:r>
    </w:p>
  </w:footnote>
  <w:footnote w:type="continuationSeparator" w:id="0">
    <w:p w14:paraId="165C5F17" w14:textId="77777777" w:rsidR="00EC4C9B" w:rsidRDefault="00EC4C9B" w:rsidP="005354D2">
      <w:pPr>
        <w:spacing w:after="0" w:line="240" w:lineRule="auto"/>
      </w:pPr>
      <w:r>
        <w:continuationSeparator/>
      </w:r>
    </w:p>
  </w:footnote>
  <w:footnote w:type="continuationNotice" w:id="1">
    <w:p w14:paraId="7B003935" w14:textId="77777777" w:rsidR="00EC4C9B" w:rsidRDefault="00EC4C9B">
      <w:pPr>
        <w:spacing w:after="0" w:line="240" w:lineRule="auto"/>
      </w:pPr>
    </w:p>
  </w:footnote>
  <w:footnote w:id="2">
    <w:p w14:paraId="06E99C2A" w14:textId="6727C3AA"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Numai în </w:t>
      </w:r>
      <w:r w:rsidRPr="002234C8">
        <w:rPr>
          <w:rFonts w:ascii="Times New Roman" w:hAnsi="Times New Roman"/>
        </w:rPr>
        <w:t>2022</w:t>
      </w:r>
      <w:r>
        <w:rPr>
          <w:rFonts w:ascii="Times New Roman" w:hAnsi="Times New Roman"/>
        </w:rPr>
        <w:t xml:space="preserve">, seceta a cauzat pierderi fără precedent, de aproximativ </w:t>
      </w:r>
      <w:r w:rsidRPr="002234C8">
        <w:rPr>
          <w:rFonts w:ascii="Times New Roman" w:hAnsi="Times New Roman"/>
        </w:rPr>
        <w:t>40</w:t>
      </w:r>
      <w:r>
        <w:rPr>
          <w:rFonts w:ascii="Times New Roman" w:hAnsi="Times New Roman"/>
        </w:rPr>
        <w:t xml:space="preserve"> de miliarde EUR. Inundațiile au cauzat, între </w:t>
      </w:r>
      <w:r w:rsidRPr="002234C8">
        <w:rPr>
          <w:rFonts w:ascii="Times New Roman" w:hAnsi="Times New Roman"/>
        </w:rPr>
        <w:t>1980</w:t>
      </w:r>
      <w:r>
        <w:rPr>
          <w:rFonts w:ascii="Times New Roman" w:hAnsi="Times New Roman"/>
        </w:rPr>
        <w:t xml:space="preserve"> și </w:t>
      </w:r>
      <w:r w:rsidRPr="002234C8">
        <w:rPr>
          <w:rFonts w:ascii="Times New Roman" w:hAnsi="Times New Roman"/>
        </w:rPr>
        <w:t>2023</w:t>
      </w:r>
      <w:r>
        <w:rPr>
          <w:rFonts w:ascii="Times New Roman" w:hAnsi="Times New Roman"/>
        </w:rPr>
        <w:t xml:space="preserve">, pierderi în valoare de </w:t>
      </w:r>
      <w:r w:rsidRPr="002234C8">
        <w:rPr>
          <w:rFonts w:ascii="Times New Roman" w:hAnsi="Times New Roman"/>
        </w:rPr>
        <w:t>325</w:t>
      </w:r>
      <w:r>
        <w:rPr>
          <w:rFonts w:ascii="Times New Roman" w:hAnsi="Times New Roman"/>
        </w:rPr>
        <w:t xml:space="preserve"> de miliarde EUR. Pe lângă aceste provocări, poluarea apei generează costuri cuprinse între </w:t>
      </w:r>
      <w:r w:rsidRPr="002234C8">
        <w:rPr>
          <w:rFonts w:ascii="Times New Roman" w:hAnsi="Times New Roman"/>
        </w:rPr>
        <w:t>55</w:t>
      </w:r>
      <w:r>
        <w:rPr>
          <w:rFonts w:ascii="Times New Roman" w:hAnsi="Times New Roman"/>
        </w:rPr>
        <w:t xml:space="preserve"> de miliarde EUR și </w:t>
      </w:r>
      <w:r w:rsidRPr="002234C8">
        <w:rPr>
          <w:rFonts w:ascii="Times New Roman" w:hAnsi="Times New Roman"/>
        </w:rPr>
        <w:t>73</w:t>
      </w:r>
      <w:r>
        <w:rPr>
          <w:rFonts w:ascii="Times New Roman" w:hAnsi="Times New Roman"/>
        </w:rPr>
        <w:t xml:space="preserve"> de miliarde EUR. A se vedea studiul Comisiei privind costul inacțiunii, în contextul viitoarei evaluări a punerii în aplicare a politicilor de mediu.</w:t>
      </w:r>
    </w:p>
  </w:footnote>
  <w:footnote w:id="3">
    <w:p w14:paraId="4B18AF14" w14:textId="71277243"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„Ninth Report on Economic, Social and Territorial Cohesion” (Al nouălea raport privind coeziunea economică,</w:t>
      </w:r>
      <w:r w:rsidR="002234C8">
        <w:rPr>
          <w:rFonts w:ascii="Times New Roman" w:hAnsi="Times New Roman"/>
        </w:rPr>
        <w:t> </w:t>
      </w:r>
      <w:r>
        <w:rPr>
          <w:rFonts w:ascii="Times New Roman" w:hAnsi="Times New Roman"/>
        </w:rPr>
        <w:t>socială</w:t>
      </w:r>
      <w:r w:rsidR="002234C8">
        <w:rPr>
          <w:rFonts w:ascii="Times New Roman" w:hAnsi="Times New Roman"/>
        </w:rPr>
        <w:t> </w:t>
      </w:r>
      <w:r>
        <w:rPr>
          <w:rFonts w:ascii="Times New Roman" w:hAnsi="Times New Roman"/>
        </w:rPr>
        <w:t>și</w:t>
      </w:r>
      <w:r w:rsidR="002234C8">
        <w:rPr>
          <w:rFonts w:ascii="Times New Roman" w:hAnsi="Times New Roman"/>
        </w:rPr>
        <w:t> </w:t>
      </w:r>
      <w:r>
        <w:rPr>
          <w:rFonts w:ascii="Times New Roman" w:hAnsi="Times New Roman"/>
        </w:rPr>
        <w:t>teritorială),</w:t>
      </w:r>
      <w:r w:rsidR="002234C8">
        <w:rPr>
          <w:rFonts w:ascii="Times New Roman" w:hAnsi="Times New Roman"/>
        </w:rPr>
        <w:t> </w:t>
      </w:r>
      <w:r>
        <w:rPr>
          <w:rFonts w:ascii="Times New Roman" w:hAnsi="Times New Roman"/>
        </w:rPr>
        <w:t>capitolul</w:t>
      </w:r>
      <w:r w:rsidR="002234C8">
        <w:rPr>
          <w:rFonts w:ascii="Times New Roman" w:hAnsi="Times New Roman"/>
        </w:rPr>
        <w:t> </w:t>
      </w:r>
      <w:r w:rsidRPr="002234C8">
        <w:rPr>
          <w:rFonts w:ascii="Times New Roman" w:hAnsi="Times New Roman"/>
        </w:rPr>
        <w:t>4</w:t>
      </w:r>
      <w:r w:rsidR="002234C8">
        <w:rPr>
          <w:rFonts w:ascii="Times New Roman" w:hAnsi="Times New Roman"/>
        </w:rPr>
        <w:t> </w:t>
      </w:r>
      <w:r>
        <w:rPr>
          <w:rFonts w:ascii="Times New Roman" w:hAnsi="Times New Roman"/>
        </w:rPr>
        <w:t>„Tranziția</w:t>
      </w:r>
      <w:r w:rsidR="002234C8">
        <w:rPr>
          <w:rFonts w:ascii="Times New Roman" w:hAnsi="Times New Roman"/>
        </w:rPr>
        <w:t> </w:t>
      </w:r>
      <w:r>
        <w:rPr>
          <w:rFonts w:ascii="Times New Roman" w:hAnsi="Times New Roman"/>
        </w:rPr>
        <w:t>verde”</w:t>
      </w:r>
      <w:r w:rsidR="002234C8">
        <w:rPr>
          <w:rFonts w:ascii="Times New Roman" w:hAnsi="Times New Roman"/>
        </w:rPr>
        <w:t> </w:t>
      </w:r>
      <w:r w:rsidRPr="002234C8">
        <w:rPr>
          <w:rFonts w:ascii="Times New Roman" w:hAnsi="Times New Roman"/>
        </w:rPr>
        <w:t>2024</w:t>
      </w:r>
      <w:r>
        <w:rPr>
          <w:rFonts w:ascii="Times New Roman" w:hAnsi="Times New Roman"/>
        </w:rPr>
        <w:t xml:space="preserve"> </w:t>
      </w:r>
      <w:hyperlink r:id="rId1" w:history="1">
        <w:r w:rsidRPr="007D3D7E">
          <w:rPr>
            <w:rStyle w:val="Hyperlink"/>
            <w:rFonts w:ascii="Times New Roman" w:hAnsi="Times New Roman"/>
          </w:rPr>
          <w:t>https://ec.europa.eu/regional_policy/information-sources/cohesion-report_en</w:t>
        </w:r>
      </w:hyperlink>
      <w:r>
        <w:rPr>
          <w:rFonts w:ascii="Times New Roman" w:hAnsi="Times New Roman"/>
        </w:rPr>
        <w:t>).</w:t>
      </w:r>
    </w:p>
  </w:footnote>
  <w:footnote w:id="4">
    <w:p w14:paraId="2BB77CE5" w14:textId="019F868E"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 Strategia Uniunii Europene privind o Uniune a pregătirii, JOIN(</w:t>
      </w:r>
      <w:r w:rsidRPr="002234C8">
        <w:rPr>
          <w:rFonts w:ascii="Times New Roman" w:hAnsi="Times New Roman"/>
        </w:rPr>
        <w:t>2025</w:t>
      </w:r>
      <w:r>
        <w:rPr>
          <w:rFonts w:ascii="Times New Roman" w:hAnsi="Times New Roman"/>
        </w:rPr>
        <w:t xml:space="preserve">) </w:t>
      </w:r>
      <w:r w:rsidRPr="002234C8">
        <w:rPr>
          <w:rFonts w:ascii="Times New Roman" w:hAnsi="Times New Roman"/>
        </w:rPr>
        <w:t>130</w:t>
      </w:r>
      <w:r>
        <w:rPr>
          <w:rFonts w:ascii="Times New Roman" w:hAnsi="Times New Roman"/>
        </w:rPr>
        <w:t xml:space="preserve"> final.</w:t>
      </w:r>
    </w:p>
  </w:footnote>
  <w:footnote w:id="5">
    <w:p w14:paraId="7E51E736" w14:textId="1E256B36"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„Raportul privind riscurile globale </w:t>
      </w:r>
      <w:r w:rsidRPr="002234C8">
        <w:rPr>
          <w:rFonts w:ascii="Times New Roman" w:hAnsi="Times New Roman"/>
        </w:rPr>
        <w:t>2024</w:t>
      </w:r>
      <w:r>
        <w:rPr>
          <w:rFonts w:ascii="Times New Roman" w:hAnsi="Times New Roman"/>
        </w:rPr>
        <w:t xml:space="preserve">”. Aceste cinci riscuri globale majore, inclusiv cele legate de apă, sunt: </w:t>
      </w:r>
      <w:r w:rsidRPr="002234C8">
        <w:rPr>
          <w:rFonts w:ascii="Times New Roman" w:hAnsi="Times New Roman"/>
        </w:rPr>
        <w:t>1</w:t>
      </w:r>
      <w:r>
        <w:rPr>
          <w:rFonts w:ascii="Times New Roman" w:hAnsi="Times New Roman"/>
        </w:rPr>
        <w:t xml:space="preserve">) fenomenele meteorologice extreme, </w:t>
      </w:r>
      <w:r w:rsidRPr="002234C8">
        <w:rPr>
          <w:rFonts w:ascii="Times New Roman" w:hAnsi="Times New Roman"/>
        </w:rPr>
        <w:t>2</w:t>
      </w:r>
      <w:r>
        <w:rPr>
          <w:rFonts w:ascii="Times New Roman" w:hAnsi="Times New Roman"/>
        </w:rPr>
        <w:t xml:space="preserve">) schimbările critice în sistemele terestre, </w:t>
      </w:r>
      <w:r w:rsidRPr="002234C8">
        <w:rPr>
          <w:rFonts w:ascii="Times New Roman" w:hAnsi="Times New Roman"/>
        </w:rPr>
        <w:t>3</w:t>
      </w:r>
      <w:r>
        <w:rPr>
          <w:rFonts w:ascii="Times New Roman" w:hAnsi="Times New Roman"/>
        </w:rPr>
        <w:t>) pierderea biodiversității și</w:t>
      </w:r>
      <w:r w:rsidR="002234C8">
        <w:rPr>
          <w:rFonts w:ascii="Times New Roman" w:hAnsi="Times New Roman"/>
        </w:rPr>
        <w:t> </w:t>
      </w:r>
      <w:r>
        <w:rPr>
          <w:rFonts w:ascii="Times New Roman" w:hAnsi="Times New Roman"/>
        </w:rPr>
        <w:t>prăbușirea</w:t>
      </w:r>
      <w:r w:rsidR="002234C8">
        <w:rPr>
          <w:rFonts w:ascii="Times New Roman" w:hAnsi="Times New Roman"/>
        </w:rPr>
        <w:t> </w:t>
      </w:r>
      <w:r>
        <w:rPr>
          <w:rFonts w:ascii="Times New Roman" w:hAnsi="Times New Roman"/>
        </w:rPr>
        <w:t>ecosistemelor,</w:t>
      </w:r>
      <w:r w:rsidR="002234C8">
        <w:rPr>
          <w:rFonts w:ascii="Times New Roman" w:hAnsi="Times New Roman"/>
        </w:rPr>
        <w:t> </w:t>
      </w:r>
      <w:r w:rsidRPr="002234C8">
        <w:rPr>
          <w:rFonts w:ascii="Times New Roman" w:hAnsi="Times New Roman"/>
        </w:rPr>
        <w:t>4</w:t>
      </w:r>
      <w:r>
        <w:rPr>
          <w:rFonts w:ascii="Times New Roman" w:hAnsi="Times New Roman"/>
        </w:rPr>
        <w:t>)</w:t>
      </w:r>
      <w:r w:rsidR="002234C8">
        <w:rPr>
          <w:rFonts w:ascii="Times New Roman" w:hAnsi="Times New Roman"/>
        </w:rPr>
        <w:t> </w:t>
      </w:r>
      <w:r>
        <w:rPr>
          <w:rFonts w:ascii="Times New Roman" w:hAnsi="Times New Roman"/>
        </w:rPr>
        <w:t>deficitele</w:t>
      </w:r>
      <w:r w:rsidR="002234C8">
        <w:rPr>
          <w:rFonts w:ascii="Times New Roman" w:hAnsi="Times New Roman"/>
        </w:rPr>
        <w:t> </w:t>
      </w:r>
      <w:r>
        <w:rPr>
          <w:rFonts w:ascii="Times New Roman" w:hAnsi="Times New Roman"/>
        </w:rPr>
        <w:t>de</w:t>
      </w:r>
      <w:r w:rsidR="002234C8">
        <w:rPr>
          <w:rFonts w:ascii="Times New Roman" w:hAnsi="Times New Roman"/>
        </w:rPr>
        <w:t> </w:t>
      </w:r>
      <w:r>
        <w:rPr>
          <w:rFonts w:ascii="Times New Roman" w:hAnsi="Times New Roman"/>
        </w:rPr>
        <w:t>resurse</w:t>
      </w:r>
      <w:r w:rsidR="002234C8">
        <w:rPr>
          <w:rFonts w:ascii="Times New Roman" w:hAnsi="Times New Roman"/>
        </w:rPr>
        <w:t> </w:t>
      </w:r>
      <w:r>
        <w:rPr>
          <w:rFonts w:ascii="Times New Roman" w:hAnsi="Times New Roman"/>
        </w:rPr>
        <w:t>naturale</w:t>
      </w:r>
      <w:r w:rsidR="002234C8">
        <w:rPr>
          <w:rFonts w:ascii="Times New Roman" w:hAnsi="Times New Roman"/>
        </w:rPr>
        <w:t> </w:t>
      </w:r>
      <w:r>
        <w:rPr>
          <w:rFonts w:ascii="Times New Roman" w:hAnsi="Times New Roman"/>
        </w:rPr>
        <w:t>și</w:t>
      </w:r>
      <w:r w:rsidR="002234C8">
        <w:rPr>
          <w:rFonts w:ascii="Times New Roman" w:hAnsi="Times New Roman"/>
        </w:rPr>
        <w:t> </w:t>
      </w:r>
      <w:r w:rsidRPr="002234C8">
        <w:rPr>
          <w:rFonts w:ascii="Times New Roman" w:hAnsi="Times New Roman"/>
        </w:rPr>
        <w:t>5</w:t>
      </w:r>
      <w:r>
        <w:rPr>
          <w:rFonts w:ascii="Times New Roman" w:hAnsi="Times New Roman"/>
        </w:rPr>
        <w:t>)</w:t>
      </w:r>
      <w:r w:rsidR="002234C8">
        <w:rPr>
          <w:rFonts w:ascii="Times New Roman" w:hAnsi="Times New Roman"/>
        </w:rPr>
        <w:t> </w:t>
      </w:r>
      <w:r>
        <w:rPr>
          <w:rFonts w:ascii="Times New Roman" w:hAnsi="Times New Roman"/>
        </w:rPr>
        <w:t xml:space="preserve">poluarea </w:t>
      </w:r>
      <w:r w:rsidRPr="007D3D7E">
        <w:rPr>
          <w:rStyle w:val="Hyperlink"/>
          <w:rFonts w:ascii="Times New Roman" w:hAnsi="Times New Roman"/>
        </w:rPr>
        <w:t>https://www.weforum.org/publications/global-risks-report-2024/.</w:t>
      </w:r>
    </w:p>
  </w:footnote>
  <w:footnote w:id="6">
    <w:p w14:paraId="621DEAC0" w14:textId="0972814B"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COM(</w:t>
      </w:r>
      <w:r w:rsidRPr="002234C8">
        <w:rPr>
          <w:rFonts w:ascii="Times New Roman" w:hAnsi="Times New Roman"/>
        </w:rPr>
        <w:t>2025</w:t>
      </w:r>
      <w:r>
        <w:rPr>
          <w:rFonts w:ascii="Times New Roman" w:hAnsi="Times New Roman"/>
        </w:rPr>
        <w:t xml:space="preserve">) </w:t>
      </w:r>
      <w:r w:rsidRPr="002234C8">
        <w:rPr>
          <w:rFonts w:ascii="Times New Roman" w:hAnsi="Times New Roman"/>
        </w:rPr>
        <w:t>30</w:t>
      </w:r>
      <w:r>
        <w:rPr>
          <w:rFonts w:ascii="Times New Roman" w:hAnsi="Times New Roman"/>
        </w:rPr>
        <w:t xml:space="preserve"> final – O Busolă pentru competitivitatea UE.</w:t>
      </w:r>
    </w:p>
  </w:footnote>
  <w:footnote w:id="7">
    <w:p w14:paraId="3BE72B1B" w14:textId="63ED32B4"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w:t>
      </w:r>
      <w:r w:rsidRPr="002234C8">
        <w:rPr>
          <w:rFonts w:ascii="Times New Roman" w:hAnsi="Times New Roman"/>
        </w:rPr>
        <w:t>2025</w:t>
      </w:r>
      <w:r>
        <w:rPr>
          <w:rFonts w:ascii="Times New Roman" w:hAnsi="Times New Roman"/>
        </w:rPr>
        <w:t xml:space="preserve">) </w:t>
      </w:r>
      <w:r w:rsidRPr="002234C8">
        <w:rPr>
          <w:rFonts w:ascii="Times New Roman" w:hAnsi="Times New Roman"/>
        </w:rPr>
        <w:t>85</w:t>
      </w:r>
      <w:r>
        <w:rPr>
          <w:rFonts w:ascii="Times New Roman" w:hAnsi="Times New Roman"/>
        </w:rPr>
        <w:t xml:space="preserve"> final – Pactul pentru o industrie curată: o foaie de parcurs comună pentru competitivitate și decarbonizare. </w:t>
      </w:r>
    </w:p>
  </w:footnote>
  <w:footnote w:id="8">
    <w:p w14:paraId="2C8EDD90" w14:textId="16B34467" w:rsidR="00D46292" w:rsidRPr="00A9342C" w:rsidRDefault="00D4629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Oficiul European de Brevete, „Innovation in water-related technologies” (Inovarea în domeniul tehnologiilor legate de apă) (iulie </w:t>
      </w:r>
      <w:r w:rsidRPr="002234C8">
        <w:rPr>
          <w:rFonts w:ascii="Times New Roman" w:hAnsi="Times New Roman"/>
        </w:rPr>
        <w:t>2024</w:t>
      </w:r>
      <w:r>
        <w:rPr>
          <w:rFonts w:ascii="Times New Roman" w:hAnsi="Times New Roman"/>
        </w:rPr>
        <w:t xml:space="preserve">), disponibil </w:t>
      </w:r>
      <w:hyperlink r:id="rId2" w:history="1">
        <w:r w:rsidRPr="007D3D7E">
          <w:rPr>
            <w:rStyle w:val="Hyperlink"/>
            <w:rFonts w:ascii="Times New Roman" w:hAnsi="Times New Roman"/>
          </w:rPr>
          <w:t>aici</w:t>
        </w:r>
      </w:hyperlink>
      <w:r>
        <w:rPr>
          <w:rFonts w:ascii="Times New Roman" w:hAnsi="Times New Roman"/>
        </w:rPr>
        <w:t>.</w:t>
      </w:r>
    </w:p>
  </w:footnote>
  <w:footnote w:id="9">
    <w:p w14:paraId="1B1170D5" w14:textId="72C4C16C" w:rsidR="007F07FB" w:rsidRPr="00A9342C" w:rsidRDefault="007F07F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Eurostat, „Businesses in the water supply, sewerage, waste management and remediation sector” (Întreprinderile din sectorul alimentării cu apă, al canalizării, al gestionării deșeurilor și al reabilitării) (date extrase în februarie </w:t>
      </w:r>
      <w:r w:rsidRPr="002234C8">
        <w:rPr>
          <w:rFonts w:ascii="Times New Roman" w:hAnsi="Times New Roman"/>
        </w:rPr>
        <w:t>2025</w:t>
      </w:r>
      <w:r>
        <w:rPr>
          <w:rFonts w:ascii="Times New Roman" w:hAnsi="Times New Roman"/>
        </w:rPr>
        <w:t xml:space="preserve">), disponibile </w:t>
      </w:r>
      <w:hyperlink r:id="rId3" w:history="1">
        <w:r w:rsidRPr="007D3D7E">
          <w:rPr>
            <w:rStyle w:val="Hyperlink"/>
            <w:rFonts w:ascii="Times New Roman" w:hAnsi="Times New Roman"/>
          </w:rPr>
          <w:t>aici</w:t>
        </w:r>
      </w:hyperlink>
      <w:r>
        <w:rPr>
          <w:rFonts w:ascii="Times New Roman" w:hAnsi="Times New Roman"/>
        </w:rPr>
        <w:t>.</w:t>
      </w:r>
    </w:p>
  </w:footnote>
  <w:footnote w:id="10">
    <w:p w14:paraId="55D83E86" w14:textId="4FCE3831" w:rsidR="00D057A3" w:rsidRPr="00A9342C" w:rsidRDefault="00D057A3" w:rsidP="00A9342C">
      <w:p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tab/>
      </w:r>
      <w:r>
        <w:rPr>
          <w:rFonts w:ascii="Times New Roman" w:hAnsi="Times New Roman"/>
          <w:sz w:val="20"/>
        </w:rPr>
        <w:t>Water Europe (</w:t>
      </w:r>
      <w:r w:rsidRPr="002234C8">
        <w:rPr>
          <w:rFonts w:ascii="Times New Roman" w:hAnsi="Times New Roman"/>
          <w:sz w:val="20"/>
        </w:rPr>
        <w:t>2024</w:t>
      </w:r>
      <w:r>
        <w:rPr>
          <w:rFonts w:ascii="Times New Roman" w:hAnsi="Times New Roman"/>
          <w:sz w:val="20"/>
        </w:rPr>
        <w:t>), Studiu socioeconomic privind valoarea investițiilor UE în apă.</w:t>
      </w:r>
    </w:p>
  </w:footnote>
  <w:footnote w:id="11">
    <w:p w14:paraId="0FF6381E" w14:textId="2ACE4BC2" w:rsidR="008C5B56" w:rsidRPr="00A9342C" w:rsidRDefault="008C5B56" w:rsidP="00A9342C">
      <w:pPr>
        <w:spacing w:after="0" w:line="240" w:lineRule="auto"/>
        <w:ind w:left="284" w:hanging="284"/>
        <w:jc w:val="both"/>
        <w:rPr>
          <w:rFonts w:ascii="Times New Roman" w:hAnsi="Times New Roman" w:cs="Times New Roman"/>
          <w:color w:val="000000" w:themeColor="text1"/>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color w:val="000000" w:themeColor="text1"/>
          <w:sz w:val="20"/>
        </w:rPr>
        <w:t xml:space="preserve">Raportul Comisiei mondiale pentru economia apei, </w:t>
      </w:r>
      <w:r w:rsidRPr="002234C8">
        <w:rPr>
          <w:rFonts w:ascii="Times New Roman" w:hAnsi="Times New Roman"/>
          <w:color w:val="000000" w:themeColor="text1"/>
          <w:sz w:val="20"/>
        </w:rPr>
        <w:t>2024</w:t>
      </w:r>
      <w:r>
        <w:rPr>
          <w:rFonts w:ascii="Times New Roman" w:hAnsi="Times New Roman"/>
          <w:color w:val="000000" w:themeColor="text1"/>
          <w:sz w:val="20"/>
        </w:rPr>
        <w:t>.</w:t>
      </w:r>
    </w:p>
  </w:footnote>
  <w:footnote w:id="12">
    <w:p w14:paraId="2D005BF2" w14:textId="128D3A81" w:rsidR="00405080" w:rsidRPr="00A9342C" w:rsidRDefault="00405080"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Global water monitor: Raport de sinteză </w:t>
      </w:r>
      <w:r w:rsidRPr="002234C8">
        <w:rPr>
          <w:rFonts w:ascii="Times New Roman" w:hAnsi="Times New Roman"/>
        </w:rPr>
        <w:t>2024</w:t>
      </w:r>
      <w:r>
        <w:rPr>
          <w:rFonts w:ascii="Times New Roman" w:hAnsi="Times New Roman"/>
        </w:rPr>
        <w:t xml:space="preserve"> | PreventionWeb.</w:t>
      </w:r>
    </w:p>
  </w:footnote>
  <w:footnote w:id="13">
    <w:p w14:paraId="44ED73CD" w14:textId="3776D801"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Obținut în cadrul Conferinței ONU privind apa din </w:t>
      </w:r>
      <w:r w:rsidRPr="002234C8">
        <w:rPr>
          <w:rFonts w:ascii="Times New Roman" w:hAnsi="Times New Roman"/>
        </w:rPr>
        <w:t>2023</w:t>
      </w:r>
      <w:r>
        <w:rPr>
          <w:rFonts w:ascii="Times New Roman" w:hAnsi="Times New Roman"/>
        </w:rPr>
        <w:t>.</w:t>
      </w:r>
    </w:p>
  </w:footnote>
  <w:footnote w:id="14">
    <w:p w14:paraId="0F6B32D3"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Concluziile Consiliului European din </w:t>
      </w:r>
      <w:r w:rsidRPr="002234C8">
        <w:rPr>
          <w:rFonts w:ascii="Times New Roman" w:hAnsi="Times New Roman"/>
        </w:rPr>
        <w:t>23</w:t>
      </w:r>
      <w:r>
        <w:rPr>
          <w:rFonts w:ascii="Times New Roman" w:hAnsi="Times New Roman"/>
        </w:rPr>
        <w:t xml:space="preserve"> martie </w:t>
      </w:r>
      <w:r w:rsidRPr="002234C8">
        <w:rPr>
          <w:rFonts w:ascii="Times New Roman" w:hAnsi="Times New Roman"/>
        </w:rPr>
        <w:t>2023</w:t>
      </w:r>
      <w:r>
        <w:rPr>
          <w:rFonts w:ascii="Times New Roman" w:hAnsi="Times New Roman"/>
        </w:rPr>
        <w:t xml:space="preserve"> - EUCO </w:t>
      </w:r>
      <w:r w:rsidRPr="002234C8">
        <w:rPr>
          <w:rFonts w:ascii="Times New Roman" w:hAnsi="Times New Roman"/>
        </w:rPr>
        <w:t>4</w:t>
      </w:r>
      <w:r>
        <w:rPr>
          <w:rFonts w:ascii="Times New Roman" w:hAnsi="Times New Roman"/>
        </w:rPr>
        <w:t>/</w:t>
      </w:r>
      <w:r w:rsidRPr="002234C8">
        <w:rPr>
          <w:rFonts w:ascii="Times New Roman" w:hAnsi="Times New Roman"/>
        </w:rPr>
        <w:t>23</w:t>
      </w:r>
      <w:r>
        <w:rPr>
          <w:rFonts w:ascii="Times New Roman" w:hAnsi="Times New Roman"/>
        </w:rPr>
        <w:t>.</w:t>
      </w:r>
    </w:p>
  </w:footnote>
  <w:footnote w:id="15">
    <w:p w14:paraId="1E897709"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Rezoluția Parlamentului European din </w:t>
      </w:r>
      <w:r w:rsidRPr="002234C8">
        <w:rPr>
          <w:rFonts w:ascii="Times New Roman" w:hAnsi="Times New Roman"/>
        </w:rPr>
        <w:t>7</w:t>
      </w:r>
      <w:r>
        <w:rPr>
          <w:rFonts w:ascii="Times New Roman" w:hAnsi="Times New Roman"/>
        </w:rPr>
        <w:t xml:space="preserve"> mai </w:t>
      </w:r>
      <w:r w:rsidRPr="002234C8">
        <w:rPr>
          <w:rFonts w:ascii="Times New Roman" w:hAnsi="Times New Roman"/>
        </w:rPr>
        <w:t>2025</w:t>
      </w:r>
      <w:r>
        <w:rPr>
          <w:rFonts w:ascii="Times New Roman" w:hAnsi="Times New Roman"/>
        </w:rPr>
        <w:t xml:space="preserve"> referitoare la Strategia europeană pentru reziliența în domeniul apei (</w:t>
      </w:r>
      <w:r w:rsidRPr="002234C8">
        <w:rPr>
          <w:rFonts w:ascii="Times New Roman" w:hAnsi="Times New Roman"/>
        </w:rPr>
        <w:t>2024</w:t>
      </w:r>
      <w:r>
        <w:rPr>
          <w:rFonts w:ascii="Times New Roman" w:hAnsi="Times New Roman"/>
        </w:rPr>
        <w:t>/</w:t>
      </w:r>
      <w:r w:rsidRPr="002234C8">
        <w:rPr>
          <w:rFonts w:ascii="Times New Roman" w:hAnsi="Times New Roman"/>
        </w:rPr>
        <w:t>2104</w:t>
      </w:r>
      <w:r>
        <w:rPr>
          <w:rFonts w:ascii="Times New Roman" w:hAnsi="Times New Roman"/>
        </w:rPr>
        <w:t>(INI)).</w:t>
      </w:r>
    </w:p>
  </w:footnote>
  <w:footnote w:id="16">
    <w:p w14:paraId="1AA85875" w14:textId="77777777" w:rsidR="00D52375" w:rsidRPr="00A9342C" w:rsidRDefault="00D52375"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Avizul-umbrelă al CESE „Apel pentru un Pact albastru european” CCMI/</w:t>
      </w:r>
      <w:r w:rsidRPr="002234C8">
        <w:rPr>
          <w:rFonts w:ascii="Times New Roman" w:hAnsi="Times New Roman"/>
        </w:rPr>
        <w:t>209</w:t>
      </w:r>
      <w:r>
        <w:rPr>
          <w:rFonts w:ascii="Times New Roman" w:hAnsi="Times New Roman"/>
        </w:rPr>
        <w:t xml:space="preserve"> din </w:t>
      </w:r>
      <w:r w:rsidRPr="002234C8">
        <w:rPr>
          <w:rFonts w:ascii="Times New Roman" w:hAnsi="Times New Roman"/>
        </w:rPr>
        <w:t>25</w:t>
      </w:r>
      <w:r>
        <w:rPr>
          <w:rFonts w:ascii="Times New Roman" w:hAnsi="Times New Roman"/>
        </w:rPr>
        <w:t xml:space="preserve"> octombrie </w:t>
      </w:r>
      <w:r w:rsidRPr="002234C8">
        <w:rPr>
          <w:rFonts w:ascii="Times New Roman" w:hAnsi="Times New Roman"/>
        </w:rPr>
        <w:t>2023</w:t>
      </w:r>
      <w:r>
        <w:rPr>
          <w:rFonts w:ascii="Times New Roman" w:hAnsi="Times New Roman"/>
        </w:rPr>
        <w:t>.</w:t>
      </w:r>
    </w:p>
  </w:footnote>
  <w:footnote w:id="17">
    <w:p w14:paraId="77398537" w14:textId="42EC6F44" w:rsidR="00697B37" w:rsidRPr="00A9342C" w:rsidRDefault="00697B37"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această comunicare, industria apei acoperă întreprinderile – publice sau private – implicate în furnizarea de apă (potabilă) și în tratarea apelor uzate, inclusiv a apelor uzate urbane și industriale. Aceasta include, printre altele, ingineria apei, construirea de infrastructuri de apă, dezvoltarea și furnizarea de echipamente și de tehnologii legate de apă.</w:t>
      </w:r>
    </w:p>
  </w:footnote>
  <w:footnote w:id="18">
    <w:p w14:paraId="3F7B7B68" w14:textId="72D74355" w:rsidR="008C5B56" w:rsidRPr="00A9342C" w:rsidRDefault="008C5B56" w:rsidP="00A9342C">
      <w:pPr>
        <w:pStyle w:val="FootnoteText"/>
        <w:ind w:left="284" w:hanging="284"/>
        <w:jc w:val="both"/>
        <w:rPr>
          <w:rFonts w:ascii="Times New Roman" w:eastAsia="Times New Roman" w:hAnsi="Times New Roman" w:cs="Times New Roman"/>
          <w:kern w:val="2"/>
          <w14:ligatures w14:val="standardContextual"/>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Pentru o prezentare generală a obiectivelor-cheie stabilite în legislația existentă, a se vedea anexa II.</w:t>
      </w:r>
    </w:p>
  </w:footnote>
  <w:footnote w:id="19">
    <w:p w14:paraId="66418E2B" w14:textId="5E91E74D"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w:t>
      </w:r>
      <w:r w:rsidRPr="002234C8">
        <w:rPr>
          <w:rFonts w:ascii="Times New Roman" w:hAnsi="Times New Roman"/>
        </w:rPr>
        <w:t>2000</w:t>
      </w:r>
      <w:r>
        <w:rPr>
          <w:rFonts w:ascii="Times New Roman" w:hAnsi="Times New Roman"/>
        </w:rPr>
        <w:t>/</w:t>
      </w:r>
      <w:r w:rsidRPr="002234C8">
        <w:rPr>
          <w:rFonts w:ascii="Times New Roman" w:hAnsi="Times New Roman"/>
        </w:rPr>
        <w:t>60</w:t>
      </w:r>
      <w:r>
        <w:rPr>
          <w:rFonts w:ascii="Times New Roman" w:hAnsi="Times New Roman"/>
        </w:rPr>
        <w:t xml:space="preserve">/CE a Parlamentului European și a Consiliului din </w:t>
      </w:r>
      <w:r w:rsidRPr="002234C8">
        <w:rPr>
          <w:rFonts w:ascii="Times New Roman" w:hAnsi="Times New Roman"/>
        </w:rPr>
        <w:t>23</w:t>
      </w:r>
      <w:r>
        <w:rPr>
          <w:rFonts w:ascii="Times New Roman" w:hAnsi="Times New Roman"/>
        </w:rPr>
        <w:t xml:space="preserve"> octombrie </w:t>
      </w:r>
      <w:r w:rsidRPr="002234C8">
        <w:rPr>
          <w:rFonts w:ascii="Times New Roman" w:hAnsi="Times New Roman"/>
        </w:rPr>
        <w:t>2000</w:t>
      </w:r>
      <w:r>
        <w:rPr>
          <w:rFonts w:ascii="Times New Roman" w:hAnsi="Times New Roman"/>
        </w:rPr>
        <w:t xml:space="preserve"> de stabilire a unui cadru de politică comunitară în domeniul apei (JO L </w:t>
      </w:r>
      <w:r w:rsidRPr="002234C8">
        <w:rPr>
          <w:rFonts w:ascii="Times New Roman" w:hAnsi="Times New Roman"/>
        </w:rPr>
        <w:t>327</w:t>
      </w:r>
      <w:r>
        <w:rPr>
          <w:rFonts w:ascii="Times New Roman" w:hAnsi="Times New Roman"/>
        </w:rPr>
        <w:t xml:space="preserve">, </w:t>
      </w:r>
      <w:r w:rsidRPr="002234C8">
        <w:rPr>
          <w:rFonts w:ascii="Times New Roman" w:hAnsi="Times New Roman"/>
        </w:rPr>
        <w:t>22</w:t>
      </w:r>
      <w:r>
        <w:rPr>
          <w:rFonts w:ascii="Times New Roman" w:hAnsi="Times New Roman"/>
        </w:rPr>
        <w:t>.</w:t>
      </w:r>
      <w:r w:rsidRPr="002234C8">
        <w:rPr>
          <w:rFonts w:ascii="Times New Roman" w:hAnsi="Times New Roman"/>
        </w:rPr>
        <w:t>12</w:t>
      </w:r>
      <w:r>
        <w:rPr>
          <w:rFonts w:ascii="Times New Roman" w:hAnsi="Times New Roman"/>
        </w:rPr>
        <w:t>.</w:t>
      </w:r>
      <w:r w:rsidRPr="002234C8">
        <w:rPr>
          <w:rFonts w:ascii="Times New Roman" w:hAnsi="Times New Roman"/>
        </w:rPr>
        <w:t>2000</w:t>
      </w:r>
      <w:r>
        <w:rPr>
          <w:rFonts w:ascii="Times New Roman" w:hAnsi="Times New Roman"/>
        </w:rPr>
        <w:t>, p. </w:t>
      </w:r>
      <w:r w:rsidRPr="002234C8">
        <w:rPr>
          <w:rFonts w:ascii="Times New Roman" w:hAnsi="Times New Roman"/>
        </w:rPr>
        <w:t>1</w:t>
      </w:r>
      <w:r>
        <w:rPr>
          <w:rFonts w:ascii="Times New Roman" w:hAnsi="Times New Roman"/>
        </w:rPr>
        <w:t xml:space="preserve">, ELI: </w:t>
      </w:r>
      <w:hyperlink r:id="rId4" w:history="1">
        <w:r w:rsidRPr="007D3D7E">
          <w:rPr>
            <w:rStyle w:val="Hyperlink"/>
            <w:rFonts w:ascii="Times New Roman" w:hAnsi="Times New Roman"/>
          </w:rPr>
          <w:t>http://data.europa.eu/eli/dir/2000/60/oj</w:t>
        </w:r>
      </w:hyperlink>
      <w:r>
        <w:rPr>
          <w:rFonts w:ascii="Times New Roman" w:hAnsi="Times New Roman"/>
        </w:rPr>
        <w:t>).</w:t>
      </w:r>
    </w:p>
  </w:footnote>
  <w:footnote w:id="20">
    <w:p w14:paraId="7BF80785" w14:textId="3A9509A4"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w:t>
      </w:r>
      <w:r w:rsidRPr="002234C8">
        <w:rPr>
          <w:rFonts w:ascii="Times New Roman" w:hAnsi="Times New Roman"/>
        </w:rPr>
        <w:t>2007</w:t>
      </w:r>
      <w:r>
        <w:rPr>
          <w:rFonts w:ascii="Times New Roman" w:hAnsi="Times New Roman"/>
        </w:rPr>
        <w:t>/</w:t>
      </w:r>
      <w:r w:rsidRPr="002234C8">
        <w:rPr>
          <w:rFonts w:ascii="Times New Roman" w:hAnsi="Times New Roman"/>
        </w:rPr>
        <w:t>60</w:t>
      </w:r>
      <w:r>
        <w:rPr>
          <w:rFonts w:ascii="Times New Roman" w:hAnsi="Times New Roman"/>
        </w:rPr>
        <w:t xml:space="preserve">/CE a Parlamentului European și a Consiliului din </w:t>
      </w:r>
      <w:r w:rsidRPr="002234C8">
        <w:rPr>
          <w:rFonts w:ascii="Times New Roman" w:hAnsi="Times New Roman"/>
        </w:rPr>
        <w:t>23</w:t>
      </w:r>
      <w:r>
        <w:rPr>
          <w:rFonts w:ascii="Times New Roman" w:hAnsi="Times New Roman"/>
        </w:rPr>
        <w:t xml:space="preserve"> octombrie </w:t>
      </w:r>
      <w:r w:rsidRPr="002234C8">
        <w:rPr>
          <w:rFonts w:ascii="Times New Roman" w:hAnsi="Times New Roman"/>
        </w:rPr>
        <w:t>2007</w:t>
      </w:r>
      <w:r>
        <w:rPr>
          <w:rFonts w:ascii="Times New Roman" w:hAnsi="Times New Roman"/>
        </w:rPr>
        <w:t xml:space="preserve"> privind evaluarea și gestionarea riscurilor de inundații (JO L </w:t>
      </w:r>
      <w:r w:rsidRPr="002234C8">
        <w:rPr>
          <w:rFonts w:ascii="Times New Roman" w:hAnsi="Times New Roman"/>
        </w:rPr>
        <w:t>288</w:t>
      </w:r>
      <w:r>
        <w:rPr>
          <w:rFonts w:ascii="Times New Roman" w:hAnsi="Times New Roman"/>
        </w:rPr>
        <w:t xml:space="preserve">, </w:t>
      </w:r>
      <w:r w:rsidRPr="002234C8">
        <w:rPr>
          <w:rFonts w:ascii="Times New Roman" w:hAnsi="Times New Roman"/>
        </w:rPr>
        <w:t>6</w:t>
      </w:r>
      <w:r>
        <w:rPr>
          <w:rFonts w:ascii="Times New Roman" w:hAnsi="Times New Roman"/>
        </w:rPr>
        <w:t>.</w:t>
      </w:r>
      <w:r w:rsidRPr="002234C8">
        <w:rPr>
          <w:rFonts w:ascii="Times New Roman" w:hAnsi="Times New Roman"/>
        </w:rPr>
        <w:t>11</w:t>
      </w:r>
      <w:r>
        <w:rPr>
          <w:rFonts w:ascii="Times New Roman" w:hAnsi="Times New Roman"/>
        </w:rPr>
        <w:t>.</w:t>
      </w:r>
      <w:r w:rsidRPr="002234C8">
        <w:rPr>
          <w:rFonts w:ascii="Times New Roman" w:hAnsi="Times New Roman"/>
        </w:rPr>
        <w:t>2007</w:t>
      </w:r>
      <w:r>
        <w:rPr>
          <w:rFonts w:ascii="Times New Roman" w:hAnsi="Times New Roman"/>
        </w:rPr>
        <w:t>, p. </w:t>
      </w:r>
      <w:r w:rsidRPr="002234C8">
        <w:rPr>
          <w:rFonts w:ascii="Times New Roman" w:hAnsi="Times New Roman"/>
        </w:rPr>
        <w:t>27</w:t>
      </w:r>
      <w:r>
        <w:rPr>
          <w:rFonts w:ascii="Times New Roman" w:hAnsi="Times New Roman"/>
        </w:rPr>
        <w:t xml:space="preserve">, ELI: </w:t>
      </w:r>
      <w:hyperlink r:id="rId5" w:history="1">
        <w:r w:rsidRPr="007D3D7E">
          <w:rPr>
            <w:rStyle w:val="Hyperlink"/>
            <w:rFonts w:ascii="Times New Roman" w:hAnsi="Times New Roman"/>
          </w:rPr>
          <w:t>http://data.europa.eu/eli/dir/2007/60/oj</w:t>
        </w:r>
      </w:hyperlink>
      <w:r>
        <w:rPr>
          <w:rFonts w:ascii="Times New Roman" w:hAnsi="Times New Roman"/>
        </w:rPr>
        <w:t>).</w:t>
      </w:r>
    </w:p>
  </w:footnote>
  <w:footnote w:id="21">
    <w:p w14:paraId="75457BD7" w14:textId="548EB908"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(UE) </w:t>
      </w:r>
      <w:r w:rsidRPr="002234C8">
        <w:rPr>
          <w:rFonts w:ascii="Times New Roman" w:hAnsi="Times New Roman"/>
        </w:rPr>
        <w:t>2024</w:t>
      </w:r>
      <w:r>
        <w:rPr>
          <w:rFonts w:ascii="Times New Roman" w:hAnsi="Times New Roman"/>
        </w:rPr>
        <w:t>/</w:t>
      </w:r>
      <w:r w:rsidRPr="002234C8">
        <w:rPr>
          <w:rFonts w:ascii="Times New Roman" w:hAnsi="Times New Roman"/>
        </w:rPr>
        <w:t>1991</w:t>
      </w:r>
      <w:r>
        <w:rPr>
          <w:rFonts w:ascii="Times New Roman" w:hAnsi="Times New Roman"/>
        </w:rPr>
        <w:t xml:space="preserve"> al Parlamentului European și al Consiliului din </w:t>
      </w:r>
      <w:r w:rsidRPr="002234C8">
        <w:rPr>
          <w:rFonts w:ascii="Times New Roman" w:hAnsi="Times New Roman"/>
        </w:rPr>
        <w:t>24</w:t>
      </w:r>
      <w:r>
        <w:rPr>
          <w:rFonts w:ascii="Times New Roman" w:hAnsi="Times New Roman"/>
        </w:rPr>
        <w:t xml:space="preserve"> iunie </w:t>
      </w:r>
      <w:r w:rsidRPr="002234C8">
        <w:rPr>
          <w:rFonts w:ascii="Times New Roman" w:hAnsi="Times New Roman"/>
        </w:rPr>
        <w:t>2024</w:t>
      </w:r>
      <w:r>
        <w:rPr>
          <w:rFonts w:ascii="Times New Roman" w:hAnsi="Times New Roman"/>
        </w:rPr>
        <w:t xml:space="preserve"> privind restaurarea naturii și de modificare a Regulamentului (UE) </w:t>
      </w:r>
      <w:r w:rsidRPr="002234C8">
        <w:rPr>
          <w:rFonts w:ascii="Times New Roman" w:hAnsi="Times New Roman"/>
        </w:rPr>
        <w:t>2022</w:t>
      </w:r>
      <w:r>
        <w:rPr>
          <w:rFonts w:ascii="Times New Roman" w:hAnsi="Times New Roman"/>
        </w:rPr>
        <w:t>/</w:t>
      </w:r>
      <w:r w:rsidRPr="002234C8">
        <w:rPr>
          <w:rFonts w:ascii="Times New Roman" w:hAnsi="Times New Roman"/>
        </w:rPr>
        <w:t>869</w:t>
      </w:r>
      <w:r>
        <w:rPr>
          <w:rFonts w:ascii="Times New Roman" w:hAnsi="Times New Roman"/>
        </w:rPr>
        <w:t xml:space="preserve"> (JO L, </w:t>
      </w:r>
      <w:r w:rsidRPr="002234C8">
        <w:rPr>
          <w:rFonts w:ascii="Times New Roman" w:hAnsi="Times New Roman"/>
        </w:rPr>
        <w:t>2024</w:t>
      </w:r>
      <w:r>
        <w:rPr>
          <w:rFonts w:ascii="Times New Roman" w:hAnsi="Times New Roman"/>
        </w:rPr>
        <w:t>/</w:t>
      </w:r>
      <w:r w:rsidRPr="002234C8">
        <w:rPr>
          <w:rFonts w:ascii="Times New Roman" w:hAnsi="Times New Roman"/>
        </w:rPr>
        <w:t>1991</w:t>
      </w:r>
      <w:r>
        <w:rPr>
          <w:rFonts w:ascii="Times New Roman" w:hAnsi="Times New Roman"/>
        </w:rPr>
        <w:t xml:space="preserve">, </w:t>
      </w:r>
      <w:r w:rsidRPr="002234C8">
        <w:rPr>
          <w:rFonts w:ascii="Times New Roman" w:hAnsi="Times New Roman"/>
        </w:rPr>
        <w:t>29</w:t>
      </w:r>
      <w:r>
        <w:rPr>
          <w:rFonts w:ascii="Times New Roman" w:hAnsi="Times New Roman"/>
        </w:rPr>
        <w:t>.</w:t>
      </w:r>
      <w:r w:rsidRPr="002234C8">
        <w:rPr>
          <w:rFonts w:ascii="Times New Roman" w:hAnsi="Times New Roman"/>
        </w:rPr>
        <w:t>7</w:t>
      </w:r>
      <w:r>
        <w:rPr>
          <w:rFonts w:ascii="Times New Roman" w:hAnsi="Times New Roman"/>
        </w:rPr>
        <w:t>.</w:t>
      </w:r>
      <w:r w:rsidRPr="002234C8">
        <w:rPr>
          <w:rFonts w:ascii="Times New Roman" w:hAnsi="Times New Roman"/>
        </w:rPr>
        <w:t>2024</w:t>
      </w:r>
      <w:r>
        <w:rPr>
          <w:rFonts w:ascii="Times New Roman" w:hAnsi="Times New Roman"/>
        </w:rPr>
        <w:t xml:space="preserve">, ELI: </w:t>
      </w:r>
      <w:hyperlink r:id="rId6" w:history="1">
        <w:r w:rsidRPr="007D3D7E">
          <w:rPr>
            <w:rStyle w:val="Hyperlink"/>
            <w:rFonts w:ascii="Times New Roman" w:hAnsi="Times New Roman"/>
          </w:rPr>
          <w:t>http://data.europa.eu/eli/reg/2024/1991/oj</w:t>
        </w:r>
      </w:hyperlink>
      <w:r>
        <w:rPr>
          <w:rFonts w:ascii="Times New Roman" w:hAnsi="Times New Roman"/>
        </w:rPr>
        <w:t>).</w:t>
      </w:r>
    </w:p>
  </w:footnote>
  <w:footnote w:id="22">
    <w:p w14:paraId="05ACD122" w14:textId="025D5049"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Raportul AEM privind starea apei în UE </w:t>
      </w:r>
      <w:hyperlink r:id="rId7">
        <w:r w:rsidRPr="007D3D7E">
          <w:rPr>
            <w:rStyle w:val="Hyperlink"/>
            <w:rFonts w:ascii="Times New Roman" w:hAnsi="Times New Roman"/>
          </w:rPr>
          <w:t>https://www.eea.europa.eu/en/analysis/publications/europes-state-of-water-2024</w:t>
        </w:r>
      </w:hyperlink>
      <w:r>
        <w:t>.</w:t>
      </w:r>
    </w:p>
  </w:footnote>
  <w:footnote w:id="23">
    <w:p w14:paraId="51DFB9BA" w14:textId="62B9778F" w:rsidR="00CF166D" w:rsidRPr="00A9342C" w:rsidRDefault="00CF166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Comisia a emis recomandări specifice fiecărei țări pentru </w:t>
      </w:r>
      <w:r w:rsidRPr="002234C8">
        <w:rPr>
          <w:rFonts w:ascii="Times New Roman" w:hAnsi="Times New Roman"/>
        </w:rPr>
        <w:t>7</w:t>
      </w:r>
      <w:r>
        <w:rPr>
          <w:rFonts w:ascii="Times New Roman" w:hAnsi="Times New Roman"/>
        </w:rPr>
        <w:t xml:space="preserve"> clustere de politici: a) acțiuni accelerate de reducere a deficitului de conformitate; b) creșterea investițiilor; c) abordarea presiunilor principale; d) îmbunătățirea rezilienței la fenomenele extreme legate de apă (inclusiv o recomandare specifică privind punerea în aplicare efectivă a directivei privind inundațiile); e) cooperarea transfrontalieră; f) derogările și g) monitorizare, evaluare</w:t>
      </w:r>
      <w:r w:rsidR="002234C8">
        <w:rPr>
          <w:rFonts w:ascii="Times New Roman" w:hAnsi="Times New Roman"/>
        </w:rPr>
        <w:t> </w:t>
      </w:r>
      <w:r>
        <w:rPr>
          <w:rFonts w:ascii="Times New Roman" w:hAnsi="Times New Roman"/>
        </w:rPr>
        <w:t>și</w:t>
      </w:r>
      <w:r w:rsidR="002234C8">
        <w:rPr>
          <w:rFonts w:ascii="Times New Roman" w:hAnsi="Times New Roman"/>
        </w:rPr>
        <w:t> </w:t>
      </w:r>
      <w:r>
        <w:rPr>
          <w:rFonts w:ascii="Times New Roman" w:hAnsi="Times New Roman"/>
        </w:rPr>
        <w:t>raportare.</w:t>
      </w:r>
      <w:r w:rsidR="002234C8">
        <w:rPr>
          <w:rFonts w:ascii="Times New Roman" w:hAnsi="Times New Roman"/>
        </w:rPr>
        <w:t> </w:t>
      </w:r>
      <w:r>
        <w:rPr>
          <w:rFonts w:ascii="Times New Roman" w:hAnsi="Times New Roman"/>
        </w:rPr>
        <w:t>Pentru</w:t>
      </w:r>
      <w:r w:rsidR="002234C8">
        <w:rPr>
          <w:rFonts w:ascii="Times New Roman" w:hAnsi="Times New Roman"/>
        </w:rPr>
        <w:t> </w:t>
      </w:r>
      <w:r>
        <w:rPr>
          <w:rFonts w:ascii="Times New Roman" w:hAnsi="Times New Roman"/>
        </w:rPr>
        <w:t>informații</w:t>
      </w:r>
      <w:r w:rsidR="002234C8">
        <w:rPr>
          <w:rFonts w:ascii="Times New Roman" w:hAnsi="Times New Roman"/>
        </w:rPr>
        <w:t> </w:t>
      </w:r>
      <w:r>
        <w:rPr>
          <w:rFonts w:ascii="Times New Roman" w:hAnsi="Times New Roman"/>
        </w:rPr>
        <w:t>suplimentare,</w:t>
      </w:r>
      <w:r w:rsidR="002234C8">
        <w:rPr>
          <w:rFonts w:ascii="Times New Roman" w:hAnsi="Times New Roman"/>
        </w:rPr>
        <w:t> </w:t>
      </w:r>
      <w:r>
        <w:rPr>
          <w:rFonts w:ascii="Times New Roman" w:hAnsi="Times New Roman"/>
        </w:rPr>
        <w:t>a</w:t>
      </w:r>
      <w:r w:rsidR="002234C8">
        <w:rPr>
          <w:rFonts w:ascii="Times New Roman" w:hAnsi="Times New Roman"/>
        </w:rPr>
        <w:t> </w:t>
      </w:r>
      <w:r>
        <w:rPr>
          <w:rFonts w:ascii="Times New Roman" w:hAnsi="Times New Roman"/>
        </w:rPr>
        <w:t>se</w:t>
      </w:r>
      <w:r w:rsidR="002234C8">
        <w:rPr>
          <w:rFonts w:ascii="Times New Roman" w:hAnsi="Times New Roman"/>
        </w:rPr>
        <w:t> </w:t>
      </w:r>
      <w:r>
        <w:rPr>
          <w:rFonts w:ascii="Times New Roman" w:hAnsi="Times New Roman"/>
        </w:rPr>
        <w:t xml:space="preserve">vedea </w:t>
      </w:r>
      <w:hyperlink r:id="rId8" w:history="1">
        <w:r w:rsidRPr="007D3D7E">
          <w:rPr>
            <w:rStyle w:val="Hyperlink"/>
            <w:rFonts w:ascii="Times New Roman" w:hAnsi="Times New Roman"/>
          </w:rPr>
          <w:t>https://environment.ec.europa.eu/topics/water/water-framework-directive/implementation-reports_en</w:t>
        </w:r>
      </w:hyperlink>
      <w:r>
        <w:t>.</w:t>
      </w:r>
      <w:r>
        <w:rPr>
          <w:rFonts w:ascii="Times New Roman" w:hAnsi="Times New Roman"/>
        </w:rPr>
        <w:t xml:space="preserve"> </w:t>
      </w:r>
    </w:p>
  </w:footnote>
  <w:footnote w:id="24">
    <w:p w14:paraId="0EE4ED24" w14:textId="73BB6035" w:rsidR="00CF166D" w:rsidRPr="00A9342C" w:rsidRDefault="00CF166D" w:rsidP="00A9342C">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hyperlink r:id="rId9" w:history="1">
        <w:r w:rsidRPr="007D3D7E">
          <w:rPr>
            <w:rFonts w:ascii="Times New Roman" w:hAnsi="Times New Roman"/>
            <w:color w:val="0000FF"/>
            <w:sz w:val="20"/>
            <w:u w:val="single"/>
          </w:rPr>
          <w:t>Evaluarea Directivei-cadru „Strategia pentru mediul marin” (SWD(2025)50)</w:t>
        </w:r>
      </w:hyperlink>
      <w:r>
        <w:rPr>
          <w:rFonts w:ascii="Times New Roman" w:hAnsi="Times New Roman"/>
          <w:color w:val="26324B"/>
          <w:sz w:val="20"/>
        </w:rPr>
        <w:t xml:space="preserve"> și </w:t>
      </w:r>
      <w:hyperlink r:id="rId10" w:history="1">
        <w:r w:rsidRPr="007D3D7E">
          <w:rPr>
            <w:rFonts w:ascii="Times New Roman" w:hAnsi="Times New Roman"/>
            <w:color w:val="0000FF"/>
            <w:sz w:val="20"/>
            <w:u w:val="single"/>
          </w:rPr>
          <w:t>anexa</w:t>
        </w:r>
      </w:hyperlink>
      <w:r>
        <w:rPr>
          <w:rFonts w:ascii="Times New Roman" w:hAnsi="Times New Roman"/>
          <w:sz w:val="20"/>
        </w:rPr>
        <w:t xml:space="preserve"> la aceasta. </w:t>
      </w:r>
    </w:p>
  </w:footnote>
  <w:footnote w:id="25">
    <w:p w14:paraId="26CDE02D" w14:textId="014CDA4F"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Misiunile de adaptare și de protecție a solului, Orientările privind peisajele reziliente la schimbările climatice, Agenda urbană a Uniunii Europene (UAEU) și Parteneriatul tematic pentru „Orașe responsabile în domeniul apei” și proiectul Interreg Regiunea Dunării pentru „orașe-burete”.</w:t>
      </w:r>
    </w:p>
  </w:footnote>
  <w:footnote w:id="26">
    <w:p w14:paraId="6AAD129A" w14:textId="57735B15" w:rsidR="00B9010B" w:rsidRPr="00A9342C" w:rsidRDefault="00B9010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Macias, D., Bisselink, B., Carmona-Moreno, C. </w:t>
      </w:r>
      <w:r w:rsidRPr="007D3D7E">
        <w:rPr>
          <w:rFonts w:ascii="Times New Roman" w:hAnsi="Times New Roman"/>
          <w:i/>
        </w:rPr>
        <w:t>et al.</w:t>
      </w:r>
      <w:r>
        <w:rPr>
          <w:rFonts w:ascii="Times New Roman" w:hAnsi="Times New Roman"/>
        </w:rPr>
        <w:t xml:space="preserve"> „The overlooked impacts of freshwater scarcity on oceans as evidenced by the Mediterranean Sea” (Impactul neglijat al deficitului de apă dulce asupra oceanelor, demonstrat în cazul Mării Mediterane.). </w:t>
      </w:r>
      <w:r w:rsidRPr="007D3D7E">
        <w:rPr>
          <w:rFonts w:ascii="Times New Roman" w:hAnsi="Times New Roman"/>
          <w:i/>
        </w:rPr>
        <w:t>Nat Commun</w:t>
      </w:r>
      <w:r>
        <w:rPr>
          <w:rFonts w:ascii="Times New Roman" w:hAnsi="Times New Roman"/>
        </w:rPr>
        <w:t xml:space="preserve"> </w:t>
      </w:r>
      <w:r w:rsidRPr="002234C8">
        <w:rPr>
          <w:rFonts w:ascii="Times New Roman" w:hAnsi="Times New Roman"/>
        </w:rPr>
        <w:t>16</w:t>
      </w:r>
      <w:r>
        <w:rPr>
          <w:rFonts w:ascii="Times New Roman" w:hAnsi="Times New Roman"/>
        </w:rPr>
        <w:t xml:space="preserve">, </w:t>
      </w:r>
      <w:r w:rsidRPr="002234C8">
        <w:rPr>
          <w:rFonts w:ascii="Times New Roman" w:hAnsi="Times New Roman"/>
        </w:rPr>
        <w:t>998</w:t>
      </w:r>
      <w:r>
        <w:rPr>
          <w:rFonts w:ascii="Times New Roman" w:hAnsi="Times New Roman"/>
        </w:rPr>
        <w:t xml:space="preserve"> (</w:t>
      </w:r>
      <w:r w:rsidRPr="002234C8">
        <w:rPr>
          <w:rFonts w:ascii="Times New Roman" w:hAnsi="Times New Roman"/>
        </w:rPr>
        <w:t>2025</w:t>
      </w:r>
      <w:r>
        <w:rPr>
          <w:rFonts w:ascii="Times New Roman" w:hAnsi="Times New Roman"/>
        </w:rPr>
        <w:t>).</w:t>
      </w:r>
    </w:p>
  </w:footnote>
  <w:footnote w:id="27">
    <w:p w14:paraId="1C78F294" w14:textId="020623C8"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Strategia comună de implementare (CIS) în temeiul Ghidului nr. </w:t>
      </w:r>
      <w:r w:rsidRPr="002234C8">
        <w:rPr>
          <w:rFonts w:ascii="Times New Roman" w:hAnsi="Times New Roman"/>
        </w:rPr>
        <w:t>24</w:t>
      </w:r>
      <w:r>
        <w:rPr>
          <w:rFonts w:ascii="Times New Roman" w:hAnsi="Times New Roman"/>
        </w:rPr>
        <w:t xml:space="preserve"> din Directiva-cadru privind apa referitor Managementul bazinelor hidrografice într-un climat în schimbare, disponibil </w:t>
      </w:r>
      <w:hyperlink r:id="rId11" w:history="1">
        <w:r w:rsidRPr="007D3D7E">
          <w:rPr>
            <w:rStyle w:val="Hyperlink"/>
            <w:rFonts w:ascii="Times New Roman" w:hAnsi="Times New Roman"/>
          </w:rPr>
          <w:t>aici</w:t>
        </w:r>
      </w:hyperlink>
      <w:r>
        <w:rPr>
          <w:rFonts w:ascii="Times New Roman" w:hAnsi="Times New Roman"/>
        </w:rPr>
        <w:t xml:space="preserve">. </w:t>
      </w:r>
    </w:p>
  </w:footnote>
  <w:footnote w:id="28">
    <w:p w14:paraId="6FDBE48E" w14:textId="40976C0C"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Raport al Comisiei către Consiliu și Parlamentul European referitor la punerea în aplicare a Directivei-cadru privind apa (</w:t>
      </w:r>
      <w:r w:rsidRPr="002234C8">
        <w:rPr>
          <w:rFonts w:ascii="Times New Roman" w:hAnsi="Times New Roman"/>
        </w:rPr>
        <w:t>2000</w:t>
      </w:r>
      <w:r>
        <w:rPr>
          <w:rFonts w:ascii="Times New Roman" w:hAnsi="Times New Roman"/>
        </w:rPr>
        <w:t>/</w:t>
      </w:r>
      <w:r w:rsidRPr="002234C8">
        <w:rPr>
          <w:rFonts w:ascii="Times New Roman" w:hAnsi="Times New Roman"/>
        </w:rPr>
        <w:t>60</w:t>
      </w:r>
      <w:r>
        <w:rPr>
          <w:rFonts w:ascii="Times New Roman" w:hAnsi="Times New Roman"/>
        </w:rPr>
        <w:t>/CE) și a Directivei privind inundațiile (</w:t>
      </w:r>
      <w:r w:rsidRPr="002234C8">
        <w:rPr>
          <w:rFonts w:ascii="Times New Roman" w:hAnsi="Times New Roman"/>
        </w:rPr>
        <w:t>2007</w:t>
      </w:r>
      <w:r>
        <w:rPr>
          <w:rFonts w:ascii="Times New Roman" w:hAnsi="Times New Roman"/>
        </w:rPr>
        <w:t>/</w:t>
      </w:r>
      <w:r w:rsidRPr="002234C8">
        <w:rPr>
          <w:rFonts w:ascii="Times New Roman" w:hAnsi="Times New Roman"/>
        </w:rPr>
        <w:t>60</w:t>
      </w:r>
      <w:r>
        <w:rPr>
          <w:rFonts w:ascii="Times New Roman" w:hAnsi="Times New Roman"/>
        </w:rPr>
        <w:t>/CE) (Al treilea set de planuri de gestionare a bazinelor hidrografice, Al doilea set de planuri de gestionare a riscului de inundații), COM(</w:t>
      </w:r>
      <w:r w:rsidRPr="002234C8">
        <w:rPr>
          <w:rFonts w:ascii="Times New Roman" w:hAnsi="Times New Roman"/>
        </w:rPr>
        <w:t>2025</w:t>
      </w:r>
      <w:r>
        <w:rPr>
          <w:rFonts w:ascii="Times New Roman" w:hAnsi="Times New Roman"/>
        </w:rPr>
        <w:t>) </w:t>
      </w:r>
      <w:r w:rsidRPr="002234C8">
        <w:rPr>
          <w:rFonts w:ascii="Times New Roman" w:hAnsi="Times New Roman"/>
        </w:rPr>
        <w:t>2</w:t>
      </w:r>
      <w:r>
        <w:rPr>
          <w:rFonts w:ascii="Times New Roman" w:hAnsi="Times New Roman"/>
        </w:rPr>
        <w:t xml:space="preserve"> final.</w:t>
      </w:r>
    </w:p>
  </w:footnote>
  <w:footnote w:id="29">
    <w:p w14:paraId="61DC11D2" w14:textId="0761D097"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Recomandarea </w:t>
      </w:r>
      <w:r w:rsidRPr="002234C8">
        <w:rPr>
          <w:rFonts w:ascii="Times New Roman" w:hAnsi="Times New Roman"/>
        </w:rPr>
        <w:t>2023</w:t>
      </w:r>
      <w:r>
        <w:rPr>
          <w:rFonts w:ascii="Times New Roman" w:hAnsi="Times New Roman"/>
        </w:rPr>
        <w:t xml:space="preserve">/C </w:t>
      </w:r>
      <w:r w:rsidRPr="002234C8">
        <w:rPr>
          <w:rFonts w:ascii="Times New Roman" w:hAnsi="Times New Roman"/>
        </w:rPr>
        <w:t>220</w:t>
      </w:r>
      <w:r>
        <w:rPr>
          <w:rFonts w:ascii="Times New Roman" w:hAnsi="Times New Roman"/>
        </w:rPr>
        <w:t>/</w:t>
      </w:r>
      <w:r w:rsidRPr="002234C8">
        <w:rPr>
          <w:rFonts w:ascii="Times New Roman" w:hAnsi="Times New Roman"/>
        </w:rPr>
        <w:t>01</w:t>
      </w:r>
      <w:r>
        <w:rPr>
          <w:rFonts w:ascii="Times New Roman" w:hAnsi="Times New Roman"/>
        </w:rPr>
        <w:t xml:space="preserve"> a Consiliului privind intensificarea acțiunilor UE de combatere a rezistenței la antimicrobiene (RAM); pachetul privind produsele farmaceutice; și Directiva reformată privind epurarea apelor urbane reziduale [(UE) </w:t>
      </w:r>
      <w:r w:rsidRPr="002234C8">
        <w:rPr>
          <w:rFonts w:ascii="Times New Roman" w:hAnsi="Times New Roman"/>
        </w:rPr>
        <w:t>2024</w:t>
      </w:r>
      <w:r>
        <w:rPr>
          <w:rFonts w:ascii="Times New Roman" w:hAnsi="Times New Roman"/>
        </w:rPr>
        <w:t>/</w:t>
      </w:r>
      <w:r w:rsidRPr="002234C8">
        <w:rPr>
          <w:rFonts w:ascii="Times New Roman" w:hAnsi="Times New Roman"/>
        </w:rPr>
        <w:t>3019</w:t>
      </w:r>
      <w:r>
        <w:rPr>
          <w:rFonts w:ascii="Times New Roman" w:hAnsi="Times New Roman"/>
        </w:rPr>
        <w:t>].</w:t>
      </w:r>
    </w:p>
  </w:footnote>
  <w:footnote w:id="30">
    <w:p w14:paraId="52A49767" w14:textId="4E8BE66E"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Agenția Europeană de Mediu (</w:t>
      </w:r>
      <w:r w:rsidRPr="002234C8">
        <w:rPr>
          <w:rFonts w:ascii="Times New Roman" w:hAnsi="Times New Roman"/>
        </w:rPr>
        <w:t>2024</w:t>
      </w:r>
      <w:r>
        <w:rPr>
          <w:rFonts w:ascii="Times New Roman" w:hAnsi="Times New Roman"/>
        </w:rPr>
        <w:t xml:space="preserve">), „Responding to climate change impacts on human health in Europe: focus on floods, droughts and water quality” (Răspunsul la impactul schimbărilor climatice asupra sănătății umane în Europa: accentul pe inundații, secetă și calitatea apei). Raportul AEM </w:t>
      </w:r>
      <w:r w:rsidRPr="002234C8">
        <w:rPr>
          <w:rFonts w:ascii="Times New Roman" w:hAnsi="Times New Roman"/>
        </w:rPr>
        <w:t>3</w:t>
      </w:r>
      <w:r>
        <w:rPr>
          <w:rFonts w:ascii="Times New Roman" w:hAnsi="Times New Roman"/>
        </w:rPr>
        <w:t>/</w:t>
      </w:r>
      <w:r w:rsidRPr="002234C8">
        <w:rPr>
          <w:rFonts w:ascii="Times New Roman" w:hAnsi="Times New Roman"/>
        </w:rPr>
        <w:t>2024</w:t>
      </w:r>
      <w:r>
        <w:rPr>
          <w:rFonts w:ascii="Times New Roman" w:hAnsi="Times New Roman"/>
        </w:rPr>
        <w:t xml:space="preserve">. </w:t>
      </w:r>
    </w:p>
  </w:footnote>
  <w:footnote w:id="31">
    <w:p w14:paraId="0F513CC3" w14:textId="6813DEED"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Substanțe perfluoroalchilate și polifluoroalchilate.</w:t>
      </w:r>
    </w:p>
  </w:footnote>
  <w:footnote w:id="32">
    <w:p w14:paraId="3A94BF5C" w14:textId="5D5C298D" w:rsidR="006A23E3" w:rsidRPr="00A9342C" w:rsidRDefault="006A23E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hyperlink r:id="rId12">
        <w:r w:rsidRPr="007D3D7E">
          <w:rPr>
            <w:rStyle w:val="Hyperlink"/>
            <w:rFonts w:ascii="Times New Roman" w:hAnsi="Times New Roman"/>
          </w:rPr>
          <w:t>Consiliul nordic al miniștrilor, date din 2019</w:t>
        </w:r>
      </w:hyperlink>
      <w:r>
        <w:t>.</w:t>
      </w:r>
    </w:p>
  </w:footnote>
  <w:footnote w:id="33">
    <w:p w14:paraId="5369D0BE" w14:textId="13DF6007" w:rsidR="006F0EBA" w:rsidRPr="00A9342C" w:rsidRDefault="006F0EBA" w:rsidP="00AD6B6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Acțiunile de remediere a PFAS prevăzute în prezenta strategie completează eforturile Comisiei de a aborda emisiile de PFAS de la sursă în temeiul legislației REACH privind substanțele chimice. În acest context, trebuie menționat că, până la sfârșitul anului </w:t>
      </w:r>
      <w:r w:rsidRPr="002234C8">
        <w:rPr>
          <w:rFonts w:ascii="Times New Roman" w:hAnsi="Times New Roman"/>
        </w:rPr>
        <w:t>2025</w:t>
      </w:r>
      <w:r>
        <w:rPr>
          <w:rFonts w:ascii="Times New Roman" w:hAnsi="Times New Roman"/>
        </w:rPr>
        <w:t>, Comisia preconizează să adopte o restricție privind toate substanțele PFAS din spumele pentru stingerea incendiilor, una dintre principalele surse de emisii.</w:t>
      </w:r>
    </w:p>
  </w:footnote>
  <w:footnote w:id="34">
    <w:p w14:paraId="777E00F0" w14:textId="33B2DEF0" w:rsidR="006A23E3" w:rsidRPr="00A9342C" w:rsidRDefault="006A23E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Costul economic al remedierii contaminării cu PFAS în Europa a fost estimat între </w:t>
      </w:r>
      <w:r w:rsidRPr="002234C8">
        <w:rPr>
          <w:rFonts w:ascii="Times New Roman" w:hAnsi="Times New Roman"/>
        </w:rPr>
        <w:t>5</w:t>
      </w:r>
      <w:r>
        <w:rPr>
          <w:rFonts w:ascii="Times New Roman" w:hAnsi="Times New Roman"/>
        </w:rPr>
        <w:t xml:space="preserve"> și </w:t>
      </w:r>
      <w:r w:rsidRPr="002234C8">
        <w:rPr>
          <w:rFonts w:ascii="Times New Roman" w:hAnsi="Times New Roman"/>
        </w:rPr>
        <w:t>100</w:t>
      </w:r>
      <w:r>
        <w:rPr>
          <w:rFonts w:ascii="Times New Roman" w:hAnsi="Times New Roman"/>
        </w:rPr>
        <w:t xml:space="preserve"> de miliarde EUR pe an, doar sectorul apei confruntându-se cu o creștere de până la </w:t>
      </w:r>
      <w:r w:rsidRPr="002234C8">
        <w:rPr>
          <w:rFonts w:ascii="Times New Roman" w:hAnsi="Times New Roman"/>
        </w:rPr>
        <w:t>18</w:t>
      </w:r>
      <w:r>
        <w:rPr>
          <w:rFonts w:ascii="Times New Roman" w:hAnsi="Times New Roman"/>
        </w:rPr>
        <w:t xml:space="preserve"> miliarde EUR anual pentru tratarea apei potabile, în timp ce costurile pentru tratarea apelor uzate și gestionarea nămolurilor de epurare sunt estimate a fi și mai ridicate. Această estimare a fost realizată în cadrul proiectului Forever Lobbying Project; mai multe informații sunt disponibile la adresa </w:t>
      </w:r>
      <w:hyperlink r:id="rId13" w:history="1">
        <w:r w:rsidRPr="007D3D7E">
          <w:rPr>
            <w:rStyle w:val="Hyperlink"/>
            <w:rFonts w:ascii="Times New Roman" w:hAnsi="Times New Roman"/>
          </w:rPr>
          <w:t>https://foreverpollution.eu/lobbying/</w:t>
        </w:r>
      </w:hyperlink>
      <w:r>
        <w:t>.</w:t>
      </w:r>
      <w:r>
        <w:rPr>
          <w:rFonts w:ascii="Times New Roman" w:hAnsi="Times New Roman"/>
        </w:rPr>
        <w:t xml:space="preserve"> </w:t>
      </w:r>
    </w:p>
  </w:footnote>
  <w:footnote w:id="35">
    <w:p w14:paraId="525EEDEA" w14:textId="5088061E" w:rsidR="00563686" w:rsidRPr="00A9342C" w:rsidRDefault="00563686"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Van Grinsven et al, Costs and Benefits of Nitrogen for Europe and Implications for Mitigation (Costurile și beneficiile azotului pentru Europa și implicațiile atenuării), </w:t>
      </w:r>
      <w:r w:rsidRPr="002234C8">
        <w:rPr>
          <w:rFonts w:ascii="Times New Roman" w:hAnsi="Times New Roman"/>
        </w:rPr>
        <w:t>2013</w:t>
      </w:r>
      <w:r>
        <w:rPr>
          <w:rFonts w:ascii="Times New Roman" w:hAnsi="Times New Roman"/>
        </w:rPr>
        <w:t>. Costurile emisiilor de nitrogen și ale daunelor includ emisiile din toate sectoarele în apele de suprafață, subterane și marine, precum și în aer.</w:t>
      </w:r>
    </w:p>
  </w:footnote>
  <w:footnote w:id="36">
    <w:p w14:paraId="2C1AF013" w14:textId="78BB6809" w:rsidR="005F11A5" w:rsidRPr="00A9342C" w:rsidRDefault="005F11A5"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Agenția Europeană de Mediu (AEM), European Climate Risk Assessment (EUCRA) [Evaluarea europeană a riscurilor climatice (EUCRA)], </w:t>
      </w:r>
      <w:r w:rsidRPr="002234C8">
        <w:rPr>
          <w:rFonts w:ascii="Times New Roman" w:hAnsi="Times New Roman"/>
        </w:rPr>
        <w:t>2024</w:t>
      </w:r>
      <w:r>
        <w:rPr>
          <w:rFonts w:ascii="Times New Roman" w:hAnsi="Times New Roman"/>
        </w:rPr>
        <w:t xml:space="preserve">. A se vedea în special capitolul </w:t>
      </w:r>
      <w:r w:rsidRPr="002234C8">
        <w:rPr>
          <w:rFonts w:ascii="Times New Roman" w:hAnsi="Times New Roman"/>
        </w:rPr>
        <w:t>5</w:t>
      </w:r>
      <w:r>
        <w:rPr>
          <w:rFonts w:ascii="Times New Roman" w:hAnsi="Times New Roman"/>
        </w:rPr>
        <w:t xml:space="preserve"> „Securitatea apei” pentru informații detaliate privind deficitul de apă.</w:t>
      </w:r>
    </w:p>
  </w:footnote>
  <w:footnote w:id="37">
    <w:p w14:paraId="691FBC6F" w14:textId="5CBD1E1C"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hyperlink r:id="rId14" w:history="1">
        <w:r w:rsidRPr="007D3D7E">
          <w:rPr>
            <w:rStyle w:val="Hyperlink"/>
            <w:rFonts w:ascii="Times New Roman" w:hAnsi="Times New Roman"/>
          </w:rPr>
          <w:t>https://energy.ec.europa.eu/topics/energy-efficiency/energy-efficiency-targets-directive-and-rules/energy-efficiency-first-principle_en?prefLang=ro</w:t>
        </w:r>
      </w:hyperlink>
      <w:r>
        <w:t>.</w:t>
      </w:r>
      <w:r>
        <w:rPr>
          <w:rFonts w:ascii="Times New Roman" w:hAnsi="Times New Roman"/>
        </w:rPr>
        <w:t xml:space="preserve"> </w:t>
      </w:r>
    </w:p>
  </w:footnote>
  <w:footnote w:id="38">
    <w:p w14:paraId="64E8C571" w14:textId="66B8B87C" w:rsidR="001965AF" w:rsidRPr="00A9342C" w:rsidRDefault="001965AF"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Economii de apă pentru o Europă rezilientă în domeniul apei, Agenția Europeană de Mediu </w:t>
      </w:r>
      <w:r w:rsidRPr="002234C8">
        <w:rPr>
          <w:rFonts w:ascii="Times New Roman" w:hAnsi="Times New Roman"/>
        </w:rPr>
        <w:t>2025</w:t>
      </w:r>
      <w:r>
        <w:rPr>
          <w:rFonts w:ascii="Times New Roman" w:hAnsi="Times New Roman"/>
        </w:rPr>
        <w:t>, în curs de publicare.</w:t>
      </w:r>
    </w:p>
  </w:footnote>
  <w:footnote w:id="39">
    <w:p w14:paraId="173CA589" w14:textId="48932CC9" w:rsidR="00367DDA" w:rsidRPr="00A9342C" w:rsidRDefault="00367DDA"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 exemplu, Franța a stabilit o țintă de reducere a captării apei cu </w:t>
      </w:r>
      <w:r w:rsidRPr="002234C8">
        <w:rPr>
          <w:rFonts w:ascii="Times New Roman" w:hAnsi="Times New Roman"/>
        </w:rPr>
        <w:t>10</w:t>
      </w:r>
      <w:r>
        <w:rPr>
          <w:rFonts w:ascii="Times New Roman" w:hAnsi="Times New Roman"/>
        </w:rPr>
        <w:t xml:space="preserve"> % până în </w:t>
      </w:r>
      <w:r w:rsidRPr="002234C8">
        <w:rPr>
          <w:rFonts w:ascii="Times New Roman" w:hAnsi="Times New Roman"/>
        </w:rPr>
        <w:t>2030</w:t>
      </w:r>
      <w:r>
        <w:rPr>
          <w:rFonts w:ascii="Times New Roman" w:hAnsi="Times New Roman"/>
        </w:rPr>
        <w:t>.</w:t>
      </w:r>
    </w:p>
  </w:footnote>
  <w:footnote w:id="40">
    <w:p w14:paraId="1670289F" w14:textId="12006C3E"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Water Europe (</w:t>
      </w:r>
      <w:r w:rsidRPr="002234C8">
        <w:rPr>
          <w:rFonts w:ascii="Times New Roman" w:hAnsi="Times New Roman"/>
        </w:rPr>
        <w:t>2024</w:t>
      </w:r>
      <w:r>
        <w:rPr>
          <w:rFonts w:ascii="Times New Roman" w:hAnsi="Times New Roman"/>
        </w:rPr>
        <w:t>), Studiu socioeconomic privind valoarea investițiilor UE în apă.</w:t>
      </w:r>
    </w:p>
  </w:footnote>
  <w:footnote w:id="41">
    <w:p w14:paraId="2B232963" w14:textId="124B589F" w:rsidR="00D057A3" w:rsidRPr="00A9342C" w:rsidRDefault="00D057A3" w:rsidP="006F50A4">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Regulamentul (UE) </w:t>
      </w:r>
      <w:r w:rsidRPr="002234C8">
        <w:rPr>
          <w:rFonts w:ascii="Times New Roman" w:hAnsi="Times New Roman"/>
        </w:rPr>
        <w:t>2024</w:t>
      </w:r>
      <w:r>
        <w:rPr>
          <w:rFonts w:ascii="Times New Roman" w:hAnsi="Times New Roman"/>
        </w:rPr>
        <w:t>/</w:t>
      </w:r>
      <w:r w:rsidRPr="002234C8">
        <w:rPr>
          <w:rFonts w:ascii="Times New Roman" w:hAnsi="Times New Roman"/>
        </w:rPr>
        <w:t>3024</w:t>
      </w:r>
      <w:r>
        <w:rPr>
          <w:rFonts w:ascii="Times New Roman" w:hAnsi="Times New Roman"/>
        </w:rPr>
        <w:t xml:space="preserve"> al Parlamentului European și al Consiliului din </w:t>
      </w:r>
      <w:r w:rsidRPr="002234C8">
        <w:rPr>
          <w:rFonts w:ascii="Times New Roman" w:hAnsi="Times New Roman"/>
        </w:rPr>
        <w:t>27</w:t>
      </w:r>
      <w:r>
        <w:rPr>
          <w:rFonts w:ascii="Times New Roman" w:hAnsi="Times New Roman"/>
        </w:rPr>
        <w:t xml:space="preserve"> noiembrie </w:t>
      </w:r>
      <w:r w:rsidRPr="002234C8">
        <w:rPr>
          <w:rFonts w:ascii="Times New Roman" w:hAnsi="Times New Roman"/>
        </w:rPr>
        <w:t>2024</w:t>
      </w:r>
      <w:r>
        <w:rPr>
          <w:rFonts w:ascii="Times New Roman" w:hAnsi="Times New Roman"/>
        </w:rPr>
        <w:t xml:space="preserve"> de modificare a Regulamentului (UE) nr. </w:t>
      </w:r>
      <w:r w:rsidRPr="002234C8">
        <w:rPr>
          <w:rFonts w:ascii="Times New Roman" w:hAnsi="Times New Roman"/>
        </w:rPr>
        <w:t>691</w:t>
      </w:r>
      <w:r>
        <w:rPr>
          <w:rFonts w:ascii="Times New Roman" w:hAnsi="Times New Roman"/>
        </w:rPr>
        <w:t>/</w:t>
      </w:r>
      <w:r w:rsidRPr="002234C8">
        <w:rPr>
          <w:rFonts w:ascii="Times New Roman" w:hAnsi="Times New Roman"/>
        </w:rPr>
        <w:t>2011</w:t>
      </w:r>
      <w:r>
        <w:rPr>
          <w:rFonts w:ascii="Times New Roman" w:hAnsi="Times New Roman"/>
        </w:rPr>
        <w:t xml:space="preserve"> în ceea ce privește introducerea de noi module pentru conturile economice de mediu.</w:t>
      </w:r>
    </w:p>
  </w:footnote>
  <w:footnote w:id="42">
    <w:p w14:paraId="42E7DBBB" w14:textId="3AB2507A" w:rsidR="00D057A3" w:rsidRPr="00A9342C" w:rsidRDefault="00D057A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Water Europe (</w:t>
      </w:r>
      <w:r w:rsidRPr="002234C8">
        <w:rPr>
          <w:rFonts w:ascii="Times New Roman" w:hAnsi="Times New Roman"/>
        </w:rPr>
        <w:t>2024</w:t>
      </w:r>
      <w:r>
        <w:rPr>
          <w:rFonts w:ascii="Times New Roman" w:hAnsi="Times New Roman"/>
        </w:rPr>
        <w:t>), Studiu socioeconomic privind valoarea investițiilor UE în apă.</w:t>
      </w:r>
    </w:p>
  </w:footnote>
  <w:footnote w:id="43">
    <w:p w14:paraId="7C09C4A3" w14:textId="1136883B" w:rsidR="005F6105" w:rsidRPr="00A9342C" w:rsidRDefault="005F6105" w:rsidP="00E16AD4">
      <w:pPr>
        <w:pStyle w:val="FootnoteText"/>
        <w:ind w:left="284" w:hanging="284"/>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AIE, „Clean energy can help to ease the water crisis” (Energia curată poate contribui la atenuarea crizei apei), </w:t>
      </w:r>
      <w:r w:rsidRPr="002234C8">
        <w:rPr>
          <w:rFonts w:ascii="Times New Roman" w:hAnsi="Times New Roman"/>
        </w:rPr>
        <w:t>22</w:t>
      </w:r>
      <w:r>
        <w:rPr>
          <w:rFonts w:ascii="Times New Roman" w:hAnsi="Times New Roman"/>
        </w:rPr>
        <w:t xml:space="preserve"> martie </w:t>
      </w:r>
      <w:r w:rsidRPr="002234C8">
        <w:rPr>
          <w:rFonts w:ascii="Times New Roman" w:hAnsi="Times New Roman"/>
        </w:rPr>
        <w:t>2023</w:t>
      </w:r>
      <w:r>
        <w:rPr>
          <w:rFonts w:ascii="Times New Roman" w:hAnsi="Times New Roman"/>
        </w:rPr>
        <w:t>.</w:t>
      </w:r>
    </w:p>
  </w:footnote>
  <w:footnote w:id="44">
    <w:p w14:paraId="087DF8B3" w14:textId="7D545986" w:rsidR="00D057A3" w:rsidRPr="00A9342C" w:rsidRDefault="00D057A3" w:rsidP="00A9342C">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tab/>
      </w:r>
      <w:r>
        <w:rPr>
          <w:rFonts w:ascii="Times New Roman" w:hAnsi="Times New Roman"/>
        </w:rPr>
        <w:t>Raport al Comisiei către Consiliu și Parlament în temeiul articolului </w:t>
      </w:r>
      <w:r w:rsidRPr="002234C8">
        <w:rPr>
          <w:rFonts w:ascii="Times New Roman" w:hAnsi="Times New Roman"/>
        </w:rPr>
        <w:t>12</w:t>
      </w:r>
      <w:r>
        <w:rPr>
          <w:rFonts w:ascii="Times New Roman" w:hAnsi="Times New Roman"/>
        </w:rPr>
        <w:t xml:space="preserve"> din Directiva </w:t>
      </w:r>
      <w:r w:rsidRPr="002234C8">
        <w:rPr>
          <w:rFonts w:ascii="Times New Roman" w:hAnsi="Times New Roman"/>
        </w:rPr>
        <w:t>2023</w:t>
      </w:r>
      <w:r>
        <w:rPr>
          <w:rFonts w:ascii="Times New Roman" w:hAnsi="Times New Roman"/>
        </w:rPr>
        <w:t>/</w:t>
      </w:r>
      <w:r w:rsidRPr="002234C8">
        <w:rPr>
          <w:rFonts w:ascii="Times New Roman" w:hAnsi="Times New Roman"/>
        </w:rPr>
        <w:t>1791</w:t>
      </w:r>
      <w:r>
        <w:rPr>
          <w:rFonts w:ascii="Times New Roman" w:hAnsi="Times New Roman"/>
        </w:rPr>
        <w:t xml:space="preserve"> privind eficiența energetică și de modificare a Regulamentului (UE) </w:t>
      </w:r>
      <w:r w:rsidRPr="002234C8">
        <w:rPr>
          <w:rFonts w:ascii="Times New Roman" w:hAnsi="Times New Roman"/>
        </w:rPr>
        <w:t>2023</w:t>
      </w:r>
      <w:r>
        <w:rPr>
          <w:rFonts w:ascii="Times New Roman" w:hAnsi="Times New Roman"/>
        </w:rPr>
        <w:t>/</w:t>
      </w:r>
      <w:r w:rsidRPr="002234C8">
        <w:rPr>
          <w:rFonts w:ascii="Times New Roman" w:hAnsi="Times New Roman"/>
        </w:rPr>
        <w:t>955</w:t>
      </w:r>
      <w:r>
        <w:rPr>
          <w:rFonts w:ascii="Times New Roman" w:hAnsi="Times New Roman"/>
        </w:rPr>
        <w:t xml:space="preserve"> (reformare).</w:t>
      </w:r>
    </w:p>
  </w:footnote>
  <w:footnote w:id="45">
    <w:p w14:paraId="5D10BEFA" w14:textId="73ECB573" w:rsidR="008A6013" w:rsidRPr="00A9342C" w:rsidRDefault="008A601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Document de lucru al serviciilor Comisiei: Evaluarea impactului </w:t>
      </w:r>
      <w:r w:rsidRPr="007D3D7E">
        <w:rPr>
          <w:rFonts w:ascii="Times New Roman" w:hAnsi="Times New Roman"/>
          <w:i/>
        </w:rPr>
        <w:t>care însoțește documentul</w:t>
      </w:r>
      <w:r>
        <w:rPr>
          <w:rFonts w:ascii="Times New Roman" w:hAnsi="Times New Roman"/>
        </w:rPr>
        <w:t xml:space="preserve"> Propunere de regulament al Parlamentului European și al Consiliului privind cerințele minime pentru reutilizarea apei, SWD(</w:t>
      </w:r>
      <w:r w:rsidRPr="002234C8">
        <w:rPr>
          <w:rFonts w:ascii="Times New Roman" w:hAnsi="Times New Roman"/>
        </w:rPr>
        <w:t>2018</w:t>
      </w:r>
      <w:r>
        <w:rPr>
          <w:rFonts w:ascii="Times New Roman" w:hAnsi="Times New Roman"/>
        </w:rPr>
        <w:t xml:space="preserve">) </w:t>
      </w:r>
      <w:r w:rsidRPr="002234C8">
        <w:rPr>
          <w:rFonts w:ascii="Times New Roman" w:hAnsi="Times New Roman"/>
        </w:rPr>
        <w:t>249</w:t>
      </w:r>
      <w:r>
        <w:rPr>
          <w:rFonts w:ascii="Times New Roman" w:hAnsi="Times New Roman"/>
        </w:rPr>
        <w:t xml:space="preserve"> final.</w:t>
      </w:r>
    </w:p>
  </w:footnote>
  <w:footnote w:id="46">
    <w:p w14:paraId="5F6FCCF3" w14:textId="02635E7C" w:rsidR="008A6013" w:rsidRPr="00A9342C" w:rsidRDefault="008A601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Regulamentul privind reutilizarea apei, Directiva revizuită privind emisiile industriale și Directiva revizuită privind epurarea apelor uzate urbane.</w:t>
      </w:r>
    </w:p>
  </w:footnote>
  <w:footnote w:id="47">
    <w:p w14:paraId="6136F34B" w14:textId="46A70853" w:rsidR="00665EA3" w:rsidRPr="00A9342C" w:rsidRDefault="00665E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Agenția Europeană de Mediu (</w:t>
      </w:r>
      <w:r w:rsidRPr="002234C8">
        <w:rPr>
          <w:rFonts w:ascii="Times New Roman" w:hAnsi="Times New Roman"/>
        </w:rPr>
        <w:t>2024</w:t>
      </w:r>
      <w:r>
        <w:rPr>
          <w:rFonts w:ascii="Times New Roman" w:hAnsi="Times New Roman"/>
        </w:rPr>
        <w:t xml:space="preserve">), Starea apei în Europa </w:t>
      </w:r>
      <w:r w:rsidRPr="002234C8">
        <w:rPr>
          <w:rFonts w:ascii="Times New Roman" w:hAnsi="Times New Roman"/>
        </w:rPr>
        <w:t>2024</w:t>
      </w:r>
      <w:r>
        <w:rPr>
          <w:rFonts w:ascii="Times New Roman" w:hAnsi="Times New Roman"/>
        </w:rPr>
        <w:t xml:space="preserve">. Raportul AEM </w:t>
      </w:r>
      <w:r w:rsidRPr="002234C8">
        <w:rPr>
          <w:rFonts w:ascii="Times New Roman" w:hAnsi="Times New Roman"/>
        </w:rPr>
        <w:t>7</w:t>
      </w:r>
      <w:r>
        <w:rPr>
          <w:rFonts w:ascii="Times New Roman" w:hAnsi="Times New Roman"/>
        </w:rPr>
        <w:t>/</w:t>
      </w:r>
      <w:r w:rsidRPr="002234C8">
        <w:rPr>
          <w:rFonts w:ascii="Times New Roman" w:hAnsi="Times New Roman"/>
        </w:rPr>
        <w:t>2024</w:t>
      </w:r>
      <w:r>
        <w:rPr>
          <w:rFonts w:ascii="Times New Roman" w:hAnsi="Times New Roman"/>
        </w:rPr>
        <w:t xml:space="preserve">, Oficiul pentru Publicații al Uniunii Europene. </w:t>
      </w:r>
      <w:hyperlink r:id="rId15" w:history="1">
        <w:r w:rsidRPr="007D3D7E">
          <w:rPr>
            <w:rStyle w:val="Hyperlink"/>
            <w:rFonts w:ascii="Times New Roman" w:hAnsi="Times New Roman"/>
          </w:rPr>
          <w:t>https://www.eea.europa.eu/en/analysis/publications/europes-state-of-water-2024</w:t>
        </w:r>
      </w:hyperlink>
      <w:r>
        <w:t>.</w:t>
      </w:r>
    </w:p>
  </w:footnote>
  <w:footnote w:id="48">
    <w:p w14:paraId="13521938" w14:textId="5E0575F9" w:rsidR="00D259B2" w:rsidRPr="00A9342C" w:rsidRDefault="00D259B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Agenția</w:t>
      </w:r>
      <w:r w:rsidR="002234C8">
        <w:rPr>
          <w:rFonts w:ascii="Times New Roman" w:hAnsi="Times New Roman"/>
        </w:rPr>
        <w:t> </w:t>
      </w:r>
      <w:r>
        <w:rPr>
          <w:rFonts w:ascii="Times New Roman" w:hAnsi="Times New Roman"/>
        </w:rPr>
        <w:t>Europeană</w:t>
      </w:r>
      <w:r w:rsidR="002234C8">
        <w:rPr>
          <w:rFonts w:ascii="Times New Roman" w:hAnsi="Times New Roman"/>
        </w:rPr>
        <w:t> </w:t>
      </w:r>
      <w:r>
        <w:rPr>
          <w:rFonts w:ascii="Times New Roman" w:hAnsi="Times New Roman"/>
        </w:rPr>
        <w:t>de</w:t>
      </w:r>
      <w:r w:rsidR="002234C8">
        <w:rPr>
          <w:rFonts w:ascii="Times New Roman" w:hAnsi="Times New Roman"/>
        </w:rPr>
        <w:t> </w:t>
      </w:r>
      <w:r>
        <w:rPr>
          <w:rFonts w:ascii="Times New Roman" w:hAnsi="Times New Roman"/>
        </w:rPr>
        <w:t>Mediu</w:t>
      </w:r>
      <w:r w:rsidR="002234C8">
        <w:rPr>
          <w:rFonts w:ascii="Times New Roman" w:hAnsi="Times New Roman"/>
        </w:rPr>
        <w:t> </w:t>
      </w:r>
      <w:r>
        <w:rPr>
          <w:rFonts w:ascii="Times New Roman" w:hAnsi="Times New Roman"/>
        </w:rPr>
        <w:t>(</w:t>
      </w:r>
      <w:r w:rsidRPr="002234C8">
        <w:rPr>
          <w:rFonts w:ascii="Times New Roman" w:hAnsi="Times New Roman"/>
        </w:rPr>
        <w:t>2024</w:t>
      </w:r>
      <w:r>
        <w:rPr>
          <w:rFonts w:ascii="Times New Roman" w:hAnsi="Times New Roman"/>
        </w:rPr>
        <w:t>),</w:t>
      </w:r>
      <w:r w:rsidR="002234C8">
        <w:rPr>
          <w:rFonts w:ascii="Times New Roman" w:hAnsi="Times New Roman"/>
        </w:rPr>
        <w:t> </w:t>
      </w:r>
      <w:r>
        <w:rPr>
          <w:rFonts w:ascii="Times New Roman" w:hAnsi="Times New Roman"/>
        </w:rPr>
        <w:t>Starea</w:t>
      </w:r>
      <w:r w:rsidR="002234C8">
        <w:rPr>
          <w:rFonts w:ascii="Times New Roman" w:hAnsi="Times New Roman"/>
        </w:rPr>
        <w:t> </w:t>
      </w:r>
      <w:r>
        <w:rPr>
          <w:rFonts w:ascii="Times New Roman" w:hAnsi="Times New Roman"/>
        </w:rPr>
        <w:t>apei</w:t>
      </w:r>
      <w:r w:rsidR="002234C8">
        <w:rPr>
          <w:rFonts w:ascii="Times New Roman" w:hAnsi="Times New Roman"/>
        </w:rPr>
        <w:t> </w:t>
      </w:r>
      <w:r>
        <w:rPr>
          <w:rFonts w:ascii="Times New Roman" w:hAnsi="Times New Roman"/>
        </w:rPr>
        <w:t>în</w:t>
      </w:r>
      <w:r w:rsidR="002234C8">
        <w:rPr>
          <w:rFonts w:ascii="Times New Roman" w:hAnsi="Times New Roman"/>
        </w:rPr>
        <w:t> </w:t>
      </w:r>
      <w:r>
        <w:rPr>
          <w:rFonts w:ascii="Times New Roman" w:hAnsi="Times New Roman"/>
        </w:rPr>
        <w:t>Europa</w:t>
      </w:r>
      <w:r w:rsidR="002234C8">
        <w:rPr>
          <w:rFonts w:ascii="Times New Roman" w:hAnsi="Times New Roman"/>
        </w:rPr>
        <w:t> </w:t>
      </w:r>
      <w:r w:rsidRPr="002234C8">
        <w:rPr>
          <w:rFonts w:ascii="Times New Roman" w:hAnsi="Times New Roman"/>
        </w:rPr>
        <w:t>2024</w:t>
      </w:r>
      <w:r>
        <w:rPr>
          <w:rFonts w:ascii="Times New Roman" w:hAnsi="Times New Roman"/>
        </w:rPr>
        <w:t xml:space="preserve">. </w:t>
      </w:r>
      <w:hyperlink r:id="rId16" w:history="1">
        <w:r w:rsidRPr="007D3D7E">
          <w:rPr>
            <w:rStyle w:val="Hyperlink"/>
            <w:rFonts w:ascii="Times New Roman" w:hAnsi="Times New Roman"/>
          </w:rPr>
          <w:t>https://www.eea.europa.eu/en/analysis/publications/europes-state-of-water-2024</w:t>
        </w:r>
      </w:hyperlink>
      <w:r>
        <w:t>.</w:t>
      </w:r>
    </w:p>
  </w:footnote>
  <w:footnote w:id="49">
    <w:p w14:paraId="12811CC9" w14:textId="60B97D66" w:rsidR="00CE5245" w:rsidRPr="00A9342C" w:rsidRDefault="00CE5245"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 exemplu, actuala Platformă de sprijin a părților interesate privind căile de tranziție.</w:t>
      </w:r>
    </w:p>
  </w:footnote>
  <w:footnote w:id="50">
    <w:p w14:paraId="104C9D9F" w14:textId="718B308C" w:rsidR="00B042A4" w:rsidRPr="00A9342C" w:rsidRDefault="00B042A4"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sidRPr="007D3D7E">
          <w:rPr>
            <w:rStyle w:val="Hyperlink"/>
            <w:rFonts w:ascii="Times New Roman" w:hAnsi="Times New Roman"/>
          </w:rPr>
          <w:t>https://commission.europa.eu/strategy-and-policy/priorities-2019-2024/economy-works-people/jobs-growth-and-investment/european-pillar-social-rights/european-pillar-social-rights-20-principles_ro</w:t>
        </w:r>
      </w:hyperlink>
      <w:r>
        <w:t>.</w:t>
      </w:r>
      <w:r>
        <w:rPr>
          <w:rFonts w:ascii="Times New Roman" w:hAnsi="Times New Roman"/>
        </w:rPr>
        <w:t xml:space="preserve"> </w:t>
      </w:r>
    </w:p>
  </w:footnote>
  <w:footnote w:id="51">
    <w:p w14:paraId="747AC584" w14:textId="73BD4AF7"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Planul de lucru privind proiectarea ecologică a produselor sustenabile și etichetarea energetică pentru perioada </w:t>
      </w:r>
      <w:r w:rsidRPr="002234C8">
        <w:rPr>
          <w:rFonts w:ascii="Times New Roman" w:hAnsi="Times New Roman"/>
        </w:rPr>
        <w:t>2025</w:t>
      </w:r>
      <w:r>
        <w:rPr>
          <w:rFonts w:ascii="Times New Roman" w:hAnsi="Times New Roman"/>
        </w:rPr>
        <w:t>-</w:t>
      </w:r>
      <w:r w:rsidRPr="002234C8">
        <w:rPr>
          <w:rFonts w:ascii="Times New Roman" w:hAnsi="Times New Roman"/>
        </w:rPr>
        <w:t>2030</w:t>
      </w:r>
      <w:r>
        <w:rPr>
          <w:rFonts w:ascii="Times New Roman" w:hAnsi="Times New Roman"/>
        </w:rPr>
        <w:t>, adoptat recent, include textilele/îmbrăcămintea, oțelul din fier și oțelul și aluminiul ca produse pentru care vor fi elaborate noi cerințe, precum și o serie de produse cu impact energetic relevante pentru apă, cum ar fi mașinile de spălat vase și mașinile de spălat rufe, pentru care vor fi disponibile cerințe în materie de proiectare ecologică și/sau etichete energetice.</w:t>
      </w:r>
    </w:p>
  </w:footnote>
  <w:footnote w:id="52">
    <w:p w14:paraId="5E0FA3BD" w14:textId="3FF1DC0B"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Directiva privind eficiența energetică prevede că statele membre trebuie să se asigure că autoritățile regionale și locale pregătesc planuri locale de încălzire și răcire cel puțin în municipalitățile cu peste </w:t>
      </w:r>
      <w:r w:rsidRPr="002234C8">
        <w:rPr>
          <w:rFonts w:ascii="Times New Roman" w:hAnsi="Times New Roman"/>
        </w:rPr>
        <w:t>45</w:t>
      </w:r>
      <w:r>
        <w:rPr>
          <w:rFonts w:ascii="Times New Roman" w:hAnsi="Times New Roman"/>
        </w:rPr>
        <w:t> </w:t>
      </w:r>
      <w:r w:rsidRPr="002234C8">
        <w:rPr>
          <w:rFonts w:ascii="Times New Roman" w:hAnsi="Times New Roman"/>
        </w:rPr>
        <w:t>000</w:t>
      </w:r>
      <w:r>
        <w:rPr>
          <w:rFonts w:ascii="Times New Roman" w:hAnsi="Times New Roman"/>
        </w:rPr>
        <w:t xml:space="preserve"> de locuitori.</w:t>
      </w:r>
    </w:p>
  </w:footnote>
  <w:footnote w:id="53">
    <w:p w14:paraId="51943550" w14:textId="0C5B663F" w:rsidR="00D057A3" w:rsidRPr="00A9342C" w:rsidRDefault="00CB7897"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Raport al Comisiei către Consiliu și Parlamentul European referitor la punerea în aplicare a Directivei-cadru privind apa (</w:t>
      </w:r>
      <w:r w:rsidRPr="002234C8">
        <w:rPr>
          <w:rFonts w:ascii="Times New Roman" w:hAnsi="Times New Roman"/>
        </w:rPr>
        <w:t>2000</w:t>
      </w:r>
      <w:r>
        <w:rPr>
          <w:rFonts w:ascii="Times New Roman" w:hAnsi="Times New Roman"/>
        </w:rPr>
        <w:t>/</w:t>
      </w:r>
      <w:r w:rsidRPr="002234C8">
        <w:rPr>
          <w:rFonts w:ascii="Times New Roman" w:hAnsi="Times New Roman"/>
        </w:rPr>
        <w:t>60</w:t>
      </w:r>
      <w:r>
        <w:rPr>
          <w:rFonts w:ascii="Times New Roman" w:hAnsi="Times New Roman"/>
        </w:rPr>
        <w:t>/CE) și a Directivei privind inundațiile (</w:t>
      </w:r>
      <w:r w:rsidRPr="002234C8">
        <w:rPr>
          <w:rFonts w:ascii="Times New Roman" w:hAnsi="Times New Roman"/>
        </w:rPr>
        <w:t>2007</w:t>
      </w:r>
      <w:r>
        <w:rPr>
          <w:rFonts w:ascii="Times New Roman" w:hAnsi="Times New Roman"/>
        </w:rPr>
        <w:t>/</w:t>
      </w:r>
      <w:r w:rsidRPr="002234C8">
        <w:rPr>
          <w:rFonts w:ascii="Times New Roman" w:hAnsi="Times New Roman"/>
        </w:rPr>
        <w:t>60</w:t>
      </w:r>
      <w:r>
        <w:rPr>
          <w:rFonts w:ascii="Times New Roman" w:hAnsi="Times New Roman"/>
        </w:rPr>
        <w:t>/CE) (Al treilea set de planuri de gestionare a bazinelor hidrografice, Al doilea set de planuri de gestionare a riscului de inundații), COM(</w:t>
      </w:r>
      <w:r w:rsidRPr="002234C8">
        <w:rPr>
          <w:rFonts w:ascii="Times New Roman" w:hAnsi="Times New Roman"/>
        </w:rPr>
        <w:t>2025</w:t>
      </w:r>
      <w:r>
        <w:rPr>
          <w:rFonts w:ascii="Times New Roman" w:hAnsi="Times New Roman"/>
        </w:rPr>
        <w:t>) </w:t>
      </w:r>
      <w:r w:rsidRPr="002234C8">
        <w:rPr>
          <w:rFonts w:ascii="Times New Roman" w:hAnsi="Times New Roman"/>
        </w:rPr>
        <w:t>2</w:t>
      </w:r>
      <w:r>
        <w:rPr>
          <w:rFonts w:ascii="Times New Roman" w:hAnsi="Times New Roman"/>
        </w:rPr>
        <w:t xml:space="preserve"> final.</w:t>
      </w:r>
    </w:p>
  </w:footnote>
  <w:footnote w:id="54">
    <w:p w14:paraId="562F5713" w14:textId="5A6D2962" w:rsidR="005D7772" w:rsidRPr="00A9342C" w:rsidRDefault="005D777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Astfel cum s-a solicitat și în Rezoluția Parlamentului European din </w:t>
      </w:r>
      <w:r w:rsidRPr="002234C8">
        <w:rPr>
          <w:rFonts w:ascii="Times New Roman" w:hAnsi="Times New Roman"/>
        </w:rPr>
        <w:t>7</w:t>
      </w:r>
      <w:r>
        <w:rPr>
          <w:rFonts w:ascii="Times New Roman" w:hAnsi="Times New Roman"/>
        </w:rPr>
        <w:t> mai </w:t>
      </w:r>
      <w:r w:rsidRPr="002234C8">
        <w:rPr>
          <w:rFonts w:ascii="Times New Roman" w:hAnsi="Times New Roman"/>
        </w:rPr>
        <w:t>2025</w:t>
      </w:r>
      <w:r>
        <w:rPr>
          <w:rFonts w:ascii="Times New Roman" w:hAnsi="Times New Roman"/>
        </w:rPr>
        <w:t xml:space="preserve"> referitoare la Strategia europeană pentru reziliența în domeniul apei (</w:t>
      </w:r>
      <w:r w:rsidRPr="002234C8">
        <w:rPr>
          <w:rFonts w:ascii="Times New Roman" w:hAnsi="Times New Roman"/>
        </w:rPr>
        <w:t>2024</w:t>
      </w:r>
      <w:r>
        <w:rPr>
          <w:rFonts w:ascii="Times New Roman" w:hAnsi="Times New Roman"/>
        </w:rPr>
        <w:t>/</w:t>
      </w:r>
      <w:r w:rsidRPr="002234C8">
        <w:rPr>
          <w:rFonts w:ascii="Times New Roman" w:hAnsi="Times New Roman"/>
        </w:rPr>
        <w:t>2104</w:t>
      </w:r>
      <w:r>
        <w:rPr>
          <w:rFonts w:ascii="Times New Roman" w:hAnsi="Times New Roman"/>
        </w:rPr>
        <w:t>(INI)).</w:t>
      </w:r>
    </w:p>
  </w:footnote>
  <w:footnote w:id="55">
    <w:p w14:paraId="4214159F" w14:textId="11B470F2"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8" w:history="1">
        <w:r w:rsidRPr="007D3D7E">
          <w:rPr>
            <w:rStyle w:val="Hyperlink"/>
            <w:rFonts w:ascii="Times New Roman" w:hAnsi="Times New Roman"/>
          </w:rPr>
          <w:t>https://ec.europa.eu/regional_policy/policy/communities-and-networks/cohesion-4-transition_en</w:t>
        </w:r>
      </w:hyperlink>
      <w:r>
        <w:t>.</w:t>
      </w:r>
      <w:r>
        <w:rPr>
          <w:rFonts w:ascii="Times New Roman" w:hAnsi="Times New Roman"/>
        </w:rPr>
        <w:t xml:space="preserve"> </w:t>
      </w:r>
    </w:p>
  </w:footnote>
  <w:footnote w:id="56">
    <w:p w14:paraId="21D8F6B8" w14:textId="5BE275CC" w:rsidR="00D057A3" w:rsidRPr="00A9342C" w:rsidRDefault="00D057A3" w:rsidP="00A9342C">
      <w:pPr>
        <w:pStyle w:val="FootnoteText"/>
        <w:ind w:left="284" w:hanging="284"/>
        <w:jc w:val="both"/>
        <w:rPr>
          <w:rFonts w:ascii="Times New Roman" w:eastAsia="Aptos"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DG Mediu, Environmental investment needs, financing and gaps in the EU-</w:t>
      </w:r>
      <w:r w:rsidRPr="002234C8">
        <w:rPr>
          <w:rFonts w:ascii="Times New Roman" w:hAnsi="Times New Roman"/>
        </w:rPr>
        <w:t>27</w:t>
      </w:r>
      <w:r>
        <w:rPr>
          <w:rFonts w:ascii="Times New Roman" w:hAnsi="Times New Roman"/>
        </w:rPr>
        <w:t xml:space="preserve"> – update </w:t>
      </w:r>
      <w:r w:rsidRPr="002234C8">
        <w:rPr>
          <w:rFonts w:ascii="Times New Roman" w:hAnsi="Times New Roman"/>
        </w:rPr>
        <w:t>2024</w:t>
      </w:r>
      <w:r>
        <w:rPr>
          <w:rFonts w:ascii="Times New Roman" w:hAnsi="Times New Roman"/>
        </w:rPr>
        <w:t xml:space="preserve"> (internal analysis) [Nevoile de investiții, finanțare și lacunele în domeniul mediului în UE-</w:t>
      </w:r>
      <w:r w:rsidRPr="002234C8">
        <w:rPr>
          <w:rFonts w:ascii="Times New Roman" w:hAnsi="Times New Roman"/>
        </w:rPr>
        <w:t>27</w:t>
      </w:r>
      <w:r>
        <w:rPr>
          <w:rFonts w:ascii="Times New Roman" w:hAnsi="Times New Roman"/>
        </w:rPr>
        <w:t xml:space="preserve"> – actualizare </w:t>
      </w:r>
      <w:r w:rsidRPr="002234C8">
        <w:rPr>
          <w:rFonts w:ascii="Times New Roman" w:hAnsi="Times New Roman"/>
        </w:rPr>
        <w:t>2024</w:t>
      </w:r>
      <w:r>
        <w:rPr>
          <w:rFonts w:ascii="Times New Roman" w:hAnsi="Times New Roman"/>
        </w:rPr>
        <w:t xml:space="preserve"> (analiză internă)]. Ar trebui remarcat faptul că această sumă se bazează în mare parte pe nevoile de aprovizionare cu apă și de salubritate, în timp ce costurile pentru alte măsuri legate de punerea în aplicare a Directivei-cadru privind apa (DCA) și a Directivei privind inundațiile (DI) ar putea să nu fie pe deplin reflectate.</w:t>
      </w:r>
    </w:p>
  </w:footnote>
  <w:footnote w:id="57">
    <w:p w14:paraId="351EC758" w14:textId="2C66B815" w:rsidR="005D7772" w:rsidRPr="00A9342C" w:rsidRDefault="005D777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BCE și EIOPA, „Towards a European system for natural catastrophe risk management” (Către un sistem european de gestionare a riscurilor de catastrofe naturale), document comun, decembrie </w:t>
      </w:r>
      <w:r w:rsidRPr="002234C8">
        <w:rPr>
          <w:rFonts w:ascii="Times New Roman" w:hAnsi="Times New Roman"/>
        </w:rPr>
        <w:t>2024</w:t>
      </w:r>
      <w:r>
        <w:rPr>
          <w:rFonts w:ascii="Times New Roman" w:hAnsi="Times New Roman"/>
        </w:rPr>
        <w:t>.</w:t>
      </w:r>
    </w:p>
  </w:footnote>
  <w:footnote w:id="58">
    <w:p w14:paraId="53B306D4" w14:textId="4A2FE94D" w:rsidR="00300AEE" w:rsidRPr="00A9342C" w:rsidRDefault="00300AEE"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Printre acestea se numără contorizarea inteligentă care furnizează date în timp real privind utilizarea apei, sistemele de întreținere predictivă și de detectare a scurgerilor, gemenii digitali, precum și produsele bazate pe date generate de senzori </w:t>
      </w:r>
      <w:r w:rsidRPr="007D3D7E">
        <w:rPr>
          <w:rFonts w:ascii="Times New Roman" w:hAnsi="Times New Roman"/>
          <w:i/>
        </w:rPr>
        <w:t>in situ</w:t>
      </w:r>
      <w:r>
        <w:rPr>
          <w:rFonts w:ascii="Times New Roman" w:hAnsi="Times New Roman"/>
        </w:rPr>
        <w:t>, drone sau sateliți.</w:t>
      </w:r>
    </w:p>
  </w:footnote>
  <w:footnote w:id="59">
    <w:p w14:paraId="34DFB4C0" w14:textId="23DCB5BC"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Directiva (UE) </w:t>
      </w:r>
      <w:r w:rsidRPr="002234C8">
        <w:rPr>
          <w:rFonts w:ascii="Times New Roman" w:hAnsi="Times New Roman"/>
        </w:rPr>
        <w:t>2019</w:t>
      </w:r>
      <w:r>
        <w:rPr>
          <w:rFonts w:ascii="Times New Roman" w:hAnsi="Times New Roman"/>
        </w:rPr>
        <w:t>/</w:t>
      </w:r>
      <w:r w:rsidRPr="002234C8">
        <w:rPr>
          <w:rFonts w:ascii="Times New Roman" w:hAnsi="Times New Roman"/>
        </w:rPr>
        <w:t>1024</w:t>
      </w:r>
      <w:r>
        <w:rPr>
          <w:rFonts w:ascii="Times New Roman" w:hAnsi="Times New Roman"/>
        </w:rPr>
        <w:t xml:space="preserve"> a Parlamentului European și a Consiliului din </w:t>
      </w:r>
      <w:r w:rsidRPr="002234C8">
        <w:rPr>
          <w:rFonts w:ascii="Times New Roman" w:hAnsi="Times New Roman"/>
        </w:rPr>
        <w:t>20</w:t>
      </w:r>
      <w:r>
        <w:rPr>
          <w:rFonts w:ascii="Times New Roman" w:hAnsi="Times New Roman"/>
        </w:rPr>
        <w:t> iunie </w:t>
      </w:r>
      <w:r w:rsidRPr="002234C8">
        <w:rPr>
          <w:rFonts w:ascii="Times New Roman" w:hAnsi="Times New Roman"/>
        </w:rPr>
        <w:t>2019</w:t>
      </w:r>
      <w:r>
        <w:rPr>
          <w:rFonts w:ascii="Times New Roman" w:hAnsi="Times New Roman"/>
        </w:rPr>
        <w:t xml:space="preserve"> privind datele deschise și reutilizarea informațiilor din sectorul public.</w:t>
      </w:r>
    </w:p>
  </w:footnote>
  <w:footnote w:id="60">
    <w:p w14:paraId="7D9A9328" w14:textId="2063F4AA" w:rsidR="00D057A3" w:rsidRPr="00E0481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Cedefop (</w:t>
      </w:r>
      <w:r w:rsidRPr="002234C8">
        <w:rPr>
          <w:rFonts w:ascii="Times New Roman" w:hAnsi="Times New Roman"/>
        </w:rPr>
        <w:t>2023</w:t>
      </w:r>
      <w:r>
        <w:rPr>
          <w:rFonts w:ascii="Times New Roman" w:hAnsi="Times New Roman"/>
        </w:rPr>
        <w:t xml:space="preserve">). Competențe în tranziție: spre </w:t>
      </w:r>
      <w:r w:rsidRPr="002234C8">
        <w:rPr>
          <w:rFonts w:ascii="Times New Roman" w:hAnsi="Times New Roman"/>
        </w:rPr>
        <w:t>2035</w:t>
      </w:r>
      <w:r>
        <w:rPr>
          <w:rFonts w:ascii="Times New Roman" w:hAnsi="Times New Roman"/>
        </w:rPr>
        <w:t xml:space="preserve">. Luxemburg: Oficiul pentru Publicații. </w:t>
      </w:r>
      <w:hyperlink r:id="rId19" w:history="1">
        <w:r w:rsidRPr="007D3D7E">
          <w:rPr>
            <w:rStyle w:val="Hyperlink"/>
            <w:rFonts w:ascii="Times New Roman" w:hAnsi="Times New Roman"/>
          </w:rPr>
          <w:t>http://data.europa.eu/doi/10.2801/438491</w:t>
        </w:r>
      </w:hyperlink>
      <w:r>
        <w:t>.</w:t>
      </w:r>
      <w:r>
        <w:rPr>
          <w:rFonts w:ascii="Times New Roman" w:hAnsi="Times New Roman"/>
        </w:rPr>
        <w:t xml:space="preserve"> </w:t>
      </w:r>
    </w:p>
  </w:footnote>
  <w:footnote w:id="61">
    <w:p w14:paraId="50B98DC3" w14:textId="7345916E" w:rsidR="4251B09A" w:rsidRPr="00A9342C" w:rsidRDefault="4251B09A" w:rsidP="00A9342C">
      <w:pPr>
        <w:spacing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kern w:val="0"/>
          <w:sz w:val="20"/>
          <w:szCs w:val="20"/>
          <w:lang w:val="en-GB"/>
          <w14:ligatures w14:val="none"/>
        </w:rPr>
        <w:footnoteRef/>
      </w:r>
      <w:r>
        <w:rPr>
          <w:rFonts w:ascii="Times New Roman" w:hAnsi="Times New Roman"/>
          <w:sz w:val="20"/>
        </w:rPr>
        <w:t>Un plan strategic pentru educația în domeniul STEM: competențe pentru competitivitate și inovare COM(</w:t>
      </w:r>
      <w:r w:rsidRPr="002234C8">
        <w:rPr>
          <w:rFonts w:ascii="Times New Roman" w:hAnsi="Times New Roman"/>
          <w:sz w:val="20"/>
        </w:rPr>
        <w:t>2025</w:t>
      </w:r>
      <w:r>
        <w:rPr>
          <w:rFonts w:ascii="Times New Roman" w:hAnsi="Times New Roman"/>
          <w:sz w:val="20"/>
        </w:rPr>
        <w:t>)</w:t>
      </w:r>
      <w:r w:rsidRPr="002234C8">
        <w:rPr>
          <w:rFonts w:ascii="Times New Roman" w:hAnsi="Times New Roman"/>
          <w:sz w:val="20"/>
        </w:rPr>
        <w:t>89</w:t>
      </w:r>
      <w:r>
        <w:rPr>
          <w:rFonts w:ascii="Times New Roman" w:hAnsi="Times New Roman"/>
          <w:sz w:val="20"/>
        </w:rPr>
        <w:t>.</w:t>
      </w:r>
    </w:p>
  </w:footnote>
  <w:footnote w:id="62">
    <w:p w14:paraId="454643A8" w14:textId="5BB30FED" w:rsidR="4251B09A" w:rsidRPr="00A9342C" w:rsidRDefault="4251B09A" w:rsidP="007F521D">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 xml:space="preserve">Regulamentul (UE) </w:t>
      </w:r>
      <w:r w:rsidRPr="002234C8">
        <w:rPr>
          <w:rFonts w:ascii="Times New Roman" w:hAnsi="Times New Roman"/>
          <w:sz w:val="20"/>
        </w:rPr>
        <w:t>2024</w:t>
      </w:r>
      <w:r>
        <w:rPr>
          <w:rFonts w:ascii="Times New Roman" w:hAnsi="Times New Roman"/>
          <w:sz w:val="20"/>
        </w:rPr>
        <w:t>/</w:t>
      </w:r>
      <w:r w:rsidRPr="002234C8">
        <w:rPr>
          <w:rFonts w:ascii="Times New Roman" w:hAnsi="Times New Roman"/>
          <w:sz w:val="20"/>
        </w:rPr>
        <w:t>3236</w:t>
      </w:r>
      <w:r>
        <w:rPr>
          <w:rFonts w:ascii="Times New Roman" w:hAnsi="Times New Roman"/>
          <w:sz w:val="20"/>
        </w:rPr>
        <w:t xml:space="preserve"> al Parlamentului European și al Consiliului din </w:t>
      </w:r>
      <w:r w:rsidRPr="002234C8">
        <w:rPr>
          <w:rFonts w:ascii="Times New Roman" w:hAnsi="Times New Roman"/>
          <w:sz w:val="20"/>
        </w:rPr>
        <w:t>19</w:t>
      </w:r>
      <w:r>
        <w:rPr>
          <w:rFonts w:ascii="Times New Roman" w:hAnsi="Times New Roman"/>
          <w:sz w:val="20"/>
        </w:rPr>
        <w:t xml:space="preserve"> decembrie </w:t>
      </w:r>
      <w:r w:rsidRPr="002234C8">
        <w:rPr>
          <w:rFonts w:ascii="Times New Roman" w:hAnsi="Times New Roman"/>
          <w:sz w:val="20"/>
        </w:rPr>
        <w:t>2024</w:t>
      </w:r>
      <w:r>
        <w:rPr>
          <w:rFonts w:ascii="Times New Roman" w:hAnsi="Times New Roman"/>
          <w:sz w:val="20"/>
        </w:rPr>
        <w:t xml:space="preserve"> de modificare a Regulamentelor (UE) </w:t>
      </w:r>
      <w:r w:rsidRPr="002234C8">
        <w:rPr>
          <w:rFonts w:ascii="Times New Roman" w:hAnsi="Times New Roman"/>
          <w:sz w:val="20"/>
        </w:rPr>
        <w:t>2021</w:t>
      </w:r>
      <w:r>
        <w:rPr>
          <w:rFonts w:ascii="Times New Roman" w:hAnsi="Times New Roman"/>
          <w:sz w:val="20"/>
        </w:rPr>
        <w:t>/</w:t>
      </w:r>
      <w:r w:rsidRPr="002234C8">
        <w:rPr>
          <w:rFonts w:ascii="Times New Roman" w:hAnsi="Times New Roman"/>
          <w:sz w:val="20"/>
        </w:rPr>
        <w:t>1057</w:t>
      </w:r>
      <w:r>
        <w:rPr>
          <w:rFonts w:ascii="Times New Roman" w:hAnsi="Times New Roman"/>
          <w:sz w:val="20"/>
        </w:rPr>
        <w:t xml:space="preserve"> și (UE) </w:t>
      </w:r>
      <w:r w:rsidRPr="002234C8">
        <w:rPr>
          <w:rFonts w:ascii="Times New Roman" w:hAnsi="Times New Roman"/>
          <w:sz w:val="20"/>
        </w:rPr>
        <w:t>2021</w:t>
      </w:r>
      <w:r>
        <w:rPr>
          <w:rFonts w:ascii="Times New Roman" w:hAnsi="Times New Roman"/>
          <w:sz w:val="20"/>
        </w:rPr>
        <w:t>/</w:t>
      </w:r>
      <w:r w:rsidRPr="002234C8">
        <w:rPr>
          <w:rFonts w:ascii="Times New Roman" w:hAnsi="Times New Roman"/>
          <w:sz w:val="20"/>
        </w:rPr>
        <w:t>1058</w:t>
      </w:r>
      <w:r>
        <w:rPr>
          <w:rFonts w:ascii="Times New Roman" w:hAnsi="Times New Roman"/>
          <w:sz w:val="20"/>
        </w:rPr>
        <w:t xml:space="preserve"> în ceea ce privește Sprijinul regional de urgență pentru reconstrucție (RESTORE).</w:t>
      </w:r>
    </w:p>
  </w:footnote>
  <w:footnote w:id="63">
    <w:p w14:paraId="70812CA1" w14:textId="6C32CEEF" w:rsidR="00D057A3" w:rsidRPr="00A9342C" w:rsidRDefault="00D057A3" w:rsidP="00A9342C">
      <w:pPr>
        <w:spacing w:after="0" w:line="240" w:lineRule="auto"/>
        <w:ind w:left="284" w:hanging="284"/>
        <w:jc w:val="both"/>
        <w:rPr>
          <w:rFonts w:ascii="Times New Roman" w:hAnsi="Times New Roman" w:cs="Times New Roman"/>
          <w:sz w:val="20"/>
          <w:szCs w:val="20"/>
        </w:rPr>
      </w:pPr>
      <w:r>
        <w:rPr>
          <w:rFonts w:ascii="Times New Roman" w:eastAsia="Times New Roman" w:hAnsi="Times New Roman" w:cs="Times New Roman"/>
          <w:sz w:val="20"/>
          <w:szCs w:val="20"/>
          <w:vertAlign w:val="superscript"/>
        </w:rPr>
        <w:footnoteRef/>
      </w:r>
      <w:r>
        <w:rPr>
          <w:rFonts w:ascii="Times New Roman" w:hAnsi="Times New Roman"/>
          <w:sz w:val="20"/>
          <w:vertAlign w:val="superscript"/>
        </w:rPr>
        <w:t xml:space="preserve"> </w:t>
      </w:r>
      <w:r>
        <w:tab/>
      </w:r>
      <w:r>
        <w:rPr>
          <w:rFonts w:ascii="Times New Roman" w:hAnsi="Times New Roman"/>
          <w:sz w:val="20"/>
        </w:rPr>
        <w:t>JOIN(</w:t>
      </w:r>
      <w:r w:rsidRPr="002234C8">
        <w:rPr>
          <w:rFonts w:ascii="Times New Roman" w:hAnsi="Times New Roman"/>
          <w:sz w:val="20"/>
        </w:rPr>
        <w:t>2025</w:t>
      </w:r>
      <w:r>
        <w:rPr>
          <w:rFonts w:ascii="Times New Roman" w:hAnsi="Times New Roman"/>
          <w:sz w:val="20"/>
        </w:rPr>
        <w:t>)</w:t>
      </w:r>
      <w:r w:rsidRPr="002234C8">
        <w:rPr>
          <w:rFonts w:ascii="Times New Roman" w:hAnsi="Times New Roman"/>
          <w:sz w:val="20"/>
        </w:rPr>
        <w:t>130</w:t>
      </w:r>
      <w:r>
        <w:rPr>
          <w:rFonts w:ascii="Times New Roman" w:hAnsi="Times New Roman"/>
          <w:sz w:val="20"/>
        </w:rPr>
        <w:t xml:space="preserve"> final. Comunicare comună către Parlamentul European, Consiliul European, Consiliu, Comitetul Economic și Social European și Comitetul Regiunilor referitoare la Strategia europeană privind o Uniune a pregătirii.</w:t>
      </w:r>
    </w:p>
  </w:footnote>
  <w:footnote w:id="64">
    <w:p w14:paraId="5FF11B79" w14:textId="74398AC7" w:rsidR="004B0C18" w:rsidRPr="00A9342C" w:rsidRDefault="004B0C18" w:rsidP="00A9342C">
      <w:pPr>
        <w:spacing w:after="0" w:line="240" w:lineRule="auto"/>
        <w:ind w:left="284" w:hanging="284"/>
        <w:jc w:val="both"/>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rPr>
        <w:t xml:space="preserve"> </w:t>
      </w:r>
      <w:r>
        <w:tab/>
      </w:r>
      <w:r>
        <w:rPr>
          <w:rFonts w:ascii="Times New Roman" w:hAnsi="Times New Roman"/>
          <w:sz w:val="20"/>
        </w:rPr>
        <w:t>Serviciul Copernicus de gestionare a situațiilor de urgență, cu sistemele sale de alertă timpurie pentru incendii forestiere (Sistemul european de informare privind incendiile forestiere – EFFIS), inundații (sistemele european și global de avertizare în caz de inundații – EFAS &amp; GloFAS) și secete (Observatorul european și mondial al secetei – EDO &amp; GDO), precum și instrumentul de vizualizare a zonelor cu risc de inundații pentru informarea publicului.</w:t>
      </w:r>
    </w:p>
  </w:footnote>
  <w:footnote w:id="65">
    <w:p w14:paraId="269A22D6" w14:textId="5E8DDA1E"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Primele obiective ale Uniunii în materie de reziliență la dezastre au fost stabilite în temeiul articolului </w:t>
      </w:r>
      <w:r w:rsidRPr="002234C8">
        <w:rPr>
          <w:rFonts w:ascii="Times New Roman" w:hAnsi="Times New Roman"/>
        </w:rPr>
        <w:t>6</w:t>
      </w:r>
      <w:r>
        <w:rPr>
          <w:rFonts w:ascii="Times New Roman" w:hAnsi="Times New Roman"/>
        </w:rPr>
        <w:t xml:space="preserve"> alineatul (</w:t>
      </w:r>
      <w:r w:rsidRPr="002234C8">
        <w:rPr>
          <w:rFonts w:ascii="Times New Roman" w:hAnsi="Times New Roman"/>
        </w:rPr>
        <w:t>5</w:t>
      </w:r>
      <w:r>
        <w:rPr>
          <w:rFonts w:ascii="Times New Roman" w:hAnsi="Times New Roman"/>
        </w:rPr>
        <w:t xml:space="preserve">) din Decizia privind UCPM și au fost publicate în februarie </w:t>
      </w:r>
      <w:r w:rsidRPr="002234C8">
        <w:rPr>
          <w:rFonts w:ascii="Times New Roman" w:hAnsi="Times New Roman"/>
        </w:rPr>
        <w:t>2023</w:t>
      </w:r>
      <w:r>
        <w:rPr>
          <w:rFonts w:ascii="Times New Roman" w:hAnsi="Times New Roman"/>
        </w:rPr>
        <w:t>. Recomandarea de stabilire a obiectivelor Uniunii în materie de reziliență la dezastre, JO C </w:t>
      </w:r>
      <w:r w:rsidRPr="002234C8">
        <w:rPr>
          <w:rFonts w:ascii="Times New Roman" w:hAnsi="Times New Roman"/>
        </w:rPr>
        <w:t>56</w:t>
      </w:r>
      <w:r>
        <w:rPr>
          <w:rFonts w:ascii="Times New Roman" w:hAnsi="Times New Roman"/>
        </w:rPr>
        <w:t xml:space="preserve">, </w:t>
      </w:r>
      <w:r w:rsidRPr="002234C8">
        <w:rPr>
          <w:rFonts w:ascii="Times New Roman" w:hAnsi="Times New Roman"/>
        </w:rPr>
        <w:t>15</w:t>
      </w:r>
      <w:r>
        <w:rPr>
          <w:rFonts w:ascii="Times New Roman" w:hAnsi="Times New Roman"/>
        </w:rPr>
        <w:t>.</w:t>
      </w:r>
      <w:r w:rsidRPr="002234C8">
        <w:rPr>
          <w:rFonts w:ascii="Times New Roman" w:hAnsi="Times New Roman"/>
        </w:rPr>
        <w:t>2</w:t>
      </w:r>
      <w:r>
        <w:rPr>
          <w:rFonts w:ascii="Times New Roman" w:hAnsi="Times New Roman"/>
        </w:rPr>
        <w:t>.</w:t>
      </w:r>
      <w:r w:rsidRPr="002234C8">
        <w:rPr>
          <w:rFonts w:ascii="Times New Roman" w:hAnsi="Times New Roman"/>
        </w:rPr>
        <w:t>2023</w:t>
      </w:r>
      <w:r>
        <w:rPr>
          <w:rFonts w:ascii="Times New Roman" w:hAnsi="Times New Roman"/>
        </w:rPr>
        <w:t>, p. </w:t>
      </w:r>
      <w:r w:rsidRPr="002234C8">
        <w:rPr>
          <w:rFonts w:ascii="Times New Roman" w:hAnsi="Times New Roman"/>
        </w:rPr>
        <w:t>1</w:t>
      </w:r>
      <w:r>
        <w:rPr>
          <w:rFonts w:ascii="Times New Roman" w:hAnsi="Times New Roman"/>
        </w:rPr>
        <w:t>. Comunicarea „Obiectivele Uniunii în materie de reziliență la dezastre: să acționăm împreună pentru a face față viitoarelor situații de urgență”, COM(</w:t>
      </w:r>
      <w:r w:rsidRPr="002234C8">
        <w:rPr>
          <w:rFonts w:ascii="Times New Roman" w:hAnsi="Times New Roman"/>
        </w:rPr>
        <w:t>2023</w:t>
      </w:r>
      <w:r>
        <w:rPr>
          <w:rFonts w:ascii="Times New Roman" w:hAnsi="Times New Roman"/>
        </w:rPr>
        <w:t xml:space="preserve">) </w:t>
      </w:r>
      <w:r w:rsidRPr="002234C8">
        <w:rPr>
          <w:rFonts w:ascii="Times New Roman" w:hAnsi="Times New Roman"/>
        </w:rPr>
        <w:t>61</w:t>
      </w:r>
      <w:r>
        <w:rPr>
          <w:rFonts w:ascii="Times New Roman" w:hAnsi="Times New Roman"/>
        </w:rPr>
        <w:t>.</w:t>
      </w:r>
    </w:p>
  </w:footnote>
  <w:footnote w:id="66">
    <w:p w14:paraId="733D3EEF" w14:textId="1175F5A5"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Până în </w:t>
      </w:r>
      <w:r w:rsidRPr="002234C8">
        <w:rPr>
          <w:rFonts w:ascii="Times New Roman" w:hAnsi="Times New Roman"/>
        </w:rPr>
        <w:t>2026</w:t>
      </w:r>
      <w:r>
        <w:rPr>
          <w:rFonts w:ascii="Times New Roman" w:hAnsi="Times New Roman"/>
        </w:rPr>
        <w:t>, statele membre vor adopta o strategie pentru consolidarea rezilienței entităților critice, care să acopere sectoarele apei potabile și apelor uzate.</w:t>
      </w:r>
    </w:p>
  </w:footnote>
  <w:footnote w:id="67">
    <w:p w14:paraId="0FA45169" w14:textId="755D81F8" w:rsidR="00D057A3" w:rsidRPr="00A9342C" w:rsidRDefault="00D057A3" w:rsidP="00A9342C">
      <w:pPr>
        <w:pStyle w:val="FootnoteText"/>
        <w:ind w:left="284" w:hanging="28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tab/>
      </w:r>
      <w:r>
        <w:rPr>
          <w:rFonts w:ascii="Times New Roman" w:hAnsi="Times New Roman"/>
        </w:rPr>
        <w:t xml:space="preserve">Directiva (UE) </w:t>
      </w:r>
      <w:r w:rsidRPr="002234C8">
        <w:rPr>
          <w:rFonts w:ascii="Times New Roman" w:hAnsi="Times New Roman"/>
        </w:rPr>
        <w:t>2022</w:t>
      </w:r>
      <w:r>
        <w:rPr>
          <w:rFonts w:ascii="Times New Roman" w:hAnsi="Times New Roman"/>
        </w:rPr>
        <w:t>/</w:t>
      </w:r>
      <w:r w:rsidRPr="002234C8">
        <w:rPr>
          <w:rFonts w:ascii="Times New Roman" w:hAnsi="Times New Roman"/>
        </w:rPr>
        <w:t>2555</w:t>
      </w:r>
      <w:r>
        <w:rPr>
          <w:rFonts w:ascii="Times New Roman" w:hAnsi="Times New Roman"/>
        </w:rPr>
        <w:t xml:space="preserve"> privind măsuri pentru un nivel comun ridicat de securitate cibernetică în Uniune (Directiva NIS </w:t>
      </w:r>
      <w:r w:rsidRPr="002234C8">
        <w:rPr>
          <w:rFonts w:ascii="Times New Roman" w:hAnsi="Times New Roman"/>
        </w:rPr>
        <w:t>2</w:t>
      </w:r>
      <w:r>
        <w:rPr>
          <w:rFonts w:ascii="Times New Roman" w:hAnsi="Times New Roman"/>
        </w:rPr>
        <w:t>), JO L </w:t>
      </w:r>
      <w:r w:rsidRPr="002234C8">
        <w:rPr>
          <w:rFonts w:ascii="Times New Roman" w:hAnsi="Times New Roman"/>
        </w:rPr>
        <w:t>333</w:t>
      </w:r>
      <w:r>
        <w:rPr>
          <w:rFonts w:ascii="Times New Roman" w:hAnsi="Times New Roman"/>
        </w:rPr>
        <w:t xml:space="preserve">, </w:t>
      </w:r>
      <w:r w:rsidRPr="002234C8">
        <w:rPr>
          <w:rFonts w:ascii="Times New Roman" w:hAnsi="Times New Roman"/>
        </w:rPr>
        <w:t>27</w:t>
      </w:r>
      <w:r>
        <w:rPr>
          <w:rFonts w:ascii="Times New Roman" w:hAnsi="Times New Roman"/>
        </w:rPr>
        <w:t>.</w:t>
      </w:r>
      <w:r w:rsidRPr="002234C8">
        <w:rPr>
          <w:rFonts w:ascii="Times New Roman" w:hAnsi="Times New Roman"/>
        </w:rPr>
        <w:t>12</w:t>
      </w:r>
      <w:r>
        <w:rPr>
          <w:rFonts w:ascii="Times New Roman" w:hAnsi="Times New Roman"/>
        </w:rPr>
        <w:t>.</w:t>
      </w:r>
      <w:r w:rsidRPr="002234C8">
        <w:rPr>
          <w:rFonts w:ascii="Times New Roman" w:hAnsi="Times New Roman"/>
        </w:rPr>
        <w:t>2022</w:t>
      </w:r>
      <w:r>
        <w:rPr>
          <w:rFonts w:ascii="Times New Roman" w:hAnsi="Times New Roman"/>
        </w:rPr>
        <w:t>, p. </w:t>
      </w:r>
      <w:r w:rsidRPr="002234C8">
        <w:rPr>
          <w:rFonts w:ascii="Times New Roman" w:hAnsi="Times New Roman"/>
        </w:rPr>
        <w:t>80</w:t>
      </w:r>
      <w:r>
        <w:rPr>
          <w:rFonts w:ascii="Times New Roman" w:hAnsi="Times New Roman"/>
        </w:rPr>
        <w:t xml:space="preserve">. </w:t>
      </w:r>
    </w:p>
  </w:footnote>
  <w:footnote w:id="68">
    <w:p w14:paraId="289D65AE" w14:textId="4E2D28FB" w:rsidR="008C4862" w:rsidRPr="00A9342C" w:rsidRDefault="008C4862"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Style w:val="normaltextrun"/>
          <w:rFonts w:ascii="Times New Roman" w:hAnsi="Times New Roman"/>
        </w:rPr>
        <w:t>ODD </w:t>
      </w:r>
      <w:r w:rsidRPr="002234C8">
        <w:rPr>
          <w:rStyle w:val="normaltextrun"/>
          <w:rFonts w:ascii="Times New Roman" w:hAnsi="Times New Roman"/>
        </w:rPr>
        <w:t>6</w:t>
      </w:r>
      <w:r>
        <w:rPr>
          <w:rStyle w:val="normaltextrun"/>
          <w:rFonts w:ascii="Times New Roman" w:hAnsi="Times New Roman"/>
        </w:rPr>
        <w:t xml:space="preserve"> - Asigurarea disponibilității și a gestionării durabile a apei și a salubrității pentru toți.</w:t>
      </w:r>
    </w:p>
  </w:footnote>
  <w:footnote w:id="69">
    <w:p w14:paraId="68E1430D" w14:textId="358A14AE"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Raportul mondial al ONU din </w:t>
      </w:r>
      <w:r w:rsidRPr="002234C8">
        <w:rPr>
          <w:rFonts w:ascii="Times New Roman" w:hAnsi="Times New Roman"/>
        </w:rPr>
        <w:t>2024</w:t>
      </w:r>
      <w:r>
        <w:rPr>
          <w:rFonts w:ascii="Times New Roman" w:hAnsi="Times New Roman"/>
        </w:rPr>
        <w:t xml:space="preserve"> privind dezvoltarea domeniul apei: „Water for Prosperity and Peace” (Apă pentru prosperitate și pace).</w:t>
      </w:r>
    </w:p>
  </w:footnote>
  <w:footnote w:id="70">
    <w:p w14:paraId="24D62AFB" w14:textId="5D54336C"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0" w:history="1">
        <w:r w:rsidRPr="007D3D7E">
          <w:rPr>
            <w:rStyle w:val="Hyperlink"/>
            <w:rFonts w:ascii="Times New Roman" w:hAnsi="Times New Roman"/>
          </w:rPr>
          <w:t>Rezoluția 79/1 a Adunării Generale a ONU</w:t>
        </w:r>
      </w:hyperlink>
      <w:r>
        <w:t>.</w:t>
      </w:r>
    </w:p>
  </w:footnote>
  <w:footnote w:id="71">
    <w:p w14:paraId="473BB02E" w14:textId="76FB124E"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1" w:history="1">
        <w:r w:rsidRPr="007D3D7E">
          <w:rPr>
            <w:rStyle w:val="Hyperlink"/>
            <w:rFonts w:ascii="Times New Roman" w:hAnsi="Times New Roman"/>
          </w:rPr>
          <w:t>fao.org/fao-who-codexalimentarius/sh-proxy/tr/?lnk=1&amp;url=https%253A%252F%252Fworkspace.fao.org%252Fsites%252Fcodex%252FStandards%252FCXG%2B100-2023%252FCXG_100e.pdf</w:t>
        </w:r>
      </w:hyperlink>
      <w:r>
        <w:t>.</w:t>
      </w:r>
      <w:r>
        <w:rPr>
          <w:rFonts w:ascii="Times New Roman" w:hAnsi="Times New Roman"/>
        </w:rPr>
        <w:t xml:space="preserve"> </w:t>
      </w:r>
    </w:p>
  </w:footnote>
  <w:footnote w:id="72">
    <w:p w14:paraId="57E2BC1C" w14:textId="5E0729E1"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2" w:history="1">
        <w:r w:rsidRPr="007D3D7E">
          <w:rPr>
            <w:rStyle w:val="Hyperlink"/>
            <w:rFonts w:ascii="Times New Roman" w:hAnsi="Times New Roman"/>
          </w:rPr>
          <w:t>https://civil-protection-humanitarian-aid.ec.europa.eu/what/humanitarian-aid/climate-change-and-environment_en</w:t>
        </w:r>
      </w:hyperlink>
      <w:r>
        <w:t>.</w:t>
      </w:r>
      <w:r>
        <w:rPr>
          <w:rFonts w:ascii="Times New Roman" w:hAnsi="Times New Roman"/>
        </w:rPr>
        <w:t xml:space="preserve"> </w:t>
      </w:r>
    </w:p>
  </w:footnote>
  <w:footnote w:id="73">
    <w:p w14:paraId="31FE02C5" w14:textId="371D364A" w:rsidR="0010597D" w:rsidRPr="00A9342C" w:rsidRDefault="0010597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3" w:history="1">
        <w:r w:rsidRPr="007D3D7E">
          <w:rPr>
            <w:rStyle w:val="Hyperlink"/>
            <w:rFonts w:ascii="Times New Roman" w:hAnsi="Times New Roman"/>
          </w:rPr>
          <w:t>https://sdgs.un.org/conferences/water2023/action-agenda</w:t>
        </w:r>
      </w:hyperlink>
      <w:r>
        <w:rPr>
          <w:rFonts w:ascii="Times New Roman" w:hAnsi="Times New Roman"/>
        </w:rPr>
        <w:t>,</w:t>
      </w:r>
      <w:r w:rsidR="002234C8">
        <w:rPr>
          <w:rFonts w:ascii="Times New Roman" w:hAnsi="Times New Roman"/>
        </w:rPr>
        <w:t> </w:t>
      </w:r>
      <w:r>
        <w:rPr>
          <w:rFonts w:ascii="Times New Roman" w:hAnsi="Times New Roman"/>
        </w:rPr>
        <w:t>cu</w:t>
      </w:r>
      <w:r w:rsidR="002234C8">
        <w:rPr>
          <w:rFonts w:ascii="Times New Roman" w:hAnsi="Times New Roman"/>
        </w:rPr>
        <w:t> </w:t>
      </w:r>
      <w:r w:rsidRPr="002234C8">
        <w:rPr>
          <w:rFonts w:ascii="Times New Roman" w:hAnsi="Times New Roman"/>
        </w:rPr>
        <w:t>33</w:t>
      </w:r>
      <w:r w:rsidR="002234C8">
        <w:rPr>
          <w:rFonts w:ascii="Times New Roman" w:hAnsi="Times New Roman"/>
        </w:rPr>
        <w:t> </w:t>
      </w:r>
      <w:r>
        <w:rPr>
          <w:rFonts w:ascii="Times New Roman" w:hAnsi="Times New Roman"/>
        </w:rPr>
        <w:t>de</w:t>
      </w:r>
      <w:r w:rsidR="002234C8">
        <w:rPr>
          <w:rFonts w:ascii="Times New Roman" w:hAnsi="Times New Roman"/>
        </w:rPr>
        <w:t> </w:t>
      </w:r>
      <w:r>
        <w:rPr>
          <w:rFonts w:ascii="Times New Roman" w:hAnsi="Times New Roman"/>
        </w:rPr>
        <w:t>angajamente</w:t>
      </w:r>
      <w:r w:rsidR="002234C8">
        <w:rPr>
          <w:rFonts w:ascii="Times New Roman" w:hAnsi="Times New Roman"/>
        </w:rPr>
        <w:t> </w:t>
      </w:r>
      <w:r>
        <w:rPr>
          <w:rFonts w:ascii="Times New Roman" w:hAnsi="Times New Roman"/>
        </w:rPr>
        <w:t>ale UE</w:t>
      </w:r>
      <w:hyperlink r:id="rId24" w:history="1">
        <w:r w:rsidRPr="007D3D7E">
          <w:rPr>
            <w:rStyle w:val="Hyperlink"/>
            <w:rFonts w:ascii="Times New Roman" w:hAnsi="Times New Roman"/>
          </w:rPr>
          <w:t>https://data.consilium.europa.eu/doc/document/ST-7443-2023-INIT/en/pdf</w:t>
        </w:r>
      </w:hyperlink>
      <w:r>
        <w:rPr>
          <w:rFonts w:ascii="Times New Roman" w:hAnsi="Times New Roman"/>
        </w:rPr>
        <w:t>.</w:t>
      </w:r>
    </w:p>
  </w:footnote>
  <w:footnote w:id="74">
    <w:p w14:paraId="78BD11FC" w14:textId="1B99E967" w:rsidR="0010597D" w:rsidRPr="00A9342C" w:rsidRDefault="0010597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5" w:history="1">
        <w:r w:rsidRPr="007D3D7E">
          <w:rPr>
            <w:rStyle w:val="Hyperlink"/>
            <w:rFonts w:ascii="Times New Roman" w:hAnsi="Times New Roman"/>
          </w:rPr>
          <w:t>https://docs.un.org/en/UNEP/EA.6/RES.13</w:t>
        </w:r>
      </w:hyperlink>
      <w:r>
        <w:rPr>
          <w:rFonts w:ascii="Times New Roman" w:hAnsi="Times New Roman"/>
        </w:rPr>
        <w:t>.</w:t>
      </w:r>
    </w:p>
  </w:footnote>
  <w:footnote w:id="75">
    <w:p w14:paraId="0867E943" w14:textId="079C8747" w:rsidR="0010597D" w:rsidRPr="00A9342C" w:rsidRDefault="0010597D"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6" w:history="1">
        <w:r w:rsidRPr="007D3D7E">
          <w:rPr>
            <w:rStyle w:val="Hyperlink"/>
            <w:rFonts w:ascii="Times New Roman" w:hAnsi="Times New Roman"/>
          </w:rPr>
          <w:t>UN_System-wide_Strategy_for_Water_and_Sanitation_July2024_vs23July2024.pdf</w:t>
        </w:r>
      </w:hyperlink>
      <w:r>
        <w:rPr>
          <w:rFonts w:ascii="Times New Roman" w:hAnsi="Times New Roman"/>
        </w:rPr>
        <w:t>.</w:t>
      </w:r>
    </w:p>
  </w:footnote>
  <w:footnote w:id="76">
    <w:p w14:paraId="70FB450D" w14:textId="1AFE559C"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Convenția privind protecția și utilizarea cursurilor de apă transfrontaliere și a lacurilor internaționale.</w:t>
      </w:r>
    </w:p>
  </w:footnote>
  <w:footnote w:id="77">
    <w:p w14:paraId="7294FC94" w14:textId="2A26F899"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Strategia europeană de abordare a celor mai presante provocări globale și de mobilizare a unor investiții în valoare de până la </w:t>
      </w:r>
      <w:r w:rsidRPr="002234C8">
        <w:rPr>
          <w:rFonts w:ascii="Times New Roman" w:hAnsi="Times New Roman"/>
        </w:rPr>
        <w:t>300</w:t>
      </w:r>
      <w:r>
        <w:rPr>
          <w:rFonts w:ascii="Times New Roman" w:hAnsi="Times New Roman"/>
        </w:rPr>
        <w:t xml:space="preserve"> de miliarde EUR pentru proiecte durabile și de înaltă calitate </w:t>
      </w:r>
      <w:hyperlink r:id="rId27" w:history="1">
        <w:r w:rsidRPr="007D3D7E">
          <w:rPr>
            <w:rStyle w:val="Hyperlink"/>
            <w:rFonts w:ascii="Times New Roman" w:hAnsi="Times New Roman"/>
          </w:rPr>
          <w:t>https://commission.europa.eu/strategy-and-policy/priorities-2019-2024/stronger-europe-world/global-gateway_en</w:t>
        </w:r>
      </w:hyperlink>
      <w:r w:rsidRPr="007D3D7E">
        <w:rPr>
          <w:rStyle w:val="Hyperlink"/>
          <w:rFonts w:ascii="Times New Roman" w:hAnsi="Times New Roman"/>
        </w:rPr>
        <w:t>.</w:t>
      </w:r>
    </w:p>
  </w:footnote>
  <w:footnote w:id="78">
    <w:p w14:paraId="72D66EC1" w14:textId="1FEB58DA" w:rsidR="4251B09A" w:rsidRPr="00A9342C" w:rsidRDefault="4251B09A" w:rsidP="006F5FB3">
      <w:pPr>
        <w:spacing w:after="0" w:line="240" w:lineRule="auto"/>
        <w:ind w:left="284" w:hanging="284"/>
        <w:jc w:val="both"/>
        <w:rPr>
          <w:rFonts w:ascii="Times New Roman" w:eastAsia="Aptos" w:hAnsi="Times New Roman" w:cs="Times New Roman"/>
          <w:sz w:val="20"/>
          <w:szCs w:val="20"/>
        </w:rPr>
      </w:pPr>
      <w:r>
        <w:rPr>
          <w:rStyle w:val="FootnoteReference"/>
          <w:rFonts w:ascii="Times New Roman" w:hAnsi="Times New Roman" w:cs="Times New Roman"/>
          <w:kern w:val="0"/>
          <w:sz w:val="20"/>
          <w:szCs w:val="20"/>
          <w:lang w:val="en-GB"/>
          <w14:ligatures w14:val="none"/>
        </w:rPr>
        <w:footnoteRef/>
      </w:r>
      <w:r>
        <w:rPr>
          <w:rStyle w:val="FootnoteReference"/>
          <w:rFonts w:ascii="Times New Roman" w:hAnsi="Times New Roman"/>
          <w:sz w:val="20"/>
        </w:rPr>
        <w:t xml:space="preserve"> </w:t>
      </w:r>
      <w:r>
        <w:tab/>
      </w:r>
      <w:r>
        <w:rPr>
          <w:rFonts w:ascii="Times New Roman" w:hAnsi="Times New Roman"/>
          <w:sz w:val="20"/>
        </w:rPr>
        <w:t>JOIN(</w:t>
      </w:r>
      <w:r w:rsidRPr="002234C8">
        <w:rPr>
          <w:rFonts w:ascii="Times New Roman" w:hAnsi="Times New Roman"/>
          <w:sz w:val="20"/>
        </w:rPr>
        <w:t>2025</w:t>
      </w:r>
      <w:r>
        <w:rPr>
          <w:rFonts w:ascii="Times New Roman" w:hAnsi="Times New Roman"/>
          <w:sz w:val="20"/>
        </w:rPr>
        <w:t xml:space="preserve">) </w:t>
      </w:r>
      <w:r w:rsidRPr="002234C8">
        <w:rPr>
          <w:rFonts w:ascii="Times New Roman" w:hAnsi="Times New Roman"/>
          <w:sz w:val="20"/>
        </w:rPr>
        <w:t>135</w:t>
      </w:r>
      <w:r>
        <w:rPr>
          <w:rFonts w:ascii="Times New Roman" w:hAnsi="Times New Roman"/>
          <w:sz w:val="20"/>
        </w:rPr>
        <w:t>/</w:t>
      </w:r>
      <w:r w:rsidRPr="002234C8">
        <w:rPr>
          <w:rFonts w:ascii="Times New Roman" w:hAnsi="Times New Roman"/>
          <w:sz w:val="20"/>
        </w:rPr>
        <w:t>3</w:t>
      </w:r>
      <w:r>
        <w:rPr>
          <w:rFonts w:ascii="Times New Roman" w:hAnsi="Times New Roman"/>
          <w:sz w:val="20"/>
        </w:rPr>
        <w:t xml:space="preserve">, Comunicare comună către Parlamentul European și Consiliu – Abordarea strategică a Uniunii Europene cu privire la regiunea Mării Negre. </w:t>
      </w:r>
    </w:p>
  </w:footnote>
  <w:footnote w:id="79">
    <w:p w14:paraId="58AAB984" w14:textId="27691CAF" w:rsidR="003E152B" w:rsidRPr="00A9342C" w:rsidRDefault="003E152B"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8" w:history="1">
        <w:r w:rsidRPr="007D3D7E">
          <w:rPr>
            <w:rStyle w:val="Hyperlink"/>
            <w:rFonts w:ascii="Times New Roman" w:hAnsi="Times New Roman"/>
          </w:rPr>
          <w:t>Tratatul de instituire a Comunității Energiei – pagina de internet a Comunității Energiei</w:t>
        </w:r>
      </w:hyperlink>
      <w:r>
        <w:t>.</w:t>
      </w:r>
    </w:p>
  </w:footnote>
  <w:footnote w:id="80">
    <w:p w14:paraId="4D7EE087" w14:textId="3406E0F0" w:rsidR="00922BFF" w:rsidRPr="00A9342C" w:rsidRDefault="00922BFF"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9" w:history="1">
        <w:r w:rsidRPr="007D3D7E">
          <w:rPr>
            <w:rStyle w:val="Hyperlink"/>
            <w:rFonts w:ascii="Times New Roman" w:hAnsi="Times New Roman"/>
          </w:rPr>
          <w:t>https://www.eib.org/files/press/CommitmenttoWaterSecuritywithlogos.pdf</w:t>
        </w:r>
      </w:hyperlink>
      <w:r>
        <w:t>.</w:t>
      </w:r>
      <w:r>
        <w:rPr>
          <w:rFonts w:ascii="Times New Roman" w:hAnsi="Times New Roman"/>
        </w:rPr>
        <w:t xml:space="preserve"> </w:t>
      </w:r>
    </w:p>
  </w:footnote>
  <w:footnote w:id="81">
    <w:p w14:paraId="2F3E6530" w14:textId="06783935" w:rsidR="00912BD9" w:rsidRPr="00A9342C" w:rsidRDefault="00912BD9" w:rsidP="00A9342C">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0" w:history="1">
        <w:r w:rsidRPr="007D3D7E">
          <w:rPr>
            <w:rStyle w:val="Hyperlink"/>
            <w:rFonts w:ascii="Times New Roman" w:hAnsi="Times New Roman"/>
          </w:rPr>
          <w:t>https://www.cbd.int/gbf/targets</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FD40B" w14:textId="77777777" w:rsidR="002A3248" w:rsidRPr="002A3248" w:rsidRDefault="002A3248" w:rsidP="002A324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044C" w14:textId="77777777" w:rsidR="002A3248" w:rsidRPr="002A3248" w:rsidRDefault="002A3248" w:rsidP="002A32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D5D97" w14:textId="77777777" w:rsidR="002A3248" w:rsidRPr="002A3248" w:rsidRDefault="002A3248" w:rsidP="002A32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AD7B3" w14:textId="77777777" w:rsidR="00D057A3" w:rsidRDefault="00D057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A5B1F" w14:textId="77777777" w:rsidR="00D057A3" w:rsidRDefault="00D057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95CBE" w14:textId="77777777" w:rsidR="00D057A3" w:rsidRDefault="00D057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200CC"/>
    <w:multiLevelType w:val="multilevel"/>
    <w:tmpl w:val="7E02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F17ADC"/>
    <w:multiLevelType w:val="hybridMultilevel"/>
    <w:tmpl w:val="0660D8FC"/>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A7703C6"/>
    <w:multiLevelType w:val="hybridMultilevel"/>
    <w:tmpl w:val="F52889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B9A10AC"/>
    <w:multiLevelType w:val="hybridMultilevel"/>
    <w:tmpl w:val="8946A604"/>
    <w:name w:val="Point"/>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C103426"/>
    <w:multiLevelType w:val="hybridMultilevel"/>
    <w:tmpl w:val="95267CEE"/>
    <w:name w:val="Point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C8A0068"/>
    <w:multiLevelType w:val="hybridMultilevel"/>
    <w:tmpl w:val="A89856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4382E39"/>
    <w:multiLevelType w:val="hybridMultilevel"/>
    <w:tmpl w:val="11B6B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6A22142"/>
    <w:multiLevelType w:val="hybridMultilevel"/>
    <w:tmpl w:val="551ECB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9CE2501"/>
    <w:multiLevelType w:val="hybridMultilevel"/>
    <w:tmpl w:val="9B208182"/>
    <w:lvl w:ilvl="0" w:tplc="1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6"/>
  </w:num>
  <w:num w:numId="2">
    <w:abstractNumId w:val="1"/>
  </w:num>
  <w:num w:numId="3">
    <w:abstractNumId w:val="8"/>
  </w:num>
  <w:num w:numId="4">
    <w:abstractNumId w:val="0"/>
  </w:num>
  <w:num w:numId="5">
    <w:abstractNumId w:val="5"/>
  </w:num>
  <w:num w:numId="6">
    <w:abstractNumId w:val="3"/>
  </w:num>
  <w:num w:numId="7">
    <w:abstractNumId w:val="2"/>
  </w:num>
  <w:num w:numId="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7AC7D708-269A-437B-A60A-3D59DAED6299"/>
    <w:docVar w:name="LW_COVERPAGE_TYPE" w:val="1"/>
    <w:docVar w:name="LW_CROSSREFERENCE" w:val="&lt;UNUSED&gt;"/>
    <w:docVar w:name="LW_DocType" w:val="NORMAL"/>
    <w:docVar w:name="LW_EMISSION" w:val="4.6.2025"/>
    <w:docVar w:name="LW_EMISSION_ISODATE" w:val="2025-06-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Strategie european\u259? pentru rezilien\u539?a în domeniul apei"/>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5705DA"/>
    <w:rsid w:val="00000247"/>
    <w:rsid w:val="000003C8"/>
    <w:rsid w:val="0000047D"/>
    <w:rsid w:val="000004F7"/>
    <w:rsid w:val="00000511"/>
    <w:rsid w:val="000007A0"/>
    <w:rsid w:val="000007B0"/>
    <w:rsid w:val="00000897"/>
    <w:rsid w:val="000009FD"/>
    <w:rsid w:val="00000A4D"/>
    <w:rsid w:val="00000D25"/>
    <w:rsid w:val="00000E66"/>
    <w:rsid w:val="00000EC2"/>
    <w:rsid w:val="0000138E"/>
    <w:rsid w:val="000013E8"/>
    <w:rsid w:val="00001510"/>
    <w:rsid w:val="00001602"/>
    <w:rsid w:val="000016E0"/>
    <w:rsid w:val="00001779"/>
    <w:rsid w:val="00001842"/>
    <w:rsid w:val="00001A9C"/>
    <w:rsid w:val="00001AFE"/>
    <w:rsid w:val="00001C10"/>
    <w:rsid w:val="00001DB2"/>
    <w:rsid w:val="00001E54"/>
    <w:rsid w:val="00001F62"/>
    <w:rsid w:val="00001F98"/>
    <w:rsid w:val="00001FCA"/>
    <w:rsid w:val="000020F5"/>
    <w:rsid w:val="0000215D"/>
    <w:rsid w:val="00002162"/>
    <w:rsid w:val="000021F4"/>
    <w:rsid w:val="0000238B"/>
    <w:rsid w:val="0000245C"/>
    <w:rsid w:val="00002641"/>
    <w:rsid w:val="000026D7"/>
    <w:rsid w:val="00002704"/>
    <w:rsid w:val="00002738"/>
    <w:rsid w:val="00002762"/>
    <w:rsid w:val="0000286C"/>
    <w:rsid w:val="00002982"/>
    <w:rsid w:val="00002AA8"/>
    <w:rsid w:val="00002B8D"/>
    <w:rsid w:val="00002C08"/>
    <w:rsid w:val="00002D76"/>
    <w:rsid w:val="00002DE4"/>
    <w:rsid w:val="00003297"/>
    <w:rsid w:val="000033CA"/>
    <w:rsid w:val="000035F3"/>
    <w:rsid w:val="00003738"/>
    <w:rsid w:val="0000374F"/>
    <w:rsid w:val="000038A8"/>
    <w:rsid w:val="000038AF"/>
    <w:rsid w:val="00003990"/>
    <w:rsid w:val="00004302"/>
    <w:rsid w:val="000045F9"/>
    <w:rsid w:val="00004677"/>
    <w:rsid w:val="000046EB"/>
    <w:rsid w:val="00004B69"/>
    <w:rsid w:val="00004D5A"/>
    <w:rsid w:val="00004FBF"/>
    <w:rsid w:val="00005001"/>
    <w:rsid w:val="00005291"/>
    <w:rsid w:val="000052E4"/>
    <w:rsid w:val="00005394"/>
    <w:rsid w:val="000053F5"/>
    <w:rsid w:val="00005423"/>
    <w:rsid w:val="0000543B"/>
    <w:rsid w:val="00005576"/>
    <w:rsid w:val="000056DF"/>
    <w:rsid w:val="0000576F"/>
    <w:rsid w:val="0000581A"/>
    <w:rsid w:val="00005AA5"/>
    <w:rsid w:val="00005D00"/>
    <w:rsid w:val="00005D3D"/>
    <w:rsid w:val="00006259"/>
    <w:rsid w:val="00006271"/>
    <w:rsid w:val="00006460"/>
    <w:rsid w:val="00006889"/>
    <w:rsid w:val="0000698F"/>
    <w:rsid w:val="00007111"/>
    <w:rsid w:val="000071F1"/>
    <w:rsid w:val="00007217"/>
    <w:rsid w:val="000072C4"/>
    <w:rsid w:val="000073A6"/>
    <w:rsid w:val="00007461"/>
    <w:rsid w:val="000074F1"/>
    <w:rsid w:val="000076A0"/>
    <w:rsid w:val="000076CD"/>
    <w:rsid w:val="00007A85"/>
    <w:rsid w:val="00007AAA"/>
    <w:rsid w:val="00007ECB"/>
    <w:rsid w:val="00010023"/>
    <w:rsid w:val="00010139"/>
    <w:rsid w:val="000103D0"/>
    <w:rsid w:val="0001046F"/>
    <w:rsid w:val="000104DA"/>
    <w:rsid w:val="00010638"/>
    <w:rsid w:val="00010994"/>
    <w:rsid w:val="00010A73"/>
    <w:rsid w:val="00010B51"/>
    <w:rsid w:val="00010C60"/>
    <w:rsid w:val="00010C7C"/>
    <w:rsid w:val="00010C92"/>
    <w:rsid w:val="00010CDE"/>
    <w:rsid w:val="00010D32"/>
    <w:rsid w:val="00010D3C"/>
    <w:rsid w:val="00010EF1"/>
    <w:rsid w:val="0001107F"/>
    <w:rsid w:val="00011116"/>
    <w:rsid w:val="000111C0"/>
    <w:rsid w:val="00011205"/>
    <w:rsid w:val="00011341"/>
    <w:rsid w:val="000114E2"/>
    <w:rsid w:val="0001150D"/>
    <w:rsid w:val="00011876"/>
    <w:rsid w:val="00011947"/>
    <w:rsid w:val="00011BE8"/>
    <w:rsid w:val="00011C0D"/>
    <w:rsid w:val="00011CFB"/>
    <w:rsid w:val="00011F2B"/>
    <w:rsid w:val="00011F39"/>
    <w:rsid w:val="00012045"/>
    <w:rsid w:val="000121DF"/>
    <w:rsid w:val="000121F6"/>
    <w:rsid w:val="0001231D"/>
    <w:rsid w:val="00012369"/>
    <w:rsid w:val="000124B7"/>
    <w:rsid w:val="000124CA"/>
    <w:rsid w:val="000126B1"/>
    <w:rsid w:val="00012896"/>
    <w:rsid w:val="000128A5"/>
    <w:rsid w:val="000129BD"/>
    <w:rsid w:val="00012AFF"/>
    <w:rsid w:val="00012BF5"/>
    <w:rsid w:val="00012CDF"/>
    <w:rsid w:val="00012D09"/>
    <w:rsid w:val="00012D66"/>
    <w:rsid w:val="00012E4F"/>
    <w:rsid w:val="00013010"/>
    <w:rsid w:val="00013116"/>
    <w:rsid w:val="0001318F"/>
    <w:rsid w:val="00013697"/>
    <w:rsid w:val="00013994"/>
    <w:rsid w:val="00013A1E"/>
    <w:rsid w:val="00013A31"/>
    <w:rsid w:val="00013A50"/>
    <w:rsid w:val="00013AF5"/>
    <w:rsid w:val="00013B97"/>
    <w:rsid w:val="00013BB8"/>
    <w:rsid w:val="00013DD3"/>
    <w:rsid w:val="00013EBE"/>
    <w:rsid w:val="00013FAF"/>
    <w:rsid w:val="00014082"/>
    <w:rsid w:val="000140D7"/>
    <w:rsid w:val="0001416B"/>
    <w:rsid w:val="00014357"/>
    <w:rsid w:val="00014679"/>
    <w:rsid w:val="0001474D"/>
    <w:rsid w:val="00014A23"/>
    <w:rsid w:val="00014B86"/>
    <w:rsid w:val="00014F86"/>
    <w:rsid w:val="00014F8C"/>
    <w:rsid w:val="000150E9"/>
    <w:rsid w:val="00015158"/>
    <w:rsid w:val="0001537C"/>
    <w:rsid w:val="0001565D"/>
    <w:rsid w:val="00015754"/>
    <w:rsid w:val="00015801"/>
    <w:rsid w:val="00015988"/>
    <w:rsid w:val="00015BAB"/>
    <w:rsid w:val="00015BEF"/>
    <w:rsid w:val="00015DD3"/>
    <w:rsid w:val="00016459"/>
    <w:rsid w:val="0001657F"/>
    <w:rsid w:val="000166F2"/>
    <w:rsid w:val="000167E9"/>
    <w:rsid w:val="00016A03"/>
    <w:rsid w:val="00016B3A"/>
    <w:rsid w:val="00016D09"/>
    <w:rsid w:val="00016DF7"/>
    <w:rsid w:val="0001720E"/>
    <w:rsid w:val="00017277"/>
    <w:rsid w:val="0001743E"/>
    <w:rsid w:val="0001769F"/>
    <w:rsid w:val="000176B8"/>
    <w:rsid w:val="0001772C"/>
    <w:rsid w:val="0001777A"/>
    <w:rsid w:val="000177AC"/>
    <w:rsid w:val="00017839"/>
    <w:rsid w:val="00017AE7"/>
    <w:rsid w:val="00017FA2"/>
    <w:rsid w:val="000202E9"/>
    <w:rsid w:val="00020498"/>
    <w:rsid w:val="00020529"/>
    <w:rsid w:val="00020538"/>
    <w:rsid w:val="00020589"/>
    <w:rsid w:val="00020729"/>
    <w:rsid w:val="00020906"/>
    <w:rsid w:val="0002096D"/>
    <w:rsid w:val="000209BD"/>
    <w:rsid w:val="00020A2A"/>
    <w:rsid w:val="00020A4A"/>
    <w:rsid w:val="00020B94"/>
    <w:rsid w:val="00020CE5"/>
    <w:rsid w:val="00020D13"/>
    <w:rsid w:val="00020EBD"/>
    <w:rsid w:val="00020EFB"/>
    <w:rsid w:val="00020F2F"/>
    <w:rsid w:val="00020F4D"/>
    <w:rsid w:val="00021313"/>
    <w:rsid w:val="00021472"/>
    <w:rsid w:val="00021673"/>
    <w:rsid w:val="000216D8"/>
    <w:rsid w:val="00021722"/>
    <w:rsid w:val="00021768"/>
    <w:rsid w:val="00021874"/>
    <w:rsid w:val="00021892"/>
    <w:rsid w:val="00021A44"/>
    <w:rsid w:val="00021D57"/>
    <w:rsid w:val="00021D65"/>
    <w:rsid w:val="00021D8E"/>
    <w:rsid w:val="00021E28"/>
    <w:rsid w:val="00021FA2"/>
    <w:rsid w:val="000220EA"/>
    <w:rsid w:val="000221BB"/>
    <w:rsid w:val="0002239A"/>
    <w:rsid w:val="0002243C"/>
    <w:rsid w:val="00022440"/>
    <w:rsid w:val="000224B1"/>
    <w:rsid w:val="0002256D"/>
    <w:rsid w:val="000225A5"/>
    <w:rsid w:val="00022610"/>
    <w:rsid w:val="0002263A"/>
    <w:rsid w:val="00022781"/>
    <w:rsid w:val="00022C50"/>
    <w:rsid w:val="00022D7B"/>
    <w:rsid w:val="000230CD"/>
    <w:rsid w:val="000232BC"/>
    <w:rsid w:val="000233AC"/>
    <w:rsid w:val="00023473"/>
    <w:rsid w:val="00023639"/>
    <w:rsid w:val="000236B7"/>
    <w:rsid w:val="00023896"/>
    <w:rsid w:val="000238BC"/>
    <w:rsid w:val="000239F9"/>
    <w:rsid w:val="00023B43"/>
    <w:rsid w:val="00023B49"/>
    <w:rsid w:val="00023E14"/>
    <w:rsid w:val="00023E50"/>
    <w:rsid w:val="00023E76"/>
    <w:rsid w:val="00023E8C"/>
    <w:rsid w:val="00023EB9"/>
    <w:rsid w:val="00024138"/>
    <w:rsid w:val="00024159"/>
    <w:rsid w:val="0002432A"/>
    <w:rsid w:val="000243EE"/>
    <w:rsid w:val="00024462"/>
    <w:rsid w:val="0002455A"/>
    <w:rsid w:val="000245D2"/>
    <w:rsid w:val="000248A4"/>
    <w:rsid w:val="000248FF"/>
    <w:rsid w:val="00024B55"/>
    <w:rsid w:val="00024B5B"/>
    <w:rsid w:val="00024C64"/>
    <w:rsid w:val="00024EF0"/>
    <w:rsid w:val="00024FE8"/>
    <w:rsid w:val="00025043"/>
    <w:rsid w:val="000251A2"/>
    <w:rsid w:val="000251A6"/>
    <w:rsid w:val="00025232"/>
    <w:rsid w:val="00025257"/>
    <w:rsid w:val="0002526E"/>
    <w:rsid w:val="00025346"/>
    <w:rsid w:val="000254DA"/>
    <w:rsid w:val="000256A4"/>
    <w:rsid w:val="000256B1"/>
    <w:rsid w:val="000256DD"/>
    <w:rsid w:val="0002573B"/>
    <w:rsid w:val="000257A9"/>
    <w:rsid w:val="00025833"/>
    <w:rsid w:val="000258C5"/>
    <w:rsid w:val="00025992"/>
    <w:rsid w:val="000259B5"/>
    <w:rsid w:val="00025CB3"/>
    <w:rsid w:val="00025D7D"/>
    <w:rsid w:val="00026086"/>
    <w:rsid w:val="000260C0"/>
    <w:rsid w:val="00026140"/>
    <w:rsid w:val="000261C2"/>
    <w:rsid w:val="000261C8"/>
    <w:rsid w:val="00026334"/>
    <w:rsid w:val="000263A5"/>
    <w:rsid w:val="00026508"/>
    <w:rsid w:val="00026539"/>
    <w:rsid w:val="00026833"/>
    <w:rsid w:val="00026878"/>
    <w:rsid w:val="00026992"/>
    <w:rsid w:val="000269B8"/>
    <w:rsid w:val="000269E1"/>
    <w:rsid w:val="00026C68"/>
    <w:rsid w:val="00026D82"/>
    <w:rsid w:val="00026EA0"/>
    <w:rsid w:val="00027105"/>
    <w:rsid w:val="00027136"/>
    <w:rsid w:val="000271B8"/>
    <w:rsid w:val="0002737E"/>
    <w:rsid w:val="000274A7"/>
    <w:rsid w:val="00027573"/>
    <w:rsid w:val="000275D1"/>
    <w:rsid w:val="00027700"/>
    <w:rsid w:val="00027982"/>
    <w:rsid w:val="00027B87"/>
    <w:rsid w:val="00027C7D"/>
    <w:rsid w:val="00027CC6"/>
    <w:rsid w:val="00027D38"/>
    <w:rsid w:val="00027EA0"/>
    <w:rsid w:val="0003029C"/>
    <w:rsid w:val="00030666"/>
    <w:rsid w:val="00030722"/>
    <w:rsid w:val="00030A21"/>
    <w:rsid w:val="00030A89"/>
    <w:rsid w:val="00030C83"/>
    <w:rsid w:val="00030C85"/>
    <w:rsid w:val="00030E06"/>
    <w:rsid w:val="00030F89"/>
    <w:rsid w:val="0003102C"/>
    <w:rsid w:val="00031160"/>
    <w:rsid w:val="00031185"/>
    <w:rsid w:val="000313A8"/>
    <w:rsid w:val="00031482"/>
    <w:rsid w:val="0003152D"/>
    <w:rsid w:val="00031566"/>
    <w:rsid w:val="000315A4"/>
    <w:rsid w:val="0003163B"/>
    <w:rsid w:val="0003185A"/>
    <w:rsid w:val="000318D7"/>
    <w:rsid w:val="000319FB"/>
    <w:rsid w:val="00031BAB"/>
    <w:rsid w:val="00031E35"/>
    <w:rsid w:val="0003213C"/>
    <w:rsid w:val="00032244"/>
    <w:rsid w:val="000323A5"/>
    <w:rsid w:val="00032428"/>
    <w:rsid w:val="00032511"/>
    <w:rsid w:val="00032572"/>
    <w:rsid w:val="00032830"/>
    <w:rsid w:val="00032835"/>
    <w:rsid w:val="0003283F"/>
    <w:rsid w:val="00032D70"/>
    <w:rsid w:val="00032E67"/>
    <w:rsid w:val="00033038"/>
    <w:rsid w:val="0003308E"/>
    <w:rsid w:val="0003321D"/>
    <w:rsid w:val="00033553"/>
    <w:rsid w:val="000336CE"/>
    <w:rsid w:val="00033807"/>
    <w:rsid w:val="0003387F"/>
    <w:rsid w:val="00033982"/>
    <w:rsid w:val="00033B2C"/>
    <w:rsid w:val="00033B30"/>
    <w:rsid w:val="00033C40"/>
    <w:rsid w:val="00033ECE"/>
    <w:rsid w:val="00033FC6"/>
    <w:rsid w:val="000341FE"/>
    <w:rsid w:val="0003427B"/>
    <w:rsid w:val="000343C7"/>
    <w:rsid w:val="00034839"/>
    <w:rsid w:val="00034970"/>
    <w:rsid w:val="00034A2F"/>
    <w:rsid w:val="00034BD6"/>
    <w:rsid w:val="00034C3B"/>
    <w:rsid w:val="00034D1F"/>
    <w:rsid w:val="00035333"/>
    <w:rsid w:val="000354A6"/>
    <w:rsid w:val="0003557C"/>
    <w:rsid w:val="00035660"/>
    <w:rsid w:val="0003572D"/>
    <w:rsid w:val="0003590C"/>
    <w:rsid w:val="00035971"/>
    <w:rsid w:val="000359B5"/>
    <w:rsid w:val="00035AAA"/>
    <w:rsid w:val="00035BA9"/>
    <w:rsid w:val="00035FE8"/>
    <w:rsid w:val="00035FF3"/>
    <w:rsid w:val="00036070"/>
    <w:rsid w:val="00036272"/>
    <w:rsid w:val="00036484"/>
    <w:rsid w:val="000367C7"/>
    <w:rsid w:val="00036A93"/>
    <w:rsid w:val="00036AC7"/>
    <w:rsid w:val="00036AE2"/>
    <w:rsid w:val="00036BBD"/>
    <w:rsid w:val="00036D51"/>
    <w:rsid w:val="00036DF0"/>
    <w:rsid w:val="00036E74"/>
    <w:rsid w:val="00036F19"/>
    <w:rsid w:val="00036FA7"/>
    <w:rsid w:val="00036FC6"/>
    <w:rsid w:val="0003723D"/>
    <w:rsid w:val="0003745E"/>
    <w:rsid w:val="0003755F"/>
    <w:rsid w:val="000376CF"/>
    <w:rsid w:val="0003771D"/>
    <w:rsid w:val="0003778C"/>
    <w:rsid w:val="00037863"/>
    <w:rsid w:val="00037A21"/>
    <w:rsid w:val="00037A7E"/>
    <w:rsid w:val="00037F0F"/>
    <w:rsid w:val="0003B473"/>
    <w:rsid w:val="000400F7"/>
    <w:rsid w:val="00040452"/>
    <w:rsid w:val="000405AD"/>
    <w:rsid w:val="000405CB"/>
    <w:rsid w:val="000405F4"/>
    <w:rsid w:val="000405F9"/>
    <w:rsid w:val="00040624"/>
    <w:rsid w:val="0004069B"/>
    <w:rsid w:val="000406F3"/>
    <w:rsid w:val="000407FD"/>
    <w:rsid w:val="00040A89"/>
    <w:rsid w:val="00040C7F"/>
    <w:rsid w:val="00040CD2"/>
    <w:rsid w:val="00040E99"/>
    <w:rsid w:val="00041232"/>
    <w:rsid w:val="00041463"/>
    <w:rsid w:val="00041537"/>
    <w:rsid w:val="000418CE"/>
    <w:rsid w:val="00041A0D"/>
    <w:rsid w:val="00041A62"/>
    <w:rsid w:val="00041A68"/>
    <w:rsid w:val="00041D59"/>
    <w:rsid w:val="00041D94"/>
    <w:rsid w:val="00041E92"/>
    <w:rsid w:val="00041F4C"/>
    <w:rsid w:val="00042068"/>
    <w:rsid w:val="0004238C"/>
    <w:rsid w:val="00042424"/>
    <w:rsid w:val="000424F3"/>
    <w:rsid w:val="00042774"/>
    <w:rsid w:val="000427A3"/>
    <w:rsid w:val="000427C2"/>
    <w:rsid w:val="000427E2"/>
    <w:rsid w:val="00042827"/>
    <w:rsid w:val="00042915"/>
    <w:rsid w:val="00042A9C"/>
    <w:rsid w:val="00042B7F"/>
    <w:rsid w:val="000430DB"/>
    <w:rsid w:val="000431F5"/>
    <w:rsid w:val="00043431"/>
    <w:rsid w:val="00043450"/>
    <w:rsid w:val="000435A0"/>
    <w:rsid w:val="000435E1"/>
    <w:rsid w:val="000437D7"/>
    <w:rsid w:val="0004395A"/>
    <w:rsid w:val="000439DE"/>
    <w:rsid w:val="00043A63"/>
    <w:rsid w:val="00043B63"/>
    <w:rsid w:val="00043D76"/>
    <w:rsid w:val="00043EE9"/>
    <w:rsid w:val="00043F60"/>
    <w:rsid w:val="00044022"/>
    <w:rsid w:val="000440A7"/>
    <w:rsid w:val="000441BD"/>
    <w:rsid w:val="00044280"/>
    <w:rsid w:val="000443CD"/>
    <w:rsid w:val="000444FC"/>
    <w:rsid w:val="00044656"/>
    <w:rsid w:val="000446A6"/>
    <w:rsid w:val="000446F5"/>
    <w:rsid w:val="00044727"/>
    <w:rsid w:val="000447D7"/>
    <w:rsid w:val="00044925"/>
    <w:rsid w:val="00044A4D"/>
    <w:rsid w:val="00044B36"/>
    <w:rsid w:val="00044C45"/>
    <w:rsid w:val="00044CB3"/>
    <w:rsid w:val="00044DA7"/>
    <w:rsid w:val="00044E5B"/>
    <w:rsid w:val="00044F3C"/>
    <w:rsid w:val="00044F51"/>
    <w:rsid w:val="000450B2"/>
    <w:rsid w:val="000451FD"/>
    <w:rsid w:val="00045351"/>
    <w:rsid w:val="00045566"/>
    <w:rsid w:val="00045AF7"/>
    <w:rsid w:val="00045B08"/>
    <w:rsid w:val="0004609B"/>
    <w:rsid w:val="000460AB"/>
    <w:rsid w:val="0004619B"/>
    <w:rsid w:val="00046412"/>
    <w:rsid w:val="000466F1"/>
    <w:rsid w:val="00046889"/>
    <w:rsid w:val="00046A45"/>
    <w:rsid w:val="00046A5C"/>
    <w:rsid w:val="00046C49"/>
    <w:rsid w:val="00046C99"/>
    <w:rsid w:val="00046CDA"/>
    <w:rsid w:val="00046DDB"/>
    <w:rsid w:val="00046E34"/>
    <w:rsid w:val="00046E67"/>
    <w:rsid w:val="00047106"/>
    <w:rsid w:val="00047593"/>
    <w:rsid w:val="000475CE"/>
    <w:rsid w:val="00047661"/>
    <w:rsid w:val="00047771"/>
    <w:rsid w:val="000477AE"/>
    <w:rsid w:val="000478E2"/>
    <w:rsid w:val="000479BD"/>
    <w:rsid w:val="000479D7"/>
    <w:rsid w:val="00047AEA"/>
    <w:rsid w:val="00047D26"/>
    <w:rsid w:val="00047D41"/>
    <w:rsid w:val="00050010"/>
    <w:rsid w:val="0005003E"/>
    <w:rsid w:val="000501D0"/>
    <w:rsid w:val="000503A0"/>
    <w:rsid w:val="0005043B"/>
    <w:rsid w:val="00050504"/>
    <w:rsid w:val="00050671"/>
    <w:rsid w:val="00050677"/>
    <w:rsid w:val="00050B48"/>
    <w:rsid w:val="00050B6F"/>
    <w:rsid w:val="00050B93"/>
    <w:rsid w:val="00050F06"/>
    <w:rsid w:val="0005151F"/>
    <w:rsid w:val="0005154A"/>
    <w:rsid w:val="0005155B"/>
    <w:rsid w:val="00051686"/>
    <w:rsid w:val="00051A65"/>
    <w:rsid w:val="00051C25"/>
    <w:rsid w:val="00051C32"/>
    <w:rsid w:val="00051D73"/>
    <w:rsid w:val="00051DC3"/>
    <w:rsid w:val="00051EC6"/>
    <w:rsid w:val="00051EED"/>
    <w:rsid w:val="000521E4"/>
    <w:rsid w:val="000521F4"/>
    <w:rsid w:val="00052202"/>
    <w:rsid w:val="0005223F"/>
    <w:rsid w:val="0005224F"/>
    <w:rsid w:val="00052374"/>
    <w:rsid w:val="000523FD"/>
    <w:rsid w:val="000527AE"/>
    <w:rsid w:val="00052886"/>
    <w:rsid w:val="00052AAF"/>
    <w:rsid w:val="00052D2E"/>
    <w:rsid w:val="00052D45"/>
    <w:rsid w:val="00052DC1"/>
    <w:rsid w:val="00052E03"/>
    <w:rsid w:val="000530CC"/>
    <w:rsid w:val="0005317F"/>
    <w:rsid w:val="000531F3"/>
    <w:rsid w:val="000531FA"/>
    <w:rsid w:val="00053301"/>
    <w:rsid w:val="0005335A"/>
    <w:rsid w:val="000534C0"/>
    <w:rsid w:val="000535E5"/>
    <w:rsid w:val="00053753"/>
    <w:rsid w:val="00053865"/>
    <w:rsid w:val="00053898"/>
    <w:rsid w:val="00053BB8"/>
    <w:rsid w:val="00053BE6"/>
    <w:rsid w:val="00053E8C"/>
    <w:rsid w:val="00054319"/>
    <w:rsid w:val="00054365"/>
    <w:rsid w:val="000545BE"/>
    <w:rsid w:val="000545D8"/>
    <w:rsid w:val="00054608"/>
    <w:rsid w:val="00054665"/>
    <w:rsid w:val="000547FA"/>
    <w:rsid w:val="000549CD"/>
    <w:rsid w:val="000549DA"/>
    <w:rsid w:val="000549F9"/>
    <w:rsid w:val="00054A9B"/>
    <w:rsid w:val="00054B5F"/>
    <w:rsid w:val="00054B72"/>
    <w:rsid w:val="00054BCA"/>
    <w:rsid w:val="00054C1D"/>
    <w:rsid w:val="00054D55"/>
    <w:rsid w:val="00054EE8"/>
    <w:rsid w:val="00054F70"/>
    <w:rsid w:val="00054FF6"/>
    <w:rsid w:val="0005505D"/>
    <w:rsid w:val="0005531C"/>
    <w:rsid w:val="00055512"/>
    <w:rsid w:val="0005552D"/>
    <w:rsid w:val="00055663"/>
    <w:rsid w:val="00055A84"/>
    <w:rsid w:val="00055B25"/>
    <w:rsid w:val="00055B47"/>
    <w:rsid w:val="00055C48"/>
    <w:rsid w:val="00055E4A"/>
    <w:rsid w:val="00055F88"/>
    <w:rsid w:val="00056013"/>
    <w:rsid w:val="00056060"/>
    <w:rsid w:val="00056218"/>
    <w:rsid w:val="0005629C"/>
    <w:rsid w:val="000562D4"/>
    <w:rsid w:val="00056360"/>
    <w:rsid w:val="00056504"/>
    <w:rsid w:val="0005655A"/>
    <w:rsid w:val="000566AD"/>
    <w:rsid w:val="0005678D"/>
    <w:rsid w:val="000567DB"/>
    <w:rsid w:val="000567DC"/>
    <w:rsid w:val="00056801"/>
    <w:rsid w:val="00056856"/>
    <w:rsid w:val="00056C83"/>
    <w:rsid w:val="00056D1A"/>
    <w:rsid w:val="00056D41"/>
    <w:rsid w:val="00056E13"/>
    <w:rsid w:val="00057166"/>
    <w:rsid w:val="0005717B"/>
    <w:rsid w:val="0005764A"/>
    <w:rsid w:val="00057846"/>
    <w:rsid w:val="000579A6"/>
    <w:rsid w:val="00057A81"/>
    <w:rsid w:val="00057BD7"/>
    <w:rsid w:val="00057C32"/>
    <w:rsid w:val="00057D11"/>
    <w:rsid w:val="00057D3D"/>
    <w:rsid w:val="00057DD3"/>
    <w:rsid w:val="00057EF4"/>
    <w:rsid w:val="00057F82"/>
    <w:rsid w:val="0006038B"/>
    <w:rsid w:val="0006047A"/>
    <w:rsid w:val="000604D7"/>
    <w:rsid w:val="000605C7"/>
    <w:rsid w:val="00060628"/>
    <w:rsid w:val="0006062B"/>
    <w:rsid w:val="00060A12"/>
    <w:rsid w:val="00060AA7"/>
    <w:rsid w:val="00060E4C"/>
    <w:rsid w:val="00060E5A"/>
    <w:rsid w:val="00060E60"/>
    <w:rsid w:val="0006109A"/>
    <w:rsid w:val="000611A3"/>
    <w:rsid w:val="0006143E"/>
    <w:rsid w:val="00061517"/>
    <w:rsid w:val="000618D6"/>
    <w:rsid w:val="00061AB8"/>
    <w:rsid w:val="00061BD0"/>
    <w:rsid w:val="00061C25"/>
    <w:rsid w:val="00061C41"/>
    <w:rsid w:val="00061CE1"/>
    <w:rsid w:val="00061D3F"/>
    <w:rsid w:val="00061DF4"/>
    <w:rsid w:val="00061E0B"/>
    <w:rsid w:val="000620C6"/>
    <w:rsid w:val="000620E7"/>
    <w:rsid w:val="00062128"/>
    <w:rsid w:val="000622DC"/>
    <w:rsid w:val="000624CC"/>
    <w:rsid w:val="000625F0"/>
    <w:rsid w:val="0006283B"/>
    <w:rsid w:val="0006291F"/>
    <w:rsid w:val="000629D3"/>
    <w:rsid w:val="00062A93"/>
    <w:rsid w:val="00062ED2"/>
    <w:rsid w:val="00062F74"/>
    <w:rsid w:val="000632B8"/>
    <w:rsid w:val="000633AE"/>
    <w:rsid w:val="00063500"/>
    <w:rsid w:val="000635B6"/>
    <w:rsid w:val="0006368F"/>
    <w:rsid w:val="000638E7"/>
    <w:rsid w:val="000639B5"/>
    <w:rsid w:val="00063AE7"/>
    <w:rsid w:val="00063D35"/>
    <w:rsid w:val="00063F47"/>
    <w:rsid w:val="00064312"/>
    <w:rsid w:val="000644EE"/>
    <w:rsid w:val="00064544"/>
    <w:rsid w:val="000645CA"/>
    <w:rsid w:val="000645D3"/>
    <w:rsid w:val="00064845"/>
    <w:rsid w:val="00064897"/>
    <w:rsid w:val="00064B5E"/>
    <w:rsid w:val="00064C17"/>
    <w:rsid w:val="00064CA8"/>
    <w:rsid w:val="00064EBC"/>
    <w:rsid w:val="000653AC"/>
    <w:rsid w:val="00065423"/>
    <w:rsid w:val="00065856"/>
    <w:rsid w:val="00065868"/>
    <w:rsid w:val="00065897"/>
    <w:rsid w:val="000658E2"/>
    <w:rsid w:val="000659DA"/>
    <w:rsid w:val="00065BDF"/>
    <w:rsid w:val="00065BE9"/>
    <w:rsid w:val="00065C7B"/>
    <w:rsid w:val="00065E9B"/>
    <w:rsid w:val="000660D2"/>
    <w:rsid w:val="00066105"/>
    <w:rsid w:val="00066286"/>
    <w:rsid w:val="000664C5"/>
    <w:rsid w:val="0006654C"/>
    <w:rsid w:val="00066685"/>
    <w:rsid w:val="000668BC"/>
    <w:rsid w:val="00066921"/>
    <w:rsid w:val="00066937"/>
    <w:rsid w:val="00066AB5"/>
    <w:rsid w:val="00066C30"/>
    <w:rsid w:val="00066CB0"/>
    <w:rsid w:val="00066FB2"/>
    <w:rsid w:val="0006733E"/>
    <w:rsid w:val="000674A8"/>
    <w:rsid w:val="000674F5"/>
    <w:rsid w:val="00067883"/>
    <w:rsid w:val="00067B0B"/>
    <w:rsid w:val="00067B17"/>
    <w:rsid w:val="00067B6A"/>
    <w:rsid w:val="00067BEC"/>
    <w:rsid w:val="00067C3A"/>
    <w:rsid w:val="00067CE9"/>
    <w:rsid w:val="00067D7D"/>
    <w:rsid w:val="00067ECB"/>
    <w:rsid w:val="00067F3D"/>
    <w:rsid w:val="00067FBD"/>
    <w:rsid w:val="0007006C"/>
    <w:rsid w:val="0007007C"/>
    <w:rsid w:val="0007022E"/>
    <w:rsid w:val="00070512"/>
    <w:rsid w:val="0007072F"/>
    <w:rsid w:val="000709CB"/>
    <w:rsid w:val="00070B6F"/>
    <w:rsid w:val="00070F42"/>
    <w:rsid w:val="00071066"/>
    <w:rsid w:val="0007125B"/>
    <w:rsid w:val="0007137A"/>
    <w:rsid w:val="000716E3"/>
    <w:rsid w:val="00071A3E"/>
    <w:rsid w:val="00071B9F"/>
    <w:rsid w:val="00071BDF"/>
    <w:rsid w:val="00071C05"/>
    <w:rsid w:val="00071C30"/>
    <w:rsid w:val="00072019"/>
    <w:rsid w:val="000720D2"/>
    <w:rsid w:val="00072193"/>
    <w:rsid w:val="00072298"/>
    <w:rsid w:val="00072396"/>
    <w:rsid w:val="00072505"/>
    <w:rsid w:val="00072608"/>
    <w:rsid w:val="00072790"/>
    <w:rsid w:val="00072AD4"/>
    <w:rsid w:val="00072C68"/>
    <w:rsid w:val="00072C91"/>
    <w:rsid w:val="000733B6"/>
    <w:rsid w:val="000734B8"/>
    <w:rsid w:val="000734DC"/>
    <w:rsid w:val="0007371E"/>
    <w:rsid w:val="00073806"/>
    <w:rsid w:val="000738E2"/>
    <w:rsid w:val="00073ADF"/>
    <w:rsid w:val="00073AEC"/>
    <w:rsid w:val="00073BAC"/>
    <w:rsid w:val="00073F8C"/>
    <w:rsid w:val="000741C2"/>
    <w:rsid w:val="0007427D"/>
    <w:rsid w:val="00074282"/>
    <w:rsid w:val="000742C0"/>
    <w:rsid w:val="00074469"/>
    <w:rsid w:val="000744FD"/>
    <w:rsid w:val="00074515"/>
    <w:rsid w:val="000746F5"/>
    <w:rsid w:val="0007471B"/>
    <w:rsid w:val="0007482D"/>
    <w:rsid w:val="00074937"/>
    <w:rsid w:val="00074B95"/>
    <w:rsid w:val="00074DE9"/>
    <w:rsid w:val="00074ED3"/>
    <w:rsid w:val="00075174"/>
    <w:rsid w:val="00075299"/>
    <w:rsid w:val="000752EE"/>
    <w:rsid w:val="00075367"/>
    <w:rsid w:val="000754AA"/>
    <w:rsid w:val="000754C6"/>
    <w:rsid w:val="0007576C"/>
    <w:rsid w:val="000759CE"/>
    <w:rsid w:val="00075B81"/>
    <w:rsid w:val="00075DAA"/>
    <w:rsid w:val="00076030"/>
    <w:rsid w:val="00076147"/>
    <w:rsid w:val="0007614C"/>
    <w:rsid w:val="00076519"/>
    <w:rsid w:val="00076557"/>
    <w:rsid w:val="00076601"/>
    <w:rsid w:val="0007678F"/>
    <w:rsid w:val="000769CD"/>
    <w:rsid w:val="00076B20"/>
    <w:rsid w:val="00076B43"/>
    <w:rsid w:val="00076E3C"/>
    <w:rsid w:val="00076EB9"/>
    <w:rsid w:val="00077041"/>
    <w:rsid w:val="0007722B"/>
    <w:rsid w:val="00077483"/>
    <w:rsid w:val="0007793D"/>
    <w:rsid w:val="00077BB2"/>
    <w:rsid w:val="00077BC2"/>
    <w:rsid w:val="00077BEB"/>
    <w:rsid w:val="00077C4C"/>
    <w:rsid w:val="00077D8C"/>
    <w:rsid w:val="00077E9A"/>
    <w:rsid w:val="000801B2"/>
    <w:rsid w:val="0008025F"/>
    <w:rsid w:val="00080377"/>
    <w:rsid w:val="000806D1"/>
    <w:rsid w:val="0008074F"/>
    <w:rsid w:val="00080857"/>
    <w:rsid w:val="00080A85"/>
    <w:rsid w:val="00080AA0"/>
    <w:rsid w:val="00080BC8"/>
    <w:rsid w:val="00080C81"/>
    <w:rsid w:val="00080FA1"/>
    <w:rsid w:val="000810B3"/>
    <w:rsid w:val="0008130E"/>
    <w:rsid w:val="00081360"/>
    <w:rsid w:val="00081527"/>
    <w:rsid w:val="0008168F"/>
    <w:rsid w:val="000817F0"/>
    <w:rsid w:val="0008180A"/>
    <w:rsid w:val="00081A5F"/>
    <w:rsid w:val="00081D79"/>
    <w:rsid w:val="00081DD1"/>
    <w:rsid w:val="00081FC4"/>
    <w:rsid w:val="0008208D"/>
    <w:rsid w:val="000821A0"/>
    <w:rsid w:val="00082282"/>
    <w:rsid w:val="0008244C"/>
    <w:rsid w:val="0008253D"/>
    <w:rsid w:val="00082751"/>
    <w:rsid w:val="0008288D"/>
    <w:rsid w:val="00082914"/>
    <w:rsid w:val="00082922"/>
    <w:rsid w:val="00082975"/>
    <w:rsid w:val="00082ABA"/>
    <w:rsid w:val="00082ACD"/>
    <w:rsid w:val="00082BA4"/>
    <w:rsid w:val="00082BBF"/>
    <w:rsid w:val="00082BD2"/>
    <w:rsid w:val="00082C4D"/>
    <w:rsid w:val="00082E4D"/>
    <w:rsid w:val="00082F18"/>
    <w:rsid w:val="00083020"/>
    <w:rsid w:val="0008329B"/>
    <w:rsid w:val="000832A0"/>
    <w:rsid w:val="0008353C"/>
    <w:rsid w:val="000838B0"/>
    <w:rsid w:val="00083AF9"/>
    <w:rsid w:val="00083C61"/>
    <w:rsid w:val="00083CDA"/>
    <w:rsid w:val="00083E6F"/>
    <w:rsid w:val="00083E7C"/>
    <w:rsid w:val="00083EDE"/>
    <w:rsid w:val="00084012"/>
    <w:rsid w:val="000840E6"/>
    <w:rsid w:val="0008451D"/>
    <w:rsid w:val="000845FA"/>
    <w:rsid w:val="00084682"/>
    <w:rsid w:val="000849A4"/>
    <w:rsid w:val="00084B6D"/>
    <w:rsid w:val="00084C6C"/>
    <w:rsid w:val="00084CF9"/>
    <w:rsid w:val="00084D88"/>
    <w:rsid w:val="00084DB8"/>
    <w:rsid w:val="00084F79"/>
    <w:rsid w:val="00084F7C"/>
    <w:rsid w:val="00085253"/>
    <w:rsid w:val="0008536E"/>
    <w:rsid w:val="00085569"/>
    <w:rsid w:val="000856B7"/>
    <w:rsid w:val="00085728"/>
    <w:rsid w:val="0008591A"/>
    <w:rsid w:val="00085988"/>
    <w:rsid w:val="00085B28"/>
    <w:rsid w:val="00085BF6"/>
    <w:rsid w:val="00085D18"/>
    <w:rsid w:val="00085DDD"/>
    <w:rsid w:val="0008615B"/>
    <w:rsid w:val="00086219"/>
    <w:rsid w:val="000869A8"/>
    <w:rsid w:val="00086AA4"/>
    <w:rsid w:val="00086BB5"/>
    <w:rsid w:val="00086BB9"/>
    <w:rsid w:val="00086C11"/>
    <w:rsid w:val="00086CE6"/>
    <w:rsid w:val="00086CFD"/>
    <w:rsid w:val="00086E38"/>
    <w:rsid w:val="00086E39"/>
    <w:rsid w:val="00086EAF"/>
    <w:rsid w:val="0008707C"/>
    <w:rsid w:val="00087112"/>
    <w:rsid w:val="00087122"/>
    <w:rsid w:val="00087236"/>
    <w:rsid w:val="000873F1"/>
    <w:rsid w:val="000876A4"/>
    <w:rsid w:val="00087782"/>
    <w:rsid w:val="0008779E"/>
    <w:rsid w:val="000878D2"/>
    <w:rsid w:val="00087AE1"/>
    <w:rsid w:val="00087BE8"/>
    <w:rsid w:val="0008CE92"/>
    <w:rsid w:val="00090130"/>
    <w:rsid w:val="000901B7"/>
    <w:rsid w:val="00090277"/>
    <w:rsid w:val="00090316"/>
    <w:rsid w:val="000905A1"/>
    <w:rsid w:val="000906A1"/>
    <w:rsid w:val="00090790"/>
    <w:rsid w:val="000909F5"/>
    <w:rsid w:val="00090A58"/>
    <w:rsid w:val="00090E02"/>
    <w:rsid w:val="00090E04"/>
    <w:rsid w:val="00091198"/>
    <w:rsid w:val="000911F3"/>
    <w:rsid w:val="0009140D"/>
    <w:rsid w:val="00091454"/>
    <w:rsid w:val="00091872"/>
    <w:rsid w:val="00091A91"/>
    <w:rsid w:val="00091A95"/>
    <w:rsid w:val="00091AF0"/>
    <w:rsid w:val="00091E61"/>
    <w:rsid w:val="00091F2C"/>
    <w:rsid w:val="00092034"/>
    <w:rsid w:val="0009226B"/>
    <w:rsid w:val="00092334"/>
    <w:rsid w:val="0009234F"/>
    <w:rsid w:val="0009239B"/>
    <w:rsid w:val="00092506"/>
    <w:rsid w:val="0009269B"/>
    <w:rsid w:val="0009292E"/>
    <w:rsid w:val="00092944"/>
    <w:rsid w:val="000929FF"/>
    <w:rsid w:val="00092B4D"/>
    <w:rsid w:val="00092D00"/>
    <w:rsid w:val="00092D0D"/>
    <w:rsid w:val="00092DBE"/>
    <w:rsid w:val="00093308"/>
    <w:rsid w:val="00093310"/>
    <w:rsid w:val="0009341E"/>
    <w:rsid w:val="00093741"/>
    <w:rsid w:val="000939D3"/>
    <w:rsid w:val="00093A3F"/>
    <w:rsid w:val="00093A82"/>
    <w:rsid w:val="00093A8F"/>
    <w:rsid w:val="00093ACC"/>
    <w:rsid w:val="00093AF4"/>
    <w:rsid w:val="00093B14"/>
    <w:rsid w:val="00093B49"/>
    <w:rsid w:val="00093B94"/>
    <w:rsid w:val="00093D93"/>
    <w:rsid w:val="00093FCD"/>
    <w:rsid w:val="000940D2"/>
    <w:rsid w:val="000942AF"/>
    <w:rsid w:val="00094379"/>
    <w:rsid w:val="000944BB"/>
    <w:rsid w:val="00094952"/>
    <w:rsid w:val="00094A57"/>
    <w:rsid w:val="00094BDB"/>
    <w:rsid w:val="00094C31"/>
    <w:rsid w:val="00094CE8"/>
    <w:rsid w:val="000950E8"/>
    <w:rsid w:val="00095112"/>
    <w:rsid w:val="0009511A"/>
    <w:rsid w:val="00095263"/>
    <w:rsid w:val="0009546F"/>
    <w:rsid w:val="00095CCD"/>
    <w:rsid w:val="00095DE5"/>
    <w:rsid w:val="00095DF6"/>
    <w:rsid w:val="00095F65"/>
    <w:rsid w:val="00095FF0"/>
    <w:rsid w:val="0009600F"/>
    <w:rsid w:val="00096024"/>
    <w:rsid w:val="0009609B"/>
    <w:rsid w:val="000961B5"/>
    <w:rsid w:val="000961B7"/>
    <w:rsid w:val="000963D5"/>
    <w:rsid w:val="00096475"/>
    <w:rsid w:val="00096479"/>
    <w:rsid w:val="00096484"/>
    <w:rsid w:val="000964D2"/>
    <w:rsid w:val="000966D4"/>
    <w:rsid w:val="0009679D"/>
    <w:rsid w:val="000969B6"/>
    <w:rsid w:val="000969E6"/>
    <w:rsid w:val="000969F7"/>
    <w:rsid w:val="00096C34"/>
    <w:rsid w:val="00096DD3"/>
    <w:rsid w:val="00096E47"/>
    <w:rsid w:val="00096ECA"/>
    <w:rsid w:val="00096F31"/>
    <w:rsid w:val="0009713D"/>
    <w:rsid w:val="00097339"/>
    <w:rsid w:val="00097369"/>
    <w:rsid w:val="0009737A"/>
    <w:rsid w:val="000973D1"/>
    <w:rsid w:val="000976D3"/>
    <w:rsid w:val="00097806"/>
    <w:rsid w:val="00097849"/>
    <w:rsid w:val="00097887"/>
    <w:rsid w:val="00097992"/>
    <w:rsid w:val="000979CB"/>
    <w:rsid w:val="00097AFD"/>
    <w:rsid w:val="00097B69"/>
    <w:rsid w:val="00097BDE"/>
    <w:rsid w:val="00097E20"/>
    <w:rsid w:val="00097FA1"/>
    <w:rsid w:val="00097FCF"/>
    <w:rsid w:val="00097FF7"/>
    <w:rsid w:val="000A043F"/>
    <w:rsid w:val="000A0461"/>
    <w:rsid w:val="000A04F9"/>
    <w:rsid w:val="000A0515"/>
    <w:rsid w:val="000A051B"/>
    <w:rsid w:val="000A059E"/>
    <w:rsid w:val="000A05A7"/>
    <w:rsid w:val="000A0869"/>
    <w:rsid w:val="000A0D41"/>
    <w:rsid w:val="000A0D7C"/>
    <w:rsid w:val="000A0ECE"/>
    <w:rsid w:val="000A0FC7"/>
    <w:rsid w:val="000A1151"/>
    <w:rsid w:val="000A12CA"/>
    <w:rsid w:val="000A1303"/>
    <w:rsid w:val="000A1305"/>
    <w:rsid w:val="000A156F"/>
    <w:rsid w:val="000A15D3"/>
    <w:rsid w:val="000A16AD"/>
    <w:rsid w:val="000A172A"/>
    <w:rsid w:val="000A17E7"/>
    <w:rsid w:val="000A1863"/>
    <w:rsid w:val="000A1B8E"/>
    <w:rsid w:val="000A1C64"/>
    <w:rsid w:val="000A1D4B"/>
    <w:rsid w:val="000A1D4F"/>
    <w:rsid w:val="000A1E5E"/>
    <w:rsid w:val="000A1EF2"/>
    <w:rsid w:val="000A2102"/>
    <w:rsid w:val="000A21E3"/>
    <w:rsid w:val="000A2200"/>
    <w:rsid w:val="000A223C"/>
    <w:rsid w:val="000A233E"/>
    <w:rsid w:val="000A23D4"/>
    <w:rsid w:val="000A242A"/>
    <w:rsid w:val="000A24E2"/>
    <w:rsid w:val="000A257B"/>
    <w:rsid w:val="000A286D"/>
    <w:rsid w:val="000A2AB4"/>
    <w:rsid w:val="000A2C52"/>
    <w:rsid w:val="000A2C64"/>
    <w:rsid w:val="000A2C6F"/>
    <w:rsid w:val="000A2E21"/>
    <w:rsid w:val="000A2F30"/>
    <w:rsid w:val="000A3114"/>
    <w:rsid w:val="000A31E9"/>
    <w:rsid w:val="000A333D"/>
    <w:rsid w:val="000A3447"/>
    <w:rsid w:val="000A351F"/>
    <w:rsid w:val="000A3671"/>
    <w:rsid w:val="000A3696"/>
    <w:rsid w:val="000A389D"/>
    <w:rsid w:val="000A3AEA"/>
    <w:rsid w:val="000A3BE1"/>
    <w:rsid w:val="000A3C6C"/>
    <w:rsid w:val="000A3EBA"/>
    <w:rsid w:val="000A3EBD"/>
    <w:rsid w:val="000A412D"/>
    <w:rsid w:val="000A415C"/>
    <w:rsid w:val="000A43F6"/>
    <w:rsid w:val="000A4476"/>
    <w:rsid w:val="000A454B"/>
    <w:rsid w:val="000A47DA"/>
    <w:rsid w:val="000A4898"/>
    <w:rsid w:val="000A4B02"/>
    <w:rsid w:val="000A4EEE"/>
    <w:rsid w:val="000A503A"/>
    <w:rsid w:val="000A5185"/>
    <w:rsid w:val="000A5265"/>
    <w:rsid w:val="000A532E"/>
    <w:rsid w:val="000A5442"/>
    <w:rsid w:val="000A5466"/>
    <w:rsid w:val="000A547B"/>
    <w:rsid w:val="000A54BE"/>
    <w:rsid w:val="000A54EC"/>
    <w:rsid w:val="000A5717"/>
    <w:rsid w:val="000A58EA"/>
    <w:rsid w:val="000A59A8"/>
    <w:rsid w:val="000A59ED"/>
    <w:rsid w:val="000A5A49"/>
    <w:rsid w:val="000A5B3B"/>
    <w:rsid w:val="000A5C11"/>
    <w:rsid w:val="000A5CCF"/>
    <w:rsid w:val="000A5CEF"/>
    <w:rsid w:val="000A5DA7"/>
    <w:rsid w:val="000A5E84"/>
    <w:rsid w:val="000A5EF6"/>
    <w:rsid w:val="000A6077"/>
    <w:rsid w:val="000A62FF"/>
    <w:rsid w:val="000A6453"/>
    <w:rsid w:val="000A64A5"/>
    <w:rsid w:val="000A665F"/>
    <w:rsid w:val="000A6696"/>
    <w:rsid w:val="000A670B"/>
    <w:rsid w:val="000A698F"/>
    <w:rsid w:val="000A6C0D"/>
    <w:rsid w:val="000A6C98"/>
    <w:rsid w:val="000A6D4B"/>
    <w:rsid w:val="000A6D59"/>
    <w:rsid w:val="000A6DCC"/>
    <w:rsid w:val="000A6EFB"/>
    <w:rsid w:val="000A71CD"/>
    <w:rsid w:val="000A72CC"/>
    <w:rsid w:val="000A72E5"/>
    <w:rsid w:val="000A7337"/>
    <w:rsid w:val="000A746E"/>
    <w:rsid w:val="000A7498"/>
    <w:rsid w:val="000A74B5"/>
    <w:rsid w:val="000A76C2"/>
    <w:rsid w:val="000A7730"/>
    <w:rsid w:val="000A7773"/>
    <w:rsid w:val="000A7905"/>
    <w:rsid w:val="000A79A2"/>
    <w:rsid w:val="000A7B98"/>
    <w:rsid w:val="000A7D7C"/>
    <w:rsid w:val="000A7D97"/>
    <w:rsid w:val="000A7F84"/>
    <w:rsid w:val="000A7FA2"/>
    <w:rsid w:val="000B0024"/>
    <w:rsid w:val="000B0030"/>
    <w:rsid w:val="000B0245"/>
    <w:rsid w:val="000B036A"/>
    <w:rsid w:val="000B0477"/>
    <w:rsid w:val="000B04C3"/>
    <w:rsid w:val="000B0681"/>
    <w:rsid w:val="000B07A0"/>
    <w:rsid w:val="000B0BA3"/>
    <w:rsid w:val="000B0F39"/>
    <w:rsid w:val="000B0F78"/>
    <w:rsid w:val="000B0F93"/>
    <w:rsid w:val="000B0FEC"/>
    <w:rsid w:val="000B10A7"/>
    <w:rsid w:val="000B1171"/>
    <w:rsid w:val="000B11DB"/>
    <w:rsid w:val="000B120F"/>
    <w:rsid w:val="000B1221"/>
    <w:rsid w:val="000B1373"/>
    <w:rsid w:val="000B14ED"/>
    <w:rsid w:val="000B15BE"/>
    <w:rsid w:val="000B1616"/>
    <w:rsid w:val="000B17A5"/>
    <w:rsid w:val="000B1889"/>
    <w:rsid w:val="000B18D3"/>
    <w:rsid w:val="000B1954"/>
    <w:rsid w:val="000B1A2E"/>
    <w:rsid w:val="000B1B09"/>
    <w:rsid w:val="000B231D"/>
    <w:rsid w:val="000B2436"/>
    <w:rsid w:val="000B2522"/>
    <w:rsid w:val="000B268D"/>
    <w:rsid w:val="000B2710"/>
    <w:rsid w:val="000B2A00"/>
    <w:rsid w:val="000B2A6B"/>
    <w:rsid w:val="000B2C21"/>
    <w:rsid w:val="000B2C5D"/>
    <w:rsid w:val="000B2FEB"/>
    <w:rsid w:val="000B302B"/>
    <w:rsid w:val="000B33BF"/>
    <w:rsid w:val="000B3433"/>
    <w:rsid w:val="000B34A5"/>
    <w:rsid w:val="000B36F5"/>
    <w:rsid w:val="000B37BF"/>
    <w:rsid w:val="000B38CA"/>
    <w:rsid w:val="000B3975"/>
    <w:rsid w:val="000B3C62"/>
    <w:rsid w:val="000B3C6F"/>
    <w:rsid w:val="000B3DBF"/>
    <w:rsid w:val="000B3FB8"/>
    <w:rsid w:val="000B4088"/>
    <w:rsid w:val="000B415E"/>
    <w:rsid w:val="000B443A"/>
    <w:rsid w:val="000B4525"/>
    <w:rsid w:val="000B4546"/>
    <w:rsid w:val="000B459C"/>
    <w:rsid w:val="000B496B"/>
    <w:rsid w:val="000B4AE1"/>
    <w:rsid w:val="000B4B1D"/>
    <w:rsid w:val="000B4B43"/>
    <w:rsid w:val="000B4D09"/>
    <w:rsid w:val="000B4D2F"/>
    <w:rsid w:val="000B4DA4"/>
    <w:rsid w:val="000B4E39"/>
    <w:rsid w:val="000B4EBA"/>
    <w:rsid w:val="000B5173"/>
    <w:rsid w:val="000B52D9"/>
    <w:rsid w:val="000B54B8"/>
    <w:rsid w:val="000B5627"/>
    <w:rsid w:val="000B568D"/>
    <w:rsid w:val="000B57A2"/>
    <w:rsid w:val="000B5887"/>
    <w:rsid w:val="000B5B13"/>
    <w:rsid w:val="000B5B6B"/>
    <w:rsid w:val="000B5C00"/>
    <w:rsid w:val="000B5F5F"/>
    <w:rsid w:val="000B5FA0"/>
    <w:rsid w:val="000B616F"/>
    <w:rsid w:val="000B624D"/>
    <w:rsid w:val="000B6325"/>
    <w:rsid w:val="000B63D4"/>
    <w:rsid w:val="000B64C8"/>
    <w:rsid w:val="000B6586"/>
    <w:rsid w:val="000B6620"/>
    <w:rsid w:val="000B66AF"/>
    <w:rsid w:val="000B66E1"/>
    <w:rsid w:val="000B688B"/>
    <w:rsid w:val="000B68AA"/>
    <w:rsid w:val="000B690A"/>
    <w:rsid w:val="000B69D8"/>
    <w:rsid w:val="000B6A4C"/>
    <w:rsid w:val="000B6B37"/>
    <w:rsid w:val="000B6B69"/>
    <w:rsid w:val="000B6BD3"/>
    <w:rsid w:val="000B6C1E"/>
    <w:rsid w:val="000B6CC9"/>
    <w:rsid w:val="000B6E06"/>
    <w:rsid w:val="000B6E08"/>
    <w:rsid w:val="000B7078"/>
    <w:rsid w:val="000B7116"/>
    <w:rsid w:val="000B73B3"/>
    <w:rsid w:val="000B73C4"/>
    <w:rsid w:val="000B7494"/>
    <w:rsid w:val="000B74E8"/>
    <w:rsid w:val="000B756E"/>
    <w:rsid w:val="000B75AC"/>
    <w:rsid w:val="000B760C"/>
    <w:rsid w:val="000B786D"/>
    <w:rsid w:val="000B7BC5"/>
    <w:rsid w:val="000B7C3C"/>
    <w:rsid w:val="000B7CA8"/>
    <w:rsid w:val="000B7D21"/>
    <w:rsid w:val="000B7D46"/>
    <w:rsid w:val="000B7E2B"/>
    <w:rsid w:val="000C0093"/>
    <w:rsid w:val="000C053A"/>
    <w:rsid w:val="000C06E7"/>
    <w:rsid w:val="000C0B42"/>
    <w:rsid w:val="000C0B5C"/>
    <w:rsid w:val="000C0C7F"/>
    <w:rsid w:val="000C0C94"/>
    <w:rsid w:val="000C0DE0"/>
    <w:rsid w:val="000C0F10"/>
    <w:rsid w:val="000C1085"/>
    <w:rsid w:val="000C10C7"/>
    <w:rsid w:val="000C1238"/>
    <w:rsid w:val="000C1326"/>
    <w:rsid w:val="000C151E"/>
    <w:rsid w:val="000C15E2"/>
    <w:rsid w:val="000C16B0"/>
    <w:rsid w:val="000C1947"/>
    <w:rsid w:val="000C1950"/>
    <w:rsid w:val="000C1996"/>
    <w:rsid w:val="000C1ADB"/>
    <w:rsid w:val="000C1B66"/>
    <w:rsid w:val="000C1BD9"/>
    <w:rsid w:val="000C1BE1"/>
    <w:rsid w:val="000C1D3C"/>
    <w:rsid w:val="000C1D40"/>
    <w:rsid w:val="000C2142"/>
    <w:rsid w:val="000C2166"/>
    <w:rsid w:val="000C2278"/>
    <w:rsid w:val="000C24DD"/>
    <w:rsid w:val="000C254C"/>
    <w:rsid w:val="000C25B1"/>
    <w:rsid w:val="000C25FB"/>
    <w:rsid w:val="000C268C"/>
    <w:rsid w:val="000C27D3"/>
    <w:rsid w:val="000C2A3F"/>
    <w:rsid w:val="000C2C61"/>
    <w:rsid w:val="000C2DB5"/>
    <w:rsid w:val="000C2FBB"/>
    <w:rsid w:val="000C32C9"/>
    <w:rsid w:val="000C32FE"/>
    <w:rsid w:val="000C340E"/>
    <w:rsid w:val="000C3552"/>
    <w:rsid w:val="000C37B7"/>
    <w:rsid w:val="000C3E7F"/>
    <w:rsid w:val="000C42A5"/>
    <w:rsid w:val="000C44B0"/>
    <w:rsid w:val="000C44D8"/>
    <w:rsid w:val="000C4683"/>
    <w:rsid w:val="000C4938"/>
    <w:rsid w:val="000C49C7"/>
    <w:rsid w:val="000C4A54"/>
    <w:rsid w:val="000C4C70"/>
    <w:rsid w:val="000C4CE9"/>
    <w:rsid w:val="000C4D51"/>
    <w:rsid w:val="000C4E8E"/>
    <w:rsid w:val="000C4FA5"/>
    <w:rsid w:val="000C5070"/>
    <w:rsid w:val="000C5076"/>
    <w:rsid w:val="000C513B"/>
    <w:rsid w:val="000C51F2"/>
    <w:rsid w:val="000C5223"/>
    <w:rsid w:val="000C52DE"/>
    <w:rsid w:val="000C562D"/>
    <w:rsid w:val="000C56EE"/>
    <w:rsid w:val="000C5823"/>
    <w:rsid w:val="000C596C"/>
    <w:rsid w:val="000C5996"/>
    <w:rsid w:val="000C5A95"/>
    <w:rsid w:val="000C5B25"/>
    <w:rsid w:val="000C5DCC"/>
    <w:rsid w:val="000C640F"/>
    <w:rsid w:val="000C6647"/>
    <w:rsid w:val="000C67CF"/>
    <w:rsid w:val="000C68E7"/>
    <w:rsid w:val="000C6A6A"/>
    <w:rsid w:val="000C6ACA"/>
    <w:rsid w:val="000C6BBE"/>
    <w:rsid w:val="000C6CCC"/>
    <w:rsid w:val="000C7169"/>
    <w:rsid w:val="000C72FF"/>
    <w:rsid w:val="000C7316"/>
    <w:rsid w:val="000C74AE"/>
    <w:rsid w:val="000C7520"/>
    <w:rsid w:val="000C75AD"/>
    <w:rsid w:val="000C75B7"/>
    <w:rsid w:val="000C76C4"/>
    <w:rsid w:val="000C77DD"/>
    <w:rsid w:val="000C791D"/>
    <w:rsid w:val="000C79D8"/>
    <w:rsid w:val="000C7A1B"/>
    <w:rsid w:val="000C7BE6"/>
    <w:rsid w:val="000C7E57"/>
    <w:rsid w:val="000C7ECD"/>
    <w:rsid w:val="000C7EF5"/>
    <w:rsid w:val="000D012A"/>
    <w:rsid w:val="000D03F4"/>
    <w:rsid w:val="000D0450"/>
    <w:rsid w:val="000D07F1"/>
    <w:rsid w:val="000D0879"/>
    <w:rsid w:val="000D0904"/>
    <w:rsid w:val="000D0BC9"/>
    <w:rsid w:val="000D0BCA"/>
    <w:rsid w:val="000D0DDA"/>
    <w:rsid w:val="000D0F0C"/>
    <w:rsid w:val="000D0F6D"/>
    <w:rsid w:val="000D13EA"/>
    <w:rsid w:val="000D147C"/>
    <w:rsid w:val="000D1608"/>
    <w:rsid w:val="000D1719"/>
    <w:rsid w:val="000D172D"/>
    <w:rsid w:val="000D178C"/>
    <w:rsid w:val="000D1B41"/>
    <w:rsid w:val="000D1BE6"/>
    <w:rsid w:val="000D1F38"/>
    <w:rsid w:val="000D1F9E"/>
    <w:rsid w:val="000D20E1"/>
    <w:rsid w:val="000D2153"/>
    <w:rsid w:val="000D2728"/>
    <w:rsid w:val="000D276B"/>
    <w:rsid w:val="000D2993"/>
    <w:rsid w:val="000D2C3A"/>
    <w:rsid w:val="000D3113"/>
    <w:rsid w:val="000D341B"/>
    <w:rsid w:val="000D35A6"/>
    <w:rsid w:val="000D3845"/>
    <w:rsid w:val="000D38DA"/>
    <w:rsid w:val="000D3C25"/>
    <w:rsid w:val="000D3C6D"/>
    <w:rsid w:val="000D402B"/>
    <w:rsid w:val="000D43B0"/>
    <w:rsid w:val="000D43CA"/>
    <w:rsid w:val="000D44B7"/>
    <w:rsid w:val="000D456E"/>
    <w:rsid w:val="000D45F9"/>
    <w:rsid w:val="000D490B"/>
    <w:rsid w:val="000D4940"/>
    <w:rsid w:val="000D49B1"/>
    <w:rsid w:val="000D4DAB"/>
    <w:rsid w:val="000D4EBF"/>
    <w:rsid w:val="000D500E"/>
    <w:rsid w:val="000D5186"/>
    <w:rsid w:val="000D51D1"/>
    <w:rsid w:val="000D51EC"/>
    <w:rsid w:val="000D52FB"/>
    <w:rsid w:val="000D5491"/>
    <w:rsid w:val="000D54D3"/>
    <w:rsid w:val="000D552B"/>
    <w:rsid w:val="000D5784"/>
    <w:rsid w:val="000D59C4"/>
    <w:rsid w:val="000D5B71"/>
    <w:rsid w:val="000D5BC6"/>
    <w:rsid w:val="000D5BCF"/>
    <w:rsid w:val="000D5BD5"/>
    <w:rsid w:val="000D5BF7"/>
    <w:rsid w:val="000D5CC0"/>
    <w:rsid w:val="000D5CCC"/>
    <w:rsid w:val="000D5FB6"/>
    <w:rsid w:val="000D60EA"/>
    <w:rsid w:val="000D6221"/>
    <w:rsid w:val="000D6477"/>
    <w:rsid w:val="000D64E4"/>
    <w:rsid w:val="000D6659"/>
    <w:rsid w:val="000D6805"/>
    <w:rsid w:val="000D68C8"/>
    <w:rsid w:val="000D69A7"/>
    <w:rsid w:val="000D6A72"/>
    <w:rsid w:val="000D6B10"/>
    <w:rsid w:val="000D6BDF"/>
    <w:rsid w:val="000D6EA3"/>
    <w:rsid w:val="000D6F39"/>
    <w:rsid w:val="000D6F41"/>
    <w:rsid w:val="000D7091"/>
    <w:rsid w:val="000D7099"/>
    <w:rsid w:val="000D71AB"/>
    <w:rsid w:val="000D7205"/>
    <w:rsid w:val="000D731C"/>
    <w:rsid w:val="000D76E3"/>
    <w:rsid w:val="000D781A"/>
    <w:rsid w:val="000D78F9"/>
    <w:rsid w:val="000D7932"/>
    <w:rsid w:val="000D7B3E"/>
    <w:rsid w:val="000D7F0A"/>
    <w:rsid w:val="000D7F51"/>
    <w:rsid w:val="000E01F0"/>
    <w:rsid w:val="000E021D"/>
    <w:rsid w:val="000E025E"/>
    <w:rsid w:val="000E0286"/>
    <w:rsid w:val="000E0347"/>
    <w:rsid w:val="000E03AA"/>
    <w:rsid w:val="000E064B"/>
    <w:rsid w:val="000E06E1"/>
    <w:rsid w:val="000E0866"/>
    <w:rsid w:val="000E0C81"/>
    <w:rsid w:val="000E0D96"/>
    <w:rsid w:val="000E0EB1"/>
    <w:rsid w:val="000E0ED0"/>
    <w:rsid w:val="000E0F75"/>
    <w:rsid w:val="000E0FD9"/>
    <w:rsid w:val="000E1308"/>
    <w:rsid w:val="000E13E6"/>
    <w:rsid w:val="000E1794"/>
    <w:rsid w:val="000E1A05"/>
    <w:rsid w:val="000E1A31"/>
    <w:rsid w:val="000E1AE1"/>
    <w:rsid w:val="000E1B36"/>
    <w:rsid w:val="000E1E2F"/>
    <w:rsid w:val="000E1E9A"/>
    <w:rsid w:val="000E201E"/>
    <w:rsid w:val="000E21B2"/>
    <w:rsid w:val="000E22BB"/>
    <w:rsid w:val="000E23F3"/>
    <w:rsid w:val="000E28FC"/>
    <w:rsid w:val="000E2A0F"/>
    <w:rsid w:val="000E2A5D"/>
    <w:rsid w:val="000E2B05"/>
    <w:rsid w:val="000E2C93"/>
    <w:rsid w:val="000E2CD0"/>
    <w:rsid w:val="000E2CD5"/>
    <w:rsid w:val="000E2CF0"/>
    <w:rsid w:val="000E2EE8"/>
    <w:rsid w:val="000E2EEA"/>
    <w:rsid w:val="000E3009"/>
    <w:rsid w:val="000E32DC"/>
    <w:rsid w:val="000E3414"/>
    <w:rsid w:val="000E3505"/>
    <w:rsid w:val="000E351A"/>
    <w:rsid w:val="000E36DA"/>
    <w:rsid w:val="000E3765"/>
    <w:rsid w:val="000E3980"/>
    <w:rsid w:val="000E3A7E"/>
    <w:rsid w:val="000E3B7E"/>
    <w:rsid w:val="000E3C1A"/>
    <w:rsid w:val="000E3C3A"/>
    <w:rsid w:val="000E3D84"/>
    <w:rsid w:val="000E3E5D"/>
    <w:rsid w:val="000E406A"/>
    <w:rsid w:val="000E40C8"/>
    <w:rsid w:val="000E427E"/>
    <w:rsid w:val="000E4384"/>
    <w:rsid w:val="000E44DE"/>
    <w:rsid w:val="000E45C2"/>
    <w:rsid w:val="000E4738"/>
    <w:rsid w:val="000E482E"/>
    <w:rsid w:val="000E49E5"/>
    <w:rsid w:val="000E4A97"/>
    <w:rsid w:val="000E4AC1"/>
    <w:rsid w:val="000E4BE7"/>
    <w:rsid w:val="000E4C13"/>
    <w:rsid w:val="000E4CCA"/>
    <w:rsid w:val="000E4D56"/>
    <w:rsid w:val="000E4EB8"/>
    <w:rsid w:val="000E4F35"/>
    <w:rsid w:val="000E4F5A"/>
    <w:rsid w:val="000E500D"/>
    <w:rsid w:val="000E51F2"/>
    <w:rsid w:val="000E51FD"/>
    <w:rsid w:val="000E54F3"/>
    <w:rsid w:val="000E552B"/>
    <w:rsid w:val="000E560E"/>
    <w:rsid w:val="000E5627"/>
    <w:rsid w:val="000E5844"/>
    <w:rsid w:val="000E587C"/>
    <w:rsid w:val="000E59DD"/>
    <w:rsid w:val="000E5AF1"/>
    <w:rsid w:val="000E5F04"/>
    <w:rsid w:val="000E5F54"/>
    <w:rsid w:val="000E5FD2"/>
    <w:rsid w:val="000E617C"/>
    <w:rsid w:val="000E619F"/>
    <w:rsid w:val="000E62FA"/>
    <w:rsid w:val="000E630C"/>
    <w:rsid w:val="000E6362"/>
    <w:rsid w:val="000E64D9"/>
    <w:rsid w:val="000E65D2"/>
    <w:rsid w:val="000E664A"/>
    <w:rsid w:val="000E6744"/>
    <w:rsid w:val="000E6787"/>
    <w:rsid w:val="000E67A5"/>
    <w:rsid w:val="000E6871"/>
    <w:rsid w:val="000E6881"/>
    <w:rsid w:val="000E6AD9"/>
    <w:rsid w:val="000E6AF0"/>
    <w:rsid w:val="000E6B28"/>
    <w:rsid w:val="000E6BAA"/>
    <w:rsid w:val="000E6BB7"/>
    <w:rsid w:val="000E6D69"/>
    <w:rsid w:val="000E6DD6"/>
    <w:rsid w:val="000E6E14"/>
    <w:rsid w:val="000E6ECF"/>
    <w:rsid w:val="000E7047"/>
    <w:rsid w:val="000E70A8"/>
    <w:rsid w:val="000E70F5"/>
    <w:rsid w:val="000E72ED"/>
    <w:rsid w:val="000E736E"/>
    <w:rsid w:val="000E7547"/>
    <w:rsid w:val="000E7917"/>
    <w:rsid w:val="000E7932"/>
    <w:rsid w:val="000E7B3B"/>
    <w:rsid w:val="000E7D97"/>
    <w:rsid w:val="000E7E1D"/>
    <w:rsid w:val="000E7F9D"/>
    <w:rsid w:val="000EC4C6"/>
    <w:rsid w:val="000F003D"/>
    <w:rsid w:val="000F010E"/>
    <w:rsid w:val="000F0124"/>
    <w:rsid w:val="000F0358"/>
    <w:rsid w:val="000F03F3"/>
    <w:rsid w:val="000F0564"/>
    <w:rsid w:val="000F0623"/>
    <w:rsid w:val="000F0661"/>
    <w:rsid w:val="000F080D"/>
    <w:rsid w:val="000F0844"/>
    <w:rsid w:val="000F0876"/>
    <w:rsid w:val="000F08FF"/>
    <w:rsid w:val="000F09B6"/>
    <w:rsid w:val="000F09CF"/>
    <w:rsid w:val="000F0B89"/>
    <w:rsid w:val="000F0C0E"/>
    <w:rsid w:val="000F0CEF"/>
    <w:rsid w:val="000F0D1F"/>
    <w:rsid w:val="000F0E43"/>
    <w:rsid w:val="000F10E3"/>
    <w:rsid w:val="000F1124"/>
    <w:rsid w:val="000F117F"/>
    <w:rsid w:val="000F11F1"/>
    <w:rsid w:val="000F128E"/>
    <w:rsid w:val="000F153A"/>
    <w:rsid w:val="000F1B12"/>
    <w:rsid w:val="000F1B78"/>
    <w:rsid w:val="000F1BCC"/>
    <w:rsid w:val="000F1C7D"/>
    <w:rsid w:val="000F1DB5"/>
    <w:rsid w:val="000F1DCC"/>
    <w:rsid w:val="000F1E21"/>
    <w:rsid w:val="000F2314"/>
    <w:rsid w:val="000F26B2"/>
    <w:rsid w:val="000F2730"/>
    <w:rsid w:val="000F29B0"/>
    <w:rsid w:val="000F2BF3"/>
    <w:rsid w:val="000F344F"/>
    <w:rsid w:val="000F34A9"/>
    <w:rsid w:val="000F34EC"/>
    <w:rsid w:val="000F36D6"/>
    <w:rsid w:val="000F3A5A"/>
    <w:rsid w:val="000F3B92"/>
    <w:rsid w:val="000F3EAA"/>
    <w:rsid w:val="000F3F30"/>
    <w:rsid w:val="000F4049"/>
    <w:rsid w:val="000F40E5"/>
    <w:rsid w:val="000F4184"/>
    <w:rsid w:val="000F426D"/>
    <w:rsid w:val="000F4617"/>
    <w:rsid w:val="000F4637"/>
    <w:rsid w:val="000F484B"/>
    <w:rsid w:val="000F4A93"/>
    <w:rsid w:val="000F4D2F"/>
    <w:rsid w:val="000F4EE5"/>
    <w:rsid w:val="000F4FC8"/>
    <w:rsid w:val="000F5065"/>
    <w:rsid w:val="000F50F1"/>
    <w:rsid w:val="000F521B"/>
    <w:rsid w:val="000F52BF"/>
    <w:rsid w:val="000F5310"/>
    <w:rsid w:val="000F5358"/>
    <w:rsid w:val="000F53A9"/>
    <w:rsid w:val="000F547A"/>
    <w:rsid w:val="000F569D"/>
    <w:rsid w:val="000F56B5"/>
    <w:rsid w:val="000F5793"/>
    <w:rsid w:val="000F5812"/>
    <w:rsid w:val="000F5914"/>
    <w:rsid w:val="000F5B4B"/>
    <w:rsid w:val="000F5EFB"/>
    <w:rsid w:val="000F604B"/>
    <w:rsid w:val="000F6091"/>
    <w:rsid w:val="000F6201"/>
    <w:rsid w:val="000F6225"/>
    <w:rsid w:val="000F62A4"/>
    <w:rsid w:val="000F6401"/>
    <w:rsid w:val="000F6481"/>
    <w:rsid w:val="000F672B"/>
    <w:rsid w:val="000F6BB6"/>
    <w:rsid w:val="000F6E10"/>
    <w:rsid w:val="000F6FD7"/>
    <w:rsid w:val="000F7134"/>
    <w:rsid w:val="000F7281"/>
    <w:rsid w:val="000F7330"/>
    <w:rsid w:val="000F73B0"/>
    <w:rsid w:val="000F7786"/>
    <w:rsid w:val="000F77D7"/>
    <w:rsid w:val="000F7905"/>
    <w:rsid w:val="000F7A20"/>
    <w:rsid w:val="000F7B1F"/>
    <w:rsid w:val="000F7B86"/>
    <w:rsid w:val="000F7FA8"/>
    <w:rsid w:val="00100187"/>
    <w:rsid w:val="00100287"/>
    <w:rsid w:val="0010049A"/>
    <w:rsid w:val="001005D9"/>
    <w:rsid w:val="00100672"/>
    <w:rsid w:val="00100810"/>
    <w:rsid w:val="001008D0"/>
    <w:rsid w:val="00100920"/>
    <w:rsid w:val="00100B40"/>
    <w:rsid w:val="00100BE2"/>
    <w:rsid w:val="00100DBB"/>
    <w:rsid w:val="00100E1D"/>
    <w:rsid w:val="00100F05"/>
    <w:rsid w:val="00100F67"/>
    <w:rsid w:val="00101051"/>
    <w:rsid w:val="001010DD"/>
    <w:rsid w:val="00101128"/>
    <w:rsid w:val="00101188"/>
    <w:rsid w:val="00101383"/>
    <w:rsid w:val="001013A4"/>
    <w:rsid w:val="00101579"/>
    <w:rsid w:val="001016B2"/>
    <w:rsid w:val="00101A04"/>
    <w:rsid w:val="00101B3E"/>
    <w:rsid w:val="00101CC8"/>
    <w:rsid w:val="00101FF7"/>
    <w:rsid w:val="0010201B"/>
    <w:rsid w:val="00102049"/>
    <w:rsid w:val="00102196"/>
    <w:rsid w:val="00102267"/>
    <w:rsid w:val="001024ED"/>
    <w:rsid w:val="0010250F"/>
    <w:rsid w:val="00102586"/>
    <w:rsid w:val="00102837"/>
    <w:rsid w:val="00102AAB"/>
    <w:rsid w:val="00102AB7"/>
    <w:rsid w:val="00102B1D"/>
    <w:rsid w:val="00102C54"/>
    <w:rsid w:val="00102C61"/>
    <w:rsid w:val="00102D64"/>
    <w:rsid w:val="00102FFB"/>
    <w:rsid w:val="001031CD"/>
    <w:rsid w:val="001031CF"/>
    <w:rsid w:val="00103248"/>
    <w:rsid w:val="0010330A"/>
    <w:rsid w:val="00103368"/>
    <w:rsid w:val="00103372"/>
    <w:rsid w:val="00103411"/>
    <w:rsid w:val="0010354F"/>
    <w:rsid w:val="0010355D"/>
    <w:rsid w:val="001036D5"/>
    <w:rsid w:val="00103713"/>
    <w:rsid w:val="00103A54"/>
    <w:rsid w:val="00103CDD"/>
    <w:rsid w:val="00103D33"/>
    <w:rsid w:val="00103E67"/>
    <w:rsid w:val="00103F4D"/>
    <w:rsid w:val="001040E3"/>
    <w:rsid w:val="00104319"/>
    <w:rsid w:val="00104427"/>
    <w:rsid w:val="00104523"/>
    <w:rsid w:val="0010457A"/>
    <w:rsid w:val="0010460A"/>
    <w:rsid w:val="00104685"/>
    <w:rsid w:val="001046AD"/>
    <w:rsid w:val="00104789"/>
    <w:rsid w:val="001047AE"/>
    <w:rsid w:val="00104856"/>
    <w:rsid w:val="001048AE"/>
    <w:rsid w:val="0010497C"/>
    <w:rsid w:val="001049CA"/>
    <w:rsid w:val="00104A44"/>
    <w:rsid w:val="00104AD2"/>
    <w:rsid w:val="00104DE7"/>
    <w:rsid w:val="00105186"/>
    <w:rsid w:val="001051D2"/>
    <w:rsid w:val="001052C7"/>
    <w:rsid w:val="001054CD"/>
    <w:rsid w:val="00105653"/>
    <w:rsid w:val="0010567D"/>
    <w:rsid w:val="001058D1"/>
    <w:rsid w:val="001058E1"/>
    <w:rsid w:val="001058EA"/>
    <w:rsid w:val="0010590F"/>
    <w:rsid w:val="0010597D"/>
    <w:rsid w:val="00105C62"/>
    <w:rsid w:val="00105F21"/>
    <w:rsid w:val="00106014"/>
    <w:rsid w:val="0010606C"/>
    <w:rsid w:val="001061C7"/>
    <w:rsid w:val="00106241"/>
    <w:rsid w:val="00106276"/>
    <w:rsid w:val="001064FF"/>
    <w:rsid w:val="0010665D"/>
    <w:rsid w:val="001066D8"/>
    <w:rsid w:val="001067A3"/>
    <w:rsid w:val="00106D83"/>
    <w:rsid w:val="00106E98"/>
    <w:rsid w:val="00106EAA"/>
    <w:rsid w:val="00106F98"/>
    <w:rsid w:val="00106FCA"/>
    <w:rsid w:val="001071D8"/>
    <w:rsid w:val="001072B5"/>
    <w:rsid w:val="00107499"/>
    <w:rsid w:val="00107550"/>
    <w:rsid w:val="00107D23"/>
    <w:rsid w:val="00107E23"/>
    <w:rsid w:val="00107F0E"/>
    <w:rsid w:val="00107F88"/>
    <w:rsid w:val="001100DE"/>
    <w:rsid w:val="00110138"/>
    <w:rsid w:val="001103F7"/>
    <w:rsid w:val="00110552"/>
    <w:rsid w:val="001105B7"/>
    <w:rsid w:val="001105CF"/>
    <w:rsid w:val="001105EC"/>
    <w:rsid w:val="001105F4"/>
    <w:rsid w:val="00110684"/>
    <w:rsid w:val="00110803"/>
    <w:rsid w:val="00110BB2"/>
    <w:rsid w:val="00110C5E"/>
    <w:rsid w:val="00110D13"/>
    <w:rsid w:val="00110D1F"/>
    <w:rsid w:val="00110DE2"/>
    <w:rsid w:val="00110F39"/>
    <w:rsid w:val="00111056"/>
    <w:rsid w:val="001110D4"/>
    <w:rsid w:val="00111256"/>
    <w:rsid w:val="00111322"/>
    <w:rsid w:val="00111365"/>
    <w:rsid w:val="0011143A"/>
    <w:rsid w:val="00111672"/>
    <w:rsid w:val="0011177A"/>
    <w:rsid w:val="00111BAB"/>
    <w:rsid w:val="001122E0"/>
    <w:rsid w:val="00112313"/>
    <w:rsid w:val="001127EF"/>
    <w:rsid w:val="00112AEA"/>
    <w:rsid w:val="00113086"/>
    <w:rsid w:val="00113143"/>
    <w:rsid w:val="00113296"/>
    <w:rsid w:val="001132F4"/>
    <w:rsid w:val="00113352"/>
    <w:rsid w:val="001133F6"/>
    <w:rsid w:val="001135B3"/>
    <w:rsid w:val="00113787"/>
    <w:rsid w:val="00113798"/>
    <w:rsid w:val="0011380D"/>
    <w:rsid w:val="001138E0"/>
    <w:rsid w:val="001138E7"/>
    <w:rsid w:val="00113B3B"/>
    <w:rsid w:val="00113D08"/>
    <w:rsid w:val="00113FC3"/>
    <w:rsid w:val="00113FE5"/>
    <w:rsid w:val="001140EC"/>
    <w:rsid w:val="00114243"/>
    <w:rsid w:val="00114283"/>
    <w:rsid w:val="00114494"/>
    <w:rsid w:val="00114616"/>
    <w:rsid w:val="0011465C"/>
    <w:rsid w:val="0011465E"/>
    <w:rsid w:val="001146AF"/>
    <w:rsid w:val="00114731"/>
    <w:rsid w:val="001149F4"/>
    <w:rsid w:val="00114A1A"/>
    <w:rsid w:val="00114CBE"/>
    <w:rsid w:val="00114E39"/>
    <w:rsid w:val="00115148"/>
    <w:rsid w:val="00115219"/>
    <w:rsid w:val="00115295"/>
    <w:rsid w:val="00115395"/>
    <w:rsid w:val="001154D4"/>
    <w:rsid w:val="001157B5"/>
    <w:rsid w:val="001158D6"/>
    <w:rsid w:val="00116021"/>
    <w:rsid w:val="001162CD"/>
    <w:rsid w:val="001162E4"/>
    <w:rsid w:val="00116390"/>
    <w:rsid w:val="00116423"/>
    <w:rsid w:val="001165B6"/>
    <w:rsid w:val="00116998"/>
    <w:rsid w:val="00116A26"/>
    <w:rsid w:val="00116A38"/>
    <w:rsid w:val="00116B55"/>
    <w:rsid w:val="00116C50"/>
    <w:rsid w:val="00116CFA"/>
    <w:rsid w:val="00116DC5"/>
    <w:rsid w:val="00116E8D"/>
    <w:rsid w:val="00116F9E"/>
    <w:rsid w:val="001170B5"/>
    <w:rsid w:val="00117105"/>
    <w:rsid w:val="0011744C"/>
    <w:rsid w:val="001174BC"/>
    <w:rsid w:val="001176F8"/>
    <w:rsid w:val="001177BE"/>
    <w:rsid w:val="00117B2E"/>
    <w:rsid w:val="00117C92"/>
    <w:rsid w:val="00117C9E"/>
    <w:rsid w:val="00117CD3"/>
    <w:rsid w:val="00117E37"/>
    <w:rsid w:val="00117E7C"/>
    <w:rsid w:val="00117F7B"/>
    <w:rsid w:val="0012009D"/>
    <w:rsid w:val="0012028C"/>
    <w:rsid w:val="00120548"/>
    <w:rsid w:val="00120585"/>
    <w:rsid w:val="0012074C"/>
    <w:rsid w:val="001208EC"/>
    <w:rsid w:val="00120926"/>
    <w:rsid w:val="00120A78"/>
    <w:rsid w:val="00120AC3"/>
    <w:rsid w:val="00120CE5"/>
    <w:rsid w:val="00120EB5"/>
    <w:rsid w:val="00121046"/>
    <w:rsid w:val="001211E9"/>
    <w:rsid w:val="0012120E"/>
    <w:rsid w:val="0012145A"/>
    <w:rsid w:val="00121474"/>
    <w:rsid w:val="0012181F"/>
    <w:rsid w:val="001219DC"/>
    <w:rsid w:val="00121B41"/>
    <w:rsid w:val="00121CDF"/>
    <w:rsid w:val="00121DF0"/>
    <w:rsid w:val="0012205D"/>
    <w:rsid w:val="0012211D"/>
    <w:rsid w:val="00122413"/>
    <w:rsid w:val="00122435"/>
    <w:rsid w:val="0012245E"/>
    <w:rsid w:val="0012291E"/>
    <w:rsid w:val="00122A35"/>
    <w:rsid w:val="00122B7E"/>
    <w:rsid w:val="00122C6D"/>
    <w:rsid w:val="00122E70"/>
    <w:rsid w:val="00122FF4"/>
    <w:rsid w:val="00123014"/>
    <w:rsid w:val="001234CA"/>
    <w:rsid w:val="0012357E"/>
    <w:rsid w:val="001235C0"/>
    <w:rsid w:val="001237A4"/>
    <w:rsid w:val="00123D0B"/>
    <w:rsid w:val="00123E3B"/>
    <w:rsid w:val="00123EAE"/>
    <w:rsid w:val="001240D6"/>
    <w:rsid w:val="0012414D"/>
    <w:rsid w:val="001241BD"/>
    <w:rsid w:val="00124386"/>
    <w:rsid w:val="00124908"/>
    <w:rsid w:val="00124B63"/>
    <w:rsid w:val="00124C5A"/>
    <w:rsid w:val="00124D43"/>
    <w:rsid w:val="001252E8"/>
    <w:rsid w:val="0012540F"/>
    <w:rsid w:val="00125559"/>
    <w:rsid w:val="0012587D"/>
    <w:rsid w:val="001258AA"/>
    <w:rsid w:val="001258E0"/>
    <w:rsid w:val="001259E3"/>
    <w:rsid w:val="00125A1D"/>
    <w:rsid w:val="00125A8B"/>
    <w:rsid w:val="00125D48"/>
    <w:rsid w:val="00125F54"/>
    <w:rsid w:val="001260ED"/>
    <w:rsid w:val="00126271"/>
    <w:rsid w:val="001263E3"/>
    <w:rsid w:val="001264B3"/>
    <w:rsid w:val="001265A0"/>
    <w:rsid w:val="001265CE"/>
    <w:rsid w:val="00126768"/>
    <w:rsid w:val="00126A8C"/>
    <w:rsid w:val="00126AB6"/>
    <w:rsid w:val="00126B9A"/>
    <w:rsid w:val="00126F8E"/>
    <w:rsid w:val="001271A5"/>
    <w:rsid w:val="0012723B"/>
    <w:rsid w:val="00127461"/>
    <w:rsid w:val="0012756D"/>
    <w:rsid w:val="00127606"/>
    <w:rsid w:val="0012779F"/>
    <w:rsid w:val="00127827"/>
    <w:rsid w:val="00127847"/>
    <w:rsid w:val="0012790E"/>
    <w:rsid w:val="001279E9"/>
    <w:rsid w:val="00127A0B"/>
    <w:rsid w:val="00127A1D"/>
    <w:rsid w:val="00127B3C"/>
    <w:rsid w:val="00127BE9"/>
    <w:rsid w:val="00127CCE"/>
    <w:rsid w:val="00127D03"/>
    <w:rsid w:val="00127D78"/>
    <w:rsid w:val="00127EFC"/>
    <w:rsid w:val="00127F13"/>
    <w:rsid w:val="00127FBF"/>
    <w:rsid w:val="001300F5"/>
    <w:rsid w:val="0013014A"/>
    <w:rsid w:val="001303CB"/>
    <w:rsid w:val="0013042A"/>
    <w:rsid w:val="001306CD"/>
    <w:rsid w:val="00130728"/>
    <w:rsid w:val="00130839"/>
    <w:rsid w:val="00130B82"/>
    <w:rsid w:val="00130D28"/>
    <w:rsid w:val="00130DA0"/>
    <w:rsid w:val="00130E35"/>
    <w:rsid w:val="00130EB8"/>
    <w:rsid w:val="00131014"/>
    <w:rsid w:val="001310D4"/>
    <w:rsid w:val="001312E2"/>
    <w:rsid w:val="001313D6"/>
    <w:rsid w:val="00131687"/>
    <w:rsid w:val="0013173C"/>
    <w:rsid w:val="00131813"/>
    <w:rsid w:val="00131AF7"/>
    <w:rsid w:val="00131B0E"/>
    <w:rsid w:val="00131B6F"/>
    <w:rsid w:val="00131CEE"/>
    <w:rsid w:val="00131CF7"/>
    <w:rsid w:val="00131F5F"/>
    <w:rsid w:val="00131F9B"/>
    <w:rsid w:val="0013208A"/>
    <w:rsid w:val="001320C5"/>
    <w:rsid w:val="001322A8"/>
    <w:rsid w:val="001322EF"/>
    <w:rsid w:val="001324CD"/>
    <w:rsid w:val="00132627"/>
    <w:rsid w:val="00132C5A"/>
    <w:rsid w:val="00132CA0"/>
    <w:rsid w:val="00132DB8"/>
    <w:rsid w:val="00132DEF"/>
    <w:rsid w:val="00133005"/>
    <w:rsid w:val="0013300D"/>
    <w:rsid w:val="00133047"/>
    <w:rsid w:val="0013311E"/>
    <w:rsid w:val="001332CE"/>
    <w:rsid w:val="001333DB"/>
    <w:rsid w:val="001333FC"/>
    <w:rsid w:val="001334B5"/>
    <w:rsid w:val="00133816"/>
    <w:rsid w:val="001338B8"/>
    <w:rsid w:val="00133905"/>
    <w:rsid w:val="00133A81"/>
    <w:rsid w:val="00133B55"/>
    <w:rsid w:val="00133B62"/>
    <w:rsid w:val="00133BE8"/>
    <w:rsid w:val="00133D6C"/>
    <w:rsid w:val="00133D7E"/>
    <w:rsid w:val="00133ED3"/>
    <w:rsid w:val="00133F48"/>
    <w:rsid w:val="00133FF7"/>
    <w:rsid w:val="001340E4"/>
    <w:rsid w:val="001341A6"/>
    <w:rsid w:val="001342FA"/>
    <w:rsid w:val="001343E4"/>
    <w:rsid w:val="00134955"/>
    <w:rsid w:val="0013498F"/>
    <w:rsid w:val="00134A13"/>
    <w:rsid w:val="00134A3F"/>
    <w:rsid w:val="00134B9C"/>
    <w:rsid w:val="00134CED"/>
    <w:rsid w:val="00134D00"/>
    <w:rsid w:val="00134D81"/>
    <w:rsid w:val="00134E8B"/>
    <w:rsid w:val="00135040"/>
    <w:rsid w:val="00135335"/>
    <w:rsid w:val="001355C3"/>
    <w:rsid w:val="00135622"/>
    <w:rsid w:val="0013569B"/>
    <w:rsid w:val="0013579B"/>
    <w:rsid w:val="0013590B"/>
    <w:rsid w:val="00135A66"/>
    <w:rsid w:val="00135C60"/>
    <w:rsid w:val="00135CDD"/>
    <w:rsid w:val="00135FA8"/>
    <w:rsid w:val="001360D0"/>
    <w:rsid w:val="001360D4"/>
    <w:rsid w:val="001362C0"/>
    <w:rsid w:val="001367F2"/>
    <w:rsid w:val="001369FD"/>
    <w:rsid w:val="00136B32"/>
    <w:rsid w:val="00136CFE"/>
    <w:rsid w:val="00136FBB"/>
    <w:rsid w:val="0013709D"/>
    <w:rsid w:val="001371E7"/>
    <w:rsid w:val="001372F8"/>
    <w:rsid w:val="00137306"/>
    <w:rsid w:val="0013732A"/>
    <w:rsid w:val="00137383"/>
    <w:rsid w:val="0013766C"/>
    <w:rsid w:val="001376D4"/>
    <w:rsid w:val="00137790"/>
    <w:rsid w:val="00137838"/>
    <w:rsid w:val="001378FC"/>
    <w:rsid w:val="00137A0B"/>
    <w:rsid w:val="00137B0C"/>
    <w:rsid w:val="00137C64"/>
    <w:rsid w:val="00137C96"/>
    <w:rsid w:val="00137F62"/>
    <w:rsid w:val="00137FDD"/>
    <w:rsid w:val="00140078"/>
    <w:rsid w:val="001400E1"/>
    <w:rsid w:val="001401A7"/>
    <w:rsid w:val="001401BD"/>
    <w:rsid w:val="00140494"/>
    <w:rsid w:val="001404A8"/>
    <w:rsid w:val="00140699"/>
    <w:rsid w:val="001406B8"/>
    <w:rsid w:val="001407A9"/>
    <w:rsid w:val="0014082E"/>
    <w:rsid w:val="00140909"/>
    <w:rsid w:val="00140B39"/>
    <w:rsid w:val="00140CCE"/>
    <w:rsid w:val="001410DF"/>
    <w:rsid w:val="0014113A"/>
    <w:rsid w:val="00141275"/>
    <w:rsid w:val="00141382"/>
    <w:rsid w:val="0014139C"/>
    <w:rsid w:val="00141489"/>
    <w:rsid w:val="0014153A"/>
    <w:rsid w:val="0014159D"/>
    <w:rsid w:val="001417D3"/>
    <w:rsid w:val="0014183A"/>
    <w:rsid w:val="00141854"/>
    <w:rsid w:val="00141C69"/>
    <w:rsid w:val="00141E13"/>
    <w:rsid w:val="00141E6E"/>
    <w:rsid w:val="00141F73"/>
    <w:rsid w:val="00141F7D"/>
    <w:rsid w:val="00142015"/>
    <w:rsid w:val="00142068"/>
    <w:rsid w:val="00142289"/>
    <w:rsid w:val="001422A7"/>
    <w:rsid w:val="00142351"/>
    <w:rsid w:val="00142656"/>
    <w:rsid w:val="0014265D"/>
    <w:rsid w:val="0014281A"/>
    <w:rsid w:val="00142A86"/>
    <w:rsid w:val="00142EC9"/>
    <w:rsid w:val="00142F0B"/>
    <w:rsid w:val="00142FDB"/>
    <w:rsid w:val="00143116"/>
    <w:rsid w:val="00143294"/>
    <w:rsid w:val="001434BA"/>
    <w:rsid w:val="001437B3"/>
    <w:rsid w:val="00143A41"/>
    <w:rsid w:val="00143A74"/>
    <w:rsid w:val="00143B5A"/>
    <w:rsid w:val="00143D32"/>
    <w:rsid w:val="00144023"/>
    <w:rsid w:val="00144113"/>
    <w:rsid w:val="001443AA"/>
    <w:rsid w:val="00144555"/>
    <w:rsid w:val="001446C2"/>
    <w:rsid w:val="0014498A"/>
    <w:rsid w:val="00144B0C"/>
    <w:rsid w:val="00144B78"/>
    <w:rsid w:val="00144CA2"/>
    <w:rsid w:val="00144E5B"/>
    <w:rsid w:val="001450BD"/>
    <w:rsid w:val="00145192"/>
    <w:rsid w:val="001451C5"/>
    <w:rsid w:val="0014528F"/>
    <w:rsid w:val="001452E0"/>
    <w:rsid w:val="001456A7"/>
    <w:rsid w:val="001456E0"/>
    <w:rsid w:val="00145729"/>
    <w:rsid w:val="00145794"/>
    <w:rsid w:val="001457B2"/>
    <w:rsid w:val="001458AE"/>
    <w:rsid w:val="0014593F"/>
    <w:rsid w:val="001459DE"/>
    <w:rsid w:val="00145B10"/>
    <w:rsid w:val="00145B53"/>
    <w:rsid w:val="00145C0A"/>
    <w:rsid w:val="00145CFF"/>
    <w:rsid w:val="00145D01"/>
    <w:rsid w:val="00145D58"/>
    <w:rsid w:val="00145D99"/>
    <w:rsid w:val="00145F75"/>
    <w:rsid w:val="00145FAE"/>
    <w:rsid w:val="00145FF0"/>
    <w:rsid w:val="00146020"/>
    <w:rsid w:val="00146074"/>
    <w:rsid w:val="00146090"/>
    <w:rsid w:val="0014611C"/>
    <w:rsid w:val="001461B4"/>
    <w:rsid w:val="001461B7"/>
    <w:rsid w:val="00146201"/>
    <w:rsid w:val="0014645D"/>
    <w:rsid w:val="001465AE"/>
    <w:rsid w:val="001469D0"/>
    <w:rsid w:val="001469D9"/>
    <w:rsid w:val="00146B13"/>
    <w:rsid w:val="00146C3F"/>
    <w:rsid w:val="00146F3E"/>
    <w:rsid w:val="0014704E"/>
    <w:rsid w:val="0014714B"/>
    <w:rsid w:val="001472BF"/>
    <w:rsid w:val="001472DC"/>
    <w:rsid w:val="001473B6"/>
    <w:rsid w:val="001474E8"/>
    <w:rsid w:val="001474F7"/>
    <w:rsid w:val="0014760A"/>
    <w:rsid w:val="00147682"/>
    <w:rsid w:val="00147684"/>
    <w:rsid w:val="001476DB"/>
    <w:rsid w:val="00147917"/>
    <w:rsid w:val="00147928"/>
    <w:rsid w:val="001479BF"/>
    <w:rsid w:val="00147AF8"/>
    <w:rsid w:val="00147F6C"/>
    <w:rsid w:val="00147FE3"/>
    <w:rsid w:val="00150003"/>
    <w:rsid w:val="0015016F"/>
    <w:rsid w:val="00150226"/>
    <w:rsid w:val="001504E8"/>
    <w:rsid w:val="00150567"/>
    <w:rsid w:val="0015062B"/>
    <w:rsid w:val="00150833"/>
    <w:rsid w:val="001508CE"/>
    <w:rsid w:val="001509A6"/>
    <w:rsid w:val="00150D6A"/>
    <w:rsid w:val="00150F5E"/>
    <w:rsid w:val="00151324"/>
    <w:rsid w:val="001514BE"/>
    <w:rsid w:val="001515C4"/>
    <w:rsid w:val="001515CD"/>
    <w:rsid w:val="0015177D"/>
    <w:rsid w:val="00151861"/>
    <w:rsid w:val="00151BA1"/>
    <w:rsid w:val="00151FBB"/>
    <w:rsid w:val="001520B4"/>
    <w:rsid w:val="001520DB"/>
    <w:rsid w:val="0015215B"/>
    <w:rsid w:val="0015217E"/>
    <w:rsid w:val="001521BC"/>
    <w:rsid w:val="00152362"/>
    <w:rsid w:val="00152376"/>
    <w:rsid w:val="00152383"/>
    <w:rsid w:val="00152459"/>
    <w:rsid w:val="00152803"/>
    <w:rsid w:val="0015297F"/>
    <w:rsid w:val="00152A36"/>
    <w:rsid w:val="00152CC3"/>
    <w:rsid w:val="00152ED4"/>
    <w:rsid w:val="00153049"/>
    <w:rsid w:val="00153065"/>
    <w:rsid w:val="00153257"/>
    <w:rsid w:val="0015332D"/>
    <w:rsid w:val="00153477"/>
    <w:rsid w:val="0015351E"/>
    <w:rsid w:val="00153543"/>
    <w:rsid w:val="00153633"/>
    <w:rsid w:val="001536E1"/>
    <w:rsid w:val="00153964"/>
    <w:rsid w:val="00153DC7"/>
    <w:rsid w:val="00153E06"/>
    <w:rsid w:val="00153FF0"/>
    <w:rsid w:val="00154295"/>
    <w:rsid w:val="001543D5"/>
    <w:rsid w:val="00154498"/>
    <w:rsid w:val="001544B3"/>
    <w:rsid w:val="0015463C"/>
    <w:rsid w:val="00154778"/>
    <w:rsid w:val="001548A8"/>
    <w:rsid w:val="001548D2"/>
    <w:rsid w:val="0015499C"/>
    <w:rsid w:val="00154A74"/>
    <w:rsid w:val="00154BCF"/>
    <w:rsid w:val="00154C0D"/>
    <w:rsid w:val="00154C7B"/>
    <w:rsid w:val="00154EDA"/>
    <w:rsid w:val="00155071"/>
    <w:rsid w:val="00155099"/>
    <w:rsid w:val="001550B0"/>
    <w:rsid w:val="0015521C"/>
    <w:rsid w:val="0015525B"/>
    <w:rsid w:val="0015528A"/>
    <w:rsid w:val="0015533C"/>
    <w:rsid w:val="00155662"/>
    <w:rsid w:val="00155E9B"/>
    <w:rsid w:val="00155EDC"/>
    <w:rsid w:val="001560A6"/>
    <w:rsid w:val="00156314"/>
    <w:rsid w:val="001566F2"/>
    <w:rsid w:val="00156759"/>
    <w:rsid w:val="0015678E"/>
    <w:rsid w:val="00156AF9"/>
    <w:rsid w:val="00156B9C"/>
    <w:rsid w:val="00156D3A"/>
    <w:rsid w:val="00156D9D"/>
    <w:rsid w:val="00157002"/>
    <w:rsid w:val="00157021"/>
    <w:rsid w:val="00157145"/>
    <w:rsid w:val="001574A2"/>
    <w:rsid w:val="00157613"/>
    <w:rsid w:val="001578FA"/>
    <w:rsid w:val="00157E8E"/>
    <w:rsid w:val="00157EA7"/>
    <w:rsid w:val="00160125"/>
    <w:rsid w:val="00160403"/>
    <w:rsid w:val="00160562"/>
    <w:rsid w:val="001605F6"/>
    <w:rsid w:val="00160644"/>
    <w:rsid w:val="001606EE"/>
    <w:rsid w:val="0016077E"/>
    <w:rsid w:val="0016078D"/>
    <w:rsid w:val="00160955"/>
    <w:rsid w:val="00160C1D"/>
    <w:rsid w:val="00160DB6"/>
    <w:rsid w:val="00160F24"/>
    <w:rsid w:val="00160F32"/>
    <w:rsid w:val="001611CA"/>
    <w:rsid w:val="00161358"/>
    <w:rsid w:val="00161550"/>
    <w:rsid w:val="001615E0"/>
    <w:rsid w:val="0016181D"/>
    <w:rsid w:val="00161B2D"/>
    <w:rsid w:val="00161B40"/>
    <w:rsid w:val="00161C09"/>
    <w:rsid w:val="00161D1A"/>
    <w:rsid w:val="00161D55"/>
    <w:rsid w:val="0016203A"/>
    <w:rsid w:val="00162103"/>
    <w:rsid w:val="00162214"/>
    <w:rsid w:val="001622A3"/>
    <w:rsid w:val="001622D8"/>
    <w:rsid w:val="00162482"/>
    <w:rsid w:val="001624F1"/>
    <w:rsid w:val="00162946"/>
    <w:rsid w:val="0016296D"/>
    <w:rsid w:val="00162A6F"/>
    <w:rsid w:val="00162A9C"/>
    <w:rsid w:val="00162E26"/>
    <w:rsid w:val="0016301B"/>
    <w:rsid w:val="001632B6"/>
    <w:rsid w:val="001632F7"/>
    <w:rsid w:val="001633D3"/>
    <w:rsid w:val="0016368D"/>
    <w:rsid w:val="00163813"/>
    <w:rsid w:val="00163841"/>
    <w:rsid w:val="00163EA7"/>
    <w:rsid w:val="00163EC1"/>
    <w:rsid w:val="00163F11"/>
    <w:rsid w:val="00163F93"/>
    <w:rsid w:val="00163FED"/>
    <w:rsid w:val="00163FF4"/>
    <w:rsid w:val="00164055"/>
    <w:rsid w:val="0016408A"/>
    <w:rsid w:val="00164113"/>
    <w:rsid w:val="001643FA"/>
    <w:rsid w:val="00164515"/>
    <w:rsid w:val="001646F3"/>
    <w:rsid w:val="00164858"/>
    <w:rsid w:val="00164C4E"/>
    <w:rsid w:val="00164D76"/>
    <w:rsid w:val="00164DC1"/>
    <w:rsid w:val="00164F69"/>
    <w:rsid w:val="00164F96"/>
    <w:rsid w:val="00165030"/>
    <w:rsid w:val="00165141"/>
    <w:rsid w:val="001653DC"/>
    <w:rsid w:val="00165430"/>
    <w:rsid w:val="001654BD"/>
    <w:rsid w:val="00165595"/>
    <w:rsid w:val="001655AA"/>
    <w:rsid w:val="00165678"/>
    <w:rsid w:val="001656E4"/>
    <w:rsid w:val="00165762"/>
    <w:rsid w:val="00165832"/>
    <w:rsid w:val="001658F0"/>
    <w:rsid w:val="00165B15"/>
    <w:rsid w:val="00165FEA"/>
    <w:rsid w:val="00166073"/>
    <w:rsid w:val="001660D0"/>
    <w:rsid w:val="001661BA"/>
    <w:rsid w:val="0016623A"/>
    <w:rsid w:val="001663F6"/>
    <w:rsid w:val="0016659C"/>
    <w:rsid w:val="00166E7F"/>
    <w:rsid w:val="00166F69"/>
    <w:rsid w:val="0016701C"/>
    <w:rsid w:val="0016709A"/>
    <w:rsid w:val="001670D5"/>
    <w:rsid w:val="001674EE"/>
    <w:rsid w:val="001677C4"/>
    <w:rsid w:val="0016780C"/>
    <w:rsid w:val="001679F9"/>
    <w:rsid w:val="00167DBA"/>
    <w:rsid w:val="00167EE4"/>
    <w:rsid w:val="001687B6"/>
    <w:rsid w:val="0017002C"/>
    <w:rsid w:val="00170055"/>
    <w:rsid w:val="0017017B"/>
    <w:rsid w:val="00170205"/>
    <w:rsid w:val="00170651"/>
    <w:rsid w:val="0017082F"/>
    <w:rsid w:val="00170873"/>
    <w:rsid w:val="00170875"/>
    <w:rsid w:val="00170950"/>
    <w:rsid w:val="001709F2"/>
    <w:rsid w:val="00170F7F"/>
    <w:rsid w:val="00170FA5"/>
    <w:rsid w:val="00171185"/>
    <w:rsid w:val="00171212"/>
    <w:rsid w:val="00171278"/>
    <w:rsid w:val="001712B2"/>
    <w:rsid w:val="001714FB"/>
    <w:rsid w:val="001716AE"/>
    <w:rsid w:val="001718AC"/>
    <w:rsid w:val="001719BA"/>
    <w:rsid w:val="001719BC"/>
    <w:rsid w:val="001719C8"/>
    <w:rsid w:val="001719FC"/>
    <w:rsid w:val="00171A24"/>
    <w:rsid w:val="00171BDF"/>
    <w:rsid w:val="00171C5A"/>
    <w:rsid w:val="00171F61"/>
    <w:rsid w:val="00171F84"/>
    <w:rsid w:val="001722E7"/>
    <w:rsid w:val="00172304"/>
    <w:rsid w:val="00172425"/>
    <w:rsid w:val="00172464"/>
    <w:rsid w:val="00172547"/>
    <w:rsid w:val="00172647"/>
    <w:rsid w:val="001726B3"/>
    <w:rsid w:val="00172834"/>
    <w:rsid w:val="0017292E"/>
    <w:rsid w:val="00172A22"/>
    <w:rsid w:val="00172C24"/>
    <w:rsid w:val="00172C80"/>
    <w:rsid w:val="00172DA0"/>
    <w:rsid w:val="00173092"/>
    <w:rsid w:val="00173393"/>
    <w:rsid w:val="00173451"/>
    <w:rsid w:val="001738EE"/>
    <w:rsid w:val="001739E8"/>
    <w:rsid w:val="001739F7"/>
    <w:rsid w:val="00173C73"/>
    <w:rsid w:val="00173C9B"/>
    <w:rsid w:val="00173D65"/>
    <w:rsid w:val="00174076"/>
    <w:rsid w:val="0017413D"/>
    <w:rsid w:val="0017416E"/>
    <w:rsid w:val="0017419F"/>
    <w:rsid w:val="001742AB"/>
    <w:rsid w:val="001742F2"/>
    <w:rsid w:val="001745D8"/>
    <w:rsid w:val="00174684"/>
    <w:rsid w:val="001746FD"/>
    <w:rsid w:val="00174731"/>
    <w:rsid w:val="001748D5"/>
    <w:rsid w:val="00174CA6"/>
    <w:rsid w:val="00174D42"/>
    <w:rsid w:val="00174D5C"/>
    <w:rsid w:val="00174DC6"/>
    <w:rsid w:val="00174DDE"/>
    <w:rsid w:val="00174F06"/>
    <w:rsid w:val="00174F3C"/>
    <w:rsid w:val="00174F50"/>
    <w:rsid w:val="00174FB7"/>
    <w:rsid w:val="00174FE4"/>
    <w:rsid w:val="00175023"/>
    <w:rsid w:val="0017505A"/>
    <w:rsid w:val="001750DE"/>
    <w:rsid w:val="00175245"/>
    <w:rsid w:val="00175286"/>
    <w:rsid w:val="00175588"/>
    <w:rsid w:val="001755C7"/>
    <w:rsid w:val="00175839"/>
    <w:rsid w:val="00175870"/>
    <w:rsid w:val="00175A30"/>
    <w:rsid w:val="00175B1E"/>
    <w:rsid w:val="00175D17"/>
    <w:rsid w:val="00175F14"/>
    <w:rsid w:val="00175F88"/>
    <w:rsid w:val="00176292"/>
    <w:rsid w:val="00176531"/>
    <w:rsid w:val="00176788"/>
    <w:rsid w:val="00176849"/>
    <w:rsid w:val="00176D52"/>
    <w:rsid w:val="00176ECD"/>
    <w:rsid w:val="00176FB1"/>
    <w:rsid w:val="00177274"/>
    <w:rsid w:val="0017761A"/>
    <w:rsid w:val="00177638"/>
    <w:rsid w:val="00177734"/>
    <w:rsid w:val="001777AD"/>
    <w:rsid w:val="00177820"/>
    <w:rsid w:val="00177880"/>
    <w:rsid w:val="0017799C"/>
    <w:rsid w:val="00177C1B"/>
    <w:rsid w:val="00177C40"/>
    <w:rsid w:val="00177D36"/>
    <w:rsid w:val="00177D64"/>
    <w:rsid w:val="00177E30"/>
    <w:rsid w:val="00177EA7"/>
    <w:rsid w:val="0018000F"/>
    <w:rsid w:val="00180035"/>
    <w:rsid w:val="0018004C"/>
    <w:rsid w:val="00180159"/>
    <w:rsid w:val="00180481"/>
    <w:rsid w:val="00180632"/>
    <w:rsid w:val="001807AD"/>
    <w:rsid w:val="001809AE"/>
    <w:rsid w:val="001809AF"/>
    <w:rsid w:val="001809C6"/>
    <w:rsid w:val="00180B54"/>
    <w:rsid w:val="00180C5F"/>
    <w:rsid w:val="00180D54"/>
    <w:rsid w:val="0018126E"/>
    <w:rsid w:val="001812C2"/>
    <w:rsid w:val="00181362"/>
    <w:rsid w:val="0018147F"/>
    <w:rsid w:val="001814A7"/>
    <w:rsid w:val="00181526"/>
    <w:rsid w:val="0018173B"/>
    <w:rsid w:val="0018180E"/>
    <w:rsid w:val="00181881"/>
    <w:rsid w:val="001819F0"/>
    <w:rsid w:val="00181B4B"/>
    <w:rsid w:val="00181BD4"/>
    <w:rsid w:val="00181D48"/>
    <w:rsid w:val="00181EE6"/>
    <w:rsid w:val="00182035"/>
    <w:rsid w:val="00182046"/>
    <w:rsid w:val="0018214E"/>
    <w:rsid w:val="001824B7"/>
    <w:rsid w:val="00182705"/>
    <w:rsid w:val="00182740"/>
    <w:rsid w:val="00182779"/>
    <w:rsid w:val="0018290C"/>
    <w:rsid w:val="00182A5F"/>
    <w:rsid w:val="00182A93"/>
    <w:rsid w:val="00182AF0"/>
    <w:rsid w:val="00182B59"/>
    <w:rsid w:val="00182EF4"/>
    <w:rsid w:val="00183037"/>
    <w:rsid w:val="00183091"/>
    <w:rsid w:val="00183268"/>
    <w:rsid w:val="001832B1"/>
    <w:rsid w:val="001833AE"/>
    <w:rsid w:val="001834E3"/>
    <w:rsid w:val="001836A4"/>
    <w:rsid w:val="00183891"/>
    <w:rsid w:val="00183920"/>
    <w:rsid w:val="0018394F"/>
    <w:rsid w:val="0018395C"/>
    <w:rsid w:val="00183D95"/>
    <w:rsid w:val="00183E3D"/>
    <w:rsid w:val="00184288"/>
    <w:rsid w:val="0018445D"/>
    <w:rsid w:val="001844C5"/>
    <w:rsid w:val="0018478E"/>
    <w:rsid w:val="001847A5"/>
    <w:rsid w:val="001847F2"/>
    <w:rsid w:val="00184873"/>
    <w:rsid w:val="001848BD"/>
    <w:rsid w:val="00184A5E"/>
    <w:rsid w:val="00184C43"/>
    <w:rsid w:val="00184DB3"/>
    <w:rsid w:val="00184DC6"/>
    <w:rsid w:val="00184E8E"/>
    <w:rsid w:val="00185124"/>
    <w:rsid w:val="001852F7"/>
    <w:rsid w:val="00185520"/>
    <w:rsid w:val="001856CA"/>
    <w:rsid w:val="0018595B"/>
    <w:rsid w:val="00185E1D"/>
    <w:rsid w:val="00186051"/>
    <w:rsid w:val="00186079"/>
    <w:rsid w:val="001861A6"/>
    <w:rsid w:val="00186275"/>
    <w:rsid w:val="001864ED"/>
    <w:rsid w:val="0018678E"/>
    <w:rsid w:val="001869DB"/>
    <w:rsid w:val="00186AA2"/>
    <w:rsid w:val="00186C27"/>
    <w:rsid w:val="00186FE1"/>
    <w:rsid w:val="00187089"/>
    <w:rsid w:val="001873D2"/>
    <w:rsid w:val="001873FA"/>
    <w:rsid w:val="0018787E"/>
    <w:rsid w:val="00187896"/>
    <w:rsid w:val="001878F5"/>
    <w:rsid w:val="00187AFD"/>
    <w:rsid w:val="00187F7C"/>
    <w:rsid w:val="00187FAE"/>
    <w:rsid w:val="00187FEA"/>
    <w:rsid w:val="001900A4"/>
    <w:rsid w:val="00190108"/>
    <w:rsid w:val="0019013B"/>
    <w:rsid w:val="001905B1"/>
    <w:rsid w:val="001906F9"/>
    <w:rsid w:val="00190A86"/>
    <w:rsid w:val="00190B5E"/>
    <w:rsid w:val="00190BBA"/>
    <w:rsid w:val="00190CB1"/>
    <w:rsid w:val="00190CDB"/>
    <w:rsid w:val="001911B2"/>
    <w:rsid w:val="0019141B"/>
    <w:rsid w:val="00191472"/>
    <w:rsid w:val="00191585"/>
    <w:rsid w:val="001918E1"/>
    <w:rsid w:val="00191AE2"/>
    <w:rsid w:val="00191AF8"/>
    <w:rsid w:val="00191EDF"/>
    <w:rsid w:val="00191F13"/>
    <w:rsid w:val="00191FE2"/>
    <w:rsid w:val="0019209B"/>
    <w:rsid w:val="001920CB"/>
    <w:rsid w:val="001920F1"/>
    <w:rsid w:val="00192296"/>
    <w:rsid w:val="001924E7"/>
    <w:rsid w:val="00192524"/>
    <w:rsid w:val="00192528"/>
    <w:rsid w:val="001927D5"/>
    <w:rsid w:val="001928CB"/>
    <w:rsid w:val="00192B22"/>
    <w:rsid w:val="00192B81"/>
    <w:rsid w:val="00192B87"/>
    <w:rsid w:val="00192D4F"/>
    <w:rsid w:val="00192E06"/>
    <w:rsid w:val="00192F0F"/>
    <w:rsid w:val="0019311C"/>
    <w:rsid w:val="0019318A"/>
    <w:rsid w:val="00193265"/>
    <w:rsid w:val="001933B4"/>
    <w:rsid w:val="00193518"/>
    <w:rsid w:val="001936FC"/>
    <w:rsid w:val="001938A1"/>
    <w:rsid w:val="00193932"/>
    <w:rsid w:val="001939F8"/>
    <w:rsid w:val="00193ABA"/>
    <w:rsid w:val="00193B59"/>
    <w:rsid w:val="00193CFC"/>
    <w:rsid w:val="00193DB2"/>
    <w:rsid w:val="00193FC3"/>
    <w:rsid w:val="0019403E"/>
    <w:rsid w:val="001944D9"/>
    <w:rsid w:val="0019458B"/>
    <w:rsid w:val="001945D9"/>
    <w:rsid w:val="001945E5"/>
    <w:rsid w:val="001945F2"/>
    <w:rsid w:val="001946CA"/>
    <w:rsid w:val="00194836"/>
    <w:rsid w:val="001948B6"/>
    <w:rsid w:val="00194AA4"/>
    <w:rsid w:val="00194B36"/>
    <w:rsid w:val="00194DB8"/>
    <w:rsid w:val="00194E2C"/>
    <w:rsid w:val="00194EE2"/>
    <w:rsid w:val="00195348"/>
    <w:rsid w:val="00195484"/>
    <w:rsid w:val="0019580D"/>
    <w:rsid w:val="001959FF"/>
    <w:rsid w:val="00195A68"/>
    <w:rsid w:val="00195AF6"/>
    <w:rsid w:val="00195DB6"/>
    <w:rsid w:val="00195E6B"/>
    <w:rsid w:val="00195FE0"/>
    <w:rsid w:val="00196087"/>
    <w:rsid w:val="001961C8"/>
    <w:rsid w:val="0019632E"/>
    <w:rsid w:val="00196417"/>
    <w:rsid w:val="0019643E"/>
    <w:rsid w:val="00196579"/>
    <w:rsid w:val="0019658C"/>
    <w:rsid w:val="001965AF"/>
    <w:rsid w:val="0019666B"/>
    <w:rsid w:val="001967EC"/>
    <w:rsid w:val="001968A2"/>
    <w:rsid w:val="001969EA"/>
    <w:rsid w:val="00196B53"/>
    <w:rsid w:val="00196B56"/>
    <w:rsid w:val="00196DB1"/>
    <w:rsid w:val="00196DDB"/>
    <w:rsid w:val="00197119"/>
    <w:rsid w:val="00197333"/>
    <w:rsid w:val="00197432"/>
    <w:rsid w:val="001974BB"/>
    <w:rsid w:val="001974F1"/>
    <w:rsid w:val="0019764F"/>
    <w:rsid w:val="00197891"/>
    <w:rsid w:val="00197991"/>
    <w:rsid w:val="00197AC7"/>
    <w:rsid w:val="00197FF3"/>
    <w:rsid w:val="001A0364"/>
    <w:rsid w:val="001A03DF"/>
    <w:rsid w:val="001A03FD"/>
    <w:rsid w:val="001A0735"/>
    <w:rsid w:val="001A091A"/>
    <w:rsid w:val="001A097A"/>
    <w:rsid w:val="001A0A18"/>
    <w:rsid w:val="001A0C83"/>
    <w:rsid w:val="001A0CB1"/>
    <w:rsid w:val="001A0CB3"/>
    <w:rsid w:val="001A0D23"/>
    <w:rsid w:val="001A0DB2"/>
    <w:rsid w:val="001A0EC3"/>
    <w:rsid w:val="001A10D4"/>
    <w:rsid w:val="001A176F"/>
    <w:rsid w:val="001A1804"/>
    <w:rsid w:val="001A18B6"/>
    <w:rsid w:val="001A1A4B"/>
    <w:rsid w:val="001A1C64"/>
    <w:rsid w:val="001A1CDA"/>
    <w:rsid w:val="001A21D8"/>
    <w:rsid w:val="001A22A0"/>
    <w:rsid w:val="001A2605"/>
    <w:rsid w:val="001A29C3"/>
    <w:rsid w:val="001A29D3"/>
    <w:rsid w:val="001A2C2B"/>
    <w:rsid w:val="001A2D62"/>
    <w:rsid w:val="001A2E5F"/>
    <w:rsid w:val="001A2E63"/>
    <w:rsid w:val="001A3066"/>
    <w:rsid w:val="001A326D"/>
    <w:rsid w:val="001A32BA"/>
    <w:rsid w:val="001A32E7"/>
    <w:rsid w:val="001A3403"/>
    <w:rsid w:val="001A340F"/>
    <w:rsid w:val="001A3484"/>
    <w:rsid w:val="001A3495"/>
    <w:rsid w:val="001A3512"/>
    <w:rsid w:val="001A36DA"/>
    <w:rsid w:val="001A3B40"/>
    <w:rsid w:val="001A3B4F"/>
    <w:rsid w:val="001A3C66"/>
    <w:rsid w:val="001A426A"/>
    <w:rsid w:val="001A445B"/>
    <w:rsid w:val="001A457E"/>
    <w:rsid w:val="001A45F6"/>
    <w:rsid w:val="001A460A"/>
    <w:rsid w:val="001A469F"/>
    <w:rsid w:val="001A4A42"/>
    <w:rsid w:val="001A4BBF"/>
    <w:rsid w:val="001A4C72"/>
    <w:rsid w:val="001A4D09"/>
    <w:rsid w:val="001A50B8"/>
    <w:rsid w:val="001A51FD"/>
    <w:rsid w:val="001A52CE"/>
    <w:rsid w:val="001A5364"/>
    <w:rsid w:val="001A5726"/>
    <w:rsid w:val="001A58AE"/>
    <w:rsid w:val="001A5A29"/>
    <w:rsid w:val="001A5B3C"/>
    <w:rsid w:val="001A5D4C"/>
    <w:rsid w:val="001A5DA8"/>
    <w:rsid w:val="001A5F26"/>
    <w:rsid w:val="001A6117"/>
    <w:rsid w:val="001A61AC"/>
    <w:rsid w:val="001A6241"/>
    <w:rsid w:val="001A62D4"/>
    <w:rsid w:val="001A63BC"/>
    <w:rsid w:val="001A63FE"/>
    <w:rsid w:val="001A6403"/>
    <w:rsid w:val="001A643F"/>
    <w:rsid w:val="001A65AA"/>
    <w:rsid w:val="001A669C"/>
    <w:rsid w:val="001A687C"/>
    <w:rsid w:val="001A69AA"/>
    <w:rsid w:val="001A6AD2"/>
    <w:rsid w:val="001A6D5A"/>
    <w:rsid w:val="001A6E9B"/>
    <w:rsid w:val="001A6EB4"/>
    <w:rsid w:val="001A6FBE"/>
    <w:rsid w:val="001A705D"/>
    <w:rsid w:val="001A708A"/>
    <w:rsid w:val="001A70CA"/>
    <w:rsid w:val="001A73E7"/>
    <w:rsid w:val="001A7400"/>
    <w:rsid w:val="001A745F"/>
    <w:rsid w:val="001A758C"/>
    <w:rsid w:val="001A76E4"/>
    <w:rsid w:val="001A78C4"/>
    <w:rsid w:val="001A7C2C"/>
    <w:rsid w:val="001A7E6A"/>
    <w:rsid w:val="001A7F63"/>
    <w:rsid w:val="001B0010"/>
    <w:rsid w:val="001B014C"/>
    <w:rsid w:val="001B04AB"/>
    <w:rsid w:val="001B0634"/>
    <w:rsid w:val="001B0775"/>
    <w:rsid w:val="001B07EB"/>
    <w:rsid w:val="001B0D4D"/>
    <w:rsid w:val="001B0D63"/>
    <w:rsid w:val="001B0E09"/>
    <w:rsid w:val="001B0F5C"/>
    <w:rsid w:val="001B0F9E"/>
    <w:rsid w:val="001B112C"/>
    <w:rsid w:val="001B12D0"/>
    <w:rsid w:val="001B134E"/>
    <w:rsid w:val="001B13D3"/>
    <w:rsid w:val="001B140D"/>
    <w:rsid w:val="001B152B"/>
    <w:rsid w:val="001B1C01"/>
    <w:rsid w:val="001B1CC5"/>
    <w:rsid w:val="001B1DF8"/>
    <w:rsid w:val="001B1E20"/>
    <w:rsid w:val="001B23BE"/>
    <w:rsid w:val="001B2403"/>
    <w:rsid w:val="001B2437"/>
    <w:rsid w:val="001B2637"/>
    <w:rsid w:val="001B2649"/>
    <w:rsid w:val="001B2926"/>
    <w:rsid w:val="001B2BD1"/>
    <w:rsid w:val="001B2CF2"/>
    <w:rsid w:val="001B2D74"/>
    <w:rsid w:val="001B2DF7"/>
    <w:rsid w:val="001B2E6D"/>
    <w:rsid w:val="001B2E77"/>
    <w:rsid w:val="001B2FBB"/>
    <w:rsid w:val="001B311F"/>
    <w:rsid w:val="001B3152"/>
    <w:rsid w:val="001B31A0"/>
    <w:rsid w:val="001B31BE"/>
    <w:rsid w:val="001B31E9"/>
    <w:rsid w:val="001B33D7"/>
    <w:rsid w:val="001B38B9"/>
    <w:rsid w:val="001B395C"/>
    <w:rsid w:val="001B3968"/>
    <w:rsid w:val="001B3A56"/>
    <w:rsid w:val="001B3C50"/>
    <w:rsid w:val="001B3CAF"/>
    <w:rsid w:val="001B3CF8"/>
    <w:rsid w:val="001B3DC9"/>
    <w:rsid w:val="001B4085"/>
    <w:rsid w:val="001B42EF"/>
    <w:rsid w:val="001B4341"/>
    <w:rsid w:val="001B4450"/>
    <w:rsid w:val="001B45F2"/>
    <w:rsid w:val="001B4649"/>
    <w:rsid w:val="001B46C9"/>
    <w:rsid w:val="001B4762"/>
    <w:rsid w:val="001B47A0"/>
    <w:rsid w:val="001B47C0"/>
    <w:rsid w:val="001B4A91"/>
    <w:rsid w:val="001B4AF1"/>
    <w:rsid w:val="001B4B77"/>
    <w:rsid w:val="001B4D00"/>
    <w:rsid w:val="001B4DF3"/>
    <w:rsid w:val="001B4E1F"/>
    <w:rsid w:val="001B509C"/>
    <w:rsid w:val="001B5488"/>
    <w:rsid w:val="001B5499"/>
    <w:rsid w:val="001B5519"/>
    <w:rsid w:val="001B57E7"/>
    <w:rsid w:val="001B5DE2"/>
    <w:rsid w:val="001B5FB1"/>
    <w:rsid w:val="001B61B9"/>
    <w:rsid w:val="001B62EC"/>
    <w:rsid w:val="001B63B8"/>
    <w:rsid w:val="001B63DD"/>
    <w:rsid w:val="001B6671"/>
    <w:rsid w:val="001B6702"/>
    <w:rsid w:val="001B68F6"/>
    <w:rsid w:val="001B6AAE"/>
    <w:rsid w:val="001B6AE0"/>
    <w:rsid w:val="001B6B12"/>
    <w:rsid w:val="001B6ECF"/>
    <w:rsid w:val="001B6F20"/>
    <w:rsid w:val="001B6F5F"/>
    <w:rsid w:val="001B71A0"/>
    <w:rsid w:val="001B76B1"/>
    <w:rsid w:val="001B77B8"/>
    <w:rsid w:val="001B7D0D"/>
    <w:rsid w:val="001C00AE"/>
    <w:rsid w:val="001C0188"/>
    <w:rsid w:val="001C02E9"/>
    <w:rsid w:val="001C0385"/>
    <w:rsid w:val="001C0435"/>
    <w:rsid w:val="001C066C"/>
    <w:rsid w:val="001C0789"/>
    <w:rsid w:val="001C07A1"/>
    <w:rsid w:val="001C09D6"/>
    <w:rsid w:val="001C0E08"/>
    <w:rsid w:val="001C0F5F"/>
    <w:rsid w:val="001C0F8A"/>
    <w:rsid w:val="001C10F3"/>
    <w:rsid w:val="001C121E"/>
    <w:rsid w:val="001C14FA"/>
    <w:rsid w:val="001C1861"/>
    <w:rsid w:val="001C190E"/>
    <w:rsid w:val="001C1933"/>
    <w:rsid w:val="001C197A"/>
    <w:rsid w:val="001C19FD"/>
    <w:rsid w:val="001C1A03"/>
    <w:rsid w:val="001C1A0C"/>
    <w:rsid w:val="001C1A20"/>
    <w:rsid w:val="001C1DD6"/>
    <w:rsid w:val="001C245C"/>
    <w:rsid w:val="001C26B9"/>
    <w:rsid w:val="001C2A99"/>
    <w:rsid w:val="001C2B1F"/>
    <w:rsid w:val="001C2B30"/>
    <w:rsid w:val="001C2D55"/>
    <w:rsid w:val="001C2F15"/>
    <w:rsid w:val="001C2F43"/>
    <w:rsid w:val="001C33B5"/>
    <w:rsid w:val="001C33DB"/>
    <w:rsid w:val="001C3499"/>
    <w:rsid w:val="001C374D"/>
    <w:rsid w:val="001C38BC"/>
    <w:rsid w:val="001C3956"/>
    <w:rsid w:val="001C3A9B"/>
    <w:rsid w:val="001C3BEA"/>
    <w:rsid w:val="001C3CCA"/>
    <w:rsid w:val="001C3D9B"/>
    <w:rsid w:val="001C3DA6"/>
    <w:rsid w:val="001C3DB2"/>
    <w:rsid w:val="001C3FA3"/>
    <w:rsid w:val="001C4051"/>
    <w:rsid w:val="001C41C3"/>
    <w:rsid w:val="001C442A"/>
    <w:rsid w:val="001C448D"/>
    <w:rsid w:val="001C45F7"/>
    <w:rsid w:val="001C4634"/>
    <w:rsid w:val="001C46F9"/>
    <w:rsid w:val="001C476F"/>
    <w:rsid w:val="001C4841"/>
    <w:rsid w:val="001C48B0"/>
    <w:rsid w:val="001C4B0D"/>
    <w:rsid w:val="001C4BCA"/>
    <w:rsid w:val="001C4C5F"/>
    <w:rsid w:val="001C4E76"/>
    <w:rsid w:val="001C4FE1"/>
    <w:rsid w:val="001C50C6"/>
    <w:rsid w:val="001C50E6"/>
    <w:rsid w:val="001C5254"/>
    <w:rsid w:val="001C54D0"/>
    <w:rsid w:val="001C5534"/>
    <w:rsid w:val="001C5626"/>
    <w:rsid w:val="001C5699"/>
    <w:rsid w:val="001C57AC"/>
    <w:rsid w:val="001C57FA"/>
    <w:rsid w:val="001C5920"/>
    <w:rsid w:val="001C59E0"/>
    <w:rsid w:val="001C5B2A"/>
    <w:rsid w:val="001C5C0D"/>
    <w:rsid w:val="001C5CC4"/>
    <w:rsid w:val="001C5CD9"/>
    <w:rsid w:val="001C5D39"/>
    <w:rsid w:val="001C5D50"/>
    <w:rsid w:val="001C5DF2"/>
    <w:rsid w:val="001C62C5"/>
    <w:rsid w:val="001C62FD"/>
    <w:rsid w:val="001C66C5"/>
    <w:rsid w:val="001C68CB"/>
    <w:rsid w:val="001C69E6"/>
    <w:rsid w:val="001C6A90"/>
    <w:rsid w:val="001C6B23"/>
    <w:rsid w:val="001C6F89"/>
    <w:rsid w:val="001C731B"/>
    <w:rsid w:val="001C7346"/>
    <w:rsid w:val="001C747D"/>
    <w:rsid w:val="001C74D8"/>
    <w:rsid w:val="001C74ED"/>
    <w:rsid w:val="001C75B5"/>
    <w:rsid w:val="001C76B5"/>
    <w:rsid w:val="001C7940"/>
    <w:rsid w:val="001C79AA"/>
    <w:rsid w:val="001C7ABB"/>
    <w:rsid w:val="001C7B41"/>
    <w:rsid w:val="001C7BDF"/>
    <w:rsid w:val="001C7CDE"/>
    <w:rsid w:val="001C7E40"/>
    <w:rsid w:val="001C7EE5"/>
    <w:rsid w:val="001C7FA4"/>
    <w:rsid w:val="001C7FD2"/>
    <w:rsid w:val="001D001C"/>
    <w:rsid w:val="001D018A"/>
    <w:rsid w:val="001D02CB"/>
    <w:rsid w:val="001D0328"/>
    <w:rsid w:val="001D0465"/>
    <w:rsid w:val="001D0683"/>
    <w:rsid w:val="001D089B"/>
    <w:rsid w:val="001D09A9"/>
    <w:rsid w:val="001D0C42"/>
    <w:rsid w:val="001D0E73"/>
    <w:rsid w:val="001D0FB6"/>
    <w:rsid w:val="001D1201"/>
    <w:rsid w:val="001D12A0"/>
    <w:rsid w:val="001D12F4"/>
    <w:rsid w:val="001D134F"/>
    <w:rsid w:val="001D13F2"/>
    <w:rsid w:val="001D1408"/>
    <w:rsid w:val="001D155A"/>
    <w:rsid w:val="001D1657"/>
    <w:rsid w:val="001D1754"/>
    <w:rsid w:val="001D1881"/>
    <w:rsid w:val="001D1993"/>
    <w:rsid w:val="001D1A6D"/>
    <w:rsid w:val="001D1CBD"/>
    <w:rsid w:val="001D1CF9"/>
    <w:rsid w:val="001D1CFC"/>
    <w:rsid w:val="001D1DE2"/>
    <w:rsid w:val="001D2013"/>
    <w:rsid w:val="001D20C9"/>
    <w:rsid w:val="001D20F8"/>
    <w:rsid w:val="001D2241"/>
    <w:rsid w:val="001D2282"/>
    <w:rsid w:val="001D234F"/>
    <w:rsid w:val="001D261E"/>
    <w:rsid w:val="001D26CC"/>
    <w:rsid w:val="001D28D8"/>
    <w:rsid w:val="001D29B0"/>
    <w:rsid w:val="001D2A91"/>
    <w:rsid w:val="001D2BE4"/>
    <w:rsid w:val="001D2DD0"/>
    <w:rsid w:val="001D3120"/>
    <w:rsid w:val="001D347A"/>
    <w:rsid w:val="001D3698"/>
    <w:rsid w:val="001D38C0"/>
    <w:rsid w:val="001D398C"/>
    <w:rsid w:val="001D3A99"/>
    <w:rsid w:val="001D3F1A"/>
    <w:rsid w:val="001D4001"/>
    <w:rsid w:val="001D40AE"/>
    <w:rsid w:val="001D411E"/>
    <w:rsid w:val="001D41A8"/>
    <w:rsid w:val="001D42AB"/>
    <w:rsid w:val="001D4515"/>
    <w:rsid w:val="001D4524"/>
    <w:rsid w:val="001D46B5"/>
    <w:rsid w:val="001D4737"/>
    <w:rsid w:val="001D4810"/>
    <w:rsid w:val="001D4981"/>
    <w:rsid w:val="001D4B49"/>
    <w:rsid w:val="001D4B68"/>
    <w:rsid w:val="001D52DE"/>
    <w:rsid w:val="001D5363"/>
    <w:rsid w:val="001D5385"/>
    <w:rsid w:val="001D54B7"/>
    <w:rsid w:val="001D550F"/>
    <w:rsid w:val="001D5608"/>
    <w:rsid w:val="001D5687"/>
    <w:rsid w:val="001D57AE"/>
    <w:rsid w:val="001D5818"/>
    <w:rsid w:val="001D591D"/>
    <w:rsid w:val="001D5938"/>
    <w:rsid w:val="001D5B14"/>
    <w:rsid w:val="001D5C29"/>
    <w:rsid w:val="001D5C96"/>
    <w:rsid w:val="001D5E2D"/>
    <w:rsid w:val="001D6097"/>
    <w:rsid w:val="001D6355"/>
    <w:rsid w:val="001D6453"/>
    <w:rsid w:val="001D66BA"/>
    <w:rsid w:val="001D670B"/>
    <w:rsid w:val="001D6A79"/>
    <w:rsid w:val="001D6BB5"/>
    <w:rsid w:val="001D6C75"/>
    <w:rsid w:val="001D6E62"/>
    <w:rsid w:val="001D6E65"/>
    <w:rsid w:val="001D6F6F"/>
    <w:rsid w:val="001D714F"/>
    <w:rsid w:val="001D7170"/>
    <w:rsid w:val="001D7504"/>
    <w:rsid w:val="001D755F"/>
    <w:rsid w:val="001D7774"/>
    <w:rsid w:val="001D7A1C"/>
    <w:rsid w:val="001D7A91"/>
    <w:rsid w:val="001D7AC4"/>
    <w:rsid w:val="001D7B1A"/>
    <w:rsid w:val="001D7DC9"/>
    <w:rsid w:val="001D7F93"/>
    <w:rsid w:val="001D7FA7"/>
    <w:rsid w:val="001E01A5"/>
    <w:rsid w:val="001E0299"/>
    <w:rsid w:val="001E057E"/>
    <w:rsid w:val="001E05FD"/>
    <w:rsid w:val="001E07BD"/>
    <w:rsid w:val="001E08F4"/>
    <w:rsid w:val="001E0B44"/>
    <w:rsid w:val="001E0BD6"/>
    <w:rsid w:val="001E0D40"/>
    <w:rsid w:val="001E0E56"/>
    <w:rsid w:val="001E0FFE"/>
    <w:rsid w:val="001E11D8"/>
    <w:rsid w:val="001E1233"/>
    <w:rsid w:val="001E1505"/>
    <w:rsid w:val="001E1586"/>
    <w:rsid w:val="001E167F"/>
    <w:rsid w:val="001E17FC"/>
    <w:rsid w:val="001E188F"/>
    <w:rsid w:val="001E1B2A"/>
    <w:rsid w:val="001E1B81"/>
    <w:rsid w:val="001E1CE6"/>
    <w:rsid w:val="001E1FCE"/>
    <w:rsid w:val="001E207B"/>
    <w:rsid w:val="001E234E"/>
    <w:rsid w:val="001E237F"/>
    <w:rsid w:val="001E2397"/>
    <w:rsid w:val="001E23CF"/>
    <w:rsid w:val="001E2480"/>
    <w:rsid w:val="001E248F"/>
    <w:rsid w:val="001E2547"/>
    <w:rsid w:val="001E25F6"/>
    <w:rsid w:val="001E2937"/>
    <w:rsid w:val="001E2A0E"/>
    <w:rsid w:val="001E2A18"/>
    <w:rsid w:val="001E2D3C"/>
    <w:rsid w:val="001E2E59"/>
    <w:rsid w:val="001E3196"/>
    <w:rsid w:val="001E3200"/>
    <w:rsid w:val="001E37AB"/>
    <w:rsid w:val="001E387C"/>
    <w:rsid w:val="001E394A"/>
    <w:rsid w:val="001E39A8"/>
    <w:rsid w:val="001E3AF9"/>
    <w:rsid w:val="001E3B99"/>
    <w:rsid w:val="001E3C28"/>
    <w:rsid w:val="001E3C40"/>
    <w:rsid w:val="001E3CF2"/>
    <w:rsid w:val="001E3FA6"/>
    <w:rsid w:val="001E40E0"/>
    <w:rsid w:val="001E4363"/>
    <w:rsid w:val="001E4372"/>
    <w:rsid w:val="001E4375"/>
    <w:rsid w:val="001E446C"/>
    <w:rsid w:val="001E454F"/>
    <w:rsid w:val="001E48E7"/>
    <w:rsid w:val="001E492F"/>
    <w:rsid w:val="001E4994"/>
    <w:rsid w:val="001E4BEF"/>
    <w:rsid w:val="001E4C82"/>
    <w:rsid w:val="001E4DF1"/>
    <w:rsid w:val="001E4F6C"/>
    <w:rsid w:val="001E5203"/>
    <w:rsid w:val="001E526A"/>
    <w:rsid w:val="001E530E"/>
    <w:rsid w:val="001E5569"/>
    <w:rsid w:val="001E563C"/>
    <w:rsid w:val="001E56AE"/>
    <w:rsid w:val="001E588C"/>
    <w:rsid w:val="001E5ABB"/>
    <w:rsid w:val="001E5AE2"/>
    <w:rsid w:val="001E5AEC"/>
    <w:rsid w:val="001E5C2F"/>
    <w:rsid w:val="001E5D16"/>
    <w:rsid w:val="001E5F59"/>
    <w:rsid w:val="001E6012"/>
    <w:rsid w:val="001E60E4"/>
    <w:rsid w:val="001E6433"/>
    <w:rsid w:val="001E6435"/>
    <w:rsid w:val="001E6544"/>
    <w:rsid w:val="001E6659"/>
    <w:rsid w:val="001E6694"/>
    <w:rsid w:val="001E6873"/>
    <w:rsid w:val="001E6B58"/>
    <w:rsid w:val="001E6C2C"/>
    <w:rsid w:val="001E6CAC"/>
    <w:rsid w:val="001E6CEE"/>
    <w:rsid w:val="001E6DDD"/>
    <w:rsid w:val="001E6DF1"/>
    <w:rsid w:val="001E6F93"/>
    <w:rsid w:val="001E704E"/>
    <w:rsid w:val="001E71F1"/>
    <w:rsid w:val="001E72AD"/>
    <w:rsid w:val="001E742C"/>
    <w:rsid w:val="001E74B3"/>
    <w:rsid w:val="001E77D2"/>
    <w:rsid w:val="001E79F1"/>
    <w:rsid w:val="001E7AD4"/>
    <w:rsid w:val="001F002D"/>
    <w:rsid w:val="001F00B8"/>
    <w:rsid w:val="001F02E1"/>
    <w:rsid w:val="001F055D"/>
    <w:rsid w:val="001F05B4"/>
    <w:rsid w:val="001F0607"/>
    <w:rsid w:val="001F0612"/>
    <w:rsid w:val="001F064C"/>
    <w:rsid w:val="001F0783"/>
    <w:rsid w:val="001F085A"/>
    <w:rsid w:val="001F09D6"/>
    <w:rsid w:val="001F0BAA"/>
    <w:rsid w:val="001F0C41"/>
    <w:rsid w:val="001F0CE6"/>
    <w:rsid w:val="001F0E30"/>
    <w:rsid w:val="001F107C"/>
    <w:rsid w:val="001F10C5"/>
    <w:rsid w:val="001F1147"/>
    <w:rsid w:val="001F11A8"/>
    <w:rsid w:val="001F1300"/>
    <w:rsid w:val="001F13BF"/>
    <w:rsid w:val="001F173E"/>
    <w:rsid w:val="001F174D"/>
    <w:rsid w:val="001F17A3"/>
    <w:rsid w:val="001F1AF9"/>
    <w:rsid w:val="001F1CDB"/>
    <w:rsid w:val="001F1D77"/>
    <w:rsid w:val="001F1F03"/>
    <w:rsid w:val="001F1F4C"/>
    <w:rsid w:val="001F1F82"/>
    <w:rsid w:val="001F207C"/>
    <w:rsid w:val="001F209C"/>
    <w:rsid w:val="001F20CE"/>
    <w:rsid w:val="001F2221"/>
    <w:rsid w:val="001F2222"/>
    <w:rsid w:val="001F22E3"/>
    <w:rsid w:val="001F230B"/>
    <w:rsid w:val="001F239C"/>
    <w:rsid w:val="001F25A6"/>
    <w:rsid w:val="001F2784"/>
    <w:rsid w:val="001F2912"/>
    <w:rsid w:val="001F2986"/>
    <w:rsid w:val="001F2AB1"/>
    <w:rsid w:val="001F2CDC"/>
    <w:rsid w:val="001F2D78"/>
    <w:rsid w:val="001F2D8E"/>
    <w:rsid w:val="001F2E1F"/>
    <w:rsid w:val="001F2F6B"/>
    <w:rsid w:val="001F2F6D"/>
    <w:rsid w:val="001F2FE3"/>
    <w:rsid w:val="001F316F"/>
    <w:rsid w:val="001F345D"/>
    <w:rsid w:val="001F353D"/>
    <w:rsid w:val="001F35D9"/>
    <w:rsid w:val="001F3666"/>
    <w:rsid w:val="001F372D"/>
    <w:rsid w:val="001F378B"/>
    <w:rsid w:val="001F37D3"/>
    <w:rsid w:val="001F38F5"/>
    <w:rsid w:val="001F393D"/>
    <w:rsid w:val="001F3996"/>
    <w:rsid w:val="001F3BB2"/>
    <w:rsid w:val="001F3BC8"/>
    <w:rsid w:val="001F3DB1"/>
    <w:rsid w:val="001F405A"/>
    <w:rsid w:val="001F40B8"/>
    <w:rsid w:val="001F40E2"/>
    <w:rsid w:val="001F436A"/>
    <w:rsid w:val="001F458F"/>
    <w:rsid w:val="001F4846"/>
    <w:rsid w:val="001F498D"/>
    <w:rsid w:val="001F4B18"/>
    <w:rsid w:val="001F4D44"/>
    <w:rsid w:val="001F4DFC"/>
    <w:rsid w:val="001F4EA4"/>
    <w:rsid w:val="001F4EEB"/>
    <w:rsid w:val="001F4F00"/>
    <w:rsid w:val="001F4FA4"/>
    <w:rsid w:val="001F50C9"/>
    <w:rsid w:val="001F5242"/>
    <w:rsid w:val="001F54E3"/>
    <w:rsid w:val="001F5580"/>
    <w:rsid w:val="001F55B8"/>
    <w:rsid w:val="001F55DC"/>
    <w:rsid w:val="001F563A"/>
    <w:rsid w:val="001F56E2"/>
    <w:rsid w:val="001F580B"/>
    <w:rsid w:val="001F5832"/>
    <w:rsid w:val="001F5C91"/>
    <w:rsid w:val="001F5DC6"/>
    <w:rsid w:val="001F5E27"/>
    <w:rsid w:val="001F5F8A"/>
    <w:rsid w:val="001F6109"/>
    <w:rsid w:val="001F61B0"/>
    <w:rsid w:val="001F63A5"/>
    <w:rsid w:val="001F681D"/>
    <w:rsid w:val="001F687B"/>
    <w:rsid w:val="001F68E8"/>
    <w:rsid w:val="001F693B"/>
    <w:rsid w:val="001F6AA1"/>
    <w:rsid w:val="001F6B7E"/>
    <w:rsid w:val="001F6BD6"/>
    <w:rsid w:val="001F6CCD"/>
    <w:rsid w:val="001F70A5"/>
    <w:rsid w:val="001F7320"/>
    <w:rsid w:val="001F7334"/>
    <w:rsid w:val="001F73B1"/>
    <w:rsid w:val="001F748E"/>
    <w:rsid w:val="001F794A"/>
    <w:rsid w:val="001F7954"/>
    <w:rsid w:val="001F79ED"/>
    <w:rsid w:val="001F7B9F"/>
    <w:rsid w:val="001F7C85"/>
    <w:rsid w:val="001F7D1B"/>
    <w:rsid w:val="001F7D4C"/>
    <w:rsid w:val="001F7E14"/>
    <w:rsid w:val="001F7E71"/>
    <w:rsid w:val="001F7E91"/>
    <w:rsid w:val="00200014"/>
    <w:rsid w:val="002001EA"/>
    <w:rsid w:val="0020024E"/>
    <w:rsid w:val="00200481"/>
    <w:rsid w:val="0020057E"/>
    <w:rsid w:val="002007F1"/>
    <w:rsid w:val="0020083C"/>
    <w:rsid w:val="002008F1"/>
    <w:rsid w:val="00200A4A"/>
    <w:rsid w:val="00200C11"/>
    <w:rsid w:val="00200CA7"/>
    <w:rsid w:val="002010EE"/>
    <w:rsid w:val="00201204"/>
    <w:rsid w:val="0020131B"/>
    <w:rsid w:val="00201385"/>
    <w:rsid w:val="002013AB"/>
    <w:rsid w:val="002013C5"/>
    <w:rsid w:val="0020144B"/>
    <w:rsid w:val="002015D5"/>
    <w:rsid w:val="002016F3"/>
    <w:rsid w:val="002017B2"/>
    <w:rsid w:val="00201AAD"/>
    <w:rsid w:val="0020202E"/>
    <w:rsid w:val="00202194"/>
    <w:rsid w:val="00202356"/>
    <w:rsid w:val="00202499"/>
    <w:rsid w:val="002024A0"/>
    <w:rsid w:val="0020253A"/>
    <w:rsid w:val="002025A4"/>
    <w:rsid w:val="00202776"/>
    <w:rsid w:val="002027B0"/>
    <w:rsid w:val="002027EA"/>
    <w:rsid w:val="00202919"/>
    <w:rsid w:val="00202A85"/>
    <w:rsid w:val="00202C62"/>
    <w:rsid w:val="00202E5E"/>
    <w:rsid w:val="00202F1C"/>
    <w:rsid w:val="00202FB0"/>
    <w:rsid w:val="00203036"/>
    <w:rsid w:val="00203310"/>
    <w:rsid w:val="00203311"/>
    <w:rsid w:val="002033FA"/>
    <w:rsid w:val="00203562"/>
    <w:rsid w:val="00203565"/>
    <w:rsid w:val="00203AA5"/>
    <w:rsid w:val="00203BE1"/>
    <w:rsid w:val="00203C42"/>
    <w:rsid w:val="00203F36"/>
    <w:rsid w:val="00203FCD"/>
    <w:rsid w:val="0020420C"/>
    <w:rsid w:val="00204220"/>
    <w:rsid w:val="00204282"/>
    <w:rsid w:val="00204295"/>
    <w:rsid w:val="0020430F"/>
    <w:rsid w:val="0020434B"/>
    <w:rsid w:val="0020440E"/>
    <w:rsid w:val="00204551"/>
    <w:rsid w:val="00204789"/>
    <w:rsid w:val="0020482F"/>
    <w:rsid w:val="0020492E"/>
    <w:rsid w:val="00204B54"/>
    <w:rsid w:val="00204BE7"/>
    <w:rsid w:val="00204DAE"/>
    <w:rsid w:val="00204E7D"/>
    <w:rsid w:val="00204FAF"/>
    <w:rsid w:val="00205044"/>
    <w:rsid w:val="00205290"/>
    <w:rsid w:val="00205375"/>
    <w:rsid w:val="002053B0"/>
    <w:rsid w:val="0020544C"/>
    <w:rsid w:val="00205541"/>
    <w:rsid w:val="002057DF"/>
    <w:rsid w:val="00205806"/>
    <w:rsid w:val="00205850"/>
    <w:rsid w:val="002058C9"/>
    <w:rsid w:val="00205B32"/>
    <w:rsid w:val="00205D09"/>
    <w:rsid w:val="002060DA"/>
    <w:rsid w:val="00206170"/>
    <w:rsid w:val="0020631B"/>
    <w:rsid w:val="00206368"/>
    <w:rsid w:val="00206399"/>
    <w:rsid w:val="002063CF"/>
    <w:rsid w:val="0020641E"/>
    <w:rsid w:val="0020649B"/>
    <w:rsid w:val="00206637"/>
    <w:rsid w:val="002067D2"/>
    <w:rsid w:val="00206A59"/>
    <w:rsid w:val="00206B47"/>
    <w:rsid w:val="00206CED"/>
    <w:rsid w:val="00206E69"/>
    <w:rsid w:val="00206F9A"/>
    <w:rsid w:val="00207120"/>
    <w:rsid w:val="00207312"/>
    <w:rsid w:val="002074B7"/>
    <w:rsid w:val="00207557"/>
    <w:rsid w:val="00207817"/>
    <w:rsid w:val="002078E6"/>
    <w:rsid w:val="002079FA"/>
    <w:rsid w:val="00207A2B"/>
    <w:rsid w:val="00207B62"/>
    <w:rsid w:val="00207CDD"/>
    <w:rsid w:val="00207D5F"/>
    <w:rsid w:val="00207E76"/>
    <w:rsid w:val="00207F80"/>
    <w:rsid w:val="00210354"/>
    <w:rsid w:val="0021037A"/>
    <w:rsid w:val="002103D7"/>
    <w:rsid w:val="002104E9"/>
    <w:rsid w:val="0021054D"/>
    <w:rsid w:val="00210593"/>
    <w:rsid w:val="00210601"/>
    <w:rsid w:val="002106D9"/>
    <w:rsid w:val="0021075B"/>
    <w:rsid w:val="002107F1"/>
    <w:rsid w:val="002108BD"/>
    <w:rsid w:val="00210974"/>
    <w:rsid w:val="0021097E"/>
    <w:rsid w:val="002109F6"/>
    <w:rsid w:val="00210CCE"/>
    <w:rsid w:val="00210FDD"/>
    <w:rsid w:val="00210FF5"/>
    <w:rsid w:val="00211147"/>
    <w:rsid w:val="00211274"/>
    <w:rsid w:val="00211446"/>
    <w:rsid w:val="002114C3"/>
    <w:rsid w:val="0021179C"/>
    <w:rsid w:val="002117C6"/>
    <w:rsid w:val="0021184A"/>
    <w:rsid w:val="0021194A"/>
    <w:rsid w:val="00211ABA"/>
    <w:rsid w:val="00211B73"/>
    <w:rsid w:val="00211D27"/>
    <w:rsid w:val="00211F5F"/>
    <w:rsid w:val="00212045"/>
    <w:rsid w:val="0021209A"/>
    <w:rsid w:val="0021242C"/>
    <w:rsid w:val="0021251C"/>
    <w:rsid w:val="00212520"/>
    <w:rsid w:val="00212673"/>
    <w:rsid w:val="002127C5"/>
    <w:rsid w:val="002127EE"/>
    <w:rsid w:val="00212858"/>
    <w:rsid w:val="00212908"/>
    <w:rsid w:val="00212A0A"/>
    <w:rsid w:val="00212B61"/>
    <w:rsid w:val="00212BCF"/>
    <w:rsid w:val="002130BC"/>
    <w:rsid w:val="002131D2"/>
    <w:rsid w:val="002136DB"/>
    <w:rsid w:val="00213753"/>
    <w:rsid w:val="00213852"/>
    <w:rsid w:val="00213D90"/>
    <w:rsid w:val="00213DAE"/>
    <w:rsid w:val="00213DE8"/>
    <w:rsid w:val="00213DFC"/>
    <w:rsid w:val="00213FBE"/>
    <w:rsid w:val="00213FC3"/>
    <w:rsid w:val="00214054"/>
    <w:rsid w:val="00214182"/>
    <w:rsid w:val="0021434F"/>
    <w:rsid w:val="00214504"/>
    <w:rsid w:val="002145BE"/>
    <w:rsid w:val="002145E7"/>
    <w:rsid w:val="002147C1"/>
    <w:rsid w:val="00214A78"/>
    <w:rsid w:val="00214A9A"/>
    <w:rsid w:val="00214C7F"/>
    <w:rsid w:val="00214D66"/>
    <w:rsid w:val="00214DAC"/>
    <w:rsid w:val="00214E48"/>
    <w:rsid w:val="002150CC"/>
    <w:rsid w:val="002150D3"/>
    <w:rsid w:val="00215172"/>
    <w:rsid w:val="00215181"/>
    <w:rsid w:val="0021538C"/>
    <w:rsid w:val="0021549E"/>
    <w:rsid w:val="0021573E"/>
    <w:rsid w:val="00215878"/>
    <w:rsid w:val="00215AE8"/>
    <w:rsid w:val="00215D00"/>
    <w:rsid w:val="00215E65"/>
    <w:rsid w:val="0021608D"/>
    <w:rsid w:val="00216174"/>
    <w:rsid w:val="00216177"/>
    <w:rsid w:val="0021652A"/>
    <w:rsid w:val="0021685C"/>
    <w:rsid w:val="002168A9"/>
    <w:rsid w:val="00216947"/>
    <w:rsid w:val="00216963"/>
    <w:rsid w:val="00216A55"/>
    <w:rsid w:val="00216AE0"/>
    <w:rsid w:val="00216AFB"/>
    <w:rsid w:val="00216B29"/>
    <w:rsid w:val="00216CDB"/>
    <w:rsid w:val="00216E5C"/>
    <w:rsid w:val="00216EED"/>
    <w:rsid w:val="00216EF3"/>
    <w:rsid w:val="002170E2"/>
    <w:rsid w:val="002173D1"/>
    <w:rsid w:val="002174D7"/>
    <w:rsid w:val="002179E0"/>
    <w:rsid w:val="00217B07"/>
    <w:rsid w:val="00217B1C"/>
    <w:rsid w:val="00217C12"/>
    <w:rsid w:val="00217D1A"/>
    <w:rsid w:val="00217E79"/>
    <w:rsid w:val="00217F67"/>
    <w:rsid w:val="00220170"/>
    <w:rsid w:val="00220174"/>
    <w:rsid w:val="002203A3"/>
    <w:rsid w:val="00220441"/>
    <w:rsid w:val="00220657"/>
    <w:rsid w:val="0022078B"/>
    <w:rsid w:val="002207D0"/>
    <w:rsid w:val="002207FB"/>
    <w:rsid w:val="00220858"/>
    <w:rsid w:val="002208BE"/>
    <w:rsid w:val="00220B15"/>
    <w:rsid w:val="00220B5C"/>
    <w:rsid w:val="00220CF0"/>
    <w:rsid w:val="00220D24"/>
    <w:rsid w:val="00220D40"/>
    <w:rsid w:val="00220F4D"/>
    <w:rsid w:val="00220F99"/>
    <w:rsid w:val="00221065"/>
    <w:rsid w:val="0022107B"/>
    <w:rsid w:val="002210D0"/>
    <w:rsid w:val="002210E0"/>
    <w:rsid w:val="002211D5"/>
    <w:rsid w:val="0022120B"/>
    <w:rsid w:val="00221222"/>
    <w:rsid w:val="00221324"/>
    <w:rsid w:val="00221474"/>
    <w:rsid w:val="002216DA"/>
    <w:rsid w:val="00221872"/>
    <w:rsid w:val="0022193C"/>
    <w:rsid w:val="00221E26"/>
    <w:rsid w:val="00221F13"/>
    <w:rsid w:val="00221F33"/>
    <w:rsid w:val="00221FF8"/>
    <w:rsid w:val="0022201A"/>
    <w:rsid w:val="002220B4"/>
    <w:rsid w:val="002220E3"/>
    <w:rsid w:val="002220FF"/>
    <w:rsid w:val="00222148"/>
    <w:rsid w:val="002222F9"/>
    <w:rsid w:val="002224A1"/>
    <w:rsid w:val="002224B5"/>
    <w:rsid w:val="00222765"/>
    <w:rsid w:val="002228B7"/>
    <w:rsid w:val="00222B14"/>
    <w:rsid w:val="00222BE1"/>
    <w:rsid w:val="00222CA0"/>
    <w:rsid w:val="00222D4D"/>
    <w:rsid w:val="00222D59"/>
    <w:rsid w:val="00222ECF"/>
    <w:rsid w:val="00222F15"/>
    <w:rsid w:val="00222FAB"/>
    <w:rsid w:val="00222FBF"/>
    <w:rsid w:val="0022308A"/>
    <w:rsid w:val="002230CB"/>
    <w:rsid w:val="00223125"/>
    <w:rsid w:val="0022320B"/>
    <w:rsid w:val="00223320"/>
    <w:rsid w:val="002234C8"/>
    <w:rsid w:val="002236AE"/>
    <w:rsid w:val="002236D9"/>
    <w:rsid w:val="00223900"/>
    <w:rsid w:val="00223958"/>
    <w:rsid w:val="00223989"/>
    <w:rsid w:val="002239EF"/>
    <w:rsid w:val="00223A37"/>
    <w:rsid w:val="00223AD6"/>
    <w:rsid w:val="00223B54"/>
    <w:rsid w:val="00223C44"/>
    <w:rsid w:val="00223DB1"/>
    <w:rsid w:val="00224269"/>
    <w:rsid w:val="002242AA"/>
    <w:rsid w:val="00224301"/>
    <w:rsid w:val="00224586"/>
    <w:rsid w:val="00224ACF"/>
    <w:rsid w:val="00224B4C"/>
    <w:rsid w:val="00224BD8"/>
    <w:rsid w:val="00224E45"/>
    <w:rsid w:val="00224F52"/>
    <w:rsid w:val="00224F92"/>
    <w:rsid w:val="0022509A"/>
    <w:rsid w:val="00225291"/>
    <w:rsid w:val="00225471"/>
    <w:rsid w:val="00225598"/>
    <w:rsid w:val="00225607"/>
    <w:rsid w:val="00225942"/>
    <w:rsid w:val="00225AA5"/>
    <w:rsid w:val="00225B8A"/>
    <w:rsid w:val="00225D81"/>
    <w:rsid w:val="00225E23"/>
    <w:rsid w:val="00226074"/>
    <w:rsid w:val="00226208"/>
    <w:rsid w:val="00226249"/>
    <w:rsid w:val="00226290"/>
    <w:rsid w:val="00226307"/>
    <w:rsid w:val="002263A0"/>
    <w:rsid w:val="00226439"/>
    <w:rsid w:val="00226469"/>
    <w:rsid w:val="0022648B"/>
    <w:rsid w:val="00226617"/>
    <w:rsid w:val="00226751"/>
    <w:rsid w:val="0022687D"/>
    <w:rsid w:val="00226A92"/>
    <w:rsid w:val="00226AE8"/>
    <w:rsid w:val="00226D9D"/>
    <w:rsid w:val="00227156"/>
    <w:rsid w:val="0022723D"/>
    <w:rsid w:val="00227288"/>
    <w:rsid w:val="002275C2"/>
    <w:rsid w:val="002277B4"/>
    <w:rsid w:val="002278EC"/>
    <w:rsid w:val="00227B89"/>
    <w:rsid w:val="00227C37"/>
    <w:rsid w:val="00227C85"/>
    <w:rsid w:val="00227EC0"/>
    <w:rsid w:val="00227FCB"/>
    <w:rsid w:val="00230085"/>
    <w:rsid w:val="00230175"/>
    <w:rsid w:val="00230190"/>
    <w:rsid w:val="00230198"/>
    <w:rsid w:val="00230434"/>
    <w:rsid w:val="00230573"/>
    <w:rsid w:val="002306D9"/>
    <w:rsid w:val="00230C0C"/>
    <w:rsid w:val="00230DB2"/>
    <w:rsid w:val="00230DE4"/>
    <w:rsid w:val="00230F1A"/>
    <w:rsid w:val="00230F5F"/>
    <w:rsid w:val="00231035"/>
    <w:rsid w:val="00231169"/>
    <w:rsid w:val="002311E2"/>
    <w:rsid w:val="002314DD"/>
    <w:rsid w:val="00231532"/>
    <w:rsid w:val="00231698"/>
    <w:rsid w:val="002316C3"/>
    <w:rsid w:val="00231E22"/>
    <w:rsid w:val="00231F6C"/>
    <w:rsid w:val="00231F90"/>
    <w:rsid w:val="0023206C"/>
    <w:rsid w:val="00232338"/>
    <w:rsid w:val="002325C7"/>
    <w:rsid w:val="0023263B"/>
    <w:rsid w:val="0023263D"/>
    <w:rsid w:val="00232657"/>
    <w:rsid w:val="002326EB"/>
    <w:rsid w:val="00232A01"/>
    <w:rsid w:val="00232A66"/>
    <w:rsid w:val="00232A85"/>
    <w:rsid w:val="00232ABB"/>
    <w:rsid w:val="00232BD8"/>
    <w:rsid w:val="00232C05"/>
    <w:rsid w:val="00232CFF"/>
    <w:rsid w:val="00232E31"/>
    <w:rsid w:val="00232F0A"/>
    <w:rsid w:val="0023338A"/>
    <w:rsid w:val="002333F3"/>
    <w:rsid w:val="00233428"/>
    <w:rsid w:val="00233578"/>
    <w:rsid w:val="002335C0"/>
    <w:rsid w:val="002335F6"/>
    <w:rsid w:val="00233764"/>
    <w:rsid w:val="002337F3"/>
    <w:rsid w:val="00233851"/>
    <w:rsid w:val="00233A53"/>
    <w:rsid w:val="00233D0B"/>
    <w:rsid w:val="00233E41"/>
    <w:rsid w:val="00233E66"/>
    <w:rsid w:val="00233EE9"/>
    <w:rsid w:val="00234088"/>
    <w:rsid w:val="0023431A"/>
    <w:rsid w:val="002343BB"/>
    <w:rsid w:val="00234801"/>
    <w:rsid w:val="00234B55"/>
    <w:rsid w:val="00234CAB"/>
    <w:rsid w:val="00234CF1"/>
    <w:rsid w:val="00234D53"/>
    <w:rsid w:val="00234E82"/>
    <w:rsid w:val="00235013"/>
    <w:rsid w:val="00235062"/>
    <w:rsid w:val="00235143"/>
    <w:rsid w:val="0023520A"/>
    <w:rsid w:val="002352F2"/>
    <w:rsid w:val="002353DD"/>
    <w:rsid w:val="00235629"/>
    <w:rsid w:val="002356B4"/>
    <w:rsid w:val="00235865"/>
    <w:rsid w:val="002358ED"/>
    <w:rsid w:val="00235933"/>
    <w:rsid w:val="00235DD0"/>
    <w:rsid w:val="002360C8"/>
    <w:rsid w:val="0023619B"/>
    <w:rsid w:val="00236267"/>
    <w:rsid w:val="00236316"/>
    <w:rsid w:val="0023651A"/>
    <w:rsid w:val="0023653D"/>
    <w:rsid w:val="00236936"/>
    <w:rsid w:val="002369ED"/>
    <w:rsid w:val="00236C64"/>
    <w:rsid w:val="00236CF2"/>
    <w:rsid w:val="00236D11"/>
    <w:rsid w:val="00236EA3"/>
    <w:rsid w:val="00236FCC"/>
    <w:rsid w:val="0023702F"/>
    <w:rsid w:val="002370C0"/>
    <w:rsid w:val="002370C2"/>
    <w:rsid w:val="0023712C"/>
    <w:rsid w:val="002372D3"/>
    <w:rsid w:val="00237462"/>
    <w:rsid w:val="0023749B"/>
    <w:rsid w:val="0023749E"/>
    <w:rsid w:val="002374D9"/>
    <w:rsid w:val="0023750A"/>
    <w:rsid w:val="0023770B"/>
    <w:rsid w:val="00237901"/>
    <w:rsid w:val="00237BC2"/>
    <w:rsid w:val="00237C63"/>
    <w:rsid w:val="00237CC4"/>
    <w:rsid w:val="00237E2F"/>
    <w:rsid w:val="00237FCB"/>
    <w:rsid w:val="0024026F"/>
    <w:rsid w:val="00240349"/>
    <w:rsid w:val="00240377"/>
    <w:rsid w:val="002407E5"/>
    <w:rsid w:val="0024083F"/>
    <w:rsid w:val="002408FF"/>
    <w:rsid w:val="00240A02"/>
    <w:rsid w:val="00240BE3"/>
    <w:rsid w:val="00240D55"/>
    <w:rsid w:val="00240D8E"/>
    <w:rsid w:val="00241086"/>
    <w:rsid w:val="0024112E"/>
    <w:rsid w:val="002411E5"/>
    <w:rsid w:val="002412C4"/>
    <w:rsid w:val="00241318"/>
    <w:rsid w:val="0024137D"/>
    <w:rsid w:val="002414D6"/>
    <w:rsid w:val="00241823"/>
    <w:rsid w:val="0024189E"/>
    <w:rsid w:val="002418F2"/>
    <w:rsid w:val="00241B87"/>
    <w:rsid w:val="0024243C"/>
    <w:rsid w:val="0024248C"/>
    <w:rsid w:val="00242B50"/>
    <w:rsid w:val="00242CB9"/>
    <w:rsid w:val="00242D36"/>
    <w:rsid w:val="00242D5F"/>
    <w:rsid w:val="0024306F"/>
    <w:rsid w:val="00243241"/>
    <w:rsid w:val="00243309"/>
    <w:rsid w:val="00243365"/>
    <w:rsid w:val="002436CD"/>
    <w:rsid w:val="002437DF"/>
    <w:rsid w:val="00243877"/>
    <w:rsid w:val="0024388D"/>
    <w:rsid w:val="00243A4D"/>
    <w:rsid w:val="00243C33"/>
    <w:rsid w:val="00243D40"/>
    <w:rsid w:val="00243DC7"/>
    <w:rsid w:val="00243E9B"/>
    <w:rsid w:val="00243F20"/>
    <w:rsid w:val="00244127"/>
    <w:rsid w:val="00244158"/>
    <w:rsid w:val="0024431A"/>
    <w:rsid w:val="0024437F"/>
    <w:rsid w:val="002443A6"/>
    <w:rsid w:val="0024457B"/>
    <w:rsid w:val="002446E3"/>
    <w:rsid w:val="002448B6"/>
    <w:rsid w:val="002449F4"/>
    <w:rsid w:val="00244A47"/>
    <w:rsid w:val="00244ABF"/>
    <w:rsid w:val="00244BA2"/>
    <w:rsid w:val="00244D4A"/>
    <w:rsid w:val="00244D62"/>
    <w:rsid w:val="00244D76"/>
    <w:rsid w:val="00244E8A"/>
    <w:rsid w:val="00245437"/>
    <w:rsid w:val="00245676"/>
    <w:rsid w:val="002457A9"/>
    <w:rsid w:val="0024590E"/>
    <w:rsid w:val="002459F1"/>
    <w:rsid w:val="00245E8B"/>
    <w:rsid w:val="002460AF"/>
    <w:rsid w:val="002460DA"/>
    <w:rsid w:val="002462B3"/>
    <w:rsid w:val="002462F0"/>
    <w:rsid w:val="002462F4"/>
    <w:rsid w:val="00246308"/>
    <w:rsid w:val="0024630D"/>
    <w:rsid w:val="00246483"/>
    <w:rsid w:val="00246520"/>
    <w:rsid w:val="00246A68"/>
    <w:rsid w:val="00246A76"/>
    <w:rsid w:val="00246BA5"/>
    <w:rsid w:val="00246DD9"/>
    <w:rsid w:val="00247081"/>
    <w:rsid w:val="0024709E"/>
    <w:rsid w:val="0024717C"/>
    <w:rsid w:val="0024735F"/>
    <w:rsid w:val="0024744F"/>
    <w:rsid w:val="00247584"/>
    <w:rsid w:val="002475D1"/>
    <w:rsid w:val="0024762B"/>
    <w:rsid w:val="00247736"/>
    <w:rsid w:val="0024779F"/>
    <w:rsid w:val="002477A6"/>
    <w:rsid w:val="00247893"/>
    <w:rsid w:val="00247896"/>
    <w:rsid w:val="002478A4"/>
    <w:rsid w:val="002479C2"/>
    <w:rsid w:val="00247AB1"/>
    <w:rsid w:val="00247C29"/>
    <w:rsid w:val="00247FB5"/>
    <w:rsid w:val="00250001"/>
    <w:rsid w:val="002500DF"/>
    <w:rsid w:val="002502D1"/>
    <w:rsid w:val="0025053E"/>
    <w:rsid w:val="0025055F"/>
    <w:rsid w:val="002508B0"/>
    <w:rsid w:val="00250A08"/>
    <w:rsid w:val="00250CDB"/>
    <w:rsid w:val="00250FB6"/>
    <w:rsid w:val="00251184"/>
    <w:rsid w:val="00251541"/>
    <w:rsid w:val="00251649"/>
    <w:rsid w:val="0025170B"/>
    <w:rsid w:val="00251853"/>
    <w:rsid w:val="00251936"/>
    <w:rsid w:val="0025194B"/>
    <w:rsid w:val="002519BE"/>
    <w:rsid w:val="002519DD"/>
    <w:rsid w:val="00251A44"/>
    <w:rsid w:val="00251AA9"/>
    <w:rsid w:val="00251C17"/>
    <w:rsid w:val="00251E01"/>
    <w:rsid w:val="00251EFB"/>
    <w:rsid w:val="00252006"/>
    <w:rsid w:val="0025214E"/>
    <w:rsid w:val="0025222E"/>
    <w:rsid w:val="00252839"/>
    <w:rsid w:val="00252CFC"/>
    <w:rsid w:val="00252DBA"/>
    <w:rsid w:val="00253013"/>
    <w:rsid w:val="00253075"/>
    <w:rsid w:val="002532DC"/>
    <w:rsid w:val="00253441"/>
    <w:rsid w:val="00253442"/>
    <w:rsid w:val="0025350D"/>
    <w:rsid w:val="002536F9"/>
    <w:rsid w:val="00253C6A"/>
    <w:rsid w:val="00253DE9"/>
    <w:rsid w:val="00254395"/>
    <w:rsid w:val="00254583"/>
    <w:rsid w:val="002547C3"/>
    <w:rsid w:val="00254860"/>
    <w:rsid w:val="002548A6"/>
    <w:rsid w:val="00254C83"/>
    <w:rsid w:val="0025571B"/>
    <w:rsid w:val="0025581D"/>
    <w:rsid w:val="00255845"/>
    <w:rsid w:val="002559AD"/>
    <w:rsid w:val="00255BDE"/>
    <w:rsid w:val="00255F2A"/>
    <w:rsid w:val="00256080"/>
    <w:rsid w:val="002561F6"/>
    <w:rsid w:val="002563B3"/>
    <w:rsid w:val="00256715"/>
    <w:rsid w:val="00256C54"/>
    <w:rsid w:val="0025703C"/>
    <w:rsid w:val="002570F0"/>
    <w:rsid w:val="00257124"/>
    <w:rsid w:val="0025712B"/>
    <w:rsid w:val="00257257"/>
    <w:rsid w:val="00257367"/>
    <w:rsid w:val="00257415"/>
    <w:rsid w:val="00257752"/>
    <w:rsid w:val="002577C3"/>
    <w:rsid w:val="002578FC"/>
    <w:rsid w:val="0025790B"/>
    <w:rsid w:val="00257960"/>
    <w:rsid w:val="00257A6B"/>
    <w:rsid w:val="00257AF5"/>
    <w:rsid w:val="00257E02"/>
    <w:rsid w:val="00257F2F"/>
    <w:rsid w:val="00260431"/>
    <w:rsid w:val="002604F3"/>
    <w:rsid w:val="002605DA"/>
    <w:rsid w:val="00260619"/>
    <w:rsid w:val="002606FD"/>
    <w:rsid w:val="00260765"/>
    <w:rsid w:val="00260838"/>
    <w:rsid w:val="00260926"/>
    <w:rsid w:val="00260CF0"/>
    <w:rsid w:val="00260D29"/>
    <w:rsid w:val="00261024"/>
    <w:rsid w:val="00261069"/>
    <w:rsid w:val="002610A7"/>
    <w:rsid w:val="00261218"/>
    <w:rsid w:val="00261276"/>
    <w:rsid w:val="002612B5"/>
    <w:rsid w:val="0026134B"/>
    <w:rsid w:val="002614AC"/>
    <w:rsid w:val="002615E4"/>
    <w:rsid w:val="0026167E"/>
    <w:rsid w:val="00261716"/>
    <w:rsid w:val="0026185A"/>
    <w:rsid w:val="0026199D"/>
    <w:rsid w:val="00261C50"/>
    <w:rsid w:val="00261C5A"/>
    <w:rsid w:val="00261EFC"/>
    <w:rsid w:val="0026218D"/>
    <w:rsid w:val="002623C9"/>
    <w:rsid w:val="002623CB"/>
    <w:rsid w:val="002625CC"/>
    <w:rsid w:val="0026272A"/>
    <w:rsid w:val="00262796"/>
    <w:rsid w:val="0026293B"/>
    <w:rsid w:val="002629BD"/>
    <w:rsid w:val="00262A8A"/>
    <w:rsid w:val="00262B0B"/>
    <w:rsid w:val="00262E2B"/>
    <w:rsid w:val="00262F34"/>
    <w:rsid w:val="00262F50"/>
    <w:rsid w:val="00262FEC"/>
    <w:rsid w:val="0026306D"/>
    <w:rsid w:val="002631E6"/>
    <w:rsid w:val="0026320F"/>
    <w:rsid w:val="002634F3"/>
    <w:rsid w:val="00263731"/>
    <w:rsid w:val="0026377E"/>
    <w:rsid w:val="002637AF"/>
    <w:rsid w:val="002637D6"/>
    <w:rsid w:val="00263817"/>
    <w:rsid w:val="002638DE"/>
    <w:rsid w:val="00263974"/>
    <w:rsid w:val="00263AE1"/>
    <w:rsid w:val="00263B76"/>
    <w:rsid w:val="00263C48"/>
    <w:rsid w:val="00263D5A"/>
    <w:rsid w:val="002641A6"/>
    <w:rsid w:val="00264345"/>
    <w:rsid w:val="002643B6"/>
    <w:rsid w:val="00264411"/>
    <w:rsid w:val="002645E5"/>
    <w:rsid w:val="00264705"/>
    <w:rsid w:val="00264867"/>
    <w:rsid w:val="002649B8"/>
    <w:rsid w:val="00264B4F"/>
    <w:rsid w:val="00264CD7"/>
    <w:rsid w:val="00264DC0"/>
    <w:rsid w:val="00264E8B"/>
    <w:rsid w:val="00265068"/>
    <w:rsid w:val="002650BA"/>
    <w:rsid w:val="00265168"/>
    <w:rsid w:val="002651D3"/>
    <w:rsid w:val="002651FD"/>
    <w:rsid w:val="0026522E"/>
    <w:rsid w:val="002653EC"/>
    <w:rsid w:val="002654C4"/>
    <w:rsid w:val="00265881"/>
    <w:rsid w:val="00265C3C"/>
    <w:rsid w:val="00265C82"/>
    <w:rsid w:val="002660BD"/>
    <w:rsid w:val="00266150"/>
    <w:rsid w:val="002662A2"/>
    <w:rsid w:val="002662B7"/>
    <w:rsid w:val="002662BB"/>
    <w:rsid w:val="002663B8"/>
    <w:rsid w:val="0026659B"/>
    <w:rsid w:val="00266649"/>
    <w:rsid w:val="00266672"/>
    <w:rsid w:val="002666FB"/>
    <w:rsid w:val="00266747"/>
    <w:rsid w:val="002668A0"/>
    <w:rsid w:val="002668D7"/>
    <w:rsid w:val="002669A3"/>
    <w:rsid w:val="002669D4"/>
    <w:rsid w:val="00266C29"/>
    <w:rsid w:val="00266D7D"/>
    <w:rsid w:val="00266DF1"/>
    <w:rsid w:val="00266ECD"/>
    <w:rsid w:val="00267197"/>
    <w:rsid w:val="002671DD"/>
    <w:rsid w:val="002672FC"/>
    <w:rsid w:val="002673A9"/>
    <w:rsid w:val="00267663"/>
    <w:rsid w:val="002676A8"/>
    <w:rsid w:val="00267956"/>
    <w:rsid w:val="00267CBC"/>
    <w:rsid w:val="00267D54"/>
    <w:rsid w:val="00267D64"/>
    <w:rsid w:val="00267D77"/>
    <w:rsid w:val="00270228"/>
    <w:rsid w:val="00270651"/>
    <w:rsid w:val="00270727"/>
    <w:rsid w:val="00270735"/>
    <w:rsid w:val="002707D9"/>
    <w:rsid w:val="002708BB"/>
    <w:rsid w:val="00270998"/>
    <w:rsid w:val="00270A1A"/>
    <w:rsid w:val="00270A3E"/>
    <w:rsid w:val="00270AA6"/>
    <w:rsid w:val="00270ABE"/>
    <w:rsid w:val="00270BC2"/>
    <w:rsid w:val="00270C1A"/>
    <w:rsid w:val="00270C67"/>
    <w:rsid w:val="00270CC6"/>
    <w:rsid w:val="00270FD6"/>
    <w:rsid w:val="00271068"/>
    <w:rsid w:val="00271194"/>
    <w:rsid w:val="00271198"/>
    <w:rsid w:val="0027125D"/>
    <w:rsid w:val="0027131D"/>
    <w:rsid w:val="00271578"/>
    <w:rsid w:val="0027157E"/>
    <w:rsid w:val="00271822"/>
    <w:rsid w:val="00271A0B"/>
    <w:rsid w:val="00271A0E"/>
    <w:rsid w:val="00271EEE"/>
    <w:rsid w:val="00271F94"/>
    <w:rsid w:val="0027214F"/>
    <w:rsid w:val="002721C8"/>
    <w:rsid w:val="00272223"/>
    <w:rsid w:val="002723AA"/>
    <w:rsid w:val="00272668"/>
    <w:rsid w:val="002726BE"/>
    <w:rsid w:val="002728D4"/>
    <w:rsid w:val="00272973"/>
    <w:rsid w:val="00272C1F"/>
    <w:rsid w:val="00272D50"/>
    <w:rsid w:val="00272DF6"/>
    <w:rsid w:val="00272E19"/>
    <w:rsid w:val="00272F70"/>
    <w:rsid w:val="0027310C"/>
    <w:rsid w:val="0027346F"/>
    <w:rsid w:val="002734DC"/>
    <w:rsid w:val="00273578"/>
    <w:rsid w:val="00273616"/>
    <w:rsid w:val="0027388A"/>
    <w:rsid w:val="00273B5A"/>
    <w:rsid w:val="00273B78"/>
    <w:rsid w:val="00273CBB"/>
    <w:rsid w:val="00273CEC"/>
    <w:rsid w:val="00273E97"/>
    <w:rsid w:val="002740DE"/>
    <w:rsid w:val="002740EC"/>
    <w:rsid w:val="002743E2"/>
    <w:rsid w:val="0027440B"/>
    <w:rsid w:val="0027452A"/>
    <w:rsid w:val="002745D1"/>
    <w:rsid w:val="002745F6"/>
    <w:rsid w:val="00274634"/>
    <w:rsid w:val="002746C8"/>
    <w:rsid w:val="00274707"/>
    <w:rsid w:val="00274748"/>
    <w:rsid w:val="00274897"/>
    <w:rsid w:val="002749F7"/>
    <w:rsid w:val="00274A61"/>
    <w:rsid w:val="00274ACF"/>
    <w:rsid w:val="00274CAB"/>
    <w:rsid w:val="00274ED9"/>
    <w:rsid w:val="0027506A"/>
    <w:rsid w:val="0027521D"/>
    <w:rsid w:val="002753CC"/>
    <w:rsid w:val="00275706"/>
    <w:rsid w:val="0027577D"/>
    <w:rsid w:val="002759A0"/>
    <w:rsid w:val="00275FB3"/>
    <w:rsid w:val="00275FEC"/>
    <w:rsid w:val="002760FA"/>
    <w:rsid w:val="002760FE"/>
    <w:rsid w:val="00276190"/>
    <w:rsid w:val="0027624D"/>
    <w:rsid w:val="002766D7"/>
    <w:rsid w:val="00276CB3"/>
    <w:rsid w:val="00277442"/>
    <w:rsid w:val="0027776B"/>
    <w:rsid w:val="00277AC9"/>
    <w:rsid w:val="00277AD7"/>
    <w:rsid w:val="00277DE5"/>
    <w:rsid w:val="0028010E"/>
    <w:rsid w:val="00280207"/>
    <w:rsid w:val="00280242"/>
    <w:rsid w:val="00280257"/>
    <w:rsid w:val="0028025C"/>
    <w:rsid w:val="002803B4"/>
    <w:rsid w:val="0028050C"/>
    <w:rsid w:val="002805B2"/>
    <w:rsid w:val="00280696"/>
    <w:rsid w:val="00280845"/>
    <w:rsid w:val="00280890"/>
    <w:rsid w:val="00280952"/>
    <w:rsid w:val="00280CA2"/>
    <w:rsid w:val="00280CD6"/>
    <w:rsid w:val="00280F5A"/>
    <w:rsid w:val="00281100"/>
    <w:rsid w:val="002811E5"/>
    <w:rsid w:val="00281268"/>
    <w:rsid w:val="0028131E"/>
    <w:rsid w:val="002813B1"/>
    <w:rsid w:val="00281437"/>
    <w:rsid w:val="00281633"/>
    <w:rsid w:val="0028181A"/>
    <w:rsid w:val="0028199C"/>
    <w:rsid w:val="00281AE0"/>
    <w:rsid w:val="00281FBF"/>
    <w:rsid w:val="00282097"/>
    <w:rsid w:val="00282156"/>
    <w:rsid w:val="002821D7"/>
    <w:rsid w:val="002822E2"/>
    <w:rsid w:val="002823F0"/>
    <w:rsid w:val="00282669"/>
    <w:rsid w:val="002826AE"/>
    <w:rsid w:val="0028270B"/>
    <w:rsid w:val="002827E6"/>
    <w:rsid w:val="0028281D"/>
    <w:rsid w:val="002829FE"/>
    <w:rsid w:val="00282AEC"/>
    <w:rsid w:val="00282D56"/>
    <w:rsid w:val="00282E22"/>
    <w:rsid w:val="00282EC3"/>
    <w:rsid w:val="00282FE4"/>
    <w:rsid w:val="002831C1"/>
    <w:rsid w:val="00283233"/>
    <w:rsid w:val="00283467"/>
    <w:rsid w:val="002838C1"/>
    <w:rsid w:val="00283A05"/>
    <w:rsid w:val="00283AE0"/>
    <w:rsid w:val="00283C0D"/>
    <w:rsid w:val="00283C47"/>
    <w:rsid w:val="00283E77"/>
    <w:rsid w:val="00283F63"/>
    <w:rsid w:val="00283FC3"/>
    <w:rsid w:val="0028403A"/>
    <w:rsid w:val="002842B3"/>
    <w:rsid w:val="002842B7"/>
    <w:rsid w:val="0028444C"/>
    <w:rsid w:val="00284458"/>
    <w:rsid w:val="00284576"/>
    <w:rsid w:val="0028466F"/>
    <w:rsid w:val="002847CF"/>
    <w:rsid w:val="002849B8"/>
    <w:rsid w:val="00284A8C"/>
    <w:rsid w:val="00284AE1"/>
    <w:rsid w:val="00284BB1"/>
    <w:rsid w:val="00284CF5"/>
    <w:rsid w:val="00284ECB"/>
    <w:rsid w:val="00285137"/>
    <w:rsid w:val="00285153"/>
    <w:rsid w:val="002851C0"/>
    <w:rsid w:val="002852A5"/>
    <w:rsid w:val="002852B9"/>
    <w:rsid w:val="0028541D"/>
    <w:rsid w:val="002857B6"/>
    <w:rsid w:val="00285860"/>
    <w:rsid w:val="0028593D"/>
    <w:rsid w:val="00285AD2"/>
    <w:rsid w:val="00285BEC"/>
    <w:rsid w:val="00285C66"/>
    <w:rsid w:val="00285CC1"/>
    <w:rsid w:val="00285E13"/>
    <w:rsid w:val="00285E4C"/>
    <w:rsid w:val="00285F25"/>
    <w:rsid w:val="002863DC"/>
    <w:rsid w:val="0028674E"/>
    <w:rsid w:val="002869B3"/>
    <w:rsid w:val="00286AD6"/>
    <w:rsid w:val="00286EAB"/>
    <w:rsid w:val="00286ECD"/>
    <w:rsid w:val="00287005"/>
    <w:rsid w:val="0028711C"/>
    <w:rsid w:val="00287215"/>
    <w:rsid w:val="0028730A"/>
    <w:rsid w:val="0028740F"/>
    <w:rsid w:val="00287468"/>
    <w:rsid w:val="00287472"/>
    <w:rsid w:val="00287522"/>
    <w:rsid w:val="00287733"/>
    <w:rsid w:val="00287778"/>
    <w:rsid w:val="002877A8"/>
    <w:rsid w:val="00287923"/>
    <w:rsid w:val="00287B49"/>
    <w:rsid w:val="00287B4E"/>
    <w:rsid w:val="00287C3B"/>
    <w:rsid w:val="00287EA3"/>
    <w:rsid w:val="00287FCC"/>
    <w:rsid w:val="00287FD8"/>
    <w:rsid w:val="0029001E"/>
    <w:rsid w:val="0029010F"/>
    <w:rsid w:val="00290373"/>
    <w:rsid w:val="00290594"/>
    <w:rsid w:val="0029063C"/>
    <w:rsid w:val="002906BD"/>
    <w:rsid w:val="0029078F"/>
    <w:rsid w:val="00290934"/>
    <w:rsid w:val="00290970"/>
    <w:rsid w:val="00290D89"/>
    <w:rsid w:val="00290EC0"/>
    <w:rsid w:val="00290EF3"/>
    <w:rsid w:val="00290F14"/>
    <w:rsid w:val="0029105E"/>
    <w:rsid w:val="002911AC"/>
    <w:rsid w:val="0029121F"/>
    <w:rsid w:val="00291374"/>
    <w:rsid w:val="002917FE"/>
    <w:rsid w:val="00291941"/>
    <w:rsid w:val="00291952"/>
    <w:rsid w:val="00291A2C"/>
    <w:rsid w:val="00291AB7"/>
    <w:rsid w:val="00291E54"/>
    <w:rsid w:val="00291F6D"/>
    <w:rsid w:val="00291F94"/>
    <w:rsid w:val="0029238B"/>
    <w:rsid w:val="002924D5"/>
    <w:rsid w:val="00292558"/>
    <w:rsid w:val="00292660"/>
    <w:rsid w:val="0029278D"/>
    <w:rsid w:val="002927CC"/>
    <w:rsid w:val="0029289B"/>
    <w:rsid w:val="0029295E"/>
    <w:rsid w:val="00292960"/>
    <w:rsid w:val="00292964"/>
    <w:rsid w:val="0029298A"/>
    <w:rsid w:val="00292AE2"/>
    <w:rsid w:val="00292CEC"/>
    <w:rsid w:val="00292CF5"/>
    <w:rsid w:val="00292D03"/>
    <w:rsid w:val="00292F83"/>
    <w:rsid w:val="00293031"/>
    <w:rsid w:val="002931E4"/>
    <w:rsid w:val="0029322B"/>
    <w:rsid w:val="00293501"/>
    <w:rsid w:val="0029354F"/>
    <w:rsid w:val="00293609"/>
    <w:rsid w:val="00293631"/>
    <w:rsid w:val="002936AD"/>
    <w:rsid w:val="002936FF"/>
    <w:rsid w:val="00293A19"/>
    <w:rsid w:val="00293BE5"/>
    <w:rsid w:val="00293DB1"/>
    <w:rsid w:val="00293E45"/>
    <w:rsid w:val="00293F0B"/>
    <w:rsid w:val="00293F8E"/>
    <w:rsid w:val="002940F9"/>
    <w:rsid w:val="002942CF"/>
    <w:rsid w:val="002944CC"/>
    <w:rsid w:val="00294509"/>
    <w:rsid w:val="0029450C"/>
    <w:rsid w:val="00294530"/>
    <w:rsid w:val="00294669"/>
    <w:rsid w:val="00294701"/>
    <w:rsid w:val="002949BF"/>
    <w:rsid w:val="00294AC2"/>
    <w:rsid w:val="00294E2F"/>
    <w:rsid w:val="00294E74"/>
    <w:rsid w:val="00294E93"/>
    <w:rsid w:val="002950E3"/>
    <w:rsid w:val="00295121"/>
    <w:rsid w:val="002951D5"/>
    <w:rsid w:val="0029521C"/>
    <w:rsid w:val="0029548B"/>
    <w:rsid w:val="00295507"/>
    <w:rsid w:val="00295540"/>
    <w:rsid w:val="0029567D"/>
    <w:rsid w:val="00295791"/>
    <w:rsid w:val="00295880"/>
    <w:rsid w:val="00295A46"/>
    <w:rsid w:val="00295B91"/>
    <w:rsid w:val="00295D3A"/>
    <w:rsid w:val="00296075"/>
    <w:rsid w:val="002960C5"/>
    <w:rsid w:val="0029616A"/>
    <w:rsid w:val="00296310"/>
    <w:rsid w:val="0029644B"/>
    <w:rsid w:val="0029662F"/>
    <w:rsid w:val="0029682E"/>
    <w:rsid w:val="0029693A"/>
    <w:rsid w:val="00296A1E"/>
    <w:rsid w:val="00296B35"/>
    <w:rsid w:val="00296CE0"/>
    <w:rsid w:val="00296DE2"/>
    <w:rsid w:val="00296E2B"/>
    <w:rsid w:val="00296F05"/>
    <w:rsid w:val="00297252"/>
    <w:rsid w:val="0029761F"/>
    <w:rsid w:val="002977C8"/>
    <w:rsid w:val="002978A3"/>
    <w:rsid w:val="002978E8"/>
    <w:rsid w:val="00297AC1"/>
    <w:rsid w:val="00297B90"/>
    <w:rsid w:val="00297BE3"/>
    <w:rsid w:val="00297C5E"/>
    <w:rsid w:val="00297C77"/>
    <w:rsid w:val="00297D5E"/>
    <w:rsid w:val="00297E7C"/>
    <w:rsid w:val="002A0618"/>
    <w:rsid w:val="002A0620"/>
    <w:rsid w:val="002A0690"/>
    <w:rsid w:val="002A0715"/>
    <w:rsid w:val="002A08FD"/>
    <w:rsid w:val="002A0973"/>
    <w:rsid w:val="002A0A6D"/>
    <w:rsid w:val="002A0A93"/>
    <w:rsid w:val="002A0D22"/>
    <w:rsid w:val="002A0F23"/>
    <w:rsid w:val="002A0FE3"/>
    <w:rsid w:val="002A101B"/>
    <w:rsid w:val="002A11D3"/>
    <w:rsid w:val="002A1356"/>
    <w:rsid w:val="002A14AF"/>
    <w:rsid w:val="002A15A8"/>
    <w:rsid w:val="002A15E3"/>
    <w:rsid w:val="002A1921"/>
    <w:rsid w:val="002A19D0"/>
    <w:rsid w:val="002A1A1C"/>
    <w:rsid w:val="002A1A6E"/>
    <w:rsid w:val="002A1C97"/>
    <w:rsid w:val="002A1CF1"/>
    <w:rsid w:val="002A1DFD"/>
    <w:rsid w:val="002A1E87"/>
    <w:rsid w:val="002A2043"/>
    <w:rsid w:val="002A26DC"/>
    <w:rsid w:val="002A2802"/>
    <w:rsid w:val="002A28E9"/>
    <w:rsid w:val="002A28F1"/>
    <w:rsid w:val="002A2B90"/>
    <w:rsid w:val="002A2D29"/>
    <w:rsid w:val="002A2E7D"/>
    <w:rsid w:val="002A2EFD"/>
    <w:rsid w:val="002A3248"/>
    <w:rsid w:val="002A33F7"/>
    <w:rsid w:val="002A3498"/>
    <w:rsid w:val="002A34F3"/>
    <w:rsid w:val="002A3516"/>
    <w:rsid w:val="002A3748"/>
    <w:rsid w:val="002A3763"/>
    <w:rsid w:val="002A380B"/>
    <w:rsid w:val="002A3967"/>
    <w:rsid w:val="002A3BC6"/>
    <w:rsid w:val="002A3C2E"/>
    <w:rsid w:val="002A3DC5"/>
    <w:rsid w:val="002A3DCB"/>
    <w:rsid w:val="002A3E60"/>
    <w:rsid w:val="002A3F6D"/>
    <w:rsid w:val="002A3FD4"/>
    <w:rsid w:val="002A4127"/>
    <w:rsid w:val="002A413A"/>
    <w:rsid w:val="002A415A"/>
    <w:rsid w:val="002A416E"/>
    <w:rsid w:val="002A41C3"/>
    <w:rsid w:val="002A4348"/>
    <w:rsid w:val="002A4443"/>
    <w:rsid w:val="002A45A6"/>
    <w:rsid w:val="002A474F"/>
    <w:rsid w:val="002A47A6"/>
    <w:rsid w:val="002A47DD"/>
    <w:rsid w:val="002A47E9"/>
    <w:rsid w:val="002A4925"/>
    <w:rsid w:val="002A4958"/>
    <w:rsid w:val="002A4AB8"/>
    <w:rsid w:val="002A4B39"/>
    <w:rsid w:val="002A4B7C"/>
    <w:rsid w:val="002A4D16"/>
    <w:rsid w:val="002A4E6C"/>
    <w:rsid w:val="002A50AE"/>
    <w:rsid w:val="002A5198"/>
    <w:rsid w:val="002A5241"/>
    <w:rsid w:val="002A5288"/>
    <w:rsid w:val="002A5316"/>
    <w:rsid w:val="002A535B"/>
    <w:rsid w:val="002A5379"/>
    <w:rsid w:val="002A5719"/>
    <w:rsid w:val="002A5807"/>
    <w:rsid w:val="002A5855"/>
    <w:rsid w:val="002A59CE"/>
    <w:rsid w:val="002A5B04"/>
    <w:rsid w:val="002A5B44"/>
    <w:rsid w:val="002A5C5E"/>
    <w:rsid w:val="002A5CA1"/>
    <w:rsid w:val="002A5CC5"/>
    <w:rsid w:val="002A5D16"/>
    <w:rsid w:val="002A5E4A"/>
    <w:rsid w:val="002A5F4B"/>
    <w:rsid w:val="002A5F7B"/>
    <w:rsid w:val="002A6170"/>
    <w:rsid w:val="002A61D5"/>
    <w:rsid w:val="002A644F"/>
    <w:rsid w:val="002A64AB"/>
    <w:rsid w:val="002A6504"/>
    <w:rsid w:val="002A66CF"/>
    <w:rsid w:val="002A67A1"/>
    <w:rsid w:val="002A6846"/>
    <w:rsid w:val="002A6955"/>
    <w:rsid w:val="002A6A16"/>
    <w:rsid w:val="002A6BF2"/>
    <w:rsid w:val="002A6E7D"/>
    <w:rsid w:val="002A6F9B"/>
    <w:rsid w:val="002A72DC"/>
    <w:rsid w:val="002A7360"/>
    <w:rsid w:val="002A73E1"/>
    <w:rsid w:val="002A740D"/>
    <w:rsid w:val="002A76CD"/>
    <w:rsid w:val="002A7709"/>
    <w:rsid w:val="002A7A0A"/>
    <w:rsid w:val="002A7AE4"/>
    <w:rsid w:val="002A7B4F"/>
    <w:rsid w:val="002A7B71"/>
    <w:rsid w:val="002A7BCA"/>
    <w:rsid w:val="002A7BE8"/>
    <w:rsid w:val="002A7C46"/>
    <w:rsid w:val="002A7C90"/>
    <w:rsid w:val="002A7CB9"/>
    <w:rsid w:val="002A7DC9"/>
    <w:rsid w:val="002A7E05"/>
    <w:rsid w:val="002A7F3D"/>
    <w:rsid w:val="002A7F86"/>
    <w:rsid w:val="002A8726"/>
    <w:rsid w:val="002B0159"/>
    <w:rsid w:val="002B019A"/>
    <w:rsid w:val="002B0213"/>
    <w:rsid w:val="002B02C0"/>
    <w:rsid w:val="002B0322"/>
    <w:rsid w:val="002B03A0"/>
    <w:rsid w:val="002B06B3"/>
    <w:rsid w:val="002B0912"/>
    <w:rsid w:val="002B0AFE"/>
    <w:rsid w:val="002B0C73"/>
    <w:rsid w:val="002B0CD5"/>
    <w:rsid w:val="002B0F2B"/>
    <w:rsid w:val="002B0F2F"/>
    <w:rsid w:val="002B110A"/>
    <w:rsid w:val="002B1388"/>
    <w:rsid w:val="002B13B4"/>
    <w:rsid w:val="002B1515"/>
    <w:rsid w:val="002B154B"/>
    <w:rsid w:val="002B1686"/>
    <w:rsid w:val="002B18FE"/>
    <w:rsid w:val="002B19DE"/>
    <w:rsid w:val="002B1B36"/>
    <w:rsid w:val="002B1B47"/>
    <w:rsid w:val="002B1D51"/>
    <w:rsid w:val="002B1D90"/>
    <w:rsid w:val="002B2062"/>
    <w:rsid w:val="002B215A"/>
    <w:rsid w:val="002B2261"/>
    <w:rsid w:val="002B22C7"/>
    <w:rsid w:val="002B2678"/>
    <w:rsid w:val="002B28A7"/>
    <w:rsid w:val="002B2CAE"/>
    <w:rsid w:val="002B2E28"/>
    <w:rsid w:val="002B2ED4"/>
    <w:rsid w:val="002B2EFF"/>
    <w:rsid w:val="002B31D4"/>
    <w:rsid w:val="002B3246"/>
    <w:rsid w:val="002B3397"/>
    <w:rsid w:val="002B33EF"/>
    <w:rsid w:val="002B341D"/>
    <w:rsid w:val="002B3562"/>
    <w:rsid w:val="002B382D"/>
    <w:rsid w:val="002B392B"/>
    <w:rsid w:val="002B3AC6"/>
    <w:rsid w:val="002B3C2E"/>
    <w:rsid w:val="002B3C84"/>
    <w:rsid w:val="002B3CCD"/>
    <w:rsid w:val="002B3D5B"/>
    <w:rsid w:val="002B3E8D"/>
    <w:rsid w:val="002B40A5"/>
    <w:rsid w:val="002B422C"/>
    <w:rsid w:val="002B447F"/>
    <w:rsid w:val="002B4588"/>
    <w:rsid w:val="002B467A"/>
    <w:rsid w:val="002B4800"/>
    <w:rsid w:val="002B4982"/>
    <w:rsid w:val="002B498D"/>
    <w:rsid w:val="002B4AAB"/>
    <w:rsid w:val="002B4AD2"/>
    <w:rsid w:val="002B4B23"/>
    <w:rsid w:val="002B4C16"/>
    <w:rsid w:val="002B4D1C"/>
    <w:rsid w:val="002B4D61"/>
    <w:rsid w:val="002B4EB8"/>
    <w:rsid w:val="002B505F"/>
    <w:rsid w:val="002B5069"/>
    <w:rsid w:val="002B50E6"/>
    <w:rsid w:val="002B5157"/>
    <w:rsid w:val="002B5189"/>
    <w:rsid w:val="002B5665"/>
    <w:rsid w:val="002B56FD"/>
    <w:rsid w:val="002B5740"/>
    <w:rsid w:val="002B5838"/>
    <w:rsid w:val="002B589C"/>
    <w:rsid w:val="002B596A"/>
    <w:rsid w:val="002B59A1"/>
    <w:rsid w:val="002B5A5F"/>
    <w:rsid w:val="002B5A9F"/>
    <w:rsid w:val="002B5C9C"/>
    <w:rsid w:val="002B5E3E"/>
    <w:rsid w:val="002B5E66"/>
    <w:rsid w:val="002B5EEC"/>
    <w:rsid w:val="002B62E0"/>
    <w:rsid w:val="002B65C0"/>
    <w:rsid w:val="002B687C"/>
    <w:rsid w:val="002B692D"/>
    <w:rsid w:val="002B6B59"/>
    <w:rsid w:val="002B6CB2"/>
    <w:rsid w:val="002B6CCB"/>
    <w:rsid w:val="002B6E40"/>
    <w:rsid w:val="002B6EAB"/>
    <w:rsid w:val="002B6EEF"/>
    <w:rsid w:val="002B6F9D"/>
    <w:rsid w:val="002B7132"/>
    <w:rsid w:val="002B71DE"/>
    <w:rsid w:val="002B7287"/>
    <w:rsid w:val="002B74F4"/>
    <w:rsid w:val="002B756A"/>
    <w:rsid w:val="002B78D9"/>
    <w:rsid w:val="002B79FC"/>
    <w:rsid w:val="002B7A01"/>
    <w:rsid w:val="002B7B4E"/>
    <w:rsid w:val="002B7F53"/>
    <w:rsid w:val="002C0281"/>
    <w:rsid w:val="002C02C7"/>
    <w:rsid w:val="002C079C"/>
    <w:rsid w:val="002C09E3"/>
    <w:rsid w:val="002C0F62"/>
    <w:rsid w:val="002C1053"/>
    <w:rsid w:val="002C134F"/>
    <w:rsid w:val="002C13C3"/>
    <w:rsid w:val="002C1590"/>
    <w:rsid w:val="002C15A3"/>
    <w:rsid w:val="002C1703"/>
    <w:rsid w:val="002C171A"/>
    <w:rsid w:val="002C1847"/>
    <w:rsid w:val="002C1933"/>
    <w:rsid w:val="002C1D4E"/>
    <w:rsid w:val="002C1D5F"/>
    <w:rsid w:val="002C1DB9"/>
    <w:rsid w:val="002C1F3A"/>
    <w:rsid w:val="002C200E"/>
    <w:rsid w:val="002C22AB"/>
    <w:rsid w:val="002C25CC"/>
    <w:rsid w:val="002C2693"/>
    <w:rsid w:val="002C2706"/>
    <w:rsid w:val="002C2851"/>
    <w:rsid w:val="002C291D"/>
    <w:rsid w:val="002C29E3"/>
    <w:rsid w:val="002C2A6E"/>
    <w:rsid w:val="002C2B8D"/>
    <w:rsid w:val="002C2CFD"/>
    <w:rsid w:val="002C2E0B"/>
    <w:rsid w:val="002C2E55"/>
    <w:rsid w:val="002C32A2"/>
    <w:rsid w:val="002C3380"/>
    <w:rsid w:val="002C33A0"/>
    <w:rsid w:val="002C33A9"/>
    <w:rsid w:val="002C33EC"/>
    <w:rsid w:val="002C3469"/>
    <w:rsid w:val="002C34A9"/>
    <w:rsid w:val="002C35DB"/>
    <w:rsid w:val="002C36D8"/>
    <w:rsid w:val="002C3A56"/>
    <w:rsid w:val="002C3C7C"/>
    <w:rsid w:val="002C3EDF"/>
    <w:rsid w:val="002C3FA0"/>
    <w:rsid w:val="002C3FA2"/>
    <w:rsid w:val="002C407F"/>
    <w:rsid w:val="002C4120"/>
    <w:rsid w:val="002C4166"/>
    <w:rsid w:val="002C44BB"/>
    <w:rsid w:val="002C4537"/>
    <w:rsid w:val="002C495F"/>
    <w:rsid w:val="002C4A0F"/>
    <w:rsid w:val="002C4A8F"/>
    <w:rsid w:val="002C4B8A"/>
    <w:rsid w:val="002C4EC2"/>
    <w:rsid w:val="002C4F8D"/>
    <w:rsid w:val="002C503C"/>
    <w:rsid w:val="002C54F1"/>
    <w:rsid w:val="002C5615"/>
    <w:rsid w:val="002C5834"/>
    <w:rsid w:val="002C59D7"/>
    <w:rsid w:val="002C5A19"/>
    <w:rsid w:val="002C5B71"/>
    <w:rsid w:val="002C5C03"/>
    <w:rsid w:val="002C5DB9"/>
    <w:rsid w:val="002C5E47"/>
    <w:rsid w:val="002C5FFF"/>
    <w:rsid w:val="002C60A1"/>
    <w:rsid w:val="002C635B"/>
    <w:rsid w:val="002C650A"/>
    <w:rsid w:val="002C6511"/>
    <w:rsid w:val="002C6516"/>
    <w:rsid w:val="002C667E"/>
    <w:rsid w:val="002C673B"/>
    <w:rsid w:val="002C673E"/>
    <w:rsid w:val="002C67C3"/>
    <w:rsid w:val="002C695A"/>
    <w:rsid w:val="002C6988"/>
    <w:rsid w:val="002C69B7"/>
    <w:rsid w:val="002C6BCF"/>
    <w:rsid w:val="002C6D1F"/>
    <w:rsid w:val="002C6D30"/>
    <w:rsid w:val="002C6F3F"/>
    <w:rsid w:val="002C708C"/>
    <w:rsid w:val="002C70A4"/>
    <w:rsid w:val="002C7310"/>
    <w:rsid w:val="002C7375"/>
    <w:rsid w:val="002C76CF"/>
    <w:rsid w:val="002C7720"/>
    <w:rsid w:val="002C78AE"/>
    <w:rsid w:val="002C7950"/>
    <w:rsid w:val="002C79E8"/>
    <w:rsid w:val="002C7B17"/>
    <w:rsid w:val="002C7C3D"/>
    <w:rsid w:val="002C7CC3"/>
    <w:rsid w:val="002C7D1D"/>
    <w:rsid w:val="002C7E4F"/>
    <w:rsid w:val="002C7E73"/>
    <w:rsid w:val="002C7FBF"/>
    <w:rsid w:val="002D007F"/>
    <w:rsid w:val="002D0745"/>
    <w:rsid w:val="002D08A2"/>
    <w:rsid w:val="002D0B37"/>
    <w:rsid w:val="002D0EB4"/>
    <w:rsid w:val="002D0EFC"/>
    <w:rsid w:val="002D145E"/>
    <w:rsid w:val="002D1518"/>
    <w:rsid w:val="002D16D7"/>
    <w:rsid w:val="002D17A2"/>
    <w:rsid w:val="002D1A8C"/>
    <w:rsid w:val="002D1B31"/>
    <w:rsid w:val="002D1E3C"/>
    <w:rsid w:val="002D1E81"/>
    <w:rsid w:val="002D1F77"/>
    <w:rsid w:val="002D2B6B"/>
    <w:rsid w:val="002D2BB8"/>
    <w:rsid w:val="002D2DBC"/>
    <w:rsid w:val="002D2F86"/>
    <w:rsid w:val="002D31E1"/>
    <w:rsid w:val="002D31F9"/>
    <w:rsid w:val="002D3236"/>
    <w:rsid w:val="002D32D1"/>
    <w:rsid w:val="002D33E2"/>
    <w:rsid w:val="002D353B"/>
    <w:rsid w:val="002D3653"/>
    <w:rsid w:val="002D36AD"/>
    <w:rsid w:val="002D38E4"/>
    <w:rsid w:val="002D39E0"/>
    <w:rsid w:val="002D3A37"/>
    <w:rsid w:val="002D3A6F"/>
    <w:rsid w:val="002D3CBE"/>
    <w:rsid w:val="002D3DA1"/>
    <w:rsid w:val="002D3F67"/>
    <w:rsid w:val="002D4041"/>
    <w:rsid w:val="002D4337"/>
    <w:rsid w:val="002D478E"/>
    <w:rsid w:val="002D49FB"/>
    <w:rsid w:val="002D4B5B"/>
    <w:rsid w:val="002D4F2A"/>
    <w:rsid w:val="002D508F"/>
    <w:rsid w:val="002D512B"/>
    <w:rsid w:val="002D547D"/>
    <w:rsid w:val="002D5576"/>
    <w:rsid w:val="002D55EB"/>
    <w:rsid w:val="002D56F5"/>
    <w:rsid w:val="002D5917"/>
    <w:rsid w:val="002D5AA3"/>
    <w:rsid w:val="002D5AE8"/>
    <w:rsid w:val="002D5B70"/>
    <w:rsid w:val="002D5C0F"/>
    <w:rsid w:val="002D5D7B"/>
    <w:rsid w:val="002D5E28"/>
    <w:rsid w:val="002D607C"/>
    <w:rsid w:val="002D614B"/>
    <w:rsid w:val="002D6215"/>
    <w:rsid w:val="002D62A9"/>
    <w:rsid w:val="002D6343"/>
    <w:rsid w:val="002D63E6"/>
    <w:rsid w:val="002D6445"/>
    <w:rsid w:val="002D6588"/>
    <w:rsid w:val="002D6777"/>
    <w:rsid w:val="002D6960"/>
    <w:rsid w:val="002D6A79"/>
    <w:rsid w:val="002D6A8E"/>
    <w:rsid w:val="002D6D6E"/>
    <w:rsid w:val="002D6DCE"/>
    <w:rsid w:val="002D6EB9"/>
    <w:rsid w:val="002D7076"/>
    <w:rsid w:val="002D70A0"/>
    <w:rsid w:val="002D7171"/>
    <w:rsid w:val="002D72C7"/>
    <w:rsid w:val="002D7321"/>
    <w:rsid w:val="002D7328"/>
    <w:rsid w:val="002D7596"/>
    <w:rsid w:val="002D7652"/>
    <w:rsid w:val="002D76C1"/>
    <w:rsid w:val="002D778B"/>
    <w:rsid w:val="002D7900"/>
    <w:rsid w:val="002D796A"/>
    <w:rsid w:val="002D7A13"/>
    <w:rsid w:val="002D7A1E"/>
    <w:rsid w:val="002D7B82"/>
    <w:rsid w:val="002D7CF2"/>
    <w:rsid w:val="002D7D56"/>
    <w:rsid w:val="002D7F19"/>
    <w:rsid w:val="002DA88D"/>
    <w:rsid w:val="002DCAAF"/>
    <w:rsid w:val="002E0072"/>
    <w:rsid w:val="002E011A"/>
    <w:rsid w:val="002E0288"/>
    <w:rsid w:val="002E03D6"/>
    <w:rsid w:val="002E0501"/>
    <w:rsid w:val="002E05C3"/>
    <w:rsid w:val="002E05E9"/>
    <w:rsid w:val="002E06FC"/>
    <w:rsid w:val="002E0A6D"/>
    <w:rsid w:val="002E0B09"/>
    <w:rsid w:val="002E0DB9"/>
    <w:rsid w:val="002E0DEA"/>
    <w:rsid w:val="002E10A1"/>
    <w:rsid w:val="002E12DF"/>
    <w:rsid w:val="002E131A"/>
    <w:rsid w:val="002E14F2"/>
    <w:rsid w:val="002E1597"/>
    <w:rsid w:val="002E169A"/>
    <w:rsid w:val="002E186A"/>
    <w:rsid w:val="002E199D"/>
    <w:rsid w:val="002E1A83"/>
    <w:rsid w:val="002E1BB7"/>
    <w:rsid w:val="002E1D2A"/>
    <w:rsid w:val="002E1EAA"/>
    <w:rsid w:val="002E2466"/>
    <w:rsid w:val="002E2692"/>
    <w:rsid w:val="002E275F"/>
    <w:rsid w:val="002E278C"/>
    <w:rsid w:val="002E2975"/>
    <w:rsid w:val="002E2B41"/>
    <w:rsid w:val="002E2B56"/>
    <w:rsid w:val="002E2CC7"/>
    <w:rsid w:val="002E2D8D"/>
    <w:rsid w:val="002E2D96"/>
    <w:rsid w:val="002E2DCF"/>
    <w:rsid w:val="002E2E44"/>
    <w:rsid w:val="002E2E4A"/>
    <w:rsid w:val="002E2EC9"/>
    <w:rsid w:val="002E2F0C"/>
    <w:rsid w:val="002E3026"/>
    <w:rsid w:val="002E31E6"/>
    <w:rsid w:val="002E33BD"/>
    <w:rsid w:val="002E3637"/>
    <w:rsid w:val="002E3746"/>
    <w:rsid w:val="002E39E7"/>
    <w:rsid w:val="002E3C32"/>
    <w:rsid w:val="002E3C5C"/>
    <w:rsid w:val="002E3D95"/>
    <w:rsid w:val="002E413C"/>
    <w:rsid w:val="002E43EA"/>
    <w:rsid w:val="002E4408"/>
    <w:rsid w:val="002E4621"/>
    <w:rsid w:val="002E46B4"/>
    <w:rsid w:val="002E46BE"/>
    <w:rsid w:val="002E4784"/>
    <w:rsid w:val="002E47D3"/>
    <w:rsid w:val="002E4829"/>
    <w:rsid w:val="002E4993"/>
    <w:rsid w:val="002E49EB"/>
    <w:rsid w:val="002E4BCC"/>
    <w:rsid w:val="002E4C4E"/>
    <w:rsid w:val="002E4D36"/>
    <w:rsid w:val="002E4D51"/>
    <w:rsid w:val="002E4DA6"/>
    <w:rsid w:val="002E4EC3"/>
    <w:rsid w:val="002E5060"/>
    <w:rsid w:val="002E514D"/>
    <w:rsid w:val="002E53F7"/>
    <w:rsid w:val="002E5411"/>
    <w:rsid w:val="002E5438"/>
    <w:rsid w:val="002E55C2"/>
    <w:rsid w:val="002E57FC"/>
    <w:rsid w:val="002E5C16"/>
    <w:rsid w:val="002E6021"/>
    <w:rsid w:val="002E6447"/>
    <w:rsid w:val="002E65D8"/>
    <w:rsid w:val="002E671B"/>
    <w:rsid w:val="002E6802"/>
    <w:rsid w:val="002E6A8E"/>
    <w:rsid w:val="002E6D1B"/>
    <w:rsid w:val="002E6DA2"/>
    <w:rsid w:val="002E6FAC"/>
    <w:rsid w:val="002E7039"/>
    <w:rsid w:val="002E7099"/>
    <w:rsid w:val="002E7152"/>
    <w:rsid w:val="002E726C"/>
    <w:rsid w:val="002E7461"/>
    <w:rsid w:val="002E7517"/>
    <w:rsid w:val="002E7549"/>
    <w:rsid w:val="002E77F3"/>
    <w:rsid w:val="002E781D"/>
    <w:rsid w:val="002E783D"/>
    <w:rsid w:val="002E7A7B"/>
    <w:rsid w:val="002E7BA5"/>
    <w:rsid w:val="002E7CE4"/>
    <w:rsid w:val="002E7F0B"/>
    <w:rsid w:val="002E9CA4"/>
    <w:rsid w:val="002F0185"/>
    <w:rsid w:val="002F021D"/>
    <w:rsid w:val="002F02A4"/>
    <w:rsid w:val="002F065B"/>
    <w:rsid w:val="002F06E5"/>
    <w:rsid w:val="002F0757"/>
    <w:rsid w:val="002F078C"/>
    <w:rsid w:val="002F07DC"/>
    <w:rsid w:val="002F0B93"/>
    <w:rsid w:val="002F0CC7"/>
    <w:rsid w:val="002F0EC5"/>
    <w:rsid w:val="002F0FD3"/>
    <w:rsid w:val="002F1044"/>
    <w:rsid w:val="002F11BD"/>
    <w:rsid w:val="002F142F"/>
    <w:rsid w:val="002F18C7"/>
    <w:rsid w:val="002F18DC"/>
    <w:rsid w:val="002F190C"/>
    <w:rsid w:val="002F1969"/>
    <w:rsid w:val="002F1AC4"/>
    <w:rsid w:val="002F1CD5"/>
    <w:rsid w:val="002F1EFD"/>
    <w:rsid w:val="002F1F37"/>
    <w:rsid w:val="002F20CD"/>
    <w:rsid w:val="002F20D0"/>
    <w:rsid w:val="002F20FC"/>
    <w:rsid w:val="002F2105"/>
    <w:rsid w:val="002F23B2"/>
    <w:rsid w:val="002F2470"/>
    <w:rsid w:val="002F24B3"/>
    <w:rsid w:val="002F2654"/>
    <w:rsid w:val="002F29D8"/>
    <w:rsid w:val="002F2A38"/>
    <w:rsid w:val="002F2D4B"/>
    <w:rsid w:val="002F2E60"/>
    <w:rsid w:val="002F30AE"/>
    <w:rsid w:val="002F30EF"/>
    <w:rsid w:val="002F3172"/>
    <w:rsid w:val="002F353A"/>
    <w:rsid w:val="002F3622"/>
    <w:rsid w:val="002F3683"/>
    <w:rsid w:val="002F372A"/>
    <w:rsid w:val="002F3854"/>
    <w:rsid w:val="002F3A0E"/>
    <w:rsid w:val="002F3A4E"/>
    <w:rsid w:val="002F3AB2"/>
    <w:rsid w:val="002F3BE0"/>
    <w:rsid w:val="002F3C50"/>
    <w:rsid w:val="002F3D66"/>
    <w:rsid w:val="002F3DA9"/>
    <w:rsid w:val="002F3DC7"/>
    <w:rsid w:val="002F3F58"/>
    <w:rsid w:val="002F3F63"/>
    <w:rsid w:val="002F41AC"/>
    <w:rsid w:val="002F41BB"/>
    <w:rsid w:val="002F41BE"/>
    <w:rsid w:val="002F42DF"/>
    <w:rsid w:val="002F46B1"/>
    <w:rsid w:val="002F4895"/>
    <w:rsid w:val="002F4A69"/>
    <w:rsid w:val="002F4FB8"/>
    <w:rsid w:val="002F5026"/>
    <w:rsid w:val="002F505D"/>
    <w:rsid w:val="002F50B0"/>
    <w:rsid w:val="002F5203"/>
    <w:rsid w:val="002F5208"/>
    <w:rsid w:val="002F5383"/>
    <w:rsid w:val="002F53C4"/>
    <w:rsid w:val="002F5474"/>
    <w:rsid w:val="002F56C6"/>
    <w:rsid w:val="002F56EA"/>
    <w:rsid w:val="002F5A39"/>
    <w:rsid w:val="002F5C9E"/>
    <w:rsid w:val="002F6108"/>
    <w:rsid w:val="002F612C"/>
    <w:rsid w:val="002F62A2"/>
    <w:rsid w:val="002F63F9"/>
    <w:rsid w:val="002F647C"/>
    <w:rsid w:val="002F64CC"/>
    <w:rsid w:val="002F65B6"/>
    <w:rsid w:val="002F65D5"/>
    <w:rsid w:val="002F675C"/>
    <w:rsid w:val="002F6796"/>
    <w:rsid w:val="002F6C0A"/>
    <w:rsid w:val="002F6CFB"/>
    <w:rsid w:val="002F6EA3"/>
    <w:rsid w:val="002F71BB"/>
    <w:rsid w:val="002F7534"/>
    <w:rsid w:val="002F773E"/>
    <w:rsid w:val="002F7A09"/>
    <w:rsid w:val="002F7AAD"/>
    <w:rsid w:val="002F7F74"/>
    <w:rsid w:val="00300019"/>
    <w:rsid w:val="003000A1"/>
    <w:rsid w:val="00300182"/>
    <w:rsid w:val="0030041F"/>
    <w:rsid w:val="003006E4"/>
    <w:rsid w:val="003007F9"/>
    <w:rsid w:val="00300A03"/>
    <w:rsid w:val="00300AEE"/>
    <w:rsid w:val="00300C21"/>
    <w:rsid w:val="00300DE4"/>
    <w:rsid w:val="00300EFF"/>
    <w:rsid w:val="00300F70"/>
    <w:rsid w:val="00300F86"/>
    <w:rsid w:val="00301016"/>
    <w:rsid w:val="0030102F"/>
    <w:rsid w:val="00301460"/>
    <w:rsid w:val="0030149E"/>
    <w:rsid w:val="00301514"/>
    <w:rsid w:val="00301528"/>
    <w:rsid w:val="003015E1"/>
    <w:rsid w:val="00301C54"/>
    <w:rsid w:val="00301E7D"/>
    <w:rsid w:val="00302169"/>
    <w:rsid w:val="00302215"/>
    <w:rsid w:val="0030229C"/>
    <w:rsid w:val="00302444"/>
    <w:rsid w:val="0030254C"/>
    <w:rsid w:val="003025D8"/>
    <w:rsid w:val="00302663"/>
    <w:rsid w:val="00302713"/>
    <w:rsid w:val="00302770"/>
    <w:rsid w:val="00303374"/>
    <w:rsid w:val="00303785"/>
    <w:rsid w:val="003037A9"/>
    <w:rsid w:val="003037F3"/>
    <w:rsid w:val="003038DF"/>
    <w:rsid w:val="00303965"/>
    <w:rsid w:val="003039D4"/>
    <w:rsid w:val="0030410B"/>
    <w:rsid w:val="003041EE"/>
    <w:rsid w:val="00304442"/>
    <w:rsid w:val="00304505"/>
    <w:rsid w:val="00304687"/>
    <w:rsid w:val="00304695"/>
    <w:rsid w:val="003046E1"/>
    <w:rsid w:val="003049C9"/>
    <w:rsid w:val="00304A8B"/>
    <w:rsid w:val="00304B16"/>
    <w:rsid w:val="00304D08"/>
    <w:rsid w:val="00305220"/>
    <w:rsid w:val="00305382"/>
    <w:rsid w:val="0030538C"/>
    <w:rsid w:val="00305449"/>
    <w:rsid w:val="003054AC"/>
    <w:rsid w:val="00305627"/>
    <w:rsid w:val="003057C1"/>
    <w:rsid w:val="00305832"/>
    <w:rsid w:val="003058A3"/>
    <w:rsid w:val="00305942"/>
    <w:rsid w:val="00305A07"/>
    <w:rsid w:val="00305B55"/>
    <w:rsid w:val="00305C70"/>
    <w:rsid w:val="00305D48"/>
    <w:rsid w:val="00305D9F"/>
    <w:rsid w:val="00305FB0"/>
    <w:rsid w:val="003062EE"/>
    <w:rsid w:val="00306618"/>
    <w:rsid w:val="0030675F"/>
    <w:rsid w:val="0030697F"/>
    <w:rsid w:val="003069C4"/>
    <w:rsid w:val="00306A33"/>
    <w:rsid w:val="00306AF6"/>
    <w:rsid w:val="00306BFB"/>
    <w:rsid w:val="00306C61"/>
    <w:rsid w:val="00306D01"/>
    <w:rsid w:val="00306E5F"/>
    <w:rsid w:val="00306E61"/>
    <w:rsid w:val="00306ECB"/>
    <w:rsid w:val="00306ED8"/>
    <w:rsid w:val="00306F91"/>
    <w:rsid w:val="00306F9E"/>
    <w:rsid w:val="00306FCC"/>
    <w:rsid w:val="00307126"/>
    <w:rsid w:val="0030721E"/>
    <w:rsid w:val="0030725E"/>
    <w:rsid w:val="003074DB"/>
    <w:rsid w:val="00307598"/>
    <w:rsid w:val="0030760F"/>
    <w:rsid w:val="0030774B"/>
    <w:rsid w:val="003077B0"/>
    <w:rsid w:val="00307834"/>
    <w:rsid w:val="00307898"/>
    <w:rsid w:val="003078D5"/>
    <w:rsid w:val="00307A9A"/>
    <w:rsid w:val="00307D11"/>
    <w:rsid w:val="00307DBB"/>
    <w:rsid w:val="00307E61"/>
    <w:rsid w:val="00307F11"/>
    <w:rsid w:val="003100DE"/>
    <w:rsid w:val="00310331"/>
    <w:rsid w:val="00310396"/>
    <w:rsid w:val="0031065A"/>
    <w:rsid w:val="003107A1"/>
    <w:rsid w:val="00310812"/>
    <w:rsid w:val="0031092F"/>
    <w:rsid w:val="00310936"/>
    <w:rsid w:val="0031093A"/>
    <w:rsid w:val="00310B9B"/>
    <w:rsid w:val="00310C40"/>
    <w:rsid w:val="00310DA3"/>
    <w:rsid w:val="00311190"/>
    <w:rsid w:val="00311240"/>
    <w:rsid w:val="003112AE"/>
    <w:rsid w:val="00311302"/>
    <w:rsid w:val="0031168C"/>
    <w:rsid w:val="00311858"/>
    <w:rsid w:val="00311990"/>
    <w:rsid w:val="00311A43"/>
    <w:rsid w:val="00311AB4"/>
    <w:rsid w:val="00311C5C"/>
    <w:rsid w:val="00311EAD"/>
    <w:rsid w:val="00311F49"/>
    <w:rsid w:val="00311FE1"/>
    <w:rsid w:val="0031206C"/>
    <w:rsid w:val="00312349"/>
    <w:rsid w:val="0031237F"/>
    <w:rsid w:val="00312405"/>
    <w:rsid w:val="003124B9"/>
    <w:rsid w:val="00312686"/>
    <w:rsid w:val="003128F7"/>
    <w:rsid w:val="00312911"/>
    <w:rsid w:val="00312A79"/>
    <w:rsid w:val="00312E01"/>
    <w:rsid w:val="00312FE1"/>
    <w:rsid w:val="00313020"/>
    <w:rsid w:val="0031308B"/>
    <w:rsid w:val="0031311D"/>
    <w:rsid w:val="00313460"/>
    <w:rsid w:val="003134EC"/>
    <w:rsid w:val="00313535"/>
    <w:rsid w:val="003135F6"/>
    <w:rsid w:val="00313732"/>
    <w:rsid w:val="0031375C"/>
    <w:rsid w:val="00313878"/>
    <w:rsid w:val="003139DD"/>
    <w:rsid w:val="00313D7D"/>
    <w:rsid w:val="00313DC7"/>
    <w:rsid w:val="00314057"/>
    <w:rsid w:val="00314068"/>
    <w:rsid w:val="0031418C"/>
    <w:rsid w:val="00314209"/>
    <w:rsid w:val="00314294"/>
    <w:rsid w:val="0031433C"/>
    <w:rsid w:val="00314581"/>
    <w:rsid w:val="00314B69"/>
    <w:rsid w:val="00314B6B"/>
    <w:rsid w:val="00314E55"/>
    <w:rsid w:val="00314EC7"/>
    <w:rsid w:val="00314FE7"/>
    <w:rsid w:val="0031509B"/>
    <w:rsid w:val="00315185"/>
    <w:rsid w:val="003151D6"/>
    <w:rsid w:val="0031534B"/>
    <w:rsid w:val="003153FB"/>
    <w:rsid w:val="0031542B"/>
    <w:rsid w:val="0031584C"/>
    <w:rsid w:val="00315C02"/>
    <w:rsid w:val="00315D67"/>
    <w:rsid w:val="00315DDD"/>
    <w:rsid w:val="00315FA4"/>
    <w:rsid w:val="0031609D"/>
    <w:rsid w:val="003160CD"/>
    <w:rsid w:val="003160FE"/>
    <w:rsid w:val="003161AB"/>
    <w:rsid w:val="00316440"/>
    <w:rsid w:val="003164A7"/>
    <w:rsid w:val="0031651B"/>
    <w:rsid w:val="00316692"/>
    <w:rsid w:val="00316CE7"/>
    <w:rsid w:val="00316DD4"/>
    <w:rsid w:val="00317018"/>
    <w:rsid w:val="0031710D"/>
    <w:rsid w:val="003173BE"/>
    <w:rsid w:val="003173E0"/>
    <w:rsid w:val="00317444"/>
    <w:rsid w:val="0031752D"/>
    <w:rsid w:val="00317AB6"/>
    <w:rsid w:val="00317CBA"/>
    <w:rsid w:val="00317D18"/>
    <w:rsid w:val="00317DB8"/>
    <w:rsid w:val="00317E37"/>
    <w:rsid w:val="00317ED0"/>
    <w:rsid w:val="00317F49"/>
    <w:rsid w:val="00317F73"/>
    <w:rsid w:val="00317F9A"/>
    <w:rsid w:val="00317FEC"/>
    <w:rsid w:val="003201BB"/>
    <w:rsid w:val="003201CE"/>
    <w:rsid w:val="0032028B"/>
    <w:rsid w:val="003202C8"/>
    <w:rsid w:val="00320381"/>
    <w:rsid w:val="00320889"/>
    <w:rsid w:val="00320890"/>
    <w:rsid w:val="003208EF"/>
    <w:rsid w:val="00320AAB"/>
    <w:rsid w:val="00320BA5"/>
    <w:rsid w:val="00320CE9"/>
    <w:rsid w:val="00320E37"/>
    <w:rsid w:val="00320E5C"/>
    <w:rsid w:val="00320FF2"/>
    <w:rsid w:val="00321027"/>
    <w:rsid w:val="003212A5"/>
    <w:rsid w:val="003216CD"/>
    <w:rsid w:val="00321DDE"/>
    <w:rsid w:val="00321E22"/>
    <w:rsid w:val="00321E85"/>
    <w:rsid w:val="003221ED"/>
    <w:rsid w:val="0032268C"/>
    <w:rsid w:val="00322724"/>
    <w:rsid w:val="00322A42"/>
    <w:rsid w:val="00322BC6"/>
    <w:rsid w:val="00322C19"/>
    <w:rsid w:val="00322C6C"/>
    <w:rsid w:val="00322F2A"/>
    <w:rsid w:val="00322F5F"/>
    <w:rsid w:val="003230E4"/>
    <w:rsid w:val="00323133"/>
    <w:rsid w:val="0032348B"/>
    <w:rsid w:val="003238A4"/>
    <w:rsid w:val="00323A38"/>
    <w:rsid w:val="00323BEB"/>
    <w:rsid w:val="00323C90"/>
    <w:rsid w:val="00323CE1"/>
    <w:rsid w:val="00323D77"/>
    <w:rsid w:val="00323E46"/>
    <w:rsid w:val="00323F9B"/>
    <w:rsid w:val="0032421A"/>
    <w:rsid w:val="00324567"/>
    <w:rsid w:val="003245C7"/>
    <w:rsid w:val="00324681"/>
    <w:rsid w:val="00324768"/>
    <w:rsid w:val="00324908"/>
    <w:rsid w:val="00324BD7"/>
    <w:rsid w:val="00324BE3"/>
    <w:rsid w:val="00324C6B"/>
    <w:rsid w:val="00324EA5"/>
    <w:rsid w:val="00325090"/>
    <w:rsid w:val="0032511D"/>
    <w:rsid w:val="00325128"/>
    <w:rsid w:val="0032528B"/>
    <w:rsid w:val="0032530D"/>
    <w:rsid w:val="00325377"/>
    <w:rsid w:val="00325632"/>
    <w:rsid w:val="00325892"/>
    <w:rsid w:val="003258BB"/>
    <w:rsid w:val="00325BCB"/>
    <w:rsid w:val="0032602F"/>
    <w:rsid w:val="0032619E"/>
    <w:rsid w:val="003261F0"/>
    <w:rsid w:val="0032627D"/>
    <w:rsid w:val="00326316"/>
    <w:rsid w:val="0032649E"/>
    <w:rsid w:val="00326531"/>
    <w:rsid w:val="0032657A"/>
    <w:rsid w:val="0032674A"/>
    <w:rsid w:val="0032675B"/>
    <w:rsid w:val="00326823"/>
    <w:rsid w:val="0032697E"/>
    <w:rsid w:val="00326A99"/>
    <w:rsid w:val="00326B70"/>
    <w:rsid w:val="00326B7A"/>
    <w:rsid w:val="00326CF7"/>
    <w:rsid w:val="00326EFD"/>
    <w:rsid w:val="003271AA"/>
    <w:rsid w:val="003274B2"/>
    <w:rsid w:val="0032770D"/>
    <w:rsid w:val="003277D7"/>
    <w:rsid w:val="0032788E"/>
    <w:rsid w:val="0032793C"/>
    <w:rsid w:val="003279D5"/>
    <w:rsid w:val="00327A06"/>
    <w:rsid w:val="00327B49"/>
    <w:rsid w:val="00327B7E"/>
    <w:rsid w:val="00327CAD"/>
    <w:rsid w:val="00327CE7"/>
    <w:rsid w:val="00327FB4"/>
    <w:rsid w:val="00330055"/>
    <w:rsid w:val="00330279"/>
    <w:rsid w:val="00330364"/>
    <w:rsid w:val="003303D2"/>
    <w:rsid w:val="003305B0"/>
    <w:rsid w:val="00330760"/>
    <w:rsid w:val="0033085F"/>
    <w:rsid w:val="003308D5"/>
    <w:rsid w:val="00330C05"/>
    <w:rsid w:val="00330C14"/>
    <w:rsid w:val="00330D80"/>
    <w:rsid w:val="003311AE"/>
    <w:rsid w:val="00331202"/>
    <w:rsid w:val="00331224"/>
    <w:rsid w:val="00331238"/>
    <w:rsid w:val="00331400"/>
    <w:rsid w:val="00331698"/>
    <w:rsid w:val="0033174C"/>
    <w:rsid w:val="00331958"/>
    <w:rsid w:val="0033198B"/>
    <w:rsid w:val="00331A41"/>
    <w:rsid w:val="00331A42"/>
    <w:rsid w:val="00331B7E"/>
    <w:rsid w:val="00331C3B"/>
    <w:rsid w:val="00332067"/>
    <w:rsid w:val="003320BD"/>
    <w:rsid w:val="003325AE"/>
    <w:rsid w:val="00332763"/>
    <w:rsid w:val="00332849"/>
    <w:rsid w:val="003328DD"/>
    <w:rsid w:val="003329C2"/>
    <w:rsid w:val="003329F7"/>
    <w:rsid w:val="00332DD8"/>
    <w:rsid w:val="00332DF4"/>
    <w:rsid w:val="003330E3"/>
    <w:rsid w:val="0033326F"/>
    <w:rsid w:val="003332DC"/>
    <w:rsid w:val="00333466"/>
    <w:rsid w:val="0033348A"/>
    <w:rsid w:val="0033350A"/>
    <w:rsid w:val="003335D7"/>
    <w:rsid w:val="00333834"/>
    <w:rsid w:val="003339AB"/>
    <w:rsid w:val="00333C18"/>
    <w:rsid w:val="003344A4"/>
    <w:rsid w:val="0033469E"/>
    <w:rsid w:val="00334902"/>
    <w:rsid w:val="003349E7"/>
    <w:rsid w:val="00334A81"/>
    <w:rsid w:val="00334AD9"/>
    <w:rsid w:val="00334B35"/>
    <w:rsid w:val="00334B5D"/>
    <w:rsid w:val="00334C52"/>
    <w:rsid w:val="00334D5C"/>
    <w:rsid w:val="00334E4C"/>
    <w:rsid w:val="00334EFD"/>
    <w:rsid w:val="00334FF2"/>
    <w:rsid w:val="00335088"/>
    <w:rsid w:val="003350CA"/>
    <w:rsid w:val="003351B1"/>
    <w:rsid w:val="00335291"/>
    <w:rsid w:val="003353BC"/>
    <w:rsid w:val="003356AF"/>
    <w:rsid w:val="00335835"/>
    <w:rsid w:val="00335856"/>
    <w:rsid w:val="00335A59"/>
    <w:rsid w:val="00335D06"/>
    <w:rsid w:val="00335DD7"/>
    <w:rsid w:val="00335F7C"/>
    <w:rsid w:val="003362BB"/>
    <w:rsid w:val="0033634A"/>
    <w:rsid w:val="00336937"/>
    <w:rsid w:val="0033694F"/>
    <w:rsid w:val="00336A55"/>
    <w:rsid w:val="00336CE9"/>
    <w:rsid w:val="00336E2A"/>
    <w:rsid w:val="003370E5"/>
    <w:rsid w:val="0033711C"/>
    <w:rsid w:val="00337127"/>
    <w:rsid w:val="0033759F"/>
    <w:rsid w:val="003375C0"/>
    <w:rsid w:val="00337891"/>
    <w:rsid w:val="00337AB3"/>
    <w:rsid w:val="00337AB4"/>
    <w:rsid w:val="00337B4A"/>
    <w:rsid w:val="00337CE3"/>
    <w:rsid w:val="00337D64"/>
    <w:rsid w:val="00337EB4"/>
    <w:rsid w:val="003400EE"/>
    <w:rsid w:val="0034011D"/>
    <w:rsid w:val="003401E9"/>
    <w:rsid w:val="0034027E"/>
    <w:rsid w:val="003403AE"/>
    <w:rsid w:val="003403F9"/>
    <w:rsid w:val="00340594"/>
    <w:rsid w:val="003405A3"/>
    <w:rsid w:val="003405EF"/>
    <w:rsid w:val="00340674"/>
    <w:rsid w:val="00340693"/>
    <w:rsid w:val="00340734"/>
    <w:rsid w:val="00340854"/>
    <w:rsid w:val="0034085E"/>
    <w:rsid w:val="00340905"/>
    <w:rsid w:val="00340A59"/>
    <w:rsid w:val="00340C72"/>
    <w:rsid w:val="00340CF5"/>
    <w:rsid w:val="00340D12"/>
    <w:rsid w:val="00340DC8"/>
    <w:rsid w:val="00341039"/>
    <w:rsid w:val="0034116B"/>
    <w:rsid w:val="00341533"/>
    <w:rsid w:val="00341BBE"/>
    <w:rsid w:val="00342180"/>
    <w:rsid w:val="003426E7"/>
    <w:rsid w:val="00342726"/>
    <w:rsid w:val="00342890"/>
    <w:rsid w:val="00342952"/>
    <w:rsid w:val="00342986"/>
    <w:rsid w:val="003429CC"/>
    <w:rsid w:val="00342A9B"/>
    <w:rsid w:val="00342BDB"/>
    <w:rsid w:val="00342C7D"/>
    <w:rsid w:val="00342DC9"/>
    <w:rsid w:val="00342E37"/>
    <w:rsid w:val="00342EC3"/>
    <w:rsid w:val="00342FB8"/>
    <w:rsid w:val="00342FBC"/>
    <w:rsid w:val="00343244"/>
    <w:rsid w:val="0034325E"/>
    <w:rsid w:val="003432DC"/>
    <w:rsid w:val="0034357D"/>
    <w:rsid w:val="003435DF"/>
    <w:rsid w:val="00343611"/>
    <w:rsid w:val="0034379C"/>
    <w:rsid w:val="0034387C"/>
    <w:rsid w:val="00343943"/>
    <w:rsid w:val="00343D10"/>
    <w:rsid w:val="00343DDA"/>
    <w:rsid w:val="00343DE5"/>
    <w:rsid w:val="00343EEE"/>
    <w:rsid w:val="00343F37"/>
    <w:rsid w:val="0034407A"/>
    <w:rsid w:val="00344090"/>
    <w:rsid w:val="003440AE"/>
    <w:rsid w:val="003440AF"/>
    <w:rsid w:val="003441C3"/>
    <w:rsid w:val="003442D2"/>
    <w:rsid w:val="00344329"/>
    <w:rsid w:val="003444B8"/>
    <w:rsid w:val="003445A7"/>
    <w:rsid w:val="003445B6"/>
    <w:rsid w:val="003446CE"/>
    <w:rsid w:val="003447DD"/>
    <w:rsid w:val="00344845"/>
    <w:rsid w:val="00344BCA"/>
    <w:rsid w:val="00344EB0"/>
    <w:rsid w:val="00344ED0"/>
    <w:rsid w:val="00344FFE"/>
    <w:rsid w:val="0034515B"/>
    <w:rsid w:val="003451C8"/>
    <w:rsid w:val="00345568"/>
    <w:rsid w:val="003455C5"/>
    <w:rsid w:val="00345777"/>
    <w:rsid w:val="003457AE"/>
    <w:rsid w:val="0034596C"/>
    <w:rsid w:val="00345AB9"/>
    <w:rsid w:val="00345B23"/>
    <w:rsid w:val="00345DD3"/>
    <w:rsid w:val="00345E8A"/>
    <w:rsid w:val="00345EA5"/>
    <w:rsid w:val="00345EFF"/>
    <w:rsid w:val="00345F50"/>
    <w:rsid w:val="003462DE"/>
    <w:rsid w:val="003463C2"/>
    <w:rsid w:val="0034651C"/>
    <w:rsid w:val="003467F3"/>
    <w:rsid w:val="0034689E"/>
    <w:rsid w:val="003468FB"/>
    <w:rsid w:val="003469DE"/>
    <w:rsid w:val="00346AAE"/>
    <w:rsid w:val="00346B6E"/>
    <w:rsid w:val="00346B80"/>
    <w:rsid w:val="00346BB5"/>
    <w:rsid w:val="00347019"/>
    <w:rsid w:val="0034718C"/>
    <w:rsid w:val="003472C6"/>
    <w:rsid w:val="00347366"/>
    <w:rsid w:val="003474F3"/>
    <w:rsid w:val="00347577"/>
    <w:rsid w:val="00347840"/>
    <w:rsid w:val="003478D9"/>
    <w:rsid w:val="00347C8F"/>
    <w:rsid w:val="00347E08"/>
    <w:rsid w:val="00347E29"/>
    <w:rsid w:val="00347F09"/>
    <w:rsid w:val="00347FDB"/>
    <w:rsid w:val="003504E7"/>
    <w:rsid w:val="0035057A"/>
    <w:rsid w:val="00350619"/>
    <w:rsid w:val="003508AD"/>
    <w:rsid w:val="003508E2"/>
    <w:rsid w:val="0035093B"/>
    <w:rsid w:val="003509CA"/>
    <w:rsid w:val="00350B4C"/>
    <w:rsid w:val="00350D06"/>
    <w:rsid w:val="00350D1B"/>
    <w:rsid w:val="00350E09"/>
    <w:rsid w:val="00350EA1"/>
    <w:rsid w:val="00350EFE"/>
    <w:rsid w:val="00350F5E"/>
    <w:rsid w:val="003511B1"/>
    <w:rsid w:val="003511BF"/>
    <w:rsid w:val="00351283"/>
    <w:rsid w:val="00351287"/>
    <w:rsid w:val="003512D8"/>
    <w:rsid w:val="003514EA"/>
    <w:rsid w:val="003515FF"/>
    <w:rsid w:val="00351744"/>
    <w:rsid w:val="003518E9"/>
    <w:rsid w:val="0035191D"/>
    <w:rsid w:val="0035191F"/>
    <w:rsid w:val="00351B97"/>
    <w:rsid w:val="00351EE0"/>
    <w:rsid w:val="00351FBE"/>
    <w:rsid w:val="00352071"/>
    <w:rsid w:val="003522CE"/>
    <w:rsid w:val="003523AB"/>
    <w:rsid w:val="003523EB"/>
    <w:rsid w:val="003524AE"/>
    <w:rsid w:val="003525FF"/>
    <w:rsid w:val="00352884"/>
    <w:rsid w:val="003528D5"/>
    <w:rsid w:val="00352A81"/>
    <w:rsid w:val="00352BD6"/>
    <w:rsid w:val="00352D72"/>
    <w:rsid w:val="00352DE4"/>
    <w:rsid w:val="00352E24"/>
    <w:rsid w:val="00352E6F"/>
    <w:rsid w:val="0035305A"/>
    <w:rsid w:val="003531F5"/>
    <w:rsid w:val="0035328B"/>
    <w:rsid w:val="00353401"/>
    <w:rsid w:val="003534BF"/>
    <w:rsid w:val="003536E4"/>
    <w:rsid w:val="00353744"/>
    <w:rsid w:val="00353762"/>
    <w:rsid w:val="003537A1"/>
    <w:rsid w:val="00353D93"/>
    <w:rsid w:val="003541A4"/>
    <w:rsid w:val="003541DC"/>
    <w:rsid w:val="003541F2"/>
    <w:rsid w:val="0035427C"/>
    <w:rsid w:val="0035431E"/>
    <w:rsid w:val="0035435A"/>
    <w:rsid w:val="0035435E"/>
    <w:rsid w:val="003543B5"/>
    <w:rsid w:val="00354746"/>
    <w:rsid w:val="00354823"/>
    <w:rsid w:val="00354AF8"/>
    <w:rsid w:val="00354BB3"/>
    <w:rsid w:val="00354C37"/>
    <w:rsid w:val="003550AF"/>
    <w:rsid w:val="003550C7"/>
    <w:rsid w:val="003552B9"/>
    <w:rsid w:val="0035535A"/>
    <w:rsid w:val="003553F8"/>
    <w:rsid w:val="003554F7"/>
    <w:rsid w:val="003555AD"/>
    <w:rsid w:val="003557FC"/>
    <w:rsid w:val="00355816"/>
    <w:rsid w:val="003559AA"/>
    <w:rsid w:val="00355B9C"/>
    <w:rsid w:val="003560C1"/>
    <w:rsid w:val="003560F1"/>
    <w:rsid w:val="00356366"/>
    <w:rsid w:val="00356371"/>
    <w:rsid w:val="003563A7"/>
    <w:rsid w:val="0035645B"/>
    <w:rsid w:val="003565F0"/>
    <w:rsid w:val="00356AD6"/>
    <w:rsid w:val="00356C76"/>
    <w:rsid w:val="00356D35"/>
    <w:rsid w:val="00356D72"/>
    <w:rsid w:val="00356EF1"/>
    <w:rsid w:val="0035721C"/>
    <w:rsid w:val="00357312"/>
    <w:rsid w:val="00357525"/>
    <w:rsid w:val="0035759B"/>
    <w:rsid w:val="003575AA"/>
    <w:rsid w:val="0035765C"/>
    <w:rsid w:val="003576AD"/>
    <w:rsid w:val="003579D5"/>
    <w:rsid w:val="00357AF6"/>
    <w:rsid w:val="00357BCE"/>
    <w:rsid w:val="00357D3D"/>
    <w:rsid w:val="00357DCE"/>
    <w:rsid w:val="00357DEF"/>
    <w:rsid w:val="00357EDD"/>
    <w:rsid w:val="00360047"/>
    <w:rsid w:val="0036010A"/>
    <w:rsid w:val="003601EF"/>
    <w:rsid w:val="00360497"/>
    <w:rsid w:val="00360577"/>
    <w:rsid w:val="00360638"/>
    <w:rsid w:val="00360EB8"/>
    <w:rsid w:val="00361081"/>
    <w:rsid w:val="003610E6"/>
    <w:rsid w:val="0036120A"/>
    <w:rsid w:val="00361211"/>
    <w:rsid w:val="00361562"/>
    <w:rsid w:val="003615D7"/>
    <w:rsid w:val="0036182B"/>
    <w:rsid w:val="003618F0"/>
    <w:rsid w:val="00361989"/>
    <w:rsid w:val="00361B2D"/>
    <w:rsid w:val="00361B61"/>
    <w:rsid w:val="00362113"/>
    <w:rsid w:val="00362402"/>
    <w:rsid w:val="0036259D"/>
    <w:rsid w:val="003628AB"/>
    <w:rsid w:val="00362947"/>
    <w:rsid w:val="003629F4"/>
    <w:rsid w:val="00362AA1"/>
    <w:rsid w:val="00362B01"/>
    <w:rsid w:val="00362CDF"/>
    <w:rsid w:val="00362DE1"/>
    <w:rsid w:val="00363264"/>
    <w:rsid w:val="003634A3"/>
    <w:rsid w:val="00363503"/>
    <w:rsid w:val="00363654"/>
    <w:rsid w:val="003637EA"/>
    <w:rsid w:val="003637F0"/>
    <w:rsid w:val="00363934"/>
    <w:rsid w:val="00363981"/>
    <w:rsid w:val="00363A6C"/>
    <w:rsid w:val="00363C32"/>
    <w:rsid w:val="00363D5E"/>
    <w:rsid w:val="00363D8E"/>
    <w:rsid w:val="00363ED0"/>
    <w:rsid w:val="0036408B"/>
    <w:rsid w:val="00364157"/>
    <w:rsid w:val="003641A7"/>
    <w:rsid w:val="003641C2"/>
    <w:rsid w:val="0036425B"/>
    <w:rsid w:val="00364314"/>
    <w:rsid w:val="00364404"/>
    <w:rsid w:val="00364459"/>
    <w:rsid w:val="003644EA"/>
    <w:rsid w:val="003644EF"/>
    <w:rsid w:val="003646B0"/>
    <w:rsid w:val="00364A51"/>
    <w:rsid w:val="00364A88"/>
    <w:rsid w:val="00364A9A"/>
    <w:rsid w:val="00364CE4"/>
    <w:rsid w:val="00364D19"/>
    <w:rsid w:val="00364D2E"/>
    <w:rsid w:val="00364F28"/>
    <w:rsid w:val="00364FD8"/>
    <w:rsid w:val="003651D7"/>
    <w:rsid w:val="003652F4"/>
    <w:rsid w:val="0036532E"/>
    <w:rsid w:val="003655FD"/>
    <w:rsid w:val="003656E5"/>
    <w:rsid w:val="00365789"/>
    <w:rsid w:val="0036599E"/>
    <w:rsid w:val="00365BF9"/>
    <w:rsid w:val="00365E8E"/>
    <w:rsid w:val="00366061"/>
    <w:rsid w:val="00366090"/>
    <w:rsid w:val="00366141"/>
    <w:rsid w:val="003662B6"/>
    <w:rsid w:val="00366489"/>
    <w:rsid w:val="003664C2"/>
    <w:rsid w:val="00366575"/>
    <w:rsid w:val="003668F7"/>
    <w:rsid w:val="003669FF"/>
    <w:rsid w:val="00366A71"/>
    <w:rsid w:val="00366DAD"/>
    <w:rsid w:val="00366EE9"/>
    <w:rsid w:val="00366F7E"/>
    <w:rsid w:val="0036742E"/>
    <w:rsid w:val="0036748E"/>
    <w:rsid w:val="0036754B"/>
    <w:rsid w:val="00367653"/>
    <w:rsid w:val="00367703"/>
    <w:rsid w:val="003677CD"/>
    <w:rsid w:val="003679AE"/>
    <w:rsid w:val="00367A4F"/>
    <w:rsid w:val="00367B77"/>
    <w:rsid w:val="00367D2D"/>
    <w:rsid w:val="00367DDA"/>
    <w:rsid w:val="00367E47"/>
    <w:rsid w:val="0036E3BC"/>
    <w:rsid w:val="003700C4"/>
    <w:rsid w:val="00370116"/>
    <w:rsid w:val="0037045F"/>
    <w:rsid w:val="0037056F"/>
    <w:rsid w:val="00370589"/>
    <w:rsid w:val="00370858"/>
    <w:rsid w:val="00370A4C"/>
    <w:rsid w:val="00370AAA"/>
    <w:rsid w:val="00370D88"/>
    <w:rsid w:val="00370D9A"/>
    <w:rsid w:val="00370FEE"/>
    <w:rsid w:val="00371169"/>
    <w:rsid w:val="00371174"/>
    <w:rsid w:val="0037120D"/>
    <w:rsid w:val="00371239"/>
    <w:rsid w:val="003713B9"/>
    <w:rsid w:val="00371427"/>
    <w:rsid w:val="0037143E"/>
    <w:rsid w:val="00371462"/>
    <w:rsid w:val="00371612"/>
    <w:rsid w:val="0037161B"/>
    <w:rsid w:val="0037191B"/>
    <w:rsid w:val="003719BA"/>
    <w:rsid w:val="00371C1A"/>
    <w:rsid w:val="00371CCF"/>
    <w:rsid w:val="00372174"/>
    <w:rsid w:val="00372246"/>
    <w:rsid w:val="003722C4"/>
    <w:rsid w:val="003722D6"/>
    <w:rsid w:val="003724CA"/>
    <w:rsid w:val="00372628"/>
    <w:rsid w:val="003726F9"/>
    <w:rsid w:val="003729AF"/>
    <w:rsid w:val="00372A0C"/>
    <w:rsid w:val="00372C39"/>
    <w:rsid w:val="00372DD9"/>
    <w:rsid w:val="00372FD6"/>
    <w:rsid w:val="00373033"/>
    <w:rsid w:val="00373090"/>
    <w:rsid w:val="003732C9"/>
    <w:rsid w:val="00373397"/>
    <w:rsid w:val="00373453"/>
    <w:rsid w:val="003734EA"/>
    <w:rsid w:val="00373626"/>
    <w:rsid w:val="00373665"/>
    <w:rsid w:val="00373678"/>
    <w:rsid w:val="00373811"/>
    <w:rsid w:val="00373863"/>
    <w:rsid w:val="003738D4"/>
    <w:rsid w:val="00373EC1"/>
    <w:rsid w:val="0037405B"/>
    <w:rsid w:val="00374494"/>
    <w:rsid w:val="003744DB"/>
    <w:rsid w:val="00374758"/>
    <w:rsid w:val="0037496B"/>
    <w:rsid w:val="00374F96"/>
    <w:rsid w:val="00375042"/>
    <w:rsid w:val="003750A7"/>
    <w:rsid w:val="0037540D"/>
    <w:rsid w:val="003754E7"/>
    <w:rsid w:val="0037583F"/>
    <w:rsid w:val="003758F2"/>
    <w:rsid w:val="00375A73"/>
    <w:rsid w:val="00375BC7"/>
    <w:rsid w:val="00375CCB"/>
    <w:rsid w:val="00375CCD"/>
    <w:rsid w:val="00376134"/>
    <w:rsid w:val="0037624D"/>
    <w:rsid w:val="003762E5"/>
    <w:rsid w:val="0037636F"/>
    <w:rsid w:val="003763FD"/>
    <w:rsid w:val="0037654A"/>
    <w:rsid w:val="00376583"/>
    <w:rsid w:val="0037669D"/>
    <w:rsid w:val="00376978"/>
    <w:rsid w:val="0037698A"/>
    <w:rsid w:val="00376A36"/>
    <w:rsid w:val="00376BAC"/>
    <w:rsid w:val="00376CFD"/>
    <w:rsid w:val="00376D0E"/>
    <w:rsid w:val="00376D92"/>
    <w:rsid w:val="00376DDA"/>
    <w:rsid w:val="00376E95"/>
    <w:rsid w:val="0037739D"/>
    <w:rsid w:val="003773CE"/>
    <w:rsid w:val="00377411"/>
    <w:rsid w:val="003774AD"/>
    <w:rsid w:val="003775B0"/>
    <w:rsid w:val="0037765A"/>
    <w:rsid w:val="00377833"/>
    <w:rsid w:val="00377E09"/>
    <w:rsid w:val="00377FD6"/>
    <w:rsid w:val="003803CE"/>
    <w:rsid w:val="003805A4"/>
    <w:rsid w:val="0038069E"/>
    <w:rsid w:val="00380786"/>
    <w:rsid w:val="003807C8"/>
    <w:rsid w:val="00380BA9"/>
    <w:rsid w:val="00380E7F"/>
    <w:rsid w:val="00380E95"/>
    <w:rsid w:val="00380EFF"/>
    <w:rsid w:val="00380F6C"/>
    <w:rsid w:val="00381026"/>
    <w:rsid w:val="003810E7"/>
    <w:rsid w:val="00381141"/>
    <w:rsid w:val="00381454"/>
    <w:rsid w:val="003816A8"/>
    <w:rsid w:val="00381A8F"/>
    <w:rsid w:val="00381AEA"/>
    <w:rsid w:val="00381E23"/>
    <w:rsid w:val="0038224B"/>
    <w:rsid w:val="0038234A"/>
    <w:rsid w:val="003824E3"/>
    <w:rsid w:val="00382605"/>
    <w:rsid w:val="003826FE"/>
    <w:rsid w:val="00382A70"/>
    <w:rsid w:val="00382A72"/>
    <w:rsid w:val="00382B8B"/>
    <w:rsid w:val="00382CCC"/>
    <w:rsid w:val="00382D6B"/>
    <w:rsid w:val="00382EC3"/>
    <w:rsid w:val="00382F8A"/>
    <w:rsid w:val="003831AF"/>
    <w:rsid w:val="00383233"/>
    <w:rsid w:val="003833F5"/>
    <w:rsid w:val="003834E2"/>
    <w:rsid w:val="00383517"/>
    <w:rsid w:val="003839FE"/>
    <w:rsid w:val="00383A2B"/>
    <w:rsid w:val="00383CE5"/>
    <w:rsid w:val="00384050"/>
    <w:rsid w:val="00384142"/>
    <w:rsid w:val="00384294"/>
    <w:rsid w:val="0038437F"/>
    <w:rsid w:val="0038443F"/>
    <w:rsid w:val="00384449"/>
    <w:rsid w:val="003844C8"/>
    <w:rsid w:val="0038451E"/>
    <w:rsid w:val="003846B8"/>
    <w:rsid w:val="0038485D"/>
    <w:rsid w:val="003849DA"/>
    <w:rsid w:val="00384A62"/>
    <w:rsid w:val="00384A85"/>
    <w:rsid w:val="00384AD8"/>
    <w:rsid w:val="00384BD6"/>
    <w:rsid w:val="00384BDD"/>
    <w:rsid w:val="00384C09"/>
    <w:rsid w:val="00384D90"/>
    <w:rsid w:val="00384EBA"/>
    <w:rsid w:val="00384F0B"/>
    <w:rsid w:val="00384FC7"/>
    <w:rsid w:val="003850FC"/>
    <w:rsid w:val="003857B4"/>
    <w:rsid w:val="00385877"/>
    <w:rsid w:val="003858CE"/>
    <w:rsid w:val="003859F4"/>
    <w:rsid w:val="00385AD8"/>
    <w:rsid w:val="00385BA3"/>
    <w:rsid w:val="00385E98"/>
    <w:rsid w:val="00386106"/>
    <w:rsid w:val="00386167"/>
    <w:rsid w:val="0038619F"/>
    <w:rsid w:val="003861FF"/>
    <w:rsid w:val="00386226"/>
    <w:rsid w:val="0038623E"/>
    <w:rsid w:val="003862D4"/>
    <w:rsid w:val="003863B4"/>
    <w:rsid w:val="00386656"/>
    <w:rsid w:val="00386762"/>
    <w:rsid w:val="00386827"/>
    <w:rsid w:val="0038696B"/>
    <w:rsid w:val="00386AB3"/>
    <w:rsid w:val="00386D10"/>
    <w:rsid w:val="00386D37"/>
    <w:rsid w:val="00386D74"/>
    <w:rsid w:val="0038706D"/>
    <w:rsid w:val="003873CD"/>
    <w:rsid w:val="0038749A"/>
    <w:rsid w:val="0038753E"/>
    <w:rsid w:val="003875A5"/>
    <w:rsid w:val="003875AA"/>
    <w:rsid w:val="0038770D"/>
    <w:rsid w:val="00387851"/>
    <w:rsid w:val="003878D9"/>
    <w:rsid w:val="003878F2"/>
    <w:rsid w:val="00387B1B"/>
    <w:rsid w:val="00387B2D"/>
    <w:rsid w:val="00387C11"/>
    <w:rsid w:val="00387C27"/>
    <w:rsid w:val="00387E02"/>
    <w:rsid w:val="003900C0"/>
    <w:rsid w:val="0039019B"/>
    <w:rsid w:val="003902B6"/>
    <w:rsid w:val="003902D7"/>
    <w:rsid w:val="00390391"/>
    <w:rsid w:val="003903BA"/>
    <w:rsid w:val="00390630"/>
    <w:rsid w:val="00390663"/>
    <w:rsid w:val="00390676"/>
    <w:rsid w:val="003906D9"/>
    <w:rsid w:val="0039077F"/>
    <w:rsid w:val="0039082C"/>
    <w:rsid w:val="003909C4"/>
    <w:rsid w:val="00390A11"/>
    <w:rsid w:val="00390B4B"/>
    <w:rsid w:val="00390BF2"/>
    <w:rsid w:val="00390C5D"/>
    <w:rsid w:val="00390D8C"/>
    <w:rsid w:val="00391163"/>
    <w:rsid w:val="00391224"/>
    <w:rsid w:val="0039133E"/>
    <w:rsid w:val="003913BF"/>
    <w:rsid w:val="00391610"/>
    <w:rsid w:val="00391615"/>
    <w:rsid w:val="0039169D"/>
    <w:rsid w:val="00391715"/>
    <w:rsid w:val="0039171C"/>
    <w:rsid w:val="003919D8"/>
    <w:rsid w:val="00391B9C"/>
    <w:rsid w:val="00391C48"/>
    <w:rsid w:val="00391D2C"/>
    <w:rsid w:val="00391F1D"/>
    <w:rsid w:val="00391FA1"/>
    <w:rsid w:val="00392209"/>
    <w:rsid w:val="00392280"/>
    <w:rsid w:val="00392286"/>
    <w:rsid w:val="00392372"/>
    <w:rsid w:val="00392446"/>
    <w:rsid w:val="0039253E"/>
    <w:rsid w:val="0039258A"/>
    <w:rsid w:val="003926D5"/>
    <w:rsid w:val="00392713"/>
    <w:rsid w:val="00392737"/>
    <w:rsid w:val="00392A7F"/>
    <w:rsid w:val="00392C55"/>
    <w:rsid w:val="00392CCD"/>
    <w:rsid w:val="00392CD0"/>
    <w:rsid w:val="00392DEF"/>
    <w:rsid w:val="00392FCB"/>
    <w:rsid w:val="003931D6"/>
    <w:rsid w:val="00393245"/>
    <w:rsid w:val="00393349"/>
    <w:rsid w:val="0039340F"/>
    <w:rsid w:val="00393681"/>
    <w:rsid w:val="0039382A"/>
    <w:rsid w:val="0039383E"/>
    <w:rsid w:val="00393AA0"/>
    <w:rsid w:val="00393C01"/>
    <w:rsid w:val="00393D5F"/>
    <w:rsid w:val="00393E8B"/>
    <w:rsid w:val="00394032"/>
    <w:rsid w:val="0039411A"/>
    <w:rsid w:val="003941AB"/>
    <w:rsid w:val="003942E7"/>
    <w:rsid w:val="00394380"/>
    <w:rsid w:val="0039468A"/>
    <w:rsid w:val="003946A2"/>
    <w:rsid w:val="00394884"/>
    <w:rsid w:val="0039497A"/>
    <w:rsid w:val="00394A0E"/>
    <w:rsid w:val="00394A7A"/>
    <w:rsid w:val="00394C37"/>
    <w:rsid w:val="00394DB6"/>
    <w:rsid w:val="00394E06"/>
    <w:rsid w:val="00394E83"/>
    <w:rsid w:val="00394EEA"/>
    <w:rsid w:val="00394FA5"/>
    <w:rsid w:val="0039526E"/>
    <w:rsid w:val="003953DD"/>
    <w:rsid w:val="00395458"/>
    <w:rsid w:val="00395505"/>
    <w:rsid w:val="00395530"/>
    <w:rsid w:val="00395621"/>
    <w:rsid w:val="00395708"/>
    <w:rsid w:val="00395784"/>
    <w:rsid w:val="00395CF8"/>
    <w:rsid w:val="00395DD1"/>
    <w:rsid w:val="00395DFF"/>
    <w:rsid w:val="0039614B"/>
    <w:rsid w:val="003964D8"/>
    <w:rsid w:val="00396531"/>
    <w:rsid w:val="003968DE"/>
    <w:rsid w:val="003969C5"/>
    <w:rsid w:val="003969DC"/>
    <w:rsid w:val="00396A10"/>
    <w:rsid w:val="00396BDE"/>
    <w:rsid w:val="00396DB8"/>
    <w:rsid w:val="00396DBB"/>
    <w:rsid w:val="00396F86"/>
    <w:rsid w:val="0039739D"/>
    <w:rsid w:val="003975C8"/>
    <w:rsid w:val="0039773C"/>
    <w:rsid w:val="00397745"/>
    <w:rsid w:val="003977AD"/>
    <w:rsid w:val="00397B1A"/>
    <w:rsid w:val="00397BC5"/>
    <w:rsid w:val="00397D25"/>
    <w:rsid w:val="00397DE8"/>
    <w:rsid w:val="00397F7A"/>
    <w:rsid w:val="003A00F9"/>
    <w:rsid w:val="003A0254"/>
    <w:rsid w:val="003A0432"/>
    <w:rsid w:val="003A04C7"/>
    <w:rsid w:val="003A0553"/>
    <w:rsid w:val="003A0672"/>
    <w:rsid w:val="003A07E7"/>
    <w:rsid w:val="003A093F"/>
    <w:rsid w:val="003A0AA4"/>
    <w:rsid w:val="003A0B87"/>
    <w:rsid w:val="003A0C5E"/>
    <w:rsid w:val="003A0CE6"/>
    <w:rsid w:val="003A0DE4"/>
    <w:rsid w:val="003A0ED1"/>
    <w:rsid w:val="003A0EF5"/>
    <w:rsid w:val="003A0F65"/>
    <w:rsid w:val="003A15C2"/>
    <w:rsid w:val="003A1612"/>
    <w:rsid w:val="003A1640"/>
    <w:rsid w:val="003A18BD"/>
    <w:rsid w:val="003A18CA"/>
    <w:rsid w:val="003A1979"/>
    <w:rsid w:val="003A1A6E"/>
    <w:rsid w:val="003A1CA0"/>
    <w:rsid w:val="003A1DF7"/>
    <w:rsid w:val="003A1F0E"/>
    <w:rsid w:val="003A216A"/>
    <w:rsid w:val="003A2455"/>
    <w:rsid w:val="003A267B"/>
    <w:rsid w:val="003A27E8"/>
    <w:rsid w:val="003A285D"/>
    <w:rsid w:val="003A2886"/>
    <w:rsid w:val="003A29B7"/>
    <w:rsid w:val="003A2A1E"/>
    <w:rsid w:val="003A2B73"/>
    <w:rsid w:val="003A2BEF"/>
    <w:rsid w:val="003A2E84"/>
    <w:rsid w:val="003A314A"/>
    <w:rsid w:val="003A32C0"/>
    <w:rsid w:val="003A32E0"/>
    <w:rsid w:val="003A34D3"/>
    <w:rsid w:val="003A34E5"/>
    <w:rsid w:val="003A34E7"/>
    <w:rsid w:val="003A36AD"/>
    <w:rsid w:val="003A3766"/>
    <w:rsid w:val="003A38B9"/>
    <w:rsid w:val="003A38C4"/>
    <w:rsid w:val="003A3975"/>
    <w:rsid w:val="003A3DBA"/>
    <w:rsid w:val="003A3F21"/>
    <w:rsid w:val="003A3F50"/>
    <w:rsid w:val="003A40AE"/>
    <w:rsid w:val="003A41C0"/>
    <w:rsid w:val="003A4356"/>
    <w:rsid w:val="003A438D"/>
    <w:rsid w:val="003A44BB"/>
    <w:rsid w:val="003A4599"/>
    <w:rsid w:val="003A4691"/>
    <w:rsid w:val="003A48DE"/>
    <w:rsid w:val="003A4956"/>
    <w:rsid w:val="003A499F"/>
    <w:rsid w:val="003A4C88"/>
    <w:rsid w:val="003A4D38"/>
    <w:rsid w:val="003A4D43"/>
    <w:rsid w:val="003A4F7B"/>
    <w:rsid w:val="003A4FBA"/>
    <w:rsid w:val="003A4FFE"/>
    <w:rsid w:val="003A51BE"/>
    <w:rsid w:val="003A526E"/>
    <w:rsid w:val="003A539C"/>
    <w:rsid w:val="003A53E6"/>
    <w:rsid w:val="003A5411"/>
    <w:rsid w:val="003A556A"/>
    <w:rsid w:val="003A5636"/>
    <w:rsid w:val="003A5699"/>
    <w:rsid w:val="003A5763"/>
    <w:rsid w:val="003A57EE"/>
    <w:rsid w:val="003A5813"/>
    <w:rsid w:val="003A58BF"/>
    <w:rsid w:val="003A5AEA"/>
    <w:rsid w:val="003A5B87"/>
    <w:rsid w:val="003A5C62"/>
    <w:rsid w:val="003A5D4D"/>
    <w:rsid w:val="003A5F66"/>
    <w:rsid w:val="003A5FD0"/>
    <w:rsid w:val="003A614D"/>
    <w:rsid w:val="003A6391"/>
    <w:rsid w:val="003A6493"/>
    <w:rsid w:val="003A67DE"/>
    <w:rsid w:val="003A6A86"/>
    <w:rsid w:val="003A6C21"/>
    <w:rsid w:val="003A6CE1"/>
    <w:rsid w:val="003A6DE8"/>
    <w:rsid w:val="003A6E86"/>
    <w:rsid w:val="003A718C"/>
    <w:rsid w:val="003A719A"/>
    <w:rsid w:val="003A7472"/>
    <w:rsid w:val="003A749D"/>
    <w:rsid w:val="003A7755"/>
    <w:rsid w:val="003A7B61"/>
    <w:rsid w:val="003A7BD8"/>
    <w:rsid w:val="003A7BFC"/>
    <w:rsid w:val="003A7D7E"/>
    <w:rsid w:val="003A7E0C"/>
    <w:rsid w:val="003A7F53"/>
    <w:rsid w:val="003B05B3"/>
    <w:rsid w:val="003B0602"/>
    <w:rsid w:val="003B0751"/>
    <w:rsid w:val="003B0955"/>
    <w:rsid w:val="003B0977"/>
    <w:rsid w:val="003B0A9B"/>
    <w:rsid w:val="003B0CB9"/>
    <w:rsid w:val="003B112E"/>
    <w:rsid w:val="003B138B"/>
    <w:rsid w:val="003B1426"/>
    <w:rsid w:val="003B15D1"/>
    <w:rsid w:val="003B1811"/>
    <w:rsid w:val="003B192C"/>
    <w:rsid w:val="003B1932"/>
    <w:rsid w:val="003B1C0E"/>
    <w:rsid w:val="003B1D28"/>
    <w:rsid w:val="003B1E42"/>
    <w:rsid w:val="003B21C2"/>
    <w:rsid w:val="003B2212"/>
    <w:rsid w:val="003B2415"/>
    <w:rsid w:val="003B2432"/>
    <w:rsid w:val="003B296A"/>
    <w:rsid w:val="003B2994"/>
    <w:rsid w:val="003B29EA"/>
    <w:rsid w:val="003B29FA"/>
    <w:rsid w:val="003B2AE9"/>
    <w:rsid w:val="003B2BB6"/>
    <w:rsid w:val="003B2DDD"/>
    <w:rsid w:val="003B2F80"/>
    <w:rsid w:val="003B3197"/>
    <w:rsid w:val="003B3225"/>
    <w:rsid w:val="003B329B"/>
    <w:rsid w:val="003B3455"/>
    <w:rsid w:val="003B37A0"/>
    <w:rsid w:val="003B3920"/>
    <w:rsid w:val="003B39C9"/>
    <w:rsid w:val="003B39DD"/>
    <w:rsid w:val="003B3C7E"/>
    <w:rsid w:val="003B3C81"/>
    <w:rsid w:val="003B3CCB"/>
    <w:rsid w:val="003B3CE8"/>
    <w:rsid w:val="003B3D15"/>
    <w:rsid w:val="003B3DDA"/>
    <w:rsid w:val="003B3E1F"/>
    <w:rsid w:val="003B3F3D"/>
    <w:rsid w:val="003B3F72"/>
    <w:rsid w:val="003B40BB"/>
    <w:rsid w:val="003B412B"/>
    <w:rsid w:val="003B41C1"/>
    <w:rsid w:val="003B43B0"/>
    <w:rsid w:val="003B44D3"/>
    <w:rsid w:val="003B45B9"/>
    <w:rsid w:val="003B49E5"/>
    <w:rsid w:val="003B4A54"/>
    <w:rsid w:val="003B4C56"/>
    <w:rsid w:val="003B4E6C"/>
    <w:rsid w:val="003B4FCF"/>
    <w:rsid w:val="003B53FD"/>
    <w:rsid w:val="003B54A0"/>
    <w:rsid w:val="003B5606"/>
    <w:rsid w:val="003B5619"/>
    <w:rsid w:val="003B5ABB"/>
    <w:rsid w:val="003B5BA2"/>
    <w:rsid w:val="003B602D"/>
    <w:rsid w:val="003B60EC"/>
    <w:rsid w:val="003B6310"/>
    <w:rsid w:val="003B6600"/>
    <w:rsid w:val="003B6651"/>
    <w:rsid w:val="003B68A1"/>
    <w:rsid w:val="003B68C7"/>
    <w:rsid w:val="003B69B3"/>
    <w:rsid w:val="003B69DF"/>
    <w:rsid w:val="003B6B94"/>
    <w:rsid w:val="003B6B9C"/>
    <w:rsid w:val="003B6FBE"/>
    <w:rsid w:val="003B72A4"/>
    <w:rsid w:val="003B73A7"/>
    <w:rsid w:val="003B744F"/>
    <w:rsid w:val="003B749F"/>
    <w:rsid w:val="003B76D7"/>
    <w:rsid w:val="003B793E"/>
    <w:rsid w:val="003B7C55"/>
    <w:rsid w:val="003B7CEF"/>
    <w:rsid w:val="003B7DB1"/>
    <w:rsid w:val="003B7F3B"/>
    <w:rsid w:val="003B7F91"/>
    <w:rsid w:val="003C000D"/>
    <w:rsid w:val="003C0187"/>
    <w:rsid w:val="003C02DC"/>
    <w:rsid w:val="003C046D"/>
    <w:rsid w:val="003C049D"/>
    <w:rsid w:val="003C05C7"/>
    <w:rsid w:val="003C05E1"/>
    <w:rsid w:val="003C07A8"/>
    <w:rsid w:val="003C0842"/>
    <w:rsid w:val="003C0BEB"/>
    <w:rsid w:val="003C0C1E"/>
    <w:rsid w:val="003C0D5E"/>
    <w:rsid w:val="003C0DE9"/>
    <w:rsid w:val="003C1086"/>
    <w:rsid w:val="003C10D7"/>
    <w:rsid w:val="003C11A3"/>
    <w:rsid w:val="003C1275"/>
    <w:rsid w:val="003C1279"/>
    <w:rsid w:val="003C12C3"/>
    <w:rsid w:val="003C150E"/>
    <w:rsid w:val="003C17CD"/>
    <w:rsid w:val="003C1A46"/>
    <w:rsid w:val="003C1A67"/>
    <w:rsid w:val="003C1A82"/>
    <w:rsid w:val="003C1BD6"/>
    <w:rsid w:val="003C1D59"/>
    <w:rsid w:val="003C1DA4"/>
    <w:rsid w:val="003C220D"/>
    <w:rsid w:val="003C22B7"/>
    <w:rsid w:val="003C22FC"/>
    <w:rsid w:val="003C23DB"/>
    <w:rsid w:val="003C23FA"/>
    <w:rsid w:val="003C2567"/>
    <w:rsid w:val="003C25E8"/>
    <w:rsid w:val="003C2748"/>
    <w:rsid w:val="003C2770"/>
    <w:rsid w:val="003C27B4"/>
    <w:rsid w:val="003C2C41"/>
    <w:rsid w:val="003C2C9C"/>
    <w:rsid w:val="003C2F50"/>
    <w:rsid w:val="003C302A"/>
    <w:rsid w:val="003C3230"/>
    <w:rsid w:val="003C33A7"/>
    <w:rsid w:val="003C350F"/>
    <w:rsid w:val="003C351F"/>
    <w:rsid w:val="003C358D"/>
    <w:rsid w:val="003C366A"/>
    <w:rsid w:val="003C3707"/>
    <w:rsid w:val="003C3725"/>
    <w:rsid w:val="003C389F"/>
    <w:rsid w:val="003C3A8F"/>
    <w:rsid w:val="003C3ABB"/>
    <w:rsid w:val="003C3BE2"/>
    <w:rsid w:val="003C3E42"/>
    <w:rsid w:val="003C3F55"/>
    <w:rsid w:val="003C3FA2"/>
    <w:rsid w:val="003C4024"/>
    <w:rsid w:val="003C4576"/>
    <w:rsid w:val="003C458A"/>
    <w:rsid w:val="003C4C31"/>
    <w:rsid w:val="003C4D09"/>
    <w:rsid w:val="003C4D0C"/>
    <w:rsid w:val="003C4D24"/>
    <w:rsid w:val="003C4E1C"/>
    <w:rsid w:val="003C4F3E"/>
    <w:rsid w:val="003C4FED"/>
    <w:rsid w:val="003C511C"/>
    <w:rsid w:val="003C516A"/>
    <w:rsid w:val="003C5474"/>
    <w:rsid w:val="003C5605"/>
    <w:rsid w:val="003C5671"/>
    <w:rsid w:val="003C567F"/>
    <w:rsid w:val="003C571C"/>
    <w:rsid w:val="003C59DF"/>
    <w:rsid w:val="003C5A8C"/>
    <w:rsid w:val="003C5C7F"/>
    <w:rsid w:val="003C5CF2"/>
    <w:rsid w:val="003C5D7D"/>
    <w:rsid w:val="003C6081"/>
    <w:rsid w:val="003C62B5"/>
    <w:rsid w:val="003C63B8"/>
    <w:rsid w:val="003C64FD"/>
    <w:rsid w:val="003C6836"/>
    <w:rsid w:val="003C69BD"/>
    <w:rsid w:val="003C6CC1"/>
    <w:rsid w:val="003C6D59"/>
    <w:rsid w:val="003C6D97"/>
    <w:rsid w:val="003C6E89"/>
    <w:rsid w:val="003C6F03"/>
    <w:rsid w:val="003C709A"/>
    <w:rsid w:val="003C7176"/>
    <w:rsid w:val="003C72B2"/>
    <w:rsid w:val="003C73D9"/>
    <w:rsid w:val="003C752E"/>
    <w:rsid w:val="003C771C"/>
    <w:rsid w:val="003C77E5"/>
    <w:rsid w:val="003C78C1"/>
    <w:rsid w:val="003C7905"/>
    <w:rsid w:val="003C7DC1"/>
    <w:rsid w:val="003C7EC3"/>
    <w:rsid w:val="003C7ECF"/>
    <w:rsid w:val="003C7F88"/>
    <w:rsid w:val="003D0133"/>
    <w:rsid w:val="003D013C"/>
    <w:rsid w:val="003D0151"/>
    <w:rsid w:val="003D0395"/>
    <w:rsid w:val="003D0522"/>
    <w:rsid w:val="003D0AEB"/>
    <w:rsid w:val="003D0BA7"/>
    <w:rsid w:val="003D0D7A"/>
    <w:rsid w:val="003D0F4D"/>
    <w:rsid w:val="003D11BF"/>
    <w:rsid w:val="003D13E6"/>
    <w:rsid w:val="003D1716"/>
    <w:rsid w:val="003D181A"/>
    <w:rsid w:val="003D181C"/>
    <w:rsid w:val="003D185B"/>
    <w:rsid w:val="003D190C"/>
    <w:rsid w:val="003D195A"/>
    <w:rsid w:val="003D19CD"/>
    <w:rsid w:val="003D1AF0"/>
    <w:rsid w:val="003D1B45"/>
    <w:rsid w:val="003D1C8D"/>
    <w:rsid w:val="003D1CA5"/>
    <w:rsid w:val="003D1CDE"/>
    <w:rsid w:val="003D1D34"/>
    <w:rsid w:val="003D1E8A"/>
    <w:rsid w:val="003D1E99"/>
    <w:rsid w:val="003D1F49"/>
    <w:rsid w:val="003D20E4"/>
    <w:rsid w:val="003D2206"/>
    <w:rsid w:val="003D2280"/>
    <w:rsid w:val="003D2406"/>
    <w:rsid w:val="003D24B3"/>
    <w:rsid w:val="003D281D"/>
    <w:rsid w:val="003D283E"/>
    <w:rsid w:val="003D2850"/>
    <w:rsid w:val="003D2A50"/>
    <w:rsid w:val="003D2D8D"/>
    <w:rsid w:val="003D2DEE"/>
    <w:rsid w:val="003D2F7E"/>
    <w:rsid w:val="003D3116"/>
    <w:rsid w:val="003D31F0"/>
    <w:rsid w:val="003D3236"/>
    <w:rsid w:val="003D332D"/>
    <w:rsid w:val="003D33EF"/>
    <w:rsid w:val="003D34E2"/>
    <w:rsid w:val="003D3763"/>
    <w:rsid w:val="003D37EC"/>
    <w:rsid w:val="003D38C1"/>
    <w:rsid w:val="003D39EE"/>
    <w:rsid w:val="003D3D52"/>
    <w:rsid w:val="003D424C"/>
    <w:rsid w:val="003D499C"/>
    <w:rsid w:val="003D4AD6"/>
    <w:rsid w:val="003D4D4D"/>
    <w:rsid w:val="003D4E5B"/>
    <w:rsid w:val="003D4F51"/>
    <w:rsid w:val="003D4F62"/>
    <w:rsid w:val="003D4F6C"/>
    <w:rsid w:val="003D4FD3"/>
    <w:rsid w:val="003D5002"/>
    <w:rsid w:val="003D501B"/>
    <w:rsid w:val="003D5356"/>
    <w:rsid w:val="003D54CA"/>
    <w:rsid w:val="003D561B"/>
    <w:rsid w:val="003D5888"/>
    <w:rsid w:val="003D5918"/>
    <w:rsid w:val="003D5B76"/>
    <w:rsid w:val="003D5C98"/>
    <w:rsid w:val="003D5F2B"/>
    <w:rsid w:val="003D5F79"/>
    <w:rsid w:val="003D5FA0"/>
    <w:rsid w:val="003D60F6"/>
    <w:rsid w:val="003D62AF"/>
    <w:rsid w:val="003D6364"/>
    <w:rsid w:val="003D64F1"/>
    <w:rsid w:val="003D6630"/>
    <w:rsid w:val="003D6725"/>
    <w:rsid w:val="003D6C62"/>
    <w:rsid w:val="003D6D79"/>
    <w:rsid w:val="003D70E2"/>
    <w:rsid w:val="003D7120"/>
    <w:rsid w:val="003D7143"/>
    <w:rsid w:val="003D72D7"/>
    <w:rsid w:val="003D748F"/>
    <w:rsid w:val="003D7553"/>
    <w:rsid w:val="003D78E1"/>
    <w:rsid w:val="003D7909"/>
    <w:rsid w:val="003D7958"/>
    <w:rsid w:val="003D7AEC"/>
    <w:rsid w:val="003D7CE1"/>
    <w:rsid w:val="003D7D82"/>
    <w:rsid w:val="003D7E96"/>
    <w:rsid w:val="003D7EDE"/>
    <w:rsid w:val="003E03C3"/>
    <w:rsid w:val="003E0424"/>
    <w:rsid w:val="003E0623"/>
    <w:rsid w:val="003E0636"/>
    <w:rsid w:val="003E0809"/>
    <w:rsid w:val="003E08A7"/>
    <w:rsid w:val="003E0A70"/>
    <w:rsid w:val="003E0AE3"/>
    <w:rsid w:val="003E0B06"/>
    <w:rsid w:val="003E0D67"/>
    <w:rsid w:val="003E0DB0"/>
    <w:rsid w:val="003E102B"/>
    <w:rsid w:val="003E103D"/>
    <w:rsid w:val="003E10C2"/>
    <w:rsid w:val="003E122C"/>
    <w:rsid w:val="003E152B"/>
    <w:rsid w:val="003E156A"/>
    <w:rsid w:val="003E156D"/>
    <w:rsid w:val="003E15CC"/>
    <w:rsid w:val="003E160B"/>
    <w:rsid w:val="003E1776"/>
    <w:rsid w:val="003E1873"/>
    <w:rsid w:val="003E1C56"/>
    <w:rsid w:val="003E1ECB"/>
    <w:rsid w:val="003E2087"/>
    <w:rsid w:val="003E2246"/>
    <w:rsid w:val="003E25EF"/>
    <w:rsid w:val="003E275F"/>
    <w:rsid w:val="003E27BF"/>
    <w:rsid w:val="003E286E"/>
    <w:rsid w:val="003E2A05"/>
    <w:rsid w:val="003E2B36"/>
    <w:rsid w:val="003E2B96"/>
    <w:rsid w:val="003E2CF4"/>
    <w:rsid w:val="003E2D4A"/>
    <w:rsid w:val="003E2E98"/>
    <w:rsid w:val="003E2EA4"/>
    <w:rsid w:val="003E2EE4"/>
    <w:rsid w:val="003E3382"/>
    <w:rsid w:val="003E3603"/>
    <w:rsid w:val="003E36C2"/>
    <w:rsid w:val="003E3712"/>
    <w:rsid w:val="003E38C4"/>
    <w:rsid w:val="003E3BD0"/>
    <w:rsid w:val="003E3C75"/>
    <w:rsid w:val="003E3E6B"/>
    <w:rsid w:val="003E424E"/>
    <w:rsid w:val="003E4267"/>
    <w:rsid w:val="003E4340"/>
    <w:rsid w:val="003E4749"/>
    <w:rsid w:val="003E47C7"/>
    <w:rsid w:val="003E4892"/>
    <w:rsid w:val="003E4F94"/>
    <w:rsid w:val="003E4FEA"/>
    <w:rsid w:val="003E5120"/>
    <w:rsid w:val="003E5168"/>
    <w:rsid w:val="003E5799"/>
    <w:rsid w:val="003E57BC"/>
    <w:rsid w:val="003E5929"/>
    <w:rsid w:val="003E5AD5"/>
    <w:rsid w:val="003E5AE6"/>
    <w:rsid w:val="003E5DBA"/>
    <w:rsid w:val="003E5E4C"/>
    <w:rsid w:val="003E6254"/>
    <w:rsid w:val="003E62A1"/>
    <w:rsid w:val="003E6359"/>
    <w:rsid w:val="003E6411"/>
    <w:rsid w:val="003E6780"/>
    <w:rsid w:val="003E67AD"/>
    <w:rsid w:val="003E69D0"/>
    <w:rsid w:val="003E6ABF"/>
    <w:rsid w:val="003E6B0A"/>
    <w:rsid w:val="003E6D61"/>
    <w:rsid w:val="003E6D8A"/>
    <w:rsid w:val="003E6E0A"/>
    <w:rsid w:val="003E7170"/>
    <w:rsid w:val="003E71CF"/>
    <w:rsid w:val="003E731A"/>
    <w:rsid w:val="003E732D"/>
    <w:rsid w:val="003E745A"/>
    <w:rsid w:val="003E745F"/>
    <w:rsid w:val="003E7494"/>
    <w:rsid w:val="003E762D"/>
    <w:rsid w:val="003E7692"/>
    <w:rsid w:val="003E7B68"/>
    <w:rsid w:val="003E7B86"/>
    <w:rsid w:val="003E7C36"/>
    <w:rsid w:val="003E7CAA"/>
    <w:rsid w:val="003E7CB3"/>
    <w:rsid w:val="003F02AF"/>
    <w:rsid w:val="003F033C"/>
    <w:rsid w:val="003F03CC"/>
    <w:rsid w:val="003F03CF"/>
    <w:rsid w:val="003F0545"/>
    <w:rsid w:val="003F05A1"/>
    <w:rsid w:val="003F06AB"/>
    <w:rsid w:val="003F0927"/>
    <w:rsid w:val="003F09C9"/>
    <w:rsid w:val="003F0B01"/>
    <w:rsid w:val="003F0BC5"/>
    <w:rsid w:val="003F0C98"/>
    <w:rsid w:val="003F0CB2"/>
    <w:rsid w:val="003F0EFA"/>
    <w:rsid w:val="003F103E"/>
    <w:rsid w:val="003F11FE"/>
    <w:rsid w:val="003F14BC"/>
    <w:rsid w:val="003F18B5"/>
    <w:rsid w:val="003F1901"/>
    <w:rsid w:val="003F1A46"/>
    <w:rsid w:val="003F1A52"/>
    <w:rsid w:val="003F1AFC"/>
    <w:rsid w:val="003F1D66"/>
    <w:rsid w:val="003F1E0C"/>
    <w:rsid w:val="003F20B7"/>
    <w:rsid w:val="003F23EF"/>
    <w:rsid w:val="003F245E"/>
    <w:rsid w:val="003F2629"/>
    <w:rsid w:val="003F2773"/>
    <w:rsid w:val="003F2889"/>
    <w:rsid w:val="003F2BB8"/>
    <w:rsid w:val="003F2BD4"/>
    <w:rsid w:val="003F2D3C"/>
    <w:rsid w:val="003F2D64"/>
    <w:rsid w:val="003F3001"/>
    <w:rsid w:val="003F3027"/>
    <w:rsid w:val="003F3229"/>
    <w:rsid w:val="003F3288"/>
    <w:rsid w:val="003F32F4"/>
    <w:rsid w:val="003F33A9"/>
    <w:rsid w:val="003F33B8"/>
    <w:rsid w:val="003F35B2"/>
    <w:rsid w:val="003F35CC"/>
    <w:rsid w:val="003F364E"/>
    <w:rsid w:val="003F3666"/>
    <w:rsid w:val="003F39EA"/>
    <w:rsid w:val="003F3B2B"/>
    <w:rsid w:val="003F3B33"/>
    <w:rsid w:val="003F3B99"/>
    <w:rsid w:val="003F3C53"/>
    <w:rsid w:val="003F3CC8"/>
    <w:rsid w:val="003F3D3D"/>
    <w:rsid w:val="003F406E"/>
    <w:rsid w:val="003F41E9"/>
    <w:rsid w:val="003F4218"/>
    <w:rsid w:val="003F4337"/>
    <w:rsid w:val="003F4381"/>
    <w:rsid w:val="003F469F"/>
    <w:rsid w:val="003F4761"/>
    <w:rsid w:val="003F4843"/>
    <w:rsid w:val="003F4866"/>
    <w:rsid w:val="003F4A4E"/>
    <w:rsid w:val="003F4B08"/>
    <w:rsid w:val="003F4EC3"/>
    <w:rsid w:val="003F4ED3"/>
    <w:rsid w:val="003F527E"/>
    <w:rsid w:val="003F5498"/>
    <w:rsid w:val="003F55F9"/>
    <w:rsid w:val="003F59BD"/>
    <w:rsid w:val="003F5D03"/>
    <w:rsid w:val="003F5D5B"/>
    <w:rsid w:val="003F5EC5"/>
    <w:rsid w:val="003F5F48"/>
    <w:rsid w:val="003F5F9F"/>
    <w:rsid w:val="003F6100"/>
    <w:rsid w:val="003F61B5"/>
    <w:rsid w:val="003F633A"/>
    <w:rsid w:val="003F6400"/>
    <w:rsid w:val="003F642A"/>
    <w:rsid w:val="003F6453"/>
    <w:rsid w:val="003F6563"/>
    <w:rsid w:val="003F6572"/>
    <w:rsid w:val="003F66B7"/>
    <w:rsid w:val="003F69C2"/>
    <w:rsid w:val="003F69EC"/>
    <w:rsid w:val="003F6AEE"/>
    <w:rsid w:val="003F6B40"/>
    <w:rsid w:val="003F6C2B"/>
    <w:rsid w:val="003F6FFF"/>
    <w:rsid w:val="003F70EF"/>
    <w:rsid w:val="003F735B"/>
    <w:rsid w:val="003F75A5"/>
    <w:rsid w:val="003F76C4"/>
    <w:rsid w:val="003F77FC"/>
    <w:rsid w:val="003F79D8"/>
    <w:rsid w:val="003F7B81"/>
    <w:rsid w:val="003F7F0E"/>
    <w:rsid w:val="003F7F56"/>
    <w:rsid w:val="0040025D"/>
    <w:rsid w:val="0040037D"/>
    <w:rsid w:val="0040043B"/>
    <w:rsid w:val="004004B9"/>
    <w:rsid w:val="004004EC"/>
    <w:rsid w:val="00400585"/>
    <w:rsid w:val="004009EC"/>
    <w:rsid w:val="00401008"/>
    <w:rsid w:val="00401132"/>
    <w:rsid w:val="0040113A"/>
    <w:rsid w:val="00401192"/>
    <w:rsid w:val="004011AC"/>
    <w:rsid w:val="004012A1"/>
    <w:rsid w:val="004012EA"/>
    <w:rsid w:val="00401304"/>
    <w:rsid w:val="00401358"/>
    <w:rsid w:val="004013C9"/>
    <w:rsid w:val="00401A55"/>
    <w:rsid w:val="00401B43"/>
    <w:rsid w:val="00401C10"/>
    <w:rsid w:val="00401E79"/>
    <w:rsid w:val="00401E9A"/>
    <w:rsid w:val="00402065"/>
    <w:rsid w:val="00402187"/>
    <w:rsid w:val="004021C0"/>
    <w:rsid w:val="004022D5"/>
    <w:rsid w:val="0040232B"/>
    <w:rsid w:val="0040246C"/>
    <w:rsid w:val="0040249F"/>
    <w:rsid w:val="00402603"/>
    <w:rsid w:val="0040269B"/>
    <w:rsid w:val="0040287B"/>
    <w:rsid w:val="004028B9"/>
    <w:rsid w:val="004028BE"/>
    <w:rsid w:val="004028F7"/>
    <w:rsid w:val="00402956"/>
    <w:rsid w:val="00402C8E"/>
    <w:rsid w:val="00402D3C"/>
    <w:rsid w:val="00402F3A"/>
    <w:rsid w:val="00403218"/>
    <w:rsid w:val="00403301"/>
    <w:rsid w:val="00403328"/>
    <w:rsid w:val="004033B8"/>
    <w:rsid w:val="004033D6"/>
    <w:rsid w:val="0040347E"/>
    <w:rsid w:val="0040355C"/>
    <w:rsid w:val="004035C2"/>
    <w:rsid w:val="004038FB"/>
    <w:rsid w:val="00403B04"/>
    <w:rsid w:val="00403DC1"/>
    <w:rsid w:val="00403DFF"/>
    <w:rsid w:val="0040412D"/>
    <w:rsid w:val="004041F7"/>
    <w:rsid w:val="004042DE"/>
    <w:rsid w:val="004044C6"/>
    <w:rsid w:val="00404583"/>
    <w:rsid w:val="004046CB"/>
    <w:rsid w:val="00404910"/>
    <w:rsid w:val="0040491A"/>
    <w:rsid w:val="004049F2"/>
    <w:rsid w:val="00404E29"/>
    <w:rsid w:val="00404E3B"/>
    <w:rsid w:val="00404F9E"/>
    <w:rsid w:val="00404FBD"/>
    <w:rsid w:val="00405080"/>
    <w:rsid w:val="0040528B"/>
    <w:rsid w:val="004052FE"/>
    <w:rsid w:val="004053C8"/>
    <w:rsid w:val="0040569B"/>
    <w:rsid w:val="00405778"/>
    <w:rsid w:val="004058FC"/>
    <w:rsid w:val="00405ACF"/>
    <w:rsid w:val="00405B6A"/>
    <w:rsid w:val="00405B91"/>
    <w:rsid w:val="00405C63"/>
    <w:rsid w:val="00405D27"/>
    <w:rsid w:val="00405D5F"/>
    <w:rsid w:val="00405DD1"/>
    <w:rsid w:val="00405E04"/>
    <w:rsid w:val="00405E38"/>
    <w:rsid w:val="00405EE7"/>
    <w:rsid w:val="00405FD7"/>
    <w:rsid w:val="0040623E"/>
    <w:rsid w:val="004064F2"/>
    <w:rsid w:val="00406671"/>
    <w:rsid w:val="004066A8"/>
    <w:rsid w:val="004066C4"/>
    <w:rsid w:val="004066D0"/>
    <w:rsid w:val="004066DC"/>
    <w:rsid w:val="00406744"/>
    <w:rsid w:val="00406A6E"/>
    <w:rsid w:val="00406AF5"/>
    <w:rsid w:val="00406DB3"/>
    <w:rsid w:val="00406E6C"/>
    <w:rsid w:val="00406FB6"/>
    <w:rsid w:val="0040705F"/>
    <w:rsid w:val="0040714F"/>
    <w:rsid w:val="00407214"/>
    <w:rsid w:val="0040748E"/>
    <w:rsid w:val="00407671"/>
    <w:rsid w:val="004076C9"/>
    <w:rsid w:val="004077E6"/>
    <w:rsid w:val="00407B26"/>
    <w:rsid w:val="00407BD4"/>
    <w:rsid w:val="00407C88"/>
    <w:rsid w:val="00407EF7"/>
    <w:rsid w:val="00407F5C"/>
    <w:rsid w:val="00407FC8"/>
    <w:rsid w:val="00410048"/>
    <w:rsid w:val="004104C7"/>
    <w:rsid w:val="004105AB"/>
    <w:rsid w:val="004105BD"/>
    <w:rsid w:val="0041061A"/>
    <w:rsid w:val="00410653"/>
    <w:rsid w:val="004106CB"/>
    <w:rsid w:val="0041070B"/>
    <w:rsid w:val="004109B0"/>
    <w:rsid w:val="00410A13"/>
    <w:rsid w:val="00410B78"/>
    <w:rsid w:val="00410C45"/>
    <w:rsid w:val="00410CA7"/>
    <w:rsid w:val="00410E04"/>
    <w:rsid w:val="00410EA2"/>
    <w:rsid w:val="00410EE2"/>
    <w:rsid w:val="00411016"/>
    <w:rsid w:val="00411117"/>
    <w:rsid w:val="004112E0"/>
    <w:rsid w:val="00411345"/>
    <w:rsid w:val="0041139E"/>
    <w:rsid w:val="0041196D"/>
    <w:rsid w:val="004119D4"/>
    <w:rsid w:val="0041212D"/>
    <w:rsid w:val="00412316"/>
    <w:rsid w:val="0041231B"/>
    <w:rsid w:val="004123D4"/>
    <w:rsid w:val="00412567"/>
    <w:rsid w:val="004125A8"/>
    <w:rsid w:val="004125DA"/>
    <w:rsid w:val="004125E8"/>
    <w:rsid w:val="00412837"/>
    <w:rsid w:val="004128DC"/>
    <w:rsid w:val="00412B43"/>
    <w:rsid w:val="00412CF4"/>
    <w:rsid w:val="00412D21"/>
    <w:rsid w:val="004133B0"/>
    <w:rsid w:val="004135BF"/>
    <w:rsid w:val="004136E3"/>
    <w:rsid w:val="00413795"/>
    <w:rsid w:val="004139D6"/>
    <w:rsid w:val="00413A76"/>
    <w:rsid w:val="00413C7C"/>
    <w:rsid w:val="00413DB0"/>
    <w:rsid w:val="00413FD4"/>
    <w:rsid w:val="004141A2"/>
    <w:rsid w:val="0041421C"/>
    <w:rsid w:val="004143BF"/>
    <w:rsid w:val="00414427"/>
    <w:rsid w:val="00414486"/>
    <w:rsid w:val="00414490"/>
    <w:rsid w:val="0041450A"/>
    <w:rsid w:val="00414648"/>
    <w:rsid w:val="004146ED"/>
    <w:rsid w:val="004147D3"/>
    <w:rsid w:val="00414836"/>
    <w:rsid w:val="004148A1"/>
    <w:rsid w:val="0041492E"/>
    <w:rsid w:val="00414BEF"/>
    <w:rsid w:val="00414CAC"/>
    <w:rsid w:val="00414CB7"/>
    <w:rsid w:val="00414DE8"/>
    <w:rsid w:val="00414E8B"/>
    <w:rsid w:val="00414F67"/>
    <w:rsid w:val="00414FEA"/>
    <w:rsid w:val="00415194"/>
    <w:rsid w:val="0041524F"/>
    <w:rsid w:val="004154FB"/>
    <w:rsid w:val="0041559F"/>
    <w:rsid w:val="00415712"/>
    <w:rsid w:val="00415714"/>
    <w:rsid w:val="00415797"/>
    <w:rsid w:val="00415987"/>
    <w:rsid w:val="0041598B"/>
    <w:rsid w:val="00415ABD"/>
    <w:rsid w:val="00415C5E"/>
    <w:rsid w:val="00415FB0"/>
    <w:rsid w:val="00416045"/>
    <w:rsid w:val="004164A4"/>
    <w:rsid w:val="00416548"/>
    <w:rsid w:val="004165C6"/>
    <w:rsid w:val="004166E3"/>
    <w:rsid w:val="00416756"/>
    <w:rsid w:val="00416852"/>
    <w:rsid w:val="00416D99"/>
    <w:rsid w:val="00416EA0"/>
    <w:rsid w:val="00416EB9"/>
    <w:rsid w:val="00417051"/>
    <w:rsid w:val="0041705A"/>
    <w:rsid w:val="004170BA"/>
    <w:rsid w:val="0041769D"/>
    <w:rsid w:val="00417757"/>
    <w:rsid w:val="00417887"/>
    <w:rsid w:val="004178E8"/>
    <w:rsid w:val="00417940"/>
    <w:rsid w:val="0041799F"/>
    <w:rsid w:val="00417B02"/>
    <w:rsid w:val="00417F5E"/>
    <w:rsid w:val="00417F6F"/>
    <w:rsid w:val="004200A6"/>
    <w:rsid w:val="004201C3"/>
    <w:rsid w:val="004201F8"/>
    <w:rsid w:val="0042048F"/>
    <w:rsid w:val="00420617"/>
    <w:rsid w:val="00420801"/>
    <w:rsid w:val="004208EC"/>
    <w:rsid w:val="00420A84"/>
    <w:rsid w:val="00420B4A"/>
    <w:rsid w:val="00420C42"/>
    <w:rsid w:val="00420D5B"/>
    <w:rsid w:val="00420D73"/>
    <w:rsid w:val="00420D8D"/>
    <w:rsid w:val="00420E29"/>
    <w:rsid w:val="00420E8C"/>
    <w:rsid w:val="00420EF7"/>
    <w:rsid w:val="00420F4C"/>
    <w:rsid w:val="00420FB2"/>
    <w:rsid w:val="004210AD"/>
    <w:rsid w:val="0042112E"/>
    <w:rsid w:val="004211E7"/>
    <w:rsid w:val="004214BF"/>
    <w:rsid w:val="004214EA"/>
    <w:rsid w:val="00421841"/>
    <w:rsid w:val="00421922"/>
    <w:rsid w:val="00421EB5"/>
    <w:rsid w:val="00422157"/>
    <w:rsid w:val="0042259D"/>
    <w:rsid w:val="004229B6"/>
    <w:rsid w:val="00422B5C"/>
    <w:rsid w:val="00422BBB"/>
    <w:rsid w:val="00422DCC"/>
    <w:rsid w:val="004230DA"/>
    <w:rsid w:val="00423233"/>
    <w:rsid w:val="0042325E"/>
    <w:rsid w:val="00423323"/>
    <w:rsid w:val="00423560"/>
    <w:rsid w:val="004237B3"/>
    <w:rsid w:val="004238B9"/>
    <w:rsid w:val="0042397C"/>
    <w:rsid w:val="00423B1E"/>
    <w:rsid w:val="00423C88"/>
    <w:rsid w:val="00423D71"/>
    <w:rsid w:val="00423FA2"/>
    <w:rsid w:val="004241E3"/>
    <w:rsid w:val="0042421A"/>
    <w:rsid w:val="00424446"/>
    <w:rsid w:val="00424639"/>
    <w:rsid w:val="0042479F"/>
    <w:rsid w:val="004247A1"/>
    <w:rsid w:val="004247AE"/>
    <w:rsid w:val="00424823"/>
    <w:rsid w:val="00424877"/>
    <w:rsid w:val="004249F2"/>
    <w:rsid w:val="00424AC0"/>
    <w:rsid w:val="00424D0D"/>
    <w:rsid w:val="00424EB6"/>
    <w:rsid w:val="00424FCC"/>
    <w:rsid w:val="00424FDD"/>
    <w:rsid w:val="0042538A"/>
    <w:rsid w:val="004254DC"/>
    <w:rsid w:val="00425684"/>
    <w:rsid w:val="004256C8"/>
    <w:rsid w:val="0042585F"/>
    <w:rsid w:val="0042589A"/>
    <w:rsid w:val="00425C6D"/>
    <w:rsid w:val="00425CA5"/>
    <w:rsid w:val="0042606D"/>
    <w:rsid w:val="00426157"/>
    <w:rsid w:val="00426298"/>
    <w:rsid w:val="004263AF"/>
    <w:rsid w:val="004263BA"/>
    <w:rsid w:val="0042668C"/>
    <w:rsid w:val="004266E6"/>
    <w:rsid w:val="00426828"/>
    <w:rsid w:val="00426AD2"/>
    <w:rsid w:val="00426B0B"/>
    <w:rsid w:val="00426FAC"/>
    <w:rsid w:val="0042713E"/>
    <w:rsid w:val="00427274"/>
    <w:rsid w:val="00427302"/>
    <w:rsid w:val="00427592"/>
    <w:rsid w:val="00427689"/>
    <w:rsid w:val="00427703"/>
    <w:rsid w:val="0042772B"/>
    <w:rsid w:val="004277F9"/>
    <w:rsid w:val="00427AE0"/>
    <w:rsid w:val="00427B50"/>
    <w:rsid w:val="004300F3"/>
    <w:rsid w:val="00430114"/>
    <w:rsid w:val="004301BA"/>
    <w:rsid w:val="0043028B"/>
    <w:rsid w:val="0043036B"/>
    <w:rsid w:val="004303B6"/>
    <w:rsid w:val="004303E9"/>
    <w:rsid w:val="0043042A"/>
    <w:rsid w:val="004306BD"/>
    <w:rsid w:val="004306E5"/>
    <w:rsid w:val="00430743"/>
    <w:rsid w:val="0043077B"/>
    <w:rsid w:val="004307BC"/>
    <w:rsid w:val="004307F3"/>
    <w:rsid w:val="00430A0F"/>
    <w:rsid w:val="00430D1A"/>
    <w:rsid w:val="00430D4B"/>
    <w:rsid w:val="00430DD2"/>
    <w:rsid w:val="00430EFF"/>
    <w:rsid w:val="00430F94"/>
    <w:rsid w:val="00431047"/>
    <w:rsid w:val="00431223"/>
    <w:rsid w:val="00431247"/>
    <w:rsid w:val="004313F9"/>
    <w:rsid w:val="004316A9"/>
    <w:rsid w:val="00431753"/>
    <w:rsid w:val="004317C6"/>
    <w:rsid w:val="0043188F"/>
    <w:rsid w:val="00431A2E"/>
    <w:rsid w:val="00431ABD"/>
    <w:rsid w:val="00431B0D"/>
    <w:rsid w:val="00431D84"/>
    <w:rsid w:val="00432071"/>
    <w:rsid w:val="00432111"/>
    <w:rsid w:val="00432307"/>
    <w:rsid w:val="004323CF"/>
    <w:rsid w:val="00432477"/>
    <w:rsid w:val="0043253A"/>
    <w:rsid w:val="00432547"/>
    <w:rsid w:val="004325E6"/>
    <w:rsid w:val="004326B8"/>
    <w:rsid w:val="004327B1"/>
    <w:rsid w:val="00432903"/>
    <w:rsid w:val="00432B78"/>
    <w:rsid w:val="00432CD9"/>
    <w:rsid w:val="00432D30"/>
    <w:rsid w:val="00432DEE"/>
    <w:rsid w:val="00433023"/>
    <w:rsid w:val="00433151"/>
    <w:rsid w:val="00433359"/>
    <w:rsid w:val="00433560"/>
    <w:rsid w:val="004338B9"/>
    <w:rsid w:val="004338CF"/>
    <w:rsid w:val="00433A30"/>
    <w:rsid w:val="00433A88"/>
    <w:rsid w:val="0043426E"/>
    <w:rsid w:val="00434280"/>
    <w:rsid w:val="004342DA"/>
    <w:rsid w:val="0043453C"/>
    <w:rsid w:val="00434585"/>
    <w:rsid w:val="004346C4"/>
    <w:rsid w:val="00434865"/>
    <w:rsid w:val="004348DB"/>
    <w:rsid w:val="004349F0"/>
    <w:rsid w:val="00434A35"/>
    <w:rsid w:val="00434AC1"/>
    <w:rsid w:val="00434B5D"/>
    <w:rsid w:val="00434D8A"/>
    <w:rsid w:val="00435280"/>
    <w:rsid w:val="0043531B"/>
    <w:rsid w:val="004354B9"/>
    <w:rsid w:val="004355C1"/>
    <w:rsid w:val="00435729"/>
    <w:rsid w:val="0043591A"/>
    <w:rsid w:val="00435936"/>
    <w:rsid w:val="00435BF1"/>
    <w:rsid w:val="00435D96"/>
    <w:rsid w:val="00435E5D"/>
    <w:rsid w:val="004360C7"/>
    <w:rsid w:val="0043652D"/>
    <w:rsid w:val="0043669A"/>
    <w:rsid w:val="00436B1C"/>
    <w:rsid w:val="00436B25"/>
    <w:rsid w:val="00436B2A"/>
    <w:rsid w:val="00436B83"/>
    <w:rsid w:val="00436F8B"/>
    <w:rsid w:val="00437036"/>
    <w:rsid w:val="004370E0"/>
    <w:rsid w:val="00437389"/>
    <w:rsid w:val="004373DA"/>
    <w:rsid w:val="0043746C"/>
    <w:rsid w:val="0043763D"/>
    <w:rsid w:val="004377A9"/>
    <w:rsid w:val="00437834"/>
    <w:rsid w:val="004378E1"/>
    <w:rsid w:val="00437AF1"/>
    <w:rsid w:val="00437B04"/>
    <w:rsid w:val="00437BAF"/>
    <w:rsid w:val="00437C4D"/>
    <w:rsid w:val="00437CBA"/>
    <w:rsid w:val="004401AD"/>
    <w:rsid w:val="0044040A"/>
    <w:rsid w:val="0044071F"/>
    <w:rsid w:val="004407F3"/>
    <w:rsid w:val="00440889"/>
    <w:rsid w:val="00440A73"/>
    <w:rsid w:val="00440C03"/>
    <w:rsid w:val="00440DAB"/>
    <w:rsid w:val="00441168"/>
    <w:rsid w:val="004412B4"/>
    <w:rsid w:val="0044130A"/>
    <w:rsid w:val="0044133D"/>
    <w:rsid w:val="00441486"/>
    <w:rsid w:val="004414AC"/>
    <w:rsid w:val="00441694"/>
    <w:rsid w:val="0044176B"/>
    <w:rsid w:val="004418E0"/>
    <w:rsid w:val="0044191B"/>
    <w:rsid w:val="00441D0C"/>
    <w:rsid w:val="00441D9F"/>
    <w:rsid w:val="00442062"/>
    <w:rsid w:val="0044216C"/>
    <w:rsid w:val="00442248"/>
    <w:rsid w:val="00442281"/>
    <w:rsid w:val="00442288"/>
    <w:rsid w:val="00442348"/>
    <w:rsid w:val="00442A07"/>
    <w:rsid w:val="00442D31"/>
    <w:rsid w:val="00442FCA"/>
    <w:rsid w:val="0044313F"/>
    <w:rsid w:val="00443294"/>
    <w:rsid w:val="0044346A"/>
    <w:rsid w:val="00443566"/>
    <w:rsid w:val="004437EF"/>
    <w:rsid w:val="004438E0"/>
    <w:rsid w:val="0044390A"/>
    <w:rsid w:val="0044395A"/>
    <w:rsid w:val="00443A49"/>
    <w:rsid w:val="00443B46"/>
    <w:rsid w:val="00443E19"/>
    <w:rsid w:val="00443EF3"/>
    <w:rsid w:val="00443FBA"/>
    <w:rsid w:val="0044405A"/>
    <w:rsid w:val="004440B5"/>
    <w:rsid w:val="00444279"/>
    <w:rsid w:val="004442E3"/>
    <w:rsid w:val="004442F7"/>
    <w:rsid w:val="004443D1"/>
    <w:rsid w:val="00444590"/>
    <w:rsid w:val="004445B8"/>
    <w:rsid w:val="00444672"/>
    <w:rsid w:val="00444989"/>
    <w:rsid w:val="004449C7"/>
    <w:rsid w:val="00444A80"/>
    <w:rsid w:val="00444BF2"/>
    <w:rsid w:val="00444CB3"/>
    <w:rsid w:val="00444CC4"/>
    <w:rsid w:val="00444F57"/>
    <w:rsid w:val="00445060"/>
    <w:rsid w:val="004451EB"/>
    <w:rsid w:val="0044528C"/>
    <w:rsid w:val="00445458"/>
    <w:rsid w:val="00445526"/>
    <w:rsid w:val="004455A7"/>
    <w:rsid w:val="004456A4"/>
    <w:rsid w:val="004457EA"/>
    <w:rsid w:val="0044580E"/>
    <w:rsid w:val="00445871"/>
    <w:rsid w:val="00445ACB"/>
    <w:rsid w:val="00445C1D"/>
    <w:rsid w:val="00445E1B"/>
    <w:rsid w:val="004461C2"/>
    <w:rsid w:val="004462D5"/>
    <w:rsid w:val="0044632E"/>
    <w:rsid w:val="004463CF"/>
    <w:rsid w:val="00446451"/>
    <w:rsid w:val="004465E9"/>
    <w:rsid w:val="00446693"/>
    <w:rsid w:val="004466E8"/>
    <w:rsid w:val="0044689E"/>
    <w:rsid w:val="004469DE"/>
    <w:rsid w:val="00446A21"/>
    <w:rsid w:val="00446A9E"/>
    <w:rsid w:val="00446E02"/>
    <w:rsid w:val="00446E24"/>
    <w:rsid w:val="00447163"/>
    <w:rsid w:val="004471C9"/>
    <w:rsid w:val="0044724D"/>
    <w:rsid w:val="0044755C"/>
    <w:rsid w:val="004476D2"/>
    <w:rsid w:val="00447872"/>
    <w:rsid w:val="004479FE"/>
    <w:rsid w:val="00447AB9"/>
    <w:rsid w:val="00447B04"/>
    <w:rsid w:val="00447B7F"/>
    <w:rsid w:val="00447C94"/>
    <w:rsid w:val="00447CC1"/>
    <w:rsid w:val="00447DB0"/>
    <w:rsid w:val="00450027"/>
    <w:rsid w:val="004503A3"/>
    <w:rsid w:val="00450443"/>
    <w:rsid w:val="004504B1"/>
    <w:rsid w:val="0045059E"/>
    <w:rsid w:val="004508EE"/>
    <w:rsid w:val="0045094A"/>
    <w:rsid w:val="00450B38"/>
    <w:rsid w:val="00450C53"/>
    <w:rsid w:val="00450C85"/>
    <w:rsid w:val="00450DFA"/>
    <w:rsid w:val="0045112E"/>
    <w:rsid w:val="0045141B"/>
    <w:rsid w:val="004514D0"/>
    <w:rsid w:val="004516C9"/>
    <w:rsid w:val="004517A4"/>
    <w:rsid w:val="004517F9"/>
    <w:rsid w:val="00451A94"/>
    <w:rsid w:val="00451B62"/>
    <w:rsid w:val="00451C26"/>
    <w:rsid w:val="00451C8D"/>
    <w:rsid w:val="004520A2"/>
    <w:rsid w:val="004521EC"/>
    <w:rsid w:val="004522E7"/>
    <w:rsid w:val="004523CD"/>
    <w:rsid w:val="00452426"/>
    <w:rsid w:val="00452456"/>
    <w:rsid w:val="00452475"/>
    <w:rsid w:val="0045250F"/>
    <w:rsid w:val="0045253D"/>
    <w:rsid w:val="00452A7C"/>
    <w:rsid w:val="00452BCF"/>
    <w:rsid w:val="00452D03"/>
    <w:rsid w:val="00452E11"/>
    <w:rsid w:val="00452F2F"/>
    <w:rsid w:val="00452F98"/>
    <w:rsid w:val="00453343"/>
    <w:rsid w:val="004534E7"/>
    <w:rsid w:val="0045371A"/>
    <w:rsid w:val="00453882"/>
    <w:rsid w:val="00453B13"/>
    <w:rsid w:val="00453D49"/>
    <w:rsid w:val="00453D71"/>
    <w:rsid w:val="00453E77"/>
    <w:rsid w:val="00453F32"/>
    <w:rsid w:val="004541DF"/>
    <w:rsid w:val="004542CC"/>
    <w:rsid w:val="00454370"/>
    <w:rsid w:val="004543E0"/>
    <w:rsid w:val="00454421"/>
    <w:rsid w:val="00454423"/>
    <w:rsid w:val="004544BF"/>
    <w:rsid w:val="00454514"/>
    <w:rsid w:val="0045466C"/>
    <w:rsid w:val="00454674"/>
    <w:rsid w:val="00454943"/>
    <w:rsid w:val="00454EE5"/>
    <w:rsid w:val="0045507E"/>
    <w:rsid w:val="00455207"/>
    <w:rsid w:val="0045525F"/>
    <w:rsid w:val="004552C9"/>
    <w:rsid w:val="0045545F"/>
    <w:rsid w:val="0045546A"/>
    <w:rsid w:val="004556D6"/>
    <w:rsid w:val="00455703"/>
    <w:rsid w:val="00455835"/>
    <w:rsid w:val="004558CA"/>
    <w:rsid w:val="004559B3"/>
    <w:rsid w:val="004559F8"/>
    <w:rsid w:val="00455B6F"/>
    <w:rsid w:val="00455BD1"/>
    <w:rsid w:val="00455E39"/>
    <w:rsid w:val="00455E9B"/>
    <w:rsid w:val="00455F88"/>
    <w:rsid w:val="00455FEE"/>
    <w:rsid w:val="0045602A"/>
    <w:rsid w:val="00456523"/>
    <w:rsid w:val="004566A0"/>
    <w:rsid w:val="004566B1"/>
    <w:rsid w:val="004566B6"/>
    <w:rsid w:val="00456800"/>
    <w:rsid w:val="00456906"/>
    <w:rsid w:val="00456A9A"/>
    <w:rsid w:val="00456B90"/>
    <w:rsid w:val="00456CE8"/>
    <w:rsid w:val="00457096"/>
    <w:rsid w:val="00457288"/>
    <w:rsid w:val="0045740B"/>
    <w:rsid w:val="004574B5"/>
    <w:rsid w:val="00457810"/>
    <w:rsid w:val="00457884"/>
    <w:rsid w:val="00457B33"/>
    <w:rsid w:val="00457F1A"/>
    <w:rsid w:val="004600E5"/>
    <w:rsid w:val="004600EA"/>
    <w:rsid w:val="004600FA"/>
    <w:rsid w:val="00460345"/>
    <w:rsid w:val="0046058A"/>
    <w:rsid w:val="0046068A"/>
    <w:rsid w:val="0046074A"/>
    <w:rsid w:val="00460831"/>
    <w:rsid w:val="00460832"/>
    <w:rsid w:val="0046083E"/>
    <w:rsid w:val="00460995"/>
    <w:rsid w:val="00460A69"/>
    <w:rsid w:val="00460AF9"/>
    <w:rsid w:val="00460B21"/>
    <w:rsid w:val="00460C99"/>
    <w:rsid w:val="00460E2E"/>
    <w:rsid w:val="00460E97"/>
    <w:rsid w:val="00460F6A"/>
    <w:rsid w:val="004610CA"/>
    <w:rsid w:val="00461215"/>
    <w:rsid w:val="00461287"/>
    <w:rsid w:val="00461334"/>
    <w:rsid w:val="0046143D"/>
    <w:rsid w:val="0046163E"/>
    <w:rsid w:val="0046177E"/>
    <w:rsid w:val="004617F2"/>
    <w:rsid w:val="00461A97"/>
    <w:rsid w:val="00461F6C"/>
    <w:rsid w:val="004622CE"/>
    <w:rsid w:val="004623E8"/>
    <w:rsid w:val="00462452"/>
    <w:rsid w:val="00462651"/>
    <w:rsid w:val="004626B0"/>
    <w:rsid w:val="004626E5"/>
    <w:rsid w:val="0046285C"/>
    <w:rsid w:val="00462959"/>
    <w:rsid w:val="0046299F"/>
    <w:rsid w:val="00462C2A"/>
    <w:rsid w:val="00462C36"/>
    <w:rsid w:val="00462EB8"/>
    <w:rsid w:val="00463236"/>
    <w:rsid w:val="004633AF"/>
    <w:rsid w:val="004637C1"/>
    <w:rsid w:val="0046383A"/>
    <w:rsid w:val="00463C69"/>
    <w:rsid w:val="00463CCF"/>
    <w:rsid w:val="00463DCD"/>
    <w:rsid w:val="00463E4B"/>
    <w:rsid w:val="00463EFB"/>
    <w:rsid w:val="00463F70"/>
    <w:rsid w:val="00464004"/>
    <w:rsid w:val="0046437B"/>
    <w:rsid w:val="00464706"/>
    <w:rsid w:val="004647D6"/>
    <w:rsid w:val="004649EA"/>
    <w:rsid w:val="004649FF"/>
    <w:rsid w:val="00464B68"/>
    <w:rsid w:val="00464CB8"/>
    <w:rsid w:val="00464E1F"/>
    <w:rsid w:val="00464F28"/>
    <w:rsid w:val="00464F46"/>
    <w:rsid w:val="00464F70"/>
    <w:rsid w:val="004651A0"/>
    <w:rsid w:val="004651C5"/>
    <w:rsid w:val="00465224"/>
    <w:rsid w:val="00465246"/>
    <w:rsid w:val="0046563D"/>
    <w:rsid w:val="00465A2A"/>
    <w:rsid w:val="00465A32"/>
    <w:rsid w:val="00465B96"/>
    <w:rsid w:val="00465C1B"/>
    <w:rsid w:val="00465CD7"/>
    <w:rsid w:val="00465DB1"/>
    <w:rsid w:val="00466137"/>
    <w:rsid w:val="0046630D"/>
    <w:rsid w:val="0046655C"/>
    <w:rsid w:val="004666BD"/>
    <w:rsid w:val="004666C6"/>
    <w:rsid w:val="004667D2"/>
    <w:rsid w:val="0046694F"/>
    <w:rsid w:val="0046696D"/>
    <w:rsid w:val="00466993"/>
    <w:rsid w:val="004669A4"/>
    <w:rsid w:val="00466ABE"/>
    <w:rsid w:val="00466AF9"/>
    <w:rsid w:val="00466B2E"/>
    <w:rsid w:val="00466C42"/>
    <w:rsid w:val="00466CAC"/>
    <w:rsid w:val="00466CF2"/>
    <w:rsid w:val="00466D3B"/>
    <w:rsid w:val="00466E78"/>
    <w:rsid w:val="00466F9B"/>
    <w:rsid w:val="00466FA6"/>
    <w:rsid w:val="0046712C"/>
    <w:rsid w:val="0046723F"/>
    <w:rsid w:val="004674D7"/>
    <w:rsid w:val="00467524"/>
    <w:rsid w:val="00467579"/>
    <w:rsid w:val="00467B95"/>
    <w:rsid w:val="00467CB2"/>
    <w:rsid w:val="00467CD8"/>
    <w:rsid w:val="00467E0F"/>
    <w:rsid w:val="00467F60"/>
    <w:rsid w:val="00470082"/>
    <w:rsid w:val="00470148"/>
    <w:rsid w:val="0047029F"/>
    <w:rsid w:val="0047032D"/>
    <w:rsid w:val="00470334"/>
    <w:rsid w:val="0047042D"/>
    <w:rsid w:val="00470494"/>
    <w:rsid w:val="004704F8"/>
    <w:rsid w:val="0047051D"/>
    <w:rsid w:val="0047054B"/>
    <w:rsid w:val="0047068C"/>
    <w:rsid w:val="004708D8"/>
    <w:rsid w:val="004708ED"/>
    <w:rsid w:val="00470A3E"/>
    <w:rsid w:val="00470A6E"/>
    <w:rsid w:val="00470C60"/>
    <w:rsid w:val="00470CA3"/>
    <w:rsid w:val="00470CFC"/>
    <w:rsid w:val="00470DE3"/>
    <w:rsid w:val="00470EA7"/>
    <w:rsid w:val="00470EDB"/>
    <w:rsid w:val="00470EFF"/>
    <w:rsid w:val="00470F10"/>
    <w:rsid w:val="00470FC3"/>
    <w:rsid w:val="0047114B"/>
    <w:rsid w:val="004711A5"/>
    <w:rsid w:val="0047173F"/>
    <w:rsid w:val="004717EE"/>
    <w:rsid w:val="004718FC"/>
    <w:rsid w:val="00471944"/>
    <w:rsid w:val="00471997"/>
    <w:rsid w:val="004719E1"/>
    <w:rsid w:val="00471A1D"/>
    <w:rsid w:val="00471A38"/>
    <w:rsid w:val="00471E2A"/>
    <w:rsid w:val="00471F31"/>
    <w:rsid w:val="00472706"/>
    <w:rsid w:val="00472991"/>
    <w:rsid w:val="004729F4"/>
    <w:rsid w:val="00472AE4"/>
    <w:rsid w:val="00472B4A"/>
    <w:rsid w:val="00472C0D"/>
    <w:rsid w:val="00472C93"/>
    <w:rsid w:val="00472CA4"/>
    <w:rsid w:val="00472D5A"/>
    <w:rsid w:val="00472D80"/>
    <w:rsid w:val="00472EE8"/>
    <w:rsid w:val="00472F43"/>
    <w:rsid w:val="00472FF3"/>
    <w:rsid w:val="004730B7"/>
    <w:rsid w:val="004731FD"/>
    <w:rsid w:val="00473427"/>
    <w:rsid w:val="0047367C"/>
    <w:rsid w:val="00473932"/>
    <w:rsid w:val="004739D1"/>
    <w:rsid w:val="00473B94"/>
    <w:rsid w:val="00473C1F"/>
    <w:rsid w:val="00473D2E"/>
    <w:rsid w:val="00473E40"/>
    <w:rsid w:val="00473E59"/>
    <w:rsid w:val="00473E71"/>
    <w:rsid w:val="004741E2"/>
    <w:rsid w:val="00474261"/>
    <w:rsid w:val="00474279"/>
    <w:rsid w:val="0047427D"/>
    <w:rsid w:val="004742BD"/>
    <w:rsid w:val="004745A7"/>
    <w:rsid w:val="00474616"/>
    <w:rsid w:val="0047470B"/>
    <w:rsid w:val="004747CA"/>
    <w:rsid w:val="004748CF"/>
    <w:rsid w:val="0047490E"/>
    <w:rsid w:val="0047497D"/>
    <w:rsid w:val="004749F5"/>
    <w:rsid w:val="00474B33"/>
    <w:rsid w:val="00474D3E"/>
    <w:rsid w:val="00474DA5"/>
    <w:rsid w:val="004751A3"/>
    <w:rsid w:val="00475308"/>
    <w:rsid w:val="004754AB"/>
    <w:rsid w:val="004754AF"/>
    <w:rsid w:val="00475669"/>
    <w:rsid w:val="0047575C"/>
    <w:rsid w:val="00475AF7"/>
    <w:rsid w:val="00475B1B"/>
    <w:rsid w:val="00475BE5"/>
    <w:rsid w:val="00475CBF"/>
    <w:rsid w:val="00475F49"/>
    <w:rsid w:val="00475FC3"/>
    <w:rsid w:val="00476247"/>
    <w:rsid w:val="00476338"/>
    <w:rsid w:val="004767D1"/>
    <w:rsid w:val="00476908"/>
    <w:rsid w:val="00476A09"/>
    <w:rsid w:val="00476A4E"/>
    <w:rsid w:val="00476BF8"/>
    <w:rsid w:val="00476C10"/>
    <w:rsid w:val="00476C40"/>
    <w:rsid w:val="00476EB0"/>
    <w:rsid w:val="00476F7D"/>
    <w:rsid w:val="00477083"/>
    <w:rsid w:val="0047734B"/>
    <w:rsid w:val="0047743F"/>
    <w:rsid w:val="0047746F"/>
    <w:rsid w:val="004774AC"/>
    <w:rsid w:val="00477507"/>
    <w:rsid w:val="0047750D"/>
    <w:rsid w:val="0047757B"/>
    <w:rsid w:val="004776D7"/>
    <w:rsid w:val="004777D4"/>
    <w:rsid w:val="0047785E"/>
    <w:rsid w:val="00477946"/>
    <w:rsid w:val="00477CE1"/>
    <w:rsid w:val="00477D97"/>
    <w:rsid w:val="00477EF0"/>
    <w:rsid w:val="00477FA3"/>
    <w:rsid w:val="004800DD"/>
    <w:rsid w:val="004800F6"/>
    <w:rsid w:val="0048012C"/>
    <w:rsid w:val="004801AD"/>
    <w:rsid w:val="004802E9"/>
    <w:rsid w:val="004802EE"/>
    <w:rsid w:val="0048049C"/>
    <w:rsid w:val="004804E7"/>
    <w:rsid w:val="00480662"/>
    <w:rsid w:val="00480732"/>
    <w:rsid w:val="004807F7"/>
    <w:rsid w:val="00480A27"/>
    <w:rsid w:val="00480A86"/>
    <w:rsid w:val="00480C14"/>
    <w:rsid w:val="00480C82"/>
    <w:rsid w:val="00480E70"/>
    <w:rsid w:val="00480F67"/>
    <w:rsid w:val="0048108D"/>
    <w:rsid w:val="0048111D"/>
    <w:rsid w:val="0048114F"/>
    <w:rsid w:val="00481692"/>
    <w:rsid w:val="0048185F"/>
    <w:rsid w:val="004818FB"/>
    <w:rsid w:val="00481912"/>
    <w:rsid w:val="004819C2"/>
    <w:rsid w:val="00481AC2"/>
    <w:rsid w:val="00481C51"/>
    <w:rsid w:val="00481DA8"/>
    <w:rsid w:val="00481FF8"/>
    <w:rsid w:val="0048231B"/>
    <w:rsid w:val="00482675"/>
    <w:rsid w:val="004826F7"/>
    <w:rsid w:val="00482854"/>
    <w:rsid w:val="004828F2"/>
    <w:rsid w:val="00482A54"/>
    <w:rsid w:val="00482ADF"/>
    <w:rsid w:val="00482C06"/>
    <w:rsid w:val="00482CDE"/>
    <w:rsid w:val="00482D83"/>
    <w:rsid w:val="00482F67"/>
    <w:rsid w:val="00483023"/>
    <w:rsid w:val="00483181"/>
    <w:rsid w:val="00483436"/>
    <w:rsid w:val="0048380A"/>
    <w:rsid w:val="00483963"/>
    <w:rsid w:val="00483982"/>
    <w:rsid w:val="004839DD"/>
    <w:rsid w:val="00483ACC"/>
    <w:rsid w:val="00483BC8"/>
    <w:rsid w:val="00483BEF"/>
    <w:rsid w:val="00483C47"/>
    <w:rsid w:val="00483C72"/>
    <w:rsid w:val="00483D6A"/>
    <w:rsid w:val="00483E72"/>
    <w:rsid w:val="004840BB"/>
    <w:rsid w:val="004842C6"/>
    <w:rsid w:val="004845D1"/>
    <w:rsid w:val="00484AAD"/>
    <w:rsid w:val="00484B11"/>
    <w:rsid w:val="00484DC4"/>
    <w:rsid w:val="00484F66"/>
    <w:rsid w:val="004852D3"/>
    <w:rsid w:val="00485319"/>
    <w:rsid w:val="00485436"/>
    <w:rsid w:val="0048544B"/>
    <w:rsid w:val="004856C1"/>
    <w:rsid w:val="004856CB"/>
    <w:rsid w:val="0048588E"/>
    <w:rsid w:val="00485953"/>
    <w:rsid w:val="00485967"/>
    <w:rsid w:val="00485981"/>
    <w:rsid w:val="00485B8C"/>
    <w:rsid w:val="00485D20"/>
    <w:rsid w:val="00485DAB"/>
    <w:rsid w:val="0048603F"/>
    <w:rsid w:val="0048646D"/>
    <w:rsid w:val="004865D7"/>
    <w:rsid w:val="004866ED"/>
    <w:rsid w:val="00486748"/>
    <w:rsid w:val="00486772"/>
    <w:rsid w:val="0048680D"/>
    <w:rsid w:val="00486963"/>
    <w:rsid w:val="004869B2"/>
    <w:rsid w:val="00486B67"/>
    <w:rsid w:val="00486BCC"/>
    <w:rsid w:val="00486C48"/>
    <w:rsid w:val="00486F60"/>
    <w:rsid w:val="004870D7"/>
    <w:rsid w:val="0048715F"/>
    <w:rsid w:val="004872B8"/>
    <w:rsid w:val="00487338"/>
    <w:rsid w:val="0048740C"/>
    <w:rsid w:val="00487541"/>
    <w:rsid w:val="00487ADB"/>
    <w:rsid w:val="00487C68"/>
    <w:rsid w:val="00487CB8"/>
    <w:rsid w:val="00487E67"/>
    <w:rsid w:val="00487F42"/>
    <w:rsid w:val="00487FB4"/>
    <w:rsid w:val="0049006F"/>
    <w:rsid w:val="00490073"/>
    <w:rsid w:val="004901BB"/>
    <w:rsid w:val="00490512"/>
    <w:rsid w:val="00490516"/>
    <w:rsid w:val="0049061C"/>
    <w:rsid w:val="004909B0"/>
    <w:rsid w:val="00490A60"/>
    <w:rsid w:val="00490B1A"/>
    <w:rsid w:val="00490E4B"/>
    <w:rsid w:val="004910C4"/>
    <w:rsid w:val="00491143"/>
    <w:rsid w:val="00491514"/>
    <w:rsid w:val="0049156E"/>
    <w:rsid w:val="004916E3"/>
    <w:rsid w:val="004918A2"/>
    <w:rsid w:val="0049197D"/>
    <w:rsid w:val="004919BC"/>
    <w:rsid w:val="00491C1B"/>
    <w:rsid w:val="00491C77"/>
    <w:rsid w:val="00491D0C"/>
    <w:rsid w:val="00491EBB"/>
    <w:rsid w:val="004923D8"/>
    <w:rsid w:val="004923F6"/>
    <w:rsid w:val="00492670"/>
    <w:rsid w:val="00492887"/>
    <w:rsid w:val="004928E6"/>
    <w:rsid w:val="0049290F"/>
    <w:rsid w:val="00492B28"/>
    <w:rsid w:val="00492DB0"/>
    <w:rsid w:val="00493121"/>
    <w:rsid w:val="00493130"/>
    <w:rsid w:val="00493268"/>
    <w:rsid w:val="00493592"/>
    <w:rsid w:val="00493651"/>
    <w:rsid w:val="00493814"/>
    <w:rsid w:val="0049382B"/>
    <w:rsid w:val="0049383F"/>
    <w:rsid w:val="00493C90"/>
    <w:rsid w:val="00493FD2"/>
    <w:rsid w:val="00494057"/>
    <w:rsid w:val="0049451D"/>
    <w:rsid w:val="00494595"/>
    <w:rsid w:val="00494898"/>
    <w:rsid w:val="00494BDE"/>
    <w:rsid w:val="00494C0C"/>
    <w:rsid w:val="00494D93"/>
    <w:rsid w:val="00494DB1"/>
    <w:rsid w:val="00494E7F"/>
    <w:rsid w:val="00494FDB"/>
    <w:rsid w:val="00495189"/>
    <w:rsid w:val="00495312"/>
    <w:rsid w:val="00495387"/>
    <w:rsid w:val="004953FD"/>
    <w:rsid w:val="0049588B"/>
    <w:rsid w:val="004958C4"/>
    <w:rsid w:val="00495B01"/>
    <w:rsid w:val="00495C39"/>
    <w:rsid w:val="00495E6E"/>
    <w:rsid w:val="00495F57"/>
    <w:rsid w:val="00496012"/>
    <w:rsid w:val="004962F6"/>
    <w:rsid w:val="004962FB"/>
    <w:rsid w:val="0049638D"/>
    <w:rsid w:val="004963B4"/>
    <w:rsid w:val="004963FB"/>
    <w:rsid w:val="00496422"/>
    <w:rsid w:val="004964CF"/>
    <w:rsid w:val="004965F0"/>
    <w:rsid w:val="004966D9"/>
    <w:rsid w:val="00496A5E"/>
    <w:rsid w:val="00496A98"/>
    <w:rsid w:val="00496B95"/>
    <w:rsid w:val="00496C78"/>
    <w:rsid w:val="00496C81"/>
    <w:rsid w:val="00496E7D"/>
    <w:rsid w:val="00496FAD"/>
    <w:rsid w:val="00496FE2"/>
    <w:rsid w:val="00497019"/>
    <w:rsid w:val="0049718D"/>
    <w:rsid w:val="004971B8"/>
    <w:rsid w:val="004971E0"/>
    <w:rsid w:val="00497332"/>
    <w:rsid w:val="0049733B"/>
    <w:rsid w:val="004974EC"/>
    <w:rsid w:val="0049763E"/>
    <w:rsid w:val="00497733"/>
    <w:rsid w:val="004978E6"/>
    <w:rsid w:val="00497922"/>
    <w:rsid w:val="00497B0F"/>
    <w:rsid w:val="00497B64"/>
    <w:rsid w:val="00497CD5"/>
    <w:rsid w:val="00497D3B"/>
    <w:rsid w:val="00497EDF"/>
    <w:rsid w:val="0049A1C8"/>
    <w:rsid w:val="004A012E"/>
    <w:rsid w:val="004A0382"/>
    <w:rsid w:val="004A03DA"/>
    <w:rsid w:val="004A0468"/>
    <w:rsid w:val="004A04FE"/>
    <w:rsid w:val="004A0659"/>
    <w:rsid w:val="004A0736"/>
    <w:rsid w:val="004A0AD6"/>
    <w:rsid w:val="004A0B18"/>
    <w:rsid w:val="004A0B3E"/>
    <w:rsid w:val="004A0D49"/>
    <w:rsid w:val="004A10EE"/>
    <w:rsid w:val="004A1165"/>
    <w:rsid w:val="004A1221"/>
    <w:rsid w:val="004A1301"/>
    <w:rsid w:val="004A13E3"/>
    <w:rsid w:val="004A150A"/>
    <w:rsid w:val="004A1516"/>
    <w:rsid w:val="004A17BD"/>
    <w:rsid w:val="004A1807"/>
    <w:rsid w:val="004A181D"/>
    <w:rsid w:val="004A1BA9"/>
    <w:rsid w:val="004A1CEF"/>
    <w:rsid w:val="004A1F99"/>
    <w:rsid w:val="004A1FB8"/>
    <w:rsid w:val="004A1FCD"/>
    <w:rsid w:val="004A265D"/>
    <w:rsid w:val="004A2796"/>
    <w:rsid w:val="004A2B72"/>
    <w:rsid w:val="004A2CCF"/>
    <w:rsid w:val="004A2CE6"/>
    <w:rsid w:val="004A2E58"/>
    <w:rsid w:val="004A2EFB"/>
    <w:rsid w:val="004A2F5B"/>
    <w:rsid w:val="004A3189"/>
    <w:rsid w:val="004A31C7"/>
    <w:rsid w:val="004A3210"/>
    <w:rsid w:val="004A3289"/>
    <w:rsid w:val="004A32EE"/>
    <w:rsid w:val="004A34DE"/>
    <w:rsid w:val="004A3555"/>
    <w:rsid w:val="004A3623"/>
    <w:rsid w:val="004A3B18"/>
    <w:rsid w:val="004A3CC7"/>
    <w:rsid w:val="004A3F60"/>
    <w:rsid w:val="004A4252"/>
    <w:rsid w:val="004A429E"/>
    <w:rsid w:val="004A4501"/>
    <w:rsid w:val="004A4566"/>
    <w:rsid w:val="004A46D7"/>
    <w:rsid w:val="004A49D0"/>
    <w:rsid w:val="004A4AD7"/>
    <w:rsid w:val="004A4CC9"/>
    <w:rsid w:val="004A4F3C"/>
    <w:rsid w:val="004A5081"/>
    <w:rsid w:val="004A50E7"/>
    <w:rsid w:val="004A516D"/>
    <w:rsid w:val="004A5450"/>
    <w:rsid w:val="004A549F"/>
    <w:rsid w:val="004A5592"/>
    <w:rsid w:val="004A5617"/>
    <w:rsid w:val="004A573E"/>
    <w:rsid w:val="004A5A35"/>
    <w:rsid w:val="004A5AAF"/>
    <w:rsid w:val="004A5BC8"/>
    <w:rsid w:val="004A5CE8"/>
    <w:rsid w:val="004A5D90"/>
    <w:rsid w:val="004A60BA"/>
    <w:rsid w:val="004A61FD"/>
    <w:rsid w:val="004A6219"/>
    <w:rsid w:val="004A650D"/>
    <w:rsid w:val="004A6529"/>
    <w:rsid w:val="004A65DE"/>
    <w:rsid w:val="004A65F2"/>
    <w:rsid w:val="004A65F8"/>
    <w:rsid w:val="004A6A01"/>
    <w:rsid w:val="004A6A3D"/>
    <w:rsid w:val="004A6A8E"/>
    <w:rsid w:val="004A6A97"/>
    <w:rsid w:val="004A6AA6"/>
    <w:rsid w:val="004A6CDC"/>
    <w:rsid w:val="004A6E77"/>
    <w:rsid w:val="004A6F7E"/>
    <w:rsid w:val="004A6F9B"/>
    <w:rsid w:val="004A6FD5"/>
    <w:rsid w:val="004A71FD"/>
    <w:rsid w:val="004A7211"/>
    <w:rsid w:val="004A73AB"/>
    <w:rsid w:val="004A7455"/>
    <w:rsid w:val="004A779F"/>
    <w:rsid w:val="004A77C8"/>
    <w:rsid w:val="004A79F1"/>
    <w:rsid w:val="004A7A1C"/>
    <w:rsid w:val="004A7C2E"/>
    <w:rsid w:val="004A7DDC"/>
    <w:rsid w:val="004A7EC5"/>
    <w:rsid w:val="004A7FD8"/>
    <w:rsid w:val="004B01D5"/>
    <w:rsid w:val="004B0505"/>
    <w:rsid w:val="004B0558"/>
    <w:rsid w:val="004B06AC"/>
    <w:rsid w:val="004B085E"/>
    <w:rsid w:val="004B0978"/>
    <w:rsid w:val="004B0C18"/>
    <w:rsid w:val="004B0D9C"/>
    <w:rsid w:val="004B0DC1"/>
    <w:rsid w:val="004B0EA3"/>
    <w:rsid w:val="004B0EC1"/>
    <w:rsid w:val="004B0F01"/>
    <w:rsid w:val="004B1232"/>
    <w:rsid w:val="004B1544"/>
    <w:rsid w:val="004B1560"/>
    <w:rsid w:val="004B1715"/>
    <w:rsid w:val="004B195A"/>
    <w:rsid w:val="004B196B"/>
    <w:rsid w:val="004B1A4F"/>
    <w:rsid w:val="004B1C70"/>
    <w:rsid w:val="004B1F30"/>
    <w:rsid w:val="004B2125"/>
    <w:rsid w:val="004B2211"/>
    <w:rsid w:val="004B238B"/>
    <w:rsid w:val="004B2597"/>
    <w:rsid w:val="004B2686"/>
    <w:rsid w:val="004B2A11"/>
    <w:rsid w:val="004B2BC2"/>
    <w:rsid w:val="004B2C6B"/>
    <w:rsid w:val="004B2EBF"/>
    <w:rsid w:val="004B2F73"/>
    <w:rsid w:val="004B3025"/>
    <w:rsid w:val="004B31F1"/>
    <w:rsid w:val="004B39F5"/>
    <w:rsid w:val="004B3BAA"/>
    <w:rsid w:val="004B3DC3"/>
    <w:rsid w:val="004B3E23"/>
    <w:rsid w:val="004B3F6E"/>
    <w:rsid w:val="004B44D2"/>
    <w:rsid w:val="004B4677"/>
    <w:rsid w:val="004B46B0"/>
    <w:rsid w:val="004B46DB"/>
    <w:rsid w:val="004B47FD"/>
    <w:rsid w:val="004B4A1A"/>
    <w:rsid w:val="004B4B01"/>
    <w:rsid w:val="004B4D6D"/>
    <w:rsid w:val="004B4E27"/>
    <w:rsid w:val="004B4E2E"/>
    <w:rsid w:val="004B505D"/>
    <w:rsid w:val="004B5096"/>
    <w:rsid w:val="004B516B"/>
    <w:rsid w:val="004B518E"/>
    <w:rsid w:val="004B51D2"/>
    <w:rsid w:val="004B52E1"/>
    <w:rsid w:val="004B531B"/>
    <w:rsid w:val="004B58DF"/>
    <w:rsid w:val="004B5903"/>
    <w:rsid w:val="004B59CE"/>
    <w:rsid w:val="004B59E7"/>
    <w:rsid w:val="004B5A04"/>
    <w:rsid w:val="004B5A06"/>
    <w:rsid w:val="004B5AD2"/>
    <w:rsid w:val="004B5ADD"/>
    <w:rsid w:val="004B5C72"/>
    <w:rsid w:val="004B5D02"/>
    <w:rsid w:val="004B5D54"/>
    <w:rsid w:val="004B5EFA"/>
    <w:rsid w:val="004B613A"/>
    <w:rsid w:val="004B6157"/>
    <w:rsid w:val="004B6364"/>
    <w:rsid w:val="004B640D"/>
    <w:rsid w:val="004B643E"/>
    <w:rsid w:val="004B6459"/>
    <w:rsid w:val="004B647A"/>
    <w:rsid w:val="004B64BD"/>
    <w:rsid w:val="004B6640"/>
    <w:rsid w:val="004B6774"/>
    <w:rsid w:val="004B6830"/>
    <w:rsid w:val="004B6AEC"/>
    <w:rsid w:val="004B6AF1"/>
    <w:rsid w:val="004B6C56"/>
    <w:rsid w:val="004B6D21"/>
    <w:rsid w:val="004B6D95"/>
    <w:rsid w:val="004B7330"/>
    <w:rsid w:val="004B73DC"/>
    <w:rsid w:val="004B74F5"/>
    <w:rsid w:val="004B7670"/>
    <w:rsid w:val="004B7764"/>
    <w:rsid w:val="004B79AA"/>
    <w:rsid w:val="004B79B8"/>
    <w:rsid w:val="004B79EB"/>
    <w:rsid w:val="004B7B86"/>
    <w:rsid w:val="004B7EAF"/>
    <w:rsid w:val="004B7FC3"/>
    <w:rsid w:val="004C0027"/>
    <w:rsid w:val="004C0114"/>
    <w:rsid w:val="004C03E7"/>
    <w:rsid w:val="004C054B"/>
    <w:rsid w:val="004C0563"/>
    <w:rsid w:val="004C0795"/>
    <w:rsid w:val="004C0A8E"/>
    <w:rsid w:val="004C0A97"/>
    <w:rsid w:val="004C0BDA"/>
    <w:rsid w:val="004C0F3F"/>
    <w:rsid w:val="004C1015"/>
    <w:rsid w:val="004C1024"/>
    <w:rsid w:val="004C13A7"/>
    <w:rsid w:val="004C161C"/>
    <w:rsid w:val="004C166A"/>
    <w:rsid w:val="004C1736"/>
    <w:rsid w:val="004C187E"/>
    <w:rsid w:val="004C19B5"/>
    <w:rsid w:val="004C1A51"/>
    <w:rsid w:val="004C1DC9"/>
    <w:rsid w:val="004C1F20"/>
    <w:rsid w:val="004C1F95"/>
    <w:rsid w:val="004C20D1"/>
    <w:rsid w:val="004C21EA"/>
    <w:rsid w:val="004C21FB"/>
    <w:rsid w:val="004C2208"/>
    <w:rsid w:val="004C22EB"/>
    <w:rsid w:val="004C2804"/>
    <w:rsid w:val="004C2895"/>
    <w:rsid w:val="004C2955"/>
    <w:rsid w:val="004C295A"/>
    <w:rsid w:val="004C29D2"/>
    <w:rsid w:val="004C2A0F"/>
    <w:rsid w:val="004C2C29"/>
    <w:rsid w:val="004C2C88"/>
    <w:rsid w:val="004C2CA5"/>
    <w:rsid w:val="004C2D41"/>
    <w:rsid w:val="004C3039"/>
    <w:rsid w:val="004C3173"/>
    <w:rsid w:val="004C31D5"/>
    <w:rsid w:val="004C329B"/>
    <w:rsid w:val="004C3515"/>
    <w:rsid w:val="004C35BE"/>
    <w:rsid w:val="004C3A12"/>
    <w:rsid w:val="004C3CE1"/>
    <w:rsid w:val="004C3DEB"/>
    <w:rsid w:val="004C3E09"/>
    <w:rsid w:val="004C3E11"/>
    <w:rsid w:val="004C3F1B"/>
    <w:rsid w:val="004C3F7C"/>
    <w:rsid w:val="004C4056"/>
    <w:rsid w:val="004C409A"/>
    <w:rsid w:val="004C444B"/>
    <w:rsid w:val="004C4481"/>
    <w:rsid w:val="004C4546"/>
    <w:rsid w:val="004C4564"/>
    <w:rsid w:val="004C47C1"/>
    <w:rsid w:val="004C4C74"/>
    <w:rsid w:val="004C4CC2"/>
    <w:rsid w:val="004C4E65"/>
    <w:rsid w:val="004C4FDA"/>
    <w:rsid w:val="004C507F"/>
    <w:rsid w:val="004C524E"/>
    <w:rsid w:val="004C526D"/>
    <w:rsid w:val="004C539C"/>
    <w:rsid w:val="004C542E"/>
    <w:rsid w:val="004C5447"/>
    <w:rsid w:val="004C55DD"/>
    <w:rsid w:val="004C5637"/>
    <w:rsid w:val="004C5AF9"/>
    <w:rsid w:val="004C5D9E"/>
    <w:rsid w:val="004C5EE1"/>
    <w:rsid w:val="004C60CF"/>
    <w:rsid w:val="004C6157"/>
    <w:rsid w:val="004C6210"/>
    <w:rsid w:val="004C6283"/>
    <w:rsid w:val="004C6398"/>
    <w:rsid w:val="004C6713"/>
    <w:rsid w:val="004C6807"/>
    <w:rsid w:val="004C6995"/>
    <w:rsid w:val="004C6B30"/>
    <w:rsid w:val="004C6B95"/>
    <w:rsid w:val="004C6E72"/>
    <w:rsid w:val="004C6EEF"/>
    <w:rsid w:val="004C7035"/>
    <w:rsid w:val="004C727C"/>
    <w:rsid w:val="004C7348"/>
    <w:rsid w:val="004C73A0"/>
    <w:rsid w:val="004C7716"/>
    <w:rsid w:val="004C77F1"/>
    <w:rsid w:val="004C7B4A"/>
    <w:rsid w:val="004C7FB8"/>
    <w:rsid w:val="004D0018"/>
    <w:rsid w:val="004D0071"/>
    <w:rsid w:val="004D0221"/>
    <w:rsid w:val="004D0223"/>
    <w:rsid w:val="004D0644"/>
    <w:rsid w:val="004D08AC"/>
    <w:rsid w:val="004D08DC"/>
    <w:rsid w:val="004D0ADF"/>
    <w:rsid w:val="004D0B73"/>
    <w:rsid w:val="004D0F2D"/>
    <w:rsid w:val="004D12AB"/>
    <w:rsid w:val="004D13BE"/>
    <w:rsid w:val="004D1510"/>
    <w:rsid w:val="004D1661"/>
    <w:rsid w:val="004D16E2"/>
    <w:rsid w:val="004D184A"/>
    <w:rsid w:val="004D185D"/>
    <w:rsid w:val="004D1C38"/>
    <w:rsid w:val="004D1CE7"/>
    <w:rsid w:val="004D1D4F"/>
    <w:rsid w:val="004D1EA4"/>
    <w:rsid w:val="004D1FF6"/>
    <w:rsid w:val="004D2088"/>
    <w:rsid w:val="004D2163"/>
    <w:rsid w:val="004D223D"/>
    <w:rsid w:val="004D242D"/>
    <w:rsid w:val="004D2597"/>
    <w:rsid w:val="004D25E8"/>
    <w:rsid w:val="004D26CA"/>
    <w:rsid w:val="004D2738"/>
    <w:rsid w:val="004D27BB"/>
    <w:rsid w:val="004D29C3"/>
    <w:rsid w:val="004D2A2A"/>
    <w:rsid w:val="004D2AEA"/>
    <w:rsid w:val="004D2B41"/>
    <w:rsid w:val="004D2D3D"/>
    <w:rsid w:val="004D2F06"/>
    <w:rsid w:val="004D2F70"/>
    <w:rsid w:val="004D2F7B"/>
    <w:rsid w:val="004D305D"/>
    <w:rsid w:val="004D3172"/>
    <w:rsid w:val="004D3188"/>
    <w:rsid w:val="004D31BE"/>
    <w:rsid w:val="004D31D1"/>
    <w:rsid w:val="004D31F3"/>
    <w:rsid w:val="004D344B"/>
    <w:rsid w:val="004D34AF"/>
    <w:rsid w:val="004D350E"/>
    <w:rsid w:val="004D38F8"/>
    <w:rsid w:val="004D3A7D"/>
    <w:rsid w:val="004D3A91"/>
    <w:rsid w:val="004D3ABC"/>
    <w:rsid w:val="004D3B68"/>
    <w:rsid w:val="004D3C5A"/>
    <w:rsid w:val="004D3CA1"/>
    <w:rsid w:val="004D3D8C"/>
    <w:rsid w:val="004D3DC0"/>
    <w:rsid w:val="004D41EE"/>
    <w:rsid w:val="004D433B"/>
    <w:rsid w:val="004D452C"/>
    <w:rsid w:val="004D45FA"/>
    <w:rsid w:val="004D48C2"/>
    <w:rsid w:val="004D4924"/>
    <w:rsid w:val="004D4D26"/>
    <w:rsid w:val="004D4D61"/>
    <w:rsid w:val="004D4F59"/>
    <w:rsid w:val="004D51E3"/>
    <w:rsid w:val="004D52BF"/>
    <w:rsid w:val="004D5316"/>
    <w:rsid w:val="004D57EA"/>
    <w:rsid w:val="004D584B"/>
    <w:rsid w:val="004D58E4"/>
    <w:rsid w:val="004D595E"/>
    <w:rsid w:val="004D5B49"/>
    <w:rsid w:val="004D5D8E"/>
    <w:rsid w:val="004D6029"/>
    <w:rsid w:val="004D60D6"/>
    <w:rsid w:val="004D62E2"/>
    <w:rsid w:val="004D649F"/>
    <w:rsid w:val="004D67A0"/>
    <w:rsid w:val="004D6934"/>
    <w:rsid w:val="004D699F"/>
    <w:rsid w:val="004D69B8"/>
    <w:rsid w:val="004D6B1F"/>
    <w:rsid w:val="004D6C87"/>
    <w:rsid w:val="004D6D3D"/>
    <w:rsid w:val="004D70E8"/>
    <w:rsid w:val="004D7131"/>
    <w:rsid w:val="004D727D"/>
    <w:rsid w:val="004D7575"/>
    <w:rsid w:val="004D767D"/>
    <w:rsid w:val="004D76C4"/>
    <w:rsid w:val="004D7743"/>
    <w:rsid w:val="004D7A59"/>
    <w:rsid w:val="004D7B4A"/>
    <w:rsid w:val="004D7C2B"/>
    <w:rsid w:val="004D7C3D"/>
    <w:rsid w:val="004D7C90"/>
    <w:rsid w:val="004DACEF"/>
    <w:rsid w:val="004E006E"/>
    <w:rsid w:val="004E008E"/>
    <w:rsid w:val="004E00A4"/>
    <w:rsid w:val="004E0786"/>
    <w:rsid w:val="004E0AC0"/>
    <w:rsid w:val="004E0B33"/>
    <w:rsid w:val="004E0D48"/>
    <w:rsid w:val="004E0EB7"/>
    <w:rsid w:val="004E0FFB"/>
    <w:rsid w:val="004E1041"/>
    <w:rsid w:val="004E1240"/>
    <w:rsid w:val="004E12FB"/>
    <w:rsid w:val="004E1366"/>
    <w:rsid w:val="004E1367"/>
    <w:rsid w:val="004E13ED"/>
    <w:rsid w:val="004E141B"/>
    <w:rsid w:val="004E1446"/>
    <w:rsid w:val="004E1AA6"/>
    <w:rsid w:val="004E1D45"/>
    <w:rsid w:val="004E1E45"/>
    <w:rsid w:val="004E1ED5"/>
    <w:rsid w:val="004E1FAF"/>
    <w:rsid w:val="004E1FFF"/>
    <w:rsid w:val="004E201A"/>
    <w:rsid w:val="004E2155"/>
    <w:rsid w:val="004E21D1"/>
    <w:rsid w:val="004E2691"/>
    <w:rsid w:val="004E28CB"/>
    <w:rsid w:val="004E2D9A"/>
    <w:rsid w:val="004E2F4B"/>
    <w:rsid w:val="004E31DF"/>
    <w:rsid w:val="004E32BD"/>
    <w:rsid w:val="004E32E1"/>
    <w:rsid w:val="004E3305"/>
    <w:rsid w:val="004E3391"/>
    <w:rsid w:val="004E33B3"/>
    <w:rsid w:val="004E364E"/>
    <w:rsid w:val="004E3712"/>
    <w:rsid w:val="004E390E"/>
    <w:rsid w:val="004E3B81"/>
    <w:rsid w:val="004E3E5C"/>
    <w:rsid w:val="004E3F09"/>
    <w:rsid w:val="004E4119"/>
    <w:rsid w:val="004E4359"/>
    <w:rsid w:val="004E437A"/>
    <w:rsid w:val="004E4394"/>
    <w:rsid w:val="004E44AB"/>
    <w:rsid w:val="004E4526"/>
    <w:rsid w:val="004E456B"/>
    <w:rsid w:val="004E458E"/>
    <w:rsid w:val="004E45FF"/>
    <w:rsid w:val="004E49AA"/>
    <w:rsid w:val="004E49F9"/>
    <w:rsid w:val="004E4C7C"/>
    <w:rsid w:val="004E4DDC"/>
    <w:rsid w:val="004E4F18"/>
    <w:rsid w:val="004E4F43"/>
    <w:rsid w:val="004E5291"/>
    <w:rsid w:val="004E532A"/>
    <w:rsid w:val="004E56F6"/>
    <w:rsid w:val="004E58AE"/>
    <w:rsid w:val="004E5962"/>
    <w:rsid w:val="004E5A08"/>
    <w:rsid w:val="004E5A94"/>
    <w:rsid w:val="004E5C37"/>
    <w:rsid w:val="004E5CF4"/>
    <w:rsid w:val="004E5E7A"/>
    <w:rsid w:val="004E5E81"/>
    <w:rsid w:val="004E6160"/>
    <w:rsid w:val="004E626C"/>
    <w:rsid w:val="004E6570"/>
    <w:rsid w:val="004E65D9"/>
    <w:rsid w:val="004E689B"/>
    <w:rsid w:val="004E6BDB"/>
    <w:rsid w:val="004E6C24"/>
    <w:rsid w:val="004E6FA2"/>
    <w:rsid w:val="004E7233"/>
    <w:rsid w:val="004E72F4"/>
    <w:rsid w:val="004E7306"/>
    <w:rsid w:val="004E7406"/>
    <w:rsid w:val="004E7429"/>
    <w:rsid w:val="004E74B0"/>
    <w:rsid w:val="004E74DE"/>
    <w:rsid w:val="004E7539"/>
    <w:rsid w:val="004E78F8"/>
    <w:rsid w:val="004E7A66"/>
    <w:rsid w:val="004E7B40"/>
    <w:rsid w:val="004E7C17"/>
    <w:rsid w:val="004E7DEE"/>
    <w:rsid w:val="004E7F62"/>
    <w:rsid w:val="004F02C0"/>
    <w:rsid w:val="004F042A"/>
    <w:rsid w:val="004F070C"/>
    <w:rsid w:val="004F08B7"/>
    <w:rsid w:val="004F0966"/>
    <w:rsid w:val="004F09FE"/>
    <w:rsid w:val="004F0C22"/>
    <w:rsid w:val="004F0C77"/>
    <w:rsid w:val="004F0D21"/>
    <w:rsid w:val="004F0D4B"/>
    <w:rsid w:val="004F0E3E"/>
    <w:rsid w:val="004F0EF3"/>
    <w:rsid w:val="004F1010"/>
    <w:rsid w:val="004F13C9"/>
    <w:rsid w:val="004F14BF"/>
    <w:rsid w:val="004F1608"/>
    <w:rsid w:val="004F1A6B"/>
    <w:rsid w:val="004F1D26"/>
    <w:rsid w:val="004F1DB3"/>
    <w:rsid w:val="004F1EE7"/>
    <w:rsid w:val="004F1F14"/>
    <w:rsid w:val="004F1F51"/>
    <w:rsid w:val="004F2059"/>
    <w:rsid w:val="004F208C"/>
    <w:rsid w:val="004F2166"/>
    <w:rsid w:val="004F21D4"/>
    <w:rsid w:val="004F2232"/>
    <w:rsid w:val="004F23BA"/>
    <w:rsid w:val="004F247A"/>
    <w:rsid w:val="004F24E5"/>
    <w:rsid w:val="004F2517"/>
    <w:rsid w:val="004F2780"/>
    <w:rsid w:val="004F281F"/>
    <w:rsid w:val="004F2B14"/>
    <w:rsid w:val="004F2B98"/>
    <w:rsid w:val="004F2C21"/>
    <w:rsid w:val="004F2D8D"/>
    <w:rsid w:val="004F2DDC"/>
    <w:rsid w:val="004F2DFB"/>
    <w:rsid w:val="004F2E3B"/>
    <w:rsid w:val="004F2F1A"/>
    <w:rsid w:val="004F2F48"/>
    <w:rsid w:val="004F2FB8"/>
    <w:rsid w:val="004F3014"/>
    <w:rsid w:val="004F3071"/>
    <w:rsid w:val="004F3080"/>
    <w:rsid w:val="004F3134"/>
    <w:rsid w:val="004F3275"/>
    <w:rsid w:val="004F327B"/>
    <w:rsid w:val="004F34CE"/>
    <w:rsid w:val="004F3521"/>
    <w:rsid w:val="004F354F"/>
    <w:rsid w:val="004F3711"/>
    <w:rsid w:val="004F3C1F"/>
    <w:rsid w:val="004F3C93"/>
    <w:rsid w:val="004F3CC1"/>
    <w:rsid w:val="004F3D5D"/>
    <w:rsid w:val="004F3F35"/>
    <w:rsid w:val="004F43A8"/>
    <w:rsid w:val="004F43AE"/>
    <w:rsid w:val="004F4454"/>
    <w:rsid w:val="004F4468"/>
    <w:rsid w:val="004F44F4"/>
    <w:rsid w:val="004F452E"/>
    <w:rsid w:val="004F4555"/>
    <w:rsid w:val="004F4646"/>
    <w:rsid w:val="004F464D"/>
    <w:rsid w:val="004F4667"/>
    <w:rsid w:val="004F46C8"/>
    <w:rsid w:val="004F4CEF"/>
    <w:rsid w:val="004F4E33"/>
    <w:rsid w:val="004F5579"/>
    <w:rsid w:val="004F559F"/>
    <w:rsid w:val="004F5651"/>
    <w:rsid w:val="004F5AF3"/>
    <w:rsid w:val="004F5CBA"/>
    <w:rsid w:val="004F5E79"/>
    <w:rsid w:val="004F5F6B"/>
    <w:rsid w:val="004F5FCC"/>
    <w:rsid w:val="004F6010"/>
    <w:rsid w:val="004F6081"/>
    <w:rsid w:val="004F61E9"/>
    <w:rsid w:val="004F62AB"/>
    <w:rsid w:val="004F6393"/>
    <w:rsid w:val="004F64B1"/>
    <w:rsid w:val="004F64C8"/>
    <w:rsid w:val="004F6782"/>
    <w:rsid w:val="004F67C5"/>
    <w:rsid w:val="004F690B"/>
    <w:rsid w:val="004F6970"/>
    <w:rsid w:val="004F69FE"/>
    <w:rsid w:val="004F6B4E"/>
    <w:rsid w:val="004F6BC4"/>
    <w:rsid w:val="004F6BEC"/>
    <w:rsid w:val="004F6C7A"/>
    <w:rsid w:val="004F6CC7"/>
    <w:rsid w:val="004F6E66"/>
    <w:rsid w:val="004F6F23"/>
    <w:rsid w:val="004F6F7B"/>
    <w:rsid w:val="004F7125"/>
    <w:rsid w:val="004F735A"/>
    <w:rsid w:val="004F75BD"/>
    <w:rsid w:val="004F775E"/>
    <w:rsid w:val="004F78A2"/>
    <w:rsid w:val="004F78A6"/>
    <w:rsid w:val="004F7AF3"/>
    <w:rsid w:val="004F7C23"/>
    <w:rsid w:val="004F7DED"/>
    <w:rsid w:val="004F7F62"/>
    <w:rsid w:val="0050034E"/>
    <w:rsid w:val="0050048B"/>
    <w:rsid w:val="00500605"/>
    <w:rsid w:val="0050071F"/>
    <w:rsid w:val="00500765"/>
    <w:rsid w:val="0050099B"/>
    <w:rsid w:val="005009E8"/>
    <w:rsid w:val="00500A2A"/>
    <w:rsid w:val="00500AA3"/>
    <w:rsid w:val="00500AC2"/>
    <w:rsid w:val="00500B40"/>
    <w:rsid w:val="00500C35"/>
    <w:rsid w:val="00500CA6"/>
    <w:rsid w:val="00501062"/>
    <w:rsid w:val="00501218"/>
    <w:rsid w:val="005012BD"/>
    <w:rsid w:val="00501317"/>
    <w:rsid w:val="00501399"/>
    <w:rsid w:val="005013B6"/>
    <w:rsid w:val="00501625"/>
    <w:rsid w:val="0050180A"/>
    <w:rsid w:val="00501838"/>
    <w:rsid w:val="005018A3"/>
    <w:rsid w:val="00501948"/>
    <w:rsid w:val="0050198C"/>
    <w:rsid w:val="00501A5B"/>
    <w:rsid w:val="00501B2E"/>
    <w:rsid w:val="00501B7C"/>
    <w:rsid w:val="00501BB6"/>
    <w:rsid w:val="00501C9E"/>
    <w:rsid w:val="00501CF7"/>
    <w:rsid w:val="0050201F"/>
    <w:rsid w:val="005020F7"/>
    <w:rsid w:val="005021D1"/>
    <w:rsid w:val="00502533"/>
    <w:rsid w:val="00502831"/>
    <w:rsid w:val="005028CC"/>
    <w:rsid w:val="00502A5A"/>
    <w:rsid w:val="00502B0D"/>
    <w:rsid w:val="00502BEF"/>
    <w:rsid w:val="00502DC0"/>
    <w:rsid w:val="00502DDE"/>
    <w:rsid w:val="00503088"/>
    <w:rsid w:val="0050310F"/>
    <w:rsid w:val="0050359E"/>
    <w:rsid w:val="005035AD"/>
    <w:rsid w:val="0050365D"/>
    <w:rsid w:val="005037C1"/>
    <w:rsid w:val="005037CE"/>
    <w:rsid w:val="0050381D"/>
    <w:rsid w:val="005038E9"/>
    <w:rsid w:val="00503A65"/>
    <w:rsid w:val="00503DFB"/>
    <w:rsid w:val="00503EF1"/>
    <w:rsid w:val="00504105"/>
    <w:rsid w:val="0050415E"/>
    <w:rsid w:val="00504354"/>
    <w:rsid w:val="00504528"/>
    <w:rsid w:val="00504861"/>
    <w:rsid w:val="00504A03"/>
    <w:rsid w:val="00504AE0"/>
    <w:rsid w:val="00504CFB"/>
    <w:rsid w:val="00504DEC"/>
    <w:rsid w:val="00504E06"/>
    <w:rsid w:val="00504F1F"/>
    <w:rsid w:val="00505061"/>
    <w:rsid w:val="0050508A"/>
    <w:rsid w:val="005051BD"/>
    <w:rsid w:val="00505257"/>
    <w:rsid w:val="00505571"/>
    <w:rsid w:val="005055FB"/>
    <w:rsid w:val="0050563C"/>
    <w:rsid w:val="00505873"/>
    <w:rsid w:val="005059F0"/>
    <w:rsid w:val="00505B32"/>
    <w:rsid w:val="00505B64"/>
    <w:rsid w:val="00505B79"/>
    <w:rsid w:val="0050604F"/>
    <w:rsid w:val="00506110"/>
    <w:rsid w:val="00506121"/>
    <w:rsid w:val="005061EF"/>
    <w:rsid w:val="0050622C"/>
    <w:rsid w:val="00506437"/>
    <w:rsid w:val="00506594"/>
    <w:rsid w:val="005065CA"/>
    <w:rsid w:val="00506711"/>
    <w:rsid w:val="0050684E"/>
    <w:rsid w:val="0050684F"/>
    <w:rsid w:val="00506AAF"/>
    <w:rsid w:val="00506D87"/>
    <w:rsid w:val="00506F7E"/>
    <w:rsid w:val="005076EA"/>
    <w:rsid w:val="00507847"/>
    <w:rsid w:val="00507A3B"/>
    <w:rsid w:val="00507B6A"/>
    <w:rsid w:val="00507C1B"/>
    <w:rsid w:val="00507C2C"/>
    <w:rsid w:val="00507DF8"/>
    <w:rsid w:val="00507E4C"/>
    <w:rsid w:val="00507E77"/>
    <w:rsid w:val="00507F19"/>
    <w:rsid w:val="00507FE3"/>
    <w:rsid w:val="005087E1"/>
    <w:rsid w:val="005101E0"/>
    <w:rsid w:val="005102BC"/>
    <w:rsid w:val="00510405"/>
    <w:rsid w:val="0051040F"/>
    <w:rsid w:val="00510563"/>
    <w:rsid w:val="0051082B"/>
    <w:rsid w:val="0051098D"/>
    <w:rsid w:val="005109D9"/>
    <w:rsid w:val="00510B69"/>
    <w:rsid w:val="00510BC9"/>
    <w:rsid w:val="00510BF6"/>
    <w:rsid w:val="00510C2E"/>
    <w:rsid w:val="00510CEC"/>
    <w:rsid w:val="00510D61"/>
    <w:rsid w:val="0051142B"/>
    <w:rsid w:val="00511672"/>
    <w:rsid w:val="005117A6"/>
    <w:rsid w:val="00511879"/>
    <w:rsid w:val="005118AE"/>
    <w:rsid w:val="00511900"/>
    <w:rsid w:val="0051193F"/>
    <w:rsid w:val="00511A37"/>
    <w:rsid w:val="00511B61"/>
    <w:rsid w:val="00511CB4"/>
    <w:rsid w:val="00511D2E"/>
    <w:rsid w:val="00511D96"/>
    <w:rsid w:val="00511DB5"/>
    <w:rsid w:val="00511F42"/>
    <w:rsid w:val="00512035"/>
    <w:rsid w:val="0051222A"/>
    <w:rsid w:val="00512307"/>
    <w:rsid w:val="00512429"/>
    <w:rsid w:val="005124EC"/>
    <w:rsid w:val="005127AC"/>
    <w:rsid w:val="00512946"/>
    <w:rsid w:val="00512A95"/>
    <w:rsid w:val="00512A9E"/>
    <w:rsid w:val="00512AB4"/>
    <w:rsid w:val="00512C33"/>
    <w:rsid w:val="00512CEA"/>
    <w:rsid w:val="00512D58"/>
    <w:rsid w:val="00512D7A"/>
    <w:rsid w:val="00512E2C"/>
    <w:rsid w:val="00512F78"/>
    <w:rsid w:val="0051301C"/>
    <w:rsid w:val="0051308A"/>
    <w:rsid w:val="0051313D"/>
    <w:rsid w:val="00513184"/>
    <w:rsid w:val="00513223"/>
    <w:rsid w:val="005134A0"/>
    <w:rsid w:val="00513538"/>
    <w:rsid w:val="0051353E"/>
    <w:rsid w:val="0051354D"/>
    <w:rsid w:val="005136A1"/>
    <w:rsid w:val="005136AF"/>
    <w:rsid w:val="005137BC"/>
    <w:rsid w:val="0051383A"/>
    <w:rsid w:val="00513923"/>
    <w:rsid w:val="00513A6B"/>
    <w:rsid w:val="00513A82"/>
    <w:rsid w:val="00513B6F"/>
    <w:rsid w:val="00513C1B"/>
    <w:rsid w:val="00513CFF"/>
    <w:rsid w:val="00513E74"/>
    <w:rsid w:val="00514154"/>
    <w:rsid w:val="00514373"/>
    <w:rsid w:val="0051447E"/>
    <w:rsid w:val="005145CE"/>
    <w:rsid w:val="005145E7"/>
    <w:rsid w:val="005147C8"/>
    <w:rsid w:val="005148A6"/>
    <w:rsid w:val="00514CBF"/>
    <w:rsid w:val="00514EC0"/>
    <w:rsid w:val="005150B7"/>
    <w:rsid w:val="005150D6"/>
    <w:rsid w:val="0051510B"/>
    <w:rsid w:val="0051526B"/>
    <w:rsid w:val="00515321"/>
    <w:rsid w:val="005153BB"/>
    <w:rsid w:val="0051570F"/>
    <w:rsid w:val="0051579A"/>
    <w:rsid w:val="00515801"/>
    <w:rsid w:val="00515873"/>
    <w:rsid w:val="005158E6"/>
    <w:rsid w:val="00515A14"/>
    <w:rsid w:val="00515A19"/>
    <w:rsid w:val="00515AA9"/>
    <w:rsid w:val="00515AAE"/>
    <w:rsid w:val="00515D2C"/>
    <w:rsid w:val="005160C3"/>
    <w:rsid w:val="00516141"/>
    <w:rsid w:val="00516204"/>
    <w:rsid w:val="0051634D"/>
    <w:rsid w:val="00516594"/>
    <w:rsid w:val="0051685F"/>
    <w:rsid w:val="00516A51"/>
    <w:rsid w:val="00516AC6"/>
    <w:rsid w:val="00516C8C"/>
    <w:rsid w:val="00516DC5"/>
    <w:rsid w:val="00516E5C"/>
    <w:rsid w:val="00516F04"/>
    <w:rsid w:val="00517539"/>
    <w:rsid w:val="0051777B"/>
    <w:rsid w:val="005177E3"/>
    <w:rsid w:val="005178AA"/>
    <w:rsid w:val="00517A76"/>
    <w:rsid w:val="00517C89"/>
    <w:rsid w:val="00517FB2"/>
    <w:rsid w:val="005200D6"/>
    <w:rsid w:val="0052016E"/>
    <w:rsid w:val="005201D4"/>
    <w:rsid w:val="00520223"/>
    <w:rsid w:val="005205B7"/>
    <w:rsid w:val="005206D6"/>
    <w:rsid w:val="005207C6"/>
    <w:rsid w:val="005207E2"/>
    <w:rsid w:val="005208DB"/>
    <w:rsid w:val="00520A6F"/>
    <w:rsid w:val="00520BED"/>
    <w:rsid w:val="00520DA0"/>
    <w:rsid w:val="00520DE7"/>
    <w:rsid w:val="00521029"/>
    <w:rsid w:val="00521313"/>
    <w:rsid w:val="005213D5"/>
    <w:rsid w:val="00521405"/>
    <w:rsid w:val="0052173A"/>
    <w:rsid w:val="005218F2"/>
    <w:rsid w:val="00521951"/>
    <w:rsid w:val="00521C29"/>
    <w:rsid w:val="00521E43"/>
    <w:rsid w:val="005225BD"/>
    <w:rsid w:val="00522657"/>
    <w:rsid w:val="005227CD"/>
    <w:rsid w:val="0052281A"/>
    <w:rsid w:val="00522826"/>
    <w:rsid w:val="0052299F"/>
    <w:rsid w:val="00522C45"/>
    <w:rsid w:val="00522DA6"/>
    <w:rsid w:val="00522E97"/>
    <w:rsid w:val="00522F33"/>
    <w:rsid w:val="00522F96"/>
    <w:rsid w:val="00523128"/>
    <w:rsid w:val="0052319D"/>
    <w:rsid w:val="0052349F"/>
    <w:rsid w:val="005235E5"/>
    <w:rsid w:val="00523657"/>
    <w:rsid w:val="005236FA"/>
    <w:rsid w:val="00523A34"/>
    <w:rsid w:val="00523A3A"/>
    <w:rsid w:val="00523AF0"/>
    <w:rsid w:val="00523CC9"/>
    <w:rsid w:val="00523F27"/>
    <w:rsid w:val="0052408E"/>
    <w:rsid w:val="00524108"/>
    <w:rsid w:val="0052413A"/>
    <w:rsid w:val="0052417D"/>
    <w:rsid w:val="00524182"/>
    <w:rsid w:val="00524287"/>
    <w:rsid w:val="00524290"/>
    <w:rsid w:val="00524356"/>
    <w:rsid w:val="00524654"/>
    <w:rsid w:val="005247EF"/>
    <w:rsid w:val="00524811"/>
    <w:rsid w:val="005248DD"/>
    <w:rsid w:val="00524A18"/>
    <w:rsid w:val="00524C1E"/>
    <w:rsid w:val="00524D48"/>
    <w:rsid w:val="00524D76"/>
    <w:rsid w:val="00524E19"/>
    <w:rsid w:val="00524FB8"/>
    <w:rsid w:val="005251BF"/>
    <w:rsid w:val="005252FB"/>
    <w:rsid w:val="0052573A"/>
    <w:rsid w:val="00525763"/>
    <w:rsid w:val="005257AB"/>
    <w:rsid w:val="005258E3"/>
    <w:rsid w:val="005259E4"/>
    <w:rsid w:val="00525A5D"/>
    <w:rsid w:val="00525B3C"/>
    <w:rsid w:val="00525B74"/>
    <w:rsid w:val="00525BA2"/>
    <w:rsid w:val="00525C28"/>
    <w:rsid w:val="00525D00"/>
    <w:rsid w:val="00525DF1"/>
    <w:rsid w:val="00525E04"/>
    <w:rsid w:val="00525F9A"/>
    <w:rsid w:val="005262C3"/>
    <w:rsid w:val="00526428"/>
    <w:rsid w:val="00526436"/>
    <w:rsid w:val="005265CD"/>
    <w:rsid w:val="005266C3"/>
    <w:rsid w:val="00526760"/>
    <w:rsid w:val="0052690E"/>
    <w:rsid w:val="00526938"/>
    <w:rsid w:val="00526BD6"/>
    <w:rsid w:val="00526CE3"/>
    <w:rsid w:val="00526D10"/>
    <w:rsid w:val="00526E71"/>
    <w:rsid w:val="00526EE4"/>
    <w:rsid w:val="00526F6C"/>
    <w:rsid w:val="00526FD8"/>
    <w:rsid w:val="00527293"/>
    <w:rsid w:val="005274A7"/>
    <w:rsid w:val="0052754B"/>
    <w:rsid w:val="00527555"/>
    <w:rsid w:val="00527785"/>
    <w:rsid w:val="005278E5"/>
    <w:rsid w:val="00527A36"/>
    <w:rsid w:val="00527B34"/>
    <w:rsid w:val="00527BB8"/>
    <w:rsid w:val="00527BFC"/>
    <w:rsid w:val="00527CE1"/>
    <w:rsid w:val="00527E5E"/>
    <w:rsid w:val="00527F91"/>
    <w:rsid w:val="00530307"/>
    <w:rsid w:val="005303C3"/>
    <w:rsid w:val="00530402"/>
    <w:rsid w:val="0053057E"/>
    <w:rsid w:val="005305A6"/>
    <w:rsid w:val="0053067F"/>
    <w:rsid w:val="005308DC"/>
    <w:rsid w:val="005308F9"/>
    <w:rsid w:val="005309B2"/>
    <w:rsid w:val="00530ADD"/>
    <w:rsid w:val="00530F5D"/>
    <w:rsid w:val="00531169"/>
    <w:rsid w:val="005312CC"/>
    <w:rsid w:val="0053136C"/>
    <w:rsid w:val="00531591"/>
    <w:rsid w:val="005315C6"/>
    <w:rsid w:val="00531612"/>
    <w:rsid w:val="005317CE"/>
    <w:rsid w:val="00531854"/>
    <w:rsid w:val="00531970"/>
    <w:rsid w:val="00531A42"/>
    <w:rsid w:val="00531CF0"/>
    <w:rsid w:val="00531FCE"/>
    <w:rsid w:val="00532142"/>
    <w:rsid w:val="00532232"/>
    <w:rsid w:val="00532235"/>
    <w:rsid w:val="0053230F"/>
    <w:rsid w:val="00532457"/>
    <w:rsid w:val="0053253C"/>
    <w:rsid w:val="005326A8"/>
    <w:rsid w:val="0053282D"/>
    <w:rsid w:val="00532844"/>
    <w:rsid w:val="005328E0"/>
    <w:rsid w:val="005329EE"/>
    <w:rsid w:val="00532A7E"/>
    <w:rsid w:val="00532B52"/>
    <w:rsid w:val="00532BFB"/>
    <w:rsid w:val="00532CA3"/>
    <w:rsid w:val="00532CE6"/>
    <w:rsid w:val="00532DFB"/>
    <w:rsid w:val="00532F3E"/>
    <w:rsid w:val="00532FD4"/>
    <w:rsid w:val="00532FEF"/>
    <w:rsid w:val="0053313D"/>
    <w:rsid w:val="005331DE"/>
    <w:rsid w:val="005332A3"/>
    <w:rsid w:val="0053342E"/>
    <w:rsid w:val="0053343E"/>
    <w:rsid w:val="00533643"/>
    <w:rsid w:val="00533791"/>
    <w:rsid w:val="005338F3"/>
    <w:rsid w:val="00533BD2"/>
    <w:rsid w:val="00533D02"/>
    <w:rsid w:val="00533D18"/>
    <w:rsid w:val="005340B1"/>
    <w:rsid w:val="0053411C"/>
    <w:rsid w:val="00534287"/>
    <w:rsid w:val="00534390"/>
    <w:rsid w:val="00534499"/>
    <w:rsid w:val="005344BB"/>
    <w:rsid w:val="0053477E"/>
    <w:rsid w:val="00534801"/>
    <w:rsid w:val="00534877"/>
    <w:rsid w:val="005348A3"/>
    <w:rsid w:val="00534B36"/>
    <w:rsid w:val="00534C4E"/>
    <w:rsid w:val="00534D72"/>
    <w:rsid w:val="00534D88"/>
    <w:rsid w:val="00534F2C"/>
    <w:rsid w:val="00534F75"/>
    <w:rsid w:val="00535087"/>
    <w:rsid w:val="00535255"/>
    <w:rsid w:val="005354D2"/>
    <w:rsid w:val="005356D4"/>
    <w:rsid w:val="00535A36"/>
    <w:rsid w:val="00535C4E"/>
    <w:rsid w:val="00535D2B"/>
    <w:rsid w:val="00535F43"/>
    <w:rsid w:val="00535F9C"/>
    <w:rsid w:val="00536255"/>
    <w:rsid w:val="005362B7"/>
    <w:rsid w:val="00536342"/>
    <w:rsid w:val="005363D9"/>
    <w:rsid w:val="005365C4"/>
    <w:rsid w:val="00536633"/>
    <w:rsid w:val="0053675A"/>
    <w:rsid w:val="005367D1"/>
    <w:rsid w:val="0053680A"/>
    <w:rsid w:val="005368A8"/>
    <w:rsid w:val="00536977"/>
    <w:rsid w:val="005369A8"/>
    <w:rsid w:val="00536C26"/>
    <w:rsid w:val="00536C9A"/>
    <w:rsid w:val="00536CB5"/>
    <w:rsid w:val="00536D74"/>
    <w:rsid w:val="00536F99"/>
    <w:rsid w:val="005370BE"/>
    <w:rsid w:val="005370E2"/>
    <w:rsid w:val="005370EF"/>
    <w:rsid w:val="00537124"/>
    <w:rsid w:val="0053720D"/>
    <w:rsid w:val="0053721F"/>
    <w:rsid w:val="0053735E"/>
    <w:rsid w:val="005373D3"/>
    <w:rsid w:val="00537600"/>
    <w:rsid w:val="005379CB"/>
    <w:rsid w:val="00537BC8"/>
    <w:rsid w:val="00537BFD"/>
    <w:rsid w:val="00537D2C"/>
    <w:rsid w:val="00537D72"/>
    <w:rsid w:val="00537DAD"/>
    <w:rsid w:val="00537EFA"/>
    <w:rsid w:val="00537F3A"/>
    <w:rsid w:val="00537F4E"/>
    <w:rsid w:val="0054034E"/>
    <w:rsid w:val="00540530"/>
    <w:rsid w:val="00540607"/>
    <w:rsid w:val="00540773"/>
    <w:rsid w:val="00540AEB"/>
    <w:rsid w:val="00540BD6"/>
    <w:rsid w:val="00540BDE"/>
    <w:rsid w:val="00540C2F"/>
    <w:rsid w:val="00540CC9"/>
    <w:rsid w:val="00540CF4"/>
    <w:rsid w:val="00541027"/>
    <w:rsid w:val="00541427"/>
    <w:rsid w:val="005417D0"/>
    <w:rsid w:val="00541888"/>
    <w:rsid w:val="005419D9"/>
    <w:rsid w:val="00541BFA"/>
    <w:rsid w:val="00541C38"/>
    <w:rsid w:val="00541C50"/>
    <w:rsid w:val="00541CDD"/>
    <w:rsid w:val="00541F39"/>
    <w:rsid w:val="00541F74"/>
    <w:rsid w:val="005420D8"/>
    <w:rsid w:val="00542152"/>
    <w:rsid w:val="00542293"/>
    <w:rsid w:val="005422CE"/>
    <w:rsid w:val="005422D7"/>
    <w:rsid w:val="0054239E"/>
    <w:rsid w:val="0054245C"/>
    <w:rsid w:val="005424D9"/>
    <w:rsid w:val="0054267D"/>
    <w:rsid w:val="005426E9"/>
    <w:rsid w:val="00542715"/>
    <w:rsid w:val="00542803"/>
    <w:rsid w:val="00542820"/>
    <w:rsid w:val="00542907"/>
    <w:rsid w:val="00542952"/>
    <w:rsid w:val="00542CDE"/>
    <w:rsid w:val="00542CE5"/>
    <w:rsid w:val="00542D6F"/>
    <w:rsid w:val="00542E0B"/>
    <w:rsid w:val="00542E81"/>
    <w:rsid w:val="00542F3F"/>
    <w:rsid w:val="0054345B"/>
    <w:rsid w:val="0054356E"/>
    <w:rsid w:val="0054372F"/>
    <w:rsid w:val="005437E1"/>
    <w:rsid w:val="00543825"/>
    <w:rsid w:val="005438DB"/>
    <w:rsid w:val="00543A17"/>
    <w:rsid w:val="00543CBF"/>
    <w:rsid w:val="00543EB1"/>
    <w:rsid w:val="00543F74"/>
    <w:rsid w:val="0054400F"/>
    <w:rsid w:val="005442A3"/>
    <w:rsid w:val="005443BE"/>
    <w:rsid w:val="00544739"/>
    <w:rsid w:val="0054473E"/>
    <w:rsid w:val="00544944"/>
    <w:rsid w:val="00544976"/>
    <w:rsid w:val="00544ADD"/>
    <w:rsid w:val="00544C6E"/>
    <w:rsid w:val="00544CA2"/>
    <w:rsid w:val="00544CEC"/>
    <w:rsid w:val="00544E26"/>
    <w:rsid w:val="00544E5E"/>
    <w:rsid w:val="00544ED5"/>
    <w:rsid w:val="00544EE4"/>
    <w:rsid w:val="00545332"/>
    <w:rsid w:val="00545476"/>
    <w:rsid w:val="00545499"/>
    <w:rsid w:val="005454CD"/>
    <w:rsid w:val="00545504"/>
    <w:rsid w:val="005455E5"/>
    <w:rsid w:val="005457EB"/>
    <w:rsid w:val="00545B19"/>
    <w:rsid w:val="00545C1F"/>
    <w:rsid w:val="00545C34"/>
    <w:rsid w:val="00545D3A"/>
    <w:rsid w:val="00545D45"/>
    <w:rsid w:val="00545DC3"/>
    <w:rsid w:val="00545E42"/>
    <w:rsid w:val="0054627B"/>
    <w:rsid w:val="005462EE"/>
    <w:rsid w:val="0054642E"/>
    <w:rsid w:val="00546497"/>
    <w:rsid w:val="0054681B"/>
    <w:rsid w:val="005468B7"/>
    <w:rsid w:val="005468C5"/>
    <w:rsid w:val="005468E9"/>
    <w:rsid w:val="0054690C"/>
    <w:rsid w:val="0054692F"/>
    <w:rsid w:val="005469B4"/>
    <w:rsid w:val="005469E9"/>
    <w:rsid w:val="00546A6A"/>
    <w:rsid w:val="00546B4E"/>
    <w:rsid w:val="00546C41"/>
    <w:rsid w:val="00546C98"/>
    <w:rsid w:val="00546CD8"/>
    <w:rsid w:val="00546DAA"/>
    <w:rsid w:val="00546FBD"/>
    <w:rsid w:val="00546FDE"/>
    <w:rsid w:val="00547050"/>
    <w:rsid w:val="00547122"/>
    <w:rsid w:val="0054735F"/>
    <w:rsid w:val="00547676"/>
    <w:rsid w:val="0054772F"/>
    <w:rsid w:val="00547883"/>
    <w:rsid w:val="00547981"/>
    <w:rsid w:val="00547AD5"/>
    <w:rsid w:val="00547CD7"/>
    <w:rsid w:val="00547D75"/>
    <w:rsid w:val="00547EA1"/>
    <w:rsid w:val="00547FFA"/>
    <w:rsid w:val="0054C1D9"/>
    <w:rsid w:val="00550011"/>
    <w:rsid w:val="00550014"/>
    <w:rsid w:val="0055024F"/>
    <w:rsid w:val="00550537"/>
    <w:rsid w:val="005505B2"/>
    <w:rsid w:val="005506F1"/>
    <w:rsid w:val="0055072A"/>
    <w:rsid w:val="00550890"/>
    <w:rsid w:val="00550CDD"/>
    <w:rsid w:val="00550DB1"/>
    <w:rsid w:val="0055110E"/>
    <w:rsid w:val="005511CB"/>
    <w:rsid w:val="00551634"/>
    <w:rsid w:val="005517E6"/>
    <w:rsid w:val="005518D4"/>
    <w:rsid w:val="005519AF"/>
    <w:rsid w:val="00551A68"/>
    <w:rsid w:val="00551B8C"/>
    <w:rsid w:val="00551D02"/>
    <w:rsid w:val="00551EDD"/>
    <w:rsid w:val="00552028"/>
    <w:rsid w:val="0055203A"/>
    <w:rsid w:val="005523EC"/>
    <w:rsid w:val="00552561"/>
    <w:rsid w:val="00552792"/>
    <w:rsid w:val="00552867"/>
    <w:rsid w:val="005528AD"/>
    <w:rsid w:val="00552D95"/>
    <w:rsid w:val="00552F50"/>
    <w:rsid w:val="00553059"/>
    <w:rsid w:val="00553090"/>
    <w:rsid w:val="005530E7"/>
    <w:rsid w:val="0055325F"/>
    <w:rsid w:val="00553272"/>
    <w:rsid w:val="005532D6"/>
    <w:rsid w:val="005536C8"/>
    <w:rsid w:val="005536F5"/>
    <w:rsid w:val="00553A15"/>
    <w:rsid w:val="00553C7E"/>
    <w:rsid w:val="00553DE8"/>
    <w:rsid w:val="00553EFE"/>
    <w:rsid w:val="005541CA"/>
    <w:rsid w:val="0055439F"/>
    <w:rsid w:val="00554638"/>
    <w:rsid w:val="0055464B"/>
    <w:rsid w:val="005547B1"/>
    <w:rsid w:val="00554B53"/>
    <w:rsid w:val="00554CCA"/>
    <w:rsid w:val="00554D64"/>
    <w:rsid w:val="00554EAB"/>
    <w:rsid w:val="00554F43"/>
    <w:rsid w:val="00554FEA"/>
    <w:rsid w:val="00555138"/>
    <w:rsid w:val="00555392"/>
    <w:rsid w:val="005553FE"/>
    <w:rsid w:val="005554BA"/>
    <w:rsid w:val="005554C0"/>
    <w:rsid w:val="00555599"/>
    <w:rsid w:val="00555830"/>
    <w:rsid w:val="005558F8"/>
    <w:rsid w:val="00555AB7"/>
    <w:rsid w:val="00555B90"/>
    <w:rsid w:val="00555DCE"/>
    <w:rsid w:val="00555DDD"/>
    <w:rsid w:val="00556018"/>
    <w:rsid w:val="0055605C"/>
    <w:rsid w:val="00556074"/>
    <w:rsid w:val="00556088"/>
    <w:rsid w:val="005561D5"/>
    <w:rsid w:val="0055631D"/>
    <w:rsid w:val="00556853"/>
    <w:rsid w:val="005569BD"/>
    <w:rsid w:val="00556B45"/>
    <w:rsid w:val="00556E20"/>
    <w:rsid w:val="005571B0"/>
    <w:rsid w:val="005573C7"/>
    <w:rsid w:val="005573D4"/>
    <w:rsid w:val="0055753D"/>
    <w:rsid w:val="00557768"/>
    <w:rsid w:val="00557A96"/>
    <w:rsid w:val="00557AD6"/>
    <w:rsid w:val="00557D43"/>
    <w:rsid w:val="00557DF8"/>
    <w:rsid w:val="00557E2F"/>
    <w:rsid w:val="00557EAA"/>
    <w:rsid w:val="00557EB0"/>
    <w:rsid w:val="00557F73"/>
    <w:rsid w:val="00560042"/>
    <w:rsid w:val="00560582"/>
    <w:rsid w:val="0056058F"/>
    <w:rsid w:val="005605FA"/>
    <w:rsid w:val="0056074C"/>
    <w:rsid w:val="005608B4"/>
    <w:rsid w:val="005609DA"/>
    <w:rsid w:val="00560A19"/>
    <w:rsid w:val="00561088"/>
    <w:rsid w:val="00561131"/>
    <w:rsid w:val="005611BB"/>
    <w:rsid w:val="0056152C"/>
    <w:rsid w:val="005615FA"/>
    <w:rsid w:val="005616CE"/>
    <w:rsid w:val="0056175E"/>
    <w:rsid w:val="00561811"/>
    <w:rsid w:val="00561BD5"/>
    <w:rsid w:val="00561CB0"/>
    <w:rsid w:val="00561ED9"/>
    <w:rsid w:val="00561F76"/>
    <w:rsid w:val="0056227A"/>
    <w:rsid w:val="00562674"/>
    <w:rsid w:val="005629D4"/>
    <w:rsid w:val="00562AEF"/>
    <w:rsid w:val="00562C7D"/>
    <w:rsid w:val="00562D50"/>
    <w:rsid w:val="00563163"/>
    <w:rsid w:val="0056323E"/>
    <w:rsid w:val="005633A1"/>
    <w:rsid w:val="00563515"/>
    <w:rsid w:val="005635D7"/>
    <w:rsid w:val="00563686"/>
    <w:rsid w:val="00563760"/>
    <w:rsid w:val="005637B8"/>
    <w:rsid w:val="00563878"/>
    <w:rsid w:val="005638E2"/>
    <w:rsid w:val="0056395E"/>
    <w:rsid w:val="00563B4B"/>
    <w:rsid w:val="00563D4E"/>
    <w:rsid w:val="00563E00"/>
    <w:rsid w:val="00563E42"/>
    <w:rsid w:val="005641DA"/>
    <w:rsid w:val="0056442C"/>
    <w:rsid w:val="005645C5"/>
    <w:rsid w:val="005646FF"/>
    <w:rsid w:val="0056473D"/>
    <w:rsid w:val="005648AE"/>
    <w:rsid w:val="005648F7"/>
    <w:rsid w:val="00564A11"/>
    <w:rsid w:val="00565051"/>
    <w:rsid w:val="0056514E"/>
    <w:rsid w:val="00565372"/>
    <w:rsid w:val="005653E5"/>
    <w:rsid w:val="00565403"/>
    <w:rsid w:val="00565612"/>
    <w:rsid w:val="00565680"/>
    <w:rsid w:val="00565863"/>
    <w:rsid w:val="005659E0"/>
    <w:rsid w:val="00565CCD"/>
    <w:rsid w:val="00566111"/>
    <w:rsid w:val="0056629F"/>
    <w:rsid w:val="005663A2"/>
    <w:rsid w:val="005665C4"/>
    <w:rsid w:val="005666A3"/>
    <w:rsid w:val="005666B3"/>
    <w:rsid w:val="0056671C"/>
    <w:rsid w:val="0056676D"/>
    <w:rsid w:val="005668A6"/>
    <w:rsid w:val="00566975"/>
    <w:rsid w:val="00566AA3"/>
    <w:rsid w:val="00566AD9"/>
    <w:rsid w:val="00566B62"/>
    <w:rsid w:val="00566D7F"/>
    <w:rsid w:val="00566DD1"/>
    <w:rsid w:val="00566F15"/>
    <w:rsid w:val="005670D6"/>
    <w:rsid w:val="00567134"/>
    <w:rsid w:val="0056758F"/>
    <w:rsid w:val="005675D3"/>
    <w:rsid w:val="0056779A"/>
    <w:rsid w:val="00567866"/>
    <w:rsid w:val="00567893"/>
    <w:rsid w:val="00567944"/>
    <w:rsid w:val="005679D0"/>
    <w:rsid w:val="00567B88"/>
    <w:rsid w:val="00567BDA"/>
    <w:rsid w:val="00567DA0"/>
    <w:rsid w:val="00567ECB"/>
    <w:rsid w:val="00567FBA"/>
    <w:rsid w:val="00567FFA"/>
    <w:rsid w:val="00570007"/>
    <w:rsid w:val="005703CF"/>
    <w:rsid w:val="005703EF"/>
    <w:rsid w:val="005705DA"/>
    <w:rsid w:val="0057099D"/>
    <w:rsid w:val="005709A6"/>
    <w:rsid w:val="00570A79"/>
    <w:rsid w:val="00570B44"/>
    <w:rsid w:val="00570BA2"/>
    <w:rsid w:val="00570BBA"/>
    <w:rsid w:val="00570BD5"/>
    <w:rsid w:val="00570DBB"/>
    <w:rsid w:val="00570DED"/>
    <w:rsid w:val="005712CE"/>
    <w:rsid w:val="0057130C"/>
    <w:rsid w:val="0057162B"/>
    <w:rsid w:val="00571798"/>
    <w:rsid w:val="005717B7"/>
    <w:rsid w:val="005717E5"/>
    <w:rsid w:val="00571A3E"/>
    <w:rsid w:val="00571BAF"/>
    <w:rsid w:val="00571CDE"/>
    <w:rsid w:val="0057218A"/>
    <w:rsid w:val="005721CD"/>
    <w:rsid w:val="00572364"/>
    <w:rsid w:val="0057255E"/>
    <w:rsid w:val="005726A9"/>
    <w:rsid w:val="0057277A"/>
    <w:rsid w:val="00572794"/>
    <w:rsid w:val="005727D9"/>
    <w:rsid w:val="00572958"/>
    <w:rsid w:val="00572B02"/>
    <w:rsid w:val="00572BA2"/>
    <w:rsid w:val="00572C65"/>
    <w:rsid w:val="00573023"/>
    <w:rsid w:val="0057317F"/>
    <w:rsid w:val="00573364"/>
    <w:rsid w:val="005736FD"/>
    <w:rsid w:val="0057380C"/>
    <w:rsid w:val="0057385C"/>
    <w:rsid w:val="00573980"/>
    <w:rsid w:val="00573A1C"/>
    <w:rsid w:val="00573A2C"/>
    <w:rsid w:val="00573ABC"/>
    <w:rsid w:val="00573B0E"/>
    <w:rsid w:val="00573C9F"/>
    <w:rsid w:val="00573ED5"/>
    <w:rsid w:val="0057400A"/>
    <w:rsid w:val="00574208"/>
    <w:rsid w:val="00574627"/>
    <w:rsid w:val="005747C6"/>
    <w:rsid w:val="0057488B"/>
    <w:rsid w:val="005748E7"/>
    <w:rsid w:val="00574B0C"/>
    <w:rsid w:val="00574CE0"/>
    <w:rsid w:val="00574ECB"/>
    <w:rsid w:val="0057517B"/>
    <w:rsid w:val="00575A97"/>
    <w:rsid w:val="00575CAF"/>
    <w:rsid w:val="00575E1C"/>
    <w:rsid w:val="00576266"/>
    <w:rsid w:val="005763DB"/>
    <w:rsid w:val="00576969"/>
    <w:rsid w:val="00576AEA"/>
    <w:rsid w:val="00576BD7"/>
    <w:rsid w:val="00576BDA"/>
    <w:rsid w:val="00576C7E"/>
    <w:rsid w:val="00576CEF"/>
    <w:rsid w:val="00576F7E"/>
    <w:rsid w:val="00577004"/>
    <w:rsid w:val="005770D0"/>
    <w:rsid w:val="005770D7"/>
    <w:rsid w:val="0057722D"/>
    <w:rsid w:val="00577747"/>
    <w:rsid w:val="005778A7"/>
    <w:rsid w:val="005779D0"/>
    <w:rsid w:val="005779F6"/>
    <w:rsid w:val="00577AAB"/>
    <w:rsid w:val="00577C08"/>
    <w:rsid w:val="00577D59"/>
    <w:rsid w:val="00577F21"/>
    <w:rsid w:val="00577FCC"/>
    <w:rsid w:val="00577FF8"/>
    <w:rsid w:val="0058003C"/>
    <w:rsid w:val="0058033D"/>
    <w:rsid w:val="0058069E"/>
    <w:rsid w:val="005806F5"/>
    <w:rsid w:val="005807D2"/>
    <w:rsid w:val="00580D28"/>
    <w:rsid w:val="00580D56"/>
    <w:rsid w:val="00580D9C"/>
    <w:rsid w:val="005810C0"/>
    <w:rsid w:val="00581314"/>
    <w:rsid w:val="00581509"/>
    <w:rsid w:val="005816BF"/>
    <w:rsid w:val="00581756"/>
    <w:rsid w:val="005819E2"/>
    <w:rsid w:val="00581A1F"/>
    <w:rsid w:val="00581AD6"/>
    <w:rsid w:val="00581DE8"/>
    <w:rsid w:val="00581E40"/>
    <w:rsid w:val="00581E7C"/>
    <w:rsid w:val="0058238C"/>
    <w:rsid w:val="00582528"/>
    <w:rsid w:val="00582616"/>
    <w:rsid w:val="0058265A"/>
    <w:rsid w:val="0058269B"/>
    <w:rsid w:val="0058270A"/>
    <w:rsid w:val="005828C5"/>
    <w:rsid w:val="00582AAF"/>
    <w:rsid w:val="00582C30"/>
    <w:rsid w:val="00582C67"/>
    <w:rsid w:val="00582C8A"/>
    <w:rsid w:val="00582D10"/>
    <w:rsid w:val="00582EA6"/>
    <w:rsid w:val="00582FBE"/>
    <w:rsid w:val="005830FB"/>
    <w:rsid w:val="0058331D"/>
    <w:rsid w:val="005836AA"/>
    <w:rsid w:val="00583756"/>
    <w:rsid w:val="005837B2"/>
    <w:rsid w:val="005839C1"/>
    <w:rsid w:val="00583BA5"/>
    <w:rsid w:val="00583C7F"/>
    <w:rsid w:val="00583E95"/>
    <w:rsid w:val="0058400E"/>
    <w:rsid w:val="0058425F"/>
    <w:rsid w:val="00584395"/>
    <w:rsid w:val="00584493"/>
    <w:rsid w:val="005844D4"/>
    <w:rsid w:val="0058460A"/>
    <w:rsid w:val="00584AF7"/>
    <w:rsid w:val="00584B4E"/>
    <w:rsid w:val="00584C42"/>
    <w:rsid w:val="00584EBE"/>
    <w:rsid w:val="00584ED5"/>
    <w:rsid w:val="00584F58"/>
    <w:rsid w:val="00584FE6"/>
    <w:rsid w:val="005850B9"/>
    <w:rsid w:val="005852AF"/>
    <w:rsid w:val="005852DD"/>
    <w:rsid w:val="005855D7"/>
    <w:rsid w:val="0058566A"/>
    <w:rsid w:val="00585962"/>
    <w:rsid w:val="00585C31"/>
    <w:rsid w:val="00585E31"/>
    <w:rsid w:val="00585FAB"/>
    <w:rsid w:val="00586068"/>
    <w:rsid w:val="00586135"/>
    <w:rsid w:val="00586196"/>
    <w:rsid w:val="005863F1"/>
    <w:rsid w:val="0058648D"/>
    <w:rsid w:val="00586588"/>
    <w:rsid w:val="0058672F"/>
    <w:rsid w:val="005867F3"/>
    <w:rsid w:val="00586807"/>
    <w:rsid w:val="0058683F"/>
    <w:rsid w:val="00586A8B"/>
    <w:rsid w:val="00586AB7"/>
    <w:rsid w:val="00586CE0"/>
    <w:rsid w:val="00586CF1"/>
    <w:rsid w:val="00586EFC"/>
    <w:rsid w:val="00586F92"/>
    <w:rsid w:val="00586FDE"/>
    <w:rsid w:val="00586FF2"/>
    <w:rsid w:val="005870E6"/>
    <w:rsid w:val="005872F3"/>
    <w:rsid w:val="0058730B"/>
    <w:rsid w:val="005873B7"/>
    <w:rsid w:val="005879D9"/>
    <w:rsid w:val="00587AED"/>
    <w:rsid w:val="00587B3E"/>
    <w:rsid w:val="00587B93"/>
    <w:rsid w:val="00587C8B"/>
    <w:rsid w:val="00587CF2"/>
    <w:rsid w:val="00587D73"/>
    <w:rsid w:val="00587ED5"/>
    <w:rsid w:val="00587F47"/>
    <w:rsid w:val="00590055"/>
    <w:rsid w:val="0059022E"/>
    <w:rsid w:val="00590244"/>
    <w:rsid w:val="0059028D"/>
    <w:rsid w:val="00590305"/>
    <w:rsid w:val="005903D7"/>
    <w:rsid w:val="0059040D"/>
    <w:rsid w:val="00590547"/>
    <w:rsid w:val="005905D3"/>
    <w:rsid w:val="00590670"/>
    <w:rsid w:val="0059077F"/>
    <w:rsid w:val="00590E16"/>
    <w:rsid w:val="00590E34"/>
    <w:rsid w:val="00590E4A"/>
    <w:rsid w:val="00590F4F"/>
    <w:rsid w:val="00591092"/>
    <w:rsid w:val="005913BF"/>
    <w:rsid w:val="00591483"/>
    <w:rsid w:val="005914B1"/>
    <w:rsid w:val="0059160B"/>
    <w:rsid w:val="005918A4"/>
    <w:rsid w:val="005918A5"/>
    <w:rsid w:val="00591934"/>
    <w:rsid w:val="005919B9"/>
    <w:rsid w:val="00591EFC"/>
    <w:rsid w:val="00592124"/>
    <w:rsid w:val="00592185"/>
    <w:rsid w:val="005921A5"/>
    <w:rsid w:val="005922D2"/>
    <w:rsid w:val="005924A1"/>
    <w:rsid w:val="00592696"/>
    <w:rsid w:val="005928DF"/>
    <w:rsid w:val="00592A84"/>
    <w:rsid w:val="00592AA3"/>
    <w:rsid w:val="00592B28"/>
    <w:rsid w:val="00592B91"/>
    <w:rsid w:val="00592C47"/>
    <w:rsid w:val="00592CAE"/>
    <w:rsid w:val="00592E29"/>
    <w:rsid w:val="00592EC9"/>
    <w:rsid w:val="00592F82"/>
    <w:rsid w:val="005930A8"/>
    <w:rsid w:val="005930E0"/>
    <w:rsid w:val="00593152"/>
    <w:rsid w:val="005932C1"/>
    <w:rsid w:val="00593852"/>
    <w:rsid w:val="005938A0"/>
    <w:rsid w:val="00593A67"/>
    <w:rsid w:val="00593D06"/>
    <w:rsid w:val="00593DC0"/>
    <w:rsid w:val="00593F13"/>
    <w:rsid w:val="00593FCB"/>
    <w:rsid w:val="00593FFD"/>
    <w:rsid w:val="005940C5"/>
    <w:rsid w:val="005942C4"/>
    <w:rsid w:val="005943A5"/>
    <w:rsid w:val="00594503"/>
    <w:rsid w:val="0059465F"/>
    <w:rsid w:val="0059469D"/>
    <w:rsid w:val="005946CC"/>
    <w:rsid w:val="00594872"/>
    <w:rsid w:val="005948FB"/>
    <w:rsid w:val="00594AEF"/>
    <w:rsid w:val="00594F24"/>
    <w:rsid w:val="00594F87"/>
    <w:rsid w:val="0059500B"/>
    <w:rsid w:val="0059510E"/>
    <w:rsid w:val="005952EC"/>
    <w:rsid w:val="0059575B"/>
    <w:rsid w:val="005957A9"/>
    <w:rsid w:val="0059590A"/>
    <w:rsid w:val="005959F5"/>
    <w:rsid w:val="00595A55"/>
    <w:rsid w:val="00595A91"/>
    <w:rsid w:val="00595B4A"/>
    <w:rsid w:val="00595C06"/>
    <w:rsid w:val="00595DD3"/>
    <w:rsid w:val="00596123"/>
    <w:rsid w:val="00596261"/>
    <w:rsid w:val="00596529"/>
    <w:rsid w:val="005965F1"/>
    <w:rsid w:val="00596B1D"/>
    <w:rsid w:val="00596B30"/>
    <w:rsid w:val="00596CDB"/>
    <w:rsid w:val="005970DA"/>
    <w:rsid w:val="00597404"/>
    <w:rsid w:val="0059770C"/>
    <w:rsid w:val="005977C4"/>
    <w:rsid w:val="00597AE2"/>
    <w:rsid w:val="00597B43"/>
    <w:rsid w:val="00597BE7"/>
    <w:rsid w:val="00597CC5"/>
    <w:rsid w:val="00597D9B"/>
    <w:rsid w:val="00597EF9"/>
    <w:rsid w:val="00597F07"/>
    <w:rsid w:val="00597F45"/>
    <w:rsid w:val="00597F81"/>
    <w:rsid w:val="00597FB6"/>
    <w:rsid w:val="0059F202"/>
    <w:rsid w:val="005A0070"/>
    <w:rsid w:val="005A0170"/>
    <w:rsid w:val="005A02B3"/>
    <w:rsid w:val="005A0473"/>
    <w:rsid w:val="005A0597"/>
    <w:rsid w:val="005A06E6"/>
    <w:rsid w:val="005A07A2"/>
    <w:rsid w:val="005A0954"/>
    <w:rsid w:val="005A0974"/>
    <w:rsid w:val="005A09F0"/>
    <w:rsid w:val="005A0C01"/>
    <w:rsid w:val="005A0D3A"/>
    <w:rsid w:val="005A0D65"/>
    <w:rsid w:val="005A0F5A"/>
    <w:rsid w:val="005A0FC8"/>
    <w:rsid w:val="005A106A"/>
    <w:rsid w:val="005A1072"/>
    <w:rsid w:val="005A10B4"/>
    <w:rsid w:val="005A1242"/>
    <w:rsid w:val="005A156F"/>
    <w:rsid w:val="005A15FD"/>
    <w:rsid w:val="005A169C"/>
    <w:rsid w:val="005A1747"/>
    <w:rsid w:val="005A176E"/>
    <w:rsid w:val="005A1906"/>
    <w:rsid w:val="005A19A4"/>
    <w:rsid w:val="005A1B05"/>
    <w:rsid w:val="005A1BDB"/>
    <w:rsid w:val="005A1CEA"/>
    <w:rsid w:val="005A1D79"/>
    <w:rsid w:val="005A1DF5"/>
    <w:rsid w:val="005A20F3"/>
    <w:rsid w:val="005A211A"/>
    <w:rsid w:val="005A2454"/>
    <w:rsid w:val="005A29D9"/>
    <w:rsid w:val="005A2AA1"/>
    <w:rsid w:val="005A2D7C"/>
    <w:rsid w:val="005A2E52"/>
    <w:rsid w:val="005A3083"/>
    <w:rsid w:val="005A30EF"/>
    <w:rsid w:val="005A321E"/>
    <w:rsid w:val="005A3281"/>
    <w:rsid w:val="005A33F3"/>
    <w:rsid w:val="005A368D"/>
    <w:rsid w:val="005A376E"/>
    <w:rsid w:val="005A3B49"/>
    <w:rsid w:val="005A3CF1"/>
    <w:rsid w:val="005A3DCC"/>
    <w:rsid w:val="005A3E65"/>
    <w:rsid w:val="005A3EC6"/>
    <w:rsid w:val="005A42BD"/>
    <w:rsid w:val="005A44B1"/>
    <w:rsid w:val="005A47C0"/>
    <w:rsid w:val="005A4918"/>
    <w:rsid w:val="005A495B"/>
    <w:rsid w:val="005A4967"/>
    <w:rsid w:val="005A4C6F"/>
    <w:rsid w:val="005A4CAA"/>
    <w:rsid w:val="005A4DB0"/>
    <w:rsid w:val="005A4E90"/>
    <w:rsid w:val="005A5119"/>
    <w:rsid w:val="005A511F"/>
    <w:rsid w:val="005A5149"/>
    <w:rsid w:val="005A5194"/>
    <w:rsid w:val="005A51E7"/>
    <w:rsid w:val="005A5314"/>
    <w:rsid w:val="005A549F"/>
    <w:rsid w:val="005A54B9"/>
    <w:rsid w:val="005A56B3"/>
    <w:rsid w:val="005A5884"/>
    <w:rsid w:val="005A5AB0"/>
    <w:rsid w:val="005A5B3A"/>
    <w:rsid w:val="005A5EDD"/>
    <w:rsid w:val="005A6169"/>
    <w:rsid w:val="005A619C"/>
    <w:rsid w:val="005A6238"/>
    <w:rsid w:val="005A626C"/>
    <w:rsid w:val="005A6567"/>
    <w:rsid w:val="005A65AA"/>
    <w:rsid w:val="005A66DB"/>
    <w:rsid w:val="005A66F1"/>
    <w:rsid w:val="005A6736"/>
    <w:rsid w:val="005A69D3"/>
    <w:rsid w:val="005A6AAB"/>
    <w:rsid w:val="005A6AAC"/>
    <w:rsid w:val="005A6AED"/>
    <w:rsid w:val="005A6B06"/>
    <w:rsid w:val="005A6BDD"/>
    <w:rsid w:val="005A6E71"/>
    <w:rsid w:val="005A6F3D"/>
    <w:rsid w:val="005A6F3F"/>
    <w:rsid w:val="005A705C"/>
    <w:rsid w:val="005A70CC"/>
    <w:rsid w:val="005A71A1"/>
    <w:rsid w:val="005A7706"/>
    <w:rsid w:val="005A7754"/>
    <w:rsid w:val="005A7775"/>
    <w:rsid w:val="005A777C"/>
    <w:rsid w:val="005A7866"/>
    <w:rsid w:val="005A7993"/>
    <w:rsid w:val="005A7A86"/>
    <w:rsid w:val="005A7AB8"/>
    <w:rsid w:val="005A7DD6"/>
    <w:rsid w:val="005A7E35"/>
    <w:rsid w:val="005B000C"/>
    <w:rsid w:val="005B0369"/>
    <w:rsid w:val="005B039A"/>
    <w:rsid w:val="005B03E6"/>
    <w:rsid w:val="005B040F"/>
    <w:rsid w:val="005B050B"/>
    <w:rsid w:val="005B0547"/>
    <w:rsid w:val="005B0591"/>
    <w:rsid w:val="005B0692"/>
    <w:rsid w:val="005B0787"/>
    <w:rsid w:val="005B09D4"/>
    <w:rsid w:val="005B0B5F"/>
    <w:rsid w:val="005B0B67"/>
    <w:rsid w:val="005B0BD6"/>
    <w:rsid w:val="005B0DA0"/>
    <w:rsid w:val="005B0FE0"/>
    <w:rsid w:val="005B10ED"/>
    <w:rsid w:val="005B1104"/>
    <w:rsid w:val="005B1169"/>
    <w:rsid w:val="005B1292"/>
    <w:rsid w:val="005B149D"/>
    <w:rsid w:val="005B15F6"/>
    <w:rsid w:val="005B1AB6"/>
    <w:rsid w:val="005B1C61"/>
    <w:rsid w:val="005B1C75"/>
    <w:rsid w:val="005B1D5D"/>
    <w:rsid w:val="005B1F71"/>
    <w:rsid w:val="005B1FDD"/>
    <w:rsid w:val="005B2049"/>
    <w:rsid w:val="005B20EE"/>
    <w:rsid w:val="005B22EF"/>
    <w:rsid w:val="005B2352"/>
    <w:rsid w:val="005B2443"/>
    <w:rsid w:val="005B2660"/>
    <w:rsid w:val="005B27B1"/>
    <w:rsid w:val="005B2838"/>
    <w:rsid w:val="005B2A11"/>
    <w:rsid w:val="005B2B94"/>
    <w:rsid w:val="005B2BA0"/>
    <w:rsid w:val="005B30BE"/>
    <w:rsid w:val="005B3147"/>
    <w:rsid w:val="005B31A0"/>
    <w:rsid w:val="005B3254"/>
    <w:rsid w:val="005B3378"/>
    <w:rsid w:val="005B3494"/>
    <w:rsid w:val="005B35F1"/>
    <w:rsid w:val="005B38CF"/>
    <w:rsid w:val="005B3946"/>
    <w:rsid w:val="005B3AAC"/>
    <w:rsid w:val="005B3B04"/>
    <w:rsid w:val="005B3BFD"/>
    <w:rsid w:val="005B3D20"/>
    <w:rsid w:val="005B3F9B"/>
    <w:rsid w:val="005B402E"/>
    <w:rsid w:val="005B434C"/>
    <w:rsid w:val="005B464D"/>
    <w:rsid w:val="005B4740"/>
    <w:rsid w:val="005B47BF"/>
    <w:rsid w:val="005B48D5"/>
    <w:rsid w:val="005B49F1"/>
    <w:rsid w:val="005B4CE6"/>
    <w:rsid w:val="005B4D7D"/>
    <w:rsid w:val="005B4D7F"/>
    <w:rsid w:val="005B4EBD"/>
    <w:rsid w:val="005B4EC7"/>
    <w:rsid w:val="005B502E"/>
    <w:rsid w:val="005B5035"/>
    <w:rsid w:val="005B506B"/>
    <w:rsid w:val="005B50D4"/>
    <w:rsid w:val="005B5100"/>
    <w:rsid w:val="005B596C"/>
    <w:rsid w:val="005B59F1"/>
    <w:rsid w:val="005B5C31"/>
    <w:rsid w:val="005B5F70"/>
    <w:rsid w:val="005B6033"/>
    <w:rsid w:val="005B6193"/>
    <w:rsid w:val="005B62E8"/>
    <w:rsid w:val="005B6545"/>
    <w:rsid w:val="005B65DE"/>
    <w:rsid w:val="005B6837"/>
    <w:rsid w:val="005B6984"/>
    <w:rsid w:val="005B69E9"/>
    <w:rsid w:val="005B6ACF"/>
    <w:rsid w:val="005B6B84"/>
    <w:rsid w:val="005B6C0E"/>
    <w:rsid w:val="005B6C6B"/>
    <w:rsid w:val="005B6CCE"/>
    <w:rsid w:val="005B6E11"/>
    <w:rsid w:val="005B6F4A"/>
    <w:rsid w:val="005B727A"/>
    <w:rsid w:val="005B735A"/>
    <w:rsid w:val="005B7393"/>
    <w:rsid w:val="005B7410"/>
    <w:rsid w:val="005B7690"/>
    <w:rsid w:val="005B7B5B"/>
    <w:rsid w:val="005B7E79"/>
    <w:rsid w:val="005B7E7D"/>
    <w:rsid w:val="005B7FE2"/>
    <w:rsid w:val="005C0098"/>
    <w:rsid w:val="005C01D2"/>
    <w:rsid w:val="005C01D6"/>
    <w:rsid w:val="005C02FB"/>
    <w:rsid w:val="005C03FF"/>
    <w:rsid w:val="005C0460"/>
    <w:rsid w:val="005C058F"/>
    <w:rsid w:val="005C07C6"/>
    <w:rsid w:val="005C0956"/>
    <w:rsid w:val="005C098E"/>
    <w:rsid w:val="005C0A3B"/>
    <w:rsid w:val="005C0B55"/>
    <w:rsid w:val="005C0C70"/>
    <w:rsid w:val="005C0CFC"/>
    <w:rsid w:val="005C0D10"/>
    <w:rsid w:val="005C0E83"/>
    <w:rsid w:val="005C0EA9"/>
    <w:rsid w:val="005C0F93"/>
    <w:rsid w:val="005C10D0"/>
    <w:rsid w:val="005C1152"/>
    <w:rsid w:val="005C118E"/>
    <w:rsid w:val="005C12AE"/>
    <w:rsid w:val="005C12D7"/>
    <w:rsid w:val="005C13B9"/>
    <w:rsid w:val="005C1566"/>
    <w:rsid w:val="005C1805"/>
    <w:rsid w:val="005C1A98"/>
    <w:rsid w:val="005C1B58"/>
    <w:rsid w:val="005C1BA0"/>
    <w:rsid w:val="005C1CD8"/>
    <w:rsid w:val="005C1D73"/>
    <w:rsid w:val="005C2206"/>
    <w:rsid w:val="005C23E3"/>
    <w:rsid w:val="005C242E"/>
    <w:rsid w:val="005C24D2"/>
    <w:rsid w:val="005C2729"/>
    <w:rsid w:val="005C2919"/>
    <w:rsid w:val="005C2B37"/>
    <w:rsid w:val="005C2B42"/>
    <w:rsid w:val="005C2B4C"/>
    <w:rsid w:val="005C2B9F"/>
    <w:rsid w:val="005C2BD8"/>
    <w:rsid w:val="005C3018"/>
    <w:rsid w:val="005C3277"/>
    <w:rsid w:val="005C340D"/>
    <w:rsid w:val="005C346B"/>
    <w:rsid w:val="005C3479"/>
    <w:rsid w:val="005C34A1"/>
    <w:rsid w:val="005C34D3"/>
    <w:rsid w:val="005C3708"/>
    <w:rsid w:val="005C380C"/>
    <w:rsid w:val="005C38C9"/>
    <w:rsid w:val="005C38E8"/>
    <w:rsid w:val="005C3916"/>
    <w:rsid w:val="005C3B42"/>
    <w:rsid w:val="005C3B82"/>
    <w:rsid w:val="005C3BD5"/>
    <w:rsid w:val="005C3EFE"/>
    <w:rsid w:val="005C3F32"/>
    <w:rsid w:val="005C400F"/>
    <w:rsid w:val="005C4298"/>
    <w:rsid w:val="005C42F6"/>
    <w:rsid w:val="005C436A"/>
    <w:rsid w:val="005C4638"/>
    <w:rsid w:val="005C488C"/>
    <w:rsid w:val="005C491D"/>
    <w:rsid w:val="005C49B9"/>
    <w:rsid w:val="005C49D7"/>
    <w:rsid w:val="005C4E7C"/>
    <w:rsid w:val="005C4EB5"/>
    <w:rsid w:val="005C4ED3"/>
    <w:rsid w:val="005C4FAC"/>
    <w:rsid w:val="005C503F"/>
    <w:rsid w:val="005C5137"/>
    <w:rsid w:val="005C51AA"/>
    <w:rsid w:val="005C52DE"/>
    <w:rsid w:val="005C53F9"/>
    <w:rsid w:val="005C5447"/>
    <w:rsid w:val="005C54FF"/>
    <w:rsid w:val="005C550F"/>
    <w:rsid w:val="005C55C0"/>
    <w:rsid w:val="005C560E"/>
    <w:rsid w:val="005C5933"/>
    <w:rsid w:val="005C5AFB"/>
    <w:rsid w:val="005C5CEE"/>
    <w:rsid w:val="005C5EF4"/>
    <w:rsid w:val="005C6133"/>
    <w:rsid w:val="005C62E1"/>
    <w:rsid w:val="005C62EA"/>
    <w:rsid w:val="005C6359"/>
    <w:rsid w:val="005C6407"/>
    <w:rsid w:val="005C641D"/>
    <w:rsid w:val="005C647E"/>
    <w:rsid w:val="005C651E"/>
    <w:rsid w:val="005C6675"/>
    <w:rsid w:val="005C668F"/>
    <w:rsid w:val="005C66A4"/>
    <w:rsid w:val="005C67E4"/>
    <w:rsid w:val="005C6898"/>
    <w:rsid w:val="005C694B"/>
    <w:rsid w:val="005C6C06"/>
    <w:rsid w:val="005C6C25"/>
    <w:rsid w:val="005C6C51"/>
    <w:rsid w:val="005C6D49"/>
    <w:rsid w:val="005C701C"/>
    <w:rsid w:val="005C7098"/>
    <w:rsid w:val="005C7123"/>
    <w:rsid w:val="005C718C"/>
    <w:rsid w:val="005C7195"/>
    <w:rsid w:val="005C71D5"/>
    <w:rsid w:val="005C7384"/>
    <w:rsid w:val="005C73F4"/>
    <w:rsid w:val="005C756B"/>
    <w:rsid w:val="005C7762"/>
    <w:rsid w:val="005C77E5"/>
    <w:rsid w:val="005C7A75"/>
    <w:rsid w:val="005C7BA4"/>
    <w:rsid w:val="005C7BB0"/>
    <w:rsid w:val="005C7BC0"/>
    <w:rsid w:val="005C7BD0"/>
    <w:rsid w:val="005C7BE6"/>
    <w:rsid w:val="005C7C5F"/>
    <w:rsid w:val="005C7D7E"/>
    <w:rsid w:val="005C7E4A"/>
    <w:rsid w:val="005C7F77"/>
    <w:rsid w:val="005C7FC8"/>
    <w:rsid w:val="005C8A95"/>
    <w:rsid w:val="005D00C6"/>
    <w:rsid w:val="005D0169"/>
    <w:rsid w:val="005D017A"/>
    <w:rsid w:val="005D0201"/>
    <w:rsid w:val="005D02B9"/>
    <w:rsid w:val="005D02EF"/>
    <w:rsid w:val="005D04D9"/>
    <w:rsid w:val="005D06AA"/>
    <w:rsid w:val="005D06E4"/>
    <w:rsid w:val="005D0982"/>
    <w:rsid w:val="005D0BB9"/>
    <w:rsid w:val="005D0D9E"/>
    <w:rsid w:val="005D0FBB"/>
    <w:rsid w:val="005D10F3"/>
    <w:rsid w:val="005D112C"/>
    <w:rsid w:val="005D1565"/>
    <w:rsid w:val="005D1639"/>
    <w:rsid w:val="005D17FA"/>
    <w:rsid w:val="005D190B"/>
    <w:rsid w:val="005D19C2"/>
    <w:rsid w:val="005D1B27"/>
    <w:rsid w:val="005D1B47"/>
    <w:rsid w:val="005D1B95"/>
    <w:rsid w:val="005D1D61"/>
    <w:rsid w:val="005D20F7"/>
    <w:rsid w:val="005D21B8"/>
    <w:rsid w:val="005D2285"/>
    <w:rsid w:val="005D2300"/>
    <w:rsid w:val="005D2403"/>
    <w:rsid w:val="005D253D"/>
    <w:rsid w:val="005D276C"/>
    <w:rsid w:val="005D290F"/>
    <w:rsid w:val="005D2979"/>
    <w:rsid w:val="005D2A54"/>
    <w:rsid w:val="005D2CAB"/>
    <w:rsid w:val="005D2CEA"/>
    <w:rsid w:val="005D2DCD"/>
    <w:rsid w:val="005D306C"/>
    <w:rsid w:val="005D3083"/>
    <w:rsid w:val="005D30A1"/>
    <w:rsid w:val="005D352D"/>
    <w:rsid w:val="005D3565"/>
    <w:rsid w:val="005D3576"/>
    <w:rsid w:val="005D36A3"/>
    <w:rsid w:val="005D3848"/>
    <w:rsid w:val="005D39E5"/>
    <w:rsid w:val="005D3ADF"/>
    <w:rsid w:val="005D3C31"/>
    <w:rsid w:val="005D3CCB"/>
    <w:rsid w:val="005D3FD7"/>
    <w:rsid w:val="005D402B"/>
    <w:rsid w:val="005D40C3"/>
    <w:rsid w:val="005D42D6"/>
    <w:rsid w:val="005D4340"/>
    <w:rsid w:val="005D4357"/>
    <w:rsid w:val="005D43F2"/>
    <w:rsid w:val="005D4448"/>
    <w:rsid w:val="005D454F"/>
    <w:rsid w:val="005D45A2"/>
    <w:rsid w:val="005D46A7"/>
    <w:rsid w:val="005D4777"/>
    <w:rsid w:val="005D499E"/>
    <w:rsid w:val="005D4CD7"/>
    <w:rsid w:val="005D4CF5"/>
    <w:rsid w:val="005D4EDC"/>
    <w:rsid w:val="005D5057"/>
    <w:rsid w:val="005D52B6"/>
    <w:rsid w:val="005D52FF"/>
    <w:rsid w:val="005D5450"/>
    <w:rsid w:val="005D54AE"/>
    <w:rsid w:val="005D58D7"/>
    <w:rsid w:val="005D5C19"/>
    <w:rsid w:val="005D5F6D"/>
    <w:rsid w:val="005D619B"/>
    <w:rsid w:val="005D634F"/>
    <w:rsid w:val="005D6397"/>
    <w:rsid w:val="005D63A1"/>
    <w:rsid w:val="005D63B4"/>
    <w:rsid w:val="005D6430"/>
    <w:rsid w:val="005D687F"/>
    <w:rsid w:val="005D699C"/>
    <w:rsid w:val="005D6E5D"/>
    <w:rsid w:val="005D6E93"/>
    <w:rsid w:val="005D70E2"/>
    <w:rsid w:val="005D72B8"/>
    <w:rsid w:val="005D73FE"/>
    <w:rsid w:val="005D769B"/>
    <w:rsid w:val="005D7772"/>
    <w:rsid w:val="005D781A"/>
    <w:rsid w:val="005D7A18"/>
    <w:rsid w:val="005D7BFF"/>
    <w:rsid w:val="005D7FB3"/>
    <w:rsid w:val="005E001E"/>
    <w:rsid w:val="005E006F"/>
    <w:rsid w:val="005E00AD"/>
    <w:rsid w:val="005E020E"/>
    <w:rsid w:val="005E036A"/>
    <w:rsid w:val="005E0421"/>
    <w:rsid w:val="005E063C"/>
    <w:rsid w:val="005E074A"/>
    <w:rsid w:val="005E0832"/>
    <w:rsid w:val="005E083A"/>
    <w:rsid w:val="005E0930"/>
    <w:rsid w:val="005E0EA8"/>
    <w:rsid w:val="005E0EDE"/>
    <w:rsid w:val="005E0F76"/>
    <w:rsid w:val="005E11A8"/>
    <w:rsid w:val="005E12FA"/>
    <w:rsid w:val="005E130A"/>
    <w:rsid w:val="005E1323"/>
    <w:rsid w:val="005E162F"/>
    <w:rsid w:val="005E16A9"/>
    <w:rsid w:val="005E16BC"/>
    <w:rsid w:val="005E178E"/>
    <w:rsid w:val="005E17AC"/>
    <w:rsid w:val="005E187E"/>
    <w:rsid w:val="005E1908"/>
    <w:rsid w:val="005E1927"/>
    <w:rsid w:val="005E1A12"/>
    <w:rsid w:val="005E1A4B"/>
    <w:rsid w:val="005E1E29"/>
    <w:rsid w:val="005E1F4C"/>
    <w:rsid w:val="005E1FD5"/>
    <w:rsid w:val="005E2160"/>
    <w:rsid w:val="005E2676"/>
    <w:rsid w:val="005E26E1"/>
    <w:rsid w:val="005E270A"/>
    <w:rsid w:val="005E272F"/>
    <w:rsid w:val="005E28D6"/>
    <w:rsid w:val="005E291E"/>
    <w:rsid w:val="005E2B45"/>
    <w:rsid w:val="005E2C51"/>
    <w:rsid w:val="005E2F57"/>
    <w:rsid w:val="005E2FB9"/>
    <w:rsid w:val="005E30CF"/>
    <w:rsid w:val="005E318C"/>
    <w:rsid w:val="005E338A"/>
    <w:rsid w:val="005E347B"/>
    <w:rsid w:val="005E3723"/>
    <w:rsid w:val="005E38A7"/>
    <w:rsid w:val="005E3A61"/>
    <w:rsid w:val="005E4008"/>
    <w:rsid w:val="005E415C"/>
    <w:rsid w:val="005E41CD"/>
    <w:rsid w:val="005E4233"/>
    <w:rsid w:val="005E4275"/>
    <w:rsid w:val="005E427A"/>
    <w:rsid w:val="005E42B9"/>
    <w:rsid w:val="005E42E3"/>
    <w:rsid w:val="005E44EE"/>
    <w:rsid w:val="005E453D"/>
    <w:rsid w:val="005E463E"/>
    <w:rsid w:val="005E47CE"/>
    <w:rsid w:val="005E4904"/>
    <w:rsid w:val="005E4AD5"/>
    <w:rsid w:val="005E4C31"/>
    <w:rsid w:val="005E5643"/>
    <w:rsid w:val="005E57CD"/>
    <w:rsid w:val="005E5987"/>
    <w:rsid w:val="005E59F0"/>
    <w:rsid w:val="005E5AA9"/>
    <w:rsid w:val="005E5B70"/>
    <w:rsid w:val="005E5C3C"/>
    <w:rsid w:val="005E5CDC"/>
    <w:rsid w:val="005E5D19"/>
    <w:rsid w:val="005E5EE6"/>
    <w:rsid w:val="005E5F75"/>
    <w:rsid w:val="005E5FDD"/>
    <w:rsid w:val="005E6268"/>
    <w:rsid w:val="005E630C"/>
    <w:rsid w:val="005E635D"/>
    <w:rsid w:val="005E6384"/>
    <w:rsid w:val="005E6691"/>
    <w:rsid w:val="005E66F4"/>
    <w:rsid w:val="005E68DF"/>
    <w:rsid w:val="005E6985"/>
    <w:rsid w:val="005E69A1"/>
    <w:rsid w:val="005E69D6"/>
    <w:rsid w:val="005E6B3D"/>
    <w:rsid w:val="005E6B60"/>
    <w:rsid w:val="005E6B8A"/>
    <w:rsid w:val="005E6D97"/>
    <w:rsid w:val="005E70B6"/>
    <w:rsid w:val="005E7100"/>
    <w:rsid w:val="005E717A"/>
    <w:rsid w:val="005E747D"/>
    <w:rsid w:val="005E74FA"/>
    <w:rsid w:val="005E76CD"/>
    <w:rsid w:val="005E7710"/>
    <w:rsid w:val="005E77E6"/>
    <w:rsid w:val="005E7A02"/>
    <w:rsid w:val="005E7B09"/>
    <w:rsid w:val="005E7D61"/>
    <w:rsid w:val="005E7EBF"/>
    <w:rsid w:val="005E7EC0"/>
    <w:rsid w:val="005EFB28"/>
    <w:rsid w:val="005F00B3"/>
    <w:rsid w:val="005F01B0"/>
    <w:rsid w:val="005F028E"/>
    <w:rsid w:val="005F0416"/>
    <w:rsid w:val="005F07D9"/>
    <w:rsid w:val="005F0A4D"/>
    <w:rsid w:val="005F0C3D"/>
    <w:rsid w:val="005F0C9E"/>
    <w:rsid w:val="005F0CA0"/>
    <w:rsid w:val="005F0D9F"/>
    <w:rsid w:val="005F0DF6"/>
    <w:rsid w:val="005F0FDE"/>
    <w:rsid w:val="005F10C4"/>
    <w:rsid w:val="005F1128"/>
    <w:rsid w:val="005F1130"/>
    <w:rsid w:val="005F11A0"/>
    <w:rsid w:val="005F11A5"/>
    <w:rsid w:val="005F150B"/>
    <w:rsid w:val="005F15F5"/>
    <w:rsid w:val="005F1761"/>
    <w:rsid w:val="005F1B0E"/>
    <w:rsid w:val="005F1B0F"/>
    <w:rsid w:val="005F1B3D"/>
    <w:rsid w:val="005F1B41"/>
    <w:rsid w:val="005F1BA3"/>
    <w:rsid w:val="005F1BAD"/>
    <w:rsid w:val="005F1C1D"/>
    <w:rsid w:val="005F1DAE"/>
    <w:rsid w:val="005F1FF9"/>
    <w:rsid w:val="005F225C"/>
    <w:rsid w:val="005F259D"/>
    <w:rsid w:val="005F279F"/>
    <w:rsid w:val="005F27BF"/>
    <w:rsid w:val="005F2911"/>
    <w:rsid w:val="005F2A85"/>
    <w:rsid w:val="005F2AF7"/>
    <w:rsid w:val="005F2BC0"/>
    <w:rsid w:val="005F2BE9"/>
    <w:rsid w:val="005F2D0F"/>
    <w:rsid w:val="005F2D75"/>
    <w:rsid w:val="005F3023"/>
    <w:rsid w:val="005F309C"/>
    <w:rsid w:val="005F3231"/>
    <w:rsid w:val="005F3238"/>
    <w:rsid w:val="005F332B"/>
    <w:rsid w:val="005F365A"/>
    <w:rsid w:val="005F378D"/>
    <w:rsid w:val="005F3980"/>
    <w:rsid w:val="005F39B3"/>
    <w:rsid w:val="005F39CC"/>
    <w:rsid w:val="005F39D4"/>
    <w:rsid w:val="005F3A1A"/>
    <w:rsid w:val="005F3A96"/>
    <w:rsid w:val="005F3C5F"/>
    <w:rsid w:val="005F3FD0"/>
    <w:rsid w:val="005F4399"/>
    <w:rsid w:val="005F43DF"/>
    <w:rsid w:val="005F44D1"/>
    <w:rsid w:val="005F450E"/>
    <w:rsid w:val="005F4711"/>
    <w:rsid w:val="005F4AC3"/>
    <w:rsid w:val="005F4F90"/>
    <w:rsid w:val="005F50EA"/>
    <w:rsid w:val="005F512D"/>
    <w:rsid w:val="005F524F"/>
    <w:rsid w:val="005F528B"/>
    <w:rsid w:val="005F53F7"/>
    <w:rsid w:val="005F57ED"/>
    <w:rsid w:val="005F5A6E"/>
    <w:rsid w:val="005F5D55"/>
    <w:rsid w:val="005F6105"/>
    <w:rsid w:val="005F6165"/>
    <w:rsid w:val="005F61F4"/>
    <w:rsid w:val="005F6339"/>
    <w:rsid w:val="005F6449"/>
    <w:rsid w:val="005F64EE"/>
    <w:rsid w:val="005F6565"/>
    <w:rsid w:val="005F661A"/>
    <w:rsid w:val="005F6A05"/>
    <w:rsid w:val="005F6A07"/>
    <w:rsid w:val="005F6B95"/>
    <w:rsid w:val="005F6BB9"/>
    <w:rsid w:val="005F6D88"/>
    <w:rsid w:val="005F6DC7"/>
    <w:rsid w:val="005F6DE6"/>
    <w:rsid w:val="005F6FDF"/>
    <w:rsid w:val="005F73A2"/>
    <w:rsid w:val="005F73C6"/>
    <w:rsid w:val="005F74B6"/>
    <w:rsid w:val="005F76C4"/>
    <w:rsid w:val="005F7769"/>
    <w:rsid w:val="005F77D6"/>
    <w:rsid w:val="005F788F"/>
    <w:rsid w:val="005F78BD"/>
    <w:rsid w:val="005F7985"/>
    <w:rsid w:val="005F7CDA"/>
    <w:rsid w:val="005F7D5D"/>
    <w:rsid w:val="005F7EEC"/>
    <w:rsid w:val="005F7FE1"/>
    <w:rsid w:val="00600029"/>
    <w:rsid w:val="006000CC"/>
    <w:rsid w:val="00600159"/>
    <w:rsid w:val="00600180"/>
    <w:rsid w:val="00600390"/>
    <w:rsid w:val="006003BB"/>
    <w:rsid w:val="00600695"/>
    <w:rsid w:val="00600A40"/>
    <w:rsid w:val="00600A73"/>
    <w:rsid w:val="00600AE9"/>
    <w:rsid w:val="00600B47"/>
    <w:rsid w:val="00600CF8"/>
    <w:rsid w:val="00600CFB"/>
    <w:rsid w:val="00600E70"/>
    <w:rsid w:val="006012F8"/>
    <w:rsid w:val="0060131D"/>
    <w:rsid w:val="00601430"/>
    <w:rsid w:val="00601450"/>
    <w:rsid w:val="006014AE"/>
    <w:rsid w:val="006015DD"/>
    <w:rsid w:val="0060187C"/>
    <w:rsid w:val="006019B4"/>
    <w:rsid w:val="00601A75"/>
    <w:rsid w:val="00601B67"/>
    <w:rsid w:val="00601C12"/>
    <w:rsid w:val="00601CA1"/>
    <w:rsid w:val="00601E0F"/>
    <w:rsid w:val="00601E9F"/>
    <w:rsid w:val="006021A0"/>
    <w:rsid w:val="0060236D"/>
    <w:rsid w:val="00602402"/>
    <w:rsid w:val="006028E2"/>
    <w:rsid w:val="00602BE6"/>
    <w:rsid w:val="00602E08"/>
    <w:rsid w:val="00602E75"/>
    <w:rsid w:val="0060302D"/>
    <w:rsid w:val="006034E6"/>
    <w:rsid w:val="0060399D"/>
    <w:rsid w:val="006039A2"/>
    <w:rsid w:val="006039EF"/>
    <w:rsid w:val="00603A1F"/>
    <w:rsid w:val="00603A5D"/>
    <w:rsid w:val="00603DCD"/>
    <w:rsid w:val="00603EEF"/>
    <w:rsid w:val="00603F56"/>
    <w:rsid w:val="00603FD9"/>
    <w:rsid w:val="00604084"/>
    <w:rsid w:val="006040E3"/>
    <w:rsid w:val="00604240"/>
    <w:rsid w:val="00604367"/>
    <w:rsid w:val="00604392"/>
    <w:rsid w:val="00604511"/>
    <w:rsid w:val="00604570"/>
    <w:rsid w:val="00604578"/>
    <w:rsid w:val="0060468D"/>
    <w:rsid w:val="006047BE"/>
    <w:rsid w:val="00604811"/>
    <w:rsid w:val="006049ED"/>
    <w:rsid w:val="00604D0A"/>
    <w:rsid w:val="00604FA2"/>
    <w:rsid w:val="0060501F"/>
    <w:rsid w:val="00605188"/>
    <w:rsid w:val="0060518E"/>
    <w:rsid w:val="006053FE"/>
    <w:rsid w:val="00605553"/>
    <w:rsid w:val="006057E3"/>
    <w:rsid w:val="006059D8"/>
    <w:rsid w:val="00605A9C"/>
    <w:rsid w:val="00605AC1"/>
    <w:rsid w:val="00605B7C"/>
    <w:rsid w:val="00605F48"/>
    <w:rsid w:val="006061BA"/>
    <w:rsid w:val="006064DD"/>
    <w:rsid w:val="006067F0"/>
    <w:rsid w:val="00606833"/>
    <w:rsid w:val="00606853"/>
    <w:rsid w:val="00606B4B"/>
    <w:rsid w:val="00606CF2"/>
    <w:rsid w:val="00606D88"/>
    <w:rsid w:val="00606F98"/>
    <w:rsid w:val="0060700A"/>
    <w:rsid w:val="006072D1"/>
    <w:rsid w:val="00607601"/>
    <w:rsid w:val="0060773B"/>
    <w:rsid w:val="006078C7"/>
    <w:rsid w:val="00607A2A"/>
    <w:rsid w:val="00607B05"/>
    <w:rsid w:val="00607B83"/>
    <w:rsid w:val="00607C7D"/>
    <w:rsid w:val="00607CCB"/>
    <w:rsid w:val="00607DEA"/>
    <w:rsid w:val="00607F52"/>
    <w:rsid w:val="00607FB3"/>
    <w:rsid w:val="00610149"/>
    <w:rsid w:val="00610484"/>
    <w:rsid w:val="006104C8"/>
    <w:rsid w:val="00610539"/>
    <w:rsid w:val="00610726"/>
    <w:rsid w:val="006108C6"/>
    <w:rsid w:val="00610945"/>
    <w:rsid w:val="00610A02"/>
    <w:rsid w:val="00610B54"/>
    <w:rsid w:val="00610CD3"/>
    <w:rsid w:val="00610FA6"/>
    <w:rsid w:val="00610FAF"/>
    <w:rsid w:val="0061109A"/>
    <w:rsid w:val="0061117D"/>
    <w:rsid w:val="00611323"/>
    <w:rsid w:val="00611433"/>
    <w:rsid w:val="0061188B"/>
    <w:rsid w:val="006118B6"/>
    <w:rsid w:val="00611A70"/>
    <w:rsid w:val="00611F51"/>
    <w:rsid w:val="00611FA4"/>
    <w:rsid w:val="0061212D"/>
    <w:rsid w:val="006121BD"/>
    <w:rsid w:val="006124E0"/>
    <w:rsid w:val="006125E2"/>
    <w:rsid w:val="00612693"/>
    <w:rsid w:val="006127F3"/>
    <w:rsid w:val="00612891"/>
    <w:rsid w:val="006128C1"/>
    <w:rsid w:val="006128C4"/>
    <w:rsid w:val="00612925"/>
    <w:rsid w:val="00612D84"/>
    <w:rsid w:val="00612DB1"/>
    <w:rsid w:val="00612E4F"/>
    <w:rsid w:val="00612F00"/>
    <w:rsid w:val="0061306E"/>
    <w:rsid w:val="0061320D"/>
    <w:rsid w:val="006132B5"/>
    <w:rsid w:val="00613431"/>
    <w:rsid w:val="006134C3"/>
    <w:rsid w:val="00613549"/>
    <w:rsid w:val="006135E4"/>
    <w:rsid w:val="00613665"/>
    <w:rsid w:val="006137B4"/>
    <w:rsid w:val="00613832"/>
    <w:rsid w:val="00613859"/>
    <w:rsid w:val="00613933"/>
    <w:rsid w:val="00613952"/>
    <w:rsid w:val="00613AEA"/>
    <w:rsid w:val="00613D17"/>
    <w:rsid w:val="00613DE6"/>
    <w:rsid w:val="00613E07"/>
    <w:rsid w:val="00613ECA"/>
    <w:rsid w:val="00613F2F"/>
    <w:rsid w:val="00613FB7"/>
    <w:rsid w:val="006140BB"/>
    <w:rsid w:val="006141C5"/>
    <w:rsid w:val="00614293"/>
    <w:rsid w:val="0061430D"/>
    <w:rsid w:val="006143D7"/>
    <w:rsid w:val="0061454D"/>
    <w:rsid w:val="006146BE"/>
    <w:rsid w:val="0061473C"/>
    <w:rsid w:val="00614809"/>
    <w:rsid w:val="0061492F"/>
    <w:rsid w:val="00614A7A"/>
    <w:rsid w:val="00614AC0"/>
    <w:rsid w:val="00614ACA"/>
    <w:rsid w:val="00614BDD"/>
    <w:rsid w:val="00614BDF"/>
    <w:rsid w:val="00614D17"/>
    <w:rsid w:val="00614D39"/>
    <w:rsid w:val="00614F7A"/>
    <w:rsid w:val="00615784"/>
    <w:rsid w:val="00615810"/>
    <w:rsid w:val="00615A0C"/>
    <w:rsid w:val="00615AC8"/>
    <w:rsid w:val="00615C01"/>
    <w:rsid w:val="00615C4F"/>
    <w:rsid w:val="00615CDC"/>
    <w:rsid w:val="00616059"/>
    <w:rsid w:val="006162CE"/>
    <w:rsid w:val="00616375"/>
    <w:rsid w:val="0061648E"/>
    <w:rsid w:val="006165BC"/>
    <w:rsid w:val="0061671E"/>
    <w:rsid w:val="0061694E"/>
    <w:rsid w:val="00616971"/>
    <w:rsid w:val="00616974"/>
    <w:rsid w:val="00616BA0"/>
    <w:rsid w:val="00616D3D"/>
    <w:rsid w:val="00616F16"/>
    <w:rsid w:val="00616FE4"/>
    <w:rsid w:val="00617128"/>
    <w:rsid w:val="00617190"/>
    <w:rsid w:val="006171C6"/>
    <w:rsid w:val="006173F8"/>
    <w:rsid w:val="00617424"/>
    <w:rsid w:val="006174D5"/>
    <w:rsid w:val="0061752F"/>
    <w:rsid w:val="006175A5"/>
    <w:rsid w:val="00617714"/>
    <w:rsid w:val="00617967"/>
    <w:rsid w:val="00617A2B"/>
    <w:rsid w:val="00617D7B"/>
    <w:rsid w:val="00617DB7"/>
    <w:rsid w:val="00617EC6"/>
    <w:rsid w:val="0062017E"/>
    <w:rsid w:val="006201D7"/>
    <w:rsid w:val="00620379"/>
    <w:rsid w:val="00620430"/>
    <w:rsid w:val="006204B0"/>
    <w:rsid w:val="006204DD"/>
    <w:rsid w:val="00620654"/>
    <w:rsid w:val="0062067F"/>
    <w:rsid w:val="006206DF"/>
    <w:rsid w:val="006208A5"/>
    <w:rsid w:val="006208F6"/>
    <w:rsid w:val="0062090E"/>
    <w:rsid w:val="00620A69"/>
    <w:rsid w:val="00620A75"/>
    <w:rsid w:val="00620CDA"/>
    <w:rsid w:val="00620DD0"/>
    <w:rsid w:val="006210E1"/>
    <w:rsid w:val="006211D4"/>
    <w:rsid w:val="006212F7"/>
    <w:rsid w:val="00621421"/>
    <w:rsid w:val="00621559"/>
    <w:rsid w:val="006215F0"/>
    <w:rsid w:val="00621600"/>
    <w:rsid w:val="00621620"/>
    <w:rsid w:val="00621831"/>
    <w:rsid w:val="006219C0"/>
    <w:rsid w:val="006219F9"/>
    <w:rsid w:val="00621C64"/>
    <w:rsid w:val="00621D51"/>
    <w:rsid w:val="00621E47"/>
    <w:rsid w:val="00621EB6"/>
    <w:rsid w:val="00621FB6"/>
    <w:rsid w:val="00621FBA"/>
    <w:rsid w:val="00622027"/>
    <w:rsid w:val="00622155"/>
    <w:rsid w:val="0062237D"/>
    <w:rsid w:val="006223A9"/>
    <w:rsid w:val="00622778"/>
    <w:rsid w:val="006228A6"/>
    <w:rsid w:val="00622986"/>
    <w:rsid w:val="00622A12"/>
    <w:rsid w:val="00622A2D"/>
    <w:rsid w:val="00622A8F"/>
    <w:rsid w:val="00622B48"/>
    <w:rsid w:val="00622B67"/>
    <w:rsid w:val="006230FF"/>
    <w:rsid w:val="0062327D"/>
    <w:rsid w:val="00623365"/>
    <w:rsid w:val="006233B0"/>
    <w:rsid w:val="006237D0"/>
    <w:rsid w:val="0062380A"/>
    <w:rsid w:val="00623A2B"/>
    <w:rsid w:val="00623D62"/>
    <w:rsid w:val="00623E03"/>
    <w:rsid w:val="00623E4D"/>
    <w:rsid w:val="00623F29"/>
    <w:rsid w:val="0062418F"/>
    <w:rsid w:val="006241BB"/>
    <w:rsid w:val="00624383"/>
    <w:rsid w:val="0062444C"/>
    <w:rsid w:val="00624619"/>
    <w:rsid w:val="00624624"/>
    <w:rsid w:val="00624759"/>
    <w:rsid w:val="006248F0"/>
    <w:rsid w:val="006249B9"/>
    <w:rsid w:val="00624B7C"/>
    <w:rsid w:val="00624B83"/>
    <w:rsid w:val="00624C08"/>
    <w:rsid w:val="00624E0C"/>
    <w:rsid w:val="00624E54"/>
    <w:rsid w:val="00624FA9"/>
    <w:rsid w:val="0062513D"/>
    <w:rsid w:val="00625296"/>
    <w:rsid w:val="0062534A"/>
    <w:rsid w:val="00625786"/>
    <w:rsid w:val="00625826"/>
    <w:rsid w:val="00625966"/>
    <w:rsid w:val="00625A8F"/>
    <w:rsid w:val="00625B49"/>
    <w:rsid w:val="00625C2A"/>
    <w:rsid w:val="00625CB1"/>
    <w:rsid w:val="00625DEC"/>
    <w:rsid w:val="00625E10"/>
    <w:rsid w:val="00625E33"/>
    <w:rsid w:val="00625E8B"/>
    <w:rsid w:val="00625EA3"/>
    <w:rsid w:val="00625FF8"/>
    <w:rsid w:val="00626125"/>
    <w:rsid w:val="00626234"/>
    <w:rsid w:val="0062647A"/>
    <w:rsid w:val="0062672B"/>
    <w:rsid w:val="006269C6"/>
    <w:rsid w:val="00626A1F"/>
    <w:rsid w:val="00626A72"/>
    <w:rsid w:val="00626B08"/>
    <w:rsid w:val="00626D10"/>
    <w:rsid w:val="00626E8C"/>
    <w:rsid w:val="00626F61"/>
    <w:rsid w:val="0062718C"/>
    <w:rsid w:val="00627276"/>
    <w:rsid w:val="006274BF"/>
    <w:rsid w:val="00627537"/>
    <w:rsid w:val="006276D0"/>
    <w:rsid w:val="0062780E"/>
    <w:rsid w:val="0062786D"/>
    <w:rsid w:val="00627878"/>
    <w:rsid w:val="0062788D"/>
    <w:rsid w:val="00627930"/>
    <w:rsid w:val="00627ABF"/>
    <w:rsid w:val="00627CB0"/>
    <w:rsid w:val="00627DB9"/>
    <w:rsid w:val="00627E3E"/>
    <w:rsid w:val="006302BD"/>
    <w:rsid w:val="0063069E"/>
    <w:rsid w:val="006306A1"/>
    <w:rsid w:val="00630717"/>
    <w:rsid w:val="006307E3"/>
    <w:rsid w:val="006308B4"/>
    <w:rsid w:val="00630928"/>
    <w:rsid w:val="0063097B"/>
    <w:rsid w:val="006309E7"/>
    <w:rsid w:val="00630A8D"/>
    <w:rsid w:val="00630B0A"/>
    <w:rsid w:val="00630C88"/>
    <w:rsid w:val="00630CAD"/>
    <w:rsid w:val="00630CF9"/>
    <w:rsid w:val="0063111E"/>
    <w:rsid w:val="0063182C"/>
    <w:rsid w:val="00631846"/>
    <w:rsid w:val="0063195E"/>
    <w:rsid w:val="006319BE"/>
    <w:rsid w:val="006319F6"/>
    <w:rsid w:val="00631EAB"/>
    <w:rsid w:val="00631FF4"/>
    <w:rsid w:val="0063203B"/>
    <w:rsid w:val="00632058"/>
    <w:rsid w:val="0063210A"/>
    <w:rsid w:val="00632254"/>
    <w:rsid w:val="0063246D"/>
    <w:rsid w:val="0063258D"/>
    <w:rsid w:val="00632997"/>
    <w:rsid w:val="006329B8"/>
    <w:rsid w:val="00632C9F"/>
    <w:rsid w:val="00632ED2"/>
    <w:rsid w:val="00633009"/>
    <w:rsid w:val="006331C0"/>
    <w:rsid w:val="006331E6"/>
    <w:rsid w:val="006335D1"/>
    <w:rsid w:val="00633898"/>
    <w:rsid w:val="00633AAC"/>
    <w:rsid w:val="00633AF1"/>
    <w:rsid w:val="00633C7D"/>
    <w:rsid w:val="00633F88"/>
    <w:rsid w:val="00633F9D"/>
    <w:rsid w:val="00634240"/>
    <w:rsid w:val="006342B6"/>
    <w:rsid w:val="006343BC"/>
    <w:rsid w:val="00634482"/>
    <w:rsid w:val="00634511"/>
    <w:rsid w:val="00634702"/>
    <w:rsid w:val="006349EE"/>
    <w:rsid w:val="00634A54"/>
    <w:rsid w:val="00634B07"/>
    <w:rsid w:val="00634B2C"/>
    <w:rsid w:val="00634B93"/>
    <w:rsid w:val="00634C04"/>
    <w:rsid w:val="00634D80"/>
    <w:rsid w:val="00634DE4"/>
    <w:rsid w:val="00634E90"/>
    <w:rsid w:val="00634FC6"/>
    <w:rsid w:val="0063517B"/>
    <w:rsid w:val="0063557B"/>
    <w:rsid w:val="006355F6"/>
    <w:rsid w:val="00635636"/>
    <w:rsid w:val="00635660"/>
    <w:rsid w:val="006356AD"/>
    <w:rsid w:val="006358B1"/>
    <w:rsid w:val="00635A79"/>
    <w:rsid w:val="00635B8C"/>
    <w:rsid w:val="00635E9E"/>
    <w:rsid w:val="00635EB9"/>
    <w:rsid w:val="00635F86"/>
    <w:rsid w:val="0063607D"/>
    <w:rsid w:val="006360BD"/>
    <w:rsid w:val="006361F2"/>
    <w:rsid w:val="0063632D"/>
    <w:rsid w:val="006363CA"/>
    <w:rsid w:val="006363EA"/>
    <w:rsid w:val="0063663F"/>
    <w:rsid w:val="0063671D"/>
    <w:rsid w:val="00636C0B"/>
    <w:rsid w:val="00636C57"/>
    <w:rsid w:val="00636CC7"/>
    <w:rsid w:val="00636F98"/>
    <w:rsid w:val="00636FAC"/>
    <w:rsid w:val="0063708B"/>
    <w:rsid w:val="00637135"/>
    <w:rsid w:val="00637306"/>
    <w:rsid w:val="0063740C"/>
    <w:rsid w:val="00637428"/>
    <w:rsid w:val="006378BE"/>
    <w:rsid w:val="006379FF"/>
    <w:rsid w:val="00637AC0"/>
    <w:rsid w:val="00637C7E"/>
    <w:rsid w:val="00637D39"/>
    <w:rsid w:val="00637DCA"/>
    <w:rsid w:val="006400BB"/>
    <w:rsid w:val="006400DF"/>
    <w:rsid w:val="00640164"/>
    <w:rsid w:val="006402F6"/>
    <w:rsid w:val="006403DE"/>
    <w:rsid w:val="00640672"/>
    <w:rsid w:val="006406C7"/>
    <w:rsid w:val="00640879"/>
    <w:rsid w:val="00640C14"/>
    <w:rsid w:val="00640C28"/>
    <w:rsid w:val="00640C42"/>
    <w:rsid w:val="00640D6E"/>
    <w:rsid w:val="00640D7D"/>
    <w:rsid w:val="00640E7C"/>
    <w:rsid w:val="0064118E"/>
    <w:rsid w:val="00641241"/>
    <w:rsid w:val="006415BD"/>
    <w:rsid w:val="006415BF"/>
    <w:rsid w:val="00641D12"/>
    <w:rsid w:val="00641DBE"/>
    <w:rsid w:val="00641E9D"/>
    <w:rsid w:val="00642096"/>
    <w:rsid w:val="0064221C"/>
    <w:rsid w:val="0064231B"/>
    <w:rsid w:val="0064236D"/>
    <w:rsid w:val="006424D9"/>
    <w:rsid w:val="00642609"/>
    <w:rsid w:val="006426BA"/>
    <w:rsid w:val="0064272E"/>
    <w:rsid w:val="006427A8"/>
    <w:rsid w:val="006427D9"/>
    <w:rsid w:val="00642936"/>
    <w:rsid w:val="0064294D"/>
    <w:rsid w:val="00642BCD"/>
    <w:rsid w:val="00642D9E"/>
    <w:rsid w:val="00642E64"/>
    <w:rsid w:val="00642FDB"/>
    <w:rsid w:val="00643104"/>
    <w:rsid w:val="00643198"/>
    <w:rsid w:val="006432CC"/>
    <w:rsid w:val="006432CE"/>
    <w:rsid w:val="00643596"/>
    <w:rsid w:val="006436A4"/>
    <w:rsid w:val="006436B6"/>
    <w:rsid w:val="00643891"/>
    <w:rsid w:val="00643B0A"/>
    <w:rsid w:val="00643B54"/>
    <w:rsid w:val="00643C73"/>
    <w:rsid w:val="00643ED8"/>
    <w:rsid w:val="00643F0A"/>
    <w:rsid w:val="00643FD5"/>
    <w:rsid w:val="00644176"/>
    <w:rsid w:val="00644299"/>
    <w:rsid w:val="006442E6"/>
    <w:rsid w:val="00644321"/>
    <w:rsid w:val="00644350"/>
    <w:rsid w:val="00644417"/>
    <w:rsid w:val="006445E4"/>
    <w:rsid w:val="006445ED"/>
    <w:rsid w:val="00644703"/>
    <w:rsid w:val="00644827"/>
    <w:rsid w:val="0064489F"/>
    <w:rsid w:val="00644917"/>
    <w:rsid w:val="006449BA"/>
    <w:rsid w:val="00644C22"/>
    <w:rsid w:val="00644E00"/>
    <w:rsid w:val="00644E21"/>
    <w:rsid w:val="00644EDF"/>
    <w:rsid w:val="00644F5F"/>
    <w:rsid w:val="00645054"/>
    <w:rsid w:val="00645108"/>
    <w:rsid w:val="006451C6"/>
    <w:rsid w:val="00645304"/>
    <w:rsid w:val="00645358"/>
    <w:rsid w:val="0064536A"/>
    <w:rsid w:val="006453C1"/>
    <w:rsid w:val="006456EB"/>
    <w:rsid w:val="00645898"/>
    <w:rsid w:val="00645919"/>
    <w:rsid w:val="00645A36"/>
    <w:rsid w:val="00645A3E"/>
    <w:rsid w:val="00645A8A"/>
    <w:rsid w:val="00645CA3"/>
    <w:rsid w:val="00645F6F"/>
    <w:rsid w:val="00645FC6"/>
    <w:rsid w:val="006460C2"/>
    <w:rsid w:val="00646215"/>
    <w:rsid w:val="0064622D"/>
    <w:rsid w:val="00646257"/>
    <w:rsid w:val="00646589"/>
    <w:rsid w:val="006465B1"/>
    <w:rsid w:val="00646754"/>
    <w:rsid w:val="006468AE"/>
    <w:rsid w:val="00646C23"/>
    <w:rsid w:val="0064704C"/>
    <w:rsid w:val="00647411"/>
    <w:rsid w:val="006474C0"/>
    <w:rsid w:val="00647555"/>
    <w:rsid w:val="0064755B"/>
    <w:rsid w:val="006475C5"/>
    <w:rsid w:val="006477D1"/>
    <w:rsid w:val="006478C5"/>
    <w:rsid w:val="006479D2"/>
    <w:rsid w:val="00647B32"/>
    <w:rsid w:val="00647E6A"/>
    <w:rsid w:val="00647F37"/>
    <w:rsid w:val="00650030"/>
    <w:rsid w:val="00650344"/>
    <w:rsid w:val="006504DA"/>
    <w:rsid w:val="0065070C"/>
    <w:rsid w:val="00650754"/>
    <w:rsid w:val="006507F8"/>
    <w:rsid w:val="00650859"/>
    <w:rsid w:val="006508EB"/>
    <w:rsid w:val="00650ABC"/>
    <w:rsid w:val="00650B5E"/>
    <w:rsid w:val="00650C1F"/>
    <w:rsid w:val="00650CAE"/>
    <w:rsid w:val="00650E05"/>
    <w:rsid w:val="00650EB1"/>
    <w:rsid w:val="006510CB"/>
    <w:rsid w:val="006511CC"/>
    <w:rsid w:val="006512D5"/>
    <w:rsid w:val="0065156E"/>
    <w:rsid w:val="00651631"/>
    <w:rsid w:val="00651A94"/>
    <w:rsid w:val="00651D44"/>
    <w:rsid w:val="00652004"/>
    <w:rsid w:val="00652189"/>
    <w:rsid w:val="0065236D"/>
    <w:rsid w:val="0065238D"/>
    <w:rsid w:val="006523BC"/>
    <w:rsid w:val="00652462"/>
    <w:rsid w:val="00652475"/>
    <w:rsid w:val="00652742"/>
    <w:rsid w:val="0065274C"/>
    <w:rsid w:val="006529C5"/>
    <w:rsid w:val="00652A41"/>
    <w:rsid w:val="00652B58"/>
    <w:rsid w:val="00652BBA"/>
    <w:rsid w:val="00652C21"/>
    <w:rsid w:val="00652C2E"/>
    <w:rsid w:val="00652C78"/>
    <w:rsid w:val="0065309B"/>
    <w:rsid w:val="00653260"/>
    <w:rsid w:val="0065337C"/>
    <w:rsid w:val="0065348F"/>
    <w:rsid w:val="006534BB"/>
    <w:rsid w:val="006534F8"/>
    <w:rsid w:val="00653790"/>
    <w:rsid w:val="00653824"/>
    <w:rsid w:val="0065386F"/>
    <w:rsid w:val="006539F6"/>
    <w:rsid w:val="00653BF4"/>
    <w:rsid w:val="00653CE3"/>
    <w:rsid w:val="00654004"/>
    <w:rsid w:val="0065444F"/>
    <w:rsid w:val="00654466"/>
    <w:rsid w:val="006544ED"/>
    <w:rsid w:val="00654539"/>
    <w:rsid w:val="006545B7"/>
    <w:rsid w:val="0065461D"/>
    <w:rsid w:val="006547C0"/>
    <w:rsid w:val="0065480B"/>
    <w:rsid w:val="0065497A"/>
    <w:rsid w:val="00654B53"/>
    <w:rsid w:val="00654BFE"/>
    <w:rsid w:val="00654E3F"/>
    <w:rsid w:val="00654F98"/>
    <w:rsid w:val="00654FD3"/>
    <w:rsid w:val="00655009"/>
    <w:rsid w:val="00655601"/>
    <w:rsid w:val="006556C8"/>
    <w:rsid w:val="00655CA9"/>
    <w:rsid w:val="00655F9F"/>
    <w:rsid w:val="006561FA"/>
    <w:rsid w:val="0065631C"/>
    <w:rsid w:val="006563EA"/>
    <w:rsid w:val="00656964"/>
    <w:rsid w:val="00656A9F"/>
    <w:rsid w:val="00656B71"/>
    <w:rsid w:val="00656CE9"/>
    <w:rsid w:val="00656D56"/>
    <w:rsid w:val="00656D5E"/>
    <w:rsid w:val="00657083"/>
    <w:rsid w:val="00657174"/>
    <w:rsid w:val="006571EF"/>
    <w:rsid w:val="00657203"/>
    <w:rsid w:val="006572C7"/>
    <w:rsid w:val="00657663"/>
    <w:rsid w:val="006577A1"/>
    <w:rsid w:val="00657891"/>
    <w:rsid w:val="006579AE"/>
    <w:rsid w:val="00657BE5"/>
    <w:rsid w:val="00657C16"/>
    <w:rsid w:val="00657DC7"/>
    <w:rsid w:val="006600C3"/>
    <w:rsid w:val="00660126"/>
    <w:rsid w:val="00660167"/>
    <w:rsid w:val="006602B6"/>
    <w:rsid w:val="006602F5"/>
    <w:rsid w:val="006605A9"/>
    <w:rsid w:val="006606D9"/>
    <w:rsid w:val="00660834"/>
    <w:rsid w:val="006609E6"/>
    <w:rsid w:val="00660A7E"/>
    <w:rsid w:val="00660AB1"/>
    <w:rsid w:val="00660AE1"/>
    <w:rsid w:val="00660B60"/>
    <w:rsid w:val="00660DEB"/>
    <w:rsid w:val="00660E07"/>
    <w:rsid w:val="00660FB6"/>
    <w:rsid w:val="006615F3"/>
    <w:rsid w:val="006616DD"/>
    <w:rsid w:val="006616E1"/>
    <w:rsid w:val="00661728"/>
    <w:rsid w:val="006619D4"/>
    <w:rsid w:val="00661AC5"/>
    <w:rsid w:val="00661BD4"/>
    <w:rsid w:val="00661E5D"/>
    <w:rsid w:val="00662000"/>
    <w:rsid w:val="00662236"/>
    <w:rsid w:val="00662370"/>
    <w:rsid w:val="006623B5"/>
    <w:rsid w:val="006624B5"/>
    <w:rsid w:val="0066253B"/>
    <w:rsid w:val="00662598"/>
    <w:rsid w:val="0066261A"/>
    <w:rsid w:val="0066266D"/>
    <w:rsid w:val="0066267E"/>
    <w:rsid w:val="006627EC"/>
    <w:rsid w:val="00662AE5"/>
    <w:rsid w:val="00662DB3"/>
    <w:rsid w:val="00662FA0"/>
    <w:rsid w:val="0066325D"/>
    <w:rsid w:val="0066345E"/>
    <w:rsid w:val="00663499"/>
    <w:rsid w:val="00663689"/>
    <w:rsid w:val="0066382E"/>
    <w:rsid w:val="00663911"/>
    <w:rsid w:val="00663A44"/>
    <w:rsid w:val="00663B00"/>
    <w:rsid w:val="00663C48"/>
    <w:rsid w:val="00663CFE"/>
    <w:rsid w:val="00663E38"/>
    <w:rsid w:val="006640F6"/>
    <w:rsid w:val="00664168"/>
    <w:rsid w:val="0066416B"/>
    <w:rsid w:val="00664197"/>
    <w:rsid w:val="006641BE"/>
    <w:rsid w:val="00664248"/>
    <w:rsid w:val="006643BA"/>
    <w:rsid w:val="00664453"/>
    <w:rsid w:val="00664566"/>
    <w:rsid w:val="00664580"/>
    <w:rsid w:val="00664595"/>
    <w:rsid w:val="0066467B"/>
    <w:rsid w:val="00664773"/>
    <w:rsid w:val="0066478C"/>
    <w:rsid w:val="00664810"/>
    <w:rsid w:val="006649F0"/>
    <w:rsid w:val="00664A74"/>
    <w:rsid w:val="00664BE1"/>
    <w:rsid w:val="00664CD9"/>
    <w:rsid w:val="00664E38"/>
    <w:rsid w:val="00664EEF"/>
    <w:rsid w:val="0066505F"/>
    <w:rsid w:val="00665428"/>
    <w:rsid w:val="00665503"/>
    <w:rsid w:val="006657EA"/>
    <w:rsid w:val="006657F3"/>
    <w:rsid w:val="00665887"/>
    <w:rsid w:val="006659AD"/>
    <w:rsid w:val="00665CD4"/>
    <w:rsid w:val="00665E17"/>
    <w:rsid w:val="00665E3B"/>
    <w:rsid w:val="00665EA3"/>
    <w:rsid w:val="00665EC9"/>
    <w:rsid w:val="006660D5"/>
    <w:rsid w:val="0066623A"/>
    <w:rsid w:val="0066644E"/>
    <w:rsid w:val="00666676"/>
    <w:rsid w:val="0066669F"/>
    <w:rsid w:val="00666869"/>
    <w:rsid w:val="006668A6"/>
    <w:rsid w:val="00666902"/>
    <w:rsid w:val="00666AA7"/>
    <w:rsid w:val="00666ADD"/>
    <w:rsid w:val="00666B65"/>
    <w:rsid w:val="00666B9C"/>
    <w:rsid w:val="00667043"/>
    <w:rsid w:val="00667181"/>
    <w:rsid w:val="006672FE"/>
    <w:rsid w:val="0066734E"/>
    <w:rsid w:val="006673E2"/>
    <w:rsid w:val="00667408"/>
    <w:rsid w:val="0066753D"/>
    <w:rsid w:val="006675B1"/>
    <w:rsid w:val="006676C2"/>
    <w:rsid w:val="006677CD"/>
    <w:rsid w:val="00667901"/>
    <w:rsid w:val="006679AC"/>
    <w:rsid w:val="00667AD1"/>
    <w:rsid w:val="00667B9C"/>
    <w:rsid w:val="00667C15"/>
    <w:rsid w:val="006704CE"/>
    <w:rsid w:val="00670555"/>
    <w:rsid w:val="00670CB3"/>
    <w:rsid w:val="00670D0E"/>
    <w:rsid w:val="00670E76"/>
    <w:rsid w:val="00671005"/>
    <w:rsid w:val="006711B5"/>
    <w:rsid w:val="006714B7"/>
    <w:rsid w:val="00671685"/>
    <w:rsid w:val="0067196F"/>
    <w:rsid w:val="006719FF"/>
    <w:rsid w:val="00671A64"/>
    <w:rsid w:val="00671C0A"/>
    <w:rsid w:val="00671C8D"/>
    <w:rsid w:val="00671CB1"/>
    <w:rsid w:val="00671EAB"/>
    <w:rsid w:val="00671F41"/>
    <w:rsid w:val="0067208D"/>
    <w:rsid w:val="006720C5"/>
    <w:rsid w:val="006722D3"/>
    <w:rsid w:val="00672305"/>
    <w:rsid w:val="00672334"/>
    <w:rsid w:val="00672652"/>
    <w:rsid w:val="00672854"/>
    <w:rsid w:val="00672A03"/>
    <w:rsid w:val="00672A3B"/>
    <w:rsid w:val="00672A75"/>
    <w:rsid w:val="00672E06"/>
    <w:rsid w:val="00672FD9"/>
    <w:rsid w:val="00673310"/>
    <w:rsid w:val="006733D4"/>
    <w:rsid w:val="006734E9"/>
    <w:rsid w:val="006734ED"/>
    <w:rsid w:val="006735F8"/>
    <w:rsid w:val="00673600"/>
    <w:rsid w:val="0067372F"/>
    <w:rsid w:val="00673A40"/>
    <w:rsid w:val="00673BAD"/>
    <w:rsid w:val="00673CF0"/>
    <w:rsid w:val="00673D15"/>
    <w:rsid w:val="00673DA9"/>
    <w:rsid w:val="00673F43"/>
    <w:rsid w:val="0067406B"/>
    <w:rsid w:val="006741E5"/>
    <w:rsid w:val="0067465D"/>
    <w:rsid w:val="0067466B"/>
    <w:rsid w:val="006747BA"/>
    <w:rsid w:val="00674819"/>
    <w:rsid w:val="006748AB"/>
    <w:rsid w:val="00674FEF"/>
    <w:rsid w:val="006752EA"/>
    <w:rsid w:val="00675381"/>
    <w:rsid w:val="00675519"/>
    <w:rsid w:val="00675560"/>
    <w:rsid w:val="006756DA"/>
    <w:rsid w:val="006758E4"/>
    <w:rsid w:val="00675B3A"/>
    <w:rsid w:val="00675B41"/>
    <w:rsid w:val="00675C0F"/>
    <w:rsid w:val="0067611C"/>
    <w:rsid w:val="00676325"/>
    <w:rsid w:val="00676437"/>
    <w:rsid w:val="00676526"/>
    <w:rsid w:val="006765FD"/>
    <w:rsid w:val="006766FB"/>
    <w:rsid w:val="0067677B"/>
    <w:rsid w:val="00676850"/>
    <w:rsid w:val="00676942"/>
    <w:rsid w:val="00676A35"/>
    <w:rsid w:val="00676B02"/>
    <w:rsid w:val="00676B61"/>
    <w:rsid w:val="00676DD0"/>
    <w:rsid w:val="00676E00"/>
    <w:rsid w:val="00676F07"/>
    <w:rsid w:val="0067749E"/>
    <w:rsid w:val="006778C8"/>
    <w:rsid w:val="00677B1B"/>
    <w:rsid w:val="00677CCE"/>
    <w:rsid w:val="00677DD7"/>
    <w:rsid w:val="00677E14"/>
    <w:rsid w:val="0067AA5C"/>
    <w:rsid w:val="00680141"/>
    <w:rsid w:val="006805B8"/>
    <w:rsid w:val="006805BF"/>
    <w:rsid w:val="00680603"/>
    <w:rsid w:val="006806A8"/>
    <w:rsid w:val="00680BC7"/>
    <w:rsid w:val="00680C62"/>
    <w:rsid w:val="00680D87"/>
    <w:rsid w:val="00680DD2"/>
    <w:rsid w:val="00680EAC"/>
    <w:rsid w:val="006811B6"/>
    <w:rsid w:val="006814F9"/>
    <w:rsid w:val="00681540"/>
    <w:rsid w:val="00681681"/>
    <w:rsid w:val="00681738"/>
    <w:rsid w:val="006818EB"/>
    <w:rsid w:val="006818EF"/>
    <w:rsid w:val="00681CCE"/>
    <w:rsid w:val="00681D60"/>
    <w:rsid w:val="00681F39"/>
    <w:rsid w:val="006820D1"/>
    <w:rsid w:val="0068219D"/>
    <w:rsid w:val="006821FD"/>
    <w:rsid w:val="0068252D"/>
    <w:rsid w:val="0068274E"/>
    <w:rsid w:val="0068296E"/>
    <w:rsid w:val="00682980"/>
    <w:rsid w:val="00682A80"/>
    <w:rsid w:val="00682A91"/>
    <w:rsid w:val="00682B4B"/>
    <w:rsid w:val="00682C00"/>
    <w:rsid w:val="00682C1E"/>
    <w:rsid w:val="00683061"/>
    <w:rsid w:val="00683199"/>
    <w:rsid w:val="0068320A"/>
    <w:rsid w:val="00683237"/>
    <w:rsid w:val="00683241"/>
    <w:rsid w:val="006832E8"/>
    <w:rsid w:val="006832EA"/>
    <w:rsid w:val="006833FC"/>
    <w:rsid w:val="006839A8"/>
    <w:rsid w:val="0068401E"/>
    <w:rsid w:val="00684021"/>
    <w:rsid w:val="006841BF"/>
    <w:rsid w:val="00684506"/>
    <w:rsid w:val="00684624"/>
    <w:rsid w:val="00684693"/>
    <w:rsid w:val="006847DA"/>
    <w:rsid w:val="00684AC1"/>
    <w:rsid w:val="00684C0E"/>
    <w:rsid w:val="00684CA2"/>
    <w:rsid w:val="00684D54"/>
    <w:rsid w:val="00684E2A"/>
    <w:rsid w:val="006850B8"/>
    <w:rsid w:val="00685253"/>
    <w:rsid w:val="0068526C"/>
    <w:rsid w:val="006852E6"/>
    <w:rsid w:val="0068531F"/>
    <w:rsid w:val="006853D4"/>
    <w:rsid w:val="0068556D"/>
    <w:rsid w:val="006855B5"/>
    <w:rsid w:val="00685628"/>
    <w:rsid w:val="0068564C"/>
    <w:rsid w:val="00685756"/>
    <w:rsid w:val="006857E5"/>
    <w:rsid w:val="006858CA"/>
    <w:rsid w:val="00685928"/>
    <w:rsid w:val="00685978"/>
    <w:rsid w:val="00685B48"/>
    <w:rsid w:val="00685BB1"/>
    <w:rsid w:val="00685CE5"/>
    <w:rsid w:val="00685F05"/>
    <w:rsid w:val="00685F80"/>
    <w:rsid w:val="00686065"/>
    <w:rsid w:val="00686417"/>
    <w:rsid w:val="0068643E"/>
    <w:rsid w:val="006864E6"/>
    <w:rsid w:val="00686558"/>
    <w:rsid w:val="006865AC"/>
    <w:rsid w:val="00686753"/>
    <w:rsid w:val="00686952"/>
    <w:rsid w:val="00686973"/>
    <w:rsid w:val="00686A1D"/>
    <w:rsid w:val="00686AA4"/>
    <w:rsid w:val="00686AA8"/>
    <w:rsid w:val="00686B81"/>
    <w:rsid w:val="00686C44"/>
    <w:rsid w:val="00686EEF"/>
    <w:rsid w:val="00686FEF"/>
    <w:rsid w:val="006870A1"/>
    <w:rsid w:val="006872CD"/>
    <w:rsid w:val="00687442"/>
    <w:rsid w:val="00687497"/>
    <w:rsid w:val="0068787C"/>
    <w:rsid w:val="00687926"/>
    <w:rsid w:val="0068797B"/>
    <w:rsid w:val="00687A57"/>
    <w:rsid w:val="00687C7B"/>
    <w:rsid w:val="00687E99"/>
    <w:rsid w:val="00687EEB"/>
    <w:rsid w:val="00688CE4"/>
    <w:rsid w:val="00690150"/>
    <w:rsid w:val="00690583"/>
    <w:rsid w:val="00690679"/>
    <w:rsid w:val="006906BD"/>
    <w:rsid w:val="006907A5"/>
    <w:rsid w:val="0069095B"/>
    <w:rsid w:val="00690A70"/>
    <w:rsid w:val="00690A75"/>
    <w:rsid w:val="00690AA4"/>
    <w:rsid w:val="00690E06"/>
    <w:rsid w:val="00691022"/>
    <w:rsid w:val="006912A9"/>
    <w:rsid w:val="00691500"/>
    <w:rsid w:val="006918B9"/>
    <w:rsid w:val="006918F8"/>
    <w:rsid w:val="00691907"/>
    <w:rsid w:val="006919D1"/>
    <w:rsid w:val="006919FB"/>
    <w:rsid w:val="00691A51"/>
    <w:rsid w:val="00691B88"/>
    <w:rsid w:val="00691DB7"/>
    <w:rsid w:val="0069242A"/>
    <w:rsid w:val="006924DA"/>
    <w:rsid w:val="00692520"/>
    <w:rsid w:val="006927B4"/>
    <w:rsid w:val="00692919"/>
    <w:rsid w:val="0069297E"/>
    <w:rsid w:val="00692A55"/>
    <w:rsid w:val="00692F52"/>
    <w:rsid w:val="00692FB5"/>
    <w:rsid w:val="006932B3"/>
    <w:rsid w:val="0069355D"/>
    <w:rsid w:val="00693581"/>
    <w:rsid w:val="006935D1"/>
    <w:rsid w:val="00693731"/>
    <w:rsid w:val="006937CF"/>
    <w:rsid w:val="0069387B"/>
    <w:rsid w:val="006939D6"/>
    <w:rsid w:val="00693E9F"/>
    <w:rsid w:val="00693EF2"/>
    <w:rsid w:val="0069419E"/>
    <w:rsid w:val="00694290"/>
    <w:rsid w:val="00694558"/>
    <w:rsid w:val="0069466C"/>
    <w:rsid w:val="006947D6"/>
    <w:rsid w:val="00694AAF"/>
    <w:rsid w:val="00694ACD"/>
    <w:rsid w:val="00694ADC"/>
    <w:rsid w:val="00694BF4"/>
    <w:rsid w:val="00694D21"/>
    <w:rsid w:val="0069518F"/>
    <w:rsid w:val="0069530B"/>
    <w:rsid w:val="006954CA"/>
    <w:rsid w:val="00695543"/>
    <w:rsid w:val="00695568"/>
    <w:rsid w:val="006955C0"/>
    <w:rsid w:val="006956F6"/>
    <w:rsid w:val="00695725"/>
    <w:rsid w:val="0069576A"/>
    <w:rsid w:val="00695A71"/>
    <w:rsid w:val="00695E7B"/>
    <w:rsid w:val="00695F7C"/>
    <w:rsid w:val="00696141"/>
    <w:rsid w:val="0069649A"/>
    <w:rsid w:val="0069652F"/>
    <w:rsid w:val="00696565"/>
    <w:rsid w:val="0069685C"/>
    <w:rsid w:val="006969C0"/>
    <w:rsid w:val="00696A9D"/>
    <w:rsid w:val="00696AA5"/>
    <w:rsid w:val="00696B48"/>
    <w:rsid w:val="00696C46"/>
    <w:rsid w:val="00696CD9"/>
    <w:rsid w:val="00696D89"/>
    <w:rsid w:val="00697258"/>
    <w:rsid w:val="006973B5"/>
    <w:rsid w:val="006974C6"/>
    <w:rsid w:val="0069760B"/>
    <w:rsid w:val="006978A3"/>
    <w:rsid w:val="00697B37"/>
    <w:rsid w:val="00697C79"/>
    <w:rsid w:val="00697E13"/>
    <w:rsid w:val="00697E25"/>
    <w:rsid w:val="00697FBC"/>
    <w:rsid w:val="00697FD7"/>
    <w:rsid w:val="006A0256"/>
    <w:rsid w:val="006A03BA"/>
    <w:rsid w:val="006A03DD"/>
    <w:rsid w:val="006A04C2"/>
    <w:rsid w:val="006A062F"/>
    <w:rsid w:val="006A0A9F"/>
    <w:rsid w:val="006A0DAD"/>
    <w:rsid w:val="006A10AA"/>
    <w:rsid w:val="006A1113"/>
    <w:rsid w:val="006A1166"/>
    <w:rsid w:val="006A1353"/>
    <w:rsid w:val="006A149F"/>
    <w:rsid w:val="006A1976"/>
    <w:rsid w:val="006A19CD"/>
    <w:rsid w:val="006A1A06"/>
    <w:rsid w:val="006A1A15"/>
    <w:rsid w:val="006A1CF4"/>
    <w:rsid w:val="006A2052"/>
    <w:rsid w:val="006A215E"/>
    <w:rsid w:val="006A2181"/>
    <w:rsid w:val="006A21DA"/>
    <w:rsid w:val="006A2289"/>
    <w:rsid w:val="006A23E3"/>
    <w:rsid w:val="006A242C"/>
    <w:rsid w:val="006A2710"/>
    <w:rsid w:val="006A275C"/>
    <w:rsid w:val="006A293E"/>
    <w:rsid w:val="006A295A"/>
    <w:rsid w:val="006A2AF8"/>
    <w:rsid w:val="006A2BE5"/>
    <w:rsid w:val="006A2CD2"/>
    <w:rsid w:val="006A2E16"/>
    <w:rsid w:val="006A2E83"/>
    <w:rsid w:val="006A2E96"/>
    <w:rsid w:val="006A2FC2"/>
    <w:rsid w:val="006A30B7"/>
    <w:rsid w:val="006A313A"/>
    <w:rsid w:val="006A31CD"/>
    <w:rsid w:val="006A32E9"/>
    <w:rsid w:val="006A338A"/>
    <w:rsid w:val="006A3407"/>
    <w:rsid w:val="006A3589"/>
    <w:rsid w:val="006A38E5"/>
    <w:rsid w:val="006A3C7A"/>
    <w:rsid w:val="006A3D3F"/>
    <w:rsid w:val="006A4037"/>
    <w:rsid w:val="006A42B3"/>
    <w:rsid w:val="006A4418"/>
    <w:rsid w:val="006A4446"/>
    <w:rsid w:val="006A463F"/>
    <w:rsid w:val="006A47D4"/>
    <w:rsid w:val="006A48E5"/>
    <w:rsid w:val="006A4A2B"/>
    <w:rsid w:val="006A4A3C"/>
    <w:rsid w:val="006A4B83"/>
    <w:rsid w:val="006A4D7E"/>
    <w:rsid w:val="006A4E69"/>
    <w:rsid w:val="006A4E81"/>
    <w:rsid w:val="006A514B"/>
    <w:rsid w:val="006A52EB"/>
    <w:rsid w:val="006A5365"/>
    <w:rsid w:val="006A5655"/>
    <w:rsid w:val="006A589E"/>
    <w:rsid w:val="006A58CF"/>
    <w:rsid w:val="006A590F"/>
    <w:rsid w:val="006A5924"/>
    <w:rsid w:val="006A5950"/>
    <w:rsid w:val="006A5AB1"/>
    <w:rsid w:val="006A5C0A"/>
    <w:rsid w:val="006A5E83"/>
    <w:rsid w:val="006A631E"/>
    <w:rsid w:val="006A6748"/>
    <w:rsid w:val="006A69C5"/>
    <w:rsid w:val="006A6B3F"/>
    <w:rsid w:val="006A6B8F"/>
    <w:rsid w:val="006A6C56"/>
    <w:rsid w:val="006A6FCC"/>
    <w:rsid w:val="006A6FDF"/>
    <w:rsid w:val="006A6FFB"/>
    <w:rsid w:val="006A7191"/>
    <w:rsid w:val="006A768D"/>
    <w:rsid w:val="006A796D"/>
    <w:rsid w:val="006A79B6"/>
    <w:rsid w:val="006A7A7A"/>
    <w:rsid w:val="006A7A90"/>
    <w:rsid w:val="006A7A99"/>
    <w:rsid w:val="006A7C35"/>
    <w:rsid w:val="006A7FC4"/>
    <w:rsid w:val="006AE90E"/>
    <w:rsid w:val="006B04A2"/>
    <w:rsid w:val="006B050A"/>
    <w:rsid w:val="006B06CD"/>
    <w:rsid w:val="006B06EA"/>
    <w:rsid w:val="006B0729"/>
    <w:rsid w:val="006B09B5"/>
    <w:rsid w:val="006B0A36"/>
    <w:rsid w:val="006B0A80"/>
    <w:rsid w:val="006B0A87"/>
    <w:rsid w:val="006B0B8B"/>
    <w:rsid w:val="006B0D44"/>
    <w:rsid w:val="006B0D9A"/>
    <w:rsid w:val="006B0DB5"/>
    <w:rsid w:val="006B0E0C"/>
    <w:rsid w:val="006B0E43"/>
    <w:rsid w:val="006B0EB3"/>
    <w:rsid w:val="006B111F"/>
    <w:rsid w:val="006B117E"/>
    <w:rsid w:val="006B11B0"/>
    <w:rsid w:val="006B11D0"/>
    <w:rsid w:val="006B13C6"/>
    <w:rsid w:val="006B13CD"/>
    <w:rsid w:val="006B1503"/>
    <w:rsid w:val="006B150C"/>
    <w:rsid w:val="006B150E"/>
    <w:rsid w:val="006B1541"/>
    <w:rsid w:val="006B161E"/>
    <w:rsid w:val="006B1761"/>
    <w:rsid w:val="006B1ADF"/>
    <w:rsid w:val="006B1B51"/>
    <w:rsid w:val="006B1D7E"/>
    <w:rsid w:val="006B1E62"/>
    <w:rsid w:val="006B1FF1"/>
    <w:rsid w:val="006B2221"/>
    <w:rsid w:val="006B226B"/>
    <w:rsid w:val="006B2524"/>
    <w:rsid w:val="006B27FA"/>
    <w:rsid w:val="006B28A2"/>
    <w:rsid w:val="006B2BEA"/>
    <w:rsid w:val="006B2E92"/>
    <w:rsid w:val="006B2EBB"/>
    <w:rsid w:val="006B2EDA"/>
    <w:rsid w:val="006B2EFD"/>
    <w:rsid w:val="006B2FDC"/>
    <w:rsid w:val="006B31BE"/>
    <w:rsid w:val="006B31D2"/>
    <w:rsid w:val="006B328C"/>
    <w:rsid w:val="006B33A2"/>
    <w:rsid w:val="006B33AA"/>
    <w:rsid w:val="006B34EE"/>
    <w:rsid w:val="006B35AC"/>
    <w:rsid w:val="006B376B"/>
    <w:rsid w:val="006B3776"/>
    <w:rsid w:val="006B384E"/>
    <w:rsid w:val="006B38A7"/>
    <w:rsid w:val="006B38CD"/>
    <w:rsid w:val="006B39BB"/>
    <w:rsid w:val="006B3A48"/>
    <w:rsid w:val="006B3B06"/>
    <w:rsid w:val="006B3BF2"/>
    <w:rsid w:val="006B3C98"/>
    <w:rsid w:val="006B3D63"/>
    <w:rsid w:val="006B3E2D"/>
    <w:rsid w:val="006B3EC4"/>
    <w:rsid w:val="006B3F1F"/>
    <w:rsid w:val="006B418F"/>
    <w:rsid w:val="006B4250"/>
    <w:rsid w:val="006B4369"/>
    <w:rsid w:val="006B4561"/>
    <w:rsid w:val="006B45BD"/>
    <w:rsid w:val="006B4786"/>
    <w:rsid w:val="006B48FC"/>
    <w:rsid w:val="006B4A58"/>
    <w:rsid w:val="006B4C81"/>
    <w:rsid w:val="006B4C8E"/>
    <w:rsid w:val="006B4F22"/>
    <w:rsid w:val="006B4F33"/>
    <w:rsid w:val="006B4FB2"/>
    <w:rsid w:val="006B526D"/>
    <w:rsid w:val="006B55EA"/>
    <w:rsid w:val="006B57C1"/>
    <w:rsid w:val="006B5809"/>
    <w:rsid w:val="006B583F"/>
    <w:rsid w:val="006B58CB"/>
    <w:rsid w:val="006B59CF"/>
    <w:rsid w:val="006B5BBA"/>
    <w:rsid w:val="006B5D09"/>
    <w:rsid w:val="006B5D33"/>
    <w:rsid w:val="006B5EED"/>
    <w:rsid w:val="006B5F83"/>
    <w:rsid w:val="006B6052"/>
    <w:rsid w:val="006B616A"/>
    <w:rsid w:val="006B6375"/>
    <w:rsid w:val="006B643B"/>
    <w:rsid w:val="006B644B"/>
    <w:rsid w:val="006B655B"/>
    <w:rsid w:val="006B66BC"/>
    <w:rsid w:val="006B697E"/>
    <w:rsid w:val="006B6989"/>
    <w:rsid w:val="006B6AE3"/>
    <w:rsid w:val="006B6CDD"/>
    <w:rsid w:val="006B6E12"/>
    <w:rsid w:val="006B6E2B"/>
    <w:rsid w:val="006B6ED1"/>
    <w:rsid w:val="006B6ED3"/>
    <w:rsid w:val="006B7215"/>
    <w:rsid w:val="006B7233"/>
    <w:rsid w:val="006B72A6"/>
    <w:rsid w:val="006B751B"/>
    <w:rsid w:val="006B75E4"/>
    <w:rsid w:val="006B7644"/>
    <w:rsid w:val="006B7692"/>
    <w:rsid w:val="006B78A9"/>
    <w:rsid w:val="006B7BEC"/>
    <w:rsid w:val="006B7C39"/>
    <w:rsid w:val="006B7FEE"/>
    <w:rsid w:val="006C052D"/>
    <w:rsid w:val="006C0562"/>
    <w:rsid w:val="006C05C3"/>
    <w:rsid w:val="006C06E3"/>
    <w:rsid w:val="006C0A7B"/>
    <w:rsid w:val="006C0AA7"/>
    <w:rsid w:val="006C0B60"/>
    <w:rsid w:val="006C0B6A"/>
    <w:rsid w:val="006C0C1A"/>
    <w:rsid w:val="006C0E91"/>
    <w:rsid w:val="006C0EE0"/>
    <w:rsid w:val="006C0FCA"/>
    <w:rsid w:val="006C10AC"/>
    <w:rsid w:val="006C115B"/>
    <w:rsid w:val="006C1582"/>
    <w:rsid w:val="006C1589"/>
    <w:rsid w:val="006C178A"/>
    <w:rsid w:val="006C19A1"/>
    <w:rsid w:val="006C1AF1"/>
    <w:rsid w:val="006C1C0C"/>
    <w:rsid w:val="006C1C6F"/>
    <w:rsid w:val="006C1CE0"/>
    <w:rsid w:val="006C1D67"/>
    <w:rsid w:val="006C1DFD"/>
    <w:rsid w:val="006C1E18"/>
    <w:rsid w:val="006C22D3"/>
    <w:rsid w:val="006C23C7"/>
    <w:rsid w:val="006C24A3"/>
    <w:rsid w:val="006C253E"/>
    <w:rsid w:val="006C258A"/>
    <w:rsid w:val="006C2740"/>
    <w:rsid w:val="006C2774"/>
    <w:rsid w:val="006C2851"/>
    <w:rsid w:val="006C287E"/>
    <w:rsid w:val="006C28EF"/>
    <w:rsid w:val="006C290A"/>
    <w:rsid w:val="006C2A24"/>
    <w:rsid w:val="006C2CEE"/>
    <w:rsid w:val="006C2E1B"/>
    <w:rsid w:val="006C2ED8"/>
    <w:rsid w:val="006C307C"/>
    <w:rsid w:val="006C3377"/>
    <w:rsid w:val="006C33F0"/>
    <w:rsid w:val="006C3766"/>
    <w:rsid w:val="006C3822"/>
    <w:rsid w:val="006C392F"/>
    <w:rsid w:val="006C3962"/>
    <w:rsid w:val="006C3BDC"/>
    <w:rsid w:val="006C3C8C"/>
    <w:rsid w:val="006C3CA1"/>
    <w:rsid w:val="006C3CB7"/>
    <w:rsid w:val="006C3CD9"/>
    <w:rsid w:val="006C3F19"/>
    <w:rsid w:val="006C3F1C"/>
    <w:rsid w:val="006C4150"/>
    <w:rsid w:val="006C4740"/>
    <w:rsid w:val="006C480A"/>
    <w:rsid w:val="006C4C43"/>
    <w:rsid w:val="006C4E64"/>
    <w:rsid w:val="006C4F0A"/>
    <w:rsid w:val="006C4FAF"/>
    <w:rsid w:val="006C4FBE"/>
    <w:rsid w:val="006C4FED"/>
    <w:rsid w:val="006C50C1"/>
    <w:rsid w:val="006C515A"/>
    <w:rsid w:val="006C52FE"/>
    <w:rsid w:val="006C5555"/>
    <w:rsid w:val="006C55BF"/>
    <w:rsid w:val="006C5721"/>
    <w:rsid w:val="006C5925"/>
    <w:rsid w:val="006C5A23"/>
    <w:rsid w:val="006C5A62"/>
    <w:rsid w:val="006C5DC3"/>
    <w:rsid w:val="006C5EEC"/>
    <w:rsid w:val="006C5F87"/>
    <w:rsid w:val="006C5FAD"/>
    <w:rsid w:val="006C648D"/>
    <w:rsid w:val="006C659E"/>
    <w:rsid w:val="006C67B0"/>
    <w:rsid w:val="006C6B8A"/>
    <w:rsid w:val="006C6D4E"/>
    <w:rsid w:val="006C6E30"/>
    <w:rsid w:val="006C6E7A"/>
    <w:rsid w:val="006C6F68"/>
    <w:rsid w:val="006C7071"/>
    <w:rsid w:val="006C739E"/>
    <w:rsid w:val="006C74BA"/>
    <w:rsid w:val="006C75BC"/>
    <w:rsid w:val="006C7803"/>
    <w:rsid w:val="006C79C2"/>
    <w:rsid w:val="006C7AD7"/>
    <w:rsid w:val="006C7BA7"/>
    <w:rsid w:val="006C7C7B"/>
    <w:rsid w:val="006C7CF4"/>
    <w:rsid w:val="006C7E98"/>
    <w:rsid w:val="006C7FE8"/>
    <w:rsid w:val="006D0057"/>
    <w:rsid w:val="006D00D3"/>
    <w:rsid w:val="006D01A4"/>
    <w:rsid w:val="006D020E"/>
    <w:rsid w:val="006D027F"/>
    <w:rsid w:val="006D0324"/>
    <w:rsid w:val="006D05DD"/>
    <w:rsid w:val="006D064A"/>
    <w:rsid w:val="006D0824"/>
    <w:rsid w:val="006D0A50"/>
    <w:rsid w:val="006D0A7F"/>
    <w:rsid w:val="006D0AF9"/>
    <w:rsid w:val="006D0B3F"/>
    <w:rsid w:val="006D0C66"/>
    <w:rsid w:val="006D121E"/>
    <w:rsid w:val="006D1238"/>
    <w:rsid w:val="006D1290"/>
    <w:rsid w:val="006D1533"/>
    <w:rsid w:val="006D1599"/>
    <w:rsid w:val="006D16AC"/>
    <w:rsid w:val="006D1733"/>
    <w:rsid w:val="006D17CC"/>
    <w:rsid w:val="006D1A43"/>
    <w:rsid w:val="006D1A7B"/>
    <w:rsid w:val="006D1A92"/>
    <w:rsid w:val="006D1AFD"/>
    <w:rsid w:val="006D1F9E"/>
    <w:rsid w:val="006D2041"/>
    <w:rsid w:val="006D20FF"/>
    <w:rsid w:val="006D21B3"/>
    <w:rsid w:val="006D22CF"/>
    <w:rsid w:val="006D2432"/>
    <w:rsid w:val="006D245D"/>
    <w:rsid w:val="006D24AA"/>
    <w:rsid w:val="006D25EC"/>
    <w:rsid w:val="006D27FF"/>
    <w:rsid w:val="006D2844"/>
    <w:rsid w:val="006D286C"/>
    <w:rsid w:val="006D2A4E"/>
    <w:rsid w:val="006D2A65"/>
    <w:rsid w:val="006D2DC3"/>
    <w:rsid w:val="006D2EDE"/>
    <w:rsid w:val="006D2F0E"/>
    <w:rsid w:val="006D2FC1"/>
    <w:rsid w:val="006D3284"/>
    <w:rsid w:val="006D334A"/>
    <w:rsid w:val="006D367A"/>
    <w:rsid w:val="006D3727"/>
    <w:rsid w:val="006D3889"/>
    <w:rsid w:val="006D38EC"/>
    <w:rsid w:val="006D3967"/>
    <w:rsid w:val="006D3AC9"/>
    <w:rsid w:val="006D3B94"/>
    <w:rsid w:val="006D3C29"/>
    <w:rsid w:val="006D3C2E"/>
    <w:rsid w:val="006D3D3E"/>
    <w:rsid w:val="006D3D4E"/>
    <w:rsid w:val="006D3D90"/>
    <w:rsid w:val="006D3E09"/>
    <w:rsid w:val="006D3F37"/>
    <w:rsid w:val="006D40E7"/>
    <w:rsid w:val="006D4754"/>
    <w:rsid w:val="006D4761"/>
    <w:rsid w:val="006D477C"/>
    <w:rsid w:val="006D479F"/>
    <w:rsid w:val="006D4857"/>
    <w:rsid w:val="006D4905"/>
    <w:rsid w:val="006D4A74"/>
    <w:rsid w:val="006D4B4B"/>
    <w:rsid w:val="006D4D54"/>
    <w:rsid w:val="006D4D9B"/>
    <w:rsid w:val="006D4F83"/>
    <w:rsid w:val="006D536B"/>
    <w:rsid w:val="006D546B"/>
    <w:rsid w:val="006D54AB"/>
    <w:rsid w:val="006D550A"/>
    <w:rsid w:val="006D55FB"/>
    <w:rsid w:val="006D5A53"/>
    <w:rsid w:val="006D5C04"/>
    <w:rsid w:val="006D5DB5"/>
    <w:rsid w:val="006D5E4B"/>
    <w:rsid w:val="006D5E50"/>
    <w:rsid w:val="006D5F15"/>
    <w:rsid w:val="006D5F8E"/>
    <w:rsid w:val="006D5FBB"/>
    <w:rsid w:val="006D60B5"/>
    <w:rsid w:val="006D614A"/>
    <w:rsid w:val="006D64BD"/>
    <w:rsid w:val="006D65D0"/>
    <w:rsid w:val="006D66A3"/>
    <w:rsid w:val="006D6730"/>
    <w:rsid w:val="006D673B"/>
    <w:rsid w:val="006D679C"/>
    <w:rsid w:val="006D685C"/>
    <w:rsid w:val="006D68F1"/>
    <w:rsid w:val="006D69E7"/>
    <w:rsid w:val="006D6A3C"/>
    <w:rsid w:val="006D6E99"/>
    <w:rsid w:val="006D71D0"/>
    <w:rsid w:val="006D722D"/>
    <w:rsid w:val="006D72B5"/>
    <w:rsid w:val="006D730C"/>
    <w:rsid w:val="006D7397"/>
    <w:rsid w:val="006D753A"/>
    <w:rsid w:val="006D75D7"/>
    <w:rsid w:val="006D773E"/>
    <w:rsid w:val="006D77D1"/>
    <w:rsid w:val="006D78CF"/>
    <w:rsid w:val="006D7CA7"/>
    <w:rsid w:val="006D7F81"/>
    <w:rsid w:val="006E04BA"/>
    <w:rsid w:val="006E05E2"/>
    <w:rsid w:val="006E061B"/>
    <w:rsid w:val="006E0908"/>
    <w:rsid w:val="006E0E08"/>
    <w:rsid w:val="006E0E0D"/>
    <w:rsid w:val="006E0E25"/>
    <w:rsid w:val="006E0E60"/>
    <w:rsid w:val="006E0E90"/>
    <w:rsid w:val="006E1060"/>
    <w:rsid w:val="006E1098"/>
    <w:rsid w:val="006E1160"/>
    <w:rsid w:val="006E1424"/>
    <w:rsid w:val="006E15DC"/>
    <w:rsid w:val="006E17C5"/>
    <w:rsid w:val="006E187A"/>
    <w:rsid w:val="006E192B"/>
    <w:rsid w:val="006E19F3"/>
    <w:rsid w:val="006E1DEB"/>
    <w:rsid w:val="006E1FB0"/>
    <w:rsid w:val="006E2033"/>
    <w:rsid w:val="006E2137"/>
    <w:rsid w:val="006E2294"/>
    <w:rsid w:val="006E2327"/>
    <w:rsid w:val="006E260A"/>
    <w:rsid w:val="006E26A2"/>
    <w:rsid w:val="006E2704"/>
    <w:rsid w:val="006E27AA"/>
    <w:rsid w:val="006E286E"/>
    <w:rsid w:val="006E28F1"/>
    <w:rsid w:val="006E2905"/>
    <w:rsid w:val="006E2D07"/>
    <w:rsid w:val="006E2DDB"/>
    <w:rsid w:val="006E2E3C"/>
    <w:rsid w:val="006E30D3"/>
    <w:rsid w:val="006E31D5"/>
    <w:rsid w:val="006E3245"/>
    <w:rsid w:val="006E330B"/>
    <w:rsid w:val="006E331B"/>
    <w:rsid w:val="006E335A"/>
    <w:rsid w:val="006E346C"/>
    <w:rsid w:val="006E361A"/>
    <w:rsid w:val="006E366C"/>
    <w:rsid w:val="006E3740"/>
    <w:rsid w:val="006E38C2"/>
    <w:rsid w:val="006E3A19"/>
    <w:rsid w:val="006E3A60"/>
    <w:rsid w:val="006E3BEB"/>
    <w:rsid w:val="006E3D98"/>
    <w:rsid w:val="006E3E06"/>
    <w:rsid w:val="006E3E98"/>
    <w:rsid w:val="006E3F54"/>
    <w:rsid w:val="006E3F74"/>
    <w:rsid w:val="006E419B"/>
    <w:rsid w:val="006E41F5"/>
    <w:rsid w:val="006E439B"/>
    <w:rsid w:val="006E4633"/>
    <w:rsid w:val="006E466E"/>
    <w:rsid w:val="006E467A"/>
    <w:rsid w:val="006E473E"/>
    <w:rsid w:val="006E47B4"/>
    <w:rsid w:val="006E4B3D"/>
    <w:rsid w:val="006E4BD5"/>
    <w:rsid w:val="006E4D66"/>
    <w:rsid w:val="006E4DA3"/>
    <w:rsid w:val="006E4EEE"/>
    <w:rsid w:val="006E5170"/>
    <w:rsid w:val="006E5306"/>
    <w:rsid w:val="006E5358"/>
    <w:rsid w:val="006E539A"/>
    <w:rsid w:val="006E56A3"/>
    <w:rsid w:val="006E56C9"/>
    <w:rsid w:val="006E581A"/>
    <w:rsid w:val="006E5899"/>
    <w:rsid w:val="006E59C6"/>
    <w:rsid w:val="006E5AEA"/>
    <w:rsid w:val="006E5C14"/>
    <w:rsid w:val="006E6095"/>
    <w:rsid w:val="006E6127"/>
    <w:rsid w:val="006E617F"/>
    <w:rsid w:val="006E6444"/>
    <w:rsid w:val="006E68BA"/>
    <w:rsid w:val="006E68F4"/>
    <w:rsid w:val="006E6944"/>
    <w:rsid w:val="006E6968"/>
    <w:rsid w:val="006E6C65"/>
    <w:rsid w:val="006E6D93"/>
    <w:rsid w:val="006E6DEA"/>
    <w:rsid w:val="006E6E06"/>
    <w:rsid w:val="006E6F0A"/>
    <w:rsid w:val="006E6FBF"/>
    <w:rsid w:val="006E6FFB"/>
    <w:rsid w:val="006E708F"/>
    <w:rsid w:val="006E72CC"/>
    <w:rsid w:val="006E72EF"/>
    <w:rsid w:val="006E74D7"/>
    <w:rsid w:val="006E7689"/>
    <w:rsid w:val="006E7B4D"/>
    <w:rsid w:val="006E7B54"/>
    <w:rsid w:val="006E7B5E"/>
    <w:rsid w:val="006E7D32"/>
    <w:rsid w:val="006E7D80"/>
    <w:rsid w:val="006E7D99"/>
    <w:rsid w:val="006E7E76"/>
    <w:rsid w:val="006F00C9"/>
    <w:rsid w:val="006F0100"/>
    <w:rsid w:val="006F0154"/>
    <w:rsid w:val="006F0193"/>
    <w:rsid w:val="006F019D"/>
    <w:rsid w:val="006F01AF"/>
    <w:rsid w:val="006F01C7"/>
    <w:rsid w:val="006F045D"/>
    <w:rsid w:val="006F05DB"/>
    <w:rsid w:val="006F06E2"/>
    <w:rsid w:val="006F0719"/>
    <w:rsid w:val="006F0983"/>
    <w:rsid w:val="006F09FB"/>
    <w:rsid w:val="006F0D6C"/>
    <w:rsid w:val="006F0EBA"/>
    <w:rsid w:val="006F0FA9"/>
    <w:rsid w:val="006F10EF"/>
    <w:rsid w:val="006F1482"/>
    <w:rsid w:val="006F1617"/>
    <w:rsid w:val="006F16AA"/>
    <w:rsid w:val="006F16BF"/>
    <w:rsid w:val="006F1767"/>
    <w:rsid w:val="006F185B"/>
    <w:rsid w:val="006F195D"/>
    <w:rsid w:val="006F1964"/>
    <w:rsid w:val="006F1965"/>
    <w:rsid w:val="006F1A20"/>
    <w:rsid w:val="006F1AE8"/>
    <w:rsid w:val="006F1C66"/>
    <w:rsid w:val="006F1C67"/>
    <w:rsid w:val="006F1CC7"/>
    <w:rsid w:val="006F1D2E"/>
    <w:rsid w:val="006F1F45"/>
    <w:rsid w:val="006F1FC8"/>
    <w:rsid w:val="006F23BD"/>
    <w:rsid w:val="006F243C"/>
    <w:rsid w:val="006F26A0"/>
    <w:rsid w:val="006F26C2"/>
    <w:rsid w:val="006F2743"/>
    <w:rsid w:val="006F28CB"/>
    <w:rsid w:val="006F2971"/>
    <w:rsid w:val="006F2A27"/>
    <w:rsid w:val="006F2C50"/>
    <w:rsid w:val="006F2C96"/>
    <w:rsid w:val="006F2E74"/>
    <w:rsid w:val="006F3129"/>
    <w:rsid w:val="006F3220"/>
    <w:rsid w:val="006F3321"/>
    <w:rsid w:val="006F33C2"/>
    <w:rsid w:val="006F34CD"/>
    <w:rsid w:val="006F35A7"/>
    <w:rsid w:val="006F35E3"/>
    <w:rsid w:val="006F36E2"/>
    <w:rsid w:val="006F370F"/>
    <w:rsid w:val="006F3732"/>
    <w:rsid w:val="006F3745"/>
    <w:rsid w:val="006F3833"/>
    <w:rsid w:val="006F3843"/>
    <w:rsid w:val="006F38CB"/>
    <w:rsid w:val="006F3BB2"/>
    <w:rsid w:val="006F3D1F"/>
    <w:rsid w:val="006F3DE9"/>
    <w:rsid w:val="006F3E85"/>
    <w:rsid w:val="006F3F30"/>
    <w:rsid w:val="006F3F7B"/>
    <w:rsid w:val="006F422E"/>
    <w:rsid w:val="006F4276"/>
    <w:rsid w:val="006F42AA"/>
    <w:rsid w:val="006F42F8"/>
    <w:rsid w:val="006F4401"/>
    <w:rsid w:val="006F4419"/>
    <w:rsid w:val="006F45F9"/>
    <w:rsid w:val="006F46D6"/>
    <w:rsid w:val="006F46F0"/>
    <w:rsid w:val="006F4804"/>
    <w:rsid w:val="006F4945"/>
    <w:rsid w:val="006F498B"/>
    <w:rsid w:val="006F4AF8"/>
    <w:rsid w:val="006F4B20"/>
    <w:rsid w:val="006F4C0A"/>
    <w:rsid w:val="006F4C25"/>
    <w:rsid w:val="006F4CA2"/>
    <w:rsid w:val="006F4CE2"/>
    <w:rsid w:val="006F4D1C"/>
    <w:rsid w:val="006F4DD4"/>
    <w:rsid w:val="006F4E20"/>
    <w:rsid w:val="006F4E3B"/>
    <w:rsid w:val="006F4EE0"/>
    <w:rsid w:val="006F4F47"/>
    <w:rsid w:val="006F50A4"/>
    <w:rsid w:val="006F51EE"/>
    <w:rsid w:val="006F5204"/>
    <w:rsid w:val="006F55DD"/>
    <w:rsid w:val="006F59C2"/>
    <w:rsid w:val="006F5A25"/>
    <w:rsid w:val="006F5B75"/>
    <w:rsid w:val="006F5CBE"/>
    <w:rsid w:val="006F5F08"/>
    <w:rsid w:val="006F5FB3"/>
    <w:rsid w:val="006F608C"/>
    <w:rsid w:val="006F60C7"/>
    <w:rsid w:val="006F61D5"/>
    <w:rsid w:val="006F6264"/>
    <w:rsid w:val="006F633B"/>
    <w:rsid w:val="006F64B1"/>
    <w:rsid w:val="006F667D"/>
    <w:rsid w:val="006F677C"/>
    <w:rsid w:val="006F6836"/>
    <w:rsid w:val="006F6BDC"/>
    <w:rsid w:val="006F6C75"/>
    <w:rsid w:val="006F6D36"/>
    <w:rsid w:val="006F6E3F"/>
    <w:rsid w:val="006F713E"/>
    <w:rsid w:val="006F71B3"/>
    <w:rsid w:val="006F772B"/>
    <w:rsid w:val="006F7732"/>
    <w:rsid w:val="006F7866"/>
    <w:rsid w:val="006F7985"/>
    <w:rsid w:val="006F7AC2"/>
    <w:rsid w:val="006F7B2D"/>
    <w:rsid w:val="006F7B67"/>
    <w:rsid w:val="006F7CC9"/>
    <w:rsid w:val="006F7EA9"/>
    <w:rsid w:val="006F7FC6"/>
    <w:rsid w:val="007000C3"/>
    <w:rsid w:val="007004DD"/>
    <w:rsid w:val="0070055E"/>
    <w:rsid w:val="007005D3"/>
    <w:rsid w:val="0070074B"/>
    <w:rsid w:val="007008A0"/>
    <w:rsid w:val="0070098D"/>
    <w:rsid w:val="00700AA4"/>
    <w:rsid w:val="00700B89"/>
    <w:rsid w:val="00700F47"/>
    <w:rsid w:val="00700FD9"/>
    <w:rsid w:val="0070100D"/>
    <w:rsid w:val="007010A1"/>
    <w:rsid w:val="0070115C"/>
    <w:rsid w:val="00701342"/>
    <w:rsid w:val="007015E1"/>
    <w:rsid w:val="007016BF"/>
    <w:rsid w:val="007016CD"/>
    <w:rsid w:val="00701714"/>
    <w:rsid w:val="007019EC"/>
    <w:rsid w:val="00701E2D"/>
    <w:rsid w:val="00702279"/>
    <w:rsid w:val="0070227B"/>
    <w:rsid w:val="0070236B"/>
    <w:rsid w:val="007023BB"/>
    <w:rsid w:val="007024BB"/>
    <w:rsid w:val="007026E9"/>
    <w:rsid w:val="00702975"/>
    <w:rsid w:val="00702A11"/>
    <w:rsid w:val="00702ACF"/>
    <w:rsid w:val="00702B9C"/>
    <w:rsid w:val="00702D83"/>
    <w:rsid w:val="00702D9C"/>
    <w:rsid w:val="00702D9D"/>
    <w:rsid w:val="00702E0F"/>
    <w:rsid w:val="00702F86"/>
    <w:rsid w:val="0070340B"/>
    <w:rsid w:val="0070349E"/>
    <w:rsid w:val="007035C3"/>
    <w:rsid w:val="0070387F"/>
    <w:rsid w:val="0070392B"/>
    <w:rsid w:val="007039E4"/>
    <w:rsid w:val="00703B1E"/>
    <w:rsid w:val="00703D38"/>
    <w:rsid w:val="00703D5C"/>
    <w:rsid w:val="00703EC5"/>
    <w:rsid w:val="00703FEA"/>
    <w:rsid w:val="007040F9"/>
    <w:rsid w:val="00704268"/>
    <w:rsid w:val="007042F0"/>
    <w:rsid w:val="007043A8"/>
    <w:rsid w:val="00704410"/>
    <w:rsid w:val="00704535"/>
    <w:rsid w:val="00704593"/>
    <w:rsid w:val="007045CF"/>
    <w:rsid w:val="007046E6"/>
    <w:rsid w:val="00704789"/>
    <w:rsid w:val="0070497E"/>
    <w:rsid w:val="00704AE1"/>
    <w:rsid w:val="00704AED"/>
    <w:rsid w:val="00704B14"/>
    <w:rsid w:val="00704B5F"/>
    <w:rsid w:val="00704C46"/>
    <w:rsid w:val="00704C50"/>
    <w:rsid w:val="00704EFB"/>
    <w:rsid w:val="00704F55"/>
    <w:rsid w:val="00705390"/>
    <w:rsid w:val="007053CD"/>
    <w:rsid w:val="00705423"/>
    <w:rsid w:val="007054D5"/>
    <w:rsid w:val="007055DA"/>
    <w:rsid w:val="00705ABD"/>
    <w:rsid w:val="00705B62"/>
    <w:rsid w:val="00705B9D"/>
    <w:rsid w:val="00705BBB"/>
    <w:rsid w:val="00705CAC"/>
    <w:rsid w:val="00705D49"/>
    <w:rsid w:val="00705F15"/>
    <w:rsid w:val="00705F71"/>
    <w:rsid w:val="0070602E"/>
    <w:rsid w:val="007062DA"/>
    <w:rsid w:val="007064B1"/>
    <w:rsid w:val="0070662C"/>
    <w:rsid w:val="0070680C"/>
    <w:rsid w:val="00706854"/>
    <w:rsid w:val="00706890"/>
    <w:rsid w:val="007068B2"/>
    <w:rsid w:val="0070697A"/>
    <w:rsid w:val="00706B3B"/>
    <w:rsid w:val="00706DE8"/>
    <w:rsid w:val="0070725B"/>
    <w:rsid w:val="00707443"/>
    <w:rsid w:val="007074CB"/>
    <w:rsid w:val="0070753A"/>
    <w:rsid w:val="007077C2"/>
    <w:rsid w:val="0070784C"/>
    <w:rsid w:val="007078BE"/>
    <w:rsid w:val="00707B26"/>
    <w:rsid w:val="00707F64"/>
    <w:rsid w:val="00707FA2"/>
    <w:rsid w:val="0071003C"/>
    <w:rsid w:val="0071010E"/>
    <w:rsid w:val="007105C0"/>
    <w:rsid w:val="007105FD"/>
    <w:rsid w:val="00710688"/>
    <w:rsid w:val="007107A3"/>
    <w:rsid w:val="00710AA0"/>
    <w:rsid w:val="00710BCE"/>
    <w:rsid w:val="00710BD6"/>
    <w:rsid w:val="00710D1C"/>
    <w:rsid w:val="00710E46"/>
    <w:rsid w:val="00710E75"/>
    <w:rsid w:val="00710EAE"/>
    <w:rsid w:val="00710FD8"/>
    <w:rsid w:val="00711045"/>
    <w:rsid w:val="00711193"/>
    <w:rsid w:val="00711566"/>
    <w:rsid w:val="007117C8"/>
    <w:rsid w:val="007117F2"/>
    <w:rsid w:val="007119A4"/>
    <w:rsid w:val="00711A3D"/>
    <w:rsid w:val="00711B28"/>
    <w:rsid w:val="00711DDF"/>
    <w:rsid w:val="00711DE9"/>
    <w:rsid w:val="007121AE"/>
    <w:rsid w:val="00712232"/>
    <w:rsid w:val="0071237E"/>
    <w:rsid w:val="007124A3"/>
    <w:rsid w:val="007124F5"/>
    <w:rsid w:val="00712621"/>
    <w:rsid w:val="0071276F"/>
    <w:rsid w:val="007127E4"/>
    <w:rsid w:val="00712835"/>
    <w:rsid w:val="00712856"/>
    <w:rsid w:val="00712888"/>
    <w:rsid w:val="00712A24"/>
    <w:rsid w:val="00712DDC"/>
    <w:rsid w:val="00712E34"/>
    <w:rsid w:val="00712E77"/>
    <w:rsid w:val="00712E7E"/>
    <w:rsid w:val="00712F2F"/>
    <w:rsid w:val="0071300A"/>
    <w:rsid w:val="0071301E"/>
    <w:rsid w:val="007131F6"/>
    <w:rsid w:val="00713255"/>
    <w:rsid w:val="00713297"/>
    <w:rsid w:val="007133A8"/>
    <w:rsid w:val="00713655"/>
    <w:rsid w:val="0071374E"/>
    <w:rsid w:val="00713C26"/>
    <w:rsid w:val="00713DDE"/>
    <w:rsid w:val="00714022"/>
    <w:rsid w:val="00714023"/>
    <w:rsid w:val="0071427D"/>
    <w:rsid w:val="007142CC"/>
    <w:rsid w:val="00714346"/>
    <w:rsid w:val="007143BE"/>
    <w:rsid w:val="00714465"/>
    <w:rsid w:val="0071449C"/>
    <w:rsid w:val="007144D1"/>
    <w:rsid w:val="007145ED"/>
    <w:rsid w:val="00714680"/>
    <w:rsid w:val="007148A2"/>
    <w:rsid w:val="00714AD0"/>
    <w:rsid w:val="00714C6B"/>
    <w:rsid w:val="00714FDD"/>
    <w:rsid w:val="00714FEC"/>
    <w:rsid w:val="00714FF6"/>
    <w:rsid w:val="007151CB"/>
    <w:rsid w:val="007155BC"/>
    <w:rsid w:val="00715AB7"/>
    <w:rsid w:val="00715B2E"/>
    <w:rsid w:val="00715BAE"/>
    <w:rsid w:val="00715E53"/>
    <w:rsid w:val="00715E74"/>
    <w:rsid w:val="00715F65"/>
    <w:rsid w:val="00715FEA"/>
    <w:rsid w:val="00716144"/>
    <w:rsid w:val="00716281"/>
    <w:rsid w:val="0071656D"/>
    <w:rsid w:val="00716887"/>
    <w:rsid w:val="00716A0F"/>
    <w:rsid w:val="00716AC7"/>
    <w:rsid w:val="00716CDA"/>
    <w:rsid w:val="00716E4A"/>
    <w:rsid w:val="00717010"/>
    <w:rsid w:val="00717022"/>
    <w:rsid w:val="007170BE"/>
    <w:rsid w:val="0071733C"/>
    <w:rsid w:val="00717439"/>
    <w:rsid w:val="007178E2"/>
    <w:rsid w:val="00717AE4"/>
    <w:rsid w:val="00717D60"/>
    <w:rsid w:val="00717D7A"/>
    <w:rsid w:val="00717DA3"/>
    <w:rsid w:val="00717E25"/>
    <w:rsid w:val="00717E90"/>
    <w:rsid w:val="00717ECB"/>
    <w:rsid w:val="00717F14"/>
    <w:rsid w:val="00717F30"/>
    <w:rsid w:val="00720049"/>
    <w:rsid w:val="007202A1"/>
    <w:rsid w:val="00720349"/>
    <w:rsid w:val="0072042A"/>
    <w:rsid w:val="007204B9"/>
    <w:rsid w:val="00720566"/>
    <w:rsid w:val="00720613"/>
    <w:rsid w:val="00720638"/>
    <w:rsid w:val="007206DC"/>
    <w:rsid w:val="007206FA"/>
    <w:rsid w:val="007207A9"/>
    <w:rsid w:val="007208AE"/>
    <w:rsid w:val="007209BD"/>
    <w:rsid w:val="00720BE3"/>
    <w:rsid w:val="00720BE7"/>
    <w:rsid w:val="00720C2E"/>
    <w:rsid w:val="00721004"/>
    <w:rsid w:val="007210D8"/>
    <w:rsid w:val="0072132B"/>
    <w:rsid w:val="00721598"/>
    <w:rsid w:val="00721633"/>
    <w:rsid w:val="00721692"/>
    <w:rsid w:val="00721700"/>
    <w:rsid w:val="007219A0"/>
    <w:rsid w:val="00721A10"/>
    <w:rsid w:val="00721A37"/>
    <w:rsid w:val="00721A75"/>
    <w:rsid w:val="00721B3E"/>
    <w:rsid w:val="00721DDF"/>
    <w:rsid w:val="00721E3A"/>
    <w:rsid w:val="00721EC9"/>
    <w:rsid w:val="00721F87"/>
    <w:rsid w:val="00721FD1"/>
    <w:rsid w:val="00722231"/>
    <w:rsid w:val="007222D9"/>
    <w:rsid w:val="00722682"/>
    <w:rsid w:val="007226C9"/>
    <w:rsid w:val="007226F5"/>
    <w:rsid w:val="007227B8"/>
    <w:rsid w:val="0072285E"/>
    <w:rsid w:val="00722A17"/>
    <w:rsid w:val="00722ABA"/>
    <w:rsid w:val="00722AF8"/>
    <w:rsid w:val="00722C16"/>
    <w:rsid w:val="00722F60"/>
    <w:rsid w:val="00722F7F"/>
    <w:rsid w:val="00722FF9"/>
    <w:rsid w:val="0072317B"/>
    <w:rsid w:val="0072321B"/>
    <w:rsid w:val="007232E3"/>
    <w:rsid w:val="007233F7"/>
    <w:rsid w:val="00723663"/>
    <w:rsid w:val="0072377A"/>
    <w:rsid w:val="007239C7"/>
    <w:rsid w:val="00723AA8"/>
    <w:rsid w:val="00723D37"/>
    <w:rsid w:val="00723D88"/>
    <w:rsid w:val="00723E03"/>
    <w:rsid w:val="00723FD0"/>
    <w:rsid w:val="0072414D"/>
    <w:rsid w:val="00724164"/>
    <w:rsid w:val="00724463"/>
    <w:rsid w:val="00724670"/>
    <w:rsid w:val="007246E6"/>
    <w:rsid w:val="007247A3"/>
    <w:rsid w:val="007247D8"/>
    <w:rsid w:val="00724A48"/>
    <w:rsid w:val="00724D1D"/>
    <w:rsid w:val="00724EF6"/>
    <w:rsid w:val="00725039"/>
    <w:rsid w:val="007252C7"/>
    <w:rsid w:val="00725512"/>
    <w:rsid w:val="0072553A"/>
    <w:rsid w:val="00725A58"/>
    <w:rsid w:val="00725BFD"/>
    <w:rsid w:val="00725C53"/>
    <w:rsid w:val="00725EE1"/>
    <w:rsid w:val="0072615A"/>
    <w:rsid w:val="00726208"/>
    <w:rsid w:val="007262EE"/>
    <w:rsid w:val="0072633D"/>
    <w:rsid w:val="0072636C"/>
    <w:rsid w:val="0072666E"/>
    <w:rsid w:val="0072667A"/>
    <w:rsid w:val="007269CA"/>
    <w:rsid w:val="007269E2"/>
    <w:rsid w:val="00726AE9"/>
    <w:rsid w:val="00726BBA"/>
    <w:rsid w:val="00726D64"/>
    <w:rsid w:val="00726DAB"/>
    <w:rsid w:val="00726DB8"/>
    <w:rsid w:val="00726DD7"/>
    <w:rsid w:val="00726E56"/>
    <w:rsid w:val="007273ED"/>
    <w:rsid w:val="00727485"/>
    <w:rsid w:val="00727709"/>
    <w:rsid w:val="007279EA"/>
    <w:rsid w:val="00727A84"/>
    <w:rsid w:val="00727C30"/>
    <w:rsid w:val="00727CD0"/>
    <w:rsid w:val="00727E4F"/>
    <w:rsid w:val="00727EFE"/>
    <w:rsid w:val="00727F35"/>
    <w:rsid w:val="00730059"/>
    <w:rsid w:val="007300D3"/>
    <w:rsid w:val="00730168"/>
    <w:rsid w:val="007301C8"/>
    <w:rsid w:val="00730359"/>
    <w:rsid w:val="007304AD"/>
    <w:rsid w:val="00730770"/>
    <w:rsid w:val="007308E8"/>
    <w:rsid w:val="00730944"/>
    <w:rsid w:val="00730A2B"/>
    <w:rsid w:val="00730AAC"/>
    <w:rsid w:val="00730B86"/>
    <w:rsid w:val="00730C13"/>
    <w:rsid w:val="00730CC6"/>
    <w:rsid w:val="00730CE4"/>
    <w:rsid w:val="00730CEA"/>
    <w:rsid w:val="00730E0A"/>
    <w:rsid w:val="00730EC8"/>
    <w:rsid w:val="00730EF3"/>
    <w:rsid w:val="007311DF"/>
    <w:rsid w:val="007313AD"/>
    <w:rsid w:val="007313E9"/>
    <w:rsid w:val="007313F9"/>
    <w:rsid w:val="007314D9"/>
    <w:rsid w:val="007319CE"/>
    <w:rsid w:val="00731BDE"/>
    <w:rsid w:val="00731D19"/>
    <w:rsid w:val="00731D92"/>
    <w:rsid w:val="00731F81"/>
    <w:rsid w:val="007320EC"/>
    <w:rsid w:val="00732226"/>
    <w:rsid w:val="00732334"/>
    <w:rsid w:val="007324DB"/>
    <w:rsid w:val="00732504"/>
    <w:rsid w:val="00732525"/>
    <w:rsid w:val="0073259D"/>
    <w:rsid w:val="007325DA"/>
    <w:rsid w:val="007326E6"/>
    <w:rsid w:val="00732882"/>
    <w:rsid w:val="00732B00"/>
    <w:rsid w:val="00732B8B"/>
    <w:rsid w:val="00732BE0"/>
    <w:rsid w:val="00732DEC"/>
    <w:rsid w:val="00732EB4"/>
    <w:rsid w:val="00732F83"/>
    <w:rsid w:val="00733023"/>
    <w:rsid w:val="00733083"/>
    <w:rsid w:val="007330D3"/>
    <w:rsid w:val="0073315A"/>
    <w:rsid w:val="00733266"/>
    <w:rsid w:val="00733353"/>
    <w:rsid w:val="00733473"/>
    <w:rsid w:val="007335D9"/>
    <w:rsid w:val="007335FA"/>
    <w:rsid w:val="00733687"/>
    <w:rsid w:val="0073379D"/>
    <w:rsid w:val="00733862"/>
    <w:rsid w:val="00733A8D"/>
    <w:rsid w:val="00733A8E"/>
    <w:rsid w:val="00733B71"/>
    <w:rsid w:val="00733DFA"/>
    <w:rsid w:val="00733E7A"/>
    <w:rsid w:val="00733FEB"/>
    <w:rsid w:val="00734096"/>
    <w:rsid w:val="007341C4"/>
    <w:rsid w:val="0073455C"/>
    <w:rsid w:val="00734B2B"/>
    <w:rsid w:val="00734C1A"/>
    <w:rsid w:val="00734C79"/>
    <w:rsid w:val="00734D41"/>
    <w:rsid w:val="00734D8B"/>
    <w:rsid w:val="00734F0B"/>
    <w:rsid w:val="00734F17"/>
    <w:rsid w:val="00735031"/>
    <w:rsid w:val="00735136"/>
    <w:rsid w:val="007351FF"/>
    <w:rsid w:val="007352FE"/>
    <w:rsid w:val="00735433"/>
    <w:rsid w:val="00735531"/>
    <w:rsid w:val="007356B5"/>
    <w:rsid w:val="007357B6"/>
    <w:rsid w:val="00735908"/>
    <w:rsid w:val="00735B08"/>
    <w:rsid w:val="00735BC6"/>
    <w:rsid w:val="00735D29"/>
    <w:rsid w:val="007361CC"/>
    <w:rsid w:val="007361E2"/>
    <w:rsid w:val="007366E5"/>
    <w:rsid w:val="0073687C"/>
    <w:rsid w:val="00736C97"/>
    <w:rsid w:val="00736DC2"/>
    <w:rsid w:val="00736DF9"/>
    <w:rsid w:val="00736F50"/>
    <w:rsid w:val="0073703F"/>
    <w:rsid w:val="0073715C"/>
    <w:rsid w:val="007372EF"/>
    <w:rsid w:val="00737490"/>
    <w:rsid w:val="0073773E"/>
    <w:rsid w:val="0073776A"/>
    <w:rsid w:val="00737824"/>
    <w:rsid w:val="00737831"/>
    <w:rsid w:val="007378B5"/>
    <w:rsid w:val="007379DE"/>
    <w:rsid w:val="007379E3"/>
    <w:rsid w:val="00737A34"/>
    <w:rsid w:val="00737A7C"/>
    <w:rsid w:val="00737AEB"/>
    <w:rsid w:val="00737B8E"/>
    <w:rsid w:val="00737BB0"/>
    <w:rsid w:val="00737C63"/>
    <w:rsid w:val="00737D9A"/>
    <w:rsid w:val="00737FAF"/>
    <w:rsid w:val="00737FBF"/>
    <w:rsid w:val="0074003D"/>
    <w:rsid w:val="007401EA"/>
    <w:rsid w:val="00740376"/>
    <w:rsid w:val="0074053A"/>
    <w:rsid w:val="007405E3"/>
    <w:rsid w:val="0074061A"/>
    <w:rsid w:val="00740A41"/>
    <w:rsid w:val="00740D69"/>
    <w:rsid w:val="007412F2"/>
    <w:rsid w:val="0074165C"/>
    <w:rsid w:val="007416E6"/>
    <w:rsid w:val="00741779"/>
    <w:rsid w:val="007417D1"/>
    <w:rsid w:val="00741834"/>
    <w:rsid w:val="00741B25"/>
    <w:rsid w:val="00741B27"/>
    <w:rsid w:val="00741D16"/>
    <w:rsid w:val="00741DEA"/>
    <w:rsid w:val="00742002"/>
    <w:rsid w:val="00742024"/>
    <w:rsid w:val="007420CC"/>
    <w:rsid w:val="0074220C"/>
    <w:rsid w:val="0074224A"/>
    <w:rsid w:val="0074227B"/>
    <w:rsid w:val="007423DF"/>
    <w:rsid w:val="0074252E"/>
    <w:rsid w:val="007425BF"/>
    <w:rsid w:val="0074276E"/>
    <w:rsid w:val="007428C8"/>
    <w:rsid w:val="007429D5"/>
    <w:rsid w:val="00742BD2"/>
    <w:rsid w:val="00742C16"/>
    <w:rsid w:val="00742D80"/>
    <w:rsid w:val="00743041"/>
    <w:rsid w:val="0074345A"/>
    <w:rsid w:val="0074365E"/>
    <w:rsid w:val="00743766"/>
    <w:rsid w:val="00743808"/>
    <w:rsid w:val="00743DB8"/>
    <w:rsid w:val="00743EA7"/>
    <w:rsid w:val="00743F50"/>
    <w:rsid w:val="00743F5D"/>
    <w:rsid w:val="007440A8"/>
    <w:rsid w:val="00744115"/>
    <w:rsid w:val="00744185"/>
    <w:rsid w:val="00744392"/>
    <w:rsid w:val="007443D4"/>
    <w:rsid w:val="007444AC"/>
    <w:rsid w:val="007444F4"/>
    <w:rsid w:val="00744548"/>
    <w:rsid w:val="0074466B"/>
    <w:rsid w:val="00744703"/>
    <w:rsid w:val="007447D2"/>
    <w:rsid w:val="00744BE1"/>
    <w:rsid w:val="00744BE5"/>
    <w:rsid w:val="0074528E"/>
    <w:rsid w:val="0074562F"/>
    <w:rsid w:val="0074574C"/>
    <w:rsid w:val="007457E8"/>
    <w:rsid w:val="00745B38"/>
    <w:rsid w:val="00745C85"/>
    <w:rsid w:val="00745CF3"/>
    <w:rsid w:val="00745D53"/>
    <w:rsid w:val="00745DEC"/>
    <w:rsid w:val="00745E8F"/>
    <w:rsid w:val="00745F2C"/>
    <w:rsid w:val="00745FA4"/>
    <w:rsid w:val="00746068"/>
    <w:rsid w:val="0074613F"/>
    <w:rsid w:val="007462C1"/>
    <w:rsid w:val="00746365"/>
    <w:rsid w:val="00746380"/>
    <w:rsid w:val="007464B4"/>
    <w:rsid w:val="007465B4"/>
    <w:rsid w:val="007467A4"/>
    <w:rsid w:val="00746822"/>
    <w:rsid w:val="007468CA"/>
    <w:rsid w:val="00746936"/>
    <w:rsid w:val="00746AA5"/>
    <w:rsid w:val="00746C54"/>
    <w:rsid w:val="007471B1"/>
    <w:rsid w:val="00747245"/>
    <w:rsid w:val="00747596"/>
    <w:rsid w:val="007476D1"/>
    <w:rsid w:val="00747B1F"/>
    <w:rsid w:val="00747C6B"/>
    <w:rsid w:val="00747EE8"/>
    <w:rsid w:val="00747EEC"/>
    <w:rsid w:val="0074E6D9"/>
    <w:rsid w:val="007500FF"/>
    <w:rsid w:val="00750264"/>
    <w:rsid w:val="007505E1"/>
    <w:rsid w:val="00750770"/>
    <w:rsid w:val="00750774"/>
    <w:rsid w:val="00750802"/>
    <w:rsid w:val="0075088E"/>
    <w:rsid w:val="00750ADF"/>
    <w:rsid w:val="00750C15"/>
    <w:rsid w:val="00750C7D"/>
    <w:rsid w:val="00750CBB"/>
    <w:rsid w:val="00750DFD"/>
    <w:rsid w:val="00750E8F"/>
    <w:rsid w:val="00750EAE"/>
    <w:rsid w:val="00750EC6"/>
    <w:rsid w:val="00751035"/>
    <w:rsid w:val="00751261"/>
    <w:rsid w:val="00751370"/>
    <w:rsid w:val="007516CA"/>
    <w:rsid w:val="00751800"/>
    <w:rsid w:val="00751833"/>
    <w:rsid w:val="007519D2"/>
    <w:rsid w:val="00751B20"/>
    <w:rsid w:val="00751C00"/>
    <w:rsid w:val="00751C24"/>
    <w:rsid w:val="00751CDB"/>
    <w:rsid w:val="00751D87"/>
    <w:rsid w:val="007522CA"/>
    <w:rsid w:val="0075245B"/>
    <w:rsid w:val="0075266B"/>
    <w:rsid w:val="007527CF"/>
    <w:rsid w:val="00752895"/>
    <w:rsid w:val="007529DD"/>
    <w:rsid w:val="00752BA9"/>
    <w:rsid w:val="00752BCD"/>
    <w:rsid w:val="00752C32"/>
    <w:rsid w:val="00752E53"/>
    <w:rsid w:val="00752EB3"/>
    <w:rsid w:val="00752EC3"/>
    <w:rsid w:val="00752EE9"/>
    <w:rsid w:val="00753092"/>
    <w:rsid w:val="0075313D"/>
    <w:rsid w:val="007531D6"/>
    <w:rsid w:val="007531FD"/>
    <w:rsid w:val="007532BE"/>
    <w:rsid w:val="00753419"/>
    <w:rsid w:val="0075348E"/>
    <w:rsid w:val="00753564"/>
    <w:rsid w:val="0075372C"/>
    <w:rsid w:val="00753753"/>
    <w:rsid w:val="0075379E"/>
    <w:rsid w:val="0075382F"/>
    <w:rsid w:val="00753888"/>
    <w:rsid w:val="0075399C"/>
    <w:rsid w:val="00753B78"/>
    <w:rsid w:val="00753C39"/>
    <w:rsid w:val="00753C88"/>
    <w:rsid w:val="00753C9F"/>
    <w:rsid w:val="00753CB9"/>
    <w:rsid w:val="00753D0F"/>
    <w:rsid w:val="00753D8A"/>
    <w:rsid w:val="00753F4A"/>
    <w:rsid w:val="00753F86"/>
    <w:rsid w:val="0075404B"/>
    <w:rsid w:val="007542A5"/>
    <w:rsid w:val="007543D0"/>
    <w:rsid w:val="0075440D"/>
    <w:rsid w:val="007544FB"/>
    <w:rsid w:val="00754662"/>
    <w:rsid w:val="007546FC"/>
    <w:rsid w:val="007547F7"/>
    <w:rsid w:val="00754BAD"/>
    <w:rsid w:val="00754BB5"/>
    <w:rsid w:val="00754EC2"/>
    <w:rsid w:val="007550CB"/>
    <w:rsid w:val="0075515D"/>
    <w:rsid w:val="007552FC"/>
    <w:rsid w:val="0075534B"/>
    <w:rsid w:val="007555B3"/>
    <w:rsid w:val="00755689"/>
    <w:rsid w:val="007558AA"/>
    <w:rsid w:val="007558B0"/>
    <w:rsid w:val="00755B77"/>
    <w:rsid w:val="00755BB0"/>
    <w:rsid w:val="0075613D"/>
    <w:rsid w:val="007561F7"/>
    <w:rsid w:val="00756278"/>
    <w:rsid w:val="007563BC"/>
    <w:rsid w:val="00756418"/>
    <w:rsid w:val="0075658B"/>
    <w:rsid w:val="007566B3"/>
    <w:rsid w:val="00756718"/>
    <w:rsid w:val="00756D60"/>
    <w:rsid w:val="00756F07"/>
    <w:rsid w:val="00756F68"/>
    <w:rsid w:val="00756F96"/>
    <w:rsid w:val="00757123"/>
    <w:rsid w:val="0075727E"/>
    <w:rsid w:val="00757380"/>
    <w:rsid w:val="0075745B"/>
    <w:rsid w:val="00757477"/>
    <w:rsid w:val="0075749F"/>
    <w:rsid w:val="0075751D"/>
    <w:rsid w:val="00757775"/>
    <w:rsid w:val="007578F4"/>
    <w:rsid w:val="00757A09"/>
    <w:rsid w:val="00757B9E"/>
    <w:rsid w:val="00757CF1"/>
    <w:rsid w:val="00757CF4"/>
    <w:rsid w:val="00757E74"/>
    <w:rsid w:val="00760019"/>
    <w:rsid w:val="00760042"/>
    <w:rsid w:val="007600BB"/>
    <w:rsid w:val="00760105"/>
    <w:rsid w:val="0076015E"/>
    <w:rsid w:val="007603CE"/>
    <w:rsid w:val="00760572"/>
    <w:rsid w:val="00760816"/>
    <w:rsid w:val="00760AB4"/>
    <w:rsid w:val="00760CBA"/>
    <w:rsid w:val="00761051"/>
    <w:rsid w:val="007610B6"/>
    <w:rsid w:val="0076115F"/>
    <w:rsid w:val="0076145E"/>
    <w:rsid w:val="007614B7"/>
    <w:rsid w:val="00761514"/>
    <w:rsid w:val="007615F8"/>
    <w:rsid w:val="00761665"/>
    <w:rsid w:val="00761666"/>
    <w:rsid w:val="007616C0"/>
    <w:rsid w:val="00761768"/>
    <w:rsid w:val="007619EE"/>
    <w:rsid w:val="00761AA5"/>
    <w:rsid w:val="00761CE7"/>
    <w:rsid w:val="00761E21"/>
    <w:rsid w:val="00761E9D"/>
    <w:rsid w:val="007620A9"/>
    <w:rsid w:val="0076240E"/>
    <w:rsid w:val="007624A8"/>
    <w:rsid w:val="007624AD"/>
    <w:rsid w:val="007626CB"/>
    <w:rsid w:val="007628B6"/>
    <w:rsid w:val="007629D9"/>
    <w:rsid w:val="00762A04"/>
    <w:rsid w:val="00762AAE"/>
    <w:rsid w:val="00762B71"/>
    <w:rsid w:val="00762D61"/>
    <w:rsid w:val="00763168"/>
    <w:rsid w:val="007634C4"/>
    <w:rsid w:val="00763686"/>
    <w:rsid w:val="007636E6"/>
    <w:rsid w:val="007639C8"/>
    <w:rsid w:val="00763B16"/>
    <w:rsid w:val="00763C31"/>
    <w:rsid w:val="00763C37"/>
    <w:rsid w:val="00763CD8"/>
    <w:rsid w:val="00763D3A"/>
    <w:rsid w:val="00763FEC"/>
    <w:rsid w:val="007641C1"/>
    <w:rsid w:val="007641DD"/>
    <w:rsid w:val="00764310"/>
    <w:rsid w:val="00764348"/>
    <w:rsid w:val="007644FF"/>
    <w:rsid w:val="0076451A"/>
    <w:rsid w:val="007645F7"/>
    <w:rsid w:val="007646B2"/>
    <w:rsid w:val="007647F8"/>
    <w:rsid w:val="0076497C"/>
    <w:rsid w:val="00764BF8"/>
    <w:rsid w:val="00764D7D"/>
    <w:rsid w:val="00764E90"/>
    <w:rsid w:val="00764F99"/>
    <w:rsid w:val="00765051"/>
    <w:rsid w:val="007650D9"/>
    <w:rsid w:val="0076517A"/>
    <w:rsid w:val="007651F6"/>
    <w:rsid w:val="00765260"/>
    <w:rsid w:val="00765395"/>
    <w:rsid w:val="007653E9"/>
    <w:rsid w:val="00765921"/>
    <w:rsid w:val="00765AFD"/>
    <w:rsid w:val="00765C4F"/>
    <w:rsid w:val="00765D74"/>
    <w:rsid w:val="00765DA2"/>
    <w:rsid w:val="00765DC9"/>
    <w:rsid w:val="00765DD4"/>
    <w:rsid w:val="00765EC9"/>
    <w:rsid w:val="007661D9"/>
    <w:rsid w:val="00766227"/>
    <w:rsid w:val="00766490"/>
    <w:rsid w:val="00766503"/>
    <w:rsid w:val="0076664E"/>
    <w:rsid w:val="007667CD"/>
    <w:rsid w:val="00766879"/>
    <w:rsid w:val="007668EA"/>
    <w:rsid w:val="0076697B"/>
    <w:rsid w:val="0076697C"/>
    <w:rsid w:val="00766F9A"/>
    <w:rsid w:val="00767067"/>
    <w:rsid w:val="007670B9"/>
    <w:rsid w:val="00767724"/>
    <w:rsid w:val="00767729"/>
    <w:rsid w:val="00767751"/>
    <w:rsid w:val="00767A19"/>
    <w:rsid w:val="00767A4B"/>
    <w:rsid w:val="00767E4A"/>
    <w:rsid w:val="00767EF9"/>
    <w:rsid w:val="00767F3E"/>
    <w:rsid w:val="007700B1"/>
    <w:rsid w:val="007700CD"/>
    <w:rsid w:val="0077017F"/>
    <w:rsid w:val="0077024E"/>
    <w:rsid w:val="00770290"/>
    <w:rsid w:val="0077029F"/>
    <w:rsid w:val="00770300"/>
    <w:rsid w:val="0077038A"/>
    <w:rsid w:val="0077040E"/>
    <w:rsid w:val="0077047E"/>
    <w:rsid w:val="00770579"/>
    <w:rsid w:val="00770634"/>
    <w:rsid w:val="00770691"/>
    <w:rsid w:val="007707AA"/>
    <w:rsid w:val="00770BA9"/>
    <w:rsid w:val="00770E1C"/>
    <w:rsid w:val="00770E8B"/>
    <w:rsid w:val="00770EA0"/>
    <w:rsid w:val="007710D1"/>
    <w:rsid w:val="007711B2"/>
    <w:rsid w:val="00771257"/>
    <w:rsid w:val="007712C0"/>
    <w:rsid w:val="00771308"/>
    <w:rsid w:val="00771437"/>
    <w:rsid w:val="00771556"/>
    <w:rsid w:val="00771599"/>
    <w:rsid w:val="0077168A"/>
    <w:rsid w:val="00771725"/>
    <w:rsid w:val="00771C76"/>
    <w:rsid w:val="00771C79"/>
    <w:rsid w:val="00771EF1"/>
    <w:rsid w:val="007720B0"/>
    <w:rsid w:val="00772110"/>
    <w:rsid w:val="00772336"/>
    <w:rsid w:val="0077252C"/>
    <w:rsid w:val="007727F5"/>
    <w:rsid w:val="00772B9E"/>
    <w:rsid w:val="00772C6B"/>
    <w:rsid w:val="007730CC"/>
    <w:rsid w:val="00773169"/>
    <w:rsid w:val="00773224"/>
    <w:rsid w:val="0077361A"/>
    <w:rsid w:val="0077362B"/>
    <w:rsid w:val="0077367E"/>
    <w:rsid w:val="007739D7"/>
    <w:rsid w:val="00773A2C"/>
    <w:rsid w:val="00773A5A"/>
    <w:rsid w:val="00773ADF"/>
    <w:rsid w:val="00773D15"/>
    <w:rsid w:val="00773D33"/>
    <w:rsid w:val="00773EBE"/>
    <w:rsid w:val="00773F96"/>
    <w:rsid w:val="00774088"/>
    <w:rsid w:val="0077414E"/>
    <w:rsid w:val="007742A1"/>
    <w:rsid w:val="00774310"/>
    <w:rsid w:val="00774498"/>
    <w:rsid w:val="007745F3"/>
    <w:rsid w:val="00774628"/>
    <w:rsid w:val="00774846"/>
    <w:rsid w:val="007748C3"/>
    <w:rsid w:val="00774A71"/>
    <w:rsid w:val="00774AF5"/>
    <w:rsid w:val="00774BD6"/>
    <w:rsid w:val="00774C8C"/>
    <w:rsid w:val="00774CCE"/>
    <w:rsid w:val="00774D5E"/>
    <w:rsid w:val="00774DAC"/>
    <w:rsid w:val="00774DEA"/>
    <w:rsid w:val="0077500B"/>
    <w:rsid w:val="0077505F"/>
    <w:rsid w:val="007750F5"/>
    <w:rsid w:val="00775277"/>
    <w:rsid w:val="00775343"/>
    <w:rsid w:val="0077549B"/>
    <w:rsid w:val="0077553F"/>
    <w:rsid w:val="007755D5"/>
    <w:rsid w:val="007756FB"/>
    <w:rsid w:val="00775976"/>
    <w:rsid w:val="00775A85"/>
    <w:rsid w:val="00775B0A"/>
    <w:rsid w:val="00775D7A"/>
    <w:rsid w:val="00775F27"/>
    <w:rsid w:val="00776324"/>
    <w:rsid w:val="007763F7"/>
    <w:rsid w:val="00776423"/>
    <w:rsid w:val="0077650C"/>
    <w:rsid w:val="007766CB"/>
    <w:rsid w:val="007767FA"/>
    <w:rsid w:val="00776843"/>
    <w:rsid w:val="0077686B"/>
    <w:rsid w:val="007768DF"/>
    <w:rsid w:val="00776A35"/>
    <w:rsid w:val="00776B20"/>
    <w:rsid w:val="00776B2A"/>
    <w:rsid w:val="00776BC5"/>
    <w:rsid w:val="00776DA6"/>
    <w:rsid w:val="00776EC5"/>
    <w:rsid w:val="00776F9E"/>
    <w:rsid w:val="00777128"/>
    <w:rsid w:val="007771BB"/>
    <w:rsid w:val="00777296"/>
    <w:rsid w:val="0077744B"/>
    <w:rsid w:val="0077749A"/>
    <w:rsid w:val="007774A9"/>
    <w:rsid w:val="007774BB"/>
    <w:rsid w:val="007776E1"/>
    <w:rsid w:val="007777CE"/>
    <w:rsid w:val="007778EB"/>
    <w:rsid w:val="00777B33"/>
    <w:rsid w:val="00777B88"/>
    <w:rsid w:val="00777C39"/>
    <w:rsid w:val="00777D2D"/>
    <w:rsid w:val="00777D35"/>
    <w:rsid w:val="00777E9E"/>
    <w:rsid w:val="0078036B"/>
    <w:rsid w:val="007808A9"/>
    <w:rsid w:val="00780B9B"/>
    <w:rsid w:val="00780BB7"/>
    <w:rsid w:val="00780BC3"/>
    <w:rsid w:val="00780F5C"/>
    <w:rsid w:val="00781419"/>
    <w:rsid w:val="0078154B"/>
    <w:rsid w:val="0078171B"/>
    <w:rsid w:val="0078194C"/>
    <w:rsid w:val="00781958"/>
    <w:rsid w:val="00781975"/>
    <w:rsid w:val="00781CF9"/>
    <w:rsid w:val="007821C3"/>
    <w:rsid w:val="00782256"/>
    <w:rsid w:val="0078248D"/>
    <w:rsid w:val="00782513"/>
    <w:rsid w:val="007826E8"/>
    <w:rsid w:val="00782797"/>
    <w:rsid w:val="007828F8"/>
    <w:rsid w:val="00782951"/>
    <w:rsid w:val="007829AA"/>
    <w:rsid w:val="00782D13"/>
    <w:rsid w:val="00782D4E"/>
    <w:rsid w:val="00782DC4"/>
    <w:rsid w:val="00782E98"/>
    <w:rsid w:val="00782F77"/>
    <w:rsid w:val="0078396B"/>
    <w:rsid w:val="00783A77"/>
    <w:rsid w:val="00783C1A"/>
    <w:rsid w:val="00783DB8"/>
    <w:rsid w:val="00783E63"/>
    <w:rsid w:val="00783E64"/>
    <w:rsid w:val="00784242"/>
    <w:rsid w:val="007842D4"/>
    <w:rsid w:val="00784430"/>
    <w:rsid w:val="00784546"/>
    <w:rsid w:val="007845C7"/>
    <w:rsid w:val="0078460F"/>
    <w:rsid w:val="00784694"/>
    <w:rsid w:val="00784882"/>
    <w:rsid w:val="007849DE"/>
    <w:rsid w:val="00784B5A"/>
    <w:rsid w:val="00784C4D"/>
    <w:rsid w:val="00784C65"/>
    <w:rsid w:val="00784C8D"/>
    <w:rsid w:val="00784D74"/>
    <w:rsid w:val="00784DDB"/>
    <w:rsid w:val="00784E1C"/>
    <w:rsid w:val="00785059"/>
    <w:rsid w:val="00785126"/>
    <w:rsid w:val="0078516F"/>
    <w:rsid w:val="00785219"/>
    <w:rsid w:val="0078545E"/>
    <w:rsid w:val="007856CE"/>
    <w:rsid w:val="0078580C"/>
    <w:rsid w:val="00785850"/>
    <w:rsid w:val="0078590B"/>
    <w:rsid w:val="00785A63"/>
    <w:rsid w:val="00785B62"/>
    <w:rsid w:val="00785D30"/>
    <w:rsid w:val="00785D7C"/>
    <w:rsid w:val="00785E78"/>
    <w:rsid w:val="00785E9E"/>
    <w:rsid w:val="00785F61"/>
    <w:rsid w:val="00786066"/>
    <w:rsid w:val="00786163"/>
    <w:rsid w:val="0078626A"/>
    <w:rsid w:val="00786367"/>
    <w:rsid w:val="0078653E"/>
    <w:rsid w:val="00786554"/>
    <w:rsid w:val="00786602"/>
    <w:rsid w:val="007866C0"/>
    <w:rsid w:val="007866E7"/>
    <w:rsid w:val="0078686D"/>
    <w:rsid w:val="0078688B"/>
    <w:rsid w:val="007868EB"/>
    <w:rsid w:val="00786901"/>
    <w:rsid w:val="00786AB2"/>
    <w:rsid w:val="00786BA0"/>
    <w:rsid w:val="00786BB1"/>
    <w:rsid w:val="00786C1E"/>
    <w:rsid w:val="00786DF8"/>
    <w:rsid w:val="00786E3D"/>
    <w:rsid w:val="00786EFD"/>
    <w:rsid w:val="007872D6"/>
    <w:rsid w:val="007874A8"/>
    <w:rsid w:val="007874E9"/>
    <w:rsid w:val="00787749"/>
    <w:rsid w:val="007878A1"/>
    <w:rsid w:val="00787934"/>
    <w:rsid w:val="00787AB9"/>
    <w:rsid w:val="00787B6A"/>
    <w:rsid w:val="0078AA76"/>
    <w:rsid w:val="00790349"/>
    <w:rsid w:val="00790376"/>
    <w:rsid w:val="007904B6"/>
    <w:rsid w:val="00790727"/>
    <w:rsid w:val="007907B3"/>
    <w:rsid w:val="0079092C"/>
    <w:rsid w:val="00790991"/>
    <w:rsid w:val="007909E8"/>
    <w:rsid w:val="00790DE8"/>
    <w:rsid w:val="00790E38"/>
    <w:rsid w:val="00790EC5"/>
    <w:rsid w:val="00790EF4"/>
    <w:rsid w:val="00791460"/>
    <w:rsid w:val="007914BC"/>
    <w:rsid w:val="007915C2"/>
    <w:rsid w:val="007917C0"/>
    <w:rsid w:val="007918C9"/>
    <w:rsid w:val="0079197D"/>
    <w:rsid w:val="00791A75"/>
    <w:rsid w:val="00791C9C"/>
    <w:rsid w:val="00791CA4"/>
    <w:rsid w:val="00791D73"/>
    <w:rsid w:val="00791DB7"/>
    <w:rsid w:val="00791DE9"/>
    <w:rsid w:val="00791EF4"/>
    <w:rsid w:val="00791EFF"/>
    <w:rsid w:val="00792263"/>
    <w:rsid w:val="00792442"/>
    <w:rsid w:val="0079248A"/>
    <w:rsid w:val="0079250B"/>
    <w:rsid w:val="007928D5"/>
    <w:rsid w:val="007928EC"/>
    <w:rsid w:val="00792D04"/>
    <w:rsid w:val="00792EA9"/>
    <w:rsid w:val="007931DF"/>
    <w:rsid w:val="007933AB"/>
    <w:rsid w:val="007933AE"/>
    <w:rsid w:val="007933BE"/>
    <w:rsid w:val="00793427"/>
    <w:rsid w:val="00793557"/>
    <w:rsid w:val="00793617"/>
    <w:rsid w:val="00793624"/>
    <w:rsid w:val="007936C6"/>
    <w:rsid w:val="007936CC"/>
    <w:rsid w:val="007938EF"/>
    <w:rsid w:val="0079396D"/>
    <w:rsid w:val="00793BF8"/>
    <w:rsid w:val="00793D49"/>
    <w:rsid w:val="00793D9B"/>
    <w:rsid w:val="00794023"/>
    <w:rsid w:val="0079430E"/>
    <w:rsid w:val="00794432"/>
    <w:rsid w:val="007944BB"/>
    <w:rsid w:val="00794685"/>
    <w:rsid w:val="00794817"/>
    <w:rsid w:val="00794995"/>
    <w:rsid w:val="007949C2"/>
    <w:rsid w:val="007949CF"/>
    <w:rsid w:val="00794E1B"/>
    <w:rsid w:val="00794E67"/>
    <w:rsid w:val="00794F79"/>
    <w:rsid w:val="00795127"/>
    <w:rsid w:val="00795415"/>
    <w:rsid w:val="00795481"/>
    <w:rsid w:val="007955BC"/>
    <w:rsid w:val="00795750"/>
    <w:rsid w:val="00795B56"/>
    <w:rsid w:val="00795D4C"/>
    <w:rsid w:val="0079602D"/>
    <w:rsid w:val="00796131"/>
    <w:rsid w:val="0079613C"/>
    <w:rsid w:val="0079621E"/>
    <w:rsid w:val="007963B2"/>
    <w:rsid w:val="007964D6"/>
    <w:rsid w:val="00796562"/>
    <w:rsid w:val="0079656B"/>
    <w:rsid w:val="007965B8"/>
    <w:rsid w:val="007966CA"/>
    <w:rsid w:val="00796A52"/>
    <w:rsid w:val="00796C04"/>
    <w:rsid w:val="00796E8B"/>
    <w:rsid w:val="00796F95"/>
    <w:rsid w:val="00796FF8"/>
    <w:rsid w:val="00797007"/>
    <w:rsid w:val="0079700D"/>
    <w:rsid w:val="00797242"/>
    <w:rsid w:val="0079724E"/>
    <w:rsid w:val="00797685"/>
    <w:rsid w:val="0079769E"/>
    <w:rsid w:val="00797726"/>
    <w:rsid w:val="007977EE"/>
    <w:rsid w:val="0079781E"/>
    <w:rsid w:val="007979CA"/>
    <w:rsid w:val="00797BB4"/>
    <w:rsid w:val="00797C02"/>
    <w:rsid w:val="00797D6F"/>
    <w:rsid w:val="00797D86"/>
    <w:rsid w:val="00797E4D"/>
    <w:rsid w:val="00797FEC"/>
    <w:rsid w:val="007A0022"/>
    <w:rsid w:val="007A009B"/>
    <w:rsid w:val="007A00FC"/>
    <w:rsid w:val="007A027B"/>
    <w:rsid w:val="007A02CF"/>
    <w:rsid w:val="007A0306"/>
    <w:rsid w:val="007A0362"/>
    <w:rsid w:val="007A037F"/>
    <w:rsid w:val="007A058D"/>
    <w:rsid w:val="007A0729"/>
    <w:rsid w:val="007A0B6A"/>
    <w:rsid w:val="007A0B94"/>
    <w:rsid w:val="007A0BE8"/>
    <w:rsid w:val="007A0C17"/>
    <w:rsid w:val="007A0C40"/>
    <w:rsid w:val="007A0D9B"/>
    <w:rsid w:val="007A0F3E"/>
    <w:rsid w:val="007A13DB"/>
    <w:rsid w:val="007A17F9"/>
    <w:rsid w:val="007A192A"/>
    <w:rsid w:val="007A1963"/>
    <w:rsid w:val="007A1994"/>
    <w:rsid w:val="007A19B0"/>
    <w:rsid w:val="007A19D6"/>
    <w:rsid w:val="007A1B28"/>
    <w:rsid w:val="007A2148"/>
    <w:rsid w:val="007A2196"/>
    <w:rsid w:val="007A21E3"/>
    <w:rsid w:val="007A22F0"/>
    <w:rsid w:val="007A23BE"/>
    <w:rsid w:val="007A2516"/>
    <w:rsid w:val="007A2585"/>
    <w:rsid w:val="007A2809"/>
    <w:rsid w:val="007A2943"/>
    <w:rsid w:val="007A2A81"/>
    <w:rsid w:val="007A2BF2"/>
    <w:rsid w:val="007A2EBF"/>
    <w:rsid w:val="007A3059"/>
    <w:rsid w:val="007A3180"/>
    <w:rsid w:val="007A3572"/>
    <w:rsid w:val="007A3662"/>
    <w:rsid w:val="007A3675"/>
    <w:rsid w:val="007A36BA"/>
    <w:rsid w:val="007A36D8"/>
    <w:rsid w:val="007A3705"/>
    <w:rsid w:val="007A3781"/>
    <w:rsid w:val="007A37D4"/>
    <w:rsid w:val="007A3A58"/>
    <w:rsid w:val="007A3A82"/>
    <w:rsid w:val="007A3BEB"/>
    <w:rsid w:val="007A3C95"/>
    <w:rsid w:val="007A3CDE"/>
    <w:rsid w:val="007A3CF7"/>
    <w:rsid w:val="007A3D75"/>
    <w:rsid w:val="007A3D85"/>
    <w:rsid w:val="007A3E55"/>
    <w:rsid w:val="007A3FDC"/>
    <w:rsid w:val="007A415A"/>
    <w:rsid w:val="007A42DA"/>
    <w:rsid w:val="007A449F"/>
    <w:rsid w:val="007A456C"/>
    <w:rsid w:val="007A4673"/>
    <w:rsid w:val="007A4704"/>
    <w:rsid w:val="007A472E"/>
    <w:rsid w:val="007A4899"/>
    <w:rsid w:val="007A4A4D"/>
    <w:rsid w:val="007A4A81"/>
    <w:rsid w:val="007A4CC0"/>
    <w:rsid w:val="007A5063"/>
    <w:rsid w:val="007A51CA"/>
    <w:rsid w:val="007A52C2"/>
    <w:rsid w:val="007A56A8"/>
    <w:rsid w:val="007A57E1"/>
    <w:rsid w:val="007A5A2E"/>
    <w:rsid w:val="007A6147"/>
    <w:rsid w:val="007A61EA"/>
    <w:rsid w:val="007A627C"/>
    <w:rsid w:val="007A64AE"/>
    <w:rsid w:val="007A64C0"/>
    <w:rsid w:val="007A65B1"/>
    <w:rsid w:val="007A660E"/>
    <w:rsid w:val="007A66D5"/>
    <w:rsid w:val="007A6739"/>
    <w:rsid w:val="007A68A4"/>
    <w:rsid w:val="007A6903"/>
    <w:rsid w:val="007A691C"/>
    <w:rsid w:val="007A6A3A"/>
    <w:rsid w:val="007A6A52"/>
    <w:rsid w:val="007A6B2D"/>
    <w:rsid w:val="007A6E51"/>
    <w:rsid w:val="007A6EFB"/>
    <w:rsid w:val="007A7045"/>
    <w:rsid w:val="007A752B"/>
    <w:rsid w:val="007A7689"/>
    <w:rsid w:val="007A7774"/>
    <w:rsid w:val="007A78C2"/>
    <w:rsid w:val="007A7947"/>
    <w:rsid w:val="007A7960"/>
    <w:rsid w:val="007A7A51"/>
    <w:rsid w:val="007A7A68"/>
    <w:rsid w:val="007A7BB3"/>
    <w:rsid w:val="007A7F95"/>
    <w:rsid w:val="007B00E2"/>
    <w:rsid w:val="007B027D"/>
    <w:rsid w:val="007B040F"/>
    <w:rsid w:val="007B05AF"/>
    <w:rsid w:val="007B05D6"/>
    <w:rsid w:val="007B06B9"/>
    <w:rsid w:val="007B07D5"/>
    <w:rsid w:val="007B08D9"/>
    <w:rsid w:val="007B0922"/>
    <w:rsid w:val="007B0A41"/>
    <w:rsid w:val="007B0B60"/>
    <w:rsid w:val="007B0BA6"/>
    <w:rsid w:val="007B0E13"/>
    <w:rsid w:val="007B0F55"/>
    <w:rsid w:val="007B0F63"/>
    <w:rsid w:val="007B1211"/>
    <w:rsid w:val="007B1380"/>
    <w:rsid w:val="007B16FF"/>
    <w:rsid w:val="007B191E"/>
    <w:rsid w:val="007B1BC6"/>
    <w:rsid w:val="007B1C44"/>
    <w:rsid w:val="007B1E50"/>
    <w:rsid w:val="007B1F54"/>
    <w:rsid w:val="007B20CC"/>
    <w:rsid w:val="007B20CF"/>
    <w:rsid w:val="007B245B"/>
    <w:rsid w:val="007B2569"/>
    <w:rsid w:val="007B2629"/>
    <w:rsid w:val="007B276A"/>
    <w:rsid w:val="007B2BBE"/>
    <w:rsid w:val="007B2C3F"/>
    <w:rsid w:val="007B2CC2"/>
    <w:rsid w:val="007B2E07"/>
    <w:rsid w:val="007B3361"/>
    <w:rsid w:val="007B337D"/>
    <w:rsid w:val="007B34A9"/>
    <w:rsid w:val="007B3562"/>
    <w:rsid w:val="007B35F9"/>
    <w:rsid w:val="007B3768"/>
    <w:rsid w:val="007B3841"/>
    <w:rsid w:val="007B3C13"/>
    <w:rsid w:val="007B3C97"/>
    <w:rsid w:val="007B3E21"/>
    <w:rsid w:val="007B40C2"/>
    <w:rsid w:val="007B438F"/>
    <w:rsid w:val="007B4A5E"/>
    <w:rsid w:val="007B4B88"/>
    <w:rsid w:val="007B4D5B"/>
    <w:rsid w:val="007B50FC"/>
    <w:rsid w:val="007B514A"/>
    <w:rsid w:val="007B5304"/>
    <w:rsid w:val="007B55E1"/>
    <w:rsid w:val="007B5723"/>
    <w:rsid w:val="007B59F9"/>
    <w:rsid w:val="007B5D0F"/>
    <w:rsid w:val="007B5E27"/>
    <w:rsid w:val="007B5F7F"/>
    <w:rsid w:val="007B5F90"/>
    <w:rsid w:val="007B60B7"/>
    <w:rsid w:val="007B6136"/>
    <w:rsid w:val="007B61C9"/>
    <w:rsid w:val="007B649C"/>
    <w:rsid w:val="007B66A1"/>
    <w:rsid w:val="007B699D"/>
    <w:rsid w:val="007B6B52"/>
    <w:rsid w:val="007B7556"/>
    <w:rsid w:val="007B756D"/>
    <w:rsid w:val="007B7826"/>
    <w:rsid w:val="007B7886"/>
    <w:rsid w:val="007B78A5"/>
    <w:rsid w:val="007B7954"/>
    <w:rsid w:val="007B7B56"/>
    <w:rsid w:val="007B7B64"/>
    <w:rsid w:val="007B7D27"/>
    <w:rsid w:val="007B7D38"/>
    <w:rsid w:val="007B7E5F"/>
    <w:rsid w:val="007B7FC6"/>
    <w:rsid w:val="007C0025"/>
    <w:rsid w:val="007C028B"/>
    <w:rsid w:val="007C0418"/>
    <w:rsid w:val="007C0433"/>
    <w:rsid w:val="007C0604"/>
    <w:rsid w:val="007C063B"/>
    <w:rsid w:val="007C0826"/>
    <w:rsid w:val="007C0915"/>
    <w:rsid w:val="007C0A38"/>
    <w:rsid w:val="007C0B90"/>
    <w:rsid w:val="007C0BB6"/>
    <w:rsid w:val="007C0BCA"/>
    <w:rsid w:val="007C0C51"/>
    <w:rsid w:val="007C0C65"/>
    <w:rsid w:val="007C0C80"/>
    <w:rsid w:val="007C0D9B"/>
    <w:rsid w:val="007C112A"/>
    <w:rsid w:val="007C1199"/>
    <w:rsid w:val="007C136A"/>
    <w:rsid w:val="007C1498"/>
    <w:rsid w:val="007C1812"/>
    <w:rsid w:val="007C1972"/>
    <w:rsid w:val="007C19E3"/>
    <w:rsid w:val="007C1A30"/>
    <w:rsid w:val="007C1CA5"/>
    <w:rsid w:val="007C1D49"/>
    <w:rsid w:val="007C20FD"/>
    <w:rsid w:val="007C215D"/>
    <w:rsid w:val="007C2205"/>
    <w:rsid w:val="007C2316"/>
    <w:rsid w:val="007C2332"/>
    <w:rsid w:val="007C29B1"/>
    <w:rsid w:val="007C2AF2"/>
    <w:rsid w:val="007C347D"/>
    <w:rsid w:val="007C37C0"/>
    <w:rsid w:val="007C37FD"/>
    <w:rsid w:val="007C3B36"/>
    <w:rsid w:val="007C3C1A"/>
    <w:rsid w:val="007C3D50"/>
    <w:rsid w:val="007C3D84"/>
    <w:rsid w:val="007C428D"/>
    <w:rsid w:val="007C42E1"/>
    <w:rsid w:val="007C4375"/>
    <w:rsid w:val="007C43A4"/>
    <w:rsid w:val="007C44CC"/>
    <w:rsid w:val="007C4599"/>
    <w:rsid w:val="007C45B0"/>
    <w:rsid w:val="007C45BE"/>
    <w:rsid w:val="007C4978"/>
    <w:rsid w:val="007C497D"/>
    <w:rsid w:val="007C4C09"/>
    <w:rsid w:val="007C4DB3"/>
    <w:rsid w:val="007C4EFF"/>
    <w:rsid w:val="007C4FC0"/>
    <w:rsid w:val="007C4FC8"/>
    <w:rsid w:val="007C5056"/>
    <w:rsid w:val="007C53CF"/>
    <w:rsid w:val="007C54FB"/>
    <w:rsid w:val="007C56F1"/>
    <w:rsid w:val="007C5728"/>
    <w:rsid w:val="007C587D"/>
    <w:rsid w:val="007C587E"/>
    <w:rsid w:val="007C59B9"/>
    <w:rsid w:val="007C5A53"/>
    <w:rsid w:val="007C5BE1"/>
    <w:rsid w:val="007C5D4C"/>
    <w:rsid w:val="007C5F24"/>
    <w:rsid w:val="007C5F61"/>
    <w:rsid w:val="007C5FBF"/>
    <w:rsid w:val="007C60FB"/>
    <w:rsid w:val="007C61F8"/>
    <w:rsid w:val="007C6573"/>
    <w:rsid w:val="007C6707"/>
    <w:rsid w:val="007C674F"/>
    <w:rsid w:val="007C67D2"/>
    <w:rsid w:val="007C67FD"/>
    <w:rsid w:val="007C6A47"/>
    <w:rsid w:val="007C6B7A"/>
    <w:rsid w:val="007C6B7E"/>
    <w:rsid w:val="007C6BE3"/>
    <w:rsid w:val="007C6CE1"/>
    <w:rsid w:val="007C6DC6"/>
    <w:rsid w:val="007C6E49"/>
    <w:rsid w:val="007C70FC"/>
    <w:rsid w:val="007C735E"/>
    <w:rsid w:val="007C75CB"/>
    <w:rsid w:val="007C77B1"/>
    <w:rsid w:val="007C782E"/>
    <w:rsid w:val="007C78FB"/>
    <w:rsid w:val="007C7903"/>
    <w:rsid w:val="007C7907"/>
    <w:rsid w:val="007C7AA5"/>
    <w:rsid w:val="007C7B6F"/>
    <w:rsid w:val="007D02E3"/>
    <w:rsid w:val="007D0328"/>
    <w:rsid w:val="007D0559"/>
    <w:rsid w:val="007D057A"/>
    <w:rsid w:val="007D05FB"/>
    <w:rsid w:val="007D06DA"/>
    <w:rsid w:val="007D0780"/>
    <w:rsid w:val="007D08FE"/>
    <w:rsid w:val="007D0958"/>
    <w:rsid w:val="007D09A3"/>
    <w:rsid w:val="007D0E6C"/>
    <w:rsid w:val="007D0EDE"/>
    <w:rsid w:val="007D0FD5"/>
    <w:rsid w:val="007D1006"/>
    <w:rsid w:val="007D11C8"/>
    <w:rsid w:val="007D13DB"/>
    <w:rsid w:val="007D1518"/>
    <w:rsid w:val="007D1CAC"/>
    <w:rsid w:val="007D1E8B"/>
    <w:rsid w:val="007D1F3E"/>
    <w:rsid w:val="007D20E6"/>
    <w:rsid w:val="007D2102"/>
    <w:rsid w:val="007D212A"/>
    <w:rsid w:val="007D2308"/>
    <w:rsid w:val="007D2322"/>
    <w:rsid w:val="007D2332"/>
    <w:rsid w:val="007D2417"/>
    <w:rsid w:val="007D241D"/>
    <w:rsid w:val="007D25A4"/>
    <w:rsid w:val="007D2601"/>
    <w:rsid w:val="007D2672"/>
    <w:rsid w:val="007D2B88"/>
    <w:rsid w:val="007D2C13"/>
    <w:rsid w:val="007D2E29"/>
    <w:rsid w:val="007D2E79"/>
    <w:rsid w:val="007D30AE"/>
    <w:rsid w:val="007D31A4"/>
    <w:rsid w:val="007D31A6"/>
    <w:rsid w:val="007D31A7"/>
    <w:rsid w:val="007D328A"/>
    <w:rsid w:val="007D331C"/>
    <w:rsid w:val="007D3322"/>
    <w:rsid w:val="007D358E"/>
    <w:rsid w:val="007D35B3"/>
    <w:rsid w:val="007D36E9"/>
    <w:rsid w:val="007D37E1"/>
    <w:rsid w:val="007D3A35"/>
    <w:rsid w:val="007D3D7E"/>
    <w:rsid w:val="007D3E9C"/>
    <w:rsid w:val="007D3FB1"/>
    <w:rsid w:val="007D403C"/>
    <w:rsid w:val="007D4614"/>
    <w:rsid w:val="007D4ACD"/>
    <w:rsid w:val="007D4C69"/>
    <w:rsid w:val="007D4D4E"/>
    <w:rsid w:val="007D4EB1"/>
    <w:rsid w:val="007D50A2"/>
    <w:rsid w:val="007D5208"/>
    <w:rsid w:val="007D529B"/>
    <w:rsid w:val="007D540B"/>
    <w:rsid w:val="007D5438"/>
    <w:rsid w:val="007D54C5"/>
    <w:rsid w:val="007D55BC"/>
    <w:rsid w:val="007D55BF"/>
    <w:rsid w:val="007D584A"/>
    <w:rsid w:val="007D5968"/>
    <w:rsid w:val="007D5A62"/>
    <w:rsid w:val="007D5AEC"/>
    <w:rsid w:val="007D5C84"/>
    <w:rsid w:val="007D5CC5"/>
    <w:rsid w:val="007D5DE1"/>
    <w:rsid w:val="007D5E8B"/>
    <w:rsid w:val="007D5FE2"/>
    <w:rsid w:val="007D5FE7"/>
    <w:rsid w:val="007D6486"/>
    <w:rsid w:val="007D651C"/>
    <w:rsid w:val="007D65FF"/>
    <w:rsid w:val="007D6677"/>
    <w:rsid w:val="007D6C31"/>
    <w:rsid w:val="007D6D9C"/>
    <w:rsid w:val="007D6E25"/>
    <w:rsid w:val="007D707B"/>
    <w:rsid w:val="007D7093"/>
    <w:rsid w:val="007D7311"/>
    <w:rsid w:val="007D777C"/>
    <w:rsid w:val="007D78D1"/>
    <w:rsid w:val="007D7934"/>
    <w:rsid w:val="007D7979"/>
    <w:rsid w:val="007D7986"/>
    <w:rsid w:val="007D7C0E"/>
    <w:rsid w:val="007D7D2B"/>
    <w:rsid w:val="007E00CC"/>
    <w:rsid w:val="007E02A5"/>
    <w:rsid w:val="007E02B0"/>
    <w:rsid w:val="007E02EF"/>
    <w:rsid w:val="007E068C"/>
    <w:rsid w:val="007E0720"/>
    <w:rsid w:val="007E074F"/>
    <w:rsid w:val="007E0870"/>
    <w:rsid w:val="007E0B67"/>
    <w:rsid w:val="007E0D9E"/>
    <w:rsid w:val="007E0EA9"/>
    <w:rsid w:val="007E0F85"/>
    <w:rsid w:val="007E103C"/>
    <w:rsid w:val="007E11B8"/>
    <w:rsid w:val="007E1233"/>
    <w:rsid w:val="007E1308"/>
    <w:rsid w:val="007E15C9"/>
    <w:rsid w:val="007E1719"/>
    <w:rsid w:val="007E19FB"/>
    <w:rsid w:val="007E19FD"/>
    <w:rsid w:val="007E1A2A"/>
    <w:rsid w:val="007E1E16"/>
    <w:rsid w:val="007E1E9D"/>
    <w:rsid w:val="007E1F6E"/>
    <w:rsid w:val="007E1F8F"/>
    <w:rsid w:val="007E1FB7"/>
    <w:rsid w:val="007E1FC2"/>
    <w:rsid w:val="007E1FDC"/>
    <w:rsid w:val="007E212C"/>
    <w:rsid w:val="007E222D"/>
    <w:rsid w:val="007E2328"/>
    <w:rsid w:val="007E2449"/>
    <w:rsid w:val="007E2506"/>
    <w:rsid w:val="007E2608"/>
    <w:rsid w:val="007E27DD"/>
    <w:rsid w:val="007E28B2"/>
    <w:rsid w:val="007E2923"/>
    <w:rsid w:val="007E2B4C"/>
    <w:rsid w:val="007E2CE2"/>
    <w:rsid w:val="007E2D06"/>
    <w:rsid w:val="007E2F2E"/>
    <w:rsid w:val="007E2F68"/>
    <w:rsid w:val="007E3039"/>
    <w:rsid w:val="007E3151"/>
    <w:rsid w:val="007E32DB"/>
    <w:rsid w:val="007E3315"/>
    <w:rsid w:val="007E3412"/>
    <w:rsid w:val="007E351D"/>
    <w:rsid w:val="007E3730"/>
    <w:rsid w:val="007E3A99"/>
    <w:rsid w:val="007E3AAE"/>
    <w:rsid w:val="007E3AF6"/>
    <w:rsid w:val="007E3AFE"/>
    <w:rsid w:val="007E3B18"/>
    <w:rsid w:val="007E3D74"/>
    <w:rsid w:val="007E3ECA"/>
    <w:rsid w:val="007E40B2"/>
    <w:rsid w:val="007E40C6"/>
    <w:rsid w:val="007E41A2"/>
    <w:rsid w:val="007E41F9"/>
    <w:rsid w:val="007E4335"/>
    <w:rsid w:val="007E43F5"/>
    <w:rsid w:val="007E45D3"/>
    <w:rsid w:val="007E45E4"/>
    <w:rsid w:val="007E4791"/>
    <w:rsid w:val="007E4823"/>
    <w:rsid w:val="007E4970"/>
    <w:rsid w:val="007E4B29"/>
    <w:rsid w:val="007E4C13"/>
    <w:rsid w:val="007E4EC2"/>
    <w:rsid w:val="007E52B2"/>
    <w:rsid w:val="007E52E6"/>
    <w:rsid w:val="007E5301"/>
    <w:rsid w:val="007E539E"/>
    <w:rsid w:val="007E54C2"/>
    <w:rsid w:val="007E5537"/>
    <w:rsid w:val="007E57DF"/>
    <w:rsid w:val="007E5BE8"/>
    <w:rsid w:val="007E5D95"/>
    <w:rsid w:val="007E5E5D"/>
    <w:rsid w:val="007E605F"/>
    <w:rsid w:val="007E625D"/>
    <w:rsid w:val="007E6299"/>
    <w:rsid w:val="007E62D7"/>
    <w:rsid w:val="007E62FA"/>
    <w:rsid w:val="007E63CC"/>
    <w:rsid w:val="007E647B"/>
    <w:rsid w:val="007E6976"/>
    <w:rsid w:val="007E698C"/>
    <w:rsid w:val="007E6A28"/>
    <w:rsid w:val="007E6D99"/>
    <w:rsid w:val="007E6DE3"/>
    <w:rsid w:val="007E6F70"/>
    <w:rsid w:val="007E6FF7"/>
    <w:rsid w:val="007E7016"/>
    <w:rsid w:val="007E7092"/>
    <w:rsid w:val="007E7257"/>
    <w:rsid w:val="007E731C"/>
    <w:rsid w:val="007E760A"/>
    <w:rsid w:val="007E771F"/>
    <w:rsid w:val="007E779B"/>
    <w:rsid w:val="007E77F7"/>
    <w:rsid w:val="007E78B7"/>
    <w:rsid w:val="007E7AEC"/>
    <w:rsid w:val="007E7BCD"/>
    <w:rsid w:val="007E7E7F"/>
    <w:rsid w:val="007F00CB"/>
    <w:rsid w:val="007F00DD"/>
    <w:rsid w:val="007F0146"/>
    <w:rsid w:val="007F016E"/>
    <w:rsid w:val="007F027F"/>
    <w:rsid w:val="007F03C0"/>
    <w:rsid w:val="007F0498"/>
    <w:rsid w:val="007F0508"/>
    <w:rsid w:val="007F071E"/>
    <w:rsid w:val="007F077C"/>
    <w:rsid w:val="007F07FB"/>
    <w:rsid w:val="007F0B0E"/>
    <w:rsid w:val="007F0B9D"/>
    <w:rsid w:val="007F0C19"/>
    <w:rsid w:val="007F0FFA"/>
    <w:rsid w:val="007F10B5"/>
    <w:rsid w:val="007F1187"/>
    <w:rsid w:val="007F11EF"/>
    <w:rsid w:val="007F11F0"/>
    <w:rsid w:val="007F125F"/>
    <w:rsid w:val="007F12A7"/>
    <w:rsid w:val="007F131E"/>
    <w:rsid w:val="007F1432"/>
    <w:rsid w:val="007F1608"/>
    <w:rsid w:val="007F1679"/>
    <w:rsid w:val="007F1735"/>
    <w:rsid w:val="007F1876"/>
    <w:rsid w:val="007F18B0"/>
    <w:rsid w:val="007F1B2B"/>
    <w:rsid w:val="007F1DC0"/>
    <w:rsid w:val="007F214F"/>
    <w:rsid w:val="007F21AC"/>
    <w:rsid w:val="007F21E6"/>
    <w:rsid w:val="007F2231"/>
    <w:rsid w:val="007F2277"/>
    <w:rsid w:val="007F26B9"/>
    <w:rsid w:val="007F2713"/>
    <w:rsid w:val="007F285B"/>
    <w:rsid w:val="007F285F"/>
    <w:rsid w:val="007F2862"/>
    <w:rsid w:val="007F2C33"/>
    <w:rsid w:val="007F2D5A"/>
    <w:rsid w:val="007F2D5C"/>
    <w:rsid w:val="007F2F7B"/>
    <w:rsid w:val="007F30FA"/>
    <w:rsid w:val="007F3679"/>
    <w:rsid w:val="007F36CB"/>
    <w:rsid w:val="007F36CF"/>
    <w:rsid w:val="007F390D"/>
    <w:rsid w:val="007F3B49"/>
    <w:rsid w:val="007F3D31"/>
    <w:rsid w:val="007F3F03"/>
    <w:rsid w:val="007F4052"/>
    <w:rsid w:val="007F42F2"/>
    <w:rsid w:val="007F45A3"/>
    <w:rsid w:val="007F4849"/>
    <w:rsid w:val="007F48C5"/>
    <w:rsid w:val="007F48DB"/>
    <w:rsid w:val="007F48FD"/>
    <w:rsid w:val="007F4C05"/>
    <w:rsid w:val="007F4CCD"/>
    <w:rsid w:val="007F512D"/>
    <w:rsid w:val="007F51F4"/>
    <w:rsid w:val="007F521D"/>
    <w:rsid w:val="007F5477"/>
    <w:rsid w:val="007F54B0"/>
    <w:rsid w:val="007F54FE"/>
    <w:rsid w:val="007F5845"/>
    <w:rsid w:val="007F586D"/>
    <w:rsid w:val="007F597A"/>
    <w:rsid w:val="007F597F"/>
    <w:rsid w:val="007F5986"/>
    <w:rsid w:val="007F5A38"/>
    <w:rsid w:val="007F5C3F"/>
    <w:rsid w:val="007F606B"/>
    <w:rsid w:val="007F6267"/>
    <w:rsid w:val="007F63EF"/>
    <w:rsid w:val="007F6773"/>
    <w:rsid w:val="007F689B"/>
    <w:rsid w:val="007F68B0"/>
    <w:rsid w:val="007F6950"/>
    <w:rsid w:val="007F6999"/>
    <w:rsid w:val="007F699A"/>
    <w:rsid w:val="007F6AEA"/>
    <w:rsid w:val="007F6DAE"/>
    <w:rsid w:val="007F6DE5"/>
    <w:rsid w:val="007F6EC1"/>
    <w:rsid w:val="007F6EDD"/>
    <w:rsid w:val="007F704C"/>
    <w:rsid w:val="007F71EE"/>
    <w:rsid w:val="007F7262"/>
    <w:rsid w:val="007F72E2"/>
    <w:rsid w:val="007F749C"/>
    <w:rsid w:val="007F7829"/>
    <w:rsid w:val="007F7881"/>
    <w:rsid w:val="007F7885"/>
    <w:rsid w:val="007F7990"/>
    <w:rsid w:val="007F7BA9"/>
    <w:rsid w:val="007F7CCD"/>
    <w:rsid w:val="008000DB"/>
    <w:rsid w:val="008000EA"/>
    <w:rsid w:val="008003A2"/>
    <w:rsid w:val="00800684"/>
    <w:rsid w:val="00800690"/>
    <w:rsid w:val="00800956"/>
    <w:rsid w:val="00800A99"/>
    <w:rsid w:val="00800BA4"/>
    <w:rsid w:val="00800D1E"/>
    <w:rsid w:val="0080126B"/>
    <w:rsid w:val="008015BE"/>
    <w:rsid w:val="0080177C"/>
    <w:rsid w:val="00801BD3"/>
    <w:rsid w:val="00801D75"/>
    <w:rsid w:val="00801E19"/>
    <w:rsid w:val="00801E34"/>
    <w:rsid w:val="00801E90"/>
    <w:rsid w:val="00801F64"/>
    <w:rsid w:val="00801FAD"/>
    <w:rsid w:val="00802115"/>
    <w:rsid w:val="0080220E"/>
    <w:rsid w:val="00802363"/>
    <w:rsid w:val="00802454"/>
    <w:rsid w:val="008024A6"/>
    <w:rsid w:val="008024D0"/>
    <w:rsid w:val="00802847"/>
    <w:rsid w:val="0080286D"/>
    <w:rsid w:val="008028C8"/>
    <w:rsid w:val="00802DB1"/>
    <w:rsid w:val="00802EBB"/>
    <w:rsid w:val="00802FDD"/>
    <w:rsid w:val="00803023"/>
    <w:rsid w:val="0080310F"/>
    <w:rsid w:val="008032C4"/>
    <w:rsid w:val="00803328"/>
    <w:rsid w:val="0080332A"/>
    <w:rsid w:val="00803552"/>
    <w:rsid w:val="008038EE"/>
    <w:rsid w:val="00803ABD"/>
    <w:rsid w:val="00803B3F"/>
    <w:rsid w:val="00803B74"/>
    <w:rsid w:val="00803C7B"/>
    <w:rsid w:val="00803CFB"/>
    <w:rsid w:val="00803E63"/>
    <w:rsid w:val="008043B0"/>
    <w:rsid w:val="008043DE"/>
    <w:rsid w:val="00804420"/>
    <w:rsid w:val="008044E8"/>
    <w:rsid w:val="008044F2"/>
    <w:rsid w:val="008045B1"/>
    <w:rsid w:val="00804754"/>
    <w:rsid w:val="00804989"/>
    <w:rsid w:val="00804B21"/>
    <w:rsid w:val="00804BDE"/>
    <w:rsid w:val="00804BF3"/>
    <w:rsid w:val="00804C0C"/>
    <w:rsid w:val="00804C23"/>
    <w:rsid w:val="00804D6C"/>
    <w:rsid w:val="00804ECF"/>
    <w:rsid w:val="00805141"/>
    <w:rsid w:val="0080524B"/>
    <w:rsid w:val="00805310"/>
    <w:rsid w:val="008055C4"/>
    <w:rsid w:val="00805612"/>
    <w:rsid w:val="0080561E"/>
    <w:rsid w:val="008057B3"/>
    <w:rsid w:val="00805FE7"/>
    <w:rsid w:val="00806049"/>
    <w:rsid w:val="00806484"/>
    <w:rsid w:val="0080651A"/>
    <w:rsid w:val="008068A6"/>
    <w:rsid w:val="00806A06"/>
    <w:rsid w:val="00806A66"/>
    <w:rsid w:val="00806B12"/>
    <w:rsid w:val="00806C7B"/>
    <w:rsid w:val="00807056"/>
    <w:rsid w:val="00807681"/>
    <w:rsid w:val="00807756"/>
    <w:rsid w:val="008078BB"/>
    <w:rsid w:val="00807920"/>
    <w:rsid w:val="00807992"/>
    <w:rsid w:val="008079D1"/>
    <w:rsid w:val="008079F0"/>
    <w:rsid w:val="00807B26"/>
    <w:rsid w:val="00807C7E"/>
    <w:rsid w:val="00807E88"/>
    <w:rsid w:val="00810050"/>
    <w:rsid w:val="0081040F"/>
    <w:rsid w:val="008109CF"/>
    <w:rsid w:val="00810DBC"/>
    <w:rsid w:val="00810DF3"/>
    <w:rsid w:val="0081101C"/>
    <w:rsid w:val="00811039"/>
    <w:rsid w:val="00811050"/>
    <w:rsid w:val="00811214"/>
    <w:rsid w:val="008112BE"/>
    <w:rsid w:val="0081132B"/>
    <w:rsid w:val="008113DA"/>
    <w:rsid w:val="008115BC"/>
    <w:rsid w:val="008118AD"/>
    <w:rsid w:val="00811B73"/>
    <w:rsid w:val="00811C5E"/>
    <w:rsid w:val="00811D88"/>
    <w:rsid w:val="00811DDF"/>
    <w:rsid w:val="00811DF9"/>
    <w:rsid w:val="00812019"/>
    <w:rsid w:val="008120E3"/>
    <w:rsid w:val="00812357"/>
    <w:rsid w:val="008123FE"/>
    <w:rsid w:val="008126D4"/>
    <w:rsid w:val="00812B48"/>
    <w:rsid w:val="00812C2A"/>
    <w:rsid w:val="00812ED4"/>
    <w:rsid w:val="00812F56"/>
    <w:rsid w:val="00812FDB"/>
    <w:rsid w:val="0081315D"/>
    <w:rsid w:val="00813201"/>
    <w:rsid w:val="00813352"/>
    <w:rsid w:val="00813434"/>
    <w:rsid w:val="0081343D"/>
    <w:rsid w:val="0081346F"/>
    <w:rsid w:val="008134CF"/>
    <w:rsid w:val="00813508"/>
    <w:rsid w:val="00813517"/>
    <w:rsid w:val="008135F6"/>
    <w:rsid w:val="00813711"/>
    <w:rsid w:val="0081390F"/>
    <w:rsid w:val="00813924"/>
    <w:rsid w:val="00813948"/>
    <w:rsid w:val="008139D0"/>
    <w:rsid w:val="00813BC8"/>
    <w:rsid w:val="00813C5C"/>
    <w:rsid w:val="00813CAC"/>
    <w:rsid w:val="00813CF0"/>
    <w:rsid w:val="00813D71"/>
    <w:rsid w:val="00813F54"/>
    <w:rsid w:val="00814007"/>
    <w:rsid w:val="008140A9"/>
    <w:rsid w:val="00814166"/>
    <w:rsid w:val="00814397"/>
    <w:rsid w:val="0081443C"/>
    <w:rsid w:val="00814724"/>
    <w:rsid w:val="00814972"/>
    <w:rsid w:val="00814A53"/>
    <w:rsid w:val="00814CD7"/>
    <w:rsid w:val="00814DC7"/>
    <w:rsid w:val="00814EA1"/>
    <w:rsid w:val="00814EEC"/>
    <w:rsid w:val="00815187"/>
    <w:rsid w:val="00815405"/>
    <w:rsid w:val="00815480"/>
    <w:rsid w:val="008155EA"/>
    <w:rsid w:val="008157F5"/>
    <w:rsid w:val="008158BA"/>
    <w:rsid w:val="00815917"/>
    <w:rsid w:val="00815A69"/>
    <w:rsid w:val="00815B1B"/>
    <w:rsid w:val="00815CB3"/>
    <w:rsid w:val="00815E8F"/>
    <w:rsid w:val="00816207"/>
    <w:rsid w:val="00816252"/>
    <w:rsid w:val="00816284"/>
    <w:rsid w:val="008163BC"/>
    <w:rsid w:val="008164A8"/>
    <w:rsid w:val="00816772"/>
    <w:rsid w:val="008167E8"/>
    <w:rsid w:val="008168A3"/>
    <w:rsid w:val="008169B4"/>
    <w:rsid w:val="00816B65"/>
    <w:rsid w:val="00816BE3"/>
    <w:rsid w:val="00816D32"/>
    <w:rsid w:val="00816E8A"/>
    <w:rsid w:val="008170CE"/>
    <w:rsid w:val="008171AC"/>
    <w:rsid w:val="008171F1"/>
    <w:rsid w:val="00817261"/>
    <w:rsid w:val="0081730E"/>
    <w:rsid w:val="008175B6"/>
    <w:rsid w:val="008175DD"/>
    <w:rsid w:val="008175EF"/>
    <w:rsid w:val="008178B3"/>
    <w:rsid w:val="008179B9"/>
    <w:rsid w:val="008179E2"/>
    <w:rsid w:val="00817A5C"/>
    <w:rsid w:val="00817C5E"/>
    <w:rsid w:val="00817F44"/>
    <w:rsid w:val="00817F7D"/>
    <w:rsid w:val="008200AE"/>
    <w:rsid w:val="008203E0"/>
    <w:rsid w:val="00820481"/>
    <w:rsid w:val="008204C3"/>
    <w:rsid w:val="008205D6"/>
    <w:rsid w:val="00820B4D"/>
    <w:rsid w:val="00820BD0"/>
    <w:rsid w:val="00820EFE"/>
    <w:rsid w:val="00820F63"/>
    <w:rsid w:val="00821304"/>
    <w:rsid w:val="00821666"/>
    <w:rsid w:val="00821856"/>
    <w:rsid w:val="00821CA7"/>
    <w:rsid w:val="00821D6A"/>
    <w:rsid w:val="00821FA6"/>
    <w:rsid w:val="008221A6"/>
    <w:rsid w:val="008222AC"/>
    <w:rsid w:val="008223F5"/>
    <w:rsid w:val="00822572"/>
    <w:rsid w:val="00822630"/>
    <w:rsid w:val="00822671"/>
    <w:rsid w:val="008227E6"/>
    <w:rsid w:val="008228FF"/>
    <w:rsid w:val="0082295A"/>
    <w:rsid w:val="00822A02"/>
    <w:rsid w:val="00822B80"/>
    <w:rsid w:val="00822CEA"/>
    <w:rsid w:val="00822DBD"/>
    <w:rsid w:val="00822EE4"/>
    <w:rsid w:val="00822F3B"/>
    <w:rsid w:val="00823003"/>
    <w:rsid w:val="0082317C"/>
    <w:rsid w:val="00823190"/>
    <w:rsid w:val="008232A6"/>
    <w:rsid w:val="00823324"/>
    <w:rsid w:val="008235E7"/>
    <w:rsid w:val="00823997"/>
    <w:rsid w:val="00823A45"/>
    <w:rsid w:val="00823AB2"/>
    <w:rsid w:val="00823EAD"/>
    <w:rsid w:val="00823EE1"/>
    <w:rsid w:val="008240E1"/>
    <w:rsid w:val="00824253"/>
    <w:rsid w:val="0082437C"/>
    <w:rsid w:val="008243CE"/>
    <w:rsid w:val="00824458"/>
    <w:rsid w:val="008244A4"/>
    <w:rsid w:val="008245F0"/>
    <w:rsid w:val="00824838"/>
    <w:rsid w:val="0082484D"/>
    <w:rsid w:val="00824922"/>
    <w:rsid w:val="0082497D"/>
    <w:rsid w:val="00824A8D"/>
    <w:rsid w:val="00824B70"/>
    <w:rsid w:val="00824C61"/>
    <w:rsid w:val="00824EA5"/>
    <w:rsid w:val="00824FE0"/>
    <w:rsid w:val="00825256"/>
    <w:rsid w:val="008252D9"/>
    <w:rsid w:val="00825518"/>
    <w:rsid w:val="008255B2"/>
    <w:rsid w:val="0082561F"/>
    <w:rsid w:val="00825968"/>
    <w:rsid w:val="00825A2F"/>
    <w:rsid w:val="00825AB7"/>
    <w:rsid w:val="00826104"/>
    <w:rsid w:val="00826226"/>
    <w:rsid w:val="008262A2"/>
    <w:rsid w:val="00826335"/>
    <w:rsid w:val="00826485"/>
    <w:rsid w:val="00826577"/>
    <w:rsid w:val="0082669E"/>
    <w:rsid w:val="008266FB"/>
    <w:rsid w:val="008267FC"/>
    <w:rsid w:val="00826906"/>
    <w:rsid w:val="00826A6C"/>
    <w:rsid w:val="00826D29"/>
    <w:rsid w:val="00826D33"/>
    <w:rsid w:val="00826D53"/>
    <w:rsid w:val="0082708C"/>
    <w:rsid w:val="008270E1"/>
    <w:rsid w:val="008270E3"/>
    <w:rsid w:val="00827273"/>
    <w:rsid w:val="00827319"/>
    <w:rsid w:val="00827342"/>
    <w:rsid w:val="008277D9"/>
    <w:rsid w:val="008278A8"/>
    <w:rsid w:val="008279B0"/>
    <w:rsid w:val="00827A05"/>
    <w:rsid w:val="00827AC4"/>
    <w:rsid w:val="00827B9B"/>
    <w:rsid w:val="00827D21"/>
    <w:rsid w:val="00827D83"/>
    <w:rsid w:val="00830052"/>
    <w:rsid w:val="00830070"/>
    <w:rsid w:val="00830108"/>
    <w:rsid w:val="00830179"/>
    <w:rsid w:val="00830250"/>
    <w:rsid w:val="008302F8"/>
    <w:rsid w:val="008303AA"/>
    <w:rsid w:val="008304C7"/>
    <w:rsid w:val="0083059B"/>
    <w:rsid w:val="00830674"/>
    <w:rsid w:val="0083067E"/>
    <w:rsid w:val="00830976"/>
    <w:rsid w:val="00830C84"/>
    <w:rsid w:val="00830D20"/>
    <w:rsid w:val="00830E6B"/>
    <w:rsid w:val="00830E72"/>
    <w:rsid w:val="0083106F"/>
    <w:rsid w:val="0083109B"/>
    <w:rsid w:val="00831347"/>
    <w:rsid w:val="008316A1"/>
    <w:rsid w:val="00831842"/>
    <w:rsid w:val="00831912"/>
    <w:rsid w:val="0083199E"/>
    <w:rsid w:val="00831A2D"/>
    <w:rsid w:val="00831A3A"/>
    <w:rsid w:val="00831A68"/>
    <w:rsid w:val="00831C75"/>
    <w:rsid w:val="00831C88"/>
    <w:rsid w:val="00831D4E"/>
    <w:rsid w:val="00831D88"/>
    <w:rsid w:val="00831DED"/>
    <w:rsid w:val="00831E11"/>
    <w:rsid w:val="00832056"/>
    <w:rsid w:val="0083206D"/>
    <w:rsid w:val="0083243B"/>
    <w:rsid w:val="00832582"/>
    <w:rsid w:val="0083271C"/>
    <w:rsid w:val="0083275D"/>
    <w:rsid w:val="00832831"/>
    <w:rsid w:val="0083295A"/>
    <w:rsid w:val="00832AF7"/>
    <w:rsid w:val="00832D82"/>
    <w:rsid w:val="00832E1F"/>
    <w:rsid w:val="00832F5D"/>
    <w:rsid w:val="008331D0"/>
    <w:rsid w:val="00833256"/>
    <w:rsid w:val="008333CD"/>
    <w:rsid w:val="008333F2"/>
    <w:rsid w:val="008336BA"/>
    <w:rsid w:val="008336BC"/>
    <w:rsid w:val="008336EF"/>
    <w:rsid w:val="00833A3B"/>
    <w:rsid w:val="00833C0F"/>
    <w:rsid w:val="00833D7F"/>
    <w:rsid w:val="00833E08"/>
    <w:rsid w:val="00833EA4"/>
    <w:rsid w:val="00833F63"/>
    <w:rsid w:val="00833FAC"/>
    <w:rsid w:val="0083407E"/>
    <w:rsid w:val="0083410E"/>
    <w:rsid w:val="0083412A"/>
    <w:rsid w:val="00834157"/>
    <w:rsid w:val="00834307"/>
    <w:rsid w:val="008343E3"/>
    <w:rsid w:val="00834579"/>
    <w:rsid w:val="00834757"/>
    <w:rsid w:val="008347EE"/>
    <w:rsid w:val="00834A2F"/>
    <w:rsid w:val="00834CE4"/>
    <w:rsid w:val="0083503F"/>
    <w:rsid w:val="008350B6"/>
    <w:rsid w:val="008353F6"/>
    <w:rsid w:val="00835572"/>
    <w:rsid w:val="008355E2"/>
    <w:rsid w:val="008355EB"/>
    <w:rsid w:val="008357E2"/>
    <w:rsid w:val="00835872"/>
    <w:rsid w:val="00835A03"/>
    <w:rsid w:val="00835C48"/>
    <w:rsid w:val="00835D9B"/>
    <w:rsid w:val="00835E24"/>
    <w:rsid w:val="00835EC2"/>
    <w:rsid w:val="00835F09"/>
    <w:rsid w:val="00835F35"/>
    <w:rsid w:val="0083611F"/>
    <w:rsid w:val="00836137"/>
    <w:rsid w:val="0083615A"/>
    <w:rsid w:val="008362DE"/>
    <w:rsid w:val="0083649F"/>
    <w:rsid w:val="00836A37"/>
    <w:rsid w:val="00836A4B"/>
    <w:rsid w:val="00836BD8"/>
    <w:rsid w:val="00836C1E"/>
    <w:rsid w:val="00836D96"/>
    <w:rsid w:val="00836DF2"/>
    <w:rsid w:val="00836E9B"/>
    <w:rsid w:val="00836EC3"/>
    <w:rsid w:val="00837246"/>
    <w:rsid w:val="0083729F"/>
    <w:rsid w:val="008375F2"/>
    <w:rsid w:val="0083782E"/>
    <w:rsid w:val="00837D89"/>
    <w:rsid w:val="00837DC1"/>
    <w:rsid w:val="00837E5B"/>
    <w:rsid w:val="00837E7C"/>
    <w:rsid w:val="0084022A"/>
    <w:rsid w:val="00840234"/>
    <w:rsid w:val="008402D8"/>
    <w:rsid w:val="0084044A"/>
    <w:rsid w:val="008404CC"/>
    <w:rsid w:val="008405F4"/>
    <w:rsid w:val="0084072D"/>
    <w:rsid w:val="00840897"/>
    <w:rsid w:val="00840A1A"/>
    <w:rsid w:val="00840A47"/>
    <w:rsid w:val="00840C47"/>
    <w:rsid w:val="00840D42"/>
    <w:rsid w:val="00841294"/>
    <w:rsid w:val="00841395"/>
    <w:rsid w:val="008419CF"/>
    <w:rsid w:val="00841A10"/>
    <w:rsid w:val="00841ABF"/>
    <w:rsid w:val="00841B20"/>
    <w:rsid w:val="00841B34"/>
    <w:rsid w:val="00841BAF"/>
    <w:rsid w:val="00841BE2"/>
    <w:rsid w:val="00841D76"/>
    <w:rsid w:val="008422E2"/>
    <w:rsid w:val="00842492"/>
    <w:rsid w:val="00842673"/>
    <w:rsid w:val="0084268E"/>
    <w:rsid w:val="008426CE"/>
    <w:rsid w:val="0084290E"/>
    <w:rsid w:val="00842A61"/>
    <w:rsid w:val="00842AF3"/>
    <w:rsid w:val="00842B52"/>
    <w:rsid w:val="00842C33"/>
    <w:rsid w:val="00842C54"/>
    <w:rsid w:val="00842CD6"/>
    <w:rsid w:val="00842F41"/>
    <w:rsid w:val="00843063"/>
    <w:rsid w:val="008430C7"/>
    <w:rsid w:val="00843192"/>
    <w:rsid w:val="008432B4"/>
    <w:rsid w:val="0084358B"/>
    <w:rsid w:val="0084362D"/>
    <w:rsid w:val="008438F7"/>
    <w:rsid w:val="00843A20"/>
    <w:rsid w:val="00843B12"/>
    <w:rsid w:val="00843B7F"/>
    <w:rsid w:val="00843C39"/>
    <w:rsid w:val="00843C7A"/>
    <w:rsid w:val="008440E1"/>
    <w:rsid w:val="008440F0"/>
    <w:rsid w:val="008441C4"/>
    <w:rsid w:val="008443BB"/>
    <w:rsid w:val="00844535"/>
    <w:rsid w:val="00844645"/>
    <w:rsid w:val="008449F4"/>
    <w:rsid w:val="00844CC4"/>
    <w:rsid w:val="00844D46"/>
    <w:rsid w:val="00844DC8"/>
    <w:rsid w:val="00844E75"/>
    <w:rsid w:val="008450BA"/>
    <w:rsid w:val="008453C2"/>
    <w:rsid w:val="008453D4"/>
    <w:rsid w:val="008453F0"/>
    <w:rsid w:val="008453F9"/>
    <w:rsid w:val="00845485"/>
    <w:rsid w:val="0084551E"/>
    <w:rsid w:val="0084575F"/>
    <w:rsid w:val="008457FE"/>
    <w:rsid w:val="00845991"/>
    <w:rsid w:val="00845A07"/>
    <w:rsid w:val="00845C8D"/>
    <w:rsid w:val="00845FD8"/>
    <w:rsid w:val="0084609B"/>
    <w:rsid w:val="00846263"/>
    <w:rsid w:val="008462C2"/>
    <w:rsid w:val="00846316"/>
    <w:rsid w:val="008465B4"/>
    <w:rsid w:val="0084682C"/>
    <w:rsid w:val="0084686B"/>
    <w:rsid w:val="008469A3"/>
    <w:rsid w:val="00846B0D"/>
    <w:rsid w:val="00846BEA"/>
    <w:rsid w:val="00846CF9"/>
    <w:rsid w:val="00846E2C"/>
    <w:rsid w:val="00846F47"/>
    <w:rsid w:val="00846F77"/>
    <w:rsid w:val="00847000"/>
    <w:rsid w:val="0084710A"/>
    <w:rsid w:val="0084728C"/>
    <w:rsid w:val="008473CE"/>
    <w:rsid w:val="008473E6"/>
    <w:rsid w:val="00847443"/>
    <w:rsid w:val="0084749C"/>
    <w:rsid w:val="00847663"/>
    <w:rsid w:val="0084785B"/>
    <w:rsid w:val="00847861"/>
    <w:rsid w:val="00847887"/>
    <w:rsid w:val="008478E9"/>
    <w:rsid w:val="0084794F"/>
    <w:rsid w:val="00847A47"/>
    <w:rsid w:val="00847BFD"/>
    <w:rsid w:val="00847D0C"/>
    <w:rsid w:val="00847DC5"/>
    <w:rsid w:val="00847F1C"/>
    <w:rsid w:val="00847F3D"/>
    <w:rsid w:val="00847F9B"/>
    <w:rsid w:val="00847FAE"/>
    <w:rsid w:val="00847FF8"/>
    <w:rsid w:val="0085010C"/>
    <w:rsid w:val="00850385"/>
    <w:rsid w:val="0085063B"/>
    <w:rsid w:val="00850654"/>
    <w:rsid w:val="00850834"/>
    <w:rsid w:val="008509B7"/>
    <w:rsid w:val="00850B3E"/>
    <w:rsid w:val="00850BAE"/>
    <w:rsid w:val="00850C1E"/>
    <w:rsid w:val="00850DAC"/>
    <w:rsid w:val="00850F74"/>
    <w:rsid w:val="008512F1"/>
    <w:rsid w:val="008513EC"/>
    <w:rsid w:val="0085144F"/>
    <w:rsid w:val="0085153E"/>
    <w:rsid w:val="00851778"/>
    <w:rsid w:val="00851884"/>
    <w:rsid w:val="00851899"/>
    <w:rsid w:val="00851A47"/>
    <w:rsid w:val="00851D62"/>
    <w:rsid w:val="00851E16"/>
    <w:rsid w:val="00851EE3"/>
    <w:rsid w:val="00852046"/>
    <w:rsid w:val="00852135"/>
    <w:rsid w:val="008521F1"/>
    <w:rsid w:val="00852493"/>
    <w:rsid w:val="008524F8"/>
    <w:rsid w:val="008525E9"/>
    <w:rsid w:val="008526A7"/>
    <w:rsid w:val="008526FE"/>
    <w:rsid w:val="008527B3"/>
    <w:rsid w:val="00852813"/>
    <w:rsid w:val="00852BF0"/>
    <w:rsid w:val="00852D1F"/>
    <w:rsid w:val="00852D39"/>
    <w:rsid w:val="00852D44"/>
    <w:rsid w:val="00852F2C"/>
    <w:rsid w:val="00852F55"/>
    <w:rsid w:val="008533C2"/>
    <w:rsid w:val="00853547"/>
    <w:rsid w:val="008537FD"/>
    <w:rsid w:val="00853911"/>
    <w:rsid w:val="00853B0C"/>
    <w:rsid w:val="00853BAB"/>
    <w:rsid w:val="00853C6E"/>
    <w:rsid w:val="00853C80"/>
    <w:rsid w:val="00853D01"/>
    <w:rsid w:val="00853D96"/>
    <w:rsid w:val="00853FF1"/>
    <w:rsid w:val="008541AF"/>
    <w:rsid w:val="008543BD"/>
    <w:rsid w:val="00854451"/>
    <w:rsid w:val="0085447D"/>
    <w:rsid w:val="008544B5"/>
    <w:rsid w:val="008544E4"/>
    <w:rsid w:val="008546CA"/>
    <w:rsid w:val="00854B55"/>
    <w:rsid w:val="00854BDA"/>
    <w:rsid w:val="00854C30"/>
    <w:rsid w:val="00854C93"/>
    <w:rsid w:val="00854D4C"/>
    <w:rsid w:val="00854E09"/>
    <w:rsid w:val="00854F06"/>
    <w:rsid w:val="00855006"/>
    <w:rsid w:val="0085508F"/>
    <w:rsid w:val="008551CC"/>
    <w:rsid w:val="00855244"/>
    <w:rsid w:val="0085532A"/>
    <w:rsid w:val="00855614"/>
    <w:rsid w:val="008559DA"/>
    <w:rsid w:val="00855A7B"/>
    <w:rsid w:val="00855AB3"/>
    <w:rsid w:val="00855BA9"/>
    <w:rsid w:val="00855D19"/>
    <w:rsid w:val="00855D55"/>
    <w:rsid w:val="00855D63"/>
    <w:rsid w:val="00855F44"/>
    <w:rsid w:val="00855FFE"/>
    <w:rsid w:val="0085622A"/>
    <w:rsid w:val="0085625F"/>
    <w:rsid w:val="00856385"/>
    <w:rsid w:val="008563EE"/>
    <w:rsid w:val="008564BF"/>
    <w:rsid w:val="008569A8"/>
    <w:rsid w:val="00856A06"/>
    <w:rsid w:val="00856A4F"/>
    <w:rsid w:val="00856D90"/>
    <w:rsid w:val="00856F9E"/>
    <w:rsid w:val="00857107"/>
    <w:rsid w:val="00857133"/>
    <w:rsid w:val="0085749A"/>
    <w:rsid w:val="008574C8"/>
    <w:rsid w:val="00857523"/>
    <w:rsid w:val="0085773B"/>
    <w:rsid w:val="00857829"/>
    <w:rsid w:val="00857861"/>
    <w:rsid w:val="00857A2D"/>
    <w:rsid w:val="00857D0D"/>
    <w:rsid w:val="00857F78"/>
    <w:rsid w:val="00857F90"/>
    <w:rsid w:val="0086004C"/>
    <w:rsid w:val="008600FA"/>
    <w:rsid w:val="00860238"/>
    <w:rsid w:val="00860475"/>
    <w:rsid w:val="0086048D"/>
    <w:rsid w:val="008604B3"/>
    <w:rsid w:val="008606CF"/>
    <w:rsid w:val="00860766"/>
    <w:rsid w:val="008607BB"/>
    <w:rsid w:val="00860956"/>
    <w:rsid w:val="00860AE3"/>
    <w:rsid w:val="00860B0C"/>
    <w:rsid w:val="00860B55"/>
    <w:rsid w:val="00860BDA"/>
    <w:rsid w:val="00860E57"/>
    <w:rsid w:val="00860F9A"/>
    <w:rsid w:val="00860FCC"/>
    <w:rsid w:val="00860FFB"/>
    <w:rsid w:val="0086106B"/>
    <w:rsid w:val="0086137E"/>
    <w:rsid w:val="00861437"/>
    <w:rsid w:val="008615B5"/>
    <w:rsid w:val="0086161C"/>
    <w:rsid w:val="00861746"/>
    <w:rsid w:val="008618C8"/>
    <w:rsid w:val="00861ACF"/>
    <w:rsid w:val="00861DB2"/>
    <w:rsid w:val="00861DD0"/>
    <w:rsid w:val="00861EDD"/>
    <w:rsid w:val="00861F3E"/>
    <w:rsid w:val="008620AD"/>
    <w:rsid w:val="0086230B"/>
    <w:rsid w:val="0086237D"/>
    <w:rsid w:val="008623B6"/>
    <w:rsid w:val="008624E9"/>
    <w:rsid w:val="008626B6"/>
    <w:rsid w:val="008626BA"/>
    <w:rsid w:val="00862700"/>
    <w:rsid w:val="00862710"/>
    <w:rsid w:val="0086276C"/>
    <w:rsid w:val="00862B96"/>
    <w:rsid w:val="00862D0C"/>
    <w:rsid w:val="00863220"/>
    <w:rsid w:val="008633D8"/>
    <w:rsid w:val="00863642"/>
    <w:rsid w:val="00863947"/>
    <w:rsid w:val="00863AFA"/>
    <w:rsid w:val="00863F65"/>
    <w:rsid w:val="00863FA8"/>
    <w:rsid w:val="00864041"/>
    <w:rsid w:val="008640D3"/>
    <w:rsid w:val="00864181"/>
    <w:rsid w:val="008641AD"/>
    <w:rsid w:val="0086429C"/>
    <w:rsid w:val="008643B5"/>
    <w:rsid w:val="008644B5"/>
    <w:rsid w:val="00864569"/>
    <w:rsid w:val="008646B4"/>
    <w:rsid w:val="00864786"/>
    <w:rsid w:val="008647A5"/>
    <w:rsid w:val="0086497E"/>
    <w:rsid w:val="00864AF6"/>
    <w:rsid w:val="00864D4F"/>
    <w:rsid w:val="00864F20"/>
    <w:rsid w:val="00864F9B"/>
    <w:rsid w:val="00864FCA"/>
    <w:rsid w:val="008651EB"/>
    <w:rsid w:val="00865360"/>
    <w:rsid w:val="008654E1"/>
    <w:rsid w:val="008654E4"/>
    <w:rsid w:val="00865617"/>
    <w:rsid w:val="0086574C"/>
    <w:rsid w:val="00865AA1"/>
    <w:rsid w:val="00865BEB"/>
    <w:rsid w:val="00865CE8"/>
    <w:rsid w:val="00865D09"/>
    <w:rsid w:val="00865D8F"/>
    <w:rsid w:val="00865F0B"/>
    <w:rsid w:val="00865FFC"/>
    <w:rsid w:val="008661E3"/>
    <w:rsid w:val="00866886"/>
    <w:rsid w:val="00866923"/>
    <w:rsid w:val="00866BAD"/>
    <w:rsid w:val="00866BDE"/>
    <w:rsid w:val="00866D03"/>
    <w:rsid w:val="00866D61"/>
    <w:rsid w:val="00866DA7"/>
    <w:rsid w:val="008670F8"/>
    <w:rsid w:val="00867542"/>
    <w:rsid w:val="008676AD"/>
    <w:rsid w:val="0086772A"/>
    <w:rsid w:val="008677A3"/>
    <w:rsid w:val="008677E5"/>
    <w:rsid w:val="00867879"/>
    <w:rsid w:val="008678C6"/>
    <w:rsid w:val="0086795E"/>
    <w:rsid w:val="00867E3D"/>
    <w:rsid w:val="00867FF7"/>
    <w:rsid w:val="008700F0"/>
    <w:rsid w:val="008702A4"/>
    <w:rsid w:val="0087037C"/>
    <w:rsid w:val="00870442"/>
    <w:rsid w:val="008704AF"/>
    <w:rsid w:val="0087071E"/>
    <w:rsid w:val="00870AF5"/>
    <w:rsid w:val="00870B5C"/>
    <w:rsid w:val="00870B78"/>
    <w:rsid w:val="00870B89"/>
    <w:rsid w:val="00870C32"/>
    <w:rsid w:val="00870D2E"/>
    <w:rsid w:val="00870D4B"/>
    <w:rsid w:val="00870DBC"/>
    <w:rsid w:val="00871034"/>
    <w:rsid w:val="0087125C"/>
    <w:rsid w:val="008712A2"/>
    <w:rsid w:val="008713C6"/>
    <w:rsid w:val="00871425"/>
    <w:rsid w:val="00871491"/>
    <w:rsid w:val="008714FB"/>
    <w:rsid w:val="00871628"/>
    <w:rsid w:val="00871A7F"/>
    <w:rsid w:val="00871B90"/>
    <w:rsid w:val="00871BED"/>
    <w:rsid w:val="00871E2F"/>
    <w:rsid w:val="00871EF0"/>
    <w:rsid w:val="00871FD3"/>
    <w:rsid w:val="00872065"/>
    <w:rsid w:val="00872075"/>
    <w:rsid w:val="00872171"/>
    <w:rsid w:val="008721DC"/>
    <w:rsid w:val="0087225A"/>
    <w:rsid w:val="008722B3"/>
    <w:rsid w:val="0087233F"/>
    <w:rsid w:val="008723A1"/>
    <w:rsid w:val="008723EC"/>
    <w:rsid w:val="008724C3"/>
    <w:rsid w:val="00872509"/>
    <w:rsid w:val="008725F0"/>
    <w:rsid w:val="008725FA"/>
    <w:rsid w:val="008727C4"/>
    <w:rsid w:val="00872948"/>
    <w:rsid w:val="0087299A"/>
    <w:rsid w:val="008729CF"/>
    <w:rsid w:val="00872AA2"/>
    <w:rsid w:val="00872E3E"/>
    <w:rsid w:val="00872E60"/>
    <w:rsid w:val="00872E64"/>
    <w:rsid w:val="00872EE7"/>
    <w:rsid w:val="00873002"/>
    <w:rsid w:val="0087339F"/>
    <w:rsid w:val="008734F2"/>
    <w:rsid w:val="00873629"/>
    <w:rsid w:val="008736CD"/>
    <w:rsid w:val="008739E4"/>
    <w:rsid w:val="00873A0D"/>
    <w:rsid w:val="00873A79"/>
    <w:rsid w:val="00873B5A"/>
    <w:rsid w:val="00873C9E"/>
    <w:rsid w:val="00873D44"/>
    <w:rsid w:val="00873FA6"/>
    <w:rsid w:val="00874031"/>
    <w:rsid w:val="008740EE"/>
    <w:rsid w:val="00874115"/>
    <w:rsid w:val="0087456F"/>
    <w:rsid w:val="00874747"/>
    <w:rsid w:val="008747A8"/>
    <w:rsid w:val="0087490D"/>
    <w:rsid w:val="00874AF3"/>
    <w:rsid w:val="00874B11"/>
    <w:rsid w:val="00874CB8"/>
    <w:rsid w:val="00874D1B"/>
    <w:rsid w:val="00874D6E"/>
    <w:rsid w:val="00874EB2"/>
    <w:rsid w:val="00874EB9"/>
    <w:rsid w:val="00875176"/>
    <w:rsid w:val="008751A9"/>
    <w:rsid w:val="0087529C"/>
    <w:rsid w:val="00875339"/>
    <w:rsid w:val="00875397"/>
    <w:rsid w:val="008755EC"/>
    <w:rsid w:val="008758D9"/>
    <w:rsid w:val="00875D51"/>
    <w:rsid w:val="00875DC6"/>
    <w:rsid w:val="00875E22"/>
    <w:rsid w:val="00875FFF"/>
    <w:rsid w:val="00876136"/>
    <w:rsid w:val="0087647F"/>
    <w:rsid w:val="008764AC"/>
    <w:rsid w:val="00876534"/>
    <w:rsid w:val="00876AA7"/>
    <w:rsid w:val="00876BA6"/>
    <w:rsid w:val="00876BCA"/>
    <w:rsid w:val="00876C44"/>
    <w:rsid w:val="00876F52"/>
    <w:rsid w:val="00876FF1"/>
    <w:rsid w:val="00877257"/>
    <w:rsid w:val="008772A2"/>
    <w:rsid w:val="008772B6"/>
    <w:rsid w:val="00877740"/>
    <w:rsid w:val="008777E9"/>
    <w:rsid w:val="00877808"/>
    <w:rsid w:val="0087783D"/>
    <w:rsid w:val="0087789E"/>
    <w:rsid w:val="0087794A"/>
    <w:rsid w:val="00877985"/>
    <w:rsid w:val="008779E1"/>
    <w:rsid w:val="00877B26"/>
    <w:rsid w:val="00877B2C"/>
    <w:rsid w:val="00877BBA"/>
    <w:rsid w:val="00877C96"/>
    <w:rsid w:val="00877D9B"/>
    <w:rsid w:val="00877DA0"/>
    <w:rsid w:val="00877DA8"/>
    <w:rsid w:val="00877DDA"/>
    <w:rsid w:val="00877F90"/>
    <w:rsid w:val="008800F9"/>
    <w:rsid w:val="0088047F"/>
    <w:rsid w:val="008806A6"/>
    <w:rsid w:val="00880A84"/>
    <w:rsid w:val="00880B23"/>
    <w:rsid w:val="00880CDF"/>
    <w:rsid w:val="00880E6A"/>
    <w:rsid w:val="00880FA0"/>
    <w:rsid w:val="008811F2"/>
    <w:rsid w:val="008812D6"/>
    <w:rsid w:val="008812EC"/>
    <w:rsid w:val="008813E3"/>
    <w:rsid w:val="008813FF"/>
    <w:rsid w:val="00881445"/>
    <w:rsid w:val="0088159D"/>
    <w:rsid w:val="00881740"/>
    <w:rsid w:val="0088176A"/>
    <w:rsid w:val="00881899"/>
    <w:rsid w:val="00881CB5"/>
    <w:rsid w:val="00881CC3"/>
    <w:rsid w:val="00881DC6"/>
    <w:rsid w:val="008822AC"/>
    <w:rsid w:val="00882398"/>
    <w:rsid w:val="008823A6"/>
    <w:rsid w:val="00882464"/>
    <w:rsid w:val="008824F9"/>
    <w:rsid w:val="008827A1"/>
    <w:rsid w:val="00882832"/>
    <w:rsid w:val="008828B1"/>
    <w:rsid w:val="0088295E"/>
    <w:rsid w:val="0088298E"/>
    <w:rsid w:val="00882B42"/>
    <w:rsid w:val="00882CC5"/>
    <w:rsid w:val="00882D39"/>
    <w:rsid w:val="00882D47"/>
    <w:rsid w:val="0088337C"/>
    <w:rsid w:val="00883528"/>
    <w:rsid w:val="0088352F"/>
    <w:rsid w:val="00883A96"/>
    <w:rsid w:val="00883B90"/>
    <w:rsid w:val="00883C07"/>
    <w:rsid w:val="00883C84"/>
    <w:rsid w:val="00883EAE"/>
    <w:rsid w:val="00884101"/>
    <w:rsid w:val="00884346"/>
    <w:rsid w:val="008844F2"/>
    <w:rsid w:val="0088453B"/>
    <w:rsid w:val="008845BF"/>
    <w:rsid w:val="008846B7"/>
    <w:rsid w:val="00884806"/>
    <w:rsid w:val="0088487A"/>
    <w:rsid w:val="008849B6"/>
    <w:rsid w:val="00884F17"/>
    <w:rsid w:val="00884F78"/>
    <w:rsid w:val="00884FB7"/>
    <w:rsid w:val="00885118"/>
    <w:rsid w:val="0088526B"/>
    <w:rsid w:val="0088527B"/>
    <w:rsid w:val="008852EB"/>
    <w:rsid w:val="008853EF"/>
    <w:rsid w:val="008855E4"/>
    <w:rsid w:val="008855F1"/>
    <w:rsid w:val="00885857"/>
    <w:rsid w:val="00885CA6"/>
    <w:rsid w:val="00885DF3"/>
    <w:rsid w:val="00885E73"/>
    <w:rsid w:val="00885F55"/>
    <w:rsid w:val="00885FA9"/>
    <w:rsid w:val="00885FF6"/>
    <w:rsid w:val="0088600A"/>
    <w:rsid w:val="0088602C"/>
    <w:rsid w:val="008860E8"/>
    <w:rsid w:val="00886226"/>
    <w:rsid w:val="008862FE"/>
    <w:rsid w:val="0088657F"/>
    <w:rsid w:val="008865BE"/>
    <w:rsid w:val="008868DF"/>
    <w:rsid w:val="00886946"/>
    <w:rsid w:val="00886B0E"/>
    <w:rsid w:val="00886BBF"/>
    <w:rsid w:val="00886C72"/>
    <w:rsid w:val="00886D6B"/>
    <w:rsid w:val="00886D8B"/>
    <w:rsid w:val="00886EC0"/>
    <w:rsid w:val="00886FD9"/>
    <w:rsid w:val="00886FF0"/>
    <w:rsid w:val="00887097"/>
    <w:rsid w:val="008870D6"/>
    <w:rsid w:val="008871E3"/>
    <w:rsid w:val="008872F6"/>
    <w:rsid w:val="00887755"/>
    <w:rsid w:val="008878FC"/>
    <w:rsid w:val="008879B7"/>
    <w:rsid w:val="008879C4"/>
    <w:rsid w:val="00887A03"/>
    <w:rsid w:val="00887E2F"/>
    <w:rsid w:val="00887EFB"/>
    <w:rsid w:val="00890008"/>
    <w:rsid w:val="0089011F"/>
    <w:rsid w:val="0089039A"/>
    <w:rsid w:val="0089050A"/>
    <w:rsid w:val="0089059B"/>
    <w:rsid w:val="008905AE"/>
    <w:rsid w:val="0089063F"/>
    <w:rsid w:val="0089079E"/>
    <w:rsid w:val="008907C9"/>
    <w:rsid w:val="00890ABB"/>
    <w:rsid w:val="00890D60"/>
    <w:rsid w:val="00891115"/>
    <w:rsid w:val="00891444"/>
    <w:rsid w:val="0089155E"/>
    <w:rsid w:val="008917F0"/>
    <w:rsid w:val="0089183E"/>
    <w:rsid w:val="00891A16"/>
    <w:rsid w:val="00891DCE"/>
    <w:rsid w:val="0089214D"/>
    <w:rsid w:val="0089220B"/>
    <w:rsid w:val="008924FB"/>
    <w:rsid w:val="008925AA"/>
    <w:rsid w:val="00892605"/>
    <w:rsid w:val="008926CE"/>
    <w:rsid w:val="00892705"/>
    <w:rsid w:val="0089286D"/>
    <w:rsid w:val="008928F9"/>
    <w:rsid w:val="00892974"/>
    <w:rsid w:val="00892996"/>
    <w:rsid w:val="008929C8"/>
    <w:rsid w:val="00892B89"/>
    <w:rsid w:val="00892C26"/>
    <w:rsid w:val="00892C3D"/>
    <w:rsid w:val="00892C5E"/>
    <w:rsid w:val="00892E26"/>
    <w:rsid w:val="0089330C"/>
    <w:rsid w:val="00893399"/>
    <w:rsid w:val="008937AC"/>
    <w:rsid w:val="00893860"/>
    <w:rsid w:val="0089396A"/>
    <w:rsid w:val="008939A9"/>
    <w:rsid w:val="00893A1D"/>
    <w:rsid w:val="00893BBF"/>
    <w:rsid w:val="00893D49"/>
    <w:rsid w:val="00893FE7"/>
    <w:rsid w:val="00894002"/>
    <w:rsid w:val="0089400D"/>
    <w:rsid w:val="0089409B"/>
    <w:rsid w:val="008942AD"/>
    <w:rsid w:val="008942B8"/>
    <w:rsid w:val="0089432C"/>
    <w:rsid w:val="00894344"/>
    <w:rsid w:val="00894443"/>
    <w:rsid w:val="00894477"/>
    <w:rsid w:val="008944AD"/>
    <w:rsid w:val="008946B2"/>
    <w:rsid w:val="008948D6"/>
    <w:rsid w:val="008948F7"/>
    <w:rsid w:val="00894937"/>
    <w:rsid w:val="00895052"/>
    <w:rsid w:val="0089512C"/>
    <w:rsid w:val="0089544C"/>
    <w:rsid w:val="008954D5"/>
    <w:rsid w:val="0089588C"/>
    <w:rsid w:val="00895AF2"/>
    <w:rsid w:val="00895B8D"/>
    <w:rsid w:val="00895E82"/>
    <w:rsid w:val="0089606E"/>
    <w:rsid w:val="00896084"/>
    <w:rsid w:val="008960D6"/>
    <w:rsid w:val="0089633C"/>
    <w:rsid w:val="00896A20"/>
    <w:rsid w:val="00896BD0"/>
    <w:rsid w:val="00896E82"/>
    <w:rsid w:val="00896FFA"/>
    <w:rsid w:val="0089711F"/>
    <w:rsid w:val="00897124"/>
    <w:rsid w:val="0089735A"/>
    <w:rsid w:val="0089738B"/>
    <w:rsid w:val="008974F1"/>
    <w:rsid w:val="00897569"/>
    <w:rsid w:val="008975E1"/>
    <w:rsid w:val="008975E2"/>
    <w:rsid w:val="008977FE"/>
    <w:rsid w:val="00897816"/>
    <w:rsid w:val="0089787E"/>
    <w:rsid w:val="0089788A"/>
    <w:rsid w:val="00897CA2"/>
    <w:rsid w:val="00897D5B"/>
    <w:rsid w:val="00897E13"/>
    <w:rsid w:val="00897EA6"/>
    <w:rsid w:val="00897F86"/>
    <w:rsid w:val="008A0569"/>
    <w:rsid w:val="008A0592"/>
    <w:rsid w:val="008A07E7"/>
    <w:rsid w:val="008A0840"/>
    <w:rsid w:val="008A0A07"/>
    <w:rsid w:val="008A0A94"/>
    <w:rsid w:val="008A0B73"/>
    <w:rsid w:val="008A0B97"/>
    <w:rsid w:val="008A0C23"/>
    <w:rsid w:val="008A0CAA"/>
    <w:rsid w:val="008A0F23"/>
    <w:rsid w:val="008A1103"/>
    <w:rsid w:val="008A15E3"/>
    <w:rsid w:val="008A162F"/>
    <w:rsid w:val="008A166C"/>
    <w:rsid w:val="008A1696"/>
    <w:rsid w:val="008A177B"/>
    <w:rsid w:val="008A1813"/>
    <w:rsid w:val="008A1832"/>
    <w:rsid w:val="008A19B9"/>
    <w:rsid w:val="008A1A44"/>
    <w:rsid w:val="008A1AB5"/>
    <w:rsid w:val="008A1B31"/>
    <w:rsid w:val="008A1C64"/>
    <w:rsid w:val="008A1D57"/>
    <w:rsid w:val="008A1DFC"/>
    <w:rsid w:val="008A1E62"/>
    <w:rsid w:val="008A1E8E"/>
    <w:rsid w:val="008A1F51"/>
    <w:rsid w:val="008A1F7D"/>
    <w:rsid w:val="008A229C"/>
    <w:rsid w:val="008A22E4"/>
    <w:rsid w:val="008A22F6"/>
    <w:rsid w:val="008A2337"/>
    <w:rsid w:val="008A2426"/>
    <w:rsid w:val="008A24A8"/>
    <w:rsid w:val="008A2525"/>
    <w:rsid w:val="008A2541"/>
    <w:rsid w:val="008A2586"/>
    <w:rsid w:val="008A2636"/>
    <w:rsid w:val="008A2652"/>
    <w:rsid w:val="008A26EA"/>
    <w:rsid w:val="008A26F5"/>
    <w:rsid w:val="008A280D"/>
    <w:rsid w:val="008A2BB6"/>
    <w:rsid w:val="008A2BFF"/>
    <w:rsid w:val="008A2E0A"/>
    <w:rsid w:val="008A2EC6"/>
    <w:rsid w:val="008A2FE7"/>
    <w:rsid w:val="008A3164"/>
    <w:rsid w:val="008A322B"/>
    <w:rsid w:val="008A3384"/>
    <w:rsid w:val="008A3464"/>
    <w:rsid w:val="008A3547"/>
    <w:rsid w:val="008A35B4"/>
    <w:rsid w:val="008A3779"/>
    <w:rsid w:val="008A37C6"/>
    <w:rsid w:val="008A3A82"/>
    <w:rsid w:val="008A3FC4"/>
    <w:rsid w:val="008A4175"/>
    <w:rsid w:val="008A41E6"/>
    <w:rsid w:val="008A41F5"/>
    <w:rsid w:val="008A429A"/>
    <w:rsid w:val="008A4308"/>
    <w:rsid w:val="008A456A"/>
    <w:rsid w:val="008A46F1"/>
    <w:rsid w:val="008A4775"/>
    <w:rsid w:val="008A495E"/>
    <w:rsid w:val="008A4A71"/>
    <w:rsid w:val="008A4C32"/>
    <w:rsid w:val="008A4CC5"/>
    <w:rsid w:val="008A4D2F"/>
    <w:rsid w:val="008A4DE3"/>
    <w:rsid w:val="008A4E2B"/>
    <w:rsid w:val="008A4E48"/>
    <w:rsid w:val="008A4F0A"/>
    <w:rsid w:val="008A51AF"/>
    <w:rsid w:val="008A523E"/>
    <w:rsid w:val="008A5444"/>
    <w:rsid w:val="008A554F"/>
    <w:rsid w:val="008A559A"/>
    <w:rsid w:val="008A55AB"/>
    <w:rsid w:val="008A565E"/>
    <w:rsid w:val="008A5718"/>
    <w:rsid w:val="008A581D"/>
    <w:rsid w:val="008A58BC"/>
    <w:rsid w:val="008A5A6F"/>
    <w:rsid w:val="008A5CC6"/>
    <w:rsid w:val="008A5CDF"/>
    <w:rsid w:val="008A5E8F"/>
    <w:rsid w:val="008A5EB0"/>
    <w:rsid w:val="008A6013"/>
    <w:rsid w:val="008A6055"/>
    <w:rsid w:val="008A60F9"/>
    <w:rsid w:val="008A63D6"/>
    <w:rsid w:val="008A6514"/>
    <w:rsid w:val="008A67CF"/>
    <w:rsid w:val="008A6821"/>
    <w:rsid w:val="008A700B"/>
    <w:rsid w:val="008A711A"/>
    <w:rsid w:val="008A71AD"/>
    <w:rsid w:val="008A7236"/>
    <w:rsid w:val="008A729C"/>
    <w:rsid w:val="008A72B2"/>
    <w:rsid w:val="008A7504"/>
    <w:rsid w:val="008A75A9"/>
    <w:rsid w:val="008A76CC"/>
    <w:rsid w:val="008A77B9"/>
    <w:rsid w:val="008A7879"/>
    <w:rsid w:val="008A79EA"/>
    <w:rsid w:val="008A7C96"/>
    <w:rsid w:val="008A7D04"/>
    <w:rsid w:val="008A7DD7"/>
    <w:rsid w:val="008A7E14"/>
    <w:rsid w:val="008A7E75"/>
    <w:rsid w:val="008A7E83"/>
    <w:rsid w:val="008A7FC3"/>
    <w:rsid w:val="008A7FFB"/>
    <w:rsid w:val="008B025F"/>
    <w:rsid w:val="008B054D"/>
    <w:rsid w:val="008B05EF"/>
    <w:rsid w:val="008B07ED"/>
    <w:rsid w:val="008B0870"/>
    <w:rsid w:val="008B0A42"/>
    <w:rsid w:val="008B0B2F"/>
    <w:rsid w:val="008B0C3C"/>
    <w:rsid w:val="008B0D30"/>
    <w:rsid w:val="008B0E90"/>
    <w:rsid w:val="008B114E"/>
    <w:rsid w:val="008B11CF"/>
    <w:rsid w:val="008B1299"/>
    <w:rsid w:val="008B12F0"/>
    <w:rsid w:val="008B1436"/>
    <w:rsid w:val="008B16DE"/>
    <w:rsid w:val="008B179B"/>
    <w:rsid w:val="008B1861"/>
    <w:rsid w:val="008B1A0E"/>
    <w:rsid w:val="008B1BA0"/>
    <w:rsid w:val="008B1EFA"/>
    <w:rsid w:val="008B1F1F"/>
    <w:rsid w:val="008B1F39"/>
    <w:rsid w:val="008B1FA8"/>
    <w:rsid w:val="008B23E6"/>
    <w:rsid w:val="008B2770"/>
    <w:rsid w:val="008B278B"/>
    <w:rsid w:val="008B2A0B"/>
    <w:rsid w:val="008B2E19"/>
    <w:rsid w:val="008B2F07"/>
    <w:rsid w:val="008B2F7E"/>
    <w:rsid w:val="008B30A5"/>
    <w:rsid w:val="008B3173"/>
    <w:rsid w:val="008B31A3"/>
    <w:rsid w:val="008B3243"/>
    <w:rsid w:val="008B33BD"/>
    <w:rsid w:val="008B3642"/>
    <w:rsid w:val="008B366B"/>
    <w:rsid w:val="008B3694"/>
    <w:rsid w:val="008B37CC"/>
    <w:rsid w:val="008B3B31"/>
    <w:rsid w:val="008B3C08"/>
    <w:rsid w:val="008B3C74"/>
    <w:rsid w:val="008B3D1C"/>
    <w:rsid w:val="008B3D83"/>
    <w:rsid w:val="008B3DEB"/>
    <w:rsid w:val="008B3E82"/>
    <w:rsid w:val="008B40CC"/>
    <w:rsid w:val="008B4101"/>
    <w:rsid w:val="008B4166"/>
    <w:rsid w:val="008B4213"/>
    <w:rsid w:val="008B42FC"/>
    <w:rsid w:val="008B4384"/>
    <w:rsid w:val="008B43A7"/>
    <w:rsid w:val="008B43CF"/>
    <w:rsid w:val="008B43F7"/>
    <w:rsid w:val="008B47D0"/>
    <w:rsid w:val="008B494C"/>
    <w:rsid w:val="008B49D5"/>
    <w:rsid w:val="008B4A10"/>
    <w:rsid w:val="008B4A32"/>
    <w:rsid w:val="008B4A35"/>
    <w:rsid w:val="008B4BEC"/>
    <w:rsid w:val="008B4C1E"/>
    <w:rsid w:val="008B4F24"/>
    <w:rsid w:val="008B4FDD"/>
    <w:rsid w:val="008B52B8"/>
    <w:rsid w:val="008B559D"/>
    <w:rsid w:val="008B575C"/>
    <w:rsid w:val="008B575E"/>
    <w:rsid w:val="008B57C0"/>
    <w:rsid w:val="008B580C"/>
    <w:rsid w:val="008B583A"/>
    <w:rsid w:val="008B5BA3"/>
    <w:rsid w:val="008B5C44"/>
    <w:rsid w:val="008B5C53"/>
    <w:rsid w:val="008B5D1F"/>
    <w:rsid w:val="008B601C"/>
    <w:rsid w:val="008B60A0"/>
    <w:rsid w:val="008B61B8"/>
    <w:rsid w:val="008B62E3"/>
    <w:rsid w:val="008B6308"/>
    <w:rsid w:val="008B6363"/>
    <w:rsid w:val="008B6639"/>
    <w:rsid w:val="008B67D4"/>
    <w:rsid w:val="008B6A8A"/>
    <w:rsid w:val="008B6B78"/>
    <w:rsid w:val="008B6E4E"/>
    <w:rsid w:val="008B6EA1"/>
    <w:rsid w:val="008B6F1E"/>
    <w:rsid w:val="008B70BF"/>
    <w:rsid w:val="008B71E6"/>
    <w:rsid w:val="008B7283"/>
    <w:rsid w:val="008B72B6"/>
    <w:rsid w:val="008B72E9"/>
    <w:rsid w:val="008B733E"/>
    <w:rsid w:val="008B78C8"/>
    <w:rsid w:val="008B78ED"/>
    <w:rsid w:val="008B79BE"/>
    <w:rsid w:val="008B7AB7"/>
    <w:rsid w:val="008B7C12"/>
    <w:rsid w:val="008B7E43"/>
    <w:rsid w:val="008B7F7F"/>
    <w:rsid w:val="008C0163"/>
    <w:rsid w:val="008C019D"/>
    <w:rsid w:val="008C030E"/>
    <w:rsid w:val="008C056B"/>
    <w:rsid w:val="008C06AB"/>
    <w:rsid w:val="008C0777"/>
    <w:rsid w:val="008C0809"/>
    <w:rsid w:val="008C0A65"/>
    <w:rsid w:val="008C0B84"/>
    <w:rsid w:val="008C0CE6"/>
    <w:rsid w:val="008C0F27"/>
    <w:rsid w:val="008C0FAB"/>
    <w:rsid w:val="008C0FD5"/>
    <w:rsid w:val="008C1669"/>
    <w:rsid w:val="008C1711"/>
    <w:rsid w:val="008C182F"/>
    <w:rsid w:val="008C1843"/>
    <w:rsid w:val="008C1862"/>
    <w:rsid w:val="008C19BB"/>
    <w:rsid w:val="008C1ABB"/>
    <w:rsid w:val="008C1B21"/>
    <w:rsid w:val="008C1B61"/>
    <w:rsid w:val="008C1B9F"/>
    <w:rsid w:val="008C1CD1"/>
    <w:rsid w:val="008C1E4B"/>
    <w:rsid w:val="008C1F1D"/>
    <w:rsid w:val="008C1FBB"/>
    <w:rsid w:val="008C2141"/>
    <w:rsid w:val="008C2164"/>
    <w:rsid w:val="008C21A5"/>
    <w:rsid w:val="008C22C0"/>
    <w:rsid w:val="008C24E0"/>
    <w:rsid w:val="008C2511"/>
    <w:rsid w:val="008C2553"/>
    <w:rsid w:val="008C264C"/>
    <w:rsid w:val="008C266A"/>
    <w:rsid w:val="008C26E4"/>
    <w:rsid w:val="008C27F5"/>
    <w:rsid w:val="008C2929"/>
    <w:rsid w:val="008C2B88"/>
    <w:rsid w:val="008C2BFD"/>
    <w:rsid w:val="008C2C30"/>
    <w:rsid w:val="008C2C4C"/>
    <w:rsid w:val="008C2DAF"/>
    <w:rsid w:val="008C30E5"/>
    <w:rsid w:val="008C331D"/>
    <w:rsid w:val="008C346D"/>
    <w:rsid w:val="008C3626"/>
    <w:rsid w:val="008C372B"/>
    <w:rsid w:val="008C3773"/>
    <w:rsid w:val="008C38A0"/>
    <w:rsid w:val="008C3905"/>
    <w:rsid w:val="008C39FB"/>
    <w:rsid w:val="008C3AC9"/>
    <w:rsid w:val="008C3C12"/>
    <w:rsid w:val="008C3C92"/>
    <w:rsid w:val="008C3C9F"/>
    <w:rsid w:val="008C3DB0"/>
    <w:rsid w:val="008C3E1D"/>
    <w:rsid w:val="008C3F7D"/>
    <w:rsid w:val="008C416D"/>
    <w:rsid w:val="008C419B"/>
    <w:rsid w:val="008C4238"/>
    <w:rsid w:val="008C43C1"/>
    <w:rsid w:val="008C453A"/>
    <w:rsid w:val="008C4862"/>
    <w:rsid w:val="008C4879"/>
    <w:rsid w:val="008C4949"/>
    <w:rsid w:val="008C49D8"/>
    <w:rsid w:val="008C4BE5"/>
    <w:rsid w:val="008C4C3A"/>
    <w:rsid w:val="008C4D33"/>
    <w:rsid w:val="008C4E3B"/>
    <w:rsid w:val="008C4F44"/>
    <w:rsid w:val="008C52B2"/>
    <w:rsid w:val="008C52C3"/>
    <w:rsid w:val="008C53B5"/>
    <w:rsid w:val="008C53C5"/>
    <w:rsid w:val="008C57BD"/>
    <w:rsid w:val="008C5933"/>
    <w:rsid w:val="008C598F"/>
    <w:rsid w:val="008C5A4F"/>
    <w:rsid w:val="008C5A69"/>
    <w:rsid w:val="008C5B13"/>
    <w:rsid w:val="008C5B56"/>
    <w:rsid w:val="008C5CAA"/>
    <w:rsid w:val="008C5D22"/>
    <w:rsid w:val="008C6093"/>
    <w:rsid w:val="008C61F0"/>
    <w:rsid w:val="008C6408"/>
    <w:rsid w:val="008C65E9"/>
    <w:rsid w:val="008C664D"/>
    <w:rsid w:val="008C6875"/>
    <w:rsid w:val="008C699B"/>
    <w:rsid w:val="008C6A93"/>
    <w:rsid w:val="008C6C0B"/>
    <w:rsid w:val="008C6CA7"/>
    <w:rsid w:val="008C6CB5"/>
    <w:rsid w:val="008C6D76"/>
    <w:rsid w:val="008C6D93"/>
    <w:rsid w:val="008C6E1C"/>
    <w:rsid w:val="008C7166"/>
    <w:rsid w:val="008C72E8"/>
    <w:rsid w:val="008C751E"/>
    <w:rsid w:val="008C77A0"/>
    <w:rsid w:val="008C787E"/>
    <w:rsid w:val="008C790C"/>
    <w:rsid w:val="008C7C78"/>
    <w:rsid w:val="008C7DC4"/>
    <w:rsid w:val="008C7F5D"/>
    <w:rsid w:val="008D000E"/>
    <w:rsid w:val="008D00D4"/>
    <w:rsid w:val="008D02EF"/>
    <w:rsid w:val="008D05E9"/>
    <w:rsid w:val="008D0697"/>
    <w:rsid w:val="008D0C21"/>
    <w:rsid w:val="008D0C42"/>
    <w:rsid w:val="008D0CA3"/>
    <w:rsid w:val="008D0D65"/>
    <w:rsid w:val="008D0EDB"/>
    <w:rsid w:val="008D1149"/>
    <w:rsid w:val="008D123D"/>
    <w:rsid w:val="008D138A"/>
    <w:rsid w:val="008D16BD"/>
    <w:rsid w:val="008D1A6C"/>
    <w:rsid w:val="008D1AAA"/>
    <w:rsid w:val="008D1AE3"/>
    <w:rsid w:val="008D1BB1"/>
    <w:rsid w:val="008D1DF3"/>
    <w:rsid w:val="008D1E2B"/>
    <w:rsid w:val="008D20E7"/>
    <w:rsid w:val="008D2196"/>
    <w:rsid w:val="008D23D8"/>
    <w:rsid w:val="008D27E9"/>
    <w:rsid w:val="008D2810"/>
    <w:rsid w:val="008D2860"/>
    <w:rsid w:val="008D2BBB"/>
    <w:rsid w:val="008D2CC1"/>
    <w:rsid w:val="008D2FA3"/>
    <w:rsid w:val="008D2FC0"/>
    <w:rsid w:val="008D31DA"/>
    <w:rsid w:val="008D32AD"/>
    <w:rsid w:val="008D346B"/>
    <w:rsid w:val="008D38C3"/>
    <w:rsid w:val="008D390A"/>
    <w:rsid w:val="008D39DA"/>
    <w:rsid w:val="008D3CA9"/>
    <w:rsid w:val="008D3E80"/>
    <w:rsid w:val="008D3EC4"/>
    <w:rsid w:val="008D3EE2"/>
    <w:rsid w:val="008D3FB6"/>
    <w:rsid w:val="008D4041"/>
    <w:rsid w:val="008D4405"/>
    <w:rsid w:val="008D4470"/>
    <w:rsid w:val="008D455D"/>
    <w:rsid w:val="008D4596"/>
    <w:rsid w:val="008D4912"/>
    <w:rsid w:val="008D4D94"/>
    <w:rsid w:val="008D4ED5"/>
    <w:rsid w:val="008D5294"/>
    <w:rsid w:val="008D52CA"/>
    <w:rsid w:val="008D5341"/>
    <w:rsid w:val="008D537D"/>
    <w:rsid w:val="008D53AC"/>
    <w:rsid w:val="008D5559"/>
    <w:rsid w:val="008D5563"/>
    <w:rsid w:val="008D55F3"/>
    <w:rsid w:val="008D5856"/>
    <w:rsid w:val="008D59B3"/>
    <w:rsid w:val="008D5B71"/>
    <w:rsid w:val="008D5BD9"/>
    <w:rsid w:val="008D5E64"/>
    <w:rsid w:val="008D5EAF"/>
    <w:rsid w:val="008D5F7A"/>
    <w:rsid w:val="008D61CE"/>
    <w:rsid w:val="008D6242"/>
    <w:rsid w:val="008D643F"/>
    <w:rsid w:val="008D64C7"/>
    <w:rsid w:val="008D6847"/>
    <w:rsid w:val="008D6855"/>
    <w:rsid w:val="008D6B32"/>
    <w:rsid w:val="008D6BE6"/>
    <w:rsid w:val="008D6CF1"/>
    <w:rsid w:val="008D6E6A"/>
    <w:rsid w:val="008D6EBC"/>
    <w:rsid w:val="008D7318"/>
    <w:rsid w:val="008D74C6"/>
    <w:rsid w:val="008D74DF"/>
    <w:rsid w:val="008D74FD"/>
    <w:rsid w:val="008D75E9"/>
    <w:rsid w:val="008D7680"/>
    <w:rsid w:val="008D77A6"/>
    <w:rsid w:val="008D7BBF"/>
    <w:rsid w:val="008D7C7D"/>
    <w:rsid w:val="008D7E49"/>
    <w:rsid w:val="008D7FF9"/>
    <w:rsid w:val="008DF6EF"/>
    <w:rsid w:val="008E0078"/>
    <w:rsid w:val="008E00A9"/>
    <w:rsid w:val="008E01B7"/>
    <w:rsid w:val="008E01F6"/>
    <w:rsid w:val="008E0307"/>
    <w:rsid w:val="008E032D"/>
    <w:rsid w:val="008E0484"/>
    <w:rsid w:val="008E0598"/>
    <w:rsid w:val="008E065B"/>
    <w:rsid w:val="008E08BB"/>
    <w:rsid w:val="008E09F2"/>
    <w:rsid w:val="008E0BB0"/>
    <w:rsid w:val="008E0D95"/>
    <w:rsid w:val="008E126F"/>
    <w:rsid w:val="008E1402"/>
    <w:rsid w:val="008E14B8"/>
    <w:rsid w:val="008E15E3"/>
    <w:rsid w:val="008E1607"/>
    <w:rsid w:val="008E195B"/>
    <w:rsid w:val="008E1B4B"/>
    <w:rsid w:val="008E1B4C"/>
    <w:rsid w:val="008E1C88"/>
    <w:rsid w:val="008E1CF5"/>
    <w:rsid w:val="008E1FBE"/>
    <w:rsid w:val="008E2375"/>
    <w:rsid w:val="008E23C4"/>
    <w:rsid w:val="008E2878"/>
    <w:rsid w:val="008E28D3"/>
    <w:rsid w:val="008E2958"/>
    <w:rsid w:val="008E2BC7"/>
    <w:rsid w:val="008E2DD1"/>
    <w:rsid w:val="008E312A"/>
    <w:rsid w:val="008E319E"/>
    <w:rsid w:val="008E377F"/>
    <w:rsid w:val="008E37A4"/>
    <w:rsid w:val="008E391D"/>
    <w:rsid w:val="008E3A3F"/>
    <w:rsid w:val="008E3C3D"/>
    <w:rsid w:val="008E3C40"/>
    <w:rsid w:val="008E3C78"/>
    <w:rsid w:val="008E3E3B"/>
    <w:rsid w:val="008E410C"/>
    <w:rsid w:val="008E4139"/>
    <w:rsid w:val="008E4189"/>
    <w:rsid w:val="008E427B"/>
    <w:rsid w:val="008E42BC"/>
    <w:rsid w:val="008E44C1"/>
    <w:rsid w:val="008E4612"/>
    <w:rsid w:val="008E4861"/>
    <w:rsid w:val="008E4935"/>
    <w:rsid w:val="008E4A38"/>
    <w:rsid w:val="008E4A83"/>
    <w:rsid w:val="008E4C08"/>
    <w:rsid w:val="008E4D34"/>
    <w:rsid w:val="008E4D8A"/>
    <w:rsid w:val="008E50E4"/>
    <w:rsid w:val="008E5156"/>
    <w:rsid w:val="008E5164"/>
    <w:rsid w:val="008E5193"/>
    <w:rsid w:val="008E51E3"/>
    <w:rsid w:val="008E51EA"/>
    <w:rsid w:val="008E54BE"/>
    <w:rsid w:val="008E556F"/>
    <w:rsid w:val="008E5660"/>
    <w:rsid w:val="008E5706"/>
    <w:rsid w:val="008E583F"/>
    <w:rsid w:val="008E593E"/>
    <w:rsid w:val="008E60FD"/>
    <w:rsid w:val="008E63FB"/>
    <w:rsid w:val="008E6C29"/>
    <w:rsid w:val="008E6D66"/>
    <w:rsid w:val="008E6D79"/>
    <w:rsid w:val="008E7081"/>
    <w:rsid w:val="008E72AE"/>
    <w:rsid w:val="008E7318"/>
    <w:rsid w:val="008E7408"/>
    <w:rsid w:val="008E742D"/>
    <w:rsid w:val="008E7443"/>
    <w:rsid w:val="008E7519"/>
    <w:rsid w:val="008E7590"/>
    <w:rsid w:val="008E7592"/>
    <w:rsid w:val="008E75CD"/>
    <w:rsid w:val="008E77C5"/>
    <w:rsid w:val="008E7816"/>
    <w:rsid w:val="008E7823"/>
    <w:rsid w:val="008E7861"/>
    <w:rsid w:val="008E7865"/>
    <w:rsid w:val="008E7933"/>
    <w:rsid w:val="008E7ABF"/>
    <w:rsid w:val="008E7DAB"/>
    <w:rsid w:val="008E7FB4"/>
    <w:rsid w:val="008E7FD9"/>
    <w:rsid w:val="008F00A4"/>
    <w:rsid w:val="008F022D"/>
    <w:rsid w:val="008F0260"/>
    <w:rsid w:val="008F028D"/>
    <w:rsid w:val="008F0292"/>
    <w:rsid w:val="008F031F"/>
    <w:rsid w:val="008F065B"/>
    <w:rsid w:val="008F079F"/>
    <w:rsid w:val="008F08DF"/>
    <w:rsid w:val="008F0A84"/>
    <w:rsid w:val="008F0B52"/>
    <w:rsid w:val="008F0F37"/>
    <w:rsid w:val="008F169F"/>
    <w:rsid w:val="008F16E8"/>
    <w:rsid w:val="008F1759"/>
    <w:rsid w:val="008F17B3"/>
    <w:rsid w:val="008F1836"/>
    <w:rsid w:val="008F1963"/>
    <w:rsid w:val="008F1A2C"/>
    <w:rsid w:val="008F1BBE"/>
    <w:rsid w:val="008F1E36"/>
    <w:rsid w:val="008F1F5E"/>
    <w:rsid w:val="008F1F74"/>
    <w:rsid w:val="008F22FB"/>
    <w:rsid w:val="008F2336"/>
    <w:rsid w:val="008F245A"/>
    <w:rsid w:val="008F2600"/>
    <w:rsid w:val="008F2669"/>
    <w:rsid w:val="008F2691"/>
    <w:rsid w:val="008F2B46"/>
    <w:rsid w:val="008F2C6E"/>
    <w:rsid w:val="008F2CAB"/>
    <w:rsid w:val="008F2CEB"/>
    <w:rsid w:val="008F2DE1"/>
    <w:rsid w:val="008F2DFB"/>
    <w:rsid w:val="008F2F89"/>
    <w:rsid w:val="008F304A"/>
    <w:rsid w:val="008F3072"/>
    <w:rsid w:val="008F3156"/>
    <w:rsid w:val="008F328E"/>
    <w:rsid w:val="008F3415"/>
    <w:rsid w:val="008F34EA"/>
    <w:rsid w:val="008F364E"/>
    <w:rsid w:val="008F3987"/>
    <w:rsid w:val="008F39A9"/>
    <w:rsid w:val="008F3A67"/>
    <w:rsid w:val="008F3B65"/>
    <w:rsid w:val="008F3B88"/>
    <w:rsid w:val="008F3D12"/>
    <w:rsid w:val="008F4327"/>
    <w:rsid w:val="008F4362"/>
    <w:rsid w:val="008F43C4"/>
    <w:rsid w:val="008F4554"/>
    <w:rsid w:val="008F4651"/>
    <w:rsid w:val="008F4786"/>
    <w:rsid w:val="008F4A16"/>
    <w:rsid w:val="008F4BCA"/>
    <w:rsid w:val="008F4BE0"/>
    <w:rsid w:val="008F4C19"/>
    <w:rsid w:val="008F4E15"/>
    <w:rsid w:val="008F4E9D"/>
    <w:rsid w:val="008F508E"/>
    <w:rsid w:val="008F54A1"/>
    <w:rsid w:val="008F551A"/>
    <w:rsid w:val="008F55C4"/>
    <w:rsid w:val="008F581F"/>
    <w:rsid w:val="008F5856"/>
    <w:rsid w:val="008F59D9"/>
    <w:rsid w:val="008F59E0"/>
    <w:rsid w:val="008F5E30"/>
    <w:rsid w:val="008F60A1"/>
    <w:rsid w:val="008F60F0"/>
    <w:rsid w:val="008F62BE"/>
    <w:rsid w:val="008F644B"/>
    <w:rsid w:val="008F685F"/>
    <w:rsid w:val="008F6B89"/>
    <w:rsid w:val="008F6D40"/>
    <w:rsid w:val="008F6DF7"/>
    <w:rsid w:val="008F6EA5"/>
    <w:rsid w:val="008F7156"/>
    <w:rsid w:val="008F71FC"/>
    <w:rsid w:val="008F7222"/>
    <w:rsid w:val="008F72BD"/>
    <w:rsid w:val="008F73A3"/>
    <w:rsid w:val="008F752B"/>
    <w:rsid w:val="008F756C"/>
    <w:rsid w:val="008F75CE"/>
    <w:rsid w:val="008F76BA"/>
    <w:rsid w:val="008F76F0"/>
    <w:rsid w:val="008F7882"/>
    <w:rsid w:val="008F78F2"/>
    <w:rsid w:val="008F7958"/>
    <w:rsid w:val="008F79D4"/>
    <w:rsid w:val="008F7B81"/>
    <w:rsid w:val="008F7CFD"/>
    <w:rsid w:val="008F7EC6"/>
    <w:rsid w:val="008F7F37"/>
    <w:rsid w:val="009000D5"/>
    <w:rsid w:val="00900129"/>
    <w:rsid w:val="00900339"/>
    <w:rsid w:val="0090038D"/>
    <w:rsid w:val="00900450"/>
    <w:rsid w:val="009006AA"/>
    <w:rsid w:val="009006E5"/>
    <w:rsid w:val="009008A9"/>
    <w:rsid w:val="0090093C"/>
    <w:rsid w:val="009009D9"/>
    <w:rsid w:val="00900DC4"/>
    <w:rsid w:val="00900E6E"/>
    <w:rsid w:val="00901074"/>
    <w:rsid w:val="0090138C"/>
    <w:rsid w:val="0090140F"/>
    <w:rsid w:val="0090151B"/>
    <w:rsid w:val="0090170B"/>
    <w:rsid w:val="009017C5"/>
    <w:rsid w:val="0090183C"/>
    <w:rsid w:val="009019F2"/>
    <w:rsid w:val="00901D86"/>
    <w:rsid w:val="00901EEA"/>
    <w:rsid w:val="00901EF9"/>
    <w:rsid w:val="00901F0D"/>
    <w:rsid w:val="0090207C"/>
    <w:rsid w:val="00902420"/>
    <w:rsid w:val="00902481"/>
    <w:rsid w:val="00902583"/>
    <w:rsid w:val="0090259D"/>
    <w:rsid w:val="00902680"/>
    <w:rsid w:val="00902858"/>
    <w:rsid w:val="00902A4C"/>
    <w:rsid w:val="00902AE4"/>
    <w:rsid w:val="00902C2F"/>
    <w:rsid w:val="00902CA3"/>
    <w:rsid w:val="00902D8F"/>
    <w:rsid w:val="00902E78"/>
    <w:rsid w:val="00902F55"/>
    <w:rsid w:val="0090303D"/>
    <w:rsid w:val="0090305E"/>
    <w:rsid w:val="00903169"/>
    <w:rsid w:val="009031C5"/>
    <w:rsid w:val="009033A6"/>
    <w:rsid w:val="009037A1"/>
    <w:rsid w:val="009037C7"/>
    <w:rsid w:val="00903A30"/>
    <w:rsid w:val="00903A37"/>
    <w:rsid w:val="00903A75"/>
    <w:rsid w:val="00903B56"/>
    <w:rsid w:val="00903BA9"/>
    <w:rsid w:val="00903C6E"/>
    <w:rsid w:val="00903EB7"/>
    <w:rsid w:val="009042FC"/>
    <w:rsid w:val="0090446B"/>
    <w:rsid w:val="0090447C"/>
    <w:rsid w:val="00904498"/>
    <w:rsid w:val="0090469E"/>
    <w:rsid w:val="00904878"/>
    <w:rsid w:val="00904A4B"/>
    <w:rsid w:val="00904B54"/>
    <w:rsid w:val="00904DE2"/>
    <w:rsid w:val="00904E13"/>
    <w:rsid w:val="00904E75"/>
    <w:rsid w:val="00905143"/>
    <w:rsid w:val="009055F6"/>
    <w:rsid w:val="00905634"/>
    <w:rsid w:val="00905730"/>
    <w:rsid w:val="009058C0"/>
    <w:rsid w:val="009059D1"/>
    <w:rsid w:val="00905CE6"/>
    <w:rsid w:val="00905D92"/>
    <w:rsid w:val="00905E09"/>
    <w:rsid w:val="009060F6"/>
    <w:rsid w:val="009061A6"/>
    <w:rsid w:val="0090626E"/>
    <w:rsid w:val="009062C4"/>
    <w:rsid w:val="00906424"/>
    <w:rsid w:val="009066E5"/>
    <w:rsid w:val="00906892"/>
    <w:rsid w:val="00906BDB"/>
    <w:rsid w:val="00906C08"/>
    <w:rsid w:val="00906CC9"/>
    <w:rsid w:val="00906E9D"/>
    <w:rsid w:val="009070D2"/>
    <w:rsid w:val="0090714B"/>
    <w:rsid w:val="00907253"/>
    <w:rsid w:val="009072D4"/>
    <w:rsid w:val="00907551"/>
    <w:rsid w:val="00907643"/>
    <w:rsid w:val="00907A35"/>
    <w:rsid w:val="00907A5D"/>
    <w:rsid w:val="00907DCD"/>
    <w:rsid w:val="009100E7"/>
    <w:rsid w:val="00910135"/>
    <w:rsid w:val="009101C4"/>
    <w:rsid w:val="00910224"/>
    <w:rsid w:val="0091022F"/>
    <w:rsid w:val="0091025C"/>
    <w:rsid w:val="009102E5"/>
    <w:rsid w:val="00910683"/>
    <w:rsid w:val="009106C6"/>
    <w:rsid w:val="0091090E"/>
    <w:rsid w:val="009109EB"/>
    <w:rsid w:val="00910C29"/>
    <w:rsid w:val="00910E97"/>
    <w:rsid w:val="00910F8D"/>
    <w:rsid w:val="0091113C"/>
    <w:rsid w:val="00911294"/>
    <w:rsid w:val="0091129A"/>
    <w:rsid w:val="00911333"/>
    <w:rsid w:val="00911607"/>
    <w:rsid w:val="009116E8"/>
    <w:rsid w:val="009116F6"/>
    <w:rsid w:val="00911963"/>
    <w:rsid w:val="00911BD8"/>
    <w:rsid w:val="00911CF3"/>
    <w:rsid w:val="00911FA2"/>
    <w:rsid w:val="0091209F"/>
    <w:rsid w:val="00912197"/>
    <w:rsid w:val="00912264"/>
    <w:rsid w:val="009122F3"/>
    <w:rsid w:val="00912334"/>
    <w:rsid w:val="00912611"/>
    <w:rsid w:val="00912702"/>
    <w:rsid w:val="00912AA1"/>
    <w:rsid w:val="00912B55"/>
    <w:rsid w:val="00912B9E"/>
    <w:rsid w:val="00912BD9"/>
    <w:rsid w:val="00912C80"/>
    <w:rsid w:val="00912CFA"/>
    <w:rsid w:val="00912E25"/>
    <w:rsid w:val="00912F93"/>
    <w:rsid w:val="0091312C"/>
    <w:rsid w:val="00913137"/>
    <w:rsid w:val="009131BD"/>
    <w:rsid w:val="009131CB"/>
    <w:rsid w:val="00913255"/>
    <w:rsid w:val="0091339A"/>
    <w:rsid w:val="009134C3"/>
    <w:rsid w:val="00913693"/>
    <w:rsid w:val="0091372F"/>
    <w:rsid w:val="009137C5"/>
    <w:rsid w:val="009137C8"/>
    <w:rsid w:val="009139FF"/>
    <w:rsid w:val="00913A40"/>
    <w:rsid w:val="00913B5C"/>
    <w:rsid w:val="00913C14"/>
    <w:rsid w:val="00913C89"/>
    <w:rsid w:val="00913FC4"/>
    <w:rsid w:val="00914061"/>
    <w:rsid w:val="00914152"/>
    <w:rsid w:val="00914334"/>
    <w:rsid w:val="0091435D"/>
    <w:rsid w:val="0091437B"/>
    <w:rsid w:val="0091479F"/>
    <w:rsid w:val="00914B70"/>
    <w:rsid w:val="00914BD8"/>
    <w:rsid w:val="00914C65"/>
    <w:rsid w:val="00914CB0"/>
    <w:rsid w:val="00914CF3"/>
    <w:rsid w:val="00914D1E"/>
    <w:rsid w:val="00914DD8"/>
    <w:rsid w:val="00914E6F"/>
    <w:rsid w:val="009152B6"/>
    <w:rsid w:val="00915369"/>
    <w:rsid w:val="0091545F"/>
    <w:rsid w:val="0091550F"/>
    <w:rsid w:val="00915B6A"/>
    <w:rsid w:val="00915CD0"/>
    <w:rsid w:val="00915E12"/>
    <w:rsid w:val="00915FEA"/>
    <w:rsid w:val="009160D4"/>
    <w:rsid w:val="0091633B"/>
    <w:rsid w:val="0091639E"/>
    <w:rsid w:val="00916404"/>
    <w:rsid w:val="0091661F"/>
    <w:rsid w:val="009167A1"/>
    <w:rsid w:val="009167B5"/>
    <w:rsid w:val="0091681E"/>
    <w:rsid w:val="009169DE"/>
    <w:rsid w:val="00916A83"/>
    <w:rsid w:val="00916AD8"/>
    <w:rsid w:val="00916ADF"/>
    <w:rsid w:val="00916AE1"/>
    <w:rsid w:val="0091702E"/>
    <w:rsid w:val="009170C8"/>
    <w:rsid w:val="009170D9"/>
    <w:rsid w:val="009170F8"/>
    <w:rsid w:val="0091745C"/>
    <w:rsid w:val="0091778D"/>
    <w:rsid w:val="00917A33"/>
    <w:rsid w:val="00917C5A"/>
    <w:rsid w:val="00917C61"/>
    <w:rsid w:val="00917F98"/>
    <w:rsid w:val="00917FF0"/>
    <w:rsid w:val="009200C0"/>
    <w:rsid w:val="009201F7"/>
    <w:rsid w:val="00920445"/>
    <w:rsid w:val="009205DC"/>
    <w:rsid w:val="009206EA"/>
    <w:rsid w:val="009207EC"/>
    <w:rsid w:val="0092081F"/>
    <w:rsid w:val="00920820"/>
    <w:rsid w:val="0092089C"/>
    <w:rsid w:val="00920BEC"/>
    <w:rsid w:val="00920FEA"/>
    <w:rsid w:val="0092103A"/>
    <w:rsid w:val="009212CD"/>
    <w:rsid w:val="0092149D"/>
    <w:rsid w:val="0092154B"/>
    <w:rsid w:val="00921693"/>
    <w:rsid w:val="0092176F"/>
    <w:rsid w:val="0092178E"/>
    <w:rsid w:val="0092190A"/>
    <w:rsid w:val="00921A54"/>
    <w:rsid w:val="00921A5D"/>
    <w:rsid w:val="00921C93"/>
    <w:rsid w:val="00921D2E"/>
    <w:rsid w:val="00922109"/>
    <w:rsid w:val="00922138"/>
    <w:rsid w:val="00922209"/>
    <w:rsid w:val="00922683"/>
    <w:rsid w:val="0092283A"/>
    <w:rsid w:val="00922BFF"/>
    <w:rsid w:val="00922D09"/>
    <w:rsid w:val="00922D2A"/>
    <w:rsid w:val="00922F88"/>
    <w:rsid w:val="00922FCF"/>
    <w:rsid w:val="009234C2"/>
    <w:rsid w:val="009235CA"/>
    <w:rsid w:val="00923889"/>
    <w:rsid w:val="009238ED"/>
    <w:rsid w:val="00923906"/>
    <w:rsid w:val="00923968"/>
    <w:rsid w:val="00923B27"/>
    <w:rsid w:val="00923E13"/>
    <w:rsid w:val="00923FF3"/>
    <w:rsid w:val="0092405B"/>
    <w:rsid w:val="009240B9"/>
    <w:rsid w:val="0092412D"/>
    <w:rsid w:val="009241D2"/>
    <w:rsid w:val="009241D8"/>
    <w:rsid w:val="009243EA"/>
    <w:rsid w:val="00924427"/>
    <w:rsid w:val="00924437"/>
    <w:rsid w:val="00924653"/>
    <w:rsid w:val="009249B7"/>
    <w:rsid w:val="00924A2E"/>
    <w:rsid w:val="00924CBC"/>
    <w:rsid w:val="00924E24"/>
    <w:rsid w:val="00925062"/>
    <w:rsid w:val="009252B7"/>
    <w:rsid w:val="0092532C"/>
    <w:rsid w:val="009254BA"/>
    <w:rsid w:val="0092552B"/>
    <w:rsid w:val="00925649"/>
    <w:rsid w:val="0092566D"/>
    <w:rsid w:val="00925767"/>
    <w:rsid w:val="00925818"/>
    <w:rsid w:val="00925B36"/>
    <w:rsid w:val="00925BB3"/>
    <w:rsid w:val="00925CB5"/>
    <w:rsid w:val="00925EFB"/>
    <w:rsid w:val="009260B7"/>
    <w:rsid w:val="009263C4"/>
    <w:rsid w:val="00926566"/>
    <w:rsid w:val="009265CA"/>
    <w:rsid w:val="00926710"/>
    <w:rsid w:val="0092687E"/>
    <w:rsid w:val="00926933"/>
    <w:rsid w:val="00926A4C"/>
    <w:rsid w:val="00926BAE"/>
    <w:rsid w:val="00926DFE"/>
    <w:rsid w:val="00926EC2"/>
    <w:rsid w:val="00926ECE"/>
    <w:rsid w:val="00926ED8"/>
    <w:rsid w:val="00926EF7"/>
    <w:rsid w:val="00927006"/>
    <w:rsid w:val="00927043"/>
    <w:rsid w:val="0092715A"/>
    <w:rsid w:val="0092754C"/>
    <w:rsid w:val="009276B4"/>
    <w:rsid w:val="00927725"/>
    <w:rsid w:val="0092773A"/>
    <w:rsid w:val="00927800"/>
    <w:rsid w:val="009279A9"/>
    <w:rsid w:val="00927A51"/>
    <w:rsid w:val="00927A76"/>
    <w:rsid w:val="00927BB4"/>
    <w:rsid w:val="00927BBD"/>
    <w:rsid w:val="00927C38"/>
    <w:rsid w:val="00927C43"/>
    <w:rsid w:val="00927E96"/>
    <w:rsid w:val="00930174"/>
    <w:rsid w:val="009303FC"/>
    <w:rsid w:val="009304E9"/>
    <w:rsid w:val="0093064C"/>
    <w:rsid w:val="00930A20"/>
    <w:rsid w:val="00930A45"/>
    <w:rsid w:val="00930A5A"/>
    <w:rsid w:val="00930ADA"/>
    <w:rsid w:val="00930B65"/>
    <w:rsid w:val="00930F3E"/>
    <w:rsid w:val="00931098"/>
    <w:rsid w:val="00931166"/>
    <w:rsid w:val="0093145F"/>
    <w:rsid w:val="00931586"/>
    <w:rsid w:val="00931698"/>
    <w:rsid w:val="00931814"/>
    <w:rsid w:val="009318CF"/>
    <w:rsid w:val="009318F0"/>
    <w:rsid w:val="00931D21"/>
    <w:rsid w:val="00931E4A"/>
    <w:rsid w:val="00931E9C"/>
    <w:rsid w:val="00931FF0"/>
    <w:rsid w:val="0093204B"/>
    <w:rsid w:val="009321E6"/>
    <w:rsid w:val="00932219"/>
    <w:rsid w:val="009322B4"/>
    <w:rsid w:val="0093239C"/>
    <w:rsid w:val="0093254F"/>
    <w:rsid w:val="00932683"/>
    <w:rsid w:val="009328D0"/>
    <w:rsid w:val="00932A3F"/>
    <w:rsid w:val="00932B77"/>
    <w:rsid w:val="00932CE7"/>
    <w:rsid w:val="00932D21"/>
    <w:rsid w:val="00932E32"/>
    <w:rsid w:val="00932EE6"/>
    <w:rsid w:val="00932F1C"/>
    <w:rsid w:val="0093302C"/>
    <w:rsid w:val="009330C1"/>
    <w:rsid w:val="0093350A"/>
    <w:rsid w:val="009335A5"/>
    <w:rsid w:val="009335FE"/>
    <w:rsid w:val="009337DB"/>
    <w:rsid w:val="00933EA2"/>
    <w:rsid w:val="00933F17"/>
    <w:rsid w:val="00933F29"/>
    <w:rsid w:val="00934246"/>
    <w:rsid w:val="00934712"/>
    <w:rsid w:val="009347B7"/>
    <w:rsid w:val="00934827"/>
    <w:rsid w:val="00934A88"/>
    <w:rsid w:val="00934AD6"/>
    <w:rsid w:val="00934D3B"/>
    <w:rsid w:val="00934D54"/>
    <w:rsid w:val="00934D8C"/>
    <w:rsid w:val="00934DA8"/>
    <w:rsid w:val="00934DA9"/>
    <w:rsid w:val="00934F97"/>
    <w:rsid w:val="00934FDD"/>
    <w:rsid w:val="009350FB"/>
    <w:rsid w:val="0093512A"/>
    <w:rsid w:val="00935150"/>
    <w:rsid w:val="009354CA"/>
    <w:rsid w:val="009355EE"/>
    <w:rsid w:val="00935653"/>
    <w:rsid w:val="00935D1C"/>
    <w:rsid w:val="00935DCC"/>
    <w:rsid w:val="00935E90"/>
    <w:rsid w:val="00935F84"/>
    <w:rsid w:val="00936049"/>
    <w:rsid w:val="0093604E"/>
    <w:rsid w:val="0093633E"/>
    <w:rsid w:val="0093684C"/>
    <w:rsid w:val="0093691D"/>
    <w:rsid w:val="00936971"/>
    <w:rsid w:val="00936AC1"/>
    <w:rsid w:val="00936B4A"/>
    <w:rsid w:val="00936B86"/>
    <w:rsid w:val="00936FD1"/>
    <w:rsid w:val="009373E0"/>
    <w:rsid w:val="009373E3"/>
    <w:rsid w:val="009376A7"/>
    <w:rsid w:val="00937DE3"/>
    <w:rsid w:val="00940038"/>
    <w:rsid w:val="00940110"/>
    <w:rsid w:val="0094015A"/>
    <w:rsid w:val="0094037C"/>
    <w:rsid w:val="00940775"/>
    <w:rsid w:val="009407C1"/>
    <w:rsid w:val="009407F1"/>
    <w:rsid w:val="00940882"/>
    <w:rsid w:val="00940891"/>
    <w:rsid w:val="009409D2"/>
    <w:rsid w:val="00940A88"/>
    <w:rsid w:val="00940AD6"/>
    <w:rsid w:val="00940B08"/>
    <w:rsid w:val="00940D2A"/>
    <w:rsid w:val="009411F9"/>
    <w:rsid w:val="00941227"/>
    <w:rsid w:val="009418A7"/>
    <w:rsid w:val="00941989"/>
    <w:rsid w:val="00941A5E"/>
    <w:rsid w:val="00941C59"/>
    <w:rsid w:val="00941E43"/>
    <w:rsid w:val="00941E67"/>
    <w:rsid w:val="0094223A"/>
    <w:rsid w:val="009428AB"/>
    <w:rsid w:val="00942A2E"/>
    <w:rsid w:val="00942A60"/>
    <w:rsid w:val="00942B46"/>
    <w:rsid w:val="00942B82"/>
    <w:rsid w:val="00942C56"/>
    <w:rsid w:val="00942C63"/>
    <w:rsid w:val="00942CD6"/>
    <w:rsid w:val="00942FCF"/>
    <w:rsid w:val="00943032"/>
    <w:rsid w:val="00943041"/>
    <w:rsid w:val="0094311D"/>
    <w:rsid w:val="009432B6"/>
    <w:rsid w:val="009433AC"/>
    <w:rsid w:val="009433CE"/>
    <w:rsid w:val="00943449"/>
    <w:rsid w:val="00943487"/>
    <w:rsid w:val="009435A0"/>
    <w:rsid w:val="00943602"/>
    <w:rsid w:val="009439C7"/>
    <w:rsid w:val="00943AB8"/>
    <w:rsid w:val="00943FD3"/>
    <w:rsid w:val="0094417A"/>
    <w:rsid w:val="00944288"/>
    <w:rsid w:val="009442E1"/>
    <w:rsid w:val="0094435F"/>
    <w:rsid w:val="009445ED"/>
    <w:rsid w:val="0094477F"/>
    <w:rsid w:val="0094478E"/>
    <w:rsid w:val="009448E0"/>
    <w:rsid w:val="00944E67"/>
    <w:rsid w:val="00944F30"/>
    <w:rsid w:val="00944F5E"/>
    <w:rsid w:val="00945021"/>
    <w:rsid w:val="0094506B"/>
    <w:rsid w:val="00945220"/>
    <w:rsid w:val="009452BA"/>
    <w:rsid w:val="009453C5"/>
    <w:rsid w:val="0094545C"/>
    <w:rsid w:val="009455E8"/>
    <w:rsid w:val="0094561A"/>
    <w:rsid w:val="0094563D"/>
    <w:rsid w:val="00945B0B"/>
    <w:rsid w:val="00945B60"/>
    <w:rsid w:val="00945D87"/>
    <w:rsid w:val="00945DA7"/>
    <w:rsid w:val="00945E09"/>
    <w:rsid w:val="00946214"/>
    <w:rsid w:val="00946264"/>
    <w:rsid w:val="0094637C"/>
    <w:rsid w:val="009463C1"/>
    <w:rsid w:val="00946909"/>
    <w:rsid w:val="0094693E"/>
    <w:rsid w:val="009469BC"/>
    <w:rsid w:val="00946BA6"/>
    <w:rsid w:val="00946C23"/>
    <w:rsid w:val="00946D1E"/>
    <w:rsid w:val="00946D35"/>
    <w:rsid w:val="00946DAF"/>
    <w:rsid w:val="00946DCE"/>
    <w:rsid w:val="00946E69"/>
    <w:rsid w:val="00946F39"/>
    <w:rsid w:val="00946FD3"/>
    <w:rsid w:val="009470A7"/>
    <w:rsid w:val="009470BF"/>
    <w:rsid w:val="009472B1"/>
    <w:rsid w:val="0094731B"/>
    <w:rsid w:val="009477F1"/>
    <w:rsid w:val="00947898"/>
    <w:rsid w:val="00947EF3"/>
    <w:rsid w:val="00947F27"/>
    <w:rsid w:val="00947F91"/>
    <w:rsid w:val="00947FF8"/>
    <w:rsid w:val="009500E9"/>
    <w:rsid w:val="00950114"/>
    <w:rsid w:val="009501D0"/>
    <w:rsid w:val="009502F2"/>
    <w:rsid w:val="00950429"/>
    <w:rsid w:val="009504D2"/>
    <w:rsid w:val="009504D6"/>
    <w:rsid w:val="0095058E"/>
    <w:rsid w:val="0095089F"/>
    <w:rsid w:val="00950974"/>
    <w:rsid w:val="009509F6"/>
    <w:rsid w:val="00950B70"/>
    <w:rsid w:val="00950BCD"/>
    <w:rsid w:val="00950C26"/>
    <w:rsid w:val="00950D2D"/>
    <w:rsid w:val="00950D38"/>
    <w:rsid w:val="00950D8B"/>
    <w:rsid w:val="00950F6A"/>
    <w:rsid w:val="00951059"/>
    <w:rsid w:val="00951160"/>
    <w:rsid w:val="009512AB"/>
    <w:rsid w:val="00951398"/>
    <w:rsid w:val="00951529"/>
    <w:rsid w:val="00951732"/>
    <w:rsid w:val="00951795"/>
    <w:rsid w:val="00951839"/>
    <w:rsid w:val="00951AE1"/>
    <w:rsid w:val="00951DCB"/>
    <w:rsid w:val="00951E04"/>
    <w:rsid w:val="00951EA6"/>
    <w:rsid w:val="00951EBD"/>
    <w:rsid w:val="00951F37"/>
    <w:rsid w:val="009520E6"/>
    <w:rsid w:val="009521F3"/>
    <w:rsid w:val="0095228C"/>
    <w:rsid w:val="009523E6"/>
    <w:rsid w:val="00952664"/>
    <w:rsid w:val="0095276B"/>
    <w:rsid w:val="009528A0"/>
    <w:rsid w:val="00952937"/>
    <w:rsid w:val="00952992"/>
    <w:rsid w:val="00952ACD"/>
    <w:rsid w:val="00952B08"/>
    <w:rsid w:val="00952F16"/>
    <w:rsid w:val="00952F58"/>
    <w:rsid w:val="00952F9D"/>
    <w:rsid w:val="009530F5"/>
    <w:rsid w:val="00953285"/>
    <w:rsid w:val="00953336"/>
    <w:rsid w:val="0095334C"/>
    <w:rsid w:val="009533C5"/>
    <w:rsid w:val="0095397C"/>
    <w:rsid w:val="00953A15"/>
    <w:rsid w:val="00953C36"/>
    <w:rsid w:val="00953DBD"/>
    <w:rsid w:val="00953EDC"/>
    <w:rsid w:val="00953F51"/>
    <w:rsid w:val="00953FEC"/>
    <w:rsid w:val="009541A8"/>
    <w:rsid w:val="009542A3"/>
    <w:rsid w:val="009543EF"/>
    <w:rsid w:val="0095448E"/>
    <w:rsid w:val="0095466D"/>
    <w:rsid w:val="00954867"/>
    <w:rsid w:val="00954A2A"/>
    <w:rsid w:val="00954A3D"/>
    <w:rsid w:val="00954B5E"/>
    <w:rsid w:val="00954B84"/>
    <w:rsid w:val="00954C45"/>
    <w:rsid w:val="00954DEC"/>
    <w:rsid w:val="00955060"/>
    <w:rsid w:val="0095536A"/>
    <w:rsid w:val="0095537E"/>
    <w:rsid w:val="009553CF"/>
    <w:rsid w:val="009554C6"/>
    <w:rsid w:val="009558CE"/>
    <w:rsid w:val="00955931"/>
    <w:rsid w:val="009559B0"/>
    <w:rsid w:val="009559E5"/>
    <w:rsid w:val="00955A1E"/>
    <w:rsid w:val="00955AE6"/>
    <w:rsid w:val="00955C07"/>
    <w:rsid w:val="00955C5D"/>
    <w:rsid w:val="00955CEC"/>
    <w:rsid w:val="00955D83"/>
    <w:rsid w:val="00955E33"/>
    <w:rsid w:val="00955E39"/>
    <w:rsid w:val="00956130"/>
    <w:rsid w:val="0095634C"/>
    <w:rsid w:val="0095637C"/>
    <w:rsid w:val="00956AD5"/>
    <w:rsid w:val="00956AF3"/>
    <w:rsid w:val="00956B74"/>
    <w:rsid w:val="00956D09"/>
    <w:rsid w:val="009571B8"/>
    <w:rsid w:val="00957251"/>
    <w:rsid w:val="00957282"/>
    <w:rsid w:val="009577F4"/>
    <w:rsid w:val="00957965"/>
    <w:rsid w:val="00957AD5"/>
    <w:rsid w:val="00957BF7"/>
    <w:rsid w:val="00957C36"/>
    <w:rsid w:val="00957D16"/>
    <w:rsid w:val="00957D3D"/>
    <w:rsid w:val="00957D82"/>
    <w:rsid w:val="00957DB9"/>
    <w:rsid w:val="00957DF9"/>
    <w:rsid w:val="00960009"/>
    <w:rsid w:val="00960069"/>
    <w:rsid w:val="009600BD"/>
    <w:rsid w:val="0096010E"/>
    <w:rsid w:val="009602B6"/>
    <w:rsid w:val="00960375"/>
    <w:rsid w:val="00960471"/>
    <w:rsid w:val="00960481"/>
    <w:rsid w:val="00960518"/>
    <w:rsid w:val="00960535"/>
    <w:rsid w:val="00960579"/>
    <w:rsid w:val="009606B0"/>
    <w:rsid w:val="00960723"/>
    <w:rsid w:val="0096082E"/>
    <w:rsid w:val="00960899"/>
    <w:rsid w:val="00960B01"/>
    <w:rsid w:val="00960BD1"/>
    <w:rsid w:val="00960CE4"/>
    <w:rsid w:val="00960CF7"/>
    <w:rsid w:val="00960E39"/>
    <w:rsid w:val="009612B6"/>
    <w:rsid w:val="00961639"/>
    <w:rsid w:val="009616BB"/>
    <w:rsid w:val="009619C4"/>
    <w:rsid w:val="00961ECF"/>
    <w:rsid w:val="00961F0D"/>
    <w:rsid w:val="00961F34"/>
    <w:rsid w:val="00961F8B"/>
    <w:rsid w:val="009620BB"/>
    <w:rsid w:val="00962364"/>
    <w:rsid w:val="00962572"/>
    <w:rsid w:val="0096267D"/>
    <w:rsid w:val="009626E9"/>
    <w:rsid w:val="0096274D"/>
    <w:rsid w:val="0096278F"/>
    <w:rsid w:val="00962C4F"/>
    <w:rsid w:val="00962CA2"/>
    <w:rsid w:val="00962DFB"/>
    <w:rsid w:val="00962F16"/>
    <w:rsid w:val="00963269"/>
    <w:rsid w:val="00963337"/>
    <w:rsid w:val="0096374F"/>
    <w:rsid w:val="009637A9"/>
    <w:rsid w:val="00963B76"/>
    <w:rsid w:val="00963CD5"/>
    <w:rsid w:val="00963D09"/>
    <w:rsid w:val="00963E2D"/>
    <w:rsid w:val="00963E52"/>
    <w:rsid w:val="00963FB6"/>
    <w:rsid w:val="009641CD"/>
    <w:rsid w:val="00964335"/>
    <w:rsid w:val="00964379"/>
    <w:rsid w:val="0096448F"/>
    <w:rsid w:val="00964503"/>
    <w:rsid w:val="009645BB"/>
    <w:rsid w:val="009647D1"/>
    <w:rsid w:val="009649DB"/>
    <w:rsid w:val="00964B53"/>
    <w:rsid w:val="00964B6C"/>
    <w:rsid w:val="00964C2C"/>
    <w:rsid w:val="00964D34"/>
    <w:rsid w:val="00965258"/>
    <w:rsid w:val="00965379"/>
    <w:rsid w:val="009653F8"/>
    <w:rsid w:val="00965A44"/>
    <w:rsid w:val="00965C25"/>
    <w:rsid w:val="00965E52"/>
    <w:rsid w:val="00965F52"/>
    <w:rsid w:val="00965F99"/>
    <w:rsid w:val="0096603A"/>
    <w:rsid w:val="0096620B"/>
    <w:rsid w:val="00966292"/>
    <w:rsid w:val="0096632B"/>
    <w:rsid w:val="009663A3"/>
    <w:rsid w:val="009663F7"/>
    <w:rsid w:val="00966418"/>
    <w:rsid w:val="009667AA"/>
    <w:rsid w:val="0096691B"/>
    <w:rsid w:val="009669DF"/>
    <w:rsid w:val="00966B6D"/>
    <w:rsid w:val="00966D27"/>
    <w:rsid w:val="00967013"/>
    <w:rsid w:val="0096713A"/>
    <w:rsid w:val="00967172"/>
    <w:rsid w:val="009671C0"/>
    <w:rsid w:val="00967757"/>
    <w:rsid w:val="00967782"/>
    <w:rsid w:val="0096795D"/>
    <w:rsid w:val="00967A85"/>
    <w:rsid w:val="00967AA4"/>
    <w:rsid w:val="00967B02"/>
    <w:rsid w:val="00967B2D"/>
    <w:rsid w:val="00967B55"/>
    <w:rsid w:val="00967C2F"/>
    <w:rsid w:val="00967C92"/>
    <w:rsid w:val="009700C0"/>
    <w:rsid w:val="009700F8"/>
    <w:rsid w:val="009702EA"/>
    <w:rsid w:val="009703AA"/>
    <w:rsid w:val="00970402"/>
    <w:rsid w:val="0097041B"/>
    <w:rsid w:val="00970559"/>
    <w:rsid w:val="009709D6"/>
    <w:rsid w:val="00970AB0"/>
    <w:rsid w:val="00970BD6"/>
    <w:rsid w:val="00970C29"/>
    <w:rsid w:val="00970CB7"/>
    <w:rsid w:val="00970E58"/>
    <w:rsid w:val="00970EF7"/>
    <w:rsid w:val="00971109"/>
    <w:rsid w:val="0097114F"/>
    <w:rsid w:val="00971189"/>
    <w:rsid w:val="009711C7"/>
    <w:rsid w:val="00971227"/>
    <w:rsid w:val="0097137D"/>
    <w:rsid w:val="00971640"/>
    <w:rsid w:val="009716DE"/>
    <w:rsid w:val="009716EC"/>
    <w:rsid w:val="00971760"/>
    <w:rsid w:val="009718CB"/>
    <w:rsid w:val="009719FD"/>
    <w:rsid w:val="00971A23"/>
    <w:rsid w:val="00971E25"/>
    <w:rsid w:val="00971E71"/>
    <w:rsid w:val="0097209F"/>
    <w:rsid w:val="00972246"/>
    <w:rsid w:val="009722F0"/>
    <w:rsid w:val="00972502"/>
    <w:rsid w:val="009726E7"/>
    <w:rsid w:val="00972860"/>
    <w:rsid w:val="00972874"/>
    <w:rsid w:val="00972B23"/>
    <w:rsid w:val="00972F26"/>
    <w:rsid w:val="00972F5D"/>
    <w:rsid w:val="009730E1"/>
    <w:rsid w:val="00973197"/>
    <w:rsid w:val="00973421"/>
    <w:rsid w:val="0097348A"/>
    <w:rsid w:val="0097351F"/>
    <w:rsid w:val="0097372F"/>
    <w:rsid w:val="00973988"/>
    <w:rsid w:val="00973AC5"/>
    <w:rsid w:val="00973D1E"/>
    <w:rsid w:val="00973D78"/>
    <w:rsid w:val="00973D8B"/>
    <w:rsid w:val="00973DBD"/>
    <w:rsid w:val="00973E64"/>
    <w:rsid w:val="00973E9F"/>
    <w:rsid w:val="00973F0C"/>
    <w:rsid w:val="00973F2B"/>
    <w:rsid w:val="00973F4E"/>
    <w:rsid w:val="0097413E"/>
    <w:rsid w:val="00974261"/>
    <w:rsid w:val="00974395"/>
    <w:rsid w:val="009743A9"/>
    <w:rsid w:val="00974419"/>
    <w:rsid w:val="00974676"/>
    <w:rsid w:val="0097473B"/>
    <w:rsid w:val="009747B7"/>
    <w:rsid w:val="0097501C"/>
    <w:rsid w:val="0097523A"/>
    <w:rsid w:val="009752AF"/>
    <w:rsid w:val="009754D2"/>
    <w:rsid w:val="009755D3"/>
    <w:rsid w:val="00975618"/>
    <w:rsid w:val="009757EC"/>
    <w:rsid w:val="00975A45"/>
    <w:rsid w:val="00975AA0"/>
    <w:rsid w:val="00975B12"/>
    <w:rsid w:val="00975E3B"/>
    <w:rsid w:val="00975E91"/>
    <w:rsid w:val="00975F86"/>
    <w:rsid w:val="00976057"/>
    <w:rsid w:val="00976747"/>
    <w:rsid w:val="00976B41"/>
    <w:rsid w:val="00976C75"/>
    <w:rsid w:val="00976C7A"/>
    <w:rsid w:val="00976D58"/>
    <w:rsid w:val="00976D5D"/>
    <w:rsid w:val="0097723D"/>
    <w:rsid w:val="0097770C"/>
    <w:rsid w:val="00977710"/>
    <w:rsid w:val="009777E0"/>
    <w:rsid w:val="009778F0"/>
    <w:rsid w:val="00977904"/>
    <w:rsid w:val="00977A22"/>
    <w:rsid w:val="00977BA3"/>
    <w:rsid w:val="00977C9A"/>
    <w:rsid w:val="00977D36"/>
    <w:rsid w:val="00977D8F"/>
    <w:rsid w:val="00977ED3"/>
    <w:rsid w:val="00977FDF"/>
    <w:rsid w:val="009800C0"/>
    <w:rsid w:val="009801F4"/>
    <w:rsid w:val="00980228"/>
    <w:rsid w:val="00980445"/>
    <w:rsid w:val="00980804"/>
    <w:rsid w:val="00980915"/>
    <w:rsid w:val="009809F8"/>
    <w:rsid w:val="00980A57"/>
    <w:rsid w:val="00980A69"/>
    <w:rsid w:val="00980A95"/>
    <w:rsid w:val="00980BE1"/>
    <w:rsid w:val="00980CE9"/>
    <w:rsid w:val="00980D19"/>
    <w:rsid w:val="00980D7D"/>
    <w:rsid w:val="00980DF3"/>
    <w:rsid w:val="00981261"/>
    <w:rsid w:val="009813A2"/>
    <w:rsid w:val="00981543"/>
    <w:rsid w:val="009815C2"/>
    <w:rsid w:val="00981620"/>
    <w:rsid w:val="00981660"/>
    <w:rsid w:val="009818FD"/>
    <w:rsid w:val="009819AC"/>
    <w:rsid w:val="00981BB1"/>
    <w:rsid w:val="00981CE4"/>
    <w:rsid w:val="0098206F"/>
    <w:rsid w:val="00982416"/>
    <w:rsid w:val="0098246F"/>
    <w:rsid w:val="009824D2"/>
    <w:rsid w:val="009824D5"/>
    <w:rsid w:val="0098275D"/>
    <w:rsid w:val="009827C3"/>
    <w:rsid w:val="00982875"/>
    <w:rsid w:val="00982B7A"/>
    <w:rsid w:val="00982C6E"/>
    <w:rsid w:val="00982D6E"/>
    <w:rsid w:val="00982EE4"/>
    <w:rsid w:val="00982F37"/>
    <w:rsid w:val="009830A3"/>
    <w:rsid w:val="009831F9"/>
    <w:rsid w:val="0098335F"/>
    <w:rsid w:val="00983536"/>
    <w:rsid w:val="00983631"/>
    <w:rsid w:val="0098374A"/>
    <w:rsid w:val="00983AC0"/>
    <w:rsid w:val="00983AFE"/>
    <w:rsid w:val="00983B69"/>
    <w:rsid w:val="00983C80"/>
    <w:rsid w:val="00983CB6"/>
    <w:rsid w:val="00983E11"/>
    <w:rsid w:val="00983E52"/>
    <w:rsid w:val="0098416C"/>
    <w:rsid w:val="009843CC"/>
    <w:rsid w:val="009843CF"/>
    <w:rsid w:val="00984459"/>
    <w:rsid w:val="0098445A"/>
    <w:rsid w:val="0098453B"/>
    <w:rsid w:val="009846EB"/>
    <w:rsid w:val="00984822"/>
    <w:rsid w:val="00984A4A"/>
    <w:rsid w:val="00984A8C"/>
    <w:rsid w:val="00984AC9"/>
    <w:rsid w:val="00984D0D"/>
    <w:rsid w:val="00984E76"/>
    <w:rsid w:val="00984EFD"/>
    <w:rsid w:val="00985050"/>
    <w:rsid w:val="009851CE"/>
    <w:rsid w:val="00985609"/>
    <w:rsid w:val="00985642"/>
    <w:rsid w:val="00985698"/>
    <w:rsid w:val="0098570C"/>
    <w:rsid w:val="009857C6"/>
    <w:rsid w:val="0098582D"/>
    <w:rsid w:val="00985B1F"/>
    <w:rsid w:val="00985CE0"/>
    <w:rsid w:val="00986604"/>
    <w:rsid w:val="0098671E"/>
    <w:rsid w:val="00986881"/>
    <w:rsid w:val="009868EC"/>
    <w:rsid w:val="00986B72"/>
    <w:rsid w:val="00986C4A"/>
    <w:rsid w:val="00986D85"/>
    <w:rsid w:val="00986EF0"/>
    <w:rsid w:val="00986F4F"/>
    <w:rsid w:val="009870AF"/>
    <w:rsid w:val="009871EC"/>
    <w:rsid w:val="009872A8"/>
    <w:rsid w:val="009872EC"/>
    <w:rsid w:val="009875D0"/>
    <w:rsid w:val="009877C8"/>
    <w:rsid w:val="009877F8"/>
    <w:rsid w:val="00987805"/>
    <w:rsid w:val="0098796B"/>
    <w:rsid w:val="00987B32"/>
    <w:rsid w:val="00987B55"/>
    <w:rsid w:val="00987C83"/>
    <w:rsid w:val="00987D94"/>
    <w:rsid w:val="00987FEB"/>
    <w:rsid w:val="0099002F"/>
    <w:rsid w:val="009901F7"/>
    <w:rsid w:val="009902B8"/>
    <w:rsid w:val="00990383"/>
    <w:rsid w:val="00990422"/>
    <w:rsid w:val="00990524"/>
    <w:rsid w:val="0099055D"/>
    <w:rsid w:val="00990622"/>
    <w:rsid w:val="009906B1"/>
    <w:rsid w:val="00990BAA"/>
    <w:rsid w:val="00990C79"/>
    <w:rsid w:val="00990E73"/>
    <w:rsid w:val="00991055"/>
    <w:rsid w:val="00991231"/>
    <w:rsid w:val="009915FD"/>
    <w:rsid w:val="00991689"/>
    <w:rsid w:val="00991783"/>
    <w:rsid w:val="009917B3"/>
    <w:rsid w:val="0099184E"/>
    <w:rsid w:val="009918C0"/>
    <w:rsid w:val="009918DF"/>
    <w:rsid w:val="0099193F"/>
    <w:rsid w:val="00991A85"/>
    <w:rsid w:val="00991C5B"/>
    <w:rsid w:val="00991DC9"/>
    <w:rsid w:val="00991E3B"/>
    <w:rsid w:val="00991FC8"/>
    <w:rsid w:val="00991FDA"/>
    <w:rsid w:val="0099217D"/>
    <w:rsid w:val="00992241"/>
    <w:rsid w:val="00992257"/>
    <w:rsid w:val="009923AA"/>
    <w:rsid w:val="00992418"/>
    <w:rsid w:val="00992459"/>
    <w:rsid w:val="009924C4"/>
    <w:rsid w:val="009924E9"/>
    <w:rsid w:val="00992581"/>
    <w:rsid w:val="00992608"/>
    <w:rsid w:val="009926E6"/>
    <w:rsid w:val="009927ED"/>
    <w:rsid w:val="00992C0C"/>
    <w:rsid w:val="00992D4F"/>
    <w:rsid w:val="00992E63"/>
    <w:rsid w:val="0099323D"/>
    <w:rsid w:val="009932E1"/>
    <w:rsid w:val="00993422"/>
    <w:rsid w:val="00993462"/>
    <w:rsid w:val="00993688"/>
    <w:rsid w:val="009938BD"/>
    <w:rsid w:val="00993A50"/>
    <w:rsid w:val="00993BD6"/>
    <w:rsid w:val="00993EAB"/>
    <w:rsid w:val="00993F62"/>
    <w:rsid w:val="00994283"/>
    <w:rsid w:val="0099436A"/>
    <w:rsid w:val="009944A2"/>
    <w:rsid w:val="009944AE"/>
    <w:rsid w:val="0099452E"/>
    <w:rsid w:val="009946CA"/>
    <w:rsid w:val="00994705"/>
    <w:rsid w:val="009947A5"/>
    <w:rsid w:val="00994A8A"/>
    <w:rsid w:val="00994B2A"/>
    <w:rsid w:val="00994C35"/>
    <w:rsid w:val="00994D2F"/>
    <w:rsid w:val="00994F1C"/>
    <w:rsid w:val="00994F7C"/>
    <w:rsid w:val="009950CF"/>
    <w:rsid w:val="00995108"/>
    <w:rsid w:val="0099529B"/>
    <w:rsid w:val="0099549A"/>
    <w:rsid w:val="00995510"/>
    <w:rsid w:val="00995588"/>
    <w:rsid w:val="00995794"/>
    <w:rsid w:val="00995815"/>
    <w:rsid w:val="00995A9B"/>
    <w:rsid w:val="00995DDA"/>
    <w:rsid w:val="00996092"/>
    <w:rsid w:val="0099618C"/>
    <w:rsid w:val="00996220"/>
    <w:rsid w:val="0099627B"/>
    <w:rsid w:val="00996485"/>
    <w:rsid w:val="009964F3"/>
    <w:rsid w:val="00996660"/>
    <w:rsid w:val="009968CB"/>
    <w:rsid w:val="00996D0D"/>
    <w:rsid w:val="00996EE5"/>
    <w:rsid w:val="00996F02"/>
    <w:rsid w:val="0099700A"/>
    <w:rsid w:val="0099717B"/>
    <w:rsid w:val="0099729F"/>
    <w:rsid w:val="0099733E"/>
    <w:rsid w:val="00997427"/>
    <w:rsid w:val="0099746C"/>
    <w:rsid w:val="009976E7"/>
    <w:rsid w:val="00997804"/>
    <w:rsid w:val="0099781B"/>
    <w:rsid w:val="009978D0"/>
    <w:rsid w:val="009978D9"/>
    <w:rsid w:val="0099793A"/>
    <w:rsid w:val="00997993"/>
    <w:rsid w:val="00997AB7"/>
    <w:rsid w:val="00997B11"/>
    <w:rsid w:val="00997F07"/>
    <w:rsid w:val="00997F89"/>
    <w:rsid w:val="009A0009"/>
    <w:rsid w:val="009A005A"/>
    <w:rsid w:val="009A0093"/>
    <w:rsid w:val="009A00CA"/>
    <w:rsid w:val="009A0439"/>
    <w:rsid w:val="009A049B"/>
    <w:rsid w:val="009A04C0"/>
    <w:rsid w:val="009A059B"/>
    <w:rsid w:val="009A0BDC"/>
    <w:rsid w:val="009A0CC5"/>
    <w:rsid w:val="009A0D0F"/>
    <w:rsid w:val="009A0EF7"/>
    <w:rsid w:val="009A0F87"/>
    <w:rsid w:val="009A10D6"/>
    <w:rsid w:val="009A1263"/>
    <w:rsid w:val="009A1306"/>
    <w:rsid w:val="009A1365"/>
    <w:rsid w:val="009A152C"/>
    <w:rsid w:val="009A154A"/>
    <w:rsid w:val="009A16CB"/>
    <w:rsid w:val="009A1B78"/>
    <w:rsid w:val="009A1B8C"/>
    <w:rsid w:val="009A1BCE"/>
    <w:rsid w:val="009A1BD5"/>
    <w:rsid w:val="009A1D91"/>
    <w:rsid w:val="009A2044"/>
    <w:rsid w:val="009A2079"/>
    <w:rsid w:val="009A216F"/>
    <w:rsid w:val="009A22A6"/>
    <w:rsid w:val="009A2414"/>
    <w:rsid w:val="009A24BF"/>
    <w:rsid w:val="009A257D"/>
    <w:rsid w:val="009A2D68"/>
    <w:rsid w:val="009A2F45"/>
    <w:rsid w:val="009A3297"/>
    <w:rsid w:val="009A337A"/>
    <w:rsid w:val="009A34C3"/>
    <w:rsid w:val="009A34DC"/>
    <w:rsid w:val="009A358F"/>
    <w:rsid w:val="009A376D"/>
    <w:rsid w:val="009A3833"/>
    <w:rsid w:val="009A3861"/>
    <w:rsid w:val="009A3C64"/>
    <w:rsid w:val="009A3CD0"/>
    <w:rsid w:val="009A3D19"/>
    <w:rsid w:val="009A3F3C"/>
    <w:rsid w:val="009A439E"/>
    <w:rsid w:val="009A43DB"/>
    <w:rsid w:val="009A44C2"/>
    <w:rsid w:val="009A45D8"/>
    <w:rsid w:val="009A4633"/>
    <w:rsid w:val="009A4780"/>
    <w:rsid w:val="009A49BB"/>
    <w:rsid w:val="009A4DA5"/>
    <w:rsid w:val="009A4DB5"/>
    <w:rsid w:val="009A4E4E"/>
    <w:rsid w:val="009A50BF"/>
    <w:rsid w:val="009A50E2"/>
    <w:rsid w:val="009A51B8"/>
    <w:rsid w:val="009A5302"/>
    <w:rsid w:val="009A5344"/>
    <w:rsid w:val="009A537D"/>
    <w:rsid w:val="009A54D2"/>
    <w:rsid w:val="009A5819"/>
    <w:rsid w:val="009A58AB"/>
    <w:rsid w:val="009A5B7B"/>
    <w:rsid w:val="009A5D2F"/>
    <w:rsid w:val="009A5EA7"/>
    <w:rsid w:val="009A632C"/>
    <w:rsid w:val="009A6350"/>
    <w:rsid w:val="009A6452"/>
    <w:rsid w:val="009A64E3"/>
    <w:rsid w:val="009A6762"/>
    <w:rsid w:val="009A6836"/>
    <w:rsid w:val="009A684F"/>
    <w:rsid w:val="009A68E3"/>
    <w:rsid w:val="009A69C1"/>
    <w:rsid w:val="009A6A6C"/>
    <w:rsid w:val="009A6CC7"/>
    <w:rsid w:val="009A6D37"/>
    <w:rsid w:val="009A6DCB"/>
    <w:rsid w:val="009A70D8"/>
    <w:rsid w:val="009A71F8"/>
    <w:rsid w:val="009A742E"/>
    <w:rsid w:val="009A74C1"/>
    <w:rsid w:val="009A7533"/>
    <w:rsid w:val="009A75DA"/>
    <w:rsid w:val="009A7725"/>
    <w:rsid w:val="009A7A16"/>
    <w:rsid w:val="009A7AD1"/>
    <w:rsid w:val="009A7DB2"/>
    <w:rsid w:val="009A7DE9"/>
    <w:rsid w:val="009A7F1F"/>
    <w:rsid w:val="009A7FDA"/>
    <w:rsid w:val="009B004D"/>
    <w:rsid w:val="009B0080"/>
    <w:rsid w:val="009B026B"/>
    <w:rsid w:val="009B028A"/>
    <w:rsid w:val="009B077D"/>
    <w:rsid w:val="009B08B0"/>
    <w:rsid w:val="009B08B1"/>
    <w:rsid w:val="009B0960"/>
    <w:rsid w:val="009B0A2F"/>
    <w:rsid w:val="009B0A9B"/>
    <w:rsid w:val="009B0B8B"/>
    <w:rsid w:val="009B0E62"/>
    <w:rsid w:val="009B10B3"/>
    <w:rsid w:val="009B131F"/>
    <w:rsid w:val="009B14A9"/>
    <w:rsid w:val="009B1704"/>
    <w:rsid w:val="009B19DF"/>
    <w:rsid w:val="009B1ABE"/>
    <w:rsid w:val="009B1C7B"/>
    <w:rsid w:val="009B200A"/>
    <w:rsid w:val="009B2010"/>
    <w:rsid w:val="009B2160"/>
    <w:rsid w:val="009B2291"/>
    <w:rsid w:val="009B237A"/>
    <w:rsid w:val="009B24F5"/>
    <w:rsid w:val="009B25BE"/>
    <w:rsid w:val="009B29C7"/>
    <w:rsid w:val="009B2A24"/>
    <w:rsid w:val="009B2BF2"/>
    <w:rsid w:val="009B2DDB"/>
    <w:rsid w:val="009B2E50"/>
    <w:rsid w:val="009B2FCE"/>
    <w:rsid w:val="009B3599"/>
    <w:rsid w:val="009B37FC"/>
    <w:rsid w:val="009B3A31"/>
    <w:rsid w:val="009B3A4D"/>
    <w:rsid w:val="009B3AFD"/>
    <w:rsid w:val="009B3E39"/>
    <w:rsid w:val="009B3FC0"/>
    <w:rsid w:val="009B4232"/>
    <w:rsid w:val="009B4405"/>
    <w:rsid w:val="009B4543"/>
    <w:rsid w:val="009B4553"/>
    <w:rsid w:val="009B467C"/>
    <w:rsid w:val="009B474F"/>
    <w:rsid w:val="009B4803"/>
    <w:rsid w:val="009B49C2"/>
    <w:rsid w:val="009B4B22"/>
    <w:rsid w:val="009B4B53"/>
    <w:rsid w:val="009B4B5F"/>
    <w:rsid w:val="009B4CF7"/>
    <w:rsid w:val="009B4D15"/>
    <w:rsid w:val="009B4D95"/>
    <w:rsid w:val="009B4DD6"/>
    <w:rsid w:val="009B4F85"/>
    <w:rsid w:val="009B5022"/>
    <w:rsid w:val="009B50B2"/>
    <w:rsid w:val="009B51E1"/>
    <w:rsid w:val="009B52E1"/>
    <w:rsid w:val="009B541D"/>
    <w:rsid w:val="009B5480"/>
    <w:rsid w:val="009B561C"/>
    <w:rsid w:val="009B5A9C"/>
    <w:rsid w:val="009B5B30"/>
    <w:rsid w:val="009B5D56"/>
    <w:rsid w:val="009B5DB0"/>
    <w:rsid w:val="009B5E7A"/>
    <w:rsid w:val="009B5E9C"/>
    <w:rsid w:val="009B5E9F"/>
    <w:rsid w:val="009B6080"/>
    <w:rsid w:val="009B6155"/>
    <w:rsid w:val="009B66A5"/>
    <w:rsid w:val="009B6716"/>
    <w:rsid w:val="009B6992"/>
    <w:rsid w:val="009B6C2D"/>
    <w:rsid w:val="009B6C5E"/>
    <w:rsid w:val="009B6FFD"/>
    <w:rsid w:val="009B70A9"/>
    <w:rsid w:val="009B7323"/>
    <w:rsid w:val="009B7367"/>
    <w:rsid w:val="009B73DC"/>
    <w:rsid w:val="009B7501"/>
    <w:rsid w:val="009B75D2"/>
    <w:rsid w:val="009B76AE"/>
    <w:rsid w:val="009B78D7"/>
    <w:rsid w:val="009B7A0A"/>
    <w:rsid w:val="009B7C37"/>
    <w:rsid w:val="009B7CEE"/>
    <w:rsid w:val="009B7E7E"/>
    <w:rsid w:val="009B7EB1"/>
    <w:rsid w:val="009C014E"/>
    <w:rsid w:val="009C0257"/>
    <w:rsid w:val="009C0260"/>
    <w:rsid w:val="009C0296"/>
    <w:rsid w:val="009C0425"/>
    <w:rsid w:val="009C05E0"/>
    <w:rsid w:val="009C0782"/>
    <w:rsid w:val="009C085B"/>
    <w:rsid w:val="009C0977"/>
    <w:rsid w:val="009C09B3"/>
    <w:rsid w:val="009C0A44"/>
    <w:rsid w:val="009C0A8C"/>
    <w:rsid w:val="009C0B89"/>
    <w:rsid w:val="009C0B91"/>
    <w:rsid w:val="009C0EDE"/>
    <w:rsid w:val="009C0FC6"/>
    <w:rsid w:val="009C10A2"/>
    <w:rsid w:val="009C16D5"/>
    <w:rsid w:val="009C16E1"/>
    <w:rsid w:val="009C173A"/>
    <w:rsid w:val="009C19C4"/>
    <w:rsid w:val="009C1A33"/>
    <w:rsid w:val="009C1D55"/>
    <w:rsid w:val="009C1D74"/>
    <w:rsid w:val="009C1EEF"/>
    <w:rsid w:val="009C1F5B"/>
    <w:rsid w:val="009C1F8B"/>
    <w:rsid w:val="009C1F8F"/>
    <w:rsid w:val="009C23F1"/>
    <w:rsid w:val="009C23FA"/>
    <w:rsid w:val="009C25C8"/>
    <w:rsid w:val="009C2604"/>
    <w:rsid w:val="009C27E8"/>
    <w:rsid w:val="009C2816"/>
    <w:rsid w:val="009C2875"/>
    <w:rsid w:val="009C2897"/>
    <w:rsid w:val="009C28D0"/>
    <w:rsid w:val="009C2A98"/>
    <w:rsid w:val="009C2CEB"/>
    <w:rsid w:val="009C2D15"/>
    <w:rsid w:val="009C2EB8"/>
    <w:rsid w:val="009C2F9B"/>
    <w:rsid w:val="009C321C"/>
    <w:rsid w:val="009C339B"/>
    <w:rsid w:val="009C34A5"/>
    <w:rsid w:val="009C3538"/>
    <w:rsid w:val="009C3560"/>
    <w:rsid w:val="009C3744"/>
    <w:rsid w:val="009C3815"/>
    <w:rsid w:val="009C3871"/>
    <w:rsid w:val="009C38C0"/>
    <w:rsid w:val="009C3EAC"/>
    <w:rsid w:val="009C423E"/>
    <w:rsid w:val="009C44DE"/>
    <w:rsid w:val="009C44EA"/>
    <w:rsid w:val="009C450F"/>
    <w:rsid w:val="009C4661"/>
    <w:rsid w:val="009C4A64"/>
    <w:rsid w:val="009C4AED"/>
    <w:rsid w:val="009C4AFB"/>
    <w:rsid w:val="009C4DA1"/>
    <w:rsid w:val="009C4DF6"/>
    <w:rsid w:val="009C52D8"/>
    <w:rsid w:val="009C5371"/>
    <w:rsid w:val="009C53DA"/>
    <w:rsid w:val="009C557C"/>
    <w:rsid w:val="009C5665"/>
    <w:rsid w:val="009C5748"/>
    <w:rsid w:val="009C5866"/>
    <w:rsid w:val="009C58B4"/>
    <w:rsid w:val="009C5A8A"/>
    <w:rsid w:val="009C5C6D"/>
    <w:rsid w:val="009C5CD0"/>
    <w:rsid w:val="009C5CEC"/>
    <w:rsid w:val="009C5DB0"/>
    <w:rsid w:val="009C5F2B"/>
    <w:rsid w:val="009C5F94"/>
    <w:rsid w:val="009C60B1"/>
    <w:rsid w:val="009C61AD"/>
    <w:rsid w:val="009C61F6"/>
    <w:rsid w:val="009C62F2"/>
    <w:rsid w:val="009C63B3"/>
    <w:rsid w:val="009C6460"/>
    <w:rsid w:val="009C64B5"/>
    <w:rsid w:val="009C66BD"/>
    <w:rsid w:val="009C6940"/>
    <w:rsid w:val="009C6AA9"/>
    <w:rsid w:val="009C6BA1"/>
    <w:rsid w:val="009C6CE1"/>
    <w:rsid w:val="009C6D30"/>
    <w:rsid w:val="009C6E50"/>
    <w:rsid w:val="009C6EE7"/>
    <w:rsid w:val="009C70F1"/>
    <w:rsid w:val="009C7129"/>
    <w:rsid w:val="009C72C5"/>
    <w:rsid w:val="009C7386"/>
    <w:rsid w:val="009C76F8"/>
    <w:rsid w:val="009C78C2"/>
    <w:rsid w:val="009C79CB"/>
    <w:rsid w:val="009C7EA9"/>
    <w:rsid w:val="009C7EDF"/>
    <w:rsid w:val="009D0322"/>
    <w:rsid w:val="009D03A4"/>
    <w:rsid w:val="009D0539"/>
    <w:rsid w:val="009D06A8"/>
    <w:rsid w:val="009D0820"/>
    <w:rsid w:val="009D0848"/>
    <w:rsid w:val="009D0889"/>
    <w:rsid w:val="009D08B6"/>
    <w:rsid w:val="009D0955"/>
    <w:rsid w:val="009D0C35"/>
    <w:rsid w:val="009D1071"/>
    <w:rsid w:val="009D12AF"/>
    <w:rsid w:val="009D1616"/>
    <w:rsid w:val="009D1A21"/>
    <w:rsid w:val="009D1AA4"/>
    <w:rsid w:val="009D1B10"/>
    <w:rsid w:val="009D1C44"/>
    <w:rsid w:val="009D1ECE"/>
    <w:rsid w:val="009D1FEB"/>
    <w:rsid w:val="009D2355"/>
    <w:rsid w:val="009D24CB"/>
    <w:rsid w:val="009D262C"/>
    <w:rsid w:val="009D269D"/>
    <w:rsid w:val="009D26AF"/>
    <w:rsid w:val="009D26CE"/>
    <w:rsid w:val="009D282F"/>
    <w:rsid w:val="009D2834"/>
    <w:rsid w:val="009D288B"/>
    <w:rsid w:val="009D2AD1"/>
    <w:rsid w:val="009D2CB3"/>
    <w:rsid w:val="009D2CBB"/>
    <w:rsid w:val="009D2F7C"/>
    <w:rsid w:val="009D2FD6"/>
    <w:rsid w:val="009D30CF"/>
    <w:rsid w:val="009D311F"/>
    <w:rsid w:val="009D3150"/>
    <w:rsid w:val="009D350F"/>
    <w:rsid w:val="009D3551"/>
    <w:rsid w:val="009D3677"/>
    <w:rsid w:val="009D397D"/>
    <w:rsid w:val="009D3B71"/>
    <w:rsid w:val="009D3CAF"/>
    <w:rsid w:val="009D3ED4"/>
    <w:rsid w:val="009D41B1"/>
    <w:rsid w:val="009D42B4"/>
    <w:rsid w:val="009D4444"/>
    <w:rsid w:val="009D45DE"/>
    <w:rsid w:val="009D4667"/>
    <w:rsid w:val="009D46A6"/>
    <w:rsid w:val="009D4721"/>
    <w:rsid w:val="009D4769"/>
    <w:rsid w:val="009D4791"/>
    <w:rsid w:val="009D4BBD"/>
    <w:rsid w:val="009D4EF7"/>
    <w:rsid w:val="009D5006"/>
    <w:rsid w:val="009D5203"/>
    <w:rsid w:val="009D532F"/>
    <w:rsid w:val="009D5375"/>
    <w:rsid w:val="009D53D0"/>
    <w:rsid w:val="009D5587"/>
    <w:rsid w:val="009D559D"/>
    <w:rsid w:val="009D57CB"/>
    <w:rsid w:val="009D584C"/>
    <w:rsid w:val="009D58E6"/>
    <w:rsid w:val="009D58FA"/>
    <w:rsid w:val="009D592D"/>
    <w:rsid w:val="009D5ABC"/>
    <w:rsid w:val="009D5B67"/>
    <w:rsid w:val="009D5D45"/>
    <w:rsid w:val="009D5F39"/>
    <w:rsid w:val="009D60E4"/>
    <w:rsid w:val="009D6139"/>
    <w:rsid w:val="009D6239"/>
    <w:rsid w:val="009D6755"/>
    <w:rsid w:val="009D6929"/>
    <w:rsid w:val="009D69D0"/>
    <w:rsid w:val="009D6AEB"/>
    <w:rsid w:val="009D6B56"/>
    <w:rsid w:val="009D6D25"/>
    <w:rsid w:val="009D6EB0"/>
    <w:rsid w:val="009D6F67"/>
    <w:rsid w:val="009D70E9"/>
    <w:rsid w:val="009D7136"/>
    <w:rsid w:val="009D744D"/>
    <w:rsid w:val="009D745E"/>
    <w:rsid w:val="009D7589"/>
    <w:rsid w:val="009D761C"/>
    <w:rsid w:val="009D7632"/>
    <w:rsid w:val="009D7689"/>
    <w:rsid w:val="009D76D5"/>
    <w:rsid w:val="009D78B1"/>
    <w:rsid w:val="009D78B6"/>
    <w:rsid w:val="009D7B0A"/>
    <w:rsid w:val="009D7C6F"/>
    <w:rsid w:val="009D7D75"/>
    <w:rsid w:val="009D7E04"/>
    <w:rsid w:val="009D7FC7"/>
    <w:rsid w:val="009E0217"/>
    <w:rsid w:val="009E021E"/>
    <w:rsid w:val="009E03C9"/>
    <w:rsid w:val="009E0743"/>
    <w:rsid w:val="009E0823"/>
    <w:rsid w:val="009E085E"/>
    <w:rsid w:val="009E0A72"/>
    <w:rsid w:val="009E0A7F"/>
    <w:rsid w:val="009E0BE3"/>
    <w:rsid w:val="009E0D9E"/>
    <w:rsid w:val="009E0DDC"/>
    <w:rsid w:val="009E1365"/>
    <w:rsid w:val="009E14AB"/>
    <w:rsid w:val="009E1512"/>
    <w:rsid w:val="009E16A4"/>
    <w:rsid w:val="009E1770"/>
    <w:rsid w:val="009E17DC"/>
    <w:rsid w:val="009E1843"/>
    <w:rsid w:val="009E1910"/>
    <w:rsid w:val="009E1959"/>
    <w:rsid w:val="009E1A9E"/>
    <w:rsid w:val="009E1AA4"/>
    <w:rsid w:val="009E1AD5"/>
    <w:rsid w:val="009E1D19"/>
    <w:rsid w:val="009E1EC4"/>
    <w:rsid w:val="009E1F34"/>
    <w:rsid w:val="009E1FC3"/>
    <w:rsid w:val="009E230A"/>
    <w:rsid w:val="009E2318"/>
    <w:rsid w:val="009E2340"/>
    <w:rsid w:val="009E2384"/>
    <w:rsid w:val="009E25F1"/>
    <w:rsid w:val="009E2663"/>
    <w:rsid w:val="009E26CA"/>
    <w:rsid w:val="009E27BB"/>
    <w:rsid w:val="009E2921"/>
    <w:rsid w:val="009E2988"/>
    <w:rsid w:val="009E29AD"/>
    <w:rsid w:val="009E2B01"/>
    <w:rsid w:val="009E2B35"/>
    <w:rsid w:val="009E2BC3"/>
    <w:rsid w:val="009E2BF2"/>
    <w:rsid w:val="009E2D17"/>
    <w:rsid w:val="009E2E32"/>
    <w:rsid w:val="009E2F40"/>
    <w:rsid w:val="009E326E"/>
    <w:rsid w:val="009E3373"/>
    <w:rsid w:val="009E33FB"/>
    <w:rsid w:val="009E3635"/>
    <w:rsid w:val="009E3727"/>
    <w:rsid w:val="009E390B"/>
    <w:rsid w:val="009E3986"/>
    <w:rsid w:val="009E3A30"/>
    <w:rsid w:val="009E3B9C"/>
    <w:rsid w:val="009E3C83"/>
    <w:rsid w:val="009E3E88"/>
    <w:rsid w:val="009E3F17"/>
    <w:rsid w:val="009E3FFF"/>
    <w:rsid w:val="009E432D"/>
    <w:rsid w:val="009E4334"/>
    <w:rsid w:val="009E43C1"/>
    <w:rsid w:val="009E470E"/>
    <w:rsid w:val="009E4ACC"/>
    <w:rsid w:val="009E4AD5"/>
    <w:rsid w:val="009E4B94"/>
    <w:rsid w:val="009E4BA9"/>
    <w:rsid w:val="009E4DD7"/>
    <w:rsid w:val="009E5177"/>
    <w:rsid w:val="009E51C2"/>
    <w:rsid w:val="009E52AA"/>
    <w:rsid w:val="009E52E3"/>
    <w:rsid w:val="009E5548"/>
    <w:rsid w:val="009E559A"/>
    <w:rsid w:val="009E55FD"/>
    <w:rsid w:val="009E56F0"/>
    <w:rsid w:val="009E56F6"/>
    <w:rsid w:val="009E5720"/>
    <w:rsid w:val="009E5867"/>
    <w:rsid w:val="009E5872"/>
    <w:rsid w:val="009E5993"/>
    <w:rsid w:val="009E5AF9"/>
    <w:rsid w:val="009E5E5C"/>
    <w:rsid w:val="009E5E8D"/>
    <w:rsid w:val="009E604D"/>
    <w:rsid w:val="009E605F"/>
    <w:rsid w:val="009E60E3"/>
    <w:rsid w:val="009E6287"/>
    <w:rsid w:val="009E62BD"/>
    <w:rsid w:val="009E630D"/>
    <w:rsid w:val="009E631C"/>
    <w:rsid w:val="009E6324"/>
    <w:rsid w:val="009E6394"/>
    <w:rsid w:val="009E64DE"/>
    <w:rsid w:val="009E65EA"/>
    <w:rsid w:val="009E6699"/>
    <w:rsid w:val="009E67DD"/>
    <w:rsid w:val="009E68AF"/>
    <w:rsid w:val="009E68EB"/>
    <w:rsid w:val="009E69A9"/>
    <w:rsid w:val="009E69CE"/>
    <w:rsid w:val="009E6A6D"/>
    <w:rsid w:val="009E6C6F"/>
    <w:rsid w:val="009E6D8C"/>
    <w:rsid w:val="009E6E81"/>
    <w:rsid w:val="009E6EC5"/>
    <w:rsid w:val="009E6F30"/>
    <w:rsid w:val="009E7093"/>
    <w:rsid w:val="009E7167"/>
    <w:rsid w:val="009E7324"/>
    <w:rsid w:val="009E75FB"/>
    <w:rsid w:val="009E78A5"/>
    <w:rsid w:val="009E78D1"/>
    <w:rsid w:val="009E7E7C"/>
    <w:rsid w:val="009E7EE1"/>
    <w:rsid w:val="009E7F2B"/>
    <w:rsid w:val="009F0038"/>
    <w:rsid w:val="009F01B1"/>
    <w:rsid w:val="009F0213"/>
    <w:rsid w:val="009F0416"/>
    <w:rsid w:val="009F0473"/>
    <w:rsid w:val="009F07D5"/>
    <w:rsid w:val="009F0808"/>
    <w:rsid w:val="009F0BB3"/>
    <w:rsid w:val="009F0C2B"/>
    <w:rsid w:val="009F0C77"/>
    <w:rsid w:val="009F0D1F"/>
    <w:rsid w:val="009F125D"/>
    <w:rsid w:val="009F12C0"/>
    <w:rsid w:val="009F13B7"/>
    <w:rsid w:val="009F13CB"/>
    <w:rsid w:val="009F1790"/>
    <w:rsid w:val="009F1AEC"/>
    <w:rsid w:val="009F1E4C"/>
    <w:rsid w:val="009F1F5C"/>
    <w:rsid w:val="009F20CD"/>
    <w:rsid w:val="009F2428"/>
    <w:rsid w:val="009F2439"/>
    <w:rsid w:val="009F2757"/>
    <w:rsid w:val="009F276B"/>
    <w:rsid w:val="009F276E"/>
    <w:rsid w:val="009F278A"/>
    <w:rsid w:val="009F27CC"/>
    <w:rsid w:val="009F28E1"/>
    <w:rsid w:val="009F2A42"/>
    <w:rsid w:val="009F2B4C"/>
    <w:rsid w:val="009F2B90"/>
    <w:rsid w:val="009F2BB1"/>
    <w:rsid w:val="009F2C49"/>
    <w:rsid w:val="009F2D1F"/>
    <w:rsid w:val="009F3001"/>
    <w:rsid w:val="009F3303"/>
    <w:rsid w:val="009F331B"/>
    <w:rsid w:val="009F333A"/>
    <w:rsid w:val="009F3402"/>
    <w:rsid w:val="009F3525"/>
    <w:rsid w:val="009F376F"/>
    <w:rsid w:val="009F386C"/>
    <w:rsid w:val="009F3898"/>
    <w:rsid w:val="009F39A5"/>
    <w:rsid w:val="009F3A1B"/>
    <w:rsid w:val="009F3A44"/>
    <w:rsid w:val="009F3CAC"/>
    <w:rsid w:val="009F3DA7"/>
    <w:rsid w:val="009F426F"/>
    <w:rsid w:val="009F4516"/>
    <w:rsid w:val="009F459D"/>
    <w:rsid w:val="009F45BB"/>
    <w:rsid w:val="009F46CC"/>
    <w:rsid w:val="009F4789"/>
    <w:rsid w:val="009F485E"/>
    <w:rsid w:val="009F48B9"/>
    <w:rsid w:val="009F48BE"/>
    <w:rsid w:val="009F4B27"/>
    <w:rsid w:val="009F4BE0"/>
    <w:rsid w:val="009F4E4E"/>
    <w:rsid w:val="009F4F4C"/>
    <w:rsid w:val="009F5034"/>
    <w:rsid w:val="009F5062"/>
    <w:rsid w:val="009F50AC"/>
    <w:rsid w:val="009F51C1"/>
    <w:rsid w:val="009F534F"/>
    <w:rsid w:val="009F5382"/>
    <w:rsid w:val="009F5811"/>
    <w:rsid w:val="009F5C60"/>
    <w:rsid w:val="009F60E0"/>
    <w:rsid w:val="009F62A8"/>
    <w:rsid w:val="009F62BD"/>
    <w:rsid w:val="009F632F"/>
    <w:rsid w:val="009F66A5"/>
    <w:rsid w:val="009F67BB"/>
    <w:rsid w:val="009F68F5"/>
    <w:rsid w:val="009F6BCF"/>
    <w:rsid w:val="009F6C1B"/>
    <w:rsid w:val="009F6F40"/>
    <w:rsid w:val="009F71D5"/>
    <w:rsid w:val="009F71FC"/>
    <w:rsid w:val="009F7327"/>
    <w:rsid w:val="009F7441"/>
    <w:rsid w:val="009F74AE"/>
    <w:rsid w:val="009F752D"/>
    <w:rsid w:val="009F75AE"/>
    <w:rsid w:val="009F7653"/>
    <w:rsid w:val="009F76BC"/>
    <w:rsid w:val="009F7706"/>
    <w:rsid w:val="009F781F"/>
    <w:rsid w:val="009F7A7E"/>
    <w:rsid w:val="009F7AC2"/>
    <w:rsid w:val="009F7B54"/>
    <w:rsid w:val="009F7B86"/>
    <w:rsid w:val="009F7E46"/>
    <w:rsid w:val="00A002F2"/>
    <w:rsid w:val="00A00403"/>
    <w:rsid w:val="00A0045C"/>
    <w:rsid w:val="00A0052F"/>
    <w:rsid w:val="00A00543"/>
    <w:rsid w:val="00A008B9"/>
    <w:rsid w:val="00A0096D"/>
    <w:rsid w:val="00A009F7"/>
    <w:rsid w:val="00A00ABB"/>
    <w:rsid w:val="00A00BBD"/>
    <w:rsid w:val="00A00EC3"/>
    <w:rsid w:val="00A00FC7"/>
    <w:rsid w:val="00A01137"/>
    <w:rsid w:val="00A01382"/>
    <w:rsid w:val="00A014A0"/>
    <w:rsid w:val="00A014E7"/>
    <w:rsid w:val="00A01558"/>
    <w:rsid w:val="00A017A5"/>
    <w:rsid w:val="00A01948"/>
    <w:rsid w:val="00A019CA"/>
    <w:rsid w:val="00A01ACF"/>
    <w:rsid w:val="00A01E8C"/>
    <w:rsid w:val="00A01FCC"/>
    <w:rsid w:val="00A0204B"/>
    <w:rsid w:val="00A0229B"/>
    <w:rsid w:val="00A0234D"/>
    <w:rsid w:val="00A02780"/>
    <w:rsid w:val="00A027BD"/>
    <w:rsid w:val="00A02920"/>
    <w:rsid w:val="00A02A0F"/>
    <w:rsid w:val="00A02A2F"/>
    <w:rsid w:val="00A02C43"/>
    <w:rsid w:val="00A02D73"/>
    <w:rsid w:val="00A02DA8"/>
    <w:rsid w:val="00A030C4"/>
    <w:rsid w:val="00A031F6"/>
    <w:rsid w:val="00A032F5"/>
    <w:rsid w:val="00A032FD"/>
    <w:rsid w:val="00A0337C"/>
    <w:rsid w:val="00A034B0"/>
    <w:rsid w:val="00A035E4"/>
    <w:rsid w:val="00A036B8"/>
    <w:rsid w:val="00A03727"/>
    <w:rsid w:val="00A0380B"/>
    <w:rsid w:val="00A03E48"/>
    <w:rsid w:val="00A04019"/>
    <w:rsid w:val="00A04086"/>
    <w:rsid w:val="00A0455E"/>
    <w:rsid w:val="00A04584"/>
    <w:rsid w:val="00A045DE"/>
    <w:rsid w:val="00A04658"/>
    <w:rsid w:val="00A048E2"/>
    <w:rsid w:val="00A04AF6"/>
    <w:rsid w:val="00A04B92"/>
    <w:rsid w:val="00A04C8C"/>
    <w:rsid w:val="00A04CF2"/>
    <w:rsid w:val="00A04D2C"/>
    <w:rsid w:val="00A04EEF"/>
    <w:rsid w:val="00A051D9"/>
    <w:rsid w:val="00A051F5"/>
    <w:rsid w:val="00A05342"/>
    <w:rsid w:val="00A0552C"/>
    <w:rsid w:val="00A0563E"/>
    <w:rsid w:val="00A0588C"/>
    <w:rsid w:val="00A058E8"/>
    <w:rsid w:val="00A05B51"/>
    <w:rsid w:val="00A05C5B"/>
    <w:rsid w:val="00A05C63"/>
    <w:rsid w:val="00A05D52"/>
    <w:rsid w:val="00A06221"/>
    <w:rsid w:val="00A0636A"/>
    <w:rsid w:val="00A063DC"/>
    <w:rsid w:val="00A0667E"/>
    <w:rsid w:val="00A06770"/>
    <w:rsid w:val="00A06834"/>
    <w:rsid w:val="00A06A99"/>
    <w:rsid w:val="00A06C14"/>
    <w:rsid w:val="00A06C43"/>
    <w:rsid w:val="00A06C71"/>
    <w:rsid w:val="00A06CF2"/>
    <w:rsid w:val="00A06DD3"/>
    <w:rsid w:val="00A07084"/>
    <w:rsid w:val="00A07200"/>
    <w:rsid w:val="00A07225"/>
    <w:rsid w:val="00A07429"/>
    <w:rsid w:val="00A07486"/>
    <w:rsid w:val="00A074B7"/>
    <w:rsid w:val="00A0784D"/>
    <w:rsid w:val="00A07940"/>
    <w:rsid w:val="00A079D7"/>
    <w:rsid w:val="00A07ACB"/>
    <w:rsid w:val="00A07CCB"/>
    <w:rsid w:val="00A07CD3"/>
    <w:rsid w:val="00A07E92"/>
    <w:rsid w:val="00A07FC9"/>
    <w:rsid w:val="00A10124"/>
    <w:rsid w:val="00A102E9"/>
    <w:rsid w:val="00A10350"/>
    <w:rsid w:val="00A106CA"/>
    <w:rsid w:val="00A1078F"/>
    <w:rsid w:val="00A107DD"/>
    <w:rsid w:val="00A10848"/>
    <w:rsid w:val="00A10A24"/>
    <w:rsid w:val="00A10F20"/>
    <w:rsid w:val="00A11130"/>
    <w:rsid w:val="00A111EB"/>
    <w:rsid w:val="00A11478"/>
    <w:rsid w:val="00A1167F"/>
    <w:rsid w:val="00A11738"/>
    <w:rsid w:val="00A1174A"/>
    <w:rsid w:val="00A11765"/>
    <w:rsid w:val="00A11895"/>
    <w:rsid w:val="00A119C0"/>
    <w:rsid w:val="00A11C1D"/>
    <w:rsid w:val="00A11F18"/>
    <w:rsid w:val="00A120D2"/>
    <w:rsid w:val="00A1214C"/>
    <w:rsid w:val="00A12270"/>
    <w:rsid w:val="00A122E9"/>
    <w:rsid w:val="00A12369"/>
    <w:rsid w:val="00A12507"/>
    <w:rsid w:val="00A12570"/>
    <w:rsid w:val="00A12600"/>
    <w:rsid w:val="00A128C6"/>
    <w:rsid w:val="00A12AB5"/>
    <w:rsid w:val="00A12DC1"/>
    <w:rsid w:val="00A12EF8"/>
    <w:rsid w:val="00A132F2"/>
    <w:rsid w:val="00A133E3"/>
    <w:rsid w:val="00A13483"/>
    <w:rsid w:val="00A13579"/>
    <w:rsid w:val="00A1378F"/>
    <w:rsid w:val="00A1385E"/>
    <w:rsid w:val="00A13995"/>
    <w:rsid w:val="00A13A19"/>
    <w:rsid w:val="00A13A58"/>
    <w:rsid w:val="00A13C12"/>
    <w:rsid w:val="00A13C31"/>
    <w:rsid w:val="00A13CC2"/>
    <w:rsid w:val="00A13D69"/>
    <w:rsid w:val="00A13D6F"/>
    <w:rsid w:val="00A13FFF"/>
    <w:rsid w:val="00A1419A"/>
    <w:rsid w:val="00A14890"/>
    <w:rsid w:val="00A1492B"/>
    <w:rsid w:val="00A14964"/>
    <w:rsid w:val="00A14D92"/>
    <w:rsid w:val="00A14DDD"/>
    <w:rsid w:val="00A14DF9"/>
    <w:rsid w:val="00A14E2C"/>
    <w:rsid w:val="00A14E91"/>
    <w:rsid w:val="00A15463"/>
    <w:rsid w:val="00A1558C"/>
    <w:rsid w:val="00A155C4"/>
    <w:rsid w:val="00A156FC"/>
    <w:rsid w:val="00A15763"/>
    <w:rsid w:val="00A158DD"/>
    <w:rsid w:val="00A15901"/>
    <w:rsid w:val="00A15A04"/>
    <w:rsid w:val="00A15A50"/>
    <w:rsid w:val="00A15C39"/>
    <w:rsid w:val="00A15FC4"/>
    <w:rsid w:val="00A1605A"/>
    <w:rsid w:val="00A16151"/>
    <w:rsid w:val="00A163CA"/>
    <w:rsid w:val="00A164BE"/>
    <w:rsid w:val="00A164D6"/>
    <w:rsid w:val="00A166C9"/>
    <w:rsid w:val="00A168B2"/>
    <w:rsid w:val="00A16B36"/>
    <w:rsid w:val="00A16B51"/>
    <w:rsid w:val="00A16D4A"/>
    <w:rsid w:val="00A16D58"/>
    <w:rsid w:val="00A16DA5"/>
    <w:rsid w:val="00A16E3B"/>
    <w:rsid w:val="00A16F78"/>
    <w:rsid w:val="00A17124"/>
    <w:rsid w:val="00A1717C"/>
    <w:rsid w:val="00A17188"/>
    <w:rsid w:val="00A1720A"/>
    <w:rsid w:val="00A17605"/>
    <w:rsid w:val="00A17668"/>
    <w:rsid w:val="00A17813"/>
    <w:rsid w:val="00A1797B"/>
    <w:rsid w:val="00A17ABB"/>
    <w:rsid w:val="00A17C64"/>
    <w:rsid w:val="00A17CDC"/>
    <w:rsid w:val="00A17D53"/>
    <w:rsid w:val="00A17DF9"/>
    <w:rsid w:val="00A17E6F"/>
    <w:rsid w:val="00A17E89"/>
    <w:rsid w:val="00A17F05"/>
    <w:rsid w:val="00A17F91"/>
    <w:rsid w:val="00A20097"/>
    <w:rsid w:val="00A200B7"/>
    <w:rsid w:val="00A201D1"/>
    <w:rsid w:val="00A202C5"/>
    <w:rsid w:val="00A2066B"/>
    <w:rsid w:val="00A20888"/>
    <w:rsid w:val="00A208B8"/>
    <w:rsid w:val="00A209B2"/>
    <w:rsid w:val="00A20C07"/>
    <w:rsid w:val="00A20DC5"/>
    <w:rsid w:val="00A20E26"/>
    <w:rsid w:val="00A20F10"/>
    <w:rsid w:val="00A210F8"/>
    <w:rsid w:val="00A21352"/>
    <w:rsid w:val="00A21486"/>
    <w:rsid w:val="00A2148F"/>
    <w:rsid w:val="00A215DD"/>
    <w:rsid w:val="00A21656"/>
    <w:rsid w:val="00A216A0"/>
    <w:rsid w:val="00A21764"/>
    <w:rsid w:val="00A21887"/>
    <w:rsid w:val="00A218D9"/>
    <w:rsid w:val="00A21978"/>
    <w:rsid w:val="00A21A46"/>
    <w:rsid w:val="00A21B82"/>
    <w:rsid w:val="00A21F54"/>
    <w:rsid w:val="00A2218A"/>
    <w:rsid w:val="00A22192"/>
    <w:rsid w:val="00A223AE"/>
    <w:rsid w:val="00A223D4"/>
    <w:rsid w:val="00A22417"/>
    <w:rsid w:val="00A22774"/>
    <w:rsid w:val="00A227D6"/>
    <w:rsid w:val="00A228A0"/>
    <w:rsid w:val="00A228B6"/>
    <w:rsid w:val="00A22B71"/>
    <w:rsid w:val="00A22D02"/>
    <w:rsid w:val="00A22DF8"/>
    <w:rsid w:val="00A22E78"/>
    <w:rsid w:val="00A22EC4"/>
    <w:rsid w:val="00A230A9"/>
    <w:rsid w:val="00A2310F"/>
    <w:rsid w:val="00A23125"/>
    <w:rsid w:val="00A23185"/>
    <w:rsid w:val="00A23410"/>
    <w:rsid w:val="00A2343A"/>
    <w:rsid w:val="00A234A4"/>
    <w:rsid w:val="00A234BE"/>
    <w:rsid w:val="00A2388B"/>
    <w:rsid w:val="00A238D0"/>
    <w:rsid w:val="00A23CBA"/>
    <w:rsid w:val="00A23DC4"/>
    <w:rsid w:val="00A23E11"/>
    <w:rsid w:val="00A23F55"/>
    <w:rsid w:val="00A24030"/>
    <w:rsid w:val="00A24067"/>
    <w:rsid w:val="00A242B2"/>
    <w:rsid w:val="00A243CB"/>
    <w:rsid w:val="00A24576"/>
    <w:rsid w:val="00A246BA"/>
    <w:rsid w:val="00A24723"/>
    <w:rsid w:val="00A2480C"/>
    <w:rsid w:val="00A2498D"/>
    <w:rsid w:val="00A249C2"/>
    <w:rsid w:val="00A24AEE"/>
    <w:rsid w:val="00A24B11"/>
    <w:rsid w:val="00A24D13"/>
    <w:rsid w:val="00A24DA9"/>
    <w:rsid w:val="00A24FB5"/>
    <w:rsid w:val="00A25294"/>
    <w:rsid w:val="00A2529B"/>
    <w:rsid w:val="00A25354"/>
    <w:rsid w:val="00A256AF"/>
    <w:rsid w:val="00A25706"/>
    <w:rsid w:val="00A2582E"/>
    <w:rsid w:val="00A258FB"/>
    <w:rsid w:val="00A25964"/>
    <w:rsid w:val="00A259C9"/>
    <w:rsid w:val="00A25C64"/>
    <w:rsid w:val="00A25D0A"/>
    <w:rsid w:val="00A25F97"/>
    <w:rsid w:val="00A2618F"/>
    <w:rsid w:val="00A26262"/>
    <w:rsid w:val="00A26281"/>
    <w:rsid w:val="00A26585"/>
    <w:rsid w:val="00A265E5"/>
    <w:rsid w:val="00A2697C"/>
    <w:rsid w:val="00A26AB0"/>
    <w:rsid w:val="00A26BDE"/>
    <w:rsid w:val="00A26BE4"/>
    <w:rsid w:val="00A26C3B"/>
    <w:rsid w:val="00A26D10"/>
    <w:rsid w:val="00A26DF6"/>
    <w:rsid w:val="00A26E6C"/>
    <w:rsid w:val="00A26F84"/>
    <w:rsid w:val="00A270F0"/>
    <w:rsid w:val="00A2716E"/>
    <w:rsid w:val="00A274BD"/>
    <w:rsid w:val="00A274D0"/>
    <w:rsid w:val="00A275A5"/>
    <w:rsid w:val="00A275E4"/>
    <w:rsid w:val="00A27804"/>
    <w:rsid w:val="00A27B63"/>
    <w:rsid w:val="00A27CB2"/>
    <w:rsid w:val="00A27F62"/>
    <w:rsid w:val="00A3012F"/>
    <w:rsid w:val="00A30141"/>
    <w:rsid w:val="00A30244"/>
    <w:rsid w:val="00A305A1"/>
    <w:rsid w:val="00A30733"/>
    <w:rsid w:val="00A30966"/>
    <w:rsid w:val="00A30983"/>
    <w:rsid w:val="00A309F1"/>
    <w:rsid w:val="00A30A8B"/>
    <w:rsid w:val="00A30AE0"/>
    <w:rsid w:val="00A30C0A"/>
    <w:rsid w:val="00A30C10"/>
    <w:rsid w:val="00A30E78"/>
    <w:rsid w:val="00A30ECB"/>
    <w:rsid w:val="00A30F9B"/>
    <w:rsid w:val="00A3108E"/>
    <w:rsid w:val="00A3110D"/>
    <w:rsid w:val="00A31141"/>
    <w:rsid w:val="00A3128F"/>
    <w:rsid w:val="00A312DA"/>
    <w:rsid w:val="00A31659"/>
    <w:rsid w:val="00A31809"/>
    <w:rsid w:val="00A31889"/>
    <w:rsid w:val="00A31920"/>
    <w:rsid w:val="00A319A2"/>
    <w:rsid w:val="00A31B70"/>
    <w:rsid w:val="00A31BFE"/>
    <w:rsid w:val="00A31C95"/>
    <w:rsid w:val="00A31D36"/>
    <w:rsid w:val="00A31F06"/>
    <w:rsid w:val="00A31F41"/>
    <w:rsid w:val="00A3204F"/>
    <w:rsid w:val="00A32069"/>
    <w:rsid w:val="00A320BA"/>
    <w:rsid w:val="00A32285"/>
    <w:rsid w:val="00A327C4"/>
    <w:rsid w:val="00A32836"/>
    <w:rsid w:val="00A3290F"/>
    <w:rsid w:val="00A32914"/>
    <w:rsid w:val="00A32AE3"/>
    <w:rsid w:val="00A32C55"/>
    <w:rsid w:val="00A32C79"/>
    <w:rsid w:val="00A32E14"/>
    <w:rsid w:val="00A32E96"/>
    <w:rsid w:val="00A32F55"/>
    <w:rsid w:val="00A32FB1"/>
    <w:rsid w:val="00A333E6"/>
    <w:rsid w:val="00A3348F"/>
    <w:rsid w:val="00A33650"/>
    <w:rsid w:val="00A33730"/>
    <w:rsid w:val="00A339D4"/>
    <w:rsid w:val="00A33B5C"/>
    <w:rsid w:val="00A33C7E"/>
    <w:rsid w:val="00A33CC8"/>
    <w:rsid w:val="00A33CDC"/>
    <w:rsid w:val="00A33D3D"/>
    <w:rsid w:val="00A3409B"/>
    <w:rsid w:val="00A342CA"/>
    <w:rsid w:val="00A34380"/>
    <w:rsid w:val="00A343A6"/>
    <w:rsid w:val="00A344AC"/>
    <w:rsid w:val="00A34514"/>
    <w:rsid w:val="00A3452F"/>
    <w:rsid w:val="00A34805"/>
    <w:rsid w:val="00A34ACA"/>
    <w:rsid w:val="00A34B07"/>
    <w:rsid w:val="00A34C18"/>
    <w:rsid w:val="00A34C24"/>
    <w:rsid w:val="00A34F51"/>
    <w:rsid w:val="00A34FB4"/>
    <w:rsid w:val="00A34FBF"/>
    <w:rsid w:val="00A3513E"/>
    <w:rsid w:val="00A351A5"/>
    <w:rsid w:val="00A353C3"/>
    <w:rsid w:val="00A35508"/>
    <w:rsid w:val="00A355A2"/>
    <w:rsid w:val="00A35610"/>
    <w:rsid w:val="00A356D1"/>
    <w:rsid w:val="00A35829"/>
    <w:rsid w:val="00A35853"/>
    <w:rsid w:val="00A358F9"/>
    <w:rsid w:val="00A35A40"/>
    <w:rsid w:val="00A35A9E"/>
    <w:rsid w:val="00A35B64"/>
    <w:rsid w:val="00A35C40"/>
    <w:rsid w:val="00A35C86"/>
    <w:rsid w:val="00A35CCE"/>
    <w:rsid w:val="00A35D69"/>
    <w:rsid w:val="00A35F74"/>
    <w:rsid w:val="00A35FF8"/>
    <w:rsid w:val="00A360F6"/>
    <w:rsid w:val="00A361A1"/>
    <w:rsid w:val="00A362A6"/>
    <w:rsid w:val="00A36325"/>
    <w:rsid w:val="00A3635D"/>
    <w:rsid w:val="00A364DE"/>
    <w:rsid w:val="00A365E8"/>
    <w:rsid w:val="00A36B22"/>
    <w:rsid w:val="00A36D2B"/>
    <w:rsid w:val="00A37040"/>
    <w:rsid w:val="00A372C7"/>
    <w:rsid w:val="00A37446"/>
    <w:rsid w:val="00A37713"/>
    <w:rsid w:val="00A37AD5"/>
    <w:rsid w:val="00A37B08"/>
    <w:rsid w:val="00A37B86"/>
    <w:rsid w:val="00A37BBA"/>
    <w:rsid w:val="00A37CBE"/>
    <w:rsid w:val="00A37CE6"/>
    <w:rsid w:val="00A37D74"/>
    <w:rsid w:val="00A37E28"/>
    <w:rsid w:val="00A37E2F"/>
    <w:rsid w:val="00A37F89"/>
    <w:rsid w:val="00A40067"/>
    <w:rsid w:val="00A40319"/>
    <w:rsid w:val="00A4037E"/>
    <w:rsid w:val="00A40524"/>
    <w:rsid w:val="00A40680"/>
    <w:rsid w:val="00A40777"/>
    <w:rsid w:val="00A407FA"/>
    <w:rsid w:val="00A408D8"/>
    <w:rsid w:val="00A4099B"/>
    <w:rsid w:val="00A40A77"/>
    <w:rsid w:val="00A40B05"/>
    <w:rsid w:val="00A40BFC"/>
    <w:rsid w:val="00A40C5C"/>
    <w:rsid w:val="00A40CCE"/>
    <w:rsid w:val="00A40DB2"/>
    <w:rsid w:val="00A40E38"/>
    <w:rsid w:val="00A41208"/>
    <w:rsid w:val="00A412CC"/>
    <w:rsid w:val="00A41453"/>
    <w:rsid w:val="00A41471"/>
    <w:rsid w:val="00A4148A"/>
    <w:rsid w:val="00A414B6"/>
    <w:rsid w:val="00A418A0"/>
    <w:rsid w:val="00A41939"/>
    <w:rsid w:val="00A41A51"/>
    <w:rsid w:val="00A41BDC"/>
    <w:rsid w:val="00A41C37"/>
    <w:rsid w:val="00A41D51"/>
    <w:rsid w:val="00A41EB8"/>
    <w:rsid w:val="00A41FAE"/>
    <w:rsid w:val="00A4225E"/>
    <w:rsid w:val="00A42481"/>
    <w:rsid w:val="00A424F7"/>
    <w:rsid w:val="00A42543"/>
    <w:rsid w:val="00A426F7"/>
    <w:rsid w:val="00A42837"/>
    <w:rsid w:val="00A42988"/>
    <w:rsid w:val="00A429BC"/>
    <w:rsid w:val="00A42A88"/>
    <w:rsid w:val="00A42AFE"/>
    <w:rsid w:val="00A42C08"/>
    <w:rsid w:val="00A42D84"/>
    <w:rsid w:val="00A42DA6"/>
    <w:rsid w:val="00A43317"/>
    <w:rsid w:val="00A43326"/>
    <w:rsid w:val="00A43444"/>
    <w:rsid w:val="00A4347F"/>
    <w:rsid w:val="00A434E4"/>
    <w:rsid w:val="00A435B6"/>
    <w:rsid w:val="00A436DD"/>
    <w:rsid w:val="00A43960"/>
    <w:rsid w:val="00A43A86"/>
    <w:rsid w:val="00A43AB8"/>
    <w:rsid w:val="00A440D6"/>
    <w:rsid w:val="00A441C9"/>
    <w:rsid w:val="00A44305"/>
    <w:rsid w:val="00A443FB"/>
    <w:rsid w:val="00A44554"/>
    <w:rsid w:val="00A4459C"/>
    <w:rsid w:val="00A44665"/>
    <w:rsid w:val="00A4470E"/>
    <w:rsid w:val="00A44787"/>
    <w:rsid w:val="00A44869"/>
    <w:rsid w:val="00A448A7"/>
    <w:rsid w:val="00A44A67"/>
    <w:rsid w:val="00A44C3C"/>
    <w:rsid w:val="00A44C88"/>
    <w:rsid w:val="00A44D23"/>
    <w:rsid w:val="00A44DC3"/>
    <w:rsid w:val="00A44F3D"/>
    <w:rsid w:val="00A44F9F"/>
    <w:rsid w:val="00A45006"/>
    <w:rsid w:val="00A450CF"/>
    <w:rsid w:val="00A455F6"/>
    <w:rsid w:val="00A45675"/>
    <w:rsid w:val="00A456A9"/>
    <w:rsid w:val="00A458FE"/>
    <w:rsid w:val="00A459FF"/>
    <w:rsid w:val="00A45B37"/>
    <w:rsid w:val="00A45B8E"/>
    <w:rsid w:val="00A45C7F"/>
    <w:rsid w:val="00A45C85"/>
    <w:rsid w:val="00A45DAC"/>
    <w:rsid w:val="00A45E47"/>
    <w:rsid w:val="00A45FC9"/>
    <w:rsid w:val="00A4617B"/>
    <w:rsid w:val="00A46198"/>
    <w:rsid w:val="00A463D9"/>
    <w:rsid w:val="00A46436"/>
    <w:rsid w:val="00A46515"/>
    <w:rsid w:val="00A46963"/>
    <w:rsid w:val="00A46ABD"/>
    <w:rsid w:val="00A46B51"/>
    <w:rsid w:val="00A46D27"/>
    <w:rsid w:val="00A46F71"/>
    <w:rsid w:val="00A47110"/>
    <w:rsid w:val="00A471B3"/>
    <w:rsid w:val="00A47365"/>
    <w:rsid w:val="00A47639"/>
    <w:rsid w:val="00A476A1"/>
    <w:rsid w:val="00A4789E"/>
    <w:rsid w:val="00A47BFC"/>
    <w:rsid w:val="00A47EE3"/>
    <w:rsid w:val="00A47EFC"/>
    <w:rsid w:val="00A47F38"/>
    <w:rsid w:val="00A50333"/>
    <w:rsid w:val="00A50386"/>
    <w:rsid w:val="00A504C5"/>
    <w:rsid w:val="00A50526"/>
    <w:rsid w:val="00A50650"/>
    <w:rsid w:val="00A50655"/>
    <w:rsid w:val="00A50897"/>
    <w:rsid w:val="00A509DE"/>
    <w:rsid w:val="00A50A29"/>
    <w:rsid w:val="00A50AA3"/>
    <w:rsid w:val="00A50C62"/>
    <w:rsid w:val="00A50D91"/>
    <w:rsid w:val="00A51027"/>
    <w:rsid w:val="00A51361"/>
    <w:rsid w:val="00A51395"/>
    <w:rsid w:val="00A514DA"/>
    <w:rsid w:val="00A5150C"/>
    <w:rsid w:val="00A5150D"/>
    <w:rsid w:val="00A51610"/>
    <w:rsid w:val="00A51706"/>
    <w:rsid w:val="00A51708"/>
    <w:rsid w:val="00A5171C"/>
    <w:rsid w:val="00A5185C"/>
    <w:rsid w:val="00A5187A"/>
    <w:rsid w:val="00A51AF8"/>
    <w:rsid w:val="00A51BB0"/>
    <w:rsid w:val="00A51C85"/>
    <w:rsid w:val="00A51EBF"/>
    <w:rsid w:val="00A52085"/>
    <w:rsid w:val="00A52109"/>
    <w:rsid w:val="00A52187"/>
    <w:rsid w:val="00A522F2"/>
    <w:rsid w:val="00A5235E"/>
    <w:rsid w:val="00A52388"/>
    <w:rsid w:val="00A52593"/>
    <w:rsid w:val="00A526BD"/>
    <w:rsid w:val="00A526FC"/>
    <w:rsid w:val="00A52ADE"/>
    <w:rsid w:val="00A52B8B"/>
    <w:rsid w:val="00A52C82"/>
    <w:rsid w:val="00A52D40"/>
    <w:rsid w:val="00A52DB2"/>
    <w:rsid w:val="00A52EC0"/>
    <w:rsid w:val="00A52ED5"/>
    <w:rsid w:val="00A52FB6"/>
    <w:rsid w:val="00A531D1"/>
    <w:rsid w:val="00A53529"/>
    <w:rsid w:val="00A535FB"/>
    <w:rsid w:val="00A538CD"/>
    <w:rsid w:val="00A539DA"/>
    <w:rsid w:val="00A53B75"/>
    <w:rsid w:val="00A53C3D"/>
    <w:rsid w:val="00A53C78"/>
    <w:rsid w:val="00A53CC6"/>
    <w:rsid w:val="00A53DB6"/>
    <w:rsid w:val="00A53E1E"/>
    <w:rsid w:val="00A53ECD"/>
    <w:rsid w:val="00A53F1C"/>
    <w:rsid w:val="00A5411F"/>
    <w:rsid w:val="00A54135"/>
    <w:rsid w:val="00A541A3"/>
    <w:rsid w:val="00A5451C"/>
    <w:rsid w:val="00A545D4"/>
    <w:rsid w:val="00A5487F"/>
    <w:rsid w:val="00A54A7F"/>
    <w:rsid w:val="00A54ACF"/>
    <w:rsid w:val="00A54B26"/>
    <w:rsid w:val="00A54B2C"/>
    <w:rsid w:val="00A54D20"/>
    <w:rsid w:val="00A54E34"/>
    <w:rsid w:val="00A54ED1"/>
    <w:rsid w:val="00A5511A"/>
    <w:rsid w:val="00A551C5"/>
    <w:rsid w:val="00A55236"/>
    <w:rsid w:val="00A5589A"/>
    <w:rsid w:val="00A55A06"/>
    <w:rsid w:val="00A55B02"/>
    <w:rsid w:val="00A55CA7"/>
    <w:rsid w:val="00A55D78"/>
    <w:rsid w:val="00A55DBD"/>
    <w:rsid w:val="00A55ECE"/>
    <w:rsid w:val="00A560E7"/>
    <w:rsid w:val="00A5619B"/>
    <w:rsid w:val="00A561B5"/>
    <w:rsid w:val="00A561C7"/>
    <w:rsid w:val="00A562C0"/>
    <w:rsid w:val="00A56322"/>
    <w:rsid w:val="00A5644D"/>
    <w:rsid w:val="00A56499"/>
    <w:rsid w:val="00A56559"/>
    <w:rsid w:val="00A56649"/>
    <w:rsid w:val="00A56758"/>
    <w:rsid w:val="00A567B5"/>
    <w:rsid w:val="00A5688A"/>
    <w:rsid w:val="00A569D2"/>
    <w:rsid w:val="00A56A86"/>
    <w:rsid w:val="00A56AB6"/>
    <w:rsid w:val="00A56ACA"/>
    <w:rsid w:val="00A56CB3"/>
    <w:rsid w:val="00A56CC6"/>
    <w:rsid w:val="00A56E12"/>
    <w:rsid w:val="00A5708C"/>
    <w:rsid w:val="00A57221"/>
    <w:rsid w:val="00A572B8"/>
    <w:rsid w:val="00A57325"/>
    <w:rsid w:val="00A57334"/>
    <w:rsid w:val="00A573E4"/>
    <w:rsid w:val="00A5754A"/>
    <w:rsid w:val="00A57582"/>
    <w:rsid w:val="00A578BD"/>
    <w:rsid w:val="00A57AD9"/>
    <w:rsid w:val="00A57C2E"/>
    <w:rsid w:val="00A57E2A"/>
    <w:rsid w:val="00A601ED"/>
    <w:rsid w:val="00A60280"/>
    <w:rsid w:val="00A60299"/>
    <w:rsid w:val="00A6030B"/>
    <w:rsid w:val="00A60524"/>
    <w:rsid w:val="00A605F1"/>
    <w:rsid w:val="00A608C2"/>
    <w:rsid w:val="00A60945"/>
    <w:rsid w:val="00A60970"/>
    <w:rsid w:val="00A60FE4"/>
    <w:rsid w:val="00A6119E"/>
    <w:rsid w:val="00A6138B"/>
    <w:rsid w:val="00A613A8"/>
    <w:rsid w:val="00A61472"/>
    <w:rsid w:val="00A614BF"/>
    <w:rsid w:val="00A61593"/>
    <w:rsid w:val="00A6185F"/>
    <w:rsid w:val="00A61A72"/>
    <w:rsid w:val="00A61C06"/>
    <w:rsid w:val="00A61FB7"/>
    <w:rsid w:val="00A621D9"/>
    <w:rsid w:val="00A622B3"/>
    <w:rsid w:val="00A62385"/>
    <w:rsid w:val="00A6248A"/>
    <w:rsid w:val="00A624A1"/>
    <w:rsid w:val="00A625D3"/>
    <w:rsid w:val="00A625D8"/>
    <w:rsid w:val="00A62615"/>
    <w:rsid w:val="00A62832"/>
    <w:rsid w:val="00A62967"/>
    <w:rsid w:val="00A62C2F"/>
    <w:rsid w:val="00A62C44"/>
    <w:rsid w:val="00A62F17"/>
    <w:rsid w:val="00A62FC8"/>
    <w:rsid w:val="00A63260"/>
    <w:rsid w:val="00A63434"/>
    <w:rsid w:val="00A63571"/>
    <w:rsid w:val="00A635C1"/>
    <w:rsid w:val="00A63A89"/>
    <w:rsid w:val="00A63DC6"/>
    <w:rsid w:val="00A63E73"/>
    <w:rsid w:val="00A6415E"/>
    <w:rsid w:val="00A6418B"/>
    <w:rsid w:val="00A6425F"/>
    <w:rsid w:val="00A64291"/>
    <w:rsid w:val="00A64361"/>
    <w:rsid w:val="00A6436F"/>
    <w:rsid w:val="00A6454E"/>
    <w:rsid w:val="00A6456B"/>
    <w:rsid w:val="00A646B6"/>
    <w:rsid w:val="00A64CAE"/>
    <w:rsid w:val="00A64D67"/>
    <w:rsid w:val="00A64FDD"/>
    <w:rsid w:val="00A6506E"/>
    <w:rsid w:val="00A650D0"/>
    <w:rsid w:val="00A653A2"/>
    <w:rsid w:val="00A655A3"/>
    <w:rsid w:val="00A65B33"/>
    <w:rsid w:val="00A65B9F"/>
    <w:rsid w:val="00A65E94"/>
    <w:rsid w:val="00A65F2A"/>
    <w:rsid w:val="00A65FA0"/>
    <w:rsid w:val="00A66685"/>
    <w:rsid w:val="00A666D9"/>
    <w:rsid w:val="00A66797"/>
    <w:rsid w:val="00A66A3D"/>
    <w:rsid w:val="00A66ABA"/>
    <w:rsid w:val="00A66B43"/>
    <w:rsid w:val="00A66C4B"/>
    <w:rsid w:val="00A66CE3"/>
    <w:rsid w:val="00A66E06"/>
    <w:rsid w:val="00A66EA8"/>
    <w:rsid w:val="00A66EDB"/>
    <w:rsid w:val="00A66FFA"/>
    <w:rsid w:val="00A676AC"/>
    <w:rsid w:val="00A676C5"/>
    <w:rsid w:val="00A6778B"/>
    <w:rsid w:val="00A67A34"/>
    <w:rsid w:val="00A67AD5"/>
    <w:rsid w:val="00A67B2D"/>
    <w:rsid w:val="00A67C53"/>
    <w:rsid w:val="00A67E12"/>
    <w:rsid w:val="00A67ECF"/>
    <w:rsid w:val="00A70073"/>
    <w:rsid w:val="00A703BB"/>
    <w:rsid w:val="00A70575"/>
    <w:rsid w:val="00A706AA"/>
    <w:rsid w:val="00A70ABD"/>
    <w:rsid w:val="00A70D80"/>
    <w:rsid w:val="00A70F19"/>
    <w:rsid w:val="00A710D3"/>
    <w:rsid w:val="00A7129E"/>
    <w:rsid w:val="00A713F0"/>
    <w:rsid w:val="00A7158E"/>
    <w:rsid w:val="00A71B33"/>
    <w:rsid w:val="00A71D7A"/>
    <w:rsid w:val="00A71E8B"/>
    <w:rsid w:val="00A72016"/>
    <w:rsid w:val="00A72052"/>
    <w:rsid w:val="00A72293"/>
    <w:rsid w:val="00A722BD"/>
    <w:rsid w:val="00A722CD"/>
    <w:rsid w:val="00A7273E"/>
    <w:rsid w:val="00A727C8"/>
    <w:rsid w:val="00A72880"/>
    <w:rsid w:val="00A728D4"/>
    <w:rsid w:val="00A72907"/>
    <w:rsid w:val="00A729DE"/>
    <w:rsid w:val="00A72AA5"/>
    <w:rsid w:val="00A72B3A"/>
    <w:rsid w:val="00A72B93"/>
    <w:rsid w:val="00A72DEE"/>
    <w:rsid w:val="00A72E03"/>
    <w:rsid w:val="00A7316C"/>
    <w:rsid w:val="00A7341D"/>
    <w:rsid w:val="00A73501"/>
    <w:rsid w:val="00A73703"/>
    <w:rsid w:val="00A738C5"/>
    <w:rsid w:val="00A73A26"/>
    <w:rsid w:val="00A73B63"/>
    <w:rsid w:val="00A73EDE"/>
    <w:rsid w:val="00A73F8A"/>
    <w:rsid w:val="00A73F93"/>
    <w:rsid w:val="00A74178"/>
    <w:rsid w:val="00A7455D"/>
    <w:rsid w:val="00A74635"/>
    <w:rsid w:val="00A746C8"/>
    <w:rsid w:val="00A74840"/>
    <w:rsid w:val="00A74B49"/>
    <w:rsid w:val="00A74C97"/>
    <w:rsid w:val="00A74EC5"/>
    <w:rsid w:val="00A752CD"/>
    <w:rsid w:val="00A75531"/>
    <w:rsid w:val="00A75602"/>
    <w:rsid w:val="00A75770"/>
    <w:rsid w:val="00A7597F"/>
    <w:rsid w:val="00A75AA2"/>
    <w:rsid w:val="00A75B91"/>
    <w:rsid w:val="00A75C35"/>
    <w:rsid w:val="00A75F5E"/>
    <w:rsid w:val="00A75F6C"/>
    <w:rsid w:val="00A7625D"/>
    <w:rsid w:val="00A7656E"/>
    <w:rsid w:val="00A7674F"/>
    <w:rsid w:val="00A7680F"/>
    <w:rsid w:val="00A76860"/>
    <w:rsid w:val="00A768D1"/>
    <w:rsid w:val="00A76A74"/>
    <w:rsid w:val="00A76C95"/>
    <w:rsid w:val="00A76E07"/>
    <w:rsid w:val="00A76FA4"/>
    <w:rsid w:val="00A77122"/>
    <w:rsid w:val="00A774D9"/>
    <w:rsid w:val="00A775DA"/>
    <w:rsid w:val="00A7761B"/>
    <w:rsid w:val="00A7792D"/>
    <w:rsid w:val="00A77A1C"/>
    <w:rsid w:val="00A77A29"/>
    <w:rsid w:val="00A77A3D"/>
    <w:rsid w:val="00A77AF9"/>
    <w:rsid w:val="00A77BA6"/>
    <w:rsid w:val="00A77CDF"/>
    <w:rsid w:val="00A77E0F"/>
    <w:rsid w:val="00A77E6C"/>
    <w:rsid w:val="00A77EEA"/>
    <w:rsid w:val="00A8007B"/>
    <w:rsid w:val="00A802F4"/>
    <w:rsid w:val="00A8035B"/>
    <w:rsid w:val="00A80366"/>
    <w:rsid w:val="00A80437"/>
    <w:rsid w:val="00A806BD"/>
    <w:rsid w:val="00A808E8"/>
    <w:rsid w:val="00A80985"/>
    <w:rsid w:val="00A809E9"/>
    <w:rsid w:val="00A80B80"/>
    <w:rsid w:val="00A80BFF"/>
    <w:rsid w:val="00A80CED"/>
    <w:rsid w:val="00A80DAD"/>
    <w:rsid w:val="00A80DF0"/>
    <w:rsid w:val="00A80EB2"/>
    <w:rsid w:val="00A80FCC"/>
    <w:rsid w:val="00A8104D"/>
    <w:rsid w:val="00A8110B"/>
    <w:rsid w:val="00A8123D"/>
    <w:rsid w:val="00A81282"/>
    <w:rsid w:val="00A812BE"/>
    <w:rsid w:val="00A81334"/>
    <w:rsid w:val="00A8165A"/>
    <w:rsid w:val="00A817B1"/>
    <w:rsid w:val="00A818B3"/>
    <w:rsid w:val="00A819E7"/>
    <w:rsid w:val="00A81A63"/>
    <w:rsid w:val="00A81CD6"/>
    <w:rsid w:val="00A8202B"/>
    <w:rsid w:val="00A82175"/>
    <w:rsid w:val="00A8223A"/>
    <w:rsid w:val="00A82282"/>
    <w:rsid w:val="00A822D2"/>
    <w:rsid w:val="00A823D7"/>
    <w:rsid w:val="00A82838"/>
    <w:rsid w:val="00A82BB4"/>
    <w:rsid w:val="00A82BBC"/>
    <w:rsid w:val="00A82BF0"/>
    <w:rsid w:val="00A82E9F"/>
    <w:rsid w:val="00A8337F"/>
    <w:rsid w:val="00A833D6"/>
    <w:rsid w:val="00A835BF"/>
    <w:rsid w:val="00A837D2"/>
    <w:rsid w:val="00A83B6C"/>
    <w:rsid w:val="00A83BB0"/>
    <w:rsid w:val="00A83E76"/>
    <w:rsid w:val="00A83FAF"/>
    <w:rsid w:val="00A841B9"/>
    <w:rsid w:val="00A841C0"/>
    <w:rsid w:val="00A84273"/>
    <w:rsid w:val="00A843EE"/>
    <w:rsid w:val="00A845AD"/>
    <w:rsid w:val="00A84876"/>
    <w:rsid w:val="00A84AD4"/>
    <w:rsid w:val="00A84AFD"/>
    <w:rsid w:val="00A84B5E"/>
    <w:rsid w:val="00A84D64"/>
    <w:rsid w:val="00A8502A"/>
    <w:rsid w:val="00A850B5"/>
    <w:rsid w:val="00A85129"/>
    <w:rsid w:val="00A85133"/>
    <w:rsid w:val="00A85190"/>
    <w:rsid w:val="00A851C7"/>
    <w:rsid w:val="00A85524"/>
    <w:rsid w:val="00A8561D"/>
    <w:rsid w:val="00A85743"/>
    <w:rsid w:val="00A8574E"/>
    <w:rsid w:val="00A8579D"/>
    <w:rsid w:val="00A85A9E"/>
    <w:rsid w:val="00A85AF0"/>
    <w:rsid w:val="00A85B31"/>
    <w:rsid w:val="00A85BB2"/>
    <w:rsid w:val="00A85C47"/>
    <w:rsid w:val="00A860A5"/>
    <w:rsid w:val="00A8610D"/>
    <w:rsid w:val="00A86167"/>
    <w:rsid w:val="00A86172"/>
    <w:rsid w:val="00A864A4"/>
    <w:rsid w:val="00A864C9"/>
    <w:rsid w:val="00A86626"/>
    <w:rsid w:val="00A86AB1"/>
    <w:rsid w:val="00A86C47"/>
    <w:rsid w:val="00A8715A"/>
    <w:rsid w:val="00A87319"/>
    <w:rsid w:val="00A873AE"/>
    <w:rsid w:val="00A875A7"/>
    <w:rsid w:val="00A8766C"/>
    <w:rsid w:val="00A8771F"/>
    <w:rsid w:val="00A87815"/>
    <w:rsid w:val="00A8798D"/>
    <w:rsid w:val="00A87A41"/>
    <w:rsid w:val="00A87DC7"/>
    <w:rsid w:val="00A901B4"/>
    <w:rsid w:val="00A90353"/>
    <w:rsid w:val="00A906D8"/>
    <w:rsid w:val="00A906DD"/>
    <w:rsid w:val="00A9073F"/>
    <w:rsid w:val="00A908E7"/>
    <w:rsid w:val="00A90961"/>
    <w:rsid w:val="00A90AB9"/>
    <w:rsid w:val="00A90B2D"/>
    <w:rsid w:val="00A90C7F"/>
    <w:rsid w:val="00A90E45"/>
    <w:rsid w:val="00A90E80"/>
    <w:rsid w:val="00A912C1"/>
    <w:rsid w:val="00A9138E"/>
    <w:rsid w:val="00A9144C"/>
    <w:rsid w:val="00A918A7"/>
    <w:rsid w:val="00A91A1E"/>
    <w:rsid w:val="00A91BD2"/>
    <w:rsid w:val="00A91C96"/>
    <w:rsid w:val="00A920B8"/>
    <w:rsid w:val="00A92157"/>
    <w:rsid w:val="00A9218B"/>
    <w:rsid w:val="00A92214"/>
    <w:rsid w:val="00A92344"/>
    <w:rsid w:val="00A92624"/>
    <w:rsid w:val="00A926EB"/>
    <w:rsid w:val="00A927B8"/>
    <w:rsid w:val="00A92886"/>
    <w:rsid w:val="00A928DE"/>
    <w:rsid w:val="00A92916"/>
    <w:rsid w:val="00A92940"/>
    <w:rsid w:val="00A929DF"/>
    <w:rsid w:val="00A929FD"/>
    <w:rsid w:val="00A92B94"/>
    <w:rsid w:val="00A92DA0"/>
    <w:rsid w:val="00A92E04"/>
    <w:rsid w:val="00A92E8D"/>
    <w:rsid w:val="00A92F3D"/>
    <w:rsid w:val="00A92F47"/>
    <w:rsid w:val="00A92FDC"/>
    <w:rsid w:val="00A9325E"/>
    <w:rsid w:val="00A932C0"/>
    <w:rsid w:val="00A9342C"/>
    <w:rsid w:val="00A934C1"/>
    <w:rsid w:val="00A935DF"/>
    <w:rsid w:val="00A936ED"/>
    <w:rsid w:val="00A93961"/>
    <w:rsid w:val="00A939CA"/>
    <w:rsid w:val="00A93AF5"/>
    <w:rsid w:val="00A93DF6"/>
    <w:rsid w:val="00A93E04"/>
    <w:rsid w:val="00A93E35"/>
    <w:rsid w:val="00A93F4F"/>
    <w:rsid w:val="00A940E8"/>
    <w:rsid w:val="00A94321"/>
    <w:rsid w:val="00A9453C"/>
    <w:rsid w:val="00A94553"/>
    <w:rsid w:val="00A9462B"/>
    <w:rsid w:val="00A947B0"/>
    <w:rsid w:val="00A94B75"/>
    <w:rsid w:val="00A94BCD"/>
    <w:rsid w:val="00A94CBE"/>
    <w:rsid w:val="00A94D27"/>
    <w:rsid w:val="00A94FA6"/>
    <w:rsid w:val="00A95189"/>
    <w:rsid w:val="00A952F8"/>
    <w:rsid w:val="00A9536C"/>
    <w:rsid w:val="00A955A2"/>
    <w:rsid w:val="00A955F2"/>
    <w:rsid w:val="00A956F5"/>
    <w:rsid w:val="00A95767"/>
    <w:rsid w:val="00A959D4"/>
    <w:rsid w:val="00A959E3"/>
    <w:rsid w:val="00A95BC3"/>
    <w:rsid w:val="00A95D7A"/>
    <w:rsid w:val="00A95D9E"/>
    <w:rsid w:val="00A95DF7"/>
    <w:rsid w:val="00A95EFA"/>
    <w:rsid w:val="00A95FB4"/>
    <w:rsid w:val="00A95FE9"/>
    <w:rsid w:val="00A96093"/>
    <w:rsid w:val="00A96136"/>
    <w:rsid w:val="00A96363"/>
    <w:rsid w:val="00A963D7"/>
    <w:rsid w:val="00A9650A"/>
    <w:rsid w:val="00A965C9"/>
    <w:rsid w:val="00A966A7"/>
    <w:rsid w:val="00A96803"/>
    <w:rsid w:val="00A9684C"/>
    <w:rsid w:val="00A96A12"/>
    <w:rsid w:val="00A96B37"/>
    <w:rsid w:val="00A96B88"/>
    <w:rsid w:val="00A96C4B"/>
    <w:rsid w:val="00A96DA4"/>
    <w:rsid w:val="00A96E2A"/>
    <w:rsid w:val="00A96E97"/>
    <w:rsid w:val="00A96F0B"/>
    <w:rsid w:val="00A970A2"/>
    <w:rsid w:val="00A973C3"/>
    <w:rsid w:val="00A9741C"/>
    <w:rsid w:val="00A9742E"/>
    <w:rsid w:val="00A97530"/>
    <w:rsid w:val="00A9762E"/>
    <w:rsid w:val="00A97922"/>
    <w:rsid w:val="00A97A85"/>
    <w:rsid w:val="00A97AB0"/>
    <w:rsid w:val="00A97B87"/>
    <w:rsid w:val="00A97C93"/>
    <w:rsid w:val="00A97CCC"/>
    <w:rsid w:val="00A97EC5"/>
    <w:rsid w:val="00A97F53"/>
    <w:rsid w:val="00AA01D0"/>
    <w:rsid w:val="00AA01F3"/>
    <w:rsid w:val="00AA02E7"/>
    <w:rsid w:val="00AA0365"/>
    <w:rsid w:val="00AA052E"/>
    <w:rsid w:val="00AA05E5"/>
    <w:rsid w:val="00AA06B2"/>
    <w:rsid w:val="00AA0852"/>
    <w:rsid w:val="00AA08EF"/>
    <w:rsid w:val="00AA096F"/>
    <w:rsid w:val="00AA0A18"/>
    <w:rsid w:val="00AA0E30"/>
    <w:rsid w:val="00AA0E9E"/>
    <w:rsid w:val="00AA0EC5"/>
    <w:rsid w:val="00AA10E9"/>
    <w:rsid w:val="00AA1121"/>
    <w:rsid w:val="00AA1607"/>
    <w:rsid w:val="00AA16C0"/>
    <w:rsid w:val="00AA19D9"/>
    <w:rsid w:val="00AA1AC0"/>
    <w:rsid w:val="00AA1D39"/>
    <w:rsid w:val="00AA1D48"/>
    <w:rsid w:val="00AA1F28"/>
    <w:rsid w:val="00AA1FBC"/>
    <w:rsid w:val="00AA21C6"/>
    <w:rsid w:val="00AA2218"/>
    <w:rsid w:val="00AA236B"/>
    <w:rsid w:val="00AA2696"/>
    <w:rsid w:val="00AA2912"/>
    <w:rsid w:val="00AA2C63"/>
    <w:rsid w:val="00AA2CA2"/>
    <w:rsid w:val="00AA2D7C"/>
    <w:rsid w:val="00AA2E31"/>
    <w:rsid w:val="00AA2F51"/>
    <w:rsid w:val="00AA2F87"/>
    <w:rsid w:val="00AA305F"/>
    <w:rsid w:val="00AA3127"/>
    <w:rsid w:val="00AA3141"/>
    <w:rsid w:val="00AA32E4"/>
    <w:rsid w:val="00AA3403"/>
    <w:rsid w:val="00AA340B"/>
    <w:rsid w:val="00AA364C"/>
    <w:rsid w:val="00AA3823"/>
    <w:rsid w:val="00AA3895"/>
    <w:rsid w:val="00AA3976"/>
    <w:rsid w:val="00AA3DF5"/>
    <w:rsid w:val="00AA409F"/>
    <w:rsid w:val="00AA4160"/>
    <w:rsid w:val="00AA4181"/>
    <w:rsid w:val="00AA4202"/>
    <w:rsid w:val="00AA43E2"/>
    <w:rsid w:val="00AA44A1"/>
    <w:rsid w:val="00AA44A3"/>
    <w:rsid w:val="00AA460D"/>
    <w:rsid w:val="00AA48B5"/>
    <w:rsid w:val="00AA48CF"/>
    <w:rsid w:val="00AA4A54"/>
    <w:rsid w:val="00AA4A92"/>
    <w:rsid w:val="00AA4B43"/>
    <w:rsid w:val="00AA4B5B"/>
    <w:rsid w:val="00AA4C87"/>
    <w:rsid w:val="00AA4D40"/>
    <w:rsid w:val="00AA4DAA"/>
    <w:rsid w:val="00AA5042"/>
    <w:rsid w:val="00AA513E"/>
    <w:rsid w:val="00AA5585"/>
    <w:rsid w:val="00AA55C5"/>
    <w:rsid w:val="00AA56D2"/>
    <w:rsid w:val="00AA57F3"/>
    <w:rsid w:val="00AA5B48"/>
    <w:rsid w:val="00AA5CD9"/>
    <w:rsid w:val="00AA5CE8"/>
    <w:rsid w:val="00AA5EAC"/>
    <w:rsid w:val="00AA6016"/>
    <w:rsid w:val="00AA6031"/>
    <w:rsid w:val="00AA605E"/>
    <w:rsid w:val="00AA6067"/>
    <w:rsid w:val="00AA61A0"/>
    <w:rsid w:val="00AA6330"/>
    <w:rsid w:val="00AA67BE"/>
    <w:rsid w:val="00AA67F0"/>
    <w:rsid w:val="00AA69EB"/>
    <w:rsid w:val="00AA6A9E"/>
    <w:rsid w:val="00AA6C2C"/>
    <w:rsid w:val="00AA6CB6"/>
    <w:rsid w:val="00AA6DBD"/>
    <w:rsid w:val="00AA6F06"/>
    <w:rsid w:val="00AA737A"/>
    <w:rsid w:val="00AA7416"/>
    <w:rsid w:val="00AA74CB"/>
    <w:rsid w:val="00AA7521"/>
    <w:rsid w:val="00AA753E"/>
    <w:rsid w:val="00AA7551"/>
    <w:rsid w:val="00AA75E5"/>
    <w:rsid w:val="00AA7640"/>
    <w:rsid w:val="00AA7673"/>
    <w:rsid w:val="00AA769C"/>
    <w:rsid w:val="00AA7773"/>
    <w:rsid w:val="00AA7864"/>
    <w:rsid w:val="00AA78E6"/>
    <w:rsid w:val="00AA7948"/>
    <w:rsid w:val="00AA79C8"/>
    <w:rsid w:val="00AA7B8F"/>
    <w:rsid w:val="00AA7C1C"/>
    <w:rsid w:val="00AA7C40"/>
    <w:rsid w:val="00AA7F12"/>
    <w:rsid w:val="00AA7F21"/>
    <w:rsid w:val="00AA7F6A"/>
    <w:rsid w:val="00AA7FA3"/>
    <w:rsid w:val="00AB013C"/>
    <w:rsid w:val="00AB0173"/>
    <w:rsid w:val="00AB0181"/>
    <w:rsid w:val="00AB03E3"/>
    <w:rsid w:val="00AB0536"/>
    <w:rsid w:val="00AB08CC"/>
    <w:rsid w:val="00AB0955"/>
    <w:rsid w:val="00AB09E5"/>
    <w:rsid w:val="00AB0A1E"/>
    <w:rsid w:val="00AB0B63"/>
    <w:rsid w:val="00AB0C25"/>
    <w:rsid w:val="00AB0E55"/>
    <w:rsid w:val="00AB0F24"/>
    <w:rsid w:val="00AB1110"/>
    <w:rsid w:val="00AB121C"/>
    <w:rsid w:val="00AB1406"/>
    <w:rsid w:val="00AB152F"/>
    <w:rsid w:val="00AB1761"/>
    <w:rsid w:val="00AB1853"/>
    <w:rsid w:val="00AB192A"/>
    <w:rsid w:val="00AB1963"/>
    <w:rsid w:val="00AB1B1D"/>
    <w:rsid w:val="00AB1C1F"/>
    <w:rsid w:val="00AB1D45"/>
    <w:rsid w:val="00AB2048"/>
    <w:rsid w:val="00AB2072"/>
    <w:rsid w:val="00AB2203"/>
    <w:rsid w:val="00AB239B"/>
    <w:rsid w:val="00AB2637"/>
    <w:rsid w:val="00AB27DE"/>
    <w:rsid w:val="00AB2A7D"/>
    <w:rsid w:val="00AB2CA6"/>
    <w:rsid w:val="00AB2DD8"/>
    <w:rsid w:val="00AB2E0C"/>
    <w:rsid w:val="00AB2EBD"/>
    <w:rsid w:val="00AB2FDF"/>
    <w:rsid w:val="00AB2FE4"/>
    <w:rsid w:val="00AB304A"/>
    <w:rsid w:val="00AB3114"/>
    <w:rsid w:val="00AB320C"/>
    <w:rsid w:val="00AB324B"/>
    <w:rsid w:val="00AB32BC"/>
    <w:rsid w:val="00AB3393"/>
    <w:rsid w:val="00AB3641"/>
    <w:rsid w:val="00AB3651"/>
    <w:rsid w:val="00AB36F2"/>
    <w:rsid w:val="00AB3735"/>
    <w:rsid w:val="00AB37C5"/>
    <w:rsid w:val="00AB385B"/>
    <w:rsid w:val="00AB3880"/>
    <w:rsid w:val="00AB3B45"/>
    <w:rsid w:val="00AB3B79"/>
    <w:rsid w:val="00AB3CBC"/>
    <w:rsid w:val="00AB3F14"/>
    <w:rsid w:val="00AB3F28"/>
    <w:rsid w:val="00AB426A"/>
    <w:rsid w:val="00AB455B"/>
    <w:rsid w:val="00AB45FD"/>
    <w:rsid w:val="00AB48B5"/>
    <w:rsid w:val="00AB4A4F"/>
    <w:rsid w:val="00AB4B75"/>
    <w:rsid w:val="00AB4C9D"/>
    <w:rsid w:val="00AB4DC9"/>
    <w:rsid w:val="00AB5011"/>
    <w:rsid w:val="00AB506C"/>
    <w:rsid w:val="00AB529E"/>
    <w:rsid w:val="00AB53A0"/>
    <w:rsid w:val="00AB54EA"/>
    <w:rsid w:val="00AB561B"/>
    <w:rsid w:val="00AB5844"/>
    <w:rsid w:val="00AB59DC"/>
    <w:rsid w:val="00AB5A82"/>
    <w:rsid w:val="00AB5C9B"/>
    <w:rsid w:val="00AB5DA1"/>
    <w:rsid w:val="00AB60C0"/>
    <w:rsid w:val="00AB61AF"/>
    <w:rsid w:val="00AB647A"/>
    <w:rsid w:val="00AB64D6"/>
    <w:rsid w:val="00AB6568"/>
    <w:rsid w:val="00AB65A6"/>
    <w:rsid w:val="00AB6629"/>
    <w:rsid w:val="00AB665F"/>
    <w:rsid w:val="00AB6A12"/>
    <w:rsid w:val="00AB6ABD"/>
    <w:rsid w:val="00AB6AE4"/>
    <w:rsid w:val="00AB6B59"/>
    <w:rsid w:val="00AB6BC6"/>
    <w:rsid w:val="00AB7032"/>
    <w:rsid w:val="00AB70DB"/>
    <w:rsid w:val="00AB7187"/>
    <w:rsid w:val="00AB7363"/>
    <w:rsid w:val="00AB7365"/>
    <w:rsid w:val="00AB752B"/>
    <w:rsid w:val="00AB7619"/>
    <w:rsid w:val="00AB76F3"/>
    <w:rsid w:val="00AB7714"/>
    <w:rsid w:val="00AB7839"/>
    <w:rsid w:val="00AB799F"/>
    <w:rsid w:val="00AB7AEE"/>
    <w:rsid w:val="00AB7B69"/>
    <w:rsid w:val="00AB7C4A"/>
    <w:rsid w:val="00AB7DBD"/>
    <w:rsid w:val="00AB7DE9"/>
    <w:rsid w:val="00AB7F83"/>
    <w:rsid w:val="00AB7FDF"/>
    <w:rsid w:val="00AC00F3"/>
    <w:rsid w:val="00AC01E7"/>
    <w:rsid w:val="00AC03A0"/>
    <w:rsid w:val="00AC03EE"/>
    <w:rsid w:val="00AC0465"/>
    <w:rsid w:val="00AC04B1"/>
    <w:rsid w:val="00AC05E9"/>
    <w:rsid w:val="00AC0724"/>
    <w:rsid w:val="00AC09A5"/>
    <w:rsid w:val="00AC0AD2"/>
    <w:rsid w:val="00AC0BEF"/>
    <w:rsid w:val="00AC0D49"/>
    <w:rsid w:val="00AC0F8E"/>
    <w:rsid w:val="00AC12DD"/>
    <w:rsid w:val="00AC14C4"/>
    <w:rsid w:val="00AC1799"/>
    <w:rsid w:val="00AC1847"/>
    <w:rsid w:val="00AC188B"/>
    <w:rsid w:val="00AC1B59"/>
    <w:rsid w:val="00AC1B92"/>
    <w:rsid w:val="00AC1C4E"/>
    <w:rsid w:val="00AC1DBC"/>
    <w:rsid w:val="00AC1F89"/>
    <w:rsid w:val="00AC245A"/>
    <w:rsid w:val="00AC2529"/>
    <w:rsid w:val="00AC2750"/>
    <w:rsid w:val="00AC2770"/>
    <w:rsid w:val="00AC28DC"/>
    <w:rsid w:val="00AC2974"/>
    <w:rsid w:val="00AC2A20"/>
    <w:rsid w:val="00AC2B6B"/>
    <w:rsid w:val="00AC2C16"/>
    <w:rsid w:val="00AC2C5D"/>
    <w:rsid w:val="00AC315C"/>
    <w:rsid w:val="00AC31DB"/>
    <w:rsid w:val="00AC33E8"/>
    <w:rsid w:val="00AC34EB"/>
    <w:rsid w:val="00AC354A"/>
    <w:rsid w:val="00AC365E"/>
    <w:rsid w:val="00AC37AE"/>
    <w:rsid w:val="00AC38B3"/>
    <w:rsid w:val="00AC396E"/>
    <w:rsid w:val="00AC39B1"/>
    <w:rsid w:val="00AC3AEC"/>
    <w:rsid w:val="00AC3B36"/>
    <w:rsid w:val="00AC3CA3"/>
    <w:rsid w:val="00AC3DD7"/>
    <w:rsid w:val="00AC3E0F"/>
    <w:rsid w:val="00AC409F"/>
    <w:rsid w:val="00AC40CB"/>
    <w:rsid w:val="00AC4189"/>
    <w:rsid w:val="00AC41CE"/>
    <w:rsid w:val="00AC4232"/>
    <w:rsid w:val="00AC42AB"/>
    <w:rsid w:val="00AC42F9"/>
    <w:rsid w:val="00AC4450"/>
    <w:rsid w:val="00AC4525"/>
    <w:rsid w:val="00AC45F2"/>
    <w:rsid w:val="00AC4B99"/>
    <w:rsid w:val="00AC4C3B"/>
    <w:rsid w:val="00AC5070"/>
    <w:rsid w:val="00AC5130"/>
    <w:rsid w:val="00AC539A"/>
    <w:rsid w:val="00AC53B1"/>
    <w:rsid w:val="00AC55C9"/>
    <w:rsid w:val="00AC57EC"/>
    <w:rsid w:val="00AC5967"/>
    <w:rsid w:val="00AC59C9"/>
    <w:rsid w:val="00AC5A24"/>
    <w:rsid w:val="00AC5AEF"/>
    <w:rsid w:val="00AC5BEF"/>
    <w:rsid w:val="00AC5C8E"/>
    <w:rsid w:val="00AC5CAE"/>
    <w:rsid w:val="00AC5FEA"/>
    <w:rsid w:val="00AC5FF8"/>
    <w:rsid w:val="00AC6119"/>
    <w:rsid w:val="00AC62ED"/>
    <w:rsid w:val="00AC64A7"/>
    <w:rsid w:val="00AC64F3"/>
    <w:rsid w:val="00AC65F9"/>
    <w:rsid w:val="00AC673C"/>
    <w:rsid w:val="00AC6789"/>
    <w:rsid w:val="00AC69AF"/>
    <w:rsid w:val="00AC6ADA"/>
    <w:rsid w:val="00AC6C7C"/>
    <w:rsid w:val="00AC6E48"/>
    <w:rsid w:val="00AC6F23"/>
    <w:rsid w:val="00AC71A0"/>
    <w:rsid w:val="00AC72C0"/>
    <w:rsid w:val="00AC7476"/>
    <w:rsid w:val="00AC751F"/>
    <w:rsid w:val="00AC7629"/>
    <w:rsid w:val="00AC7683"/>
    <w:rsid w:val="00AC79A8"/>
    <w:rsid w:val="00AC7A05"/>
    <w:rsid w:val="00AC7A48"/>
    <w:rsid w:val="00AC7CE6"/>
    <w:rsid w:val="00AC7E23"/>
    <w:rsid w:val="00AC7E96"/>
    <w:rsid w:val="00ACBC17"/>
    <w:rsid w:val="00AD00BF"/>
    <w:rsid w:val="00AD00E0"/>
    <w:rsid w:val="00AD00E7"/>
    <w:rsid w:val="00AD01B2"/>
    <w:rsid w:val="00AD01DA"/>
    <w:rsid w:val="00AD047F"/>
    <w:rsid w:val="00AD0514"/>
    <w:rsid w:val="00AD0696"/>
    <w:rsid w:val="00AD0878"/>
    <w:rsid w:val="00AD0ED8"/>
    <w:rsid w:val="00AD0F39"/>
    <w:rsid w:val="00AD124E"/>
    <w:rsid w:val="00AD13B1"/>
    <w:rsid w:val="00AD1477"/>
    <w:rsid w:val="00AD17E4"/>
    <w:rsid w:val="00AD1830"/>
    <w:rsid w:val="00AD1869"/>
    <w:rsid w:val="00AD196E"/>
    <w:rsid w:val="00AD19B2"/>
    <w:rsid w:val="00AD1A47"/>
    <w:rsid w:val="00AD1B9B"/>
    <w:rsid w:val="00AD20BF"/>
    <w:rsid w:val="00AD2267"/>
    <w:rsid w:val="00AD2318"/>
    <w:rsid w:val="00AD2322"/>
    <w:rsid w:val="00AD2410"/>
    <w:rsid w:val="00AD2415"/>
    <w:rsid w:val="00AD249C"/>
    <w:rsid w:val="00AD24F0"/>
    <w:rsid w:val="00AD275F"/>
    <w:rsid w:val="00AD27AD"/>
    <w:rsid w:val="00AD2857"/>
    <w:rsid w:val="00AD2883"/>
    <w:rsid w:val="00AD28DF"/>
    <w:rsid w:val="00AD2B00"/>
    <w:rsid w:val="00AD2B5D"/>
    <w:rsid w:val="00AD2C68"/>
    <w:rsid w:val="00AD2FDD"/>
    <w:rsid w:val="00AD3148"/>
    <w:rsid w:val="00AD334F"/>
    <w:rsid w:val="00AD34B4"/>
    <w:rsid w:val="00AD34C9"/>
    <w:rsid w:val="00AD35CA"/>
    <w:rsid w:val="00AD3635"/>
    <w:rsid w:val="00AD3754"/>
    <w:rsid w:val="00AD3773"/>
    <w:rsid w:val="00AD38AC"/>
    <w:rsid w:val="00AD3B56"/>
    <w:rsid w:val="00AD3D92"/>
    <w:rsid w:val="00AD3FB2"/>
    <w:rsid w:val="00AD40FD"/>
    <w:rsid w:val="00AD4181"/>
    <w:rsid w:val="00AD42F7"/>
    <w:rsid w:val="00AD47BF"/>
    <w:rsid w:val="00AD4959"/>
    <w:rsid w:val="00AD498B"/>
    <w:rsid w:val="00AD4BAD"/>
    <w:rsid w:val="00AD4FDA"/>
    <w:rsid w:val="00AD501E"/>
    <w:rsid w:val="00AD5593"/>
    <w:rsid w:val="00AD55D2"/>
    <w:rsid w:val="00AD5A71"/>
    <w:rsid w:val="00AD5BD5"/>
    <w:rsid w:val="00AD5D59"/>
    <w:rsid w:val="00AD5DA1"/>
    <w:rsid w:val="00AD6007"/>
    <w:rsid w:val="00AD66E0"/>
    <w:rsid w:val="00AD6733"/>
    <w:rsid w:val="00AD6944"/>
    <w:rsid w:val="00AD6B6D"/>
    <w:rsid w:val="00AD6D3E"/>
    <w:rsid w:val="00AD6DDA"/>
    <w:rsid w:val="00AD6F7C"/>
    <w:rsid w:val="00AD6FD5"/>
    <w:rsid w:val="00AD7003"/>
    <w:rsid w:val="00AD7103"/>
    <w:rsid w:val="00AD718F"/>
    <w:rsid w:val="00AD727F"/>
    <w:rsid w:val="00AD738B"/>
    <w:rsid w:val="00AD73F6"/>
    <w:rsid w:val="00AD7478"/>
    <w:rsid w:val="00AD7560"/>
    <w:rsid w:val="00AD758F"/>
    <w:rsid w:val="00AD75A8"/>
    <w:rsid w:val="00AD78C8"/>
    <w:rsid w:val="00AD7990"/>
    <w:rsid w:val="00AD7A77"/>
    <w:rsid w:val="00AD7C7B"/>
    <w:rsid w:val="00AD7CE0"/>
    <w:rsid w:val="00AD7EBA"/>
    <w:rsid w:val="00AD7F6B"/>
    <w:rsid w:val="00AD7FA1"/>
    <w:rsid w:val="00ADC1BC"/>
    <w:rsid w:val="00AE0155"/>
    <w:rsid w:val="00AE039C"/>
    <w:rsid w:val="00AE04A0"/>
    <w:rsid w:val="00AE04BA"/>
    <w:rsid w:val="00AE05CC"/>
    <w:rsid w:val="00AE05FC"/>
    <w:rsid w:val="00AE0697"/>
    <w:rsid w:val="00AE084E"/>
    <w:rsid w:val="00AE0A1D"/>
    <w:rsid w:val="00AE0B08"/>
    <w:rsid w:val="00AE0B2F"/>
    <w:rsid w:val="00AE0C76"/>
    <w:rsid w:val="00AE0DD1"/>
    <w:rsid w:val="00AE0EEF"/>
    <w:rsid w:val="00AE0F33"/>
    <w:rsid w:val="00AE0FB1"/>
    <w:rsid w:val="00AE11E8"/>
    <w:rsid w:val="00AE12C0"/>
    <w:rsid w:val="00AE12DB"/>
    <w:rsid w:val="00AE148A"/>
    <w:rsid w:val="00AE14B2"/>
    <w:rsid w:val="00AE1546"/>
    <w:rsid w:val="00AE15CB"/>
    <w:rsid w:val="00AE160A"/>
    <w:rsid w:val="00AE161F"/>
    <w:rsid w:val="00AE16DA"/>
    <w:rsid w:val="00AE1817"/>
    <w:rsid w:val="00AE1991"/>
    <w:rsid w:val="00AE1A3E"/>
    <w:rsid w:val="00AE1B9B"/>
    <w:rsid w:val="00AE1BC3"/>
    <w:rsid w:val="00AE1D33"/>
    <w:rsid w:val="00AE1D78"/>
    <w:rsid w:val="00AE1FE1"/>
    <w:rsid w:val="00AE2363"/>
    <w:rsid w:val="00AE2378"/>
    <w:rsid w:val="00AE2495"/>
    <w:rsid w:val="00AE24CB"/>
    <w:rsid w:val="00AE25C0"/>
    <w:rsid w:val="00AE26CB"/>
    <w:rsid w:val="00AE2916"/>
    <w:rsid w:val="00AE2ABB"/>
    <w:rsid w:val="00AE2C7B"/>
    <w:rsid w:val="00AE2DBD"/>
    <w:rsid w:val="00AE2DC0"/>
    <w:rsid w:val="00AE3222"/>
    <w:rsid w:val="00AE3240"/>
    <w:rsid w:val="00AE34E6"/>
    <w:rsid w:val="00AE35D5"/>
    <w:rsid w:val="00AE3624"/>
    <w:rsid w:val="00AE3A5D"/>
    <w:rsid w:val="00AE3C49"/>
    <w:rsid w:val="00AE3D69"/>
    <w:rsid w:val="00AE3E1C"/>
    <w:rsid w:val="00AE41A2"/>
    <w:rsid w:val="00AE41B6"/>
    <w:rsid w:val="00AE41D1"/>
    <w:rsid w:val="00AE4271"/>
    <w:rsid w:val="00AE4291"/>
    <w:rsid w:val="00AE42BF"/>
    <w:rsid w:val="00AE432F"/>
    <w:rsid w:val="00AE43D8"/>
    <w:rsid w:val="00AE44F9"/>
    <w:rsid w:val="00AE45A5"/>
    <w:rsid w:val="00AE482C"/>
    <w:rsid w:val="00AE491D"/>
    <w:rsid w:val="00AE4AB2"/>
    <w:rsid w:val="00AE4B2A"/>
    <w:rsid w:val="00AE4B31"/>
    <w:rsid w:val="00AE4CA1"/>
    <w:rsid w:val="00AE4F5A"/>
    <w:rsid w:val="00AE523B"/>
    <w:rsid w:val="00AE52A6"/>
    <w:rsid w:val="00AE53B3"/>
    <w:rsid w:val="00AE54E1"/>
    <w:rsid w:val="00AE566D"/>
    <w:rsid w:val="00AE569B"/>
    <w:rsid w:val="00AE5833"/>
    <w:rsid w:val="00AE59FF"/>
    <w:rsid w:val="00AE5A2B"/>
    <w:rsid w:val="00AE5B06"/>
    <w:rsid w:val="00AE5C96"/>
    <w:rsid w:val="00AE5D4A"/>
    <w:rsid w:val="00AE5DD4"/>
    <w:rsid w:val="00AE5E5B"/>
    <w:rsid w:val="00AE5EFB"/>
    <w:rsid w:val="00AE624B"/>
    <w:rsid w:val="00AE624E"/>
    <w:rsid w:val="00AE6361"/>
    <w:rsid w:val="00AE65EB"/>
    <w:rsid w:val="00AE67E1"/>
    <w:rsid w:val="00AE687E"/>
    <w:rsid w:val="00AE6BA3"/>
    <w:rsid w:val="00AE6DA3"/>
    <w:rsid w:val="00AE6F75"/>
    <w:rsid w:val="00AE7117"/>
    <w:rsid w:val="00AE7231"/>
    <w:rsid w:val="00AE72D7"/>
    <w:rsid w:val="00AE73E0"/>
    <w:rsid w:val="00AE7406"/>
    <w:rsid w:val="00AE7577"/>
    <w:rsid w:val="00AE767F"/>
    <w:rsid w:val="00AE7692"/>
    <w:rsid w:val="00AE79AE"/>
    <w:rsid w:val="00AE7B52"/>
    <w:rsid w:val="00AE7CD9"/>
    <w:rsid w:val="00AE7E8D"/>
    <w:rsid w:val="00AF02B1"/>
    <w:rsid w:val="00AF03E6"/>
    <w:rsid w:val="00AF04E1"/>
    <w:rsid w:val="00AF0755"/>
    <w:rsid w:val="00AF0794"/>
    <w:rsid w:val="00AF07FE"/>
    <w:rsid w:val="00AF0C17"/>
    <w:rsid w:val="00AF0C43"/>
    <w:rsid w:val="00AF102C"/>
    <w:rsid w:val="00AF15A2"/>
    <w:rsid w:val="00AF1632"/>
    <w:rsid w:val="00AF16F4"/>
    <w:rsid w:val="00AF17D6"/>
    <w:rsid w:val="00AF1946"/>
    <w:rsid w:val="00AF1966"/>
    <w:rsid w:val="00AF1EC2"/>
    <w:rsid w:val="00AF1F57"/>
    <w:rsid w:val="00AF1F8D"/>
    <w:rsid w:val="00AF205C"/>
    <w:rsid w:val="00AF21C4"/>
    <w:rsid w:val="00AF21F2"/>
    <w:rsid w:val="00AF221D"/>
    <w:rsid w:val="00AF228B"/>
    <w:rsid w:val="00AF2360"/>
    <w:rsid w:val="00AF237C"/>
    <w:rsid w:val="00AF248B"/>
    <w:rsid w:val="00AF24F5"/>
    <w:rsid w:val="00AF25DA"/>
    <w:rsid w:val="00AF276C"/>
    <w:rsid w:val="00AF28D1"/>
    <w:rsid w:val="00AF2A77"/>
    <w:rsid w:val="00AF2A81"/>
    <w:rsid w:val="00AF2BE0"/>
    <w:rsid w:val="00AF2CAB"/>
    <w:rsid w:val="00AF2D11"/>
    <w:rsid w:val="00AF2E8A"/>
    <w:rsid w:val="00AF2F34"/>
    <w:rsid w:val="00AF301A"/>
    <w:rsid w:val="00AF33B1"/>
    <w:rsid w:val="00AF34E5"/>
    <w:rsid w:val="00AF36AB"/>
    <w:rsid w:val="00AF39C8"/>
    <w:rsid w:val="00AF3A8C"/>
    <w:rsid w:val="00AF3BC7"/>
    <w:rsid w:val="00AF3C62"/>
    <w:rsid w:val="00AF3D6B"/>
    <w:rsid w:val="00AF3DDC"/>
    <w:rsid w:val="00AF3DE5"/>
    <w:rsid w:val="00AF427E"/>
    <w:rsid w:val="00AF4317"/>
    <w:rsid w:val="00AF440B"/>
    <w:rsid w:val="00AF4453"/>
    <w:rsid w:val="00AF44C7"/>
    <w:rsid w:val="00AF45B4"/>
    <w:rsid w:val="00AF4794"/>
    <w:rsid w:val="00AF47E0"/>
    <w:rsid w:val="00AF498F"/>
    <w:rsid w:val="00AF4B22"/>
    <w:rsid w:val="00AF4BA5"/>
    <w:rsid w:val="00AF4F94"/>
    <w:rsid w:val="00AF5137"/>
    <w:rsid w:val="00AF5169"/>
    <w:rsid w:val="00AF53E8"/>
    <w:rsid w:val="00AF55A4"/>
    <w:rsid w:val="00AF57DD"/>
    <w:rsid w:val="00AF5A14"/>
    <w:rsid w:val="00AF5A16"/>
    <w:rsid w:val="00AF5A6F"/>
    <w:rsid w:val="00AF5A75"/>
    <w:rsid w:val="00AF5B27"/>
    <w:rsid w:val="00AF5DCC"/>
    <w:rsid w:val="00AF5ECA"/>
    <w:rsid w:val="00AF60A1"/>
    <w:rsid w:val="00AF60A3"/>
    <w:rsid w:val="00AF6121"/>
    <w:rsid w:val="00AF61B9"/>
    <w:rsid w:val="00AF62B8"/>
    <w:rsid w:val="00AF6628"/>
    <w:rsid w:val="00AF68D3"/>
    <w:rsid w:val="00AF6A27"/>
    <w:rsid w:val="00AF6A2E"/>
    <w:rsid w:val="00AF6A3B"/>
    <w:rsid w:val="00AF6BC0"/>
    <w:rsid w:val="00AF6BE5"/>
    <w:rsid w:val="00AF6CBC"/>
    <w:rsid w:val="00AF6CC2"/>
    <w:rsid w:val="00AF6E31"/>
    <w:rsid w:val="00AF6EAF"/>
    <w:rsid w:val="00AF6ED3"/>
    <w:rsid w:val="00AF71BC"/>
    <w:rsid w:val="00AF7324"/>
    <w:rsid w:val="00AF7348"/>
    <w:rsid w:val="00AF73AC"/>
    <w:rsid w:val="00AF74F1"/>
    <w:rsid w:val="00AF78B0"/>
    <w:rsid w:val="00AF78EF"/>
    <w:rsid w:val="00AF795C"/>
    <w:rsid w:val="00AF7B65"/>
    <w:rsid w:val="00AF7B76"/>
    <w:rsid w:val="00AF7DD0"/>
    <w:rsid w:val="00AF7DF7"/>
    <w:rsid w:val="00AF7E63"/>
    <w:rsid w:val="00AF7F77"/>
    <w:rsid w:val="00B003E2"/>
    <w:rsid w:val="00B0043E"/>
    <w:rsid w:val="00B00456"/>
    <w:rsid w:val="00B00512"/>
    <w:rsid w:val="00B00576"/>
    <w:rsid w:val="00B00616"/>
    <w:rsid w:val="00B0089B"/>
    <w:rsid w:val="00B00E95"/>
    <w:rsid w:val="00B00ED3"/>
    <w:rsid w:val="00B00EDE"/>
    <w:rsid w:val="00B00F19"/>
    <w:rsid w:val="00B010C5"/>
    <w:rsid w:val="00B011F5"/>
    <w:rsid w:val="00B013F3"/>
    <w:rsid w:val="00B015A6"/>
    <w:rsid w:val="00B01724"/>
    <w:rsid w:val="00B0186A"/>
    <w:rsid w:val="00B01968"/>
    <w:rsid w:val="00B01B8B"/>
    <w:rsid w:val="00B01CB2"/>
    <w:rsid w:val="00B01ECF"/>
    <w:rsid w:val="00B02115"/>
    <w:rsid w:val="00B02186"/>
    <w:rsid w:val="00B021E0"/>
    <w:rsid w:val="00B0251C"/>
    <w:rsid w:val="00B02678"/>
    <w:rsid w:val="00B02682"/>
    <w:rsid w:val="00B0278B"/>
    <w:rsid w:val="00B0285A"/>
    <w:rsid w:val="00B029CD"/>
    <w:rsid w:val="00B02CAD"/>
    <w:rsid w:val="00B02CB6"/>
    <w:rsid w:val="00B02D7E"/>
    <w:rsid w:val="00B02DB1"/>
    <w:rsid w:val="00B02EFE"/>
    <w:rsid w:val="00B030FC"/>
    <w:rsid w:val="00B03222"/>
    <w:rsid w:val="00B03259"/>
    <w:rsid w:val="00B03273"/>
    <w:rsid w:val="00B032C0"/>
    <w:rsid w:val="00B0337D"/>
    <w:rsid w:val="00B0358D"/>
    <w:rsid w:val="00B035D4"/>
    <w:rsid w:val="00B036D7"/>
    <w:rsid w:val="00B03794"/>
    <w:rsid w:val="00B037A1"/>
    <w:rsid w:val="00B037A8"/>
    <w:rsid w:val="00B037F2"/>
    <w:rsid w:val="00B037FA"/>
    <w:rsid w:val="00B038FD"/>
    <w:rsid w:val="00B03A6B"/>
    <w:rsid w:val="00B03B0B"/>
    <w:rsid w:val="00B03B44"/>
    <w:rsid w:val="00B03C99"/>
    <w:rsid w:val="00B03F70"/>
    <w:rsid w:val="00B0425E"/>
    <w:rsid w:val="00B042A4"/>
    <w:rsid w:val="00B043D7"/>
    <w:rsid w:val="00B04490"/>
    <w:rsid w:val="00B048B5"/>
    <w:rsid w:val="00B04A08"/>
    <w:rsid w:val="00B04AB3"/>
    <w:rsid w:val="00B04ABA"/>
    <w:rsid w:val="00B04C76"/>
    <w:rsid w:val="00B04EC5"/>
    <w:rsid w:val="00B0520B"/>
    <w:rsid w:val="00B05333"/>
    <w:rsid w:val="00B0547D"/>
    <w:rsid w:val="00B0549A"/>
    <w:rsid w:val="00B055CD"/>
    <w:rsid w:val="00B056BD"/>
    <w:rsid w:val="00B057D6"/>
    <w:rsid w:val="00B0581D"/>
    <w:rsid w:val="00B05821"/>
    <w:rsid w:val="00B0583F"/>
    <w:rsid w:val="00B058EA"/>
    <w:rsid w:val="00B05986"/>
    <w:rsid w:val="00B0598B"/>
    <w:rsid w:val="00B059F3"/>
    <w:rsid w:val="00B05BF7"/>
    <w:rsid w:val="00B05E9B"/>
    <w:rsid w:val="00B05E9E"/>
    <w:rsid w:val="00B0622A"/>
    <w:rsid w:val="00B063D9"/>
    <w:rsid w:val="00B066DA"/>
    <w:rsid w:val="00B06A82"/>
    <w:rsid w:val="00B06AB0"/>
    <w:rsid w:val="00B06B79"/>
    <w:rsid w:val="00B06C2D"/>
    <w:rsid w:val="00B06E99"/>
    <w:rsid w:val="00B06F5A"/>
    <w:rsid w:val="00B06F98"/>
    <w:rsid w:val="00B0705A"/>
    <w:rsid w:val="00B07164"/>
    <w:rsid w:val="00B0718B"/>
    <w:rsid w:val="00B071BC"/>
    <w:rsid w:val="00B074D5"/>
    <w:rsid w:val="00B07626"/>
    <w:rsid w:val="00B0764E"/>
    <w:rsid w:val="00B07734"/>
    <w:rsid w:val="00B078EA"/>
    <w:rsid w:val="00B07B87"/>
    <w:rsid w:val="00B07E31"/>
    <w:rsid w:val="00B07FE7"/>
    <w:rsid w:val="00B10064"/>
    <w:rsid w:val="00B10299"/>
    <w:rsid w:val="00B10B7D"/>
    <w:rsid w:val="00B10F92"/>
    <w:rsid w:val="00B1106B"/>
    <w:rsid w:val="00B11078"/>
    <w:rsid w:val="00B1121F"/>
    <w:rsid w:val="00B1164E"/>
    <w:rsid w:val="00B117D5"/>
    <w:rsid w:val="00B119A0"/>
    <w:rsid w:val="00B11B8C"/>
    <w:rsid w:val="00B11F07"/>
    <w:rsid w:val="00B12195"/>
    <w:rsid w:val="00B12200"/>
    <w:rsid w:val="00B12226"/>
    <w:rsid w:val="00B1236C"/>
    <w:rsid w:val="00B12621"/>
    <w:rsid w:val="00B1263D"/>
    <w:rsid w:val="00B127F0"/>
    <w:rsid w:val="00B12829"/>
    <w:rsid w:val="00B12850"/>
    <w:rsid w:val="00B12898"/>
    <w:rsid w:val="00B12B48"/>
    <w:rsid w:val="00B12C3A"/>
    <w:rsid w:val="00B12D2D"/>
    <w:rsid w:val="00B12D44"/>
    <w:rsid w:val="00B12DCF"/>
    <w:rsid w:val="00B12DD0"/>
    <w:rsid w:val="00B12FF6"/>
    <w:rsid w:val="00B1304F"/>
    <w:rsid w:val="00B13079"/>
    <w:rsid w:val="00B13335"/>
    <w:rsid w:val="00B13420"/>
    <w:rsid w:val="00B13428"/>
    <w:rsid w:val="00B134B0"/>
    <w:rsid w:val="00B134E6"/>
    <w:rsid w:val="00B135CE"/>
    <w:rsid w:val="00B136ED"/>
    <w:rsid w:val="00B1388E"/>
    <w:rsid w:val="00B13F91"/>
    <w:rsid w:val="00B1415F"/>
    <w:rsid w:val="00B14243"/>
    <w:rsid w:val="00B1424B"/>
    <w:rsid w:val="00B14265"/>
    <w:rsid w:val="00B1440C"/>
    <w:rsid w:val="00B1454F"/>
    <w:rsid w:val="00B149D4"/>
    <w:rsid w:val="00B149ED"/>
    <w:rsid w:val="00B14A9E"/>
    <w:rsid w:val="00B14AC7"/>
    <w:rsid w:val="00B14B42"/>
    <w:rsid w:val="00B14B70"/>
    <w:rsid w:val="00B14CFB"/>
    <w:rsid w:val="00B14D61"/>
    <w:rsid w:val="00B14F3E"/>
    <w:rsid w:val="00B150C2"/>
    <w:rsid w:val="00B15163"/>
    <w:rsid w:val="00B151EA"/>
    <w:rsid w:val="00B15430"/>
    <w:rsid w:val="00B1549E"/>
    <w:rsid w:val="00B1557B"/>
    <w:rsid w:val="00B157FA"/>
    <w:rsid w:val="00B159ED"/>
    <w:rsid w:val="00B15C52"/>
    <w:rsid w:val="00B15D4A"/>
    <w:rsid w:val="00B15F54"/>
    <w:rsid w:val="00B16164"/>
    <w:rsid w:val="00B16170"/>
    <w:rsid w:val="00B161C0"/>
    <w:rsid w:val="00B1661E"/>
    <w:rsid w:val="00B16858"/>
    <w:rsid w:val="00B16A89"/>
    <w:rsid w:val="00B16BEA"/>
    <w:rsid w:val="00B16EA1"/>
    <w:rsid w:val="00B16F04"/>
    <w:rsid w:val="00B171B0"/>
    <w:rsid w:val="00B171F6"/>
    <w:rsid w:val="00B1723C"/>
    <w:rsid w:val="00B1735F"/>
    <w:rsid w:val="00B1736E"/>
    <w:rsid w:val="00B17387"/>
    <w:rsid w:val="00B17477"/>
    <w:rsid w:val="00B174D3"/>
    <w:rsid w:val="00B175A5"/>
    <w:rsid w:val="00B17853"/>
    <w:rsid w:val="00B1792C"/>
    <w:rsid w:val="00B17A0E"/>
    <w:rsid w:val="00B17AE0"/>
    <w:rsid w:val="00B17BB5"/>
    <w:rsid w:val="00B17BB8"/>
    <w:rsid w:val="00B17F78"/>
    <w:rsid w:val="00B17F95"/>
    <w:rsid w:val="00B20623"/>
    <w:rsid w:val="00B20727"/>
    <w:rsid w:val="00B20AD7"/>
    <w:rsid w:val="00B20CC6"/>
    <w:rsid w:val="00B20CE9"/>
    <w:rsid w:val="00B20D6C"/>
    <w:rsid w:val="00B20DCA"/>
    <w:rsid w:val="00B2102B"/>
    <w:rsid w:val="00B211AE"/>
    <w:rsid w:val="00B2123F"/>
    <w:rsid w:val="00B2127D"/>
    <w:rsid w:val="00B213CE"/>
    <w:rsid w:val="00B21489"/>
    <w:rsid w:val="00B214ED"/>
    <w:rsid w:val="00B215E6"/>
    <w:rsid w:val="00B2175F"/>
    <w:rsid w:val="00B218EB"/>
    <w:rsid w:val="00B218FD"/>
    <w:rsid w:val="00B21926"/>
    <w:rsid w:val="00B21A38"/>
    <w:rsid w:val="00B21B4E"/>
    <w:rsid w:val="00B21CD0"/>
    <w:rsid w:val="00B21D3D"/>
    <w:rsid w:val="00B21EA0"/>
    <w:rsid w:val="00B22086"/>
    <w:rsid w:val="00B22199"/>
    <w:rsid w:val="00B224BD"/>
    <w:rsid w:val="00B22870"/>
    <w:rsid w:val="00B229AC"/>
    <w:rsid w:val="00B22A53"/>
    <w:rsid w:val="00B22B32"/>
    <w:rsid w:val="00B22CD8"/>
    <w:rsid w:val="00B22D51"/>
    <w:rsid w:val="00B22EAC"/>
    <w:rsid w:val="00B23117"/>
    <w:rsid w:val="00B23330"/>
    <w:rsid w:val="00B237C7"/>
    <w:rsid w:val="00B2380F"/>
    <w:rsid w:val="00B2394E"/>
    <w:rsid w:val="00B2395C"/>
    <w:rsid w:val="00B23981"/>
    <w:rsid w:val="00B23B96"/>
    <w:rsid w:val="00B24152"/>
    <w:rsid w:val="00B243B8"/>
    <w:rsid w:val="00B2443A"/>
    <w:rsid w:val="00B24447"/>
    <w:rsid w:val="00B24560"/>
    <w:rsid w:val="00B24581"/>
    <w:rsid w:val="00B245A5"/>
    <w:rsid w:val="00B24700"/>
    <w:rsid w:val="00B247CC"/>
    <w:rsid w:val="00B24847"/>
    <w:rsid w:val="00B2489A"/>
    <w:rsid w:val="00B24A12"/>
    <w:rsid w:val="00B24A8B"/>
    <w:rsid w:val="00B24C17"/>
    <w:rsid w:val="00B24FCE"/>
    <w:rsid w:val="00B25115"/>
    <w:rsid w:val="00B25160"/>
    <w:rsid w:val="00B251EC"/>
    <w:rsid w:val="00B25438"/>
    <w:rsid w:val="00B254ED"/>
    <w:rsid w:val="00B255FA"/>
    <w:rsid w:val="00B256C9"/>
    <w:rsid w:val="00B25882"/>
    <w:rsid w:val="00B2594A"/>
    <w:rsid w:val="00B25A46"/>
    <w:rsid w:val="00B25E36"/>
    <w:rsid w:val="00B26136"/>
    <w:rsid w:val="00B261FE"/>
    <w:rsid w:val="00B26502"/>
    <w:rsid w:val="00B26570"/>
    <w:rsid w:val="00B2681E"/>
    <w:rsid w:val="00B26915"/>
    <w:rsid w:val="00B2697D"/>
    <w:rsid w:val="00B26E12"/>
    <w:rsid w:val="00B27319"/>
    <w:rsid w:val="00B27546"/>
    <w:rsid w:val="00B2768B"/>
    <w:rsid w:val="00B276A5"/>
    <w:rsid w:val="00B27950"/>
    <w:rsid w:val="00B27D50"/>
    <w:rsid w:val="00B27DC3"/>
    <w:rsid w:val="00B27DD5"/>
    <w:rsid w:val="00B27E0A"/>
    <w:rsid w:val="00B27E22"/>
    <w:rsid w:val="00B27E3F"/>
    <w:rsid w:val="00B27E64"/>
    <w:rsid w:val="00B27FC1"/>
    <w:rsid w:val="00B301AF"/>
    <w:rsid w:val="00B30230"/>
    <w:rsid w:val="00B3028E"/>
    <w:rsid w:val="00B302E5"/>
    <w:rsid w:val="00B3035B"/>
    <w:rsid w:val="00B3045B"/>
    <w:rsid w:val="00B30486"/>
    <w:rsid w:val="00B3048B"/>
    <w:rsid w:val="00B3077F"/>
    <w:rsid w:val="00B308EA"/>
    <w:rsid w:val="00B30952"/>
    <w:rsid w:val="00B3095E"/>
    <w:rsid w:val="00B30BD9"/>
    <w:rsid w:val="00B30FC4"/>
    <w:rsid w:val="00B312F6"/>
    <w:rsid w:val="00B3137C"/>
    <w:rsid w:val="00B3176A"/>
    <w:rsid w:val="00B31986"/>
    <w:rsid w:val="00B31A11"/>
    <w:rsid w:val="00B31A43"/>
    <w:rsid w:val="00B31AF3"/>
    <w:rsid w:val="00B31C8F"/>
    <w:rsid w:val="00B31D09"/>
    <w:rsid w:val="00B31D76"/>
    <w:rsid w:val="00B31DA8"/>
    <w:rsid w:val="00B31E1D"/>
    <w:rsid w:val="00B31EAD"/>
    <w:rsid w:val="00B323FA"/>
    <w:rsid w:val="00B32470"/>
    <w:rsid w:val="00B325BD"/>
    <w:rsid w:val="00B3264D"/>
    <w:rsid w:val="00B328E6"/>
    <w:rsid w:val="00B328FA"/>
    <w:rsid w:val="00B32A76"/>
    <w:rsid w:val="00B32ABE"/>
    <w:rsid w:val="00B32B15"/>
    <w:rsid w:val="00B32CD9"/>
    <w:rsid w:val="00B32FC3"/>
    <w:rsid w:val="00B330A3"/>
    <w:rsid w:val="00B330DA"/>
    <w:rsid w:val="00B3323F"/>
    <w:rsid w:val="00B3344D"/>
    <w:rsid w:val="00B3356D"/>
    <w:rsid w:val="00B3359A"/>
    <w:rsid w:val="00B3376B"/>
    <w:rsid w:val="00B339E5"/>
    <w:rsid w:val="00B33A1A"/>
    <w:rsid w:val="00B33A6C"/>
    <w:rsid w:val="00B33ACA"/>
    <w:rsid w:val="00B33CA1"/>
    <w:rsid w:val="00B33CA6"/>
    <w:rsid w:val="00B34087"/>
    <w:rsid w:val="00B340F6"/>
    <w:rsid w:val="00B34198"/>
    <w:rsid w:val="00B341BC"/>
    <w:rsid w:val="00B341D9"/>
    <w:rsid w:val="00B34370"/>
    <w:rsid w:val="00B343D8"/>
    <w:rsid w:val="00B34A08"/>
    <w:rsid w:val="00B34A18"/>
    <w:rsid w:val="00B34AE6"/>
    <w:rsid w:val="00B34EBB"/>
    <w:rsid w:val="00B350DE"/>
    <w:rsid w:val="00B35214"/>
    <w:rsid w:val="00B3521E"/>
    <w:rsid w:val="00B3522C"/>
    <w:rsid w:val="00B352C4"/>
    <w:rsid w:val="00B352D8"/>
    <w:rsid w:val="00B35612"/>
    <w:rsid w:val="00B3561C"/>
    <w:rsid w:val="00B357B2"/>
    <w:rsid w:val="00B35857"/>
    <w:rsid w:val="00B358EA"/>
    <w:rsid w:val="00B3595F"/>
    <w:rsid w:val="00B35BB4"/>
    <w:rsid w:val="00B35C7C"/>
    <w:rsid w:val="00B35CEE"/>
    <w:rsid w:val="00B363F1"/>
    <w:rsid w:val="00B36474"/>
    <w:rsid w:val="00B36486"/>
    <w:rsid w:val="00B36642"/>
    <w:rsid w:val="00B3665B"/>
    <w:rsid w:val="00B366DB"/>
    <w:rsid w:val="00B3670F"/>
    <w:rsid w:val="00B36747"/>
    <w:rsid w:val="00B36923"/>
    <w:rsid w:val="00B36B3D"/>
    <w:rsid w:val="00B36C30"/>
    <w:rsid w:val="00B36C39"/>
    <w:rsid w:val="00B36D1C"/>
    <w:rsid w:val="00B36E7B"/>
    <w:rsid w:val="00B370E9"/>
    <w:rsid w:val="00B37151"/>
    <w:rsid w:val="00B37184"/>
    <w:rsid w:val="00B372C0"/>
    <w:rsid w:val="00B3735D"/>
    <w:rsid w:val="00B373A2"/>
    <w:rsid w:val="00B376A7"/>
    <w:rsid w:val="00B37879"/>
    <w:rsid w:val="00B37A10"/>
    <w:rsid w:val="00B403A9"/>
    <w:rsid w:val="00B40481"/>
    <w:rsid w:val="00B404EB"/>
    <w:rsid w:val="00B405AA"/>
    <w:rsid w:val="00B40796"/>
    <w:rsid w:val="00B40810"/>
    <w:rsid w:val="00B40853"/>
    <w:rsid w:val="00B40905"/>
    <w:rsid w:val="00B4097A"/>
    <w:rsid w:val="00B40996"/>
    <w:rsid w:val="00B40A2E"/>
    <w:rsid w:val="00B40BB4"/>
    <w:rsid w:val="00B40E28"/>
    <w:rsid w:val="00B40FEB"/>
    <w:rsid w:val="00B41100"/>
    <w:rsid w:val="00B4122D"/>
    <w:rsid w:val="00B4135F"/>
    <w:rsid w:val="00B413D2"/>
    <w:rsid w:val="00B4169A"/>
    <w:rsid w:val="00B417F6"/>
    <w:rsid w:val="00B418F0"/>
    <w:rsid w:val="00B41A1E"/>
    <w:rsid w:val="00B41B25"/>
    <w:rsid w:val="00B41C1D"/>
    <w:rsid w:val="00B41CE2"/>
    <w:rsid w:val="00B41DBE"/>
    <w:rsid w:val="00B41F05"/>
    <w:rsid w:val="00B42092"/>
    <w:rsid w:val="00B423A8"/>
    <w:rsid w:val="00B4261A"/>
    <w:rsid w:val="00B42662"/>
    <w:rsid w:val="00B426CC"/>
    <w:rsid w:val="00B428AE"/>
    <w:rsid w:val="00B428FE"/>
    <w:rsid w:val="00B42BFD"/>
    <w:rsid w:val="00B42C7B"/>
    <w:rsid w:val="00B43345"/>
    <w:rsid w:val="00B434C6"/>
    <w:rsid w:val="00B434D3"/>
    <w:rsid w:val="00B43554"/>
    <w:rsid w:val="00B43612"/>
    <w:rsid w:val="00B437E1"/>
    <w:rsid w:val="00B4392A"/>
    <w:rsid w:val="00B439AC"/>
    <w:rsid w:val="00B43C5E"/>
    <w:rsid w:val="00B43D6F"/>
    <w:rsid w:val="00B43E58"/>
    <w:rsid w:val="00B44023"/>
    <w:rsid w:val="00B44188"/>
    <w:rsid w:val="00B443EA"/>
    <w:rsid w:val="00B44646"/>
    <w:rsid w:val="00B44666"/>
    <w:rsid w:val="00B44673"/>
    <w:rsid w:val="00B446D8"/>
    <w:rsid w:val="00B44769"/>
    <w:rsid w:val="00B447D6"/>
    <w:rsid w:val="00B4492C"/>
    <w:rsid w:val="00B449EC"/>
    <w:rsid w:val="00B44A54"/>
    <w:rsid w:val="00B44CE0"/>
    <w:rsid w:val="00B44EEE"/>
    <w:rsid w:val="00B45035"/>
    <w:rsid w:val="00B45072"/>
    <w:rsid w:val="00B45146"/>
    <w:rsid w:val="00B452EE"/>
    <w:rsid w:val="00B45378"/>
    <w:rsid w:val="00B453FD"/>
    <w:rsid w:val="00B454F2"/>
    <w:rsid w:val="00B45641"/>
    <w:rsid w:val="00B4579D"/>
    <w:rsid w:val="00B457F8"/>
    <w:rsid w:val="00B45887"/>
    <w:rsid w:val="00B458CC"/>
    <w:rsid w:val="00B4597C"/>
    <w:rsid w:val="00B459B2"/>
    <w:rsid w:val="00B45A92"/>
    <w:rsid w:val="00B45BF3"/>
    <w:rsid w:val="00B45C6D"/>
    <w:rsid w:val="00B45CF0"/>
    <w:rsid w:val="00B45DB7"/>
    <w:rsid w:val="00B45E5C"/>
    <w:rsid w:val="00B45F02"/>
    <w:rsid w:val="00B45F4B"/>
    <w:rsid w:val="00B45FFA"/>
    <w:rsid w:val="00B461A1"/>
    <w:rsid w:val="00B461DD"/>
    <w:rsid w:val="00B4625D"/>
    <w:rsid w:val="00B46638"/>
    <w:rsid w:val="00B46651"/>
    <w:rsid w:val="00B4695C"/>
    <w:rsid w:val="00B4698F"/>
    <w:rsid w:val="00B46A51"/>
    <w:rsid w:val="00B46AB8"/>
    <w:rsid w:val="00B46B3B"/>
    <w:rsid w:val="00B46C6E"/>
    <w:rsid w:val="00B46C8F"/>
    <w:rsid w:val="00B46DDA"/>
    <w:rsid w:val="00B46DEA"/>
    <w:rsid w:val="00B46F94"/>
    <w:rsid w:val="00B472BB"/>
    <w:rsid w:val="00B47331"/>
    <w:rsid w:val="00B47453"/>
    <w:rsid w:val="00B4764D"/>
    <w:rsid w:val="00B47662"/>
    <w:rsid w:val="00B476A3"/>
    <w:rsid w:val="00B47769"/>
    <w:rsid w:val="00B47931"/>
    <w:rsid w:val="00B479AD"/>
    <w:rsid w:val="00B479E2"/>
    <w:rsid w:val="00B47B3A"/>
    <w:rsid w:val="00B47DD4"/>
    <w:rsid w:val="00B47EA2"/>
    <w:rsid w:val="00B47F2A"/>
    <w:rsid w:val="00B50076"/>
    <w:rsid w:val="00B5021B"/>
    <w:rsid w:val="00B50491"/>
    <w:rsid w:val="00B509C2"/>
    <w:rsid w:val="00B509D8"/>
    <w:rsid w:val="00B50B41"/>
    <w:rsid w:val="00B50CD8"/>
    <w:rsid w:val="00B50F30"/>
    <w:rsid w:val="00B50F82"/>
    <w:rsid w:val="00B510A2"/>
    <w:rsid w:val="00B51126"/>
    <w:rsid w:val="00B512D6"/>
    <w:rsid w:val="00B5142C"/>
    <w:rsid w:val="00B51467"/>
    <w:rsid w:val="00B519E1"/>
    <w:rsid w:val="00B51A55"/>
    <w:rsid w:val="00B51CD7"/>
    <w:rsid w:val="00B51E19"/>
    <w:rsid w:val="00B51E8D"/>
    <w:rsid w:val="00B52056"/>
    <w:rsid w:val="00B520B0"/>
    <w:rsid w:val="00B52187"/>
    <w:rsid w:val="00B52380"/>
    <w:rsid w:val="00B523CA"/>
    <w:rsid w:val="00B5259A"/>
    <w:rsid w:val="00B525D8"/>
    <w:rsid w:val="00B527CA"/>
    <w:rsid w:val="00B5285D"/>
    <w:rsid w:val="00B528EC"/>
    <w:rsid w:val="00B52941"/>
    <w:rsid w:val="00B5294D"/>
    <w:rsid w:val="00B52B74"/>
    <w:rsid w:val="00B52BAF"/>
    <w:rsid w:val="00B52D02"/>
    <w:rsid w:val="00B52DDD"/>
    <w:rsid w:val="00B52E52"/>
    <w:rsid w:val="00B53032"/>
    <w:rsid w:val="00B530F2"/>
    <w:rsid w:val="00B533E0"/>
    <w:rsid w:val="00B53725"/>
    <w:rsid w:val="00B539AE"/>
    <w:rsid w:val="00B53D08"/>
    <w:rsid w:val="00B53F54"/>
    <w:rsid w:val="00B540F7"/>
    <w:rsid w:val="00B541AC"/>
    <w:rsid w:val="00B542FE"/>
    <w:rsid w:val="00B54342"/>
    <w:rsid w:val="00B5457B"/>
    <w:rsid w:val="00B547C1"/>
    <w:rsid w:val="00B54888"/>
    <w:rsid w:val="00B54A92"/>
    <w:rsid w:val="00B54B08"/>
    <w:rsid w:val="00B54DE8"/>
    <w:rsid w:val="00B54F64"/>
    <w:rsid w:val="00B55501"/>
    <w:rsid w:val="00B5550C"/>
    <w:rsid w:val="00B556BC"/>
    <w:rsid w:val="00B55705"/>
    <w:rsid w:val="00B55746"/>
    <w:rsid w:val="00B55918"/>
    <w:rsid w:val="00B55AFB"/>
    <w:rsid w:val="00B55B77"/>
    <w:rsid w:val="00B55BA9"/>
    <w:rsid w:val="00B55E05"/>
    <w:rsid w:val="00B55EFE"/>
    <w:rsid w:val="00B55FA9"/>
    <w:rsid w:val="00B56065"/>
    <w:rsid w:val="00B56115"/>
    <w:rsid w:val="00B5645E"/>
    <w:rsid w:val="00B565BC"/>
    <w:rsid w:val="00B56621"/>
    <w:rsid w:val="00B56717"/>
    <w:rsid w:val="00B56754"/>
    <w:rsid w:val="00B567FD"/>
    <w:rsid w:val="00B5695B"/>
    <w:rsid w:val="00B56980"/>
    <w:rsid w:val="00B569E4"/>
    <w:rsid w:val="00B56B70"/>
    <w:rsid w:val="00B56CFC"/>
    <w:rsid w:val="00B56DDD"/>
    <w:rsid w:val="00B56F44"/>
    <w:rsid w:val="00B5722D"/>
    <w:rsid w:val="00B57258"/>
    <w:rsid w:val="00B57525"/>
    <w:rsid w:val="00B575C7"/>
    <w:rsid w:val="00B57957"/>
    <w:rsid w:val="00B57A7E"/>
    <w:rsid w:val="00B57FEF"/>
    <w:rsid w:val="00B57FFA"/>
    <w:rsid w:val="00B5CC28"/>
    <w:rsid w:val="00B60102"/>
    <w:rsid w:val="00B601DE"/>
    <w:rsid w:val="00B601EF"/>
    <w:rsid w:val="00B60580"/>
    <w:rsid w:val="00B60689"/>
    <w:rsid w:val="00B60724"/>
    <w:rsid w:val="00B607BB"/>
    <w:rsid w:val="00B6088E"/>
    <w:rsid w:val="00B609D7"/>
    <w:rsid w:val="00B609DA"/>
    <w:rsid w:val="00B609EE"/>
    <w:rsid w:val="00B60C9A"/>
    <w:rsid w:val="00B60E51"/>
    <w:rsid w:val="00B60E92"/>
    <w:rsid w:val="00B60E94"/>
    <w:rsid w:val="00B60EDF"/>
    <w:rsid w:val="00B61098"/>
    <w:rsid w:val="00B610FB"/>
    <w:rsid w:val="00B61334"/>
    <w:rsid w:val="00B61A06"/>
    <w:rsid w:val="00B61A09"/>
    <w:rsid w:val="00B61B01"/>
    <w:rsid w:val="00B61D82"/>
    <w:rsid w:val="00B62006"/>
    <w:rsid w:val="00B62148"/>
    <w:rsid w:val="00B62178"/>
    <w:rsid w:val="00B621DA"/>
    <w:rsid w:val="00B623A2"/>
    <w:rsid w:val="00B623D3"/>
    <w:rsid w:val="00B624C7"/>
    <w:rsid w:val="00B6264E"/>
    <w:rsid w:val="00B627EE"/>
    <w:rsid w:val="00B62901"/>
    <w:rsid w:val="00B629E0"/>
    <w:rsid w:val="00B62AB7"/>
    <w:rsid w:val="00B62AC5"/>
    <w:rsid w:val="00B62AF9"/>
    <w:rsid w:val="00B62B0B"/>
    <w:rsid w:val="00B62B2C"/>
    <w:rsid w:val="00B62B87"/>
    <w:rsid w:val="00B62C12"/>
    <w:rsid w:val="00B62D0A"/>
    <w:rsid w:val="00B62D37"/>
    <w:rsid w:val="00B62DAA"/>
    <w:rsid w:val="00B62F60"/>
    <w:rsid w:val="00B62F95"/>
    <w:rsid w:val="00B62F9F"/>
    <w:rsid w:val="00B62FDE"/>
    <w:rsid w:val="00B63549"/>
    <w:rsid w:val="00B6359D"/>
    <w:rsid w:val="00B63A04"/>
    <w:rsid w:val="00B63A6B"/>
    <w:rsid w:val="00B63A91"/>
    <w:rsid w:val="00B63BC3"/>
    <w:rsid w:val="00B63C04"/>
    <w:rsid w:val="00B63D0D"/>
    <w:rsid w:val="00B63D66"/>
    <w:rsid w:val="00B63D9D"/>
    <w:rsid w:val="00B63DDA"/>
    <w:rsid w:val="00B63E6A"/>
    <w:rsid w:val="00B640BD"/>
    <w:rsid w:val="00B642D9"/>
    <w:rsid w:val="00B642E1"/>
    <w:rsid w:val="00B6432F"/>
    <w:rsid w:val="00B644BD"/>
    <w:rsid w:val="00B6452F"/>
    <w:rsid w:val="00B6464C"/>
    <w:rsid w:val="00B6467B"/>
    <w:rsid w:val="00B6479A"/>
    <w:rsid w:val="00B6494D"/>
    <w:rsid w:val="00B64A58"/>
    <w:rsid w:val="00B64A5D"/>
    <w:rsid w:val="00B64ABC"/>
    <w:rsid w:val="00B64E7B"/>
    <w:rsid w:val="00B65506"/>
    <w:rsid w:val="00B659DE"/>
    <w:rsid w:val="00B65A2B"/>
    <w:rsid w:val="00B65C21"/>
    <w:rsid w:val="00B65CC6"/>
    <w:rsid w:val="00B65D2D"/>
    <w:rsid w:val="00B65DD3"/>
    <w:rsid w:val="00B65E39"/>
    <w:rsid w:val="00B65FEC"/>
    <w:rsid w:val="00B6601C"/>
    <w:rsid w:val="00B66229"/>
    <w:rsid w:val="00B66262"/>
    <w:rsid w:val="00B662F2"/>
    <w:rsid w:val="00B663B5"/>
    <w:rsid w:val="00B66554"/>
    <w:rsid w:val="00B6663F"/>
    <w:rsid w:val="00B66793"/>
    <w:rsid w:val="00B66C54"/>
    <w:rsid w:val="00B66C6C"/>
    <w:rsid w:val="00B66EF3"/>
    <w:rsid w:val="00B6719B"/>
    <w:rsid w:val="00B6727D"/>
    <w:rsid w:val="00B6743B"/>
    <w:rsid w:val="00B6769F"/>
    <w:rsid w:val="00B676FE"/>
    <w:rsid w:val="00B67773"/>
    <w:rsid w:val="00B677FE"/>
    <w:rsid w:val="00B67816"/>
    <w:rsid w:val="00B67B2A"/>
    <w:rsid w:val="00B67B2C"/>
    <w:rsid w:val="00B67B8B"/>
    <w:rsid w:val="00B67BB5"/>
    <w:rsid w:val="00B67C01"/>
    <w:rsid w:val="00B67CA7"/>
    <w:rsid w:val="00B67CCA"/>
    <w:rsid w:val="00B67DEE"/>
    <w:rsid w:val="00B67F60"/>
    <w:rsid w:val="00B700F6"/>
    <w:rsid w:val="00B7035E"/>
    <w:rsid w:val="00B70364"/>
    <w:rsid w:val="00B7043B"/>
    <w:rsid w:val="00B70483"/>
    <w:rsid w:val="00B70554"/>
    <w:rsid w:val="00B7059C"/>
    <w:rsid w:val="00B705A7"/>
    <w:rsid w:val="00B707CE"/>
    <w:rsid w:val="00B70802"/>
    <w:rsid w:val="00B70904"/>
    <w:rsid w:val="00B709DD"/>
    <w:rsid w:val="00B70A71"/>
    <w:rsid w:val="00B70C2F"/>
    <w:rsid w:val="00B7107D"/>
    <w:rsid w:val="00B710A9"/>
    <w:rsid w:val="00B71250"/>
    <w:rsid w:val="00B71496"/>
    <w:rsid w:val="00B71606"/>
    <w:rsid w:val="00B7169B"/>
    <w:rsid w:val="00B717DE"/>
    <w:rsid w:val="00B71B05"/>
    <w:rsid w:val="00B71B77"/>
    <w:rsid w:val="00B71C45"/>
    <w:rsid w:val="00B71C84"/>
    <w:rsid w:val="00B71CED"/>
    <w:rsid w:val="00B71EF7"/>
    <w:rsid w:val="00B72058"/>
    <w:rsid w:val="00B720DE"/>
    <w:rsid w:val="00B7217C"/>
    <w:rsid w:val="00B723FC"/>
    <w:rsid w:val="00B725AB"/>
    <w:rsid w:val="00B72631"/>
    <w:rsid w:val="00B7269D"/>
    <w:rsid w:val="00B7289E"/>
    <w:rsid w:val="00B728D3"/>
    <w:rsid w:val="00B7297A"/>
    <w:rsid w:val="00B72A69"/>
    <w:rsid w:val="00B72AB9"/>
    <w:rsid w:val="00B72B42"/>
    <w:rsid w:val="00B72BEE"/>
    <w:rsid w:val="00B72D67"/>
    <w:rsid w:val="00B72E42"/>
    <w:rsid w:val="00B72F8C"/>
    <w:rsid w:val="00B72F9B"/>
    <w:rsid w:val="00B7310A"/>
    <w:rsid w:val="00B734E9"/>
    <w:rsid w:val="00B736C1"/>
    <w:rsid w:val="00B737C4"/>
    <w:rsid w:val="00B737E7"/>
    <w:rsid w:val="00B73869"/>
    <w:rsid w:val="00B7391C"/>
    <w:rsid w:val="00B739E1"/>
    <w:rsid w:val="00B73B55"/>
    <w:rsid w:val="00B73B6D"/>
    <w:rsid w:val="00B73BC9"/>
    <w:rsid w:val="00B73CFB"/>
    <w:rsid w:val="00B73D29"/>
    <w:rsid w:val="00B73F83"/>
    <w:rsid w:val="00B74045"/>
    <w:rsid w:val="00B7434D"/>
    <w:rsid w:val="00B743C1"/>
    <w:rsid w:val="00B74431"/>
    <w:rsid w:val="00B744BC"/>
    <w:rsid w:val="00B74584"/>
    <w:rsid w:val="00B74599"/>
    <w:rsid w:val="00B7473F"/>
    <w:rsid w:val="00B749D8"/>
    <w:rsid w:val="00B749DA"/>
    <w:rsid w:val="00B74AAB"/>
    <w:rsid w:val="00B74AB0"/>
    <w:rsid w:val="00B74B44"/>
    <w:rsid w:val="00B74B54"/>
    <w:rsid w:val="00B74D8C"/>
    <w:rsid w:val="00B74EEA"/>
    <w:rsid w:val="00B74F02"/>
    <w:rsid w:val="00B74F0F"/>
    <w:rsid w:val="00B74F62"/>
    <w:rsid w:val="00B74F73"/>
    <w:rsid w:val="00B75176"/>
    <w:rsid w:val="00B75237"/>
    <w:rsid w:val="00B75355"/>
    <w:rsid w:val="00B75459"/>
    <w:rsid w:val="00B755F7"/>
    <w:rsid w:val="00B757AC"/>
    <w:rsid w:val="00B75890"/>
    <w:rsid w:val="00B759BC"/>
    <w:rsid w:val="00B759C4"/>
    <w:rsid w:val="00B759DF"/>
    <w:rsid w:val="00B759F7"/>
    <w:rsid w:val="00B75A56"/>
    <w:rsid w:val="00B75A8D"/>
    <w:rsid w:val="00B75AA4"/>
    <w:rsid w:val="00B76001"/>
    <w:rsid w:val="00B763F7"/>
    <w:rsid w:val="00B76482"/>
    <w:rsid w:val="00B7649E"/>
    <w:rsid w:val="00B76525"/>
    <w:rsid w:val="00B76579"/>
    <w:rsid w:val="00B76611"/>
    <w:rsid w:val="00B7664B"/>
    <w:rsid w:val="00B7680A"/>
    <w:rsid w:val="00B7680C"/>
    <w:rsid w:val="00B768BA"/>
    <w:rsid w:val="00B76B2A"/>
    <w:rsid w:val="00B76BA4"/>
    <w:rsid w:val="00B76CEE"/>
    <w:rsid w:val="00B76ED4"/>
    <w:rsid w:val="00B76F3A"/>
    <w:rsid w:val="00B76F5C"/>
    <w:rsid w:val="00B772F7"/>
    <w:rsid w:val="00B77501"/>
    <w:rsid w:val="00B7793B"/>
    <w:rsid w:val="00B779DF"/>
    <w:rsid w:val="00B77A27"/>
    <w:rsid w:val="00B77A40"/>
    <w:rsid w:val="00B77ADE"/>
    <w:rsid w:val="00B77B30"/>
    <w:rsid w:val="00B77C2A"/>
    <w:rsid w:val="00B77DB3"/>
    <w:rsid w:val="00B77E11"/>
    <w:rsid w:val="00B77ED5"/>
    <w:rsid w:val="00B8011C"/>
    <w:rsid w:val="00B80399"/>
    <w:rsid w:val="00B80633"/>
    <w:rsid w:val="00B80946"/>
    <w:rsid w:val="00B80986"/>
    <w:rsid w:val="00B80B1C"/>
    <w:rsid w:val="00B80B32"/>
    <w:rsid w:val="00B80C3B"/>
    <w:rsid w:val="00B80CC5"/>
    <w:rsid w:val="00B80D59"/>
    <w:rsid w:val="00B80E41"/>
    <w:rsid w:val="00B80FC7"/>
    <w:rsid w:val="00B81173"/>
    <w:rsid w:val="00B8138A"/>
    <w:rsid w:val="00B8140A"/>
    <w:rsid w:val="00B814C9"/>
    <w:rsid w:val="00B814E0"/>
    <w:rsid w:val="00B816E6"/>
    <w:rsid w:val="00B8189E"/>
    <w:rsid w:val="00B819C7"/>
    <w:rsid w:val="00B81A92"/>
    <w:rsid w:val="00B81AF3"/>
    <w:rsid w:val="00B81BB8"/>
    <w:rsid w:val="00B81E90"/>
    <w:rsid w:val="00B8215F"/>
    <w:rsid w:val="00B82178"/>
    <w:rsid w:val="00B8219F"/>
    <w:rsid w:val="00B82210"/>
    <w:rsid w:val="00B823A6"/>
    <w:rsid w:val="00B824AD"/>
    <w:rsid w:val="00B82611"/>
    <w:rsid w:val="00B8262D"/>
    <w:rsid w:val="00B8271A"/>
    <w:rsid w:val="00B82BAA"/>
    <w:rsid w:val="00B82C82"/>
    <w:rsid w:val="00B82F1B"/>
    <w:rsid w:val="00B82FF6"/>
    <w:rsid w:val="00B83051"/>
    <w:rsid w:val="00B83197"/>
    <w:rsid w:val="00B83289"/>
    <w:rsid w:val="00B83395"/>
    <w:rsid w:val="00B837B6"/>
    <w:rsid w:val="00B8388C"/>
    <w:rsid w:val="00B83A68"/>
    <w:rsid w:val="00B83AD5"/>
    <w:rsid w:val="00B83DF1"/>
    <w:rsid w:val="00B83E7A"/>
    <w:rsid w:val="00B83EBF"/>
    <w:rsid w:val="00B83FA1"/>
    <w:rsid w:val="00B84048"/>
    <w:rsid w:val="00B84290"/>
    <w:rsid w:val="00B84703"/>
    <w:rsid w:val="00B849CC"/>
    <w:rsid w:val="00B84AC9"/>
    <w:rsid w:val="00B84CB7"/>
    <w:rsid w:val="00B84EAC"/>
    <w:rsid w:val="00B85228"/>
    <w:rsid w:val="00B85259"/>
    <w:rsid w:val="00B8546B"/>
    <w:rsid w:val="00B855A8"/>
    <w:rsid w:val="00B857F0"/>
    <w:rsid w:val="00B85868"/>
    <w:rsid w:val="00B858B6"/>
    <w:rsid w:val="00B85AC5"/>
    <w:rsid w:val="00B85B7D"/>
    <w:rsid w:val="00B85E67"/>
    <w:rsid w:val="00B86239"/>
    <w:rsid w:val="00B865B5"/>
    <w:rsid w:val="00B869D1"/>
    <w:rsid w:val="00B86D18"/>
    <w:rsid w:val="00B86FB0"/>
    <w:rsid w:val="00B871A4"/>
    <w:rsid w:val="00B8727F"/>
    <w:rsid w:val="00B873EB"/>
    <w:rsid w:val="00B87533"/>
    <w:rsid w:val="00B875DF"/>
    <w:rsid w:val="00B8762A"/>
    <w:rsid w:val="00B87639"/>
    <w:rsid w:val="00B876D9"/>
    <w:rsid w:val="00B87870"/>
    <w:rsid w:val="00B8790F"/>
    <w:rsid w:val="00B87A5D"/>
    <w:rsid w:val="00B87B8B"/>
    <w:rsid w:val="00B87B96"/>
    <w:rsid w:val="00B87C11"/>
    <w:rsid w:val="00B87F50"/>
    <w:rsid w:val="00B87F61"/>
    <w:rsid w:val="00B87FAE"/>
    <w:rsid w:val="00B90106"/>
    <w:rsid w:val="00B9010B"/>
    <w:rsid w:val="00B9040A"/>
    <w:rsid w:val="00B90825"/>
    <w:rsid w:val="00B90D0F"/>
    <w:rsid w:val="00B90E23"/>
    <w:rsid w:val="00B90E7F"/>
    <w:rsid w:val="00B90EFC"/>
    <w:rsid w:val="00B90FCA"/>
    <w:rsid w:val="00B9100C"/>
    <w:rsid w:val="00B91193"/>
    <w:rsid w:val="00B9140E"/>
    <w:rsid w:val="00B91578"/>
    <w:rsid w:val="00B915B8"/>
    <w:rsid w:val="00B91916"/>
    <w:rsid w:val="00B91B56"/>
    <w:rsid w:val="00B91BBE"/>
    <w:rsid w:val="00B91C61"/>
    <w:rsid w:val="00B91D45"/>
    <w:rsid w:val="00B91E43"/>
    <w:rsid w:val="00B91E47"/>
    <w:rsid w:val="00B91EB1"/>
    <w:rsid w:val="00B91F14"/>
    <w:rsid w:val="00B9219B"/>
    <w:rsid w:val="00B92411"/>
    <w:rsid w:val="00B9272B"/>
    <w:rsid w:val="00B927AD"/>
    <w:rsid w:val="00B928EF"/>
    <w:rsid w:val="00B92935"/>
    <w:rsid w:val="00B929EF"/>
    <w:rsid w:val="00B92D01"/>
    <w:rsid w:val="00B92F06"/>
    <w:rsid w:val="00B930BB"/>
    <w:rsid w:val="00B932B3"/>
    <w:rsid w:val="00B93331"/>
    <w:rsid w:val="00B933D7"/>
    <w:rsid w:val="00B9341F"/>
    <w:rsid w:val="00B93483"/>
    <w:rsid w:val="00B9353B"/>
    <w:rsid w:val="00B93595"/>
    <w:rsid w:val="00B9366D"/>
    <w:rsid w:val="00B93683"/>
    <w:rsid w:val="00B936B9"/>
    <w:rsid w:val="00B93790"/>
    <w:rsid w:val="00B93A6B"/>
    <w:rsid w:val="00B93B4F"/>
    <w:rsid w:val="00B93C59"/>
    <w:rsid w:val="00B93C68"/>
    <w:rsid w:val="00B93DB8"/>
    <w:rsid w:val="00B93E5D"/>
    <w:rsid w:val="00B93EAE"/>
    <w:rsid w:val="00B93F01"/>
    <w:rsid w:val="00B93F4C"/>
    <w:rsid w:val="00B9400D"/>
    <w:rsid w:val="00B94141"/>
    <w:rsid w:val="00B941B2"/>
    <w:rsid w:val="00B941B3"/>
    <w:rsid w:val="00B94301"/>
    <w:rsid w:val="00B94515"/>
    <w:rsid w:val="00B9463C"/>
    <w:rsid w:val="00B9496B"/>
    <w:rsid w:val="00B94BE6"/>
    <w:rsid w:val="00B94BFA"/>
    <w:rsid w:val="00B94C15"/>
    <w:rsid w:val="00B94CAB"/>
    <w:rsid w:val="00B94D52"/>
    <w:rsid w:val="00B94E81"/>
    <w:rsid w:val="00B95193"/>
    <w:rsid w:val="00B9521C"/>
    <w:rsid w:val="00B95293"/>
    <w:rsid w:val="00B952E6"/>
    <w:rsid w:val="00B95442"/>
    <w:rsid w:val="00B95543"/>
    <w:rsid w:val="00B9556A"/>
    <w:rsid w:val="00B9563A"/>
    <w:rsid w:val="00B956D2"/>
    <w:rsid w:val="00B95B95"/>
    <w:rsid w:val="00B95BE8"/>
    <w:rsid w:val="00B95C6A"/>
    <w:rsid w:val="00B95CF8"/>
    <w:rsid w:val="00B95D35"/>
    <w:rsid w:val="00B95F1B"/>
    <w:rsid w:val="00B95FEC"/>
    <w:rsid w:val="00B96028"/>
    <w:rsid w:val="00B96099"/>
    <w:rsid w:val="00B960A0"/>
    <w:rsid w:val="00B9610B"/>
    <w:rsid w:val="00B96169"/>
    <w:rsid w:val="00B96310"/>
    <w:rsid w:val="00B96328"/>
    <w:rsid w:val="00B9664C"/>
    <w:rsid w:val="00B967FB"/>
    <w:rsid w:val="00B96809"/>
    <w:rsid w:val="00B96CA1"/>
    <w:rsid w:val="00B970B6"/>
    <w:rsid w:val="00B970CE"/>
    <w:rsid w:val="00B973C5"/>
    <w:rsid w:val="00B97447"/>
    <w:rsid w:val="00B97501"/>
    <w:rsid w:val="00B9780E"/>
    <w:rsid w:val="00B97833"/>
    <w:rsid w:val="00B979BC"/>
    <w:rsid w:val="00B97A1A"/>
    <w:rsid w:val="00B97C03"/>
    <w:rsid w:val="00B97D58"/>
    <w:rsid w:val="00B97E2C"/>
    <w:rsid w:val="00B97E3D"/>
    <w:rsid w:val="00BA028E"/>
    <w:rsid w:val="00BA05B6"/>
    <w:rsid w:val="00BA060D"/>
    <w:rsid w:val="00BA0638"/>
    <w:rsid w:val="00BA0669"/>
    <w:rsid w:val="00BA07A0"/>
    <w:rsid w:val="00BA0925"/>
    <w:rsid w:val="00BA09DA"/>
    <w:rsid w:val="00BA0A55"/>
    <w:rsid w:val="00BA0CA4"/>
    <w:rsid w:val="00BA0CDE"/>
    <w:rsid w:val="00BA0CE7"/>
    <w:rsid w:val="00BA0D43"/>
    <w:rsid w:val="00BA0E04"/>
    <w:rsid w:val="00BA0EA0"/>
    <w:rsid w:val="00BA1067"/>
    <w:rsid w:val="00BA117F"/>
    <w:rsid w:val="00BA1186"/>
    <w:rsid w:val="00BA13E9"/>
    <w:rsid w:val="00BA13F5"/>
    <w:rsid w:val="00BA1536"/>
    <w:rsid w:val="00BA1813"/>
    <w:rsid w:val="00BA1849"/>
    <w:rsid w:val="00BA189B"/>
    <w:rsid w:val="00BA198F"/>
    <w:rsid w:val="00BA1BB5"/>
    <w:rsid w:val="00BA1E59"/>
    <w:rsid w:val="00BA1F44"/>
    <w:rsid w:val="00BA2015"/>
    <w:rsid w:val="00BA211E"/>
    <w:rsid w:val="00BA213A"/>
    <w:rsid w:val="00BA22F7"/>
    <w:rsid w:val="00BA234F"/>
    <w:rsid w:val="00BA24B3"/>
    <w:rsid w:val="00BA2663"/>
    <w:rsid w:val="00BA28DD"/>
    <w:rsid w:val="00BA2B6E"/>
    <w:rsid w:val="00BA2BA4"/>
    <w:rsid w:val="00BA2D43"/>
    <w:rsid w:val="00BA2EC8"/>
    <w:rsid w:val="00BA2FB5"/>
    <w:rsid w:val="00BA31A1"/>
    <w:rsid w:val="00BA3234"/>
    <w:rsid w:val="00BA34BD"/>
    <w:rsid w:val="00BA3704"/>
    <w:rsid w:val="00BA3A4D"/>
    <w:rsid w:val="00BA3C07"/>
    <w:rsid w:val="00BA3CDE"/>
    <w:rsid w:val="00BA3DCB"/>
    <w:rsid w:val="00BA3E08"/>
    <w:rsid w:val="00BA3E1A"/>
    <w:rsid w:val="00BA3E58"/>
    <w:rsid w:val="00BA40D0"/>
    <w:rsid w:val="00BA40E5"/>
    <w:rsid w:val="00BA4274"/>
    <w:rsid w:val="00BA441B"/>
    <w:rsid w:val="00BA4478"/>
    <w:rsid w:val="00BA4515"/>
    <w:rsid w:val="00BA4525"/>
    <w:rsid w:val="00BA47B5"/>
    <w:rsid w:val="00BA47D9"/>
    <w:rsid w:val="00BA482F"/>
    <w:rsid w:val="00BA4841"/>
    <w:rsid w:val="00BA487F"/>
    <w:rsid w:val="00BA4E2C"/>
    <w:rsid w:val="00BA4EAC"/>
    <w:rsid w:val="00BA4ED6"/>
    <w:rsid w:val="00BA4F7E"/>
    <w:rsid w:val="00BA5152"/>
    <w:rsid w:val="00BA5215"/>
    <w:rsid w:val="00BA52BF"/>
    <w:rsid w:val="00BA5302"/>
    <w:rsid w:val="00BA53A0"/>
    <w:rsid w:val="00BA554B"/>
    <w:rsid w:val="00BA5588"/>
    <w:rsid w:val="00BA5643"/>
    <w:rsid w:val="00BA5653"/>
    <w:rsid w:val="00BA599F"/>
    <w:rsid w:val="00BA5A46"/>
    <w:rsid w:val="00BA5ADC"/>
    <w:rsid w:val="00BA5C41"/>
    <w:rsid w:val="00BA5E45"/>
    <w:rsid w:val="00BA5F2E"/>
    <w:rsid w:val="00BA642C"/>
    <w:rsid w:val="00BA6563"/>
    <w:rsid w:val="00BA66DE"/>
    <w:rsid w:val="00BA6858"/>
    <w:rsid w:val="00BA69AA"/>
    <w:rsid w:val="00BA69F2"/>
    <w:rsid w:val="00BA6AA1"/>
    <w:rsid w:val="00BA6B38"/>
    <w:rsid w:val="00BA6B66"/>
    <w:rsid w:val="00BA6DA2"/>
    <w:rsid w:val="00BA6EBB"/>
    <w:rsid w:val="00BA6EEE"/>
    <w:rsid w:val="00BA6F39"/>
    <w:rsid w:val="00BA6FB4"/>
    <w:rsid w:val="00BA7054"/>
    <w:rsid w:val="00BA70FD"/>
    <w:rsid w:val="00BA717E"/>
    <w:rsid w:val="00BA732B"/>
    <w:rsid w:val="00BA7393"/>
    <w:rsid w:val="00BA73A0"/>
    <w:rsid w:val="00BA740A"/>
    <w:rsid w:val="00BA743F"/>
    <w:rsid w:val="00BA772A"/>
    <w:rsid w:val="00BA7A0E"/>
    <w:rsid w:val="00BA7A88"/>
    <w:rsid w:val="00BA7BBC"/>
    <w:rsid w:val="00BA7D7F"/>
    <w:rsid w:val="00BA7F0E"/>
    <w:rsid w:val="00BB0189"/>
    <w:rsid w:val="00BB01C5"/>
    <w:rsid w:val="00BB0711"/>
    <w:rsid w:val="00BB080F"/>
    <w:rsid w:val="00BB0A05"/>
    <w:rsid w:val="00BB0BA5"/>
    <w:rsid w:val="00BB0CED"/>
    <w:rsid w:val="00BB0FDA"/>
    <w:rsid w:val="00BB0FDD"/>
    <w:rsid w:val="00BB128C"/>
    <w:rsid w:val="00BB149E"/>
    <w:rsid w:val="00BB1589"/>
    <w:rsid w:val="00BB15FB"/>
    <w:rsid w:val="00BB1B19"/>
    <w:rsid w:val="00BB1B6F"/>
    <w:rsid w:val="00BB1BB5"/>
    <w:rsid w:val="00BB1C2D"/>
    <w:rsid w:val="00BB1C41"/>
    <w:rsid w:val="00BB1ECD"/>
    <w:rsid w:val="00BB1F20"/>
    <w:rsid w:val="00BB2089"/>
    <w:rsid w:val="00BB20EC"/>
    <w:rsid w:val="00BB211B"/>
    <w:rsid w:val="00BB22BF"/>
    <w:rsid w:val="00BB22C2"/>
    <w:rsid w:val="00BB25AA"/>
    <w:rsid w:val="00BB25DF"/>
    <w:rsid w:val="00BB265C"/>
    <w:rsid w:val="00BB29C4"/>
    <w:rsid w:val="00BB2C89"/>
    <w:rsid w:val="00BB2FC9"/>
    <w:rsid w:val="00BB31A5"/>
    <w:rsid w:val="00BB31B3"/>
    <w:rsid w:val="00BB3468"/>
    <w:rsid w:val="00BB3635"/>
    <w:rsid w:val="00BB369C"/>
    <w:rsid w:val="00BB3C20"/>
    <w:rsid w:val="00BB3EC9"/>
    <w:rsid w:val="00BB3F79"/>
    <w:rsid w:val="00BB3F88"/>
    <w:rsid w:val="00BB3FEC"/>
    <w:rsid w:val="00BB4019"/>
    <w:rsid w:val="00BB4147"/>
    <w:rsid w:val="00BB417D"/>
    <w:rsid w:val="00BB41F5"/>
    <w:rsid w:val="00BB421A"/>
    <w:rsid w:val="00BB45CA"/>
    <w:rsid w:val="00BB4637"/>
    <w:rsid w:val="00BB464C"/>
    <w:rsid w:val="00BB46A8"/>
    <w:rsid w:val="00BB475B"/>
    <w:rsid w:val="00BB47E8"/>
    <w:rsid w:val="00BB4804"/>
    <w:rsid w:val="00BB487A"/>
    <w:rsid w:val="00BB4981"/>
    <w:rsid w:val="00BB4AC4"/>
    <w:rsid w:val="00BB4AE3"/>
    <w:rsid w:val="00BB4B8E"/>
    <w:rsid w:val="00BB4C24"/>
    <w:rsid w:val="00BB4C38"/>
    <w:rsid w:val="00BB4CD9"/>
    <w:rsid w:val="00BB4D0E"/>
    <w:rsid w:val="00BB52EA"/>
    <w:rsid w:val="00BB549B"/>
    <w:rsid w:val="00BB54A9"/>
    <w:rsid w:val="00BB55DF"/>
    <w:rsid w:val="00BB5622"/>
    <w:rsid w:val="00BB57F9"/>
    <w:rsid w:val="00BB5926"/>
    <w:rsid w:val="00BB5A8D"/>
    <w:rsid w:val="00BB5AB3"/>
    <w:rsid w:val="00BB5B8B"/>
    <w:rsid w:val="00BB5D03"/>
    <w:rsid w:val="00BB5D35"/>
    <w:rsid w:val="00BB5F0B"/>
    <w:rsid w:val="00BB60B4"/>
    <w:rsid w:val="00BB611D"/>
    <w:rsid w:val="00BB6243"/>
    <w:rsid w:val="00BB633F"/>
    <w:rsid w:val="00BB63F3"/>
    <w:rsid w:val="00BB663E"/>
    <w:rsid w:val="00BB66E0"/>
    <w:rsid w:val="00BB6847"/>
    <w:rsid w:val="00BB68F4"/>
    <w:rsid w:val="00BB6924"/>
    <w:rsid w:val="00BB6925"/>
    <w:rsid w:val="00BB6936"/>
    <w:rsid w:val="00BB696C"/>
    <w:rsid w:val="00BB6AD3"/>
    <w:rsid w:val="00BB6B0E"/>
    <w:rsid w:val="00BB6C72"/>
    <w:rsid w:val="00BB6CC8"/>
    <w:rsid w:val="00BB6D17"/>
    <w:rsid w:val="00BB6D50"/>
    <w:rsid w:val="00BB6D8B"/>
    <w:rsid w:val="00BB7429"/>
    <w:rsid w:val="00BB76CB"/>
    <w:rsid w:val="00BB781B"/>
    <w:rsid w:val="00BB789F"/>
    <w:rsid w:val="00BB7D3B"/>
    <w:rsid w:val="00BB7DFD"/>
    <w:rsid w:val="00BB7E12"/>
    <w:rsid w:val="00BB7E3D"/>
    <w:rsid w:val="00BB7E8E"/>
    <w:rsid w:val="00BB7FB6"/>
    <w:rsid w:val="00BC005B"/>
    <w:rsid w:val="00BC0299"/>
    <w:rsid w:val="00BC034C"/>
    <w:rsid w:val="00BC03DA"/>
    <w:rsid w:val="00BC0535"/>
    <w:rsid w:val="00BC05ED"/>
    <w:rsid w:val="00BC06AC"/>
    <w:rsid w:val="00BC06B6"/>
    <w:rsid w:val="00BC0981"/>
    <w:rsid w:val="00BC0A98"/>
    <w:rsid w:val="00BC0B8E"/>
    <w:rsid w:val="00BC0CA5"/>
    <w:rsid w:val="00BC0D8A"/>
    <w:rsid w:val="00BC0DE3"/>
    <w:rsid w:val="00BC0EEE"/>
    <w:rsid w:val="00BC0F8E"/>
    <w:rsid w:val="00BC0F94"/>
    <w:rsid w:val="00BC1130"/>
    <w:rsid w:val="00BC1172"/>
    <w:rsid w:val="00BC124F"/>
    <w:rsid w:val="00BC12C8"/>
    <w:rsid w:val="00BC16D7"/>
    <w:rsid w:val="00BC19ED"/>
    <w:rsid w:val="00BC1D8B"/>
    <w:rsid w:val="00BC1F5D"/>
    <w:rsid w:val="00BC2204"/>
    <w:rsid w:val="00BC2228"/>
    <w:rsid w:val="00BC264A"/>
    <w:rsid w:val="00BC26D2"/>
    <w:rsid w:val="00BC26E3"/>
    <w:rsid w:val="00BC272A"/>
    <w:rsid w:val="00BC289B"/>
    <w:rsid w:val="00BC29D2"/>
    <w:rsid w:val="00BC2BC2"/>
    <w:rsid w:val="00BC2C89"/>
    <w:rsid w:val="00BC2CAB"/>
    <w:rsid w:val="00BC3004"/>
    <w:rsid w:val="00BC33B4"/>
    <w:rsid w:val="00BC3497"/>
    <w:rsid w:val="00BC34A1"/>
    <w:rsid w:val="00BC35C5"/>
    <w:rsid w:val="00BC35F3"/>
    <w:rsid w:val="00BC38C3"/>
    <w:rsid w:val="00BC39F7"/>
    <w:rsid w:val="00BC3A13"/>
    <w:rsid w:val="00BC3BA5"/>
    <w:rsid w:val="00BC3BDB"/>
    <w:rsid w:val="00BC3CC9"/>
    <w:rsid w:val="00BC3D90"/>
    <w:rsid w:val="00BC3DCC"/>
    <w:rsid w:val="00BC3F3A"/>
    <w:rsid w:val="00BC3FB1"/>
    <w:rsid w:val="00BC43ED"/>
    <w:rsid w:val="00BC485F"/>
    <w:rsid w:val="00BC49EC"/>
    <w:rsid w:val="00BC4AD8"/>
    <w:rsid w:val="00BC4AF9"/>
    <w:rsid w:val="00BC4C90"/>
    <w:rsid w:val="00BC4FBD"/>
    <w:rsid w:val="00BC5545"/>
    <w:rsid w:val="00BC5548"/>
    <w:rsid w:val="00BC55DA"/>
    <w:rsid w:val="00BC5635"/>
    <w:rsid w:val="00BC565E"/>
    <w:rsid w:val="00BC5708"/>
    <w:rsid w:val="00BC57E6"/>
    <w:rsid w:val="00BC583F"/>
    <w:rsid w:val="00BC59B5"/>
    <w:rsid w:val="00BC5AE2"/>
    <w:rsid w:val="00BC5D37"/>
    <w:rsid w:val="00BC5D51"/>
    <w:rsid w:val="00BC6460"/>
    <w:rsid w:val="00BC650D"/>
    <w:rsid w:val="00BC66C0"/>
    <w:rsid w:val="00BC6817"/>
    <w:rsid w:val="00BC70B8"/>
    <w:rsid w:val="00BC7299"/>
    <w:rsid w:val="00BC7385"/>
    <w:rsid w:val="00BC73ED"/>
    <w:rsid w:val="00BC73F3"/>
    <w:rsid w:val="00BC74D6"/>
    <w:rsid w:val="00BC756F"/>
    <w:rsid w:val="00BC7651"/>
    <w:rsid w:val="00BC7842"/>
    <w:rsid w:val="00BC795D"/>
    <w:rsid w:val="00BC7AB7"/>
    <w:rsid w:val="00BC7CC6"/>
    <w:rsid w:val="00BC7CF2"/>
    <w:rsid w:val="00BC7E4E"/>
    <w:rsid w:val="00BD0058"/>
    <w:rsid w:val="00BD0302"/>
    <w:rsid w:val="00BD0372"/>
    <w:rsid w:val="00BD0645"/>
    <w:rsid w:val="00BD07D1"/>
    <w:rsid w:val="00BD088A"/>
    <w:rsid w:val="00BD0892"/>
    <w:rsid w:val="00BD0924"/>
    <w:rsid w:val="00BD09B0"/>
    <w:rsid w:val="00BD0B11"/>
    <w:rsid w:val="00BD0C41"/>
    <w:rsid w:val="00BD0CB5"/>
    <w:rsid w:val="00BD1067"/>
    <w:rsid w:val="00BD1081"/>
    <w:rsid w:val="00BD127F"/>
    <w:rsid w:val="00BD14AB"/>
    <w:rsid w:val="00BD14F4"/>
    <w:rsid w:val="00BD1625"/>
    <w:rsid w:val="00BD162E"/>
    <w:rsid w:val="00BD169E"/>
    <w:rsid w:val="00BD16F3"/>
    <w:rsid w:val="00BD173C"/>
    <w:rsid w:val="00BD1A40"/>
    <w:rsid w:val="00BD1AED"/>
    <w:rsid w:val="00BD1CF1"/>
    <w:rsid w:val="00BD1E06"/>
    <w:rsid w:val="00BD1E18"/>
    <w:rsid w:val="00BD1F5F"/>
    <w:rsid w:val="00BD20EF"/>
    <w:rsid w:val="00BD21BB"/>
    <w:rsid w:val="00BD23E8"/>
    <w:rsid w:val="00BD27A8"/>
    <w:rsid w:val="00BD29FA"/>
    <w:rsid w:val="00BD2A73"/>
    <w:rsid w:val="00BD2D1B"/>
    <w:rsid w:val="00BD2D22"/>
    <w:rsid w:val="00BD2DC9"/>
    <w:rsid w:val="00BD2E05"/>
    <w:rsid w:val="00BD2FA1"/>
    <w:rsid w:val="00BD311C"/>
    <w:rsid w:val="00BD3125"/>
    <w:rsid w:val="00BD334C"/>
    <w:rsid w:val="00BD351E"/>
    <w:rsid w:val="00BD368B"/>
    <w:rsid w:val="00BD3759"/>
    <w:rsid w:val="00BD3791"/>
    <w:rsid w:val="00BD37F9"/>
    <w:rsid w:val="00BD38C2"/>
    <w:rsid w:val="00BD393D"/>
    <w:rsid w:val="00BD3A5C"/>
    <w:rsid w:val="00BD3E7B"/>
    <w:rsid w:val="00BD3F5F"/>
    <w:rsid w:val="00BD40FF"/>
    <w:rsid w:val="00BD426B"/>
    <w:rsid w:val="00BD4336"/>
    <w:rsid w:val="00BD434A"/>
    <w:rsid w:val="00BD43B4"/>
    <w:rsid w:val="00BD4919"/>
    <w:rsid w:val="00BD4AAF"/>
    <w:rsid w:val="00BD4CD8"/>
    <w:rsid w:val="00BD4F83"/>
    <w:rsid w:val="00BD5375"/>
    <w:rsid w:val="00BD5476"/>
    <w:rsid w:val="00BD55B6"/>
    <w:rsid w:val="00BD55C0"/>
    <w:rsid w:val="00BD56A1"/>
    <w:rsid w:val="00BD5A73"/>
    <w:rsid w:val="00BD5B1F"/>
    <w:rsid w:val="00BD5C59"/>
    <w:rsid w:val="00BD5CDB"/>
    <w:rsid w:val="00BD5D13"/>
    <w:rsid w:val="00BD5DDE"/>
    <w:rsid w:val="00BD5ED6"/>
    <w:rsid w:val="00BD5F5F"/>
    <w:rsid w:val="00BD60F8"/>
    <w:rsid w:val="00BD61BB"/>
    <w:rsid w:val="00BD63A6"/>
    <w:rsid w:val="00BD63B8"/>
    <w:rsid w:val="00BD6405"/>
    <w:rsid w:val="00BD64E7"/>
    <w:rsid w:val="00BD66FE"/>
    <w:rsid w:val="00BD6717"/>
    <w:rsid w:val="00BD6732"/>
    <w:rsid w:val="00BD6926"/>
    <w:rsid w:val="00BD6C45"/>
    <w:rsid w:val="00BD6CE6"/>
    <w:rsid w:val="00BD6DBC"/>
    <w:rsid w:val="00BD6E07"/>
    <w:rsid w:val="00BD7359"/>
    <w:rsid w:val="00BD7561"/>
    <w:rsid w:val="00BD75C7"/>
    <w:rsid w:val="00BD774A"/>
    <w:rsid w:val="00BD7849"/>
    <w:rsid w:val="00BD7ACA"/>
    <w:rsid w:val="00BD7B51"/>
    <w:rsid w:val="00BD7BAF"/>
    <w:rsid w:val="00BD7C0B"/>
    <w:rsid w:val="00BD7C7E"/>
    <w:rsid w:val="00BD7CE4"/>
    <w:rsid w:val="00BD7DDE"/>
    <w:rsid w:val="00BD7E21"/>
    <w:rsid w:val="00BD7EED"/>
    <w:rsid w:val="00BE0106"/>
    <w:rsid w:val="00BE0167"/>
    <w:rsid w:val="00BE06D2"/>
    <w:rsid w:val="00BE06FA"/>
    <w:rsid w:val="00BE0947"/>
    <w:rsid w:val="00BE09F9"/>
    <w:rsid w:val="00BE0A9B"/>
    <w:rsid w:val="00BE0CD8"/>
    <w:rsid w:val="00BE0D4C"/>
    <w:rsid w:val="00BE1125"/>
    <w:rsid w:val="00BE1270"/>
    <w:rsid w:val="00BE139D"/>
    <w:rsid w:val="00BE15AC"/>
    <w:rsid w:val="00BE196E"/>
    <w:rsid w:val="00BE1B70"/>
    <w:rsid w:val="00BE1CEF"/>
    <w:rsid w:val="00BE1F27"/>
    <w:rsid w:val="00BE1FBF"/>
    <w:rsid w:val="00BE2287"/>
    <w:rsid w:val="00BE2288"/>
    <w:rsid w:val="00BE22A4"/>
    <w:rsid w:val="00BE231A"/>
    <w:rsid w:val="00BE25A8"/>
    <w:rsid w:val="00BE25C9"/>
    <w:rsid w:val="00BE2650"/>
    <w:rsid w:val="00BE2671"/>
    <w:rsid w:val="00BE282B"/>
    <w:rsid w:val="00BE283E"/>
    <w:rsid w:val="00BE29BF"/>
    <w:rsid w:val="00BE29D5"/>
    <w:rsid w:val="00BE2C6C"/>
    <w:rsid w:val="00BE2DF9"/>
    <w:rsid w:val="00BE2E35"/>
    <w:rsid w:val="00BE30DA"/>
    <w:rsid w:val="00BE30EF"/>
    <w:rsid w:val="00BE3390"/>
    <w:rsid w:val="00BE33D0"/>
    <w:rsid w:val="00BE3522"/>
    <w:rsid w:val="00BE37C1"/>
    <w:rsid w:val="00BE3862"/>
    <w:rsid w:val="00BE3894"/>
    <w:rsid w:val="00BE3946"/>
    <w:rsid w:val="00BE399A"/>
    <w:rsid w:val="00BE3A48"/>
    <w:rsid w:val="00BE3B56"/>
    <w:rsid w:val="00BE3DF2"/>
    <w:rsid w:val="00BE3E5A"/>
    <w:rsid w:val="00BE4059"/>
    <w:rsid w:val="00BE40A5"/>
    <w:rsid w:val="00BE41AB"/>
    <w:rsid w:val="00BE42CC"/>
    <w:rsid w:val="00BE4413"/>
    <w:rsid w:val="00BE448D"/>
    <w:rsid w:val="00BE4775"/>
    <w:rsid w:val="00BE4839"/>
    <w:rsid w:val="00BE4855"/>
    <w:rsid w:val="00BE4946"/>
    <w:rsid w:val="00BE4C0A"/>
    <w:rsid w:val="00BE4CBF"/>
    <w:rsid w:val="00BE4CD0"/>
    <w:rsid w:val="00BE4CF3"/>
    <w:rsid w:val="00BE4E3F"/>
    <w:rsid w:val="00BE4F59"/>
    <w:rsid w:val="00BE4FE7"/>
    <w:rsid w:val="00BE502A"/>
    <w:rsid w:val="00BE589A"/>
    <w:rsid w:val="00BE5B92"/>
    <w:rsid w:val="00BE5BED"/>
    <w:rsid w:val="00BE5C4F"/>
    <w:rsid w:val="00BE5CDC"/>
    <w:rsid w:val="00BE5D44"/>
    <w:rsid w:val="00BE5F60"/>
    <w:rsid w:val="00BE5F94"/>
    <w:rsid w:val="00BE602D"/>
    <w:rsid w:val="00BE605B"/>
    <w:rsid w:val="00BE6352"/>
    <w:rsid w:val="00BE6431"/>
    <w:rsid w:val="00BE66D5"/>
    <w:rsid w:val="00BE67A8"/>
    <w:rsid w:val="00BE68D2"/>
    <w:rsid w:val="00BE6A8B"/>
    <w:rsid w:val="00BE6B04"/>
    <w:rsid w:val="00BE6BC0"/>
    <w:rsid w:val="00BE6BD0"/>
    <w:rsid w:val="00BE6DF2"/>
    <w:rsid w:val="00BE6F69"/>
    <w:rsid w:val="00BE6F81"/>
    <w:rsid w:val="00BE7248"/>
    <w:rsid w:val="00BE73F2"/>
    <w:rsid w:val="00BE74AF"/>
    <w:rsid w:val="00BE75DA"/>
    <w:rsid w:val="00BE75FE"/>
    <w:rsid w:val="00BE7964"/>
    <w:rsid w:val="00BE7C07"/>
    <w:rsid w:val="00BE7D65"/>
    <w:rsid w:val="00BF003D"/>
    <w:rsid w:val="00BF0168"/>
    <w:rsid w:val="00BF035A"/>
    <w:rsid w:val="00BF0512"/>
    <w:rsid w:val="00BF0529"/>
    <w:rsid w:val="00BF056C"/>
    <w:rsid w:val="00BF06BF"/>
    <w:rsid w:val="00BF0775"/>
    <w:rsid w:val="00BF08EC"/>
    <w:rsid w:val="00BF096E"/>
    <w:rsid w:val="00BF09F5"/>
    <w:rsid w:val="00BF0E6D"/>
    <w:rsid w:val="00BF0E8B"/>
    <w:rsid w:val="00BF10F3"/>
    <w:rsid w:val="00BF10FB"/>
    <w:rsid w:val="00BF117E"/>
    <w:rsid w:val="00BF1D09"/>
    <w:rsid w:val="00BF1E3C"/>
    <w:rsid w:val="00BF1EF3"/>
    <w:rsid w:val="00BF1F15"/>
    <w:rsid w:val="00BF2152"/>
    <w:rsid w:val="00BF24D7"/>
    <w:rsid w:val="00BF277F"/>
    <w:rsid w:val="00BF2791"/>
    <w:rsid w:val="00BF2958"/>
    <w:rsid w:val="00BF2B86"/>
    <w:rsid w:val="00BF2C07"/>
    <w:rsid w:val="00BF2D6A"/>
    <w:rsid w:val="00BF2EBE"/>
    <w:rsid w:val="00BF2F3F"/>
    <w:rsid w:val="00BF30AD"/>
    <w:rsid w:val="00BF3121"/>
    <w:rsid w:val="00BF31B1"/>
    <w:rsid w:val="00BF3382"/>
    <w:rsid w:val="00BF358A"/>
    <w:rsid w:val="00BF35BF"/>
    <w:rsid w:val="00BF3667"/>
    <w:rsid w:val="00BF3A82"/>
    <w:rsid w:val="00BF3B5A"/>
    <w:rsid w:val="00BF3C09"/>
    <w:rsid w:val="00BF3D41"/>
    <w:rsid w:val="00BF4123"/>
    <w:rsid w:val="00BF4169"/>
    <w:rsid w:val="00BF426E"/>
    <w:rsid w:val="00BF42D1"/>
    <w:rsid w:val="00BF4348"/>
    <w:rsid w:val="00BF43EE"/>
    <w:rsid w:val="00BF4490"/>
    <w:rsid w:val="00BF4557"/>
    <w:rsid w:val="00BF45E0"/>
    <w:rsid w:val="00BF49F8"/>
    <w:rsid w:val="00BF4C8E"/>
    <w:rsid w:val="00BF4E09"/>
    <w:rsid w:val="00BF4F43"/>
    <w:rsid w:val="00BF4F55"/>
    <w:rsid w:val="00BF5001"/>
    <w:rsid w:val="00BF51B6"/>
    <w:rsid w:val="00BF5352"/>
    <w:rsid w:val="00BF559E"/>
    <w:rsid w:val="00BF584D"/>
    <w:rsid w:val="00BF5A4D"/>
    <w:rsid w:val="00BF5BA5"/>
    <w:rsid w:val="00BF5C3C"/>
    <w:rsid w:val="00BF5D26"/>
    <w:rsid w:val="00BF5D28"/>
    <w:rsid w:val="00BF5E5B"/>
    <w:rsid w:val="00BF5F0F"/>
    <w:rsid w:val="00BF6132"/>
    <w:rsid w:val="00BF6397"/>
    <w:rsid w:val="00BF63EE"/>
    <w:rsid w:val="00BF6AAD"/>
    <w:rsid w:val="00BF6AFA"/>
    <w:rsid w:val="00BF6B51"/>
    <w:rsid w:val="00BF6D75"/>
    <w:rsid w:val="00BF7126"/>
    <w:rsid w:val="00BF7182"/>
    <w:rsid w:val="00BF72A2"/>
    <w:rsid w:val="00BF732E"/>
    <w:rsid w:val="00BF7484"/>
    <w:rsid w:val="00BF7795"/>
    <w:rsid w:val="00BF7DD8"/>
    <w:rsid w:val="00BF7EA5"/>
    <w:rsid w:val="00BF7F56"/>
    <w:rsid w:val="00BF7F7F"/>
    <w:rsid w:val="00C001FC"/>
    <w:rsid w:val="00C0020A"/>
    <w:rsid w:val="00C0026E"/>
    <w:rsid w:val="00C0035A"/>
    <w:rsid w:val="00C003B7"/>
    <w:rsid w:val="00C0057B"/>
    <w:rsid w:val="00C00611"/>
    <w:rsid w:val="00C006E8"/>
    <w:rsid w:val="00C007A0"/>
    <w:rsid w:val="00C00836"/>
    <w:rsid w:val="00C0083A"/>
    <w:rsid w:val="00C008C4"/>
    <w:rsid w:val="00C00B31"/>
    <w:rsid w:val="00C00D9B"/>
    <w:rsid w:val="00C00DEB"/>
    <w:rsid w:val="00C01042"/>
    <w:rsid w:val="00C012B6"/>
    <w:rsid w:val="00C0135C"/>
    <w:rsid w:val="00C0140B"/>
    <w:rsid w:val="00C0155F"/>
    <w:rsid w:val="00C0158D"/>
    <w:rsid w:val="00C015C4"/>
    <w:rsid w:val="00C018D0"/>
    <w:rsid w:val="00C01944"/>
    <w:rsid w:val="00C01996"/>
    <w:rsid w:val="00C01A69"/>
    <w:rsid w:val="00C01ABA"/>
    <w:rsid w:val="00C01AE1"/>
    <w:rsid w:val="00C01CE3"/>
    <w:rsid w:val="00C01F04"/>
    <w:rsid w:val="00C02250"/>
    <w:rsid w:val="00C022C5"/>
    <w:rsid w:val="00C0237D"/>
    <w:rsid w:val="00C02459"/>
    <w:rsid w:val="00C02471"/>
    <w:rsid w:val="00C0263E"/>
    <w:rsid w:val="00C026AB"/>
    <w:rsid w:val="00C02889"/>
    <w:rsid w:val="00C0295A"/>
    <w:rsid w:val="00C02AC9"/>
    <w:rsid w:val="00C02C83"/>
    <w:rsid w:val="00C02CBA"/>
    <w:rsid w:val="00C02D43"/>
    <w:rsid w:val="00C02ED8"/>
    <w:rsid w:val="00C030FB"/>
    <w:rsid w:val="00C03189"/>
    <w:rsid w:val="00C03516"/>
    <w:rsid w:val="00C03590"/>
    <w:rsid w:val="00C03719"/>
    <w:rsid w:val="00C038BC"/>
    <w:rsid w:val="00C03CEF"/>
    <w:rsid w:val="00C03D4C"/>
    <w:rsid w:val="00C03FA8"/>
    <w:rsid w:val="00C03FAF"/>
    <w:rsid w:val="00C04443"/>
    <w:rsid w:val="00C045E7"/>
    <w:rsid w:val="00C0461A"/>
    <w:rsid w:val="00C0498A"/>
    <w:rsid w:val="00C049BF"/>
    <w:rsid w:val="00C04A47"/>
    <w:rsid w:val="00C04B5C"/>
    <w:rsid w:val="00C04CAC"/>
    <w:rsid w:val="00C04EF4"/>
    <w:rsid w:val="00C04FB1"/>
    <w:rsid w:val="00C04FFA"/>
    <w:rsid w:val="00C050A3"/>
    <w:rsid w:val="00C051C4"/>
    <w:rsid w:val="00C054CF"/>
    <w:rsid w:val="00C05518"/>
    <w:rsid w:val="00C05637"/>
    <w:rsid w:val="00C0582E"/>
    <w:rsid w:val="00C05B99"/>
    <w:rsid w:val="00C060D8"/>
    <w:rsid w:val="00C06114"/>
    <w:rsid w:val="00C0617D"/>
    <w:rsid w:val="00C062DD"/>
    <w:rsid w:val="00C06353"/>
    <w:rsid w:val="00C06557"/>
    <w:rsid w:val="00C065AF"/>
    <w:rsid w:val="00C066E2"/>
    <w:rsid w:val="00C067E3"/>
    <w:rsid w:val="00C06821"/>
    <w:rsid w:val="00C06855"/>
    <w:rsid w:val="00C068F5"/>
    <w:rsid w:val="00C0695C"/>
    <w:rsid w:val="00C069AB"/>
    <w:rsid w:val="00C06A51"/>
    <w:rsid w:val="00C06A8D"/>
    <w:rsid w:val="00C06D8C"/>
    <w:rsid w:val="00C06F3F"/>
    <w:rsid w:val="00C06F48"/>
    <w:rsid w:val="00C07085"/>
    <w:rsid w:val="00C07188"/>
    <w:rsid w:val="00C0719C"/>
    <w:rsid w:val="00C07380"/>
    <w:rsid w:val="00C073D0"/>
    <w:rsid w:val="00C073DB"/>
    <w:rsid w:val="00C074C5"/>
    <w:rsid w:val="00C07544"/>
    <w:rsid w:val="00C075C1"/>
    <w:rsid w:val="00C076C8"/>
    <w:rsid w:val="00C07899"/>
    <w:rsid w:val="00C078F3"/>
    <w:rsid w:val="00C0793B"/>
    <w:rsid w:val="00C0795F"/>
    <w:rsid w:val="00C079D3"/>
    <w:rsid w:val="00C07B26"/>
    <w:rsid w:val="00C07BB6"/>
    <w:rsid w:val="00C07BF1"/>
    <w:rsid w:val="00C07C16"/>
    <w:rsid w:val="00C10092"/>
    <w:rsid w:val="00C100D7"/>
    <w:rsid w:val="00C10174"/>
    <w:rsid w:val="00C10342"/>
    <w:rsid w:val="00C106E3"/>
    <w:rsid w:val="00C107A4"/>
    <w:rsid w:val="00C1092A"/>
    <w:rsid w:val="00C1092C"/>
    <w:rsid w:val="00C10930"/>
    <w:rsid w:val="00C10959"/>
    <w:rsid w:val="00C10AC1"/>
    <w:rsid w:val="00C10AD8"/>
    <w:rsid w:val="00C10ADA"/>
    <w:rsid w:val="00C10BE4"/>
    <w:rsid w:val="00C10C47"/>
    <w:rsid w:val="00C10D1C"/>
    <w:rsid w:val="00C10E1E"/>
    <w:rsid w:val="00C10E34"/>
    <w:rsid w:val="00C11073"/>
    <w:rsid w:val="00C1140E"/>
    <w:rsid w:val="00C11574"/>
    <w:rsid w:val="00C115DB"/>
    <w:rsid w:val="00C11631"/>
    <w:rsid w:val="00C1175E"/>
    <w:rsid w:val="00C11801"/>
    <w:rsid w:val="00C11A5C"/>
    <w:rsid w:val="00C11A91"/>
    <w:rsid w:val="00C11BD8"/>
    <w:rsid w:val="00C11CBD"/>
    <w:rsid w:val="00C11CF6"/>
    <w:rsid w:val="00C11F32"/>
    <w:rsid w:val="00C125A9"/>
    <w:rsid w:val="00C127A7"/>
    <w:rsid w:val="00C127B9"/>
    <w:rsid w:val="00C12C7F"/>
    <w:rsid w:val="00C13047"/>
    <w:rsid w:val="00C1317B"/>
    <w:rsid w:val="00C132B6"/>
    <w:rsid w:val="00C133EF"/>
    <w:rsid w:val="00C134C4"/>
    <w:rsid w:val="00C1397B"/>
    <w:rsid w:val="00C13AA8"/>
    <w:rsid w:val="00C13AB9"/>
    <w:rsid w:val="00C13B29"/>
    <w:rsid w:val="00C13B69"/>
    <w:rsid w:val="00C13C10"/>
    <w:rsid w:val="00C13F39"/>
    <w:rsid w:val="00C13F71"/>
    <w:rsid w:val="00C13F9E"/>
    <w:rsid w:val="00C13FC7"/>
    <w:rsid w:val="00C14263"/>
    <w:rsid w:val="00C143DF"/>
    <w:rsid w:val="00C143F2"/>
    <w:rsid w:val="00C149D8"/>
    <w:rsid w:val="00C14A1B"/>
    <w:rsid w:val="00C14A90"/>
    <w:rsid w:val="00C14B62"/>
    <w:rsid w:val="00C14BFD"/>
    <w:rsid w:val="00C14D03"/>
    <w:rsid w:val="00C14D33"/>
    <w:rsid w:val="00C14DF5"/>
    <w:rsid w:val="00C14F49"/>
    <w:rsid w:val="00C1500A"/>
    <w:rsid w:val="00C150C2"/>
    <w:rsid w:val="00C150FE"/>
    <w:rsid w:val="00C15103"/>
    <w:rsid w:val="00C156C9"/>
    <w:rsid w:val="00C156E4"/>
    <w:rsid w:val="00C157C7"/>
    <w:rsid w:val="00C15980"/>
    <w:rsid w:val="00C159BE"/>
    <w:rsid w:val="00C15C70"/>
    <w:rsid w:val="00C15CA5"/>
    <w:rsid w:val="00C15D31"/>
    <w:rsid w:val="00C15E45"/>
    <w:rsid w:val="00C15EA5"/>
    <w:rsid w:val="00C15F06"/>
    <w:rsid w:val="00C1606C"/>
    <w:rsid w:val="00C1615F"/>
    <w:rsid w:val="00C162D9"/>
    <w:rsid w:val="00C1643D"/>
    <w:rsid w:val="00C16520"/>
    <w:rsid w:val="00C165B5"/>
    <w:rsid w:val="00C166E8"/>
    <w:rsid w:val="00C168C2"/>
    <w:rsid w:val="00C1696A"/>
    <w:rsid w:val="00C16D14"/>
    <w:rsid w:val="00C16DFA"/>
    <w:rsid w:val="00C17284"/>
    <w:rsid w:val="00C17416"/>
    <w:rsid w:val="00C17638"/>
    <w:rsid w:val="00C1776F"/>
    <w:rsid w:val="00C17793"/>
    <w:rsid w:val="00C177BB"/>
    <w:rsid w:val="00C17968"/>
    <w:rsid w:val="00C17B1D"/>
    <w:rsid w:val="00C17C36"/>
    <w:rsid w:val="00C17D62"/>
    <w:rsid w:val="00C17E38"/>
    <w:rsid w:val="00C17E8D"/>
    <w:rsid w:val="00C20111"/>
    <w:rsid w:val="00C201BD"/>
    <w:rsid w:val="00C2022C"/>
    <w:rsid w:val="00C20250"/>
    <w:rsid w:val="00C20285"/>
    <w:rsid w:val="00C20769"/>
    <w:rsid w:val="00C20A09"/>
    <w:rsid w:val="00C20B7A"/>
    <w:rsid w:val="00C20C71"/>
    <w:rsid w:val="00C20D3D"/>
    <w:rsid w:val="00C20F1D"/>
    <w:rsid w:val="00C20FC3"/>
    <w:rsid w:val="00C21002"/>
    <w:rsid w:val="00C2109E"/>
    <w:rsid w:val="00C210F7"/>
    <w:rsid w:val="00C212A0"/>
    <w:rsid w:val="00C213C5"/>
    <w:rsid w:val="00C2145E"/>
    <w:rsid w:val="00C2148B"/>
    <w:rsid w:val="00C214E1"/>
    <w:rsid w:val="00C21589"/>
    <w:rsid w:val="00C21782"/>
    <w:rsid w:val="00C21ABB"/>
    <w:rsid w:val="00C21AD1"/>
    <w:rsid w:val="00C21D89"/>
    <w:rsid w:val="00C21E38"/>
    <w:rsid w:val="00C21F3F"/>
    <w:rsid w:val="00C221B5"/>
    <w:rsid w:val="00C22306"/>
    <w:rsid w:val="00C22439"/>
    <w:rsid w:val="00C22566"/>
    <w:rsid w:val="00C22590"/>
    <w:rsid w:val="00C2267B"/>
    <w:rsid w:val="00C2273A"/>
    <w:rsid w:val="00C2275A"/>
    <w:rsid w:val="00C227D4"/>
    <w:rsid w:val="00C227DC"/>
    <w:rsid w:val="00C22926"/>
    <w:rsid w:val="00C22B4F"/>
    <w:rsid w:val="00C22CF2"/>
    <w:rsid w:val="00C22E9F"/>
    <w:rsid w:val="00C23081"/>
    <w:rsid w:val="00C233C1"/>
    <w:rsid w:val="00C23544"/>
    <w:rsid w:val="00C2395C"/>
    <w:rsid w:val="00C239B5"/>
    <w:rsid w:val="00C23A20"/>
    <w:rsid w:val="00C23A8F"/>
    <w:rsid w:val="00C23AB0"/>
    <w:rsid w:val="00C23D2E"/>
    <w:rsid w:val="00C23F97"/>
    <w:rsid w:val="00C23FB5"/>
    <w:rsid w:val="00C2401F"/>
    <w:rsid w:val="00C2407E"/>
    <w:rsid w:val="00C24119"/>
    <w:rsid w:val="00C241BE"/>
    <w:rsid w:val="00C244CE"/>
    <w:rsid w:val="00C246FF"/>
    <w:rsid w:val="00C247AF"/>
    <w:rsid w:val="00C24834"/>
    <w:rsid w:val="00C24925"/>
    <w:rsid w:val="00C24D2A"/>
    <w:rsid w:val="00C24D4A"/>
    <w:rsid w:val="00C24D98"/>
    <w:rsid w:val="00C24DCE"/>
    <w:rsid w:val="00C250E3"/>
    <w:rsid w:val="00C251A6"/>
    <w:rsid w:val="00C2536F"/>
    <w:rsid w:val="00C25633"/>
    <w:rsid w:val="00C25A91"/>
    <w:rsid w:val="00C25B7C"/>
    <w:rsid w:val="00C25B9C"/>
    <w:rsid w:val="00C25C1D"/>
    <w:rsid w:val="00C25C99"/>
    <w:rsid w:val="00C25CC9"/>
    <w:rsid w:val="00C25E03"/>
    <w:rsid w:val="00C25FB0"/>
    <w:rsid w:val="00C261FA"/>
    <w:rsid w:val="00C2621D"/>
    <w:rsid w:val="00C262E6"/>
    <w:rsid w:val="00C26388"/>
    <w:rsid w:val="00C264A8"/>
    <w:rsid w:val="00C2655A"/>
    <w:rsid w:val="00C26660"/>
    <w:rsid w:val="00C267DC"/>
    <w:rsid w:val="00C26817"/>
    <w:rsid w:val="00C26858"/>
    <w:rsid w:val="00C26944"/>
    <w:rsid w:val="00C269DE"/>
    <w:rsid w:val="00C26AA2"/>
    <w:rsid w:val="00C26AB9"/>
    <w:rsid w:val="00C26B99"/>
    <w:rsid w:val="00C26C7A"/>
    <w:rsid w:val="00C26C93"/>
    <w:rsid w:val="00C26CAA"/>
    <w:rsid w:val="00C26D3F"/>
    <w:rsid w:val="00C26DC6"/>
    <w:rsid w:val="00C26E4B"/>
    <w:rsid w:val="00C27006"/>
    <w:rsid w:val="00C27099"/>
    <w:rsid w:val="00C276ED"/>
    <w:rsid w:val="00C2783B"/>
    <w:rsid w:val="00C279B3"/>
    <w:rsid w:val="00C27A0E"/>
    <w:rsid w:val="00C27ABB"/>
    <w:rsid w:val="00C27BCF"/>
    <w:rsid w:val="00C27D7B"/>
    <w:rsid w:val="00C27E54"/>
    <w:rsid w:val="00C27F88"/>
    <w:rsid w:val="00C2F4F0"/>
    <w:rsid w:val="00C30292"/>
    <w:rsid w:val="00C303CA"/>
    <w:rsid w:val="00C3040E"/>
    <w:rsid w:val="00C3052B"/>
    <w:rsid w:val="00C3064C"/>
    <w:rsid w:val="00C30742"/>
    <w:rsid w:val="00C3086E"/>
    <w:rsid w:val="00C30CA4"/>
    <w:rsid w:val="00C30EAB"/>
    <w:rsid w:val="00C30EB0"/>
    <w:rsid w:val="00C31038"/>
    <w:rsid w:val="00C312F3"/>
    <w:rsid w:val="00C31322"/>
    <w:rsid w:val="00C3138B"/>
    <w:rsid w:val="00C313DC"/>
    <w:rsid w:val="00C31650"/>
    <w:rsid w:val="00C316CB"/>
    <w:rsid w:val="00C31714"/>
    <w:rsid w:val="00C3173F"/>
    <w:rsid w:val="00C317CC"/>
    <w:rsid w:val="00C31819"/>
    <w:rsid w:val="00C319D1"/>
    <w:rsid w:val="00C31A05"/>
    <w:rsid w:val="00C31A32"/>
    <w:rsid w:val="00C31C76"/>
    <w:rsid w:val="00C31D6E"/>
    <w:rsid w:val="00C31DEA"/>
    <w:rsid w:val="00C3211A"/>
    <w:rsid w:val="00C3213A"/>
    <w:rsid w:val="00C3225F"/>
    <w:rsid w:val="00C32276"/>
    <w:rsid w:val="00C32529"/>
    <w:rsid w:val="00C32643"/>
    <w:rsid w:val="00C326EC"/>
    <w:rsid w:val="00C3273D"/>
    <w:rsid w:val="00C328D4"/>
    <w:rsid w:val="00C3294B"/>
    <w:rsid w:val="00C32C87"/>
    <w:rsid w:val="00C32DAA"/>
    <w:rsid w:val="00C32EAB"/>
    <w:rsid w:val="00C33282"/>
    <w:rsid w:val="00C33414"/>
    <w:rsid w:val="00C33530"/>
    <w:rsid w:val="00C33556"/>
    <w:rsid w:val="00C33D4D"/>
    <w:rsid w:val="00C33D6B"/>
    <w:rsid w:val="00C33F03"/>
    <w:rsid w:val="00C33FC2"/>
    <w:rsid w:val="00C34075"/>
    <w:rsid w:val="00C34123"/>
    <w:rsid w:val="00C34176"/>
    <w:rsid w:val="00C3421D"/>
    <w:rsid w:val="00C3471A"/>
    <w:rsid w:val="00C348A2"/>
    <w:rsid w:val="00C34D55"/>
    <w:rsid w:val="00C34E0B"/>
    <w:rsid w:val="00C34E81"/>
    <w:rsid w:val="00C350E0"/>
    <w:rsid w:val="00C35148"/>
    <w:rsid w:val="00C35308"/>
    <w:rsid w:val="00C356EA"/>
    <w:rsid w:val="00C35840"/>
    <w:rsid w:val="00C3596D"/>
    <w:rsid w:val="00C35A0D"/>
    <w:rsid w:val="00C36049"/>
    <w:rsid w:val="00C36156"/>
    <w:rsid w:val="00C36208"/>
    <w:rsid w:val="00C3634A"/>
    <w:rsid w:val="00C36475"/>
    <w:rsid w:val="00C36645"/>
    <w:rsid w:val="00C366A9"/>
    <w:rsid w:val="00C36939"/>
    <w:rsid w:val="00C36A33"/>
    <w:rsid w:val="00C36ADD"/>
    <w:rsid w:val="00C36B5A"/>
    <w:rsid w:val="00C36B64"/>
    <w:rsid w:val="00C36C0C"/>
    <w:rsid w:val="00C36E36"/>
    <w:rsid w:val="00C36E8B"/>
    <w:rsid w:val="00C36E8C"/>
    <w:rsid w:val="00C36EE9"/>
    <w:rsid w:val="00C37509"/>
    <w:rsid w:val="00C37521"/>
    <w:rsid w:val="00C37719"/>
    <w:rsid w:val="00C37723"/>
    <w:rsid w:val="00C377B1"/>
    <w:rsid w:val="00C37A3A"/>
    <w:rsid w:val="00C37AD0"/>
    <w:rsid w:val="00C37AE4"/>
    <w:rsid w:val="00C37B92"/>
    <w:rsid w:val="00C37CFA"/>
    <w:rsid w:val="00C37FEF"/>
    <w:rsid w:val="00C4003C"/>
    <w:rsid w:val="00C405FC"/>
    <w:rsid w:val="00C407D7"/>
    <w:rsid w:val="00C4085C"/>
    <w:rsid w:val="00C40919"/>
    <w:rsid w:val="00C40C77"/>
    <w:rsid w:val="00C40CA3"/>
    <w:rsid w:val="00C40DB4"/>
    <w:rsid w:val="00C40E68"/>
    <w:rsid w:val="00C40F60"/>
    <w:rsid w:val="00C411AA"/>
    <w:rsid w:val="00C41257"/>
    <w:rsid w:val="00C41259"/>
    <w:rsid w:val="00C412FF"/>
    <w:rsid w:val="00C4141A"/>
    <w:rsid w:val="00C41433"/>
    <w:rsid w:val="00C4162A"/>
    <w:rsid w:val="00C4164A"/>
    <w:rsid w:val="00C41735"/>
    <w:rsid w:val="00C417CF"/>
    <w:rsid w:val="00C41E37"/>
    <w:rsid w:val="00C4206D"/>
    <w:rsid w:val="00C42104"/>
    <w:rsid w:val="00C42523"/>
    <w:rsid w:val="00C4252B"/>
    <w:rsid w:val="00C4266B"/>
    <w:rsid w:val="00C42675"/>
    <w:rsid w:val="00C42697"/>
    <w:rsid w:val="00C4283F"/>
    <w:rsid w:val="00C42990"/>
    <w:rsid w:val="00C42B46"/>
    <w:rsid w:val="00C42F06"/>
    <w:rsid w:val="00C43050"/>
    <w:rsid w:val="00C432A2"/>
    <w:rsid w:val="00C43316"/>
    <w:rsid w:val="00C434E1"/>
    <w:rsid w:val="00C435B9"/>
    <w:rsid w:val="00C43A58"/>
    <w:rsid w:val="00C43B11"/>
    <w:rsid w:val="00C43B36"/>
    <w:rsid w:val="00C43C66"/>
    <w:rsid w:val="00C43C95"/>
    <w:rsid w:val="00C43D5E"/>
    <w:rsid w:val="00C43DD5"/>
    <w:rsid w:val="00C43E1A"/>
    <w:rsid w:val="00C43EC4"/>
    <w:rsid w:val="00C43FD2"/>
    <w:rsid w:val="00C44083"/>
    <w:rsid w:val="00C440B8"/>
    <w:rsid w:val="00C4427A"/>
    <w:rsid w:val="00C445D9"/>
    <w:rsid w:val="00C448C7"/>
    <w:rsid w:val="00C44916"/>
    <w:rsid w:val="00C44B79"/>
    <w:rsid w:val="00C44B9E"/>
    <w:rsid w:val="00C44BF5"/>
    <w:rsid w:val="00C44EE1"/>
    <w:rsid w:val="00C45316"/>
    <w:rsid w:val="00C4534E"/>
    <w:rsid w:val="00C45594"/>
    <w:rsid w:val="00C455F8"/>
    <w:rsid w:val="00C45650"/>
    <w:rsid w:val="00C45749"/>
    <w:rsid w:val="00C459C2"/>
    <w:rsid w:val="00C45BF0"/>
    <w:rsid w:val="00C45D8E"/>
    <w:rsid w:val="00C460AB"/>
    <w:rsid w:val="00C460F9"/>
    <w:rsid w:val="00C4613F"/>
    <w:rsid w:val="00C461F3"/>
    <w:rsid w:val="00C46353"/>
    <w:rsid w:val="00C4645C"/>
    <w:rsid w:val="00C4651C"/>
    <w:rsid w:val="00C4652D"/>
    <w:rsid w:val="00C46725"/>
    <w:rsid w:val="00C4692A"/>
    <w:rsid w:val="00C46A66"/>
    <w:rsid w:val="00C46A85"/>
    <w:rsid w:val="00C46BAB"/>
    <w:rsid w:val="00C46F3B"/>
    <w:rsid w:val="00C46F59"/>
    <w:rsid w:val="00C46F66"/>
    <w:rsid w:val="00C4702C"/>
    <w:rsid w:val="00C471C5"/>
    <w:rsid w:val="00C4742C"/>
    <w:rsid w:val="00C47628"/>
    <w:rsid w:val="00C47787"/>
    <w:rsid w:val="00C47790"/>
    <w:rsid w:val="00C47796"/>
    <w:rsid w:val="00C477D7"/>
    <w:rsid w:val="00C4782D"/>
    <w:rsid w:val="00C478A8"/>
    <w:rsid w:val="00C478CB"/>
    <w:rsid w:val="00C47BFF"/>
    <w:rsid w:val="00C47C3B"/>
    <w:rsid w:val="00C47CF4"/>
    <w:rsid w:val="00C47D53"/>
    <w:rsid w:val="00C47E30"/>
    <w:rsid w:val="00C50088"/>
    <w:rsid w:val="00C50093"/>
    <w:rsid w:val="00C501D9"/>
    <w:rsid w:val="00C50217"/>
    <w:rsid w:val="00C502A5"/>
    <w:rsid w:val="00C5036B"/>
    <w:rsid w:val="00C503BC"/>
    <w:rsid w:val="00C503E0"/>
    <w:rsid w:val="00C50707"/>
    <w:rsid w:val="00C50957"/>
    <w:rsid w:val="00C509C3"/>
    <w:rsid w:val="00C509FD"/>
    <w:rsid w:val="00C50B22"/>
    <w:rsid w:val="00C50B44"/>
    <w:rsid w:val="00C50C8E"/>
    <w:rsid w:val="00C50CC9"/>
    <w:rsid w:val="00C50CD7"/>
    <w:rsid w:val="00C50E69"/>
    <w:rsid w:val="00C50F15"/>
    <w:rsid w:val="00C50FE5"/>
    <w:rsid w:val="00C510D0"/>
    <w:rsid w:val="00C5112C"/>
    <w:rsid w:val="00C51137"/>
    <w:rsid w:val="00C5123A"/>
    <w:rsid w:val="00C51267"/>
    <w:rsid w:val="00C51295"/>
    <w:rsid w:val="00C513E7"/>
    <w:rsid w:val="00C51607"/>
    <w:rsid w:val="00C517C9"/>
    <w:rsid w:val="00C5181D"/>
    <w:rsid w:val="00C51887"/>
    <w:rsid w:val="00C518BD"/>
    <w:rsid w:val="00C519F2"/>
    <w:rsid w:val="00C51B0E"/>
    <w:rsid w:val="00C51D49"/>
    <w:rsid w:val="00C51D62"/>
    <w:rsid w:val="00C51FEE"/>
    <w:rsid w:val="00C52176"/>
    <w:rsid w:val="00C5230B"/>
    <w:rsid w:val="00C5233F"/>
    <w:rsid w:val="00C52563"/>
    <w:rsid w:val="00C52578"/>
    <w:rsid w:val="00C525A9"/>
    <w:rsid w:val="00C528A2"/>
    <w:rsid w:val="00C5291F"/>
    <w:rsid w:val="00C52A45"/>
    <w:rsid w:val="00C52B6A"/>
    <w:rsid w:val="00C52BC4"/>
    <w:rsid w:val="00C52C07"/>
    <w:rsid w:val="00C52F86"/>
    <w:rsid w:val="00C52FE4"/>
    <w:rsid w:val="00C53008"/>
    <w:rsid w:val="00C53025"/>
    <w:rsid w:val="00C5306F"/>
    <w:rsid w:val="00C531AC"/>
    <w:rsid w:val="00C53205"/>
    <w:rsid w:val="00C53223"/>
    <w:rsid w:val="00C533E4"/>
    <w:rsid w:val="00C53419"/>
    <w:rsid w:val="00C536D2"/>
    <w:rsid w:val="00C5376D"/>
    <w:rsid w:val="00C538C0"/>
    <w:rsid w:val="00C538F6"/>
    <w:rsid w:val="00C539B2"/>
    <w:rsid w:val="00C539D7"/>
    <w:rsid w:val="00C53AD9"/>
    <w:rsid w:val="00C53DD0"/>
    <w:rsid w:val="00C53F70"/>
    <w:rsid w:val="00C540D6"/>
    <w:rsid w:val="00C54149"/>
    <w:rsid w:val="00C544DB"/>
    <w:rsid w:val="00C544FE"/>
    <w:rsid w:val="00C54500"/>
    <w:rsid w:val="00C54540"/>
    <w:rsid w:val="00C54AE7"/>
    <w:rsid w:val="00C54B96"/>
    <w:rsid w:val="00C54DB6"/>
    <w:rsid w:val="00C54F96"/>
    <w:rsid w:val="00C54FED"/>
    <w:rsid w:val="00C5515B"/>
    <w:rsid w:val="00C552D5"/>
    <w:rsid w:val="00C55525"/>
    <w:rsid w:val="00C55594"/>
    <w:rsid w:val="00C555F0"/>
    <w:rsid w:val="00C5561C"/>
    <w:rsid w:val="00C55936"/>
    <w:rsid w:val="00C55A3A"/>
    <w:rsid w:val="00C55D92"/>
    <w:rsid w:val="00C55F6A"/>
    <w:rsid w:val="00C56207"/>
    <w:rsid w:val="00C562AA"/>
    <w:rsid w:val="00C56685"/>
    <w:rsid w:val="00C566B0"/>
    <w:rsid w:val="00C56758"/>
    <w:rsid w:val="00C5679A"/>
    <w:rsid w:val="00C567BD"/>
    <w:rsid w:val="00C569CE"/>
    <w:rsid w:val="00C56B19"/>
    <w:rsid w:val="00C56B30"/>
    <w:rsid w:val="00C56E52"/>
    <w:rsid w:val="00C56E5E"/>
    <w:rsid w:val="00C571FA"/>
    <w:rsid w:val="00C5722C"/>
    <w:rsid w:val="00C572FC"/>
    <w:rsid w:val="00C57326"/>
    <w:rsid w:val="00C5768B"/>
    <w:rsid w:val="00C57752"/>
    <w:rsid w:val="00C5777C"/>
    <w:rsid w:val="00C57B7F"/>
    <w:rsid w:val="00C57D8D"/>
    <w:rsid w:val="00C601E6"/>
    <w:rsid w:val="00C601EB"/>
    <w:rsid w:val="00C60398"/>
    <w:rsid w:val="00C60416"/>
    <w:rsid w:val="00C60889"/>
    <w:rsid w:val="00C60A0A"/>
    <w:rsid w:val="00C60B16"/>
    <w:rsid w:val="00C60B26"/>
    <w:rsid w:val="00C60B5D"/>
    <w:rsid w:val="00C60DAB"/>
    <w:rsid w:val="00C60F5F"/>
    <w:rsid w:val="00C6104F"/>
    <w:rsid w:val="00C611BC"/>
    <w:rsid w:val="00C613BA"/>
    <w:rsid w:val="00C615E3"/>
    <w:rsid w:val="00C6170F"/>
    <w:rsid w:val="00C61726"/>
    <w:rsid w:val="00C61772"/>
    <w:rsid w:val="00C6178D"/>
    <w:rsid w:val="00C61806"/>
    <w:rsid w:val="00C61AC6"/>
    <w:rsid w:val="00C61B4E"/>
    <w:rsid w:val="00C61C28"/>
    <w:rsid w:val="00C61CE7"/>
    <w:rsid w:val="00C61D6E"/>
    <w:rsid w:val="00C61FA5"/>
    <w:rsid w:val="00C620F8"/>
    <w:rsid w:val="00C62328"/>
    <w:rsid w:val="00C6268D"/>
    <w:rsid w:val="00C62737"/>
    <w:rsid w:val="00C6278E"/>
    <w:rsid w:val="00C62AE0"/>
    <w:rsid w:val="00C62B0A"/>
    <w:rsid w:val="00C62BF0"/>
    <w:rsid w:val="00C62EF2"/>
    <w:rsid w:val="00C634B4"/>
    <w:rsid w:val="00C634CD"/>
    <w:rsid w:val="00C635F4"/>
    <w:rsid w:val="00C63944"/>
    <w:rsid w:val="00C63982"/>
    <w:rsid w:val="00C63BCC"/>
    <w:rsid w:val="00C63DE4"/>
    <w:rsid w:val="00C63ECC"/>
    <w:rsid w:val="00C63F12"/>
    <w:rsid w:val="00C64199"/>
    <w:rsid w:val="00C642F5"/>
    <w:rsid w:val="00C64384"/>
    <w:rsid w:val="00C64401"/>
    <w:rsid w:val="00C645A5"/>
    <w:rsid w:val="00C647DD"/>
    <w:rsid w:val="00C6484A"/>
    <w:rsid w:val="00C64874"/>
    <w:rsid w:val="00C64935"/>
    <w:rsid w:val="00C64997"/>
    <w:rsid w:val="00C64A15"/>
    <w:rsid w:val="00C64AD0"/>
    <w:rsid w:val="00C64BF0"/>
    <w:rsid w:val="00C64D90"/>
    <w:rsid w:val="00C64E1B"/>
    <w:rsid w:val="00C64FD5"/>
    <w:rsid w:val="00C65003"/>
    <w:rsid w:val="00C65055"/>
    <w:rsid w:val="00C65160"/>
    <w:rsid w:val="00C651B5"/>
    <w:rsid w:val="00C651C6"/>
    <w:rsid w:val="00C65261"/>
    <w:rsid w:val="00C652E1"/>
    <w:rsid w:val="00C65449"/>
    <w:rsid w:val="00C6566D"/>
    <w:rsid w:val="00C65932"/>
    <w:rsid w:val="00C65948"/>
    <w:rsid w:val="00C65951"/>
    <w:rsid w:val="00C659AD"/>
    <w:rsid w:val="00C65FCB"/>
    <w:rsid w:val="00C66125"/>
    <w:rsid w:val="00C66168"/>
    <w:rsid w:val="00C6620A"/>
    <w:rsid w:val="00C66250"/>
    <w:rsid w:val="00C6626C"/>
    <w:rsid w:val="00C66272"/>
    <w:rsid w:val="00C6631D"/>
    <w:rsid w:val="00C663C4"/>
    <w:rsid w:val="00C66452"/>
    <w:rsid w:val="00C665A1"/>
    <w:rsid w:val="00C66762"/>
    <w:rsid w:val="00C66902"/>
    <w:rsid w:val="00C6698D"/>
    <w:rsid w:val="00C66C3A"/>
    <w:rsid w:val="00C66EDB"/>
    <w:rsid w:val="00C66F49"/>
    <w:rsid w:val="00C66F71"/>
    <w:rsid w:val="00C66F85"/>
    <w:rsid w:val="00C67084"/>
    <w:rsid w:val="00C671EF"/>
    <w:rsid w:val="00C675F2"/>
    <w:rsid w:val="00C676B9"/>
    <w:rsid w:val="00C676DD"/>
    <w:rsid w:val="00C677C5"/>
    <w:rsid w:val="00C67A78"/>
    <w:rsid w:val="00C67C70"/>
    <w:rsid w:val="00C67D84"/>
    <w:rsid w:val="00C7014E"/>
    <w:rsid w:val="00C70161"/>
    <w:rsid w:val="00C70205"/>
    <w:rsid w:val="00C7030A"/>
    <w:rsid w:val="00C703B9"/>
    <w:rsid w:val="00C706A4"/>
    <w:rsid w:val="00C7070F"/>
    <w:rsid w:val="00C7090A"/>
    <w:rsid w:val="00C70958"/>
    <w:rsid w:val="00C709AE"/>
    <w:rsid w:val="00C709F5"/>
    <w:rsid w:val="00C70B8A"/>
    <w:rsid w:val="00C70C28"/>
    <w:rsid w:val="00C70C38"/>
    <w:rsid w:val="00C70C89"/>
    <w:rsid w:val="00C70ECF"/>
    <w:rsid w:val="00C70F35"/>
    <w:rsid w:val="00C70FCB"/>
    <w:rsid w:val="00C710C4"/>
    <w:rsid w:val="00C711A7"/>
    <w:rsid w:val="00C7128D"/>
    <w:rsid w:val="00C71593"/>
    <w:rsid w:val="00C715C4"/>
    <w:rsid w:val="00C71B21"/>
    <w:rsid w:val="00C71B3A"/>
    <w:rsid w:val="00C71B77"/>
    <w:rsid w:val="00C71BA8"/>
    <w:rsid w:val="00C71C50"/>
    <w:rsid w:val="00C71C58"/>
    <w:rsid w:val="00C71FAF"/>
    <w:rsid w:val="00C7203E"/>
    <w:rsid w:val="00C72067"/>
    <w:rsid w:val="00C72251"/>
    <w:rsid w:val="00C722E5"/>
    <w:rsid w:val="00C7254C"/>
    <w:rsid w:val="00C725FE"/>
    <w:rsid w:val="00C7263A"/>
    <w:rsid w:val="00C72767"/>
    <w:rsid w:val="00C7290F"/>
    <w:rsid w:val="00C72BC8"/>
    <w:rsid w:val="00C72C6F"/>
    <w:rsid w:val="00C72C9F"/>
    <w:rsid w:val="00C72D01"/>
    <w:rsid w:val="00C73037"/>
    <w:rsid w:val="00C73080"/>
    <w:rsid w:val="00C730FC"/>
    <w:rsid w:val="00C7310B"/>
    <w:rsid w:val="00C7361C"/>
    <w:rsid w:val="00C7393A"/>
    <w:rsid w:val="00C739B5"/>
    <w:rsid w:val="00C739F9"/>
    <w:rsid w:val="00C73A01"/>
    <w:rsid w:val="00C73A51"/>
    <w:rsid w:val="00C73B10"/>
    <w:rsid w:val="00C73B5F"/>
    <w:rsid w:val="00C73B89"/>
    <w:rsid w:val="00C73B9F"/>
    <w:rsid w:val="00C73C4A"/>
    <w:rsid w:val="00C73DF1"/>
    <w:rsid w:val="00C73F7D"/>
    <w:rsid w:val="00C73FA1"/>
    <w:rsid w:val="00C74165"/>
    <w:rsid w:val="00C7423B"/>
    <w:rsid w:val="00C747CE"/>
    <w:rsid w:val="00C74883"/>
    <w:rsid w:val="00C74977"/>
    <w:rsid w:val="00C749C3"/>
    <w:rsid w:val="00C749FA"/>
    <w:rsid w:val="00C74BAD"/>
    <w:rsid w:val="00C74BB2"/>
    <w:rsid w:val="00C74BC0"/>
    <w:rsid w:val="00C74C80"/>
    <w:rsid w:val="00C74D1E"/>
    <w:rsid w:val="00C75090"/>
    <w:rsid w:val="00C75181"/>
    <w:rsid w:val="00C751C0"/>
    <w:rsid w:val="00C75220"/>
    <w:rsid w:val="00C75244"/>
    <w:rsid w:val="00C752D2"/>
    <w:rsid w:val="00C756E2"/>
    <w:rsid w:val="00C75833"/>
    <w:rsid w:val="00C75835"/>
    <w:rsid w:val="00C758D0"/>
    <w:rsid w:val="00C75906"/>
    <w:rsid w:val="00C75A4F"/>
    <w:rsid w:val="00C75A91"/>
    <w:rsid w:val="00C75CEA"/>
    <w:rsid w:val="00C75D5D"/>
    <w:rsid w:val="00C75F64"/>
    <w:rsid w:val="00C76099"/>
    <w:rsid w:val="00C761E0"/>
    <w:rsid w:val="00C76268"/>
    <w:rsid w:val="00C763DC"/>
    <w:rsid w:val="00C76414"/>
    <w:rsid w:val="00C7658E"/>
    <w:rsid w:val="00C766FB"/>
    <w:rsid w:val="00C7680C"/>
    <w:rsid w:val="00C768A0"/>
    <w:rsid w:val="00C768F9"/>
    <w:rsid w:val="00C76AC6"/>
    <w:rsid w:val="00C76C62"/>
    <w:rsid w:val="00C76C8F"/>
    <w:rsid w:val="00C76CF6"/>
    <w:rsid w:val="00C7704D"/>
    <w:rsid w:val="00C77213"/>
    <w:rsid w:val="00C7733F"/>
    <w:rsid w:val="00C774EA"/>
    <w:rsid w:val="00C775F6"/>
    <w:rsid w:val="00C7785F"/>
    <w:rsid w:val="00C77C56"/>
    <w:rsid w:val="00C77E50"/>
    <w:rsid w:val="00C77F0A"/>
    <w:rsid w:val="00C80064"/>
    <w:rsid w:val="00C801A3"/>
    <w:rsid w:val="00C801B8"/>
    <w:rsid w:val="00C801CD"/>
    <w:rsid w:val="00C80203"/>
    <w:rsid w:val="00C802C2"/>
    <w:rsid w:val="00C80300"/>
    <w:rsid w:val="00C80379"/>
    <w:rsid w:val="00C80523"/>
    <w:rsid w:val="00C805D0"/>
    <w:rsid w:val="00C80695"/>
    <w:rsid w:val="00C80730"/>
    <w:rsid w:val="00C8073E"/>
    <w:rsid w:val="00C80790"/>
    <w:rsid w:val="00C8079F"/>
    <w:rsid w:val="00C80806"/>
    <w:rsid w:val="00C80825"/>
    <w:rsid w:val="00C808C3"/>
    <w:rsid w:val="00C808CB"/>
    <w:rsid w:val="00C80AFC"/>
    <w:rsid w:val="00C80BE2"/>
    <w:rsid w:val="00C80BF5"/>
    <w:rsid w:val="00C80C3A"/>
    <w:rsid w:val="00C80C9E"/>
    <w:rsid w:val="00C80FF2"/>
    <w:rsid w:val="00C81213"/>
    <w:rsid w:val="00C814B8"/>
    <w:rsid w:val="00C8152E"/>
    <w:rsid w:val="00C8166F"/>
    <w:rsid w:val="00C816B6"/>
    <w:rsid w:val="00C817D0"/>
    <w:rsid w:val="00C818E8"/>
    <w:rsid w:val="00C81913"/>
    <w:rsid w:val="00C819C0"/>
    <w:rsid w:val="00C81B24"/>
    <w:rsid w:val="00C81D1B"/>
    <w:rsid w:val="00C81D30"/>
    <w:rsid w:val="00C81D82"/>
    <w:rsid w:val="00C81DD5"/>
    <w:rsid w:val="00C81FF6"/>
    <w:rsid w:val="00C82041"/>
    <w:rsid w:val="00C82109"/>
    <w:rsid w:val="00C82381"/>
    <w:rsid w:val="00C82710"/>
    <w:rsid w:val="00C8271D"/>
    <w:rsid w:val="00C82941"/>
    <w:rsid w:val="00C82CD8"/>
    <w:rsid w:val="00C82E0F"/>
    <w:rsid w:val="00C82E2A"/>
    <w:rsid w:val="00C82FBE"/>
    <w:rsid w:val="00C8306F"/>
    <w:rsid w:val="00C832F0"/>
    <w:rsid w:val="00C836AC"/>
    <w:rsid w:val="00C83715"/>
    <w:rsid w:val="00C83843"/>
    <w:rsid w:val="00C83854"/>
    <w:rsid w:val="00C839A7"/>
    <w:rsid w:val="00C839BD"/>
    <w:rsid w:val="00C83C2A"/>
    <w:rsid w:val="00C83CAB"/>
    <w:rsid w:val="00C83DA8"/>
    <w:rsid w:val="00C84280"/>
    <w:rsid w:val="00C8446C"/>
    <w:rsid w:val="00C845B2"/>
    <w:rsid w:val="00C846D1"/>
    <w:rsid w:val="00C84952"/>
    <w:rsid w:val="00C84A12"/>
    <w:rsid w:val="00C84A5D"/>
    <w:rsid w:val="00C84B55"/>
    <w:rsid w:val="00C84C67"/>
    <w:rsid w:val="00C84D61"/>
    <w:rsid w:val="00C84D94"/>
    <w:rsid w:val="00C84E7E"/>
    <w:rsid w:val="00C84F79"/>
    <w:rsid w:val="00C8512E"/>
    <w:rsid w:val="00C85274"/>
    <w:rsid w:val="00C854E9"/>
    <w:rsid w:val="00C856E7"/>
    <w:rsid w:val="00C85753"/>
    <w:rsid w:val="00C857AB"/>
    <w:rsid w:val="00C85809"/>
    <w:rsid w:val="00C85829"/>
    <w:rsid w:val="00C858C9"/>
    <w:rsid w:val="00C85907"/>
    <w:rsid w:val="00C8596B"/>
    <w:rsid w:val="00C85AB6"/>
    <w:rsid w:val="00C85B1E"/>
    <w:rsid w:val="00C85F91"/>
    <w:rsid w:val="00C8624B"/>
    <w:rsid w:val="00C86333"/>
    <w:rsid w:val="00C863A9"/>
    <w:rsid w:val="00C86596"/>
    <w:rsid w:val="00C865EA"/>
    <w:rsid w:val="00C86841"/>
    <w:rsid w:val="00C8694E"/>
    <w:rsid w:val="00C8695F"/>
    <w:rsid w:val="00C86A22"/>
    <w:rsid w:val="00C86B00"/>
    <w:rsid w:val="00C86C1A"/>
    <w:rsid w:val="00C86C37"/>
    <w:rsid w:val="00C86C38"/>
    <w:rsid w:val="00C86E15"/>
    <w:rsid w:val="00C86E4E"/>
    <w:rsid w:val="00C871DC"/>
    <w:rsid w:val="00C8725F"/>
    <w:rsid w:val="00C873BA"/>
    <w:rsid w:val="00C8741F"/>
    <w:rsid w:val="00C8747A"/>
    <w:rsid w:val="00C87527"/>
    <w:rsid w:val="00C87634"/>
    <w:rsid w:val="00C8764A"/>
    <w:rsid w:val="00C879D6"/>
    <w:rsid w:val="00C87D46"/>
    <w:rsid w:val="00C90056"/>
    <w:rsid w:val="00C90085"/>
    <w:rsid w:val="00C900A0"/>
    <w:rsid w:val="00C900A9"/>
    <w:rsid w:val="00C90150"/>
    <w:rsid w:val="00C9015F"/>
    <w:rsid w:val="00C9022A"/>
    <w:rsid w:val="00C90436"/>
    <w:rsid w:val="00C904D4"/>
    <w:rsid w:val="00C9055B"/>
    <w:rsid w:val="00C90674"/>
    <w:rsid w:val="00C90712"/>
    <w:rsid w:val="00C908EB"/>
    <w:rsid w:val="00C908F7"/>
    <w:rsid w:val="00C90A2A"/>
    <w:rsid w:val="00C90A81"/>
    <w:rsid w:val="00C90C46"/>
    <w:rsid w:val="00C90D66"/>
    <w:rsid w:val="00C90FB6"/>
    <w:rsid w:val="00C91016"/>
    <w:rsid w:val="00C9160D"/>
    <w:rsid w:val="00C9186C"/>
    <w:rsid w:val="00C9199D"/>
    <w:rsid w:val="00C919BD"/>
    <w:rsid w:val="00C91DC2"/>
    <w:rsid w:val="00C91E47"/>
    <w:rsid w:val="00C9212C"/>
    <w:rsid w:val="00C924C1"/>
    <w:rsid w:val="00C9256D"/>
    <w:rsid w:val="00C92A60"/>
    <w:rsid w:val="00C92B37"/>
    <w:rsid w:val="00C9307A"/>
    <w:rsid w:val="00C93148"/>
    <w:rsid w:val="00C9318A"/>
    <w:rsid w:val="00C93279"/>
    <w:rsid w:val="00C932C9"/>
    <w:rsid w:val="00C93308"/>
    <w:rsid w:val="00C935FA"/>
    <w:rsid w:val="00C93625"/>
    <w:rsid w:val="00C937B2"/>
    <w:rsid w:val="00C93804"/>
    <w:rsid w:val="00C938CE"/>
    <w:rsid w:val="00C93C8C"/>
    <w:rsid w:val="00C93D2E"/>
    <w:rsid w:val="00C93DE5"/>
    <w:rsid w:val="00C94012"/>
    <w:rsid w:val="00C9446F"/>
    <w:rsid w:val="00C944B8"/>
    <w:rsid w:val="00C94595"/>
    <w:rsid w:val="00C94638"/>
    <w:rsid w:val="00C9463B"/>
    <w:rsid w:val="00C94E2C"/>
    <w:rsid w:val="00C94EF8"/>
    <w:rsid w:val="00C95073"/>
    <w:rsid w:val="00C9514B"/>
    <w:rsid w:val="00C9532D"/>
    <w:rsid w:val="00C95486"/>
    <w:rsid w:val="00C9563C"/>
    <w:rsid w:val="00C95A3F"/>
    <w:rsid w:val="00C95C2C"/>
    <w:rsid w:val="00C95C61"/>
    <w:rsid w:val="00C95CC0"/>
    <w:rsid w:val="00C95EC2"/>
    <w:rsid w:val="00C95FF9"/>
    <w:rsid w:val="00C966A7"/>
    <w:rsid w:val="00C966E8"/>
    <w:rsid w:val="00C9679F"/>
    <w:rsid w:val="00C96976"/>
    <w:rsid w:val="00C96A9F"/>
    <w:rsid w:val="00C96AFD"/>
    <w:rsid w:val="00C97088"/>
    <w:rsid w:val="00C970C3"/>
    <w:rsid w:val="00C970FD"/>
    <w:rsid w:val="00C972AE"/>
    <w:rsid w:val="00C9739B"/>
    <w:rsid w:val="00C973A2"/>
    <w:rsid w:val="00C974EE"/>
    <w:rsid w:val="00C97572"/>
    <w:rsid w:val="00C97576"/>
    <w:rsid w:val="00C97726"/>
    <w:rsid w:val="00C97792"/>
    <w:rsid w:val="00C9784A"/>
    <w:rsid w:val="00C97B20"/>
    <w:rsid w:val="00C97B50"/>
    <w:rsid w:val="00C97D71"/>
    <w:rsid w:val="00C97E3E"/>
    <w:rsid w:val="00C97EF0"/>
    <w:rsid w:val="00C97F15"/>
    <w:rsid w:val="00C97F19"/>
    <w:rsid w:val="00C97F5F"/>
    <w:rsid w:val="00C97FF1"/>
    <w:rsid w:val="00CA0362"/>
    <w:rsid w:val="00CA0372"/>
    <w:rsid w:val="00CA041E"/>
    <w:rsid w:val="00CA04BB"/>
    <w:rsid w:val="00CA0657"/>
    <w:rsid w:val="00CA0827"/>
    <w:rsid w:val="00CA095C"/>
    <w:rsid w:val="00CA09F0"/>
    <w:rsid w:val="00CA0A19"/>
    <w:rsid w:val="00CA0C7A"/>
    <w:rsid w:val="00CA0C84"/>
    <w:rsid w:val="00CA0D81"/>
    <w:rsid w:val="00CA0E73"/>
    <w:rsid w:val="00CA0E7C"/>
    <w:rsid w:val="00CA10FE"/>
    <w:rsid w:val="00CA1132"/>
    <w:rsid w:val="00CA116C"/>
    <w:rsid w:val="00CA1262"/>
    <w:rsid w:val="00CA1482"/>
    <w:rsid w:val="00CA1747"/>
    <w:rsid w:val="00CA17BF"/>
    <w:rsid w:val="00CA1987"/>
    <w:rsid w:val="00CA19F6"/>
    <w:rsid w:val="00CA1CF7"/>
    <w:rsid w:val="00CA1D86"/>
    <w:rsid w:val="00CA1F1D"/>
    <w:rsid w:val="00CA2166"/>
    <w:rsid w:val="00CA2242"/>
    <w:rsid w:val="00CA22CF"/>
    <w:rsid w:val="00CA22E4"/>
    <w:rsid w:val="00CA24DA"/>
    <w:rsid w:val="00CA2511"/>
    <w:rsid w:val="00CA2537"/>
    <w:rsid w:val="00CA2749"/>
    <w:rsid w:val="00CA281B"/>
    <w:rsid w:val="00CA2849"/>
    <w:rsid w:val="00CA298F"/>
    <w:rsid w:val="00CA2AAF"/>
    <w:rsid w:val="00CA2BBF"/>
    <w:rsid w:val="00CA2C82"/>
    <w:rsid w:val="00CA2D76"/>
    <w:rsid w:val="00CA2DB5"/>
    <w:rsid w:val="00CA2FAA"/>
    <w:rsid w:val="00CA30BE"/>
    <w:rsid w:val="00CA30D9"/>
    <w:rsid w:val="00CA3249"/>
    <w:rsid w:val="00CA3254"/>
    <w:rsid w:val="00CA3331"/>
    <w:rsid w:val="00CA33B6"/>
    <w:rsid w:val="00CA33F0"/>
    <w:rsid w:val="00CA3443"/>
    <w:rsid w:val="00CA3451"/>
    <w:rsid w:val="00CA34D2"/>
    <w:rsid w:val="00CA35CE"/>
    <w:rsid w:val="00CA397C"/>
    <w:rsid w:val="00CA39C4"/>
    <w:rsid w:val="00CA39DF"/>
    <w:rsid w:val="00CA3F56"/>
    <w:rsid w:val="00CA4046"/>
    <w:rsid w:val="00CA41CC"/>
    <w:rsid w:val="00CA4299"/>
    <w:rsid w:val="00CA42DA"/>
    <w:rsid w:val="00CA46BA"/>
    <w:rsid w:val="00CA4820"/>
    <w:rsid w:val="00CA494C"/>
    <w:rsid w:val="00CA49C7"/>
    <w:rsid w:val="00CA49E6"/>
    <w:rsid w:val="00CA4B05"/>
    <w:rsid w:val="00CA4BCB"/>
    <w:rsid w:val="00CA4BEB"/>
    <w:rsid w:val="00CA4C97"/>
    <w:rsid w:val="00CA4D09"/>
    <w:rsid w:val="00CA4D1A"/>
    <w:rsid w:val="00CA4F4B"/>
    <w:rsid w:val="00CA504E"/>
    <w:rsid w:val="00CA5257"/>
    <w:rsid w:val="00CA52AD"/>
    <w:rsid w:val="00CA5567"/>
    <w:rsid w:val="00CA5990"/>
    <w:rsid w:val="00CA59A4"/>
    <w:rsid w:val="00CA5A88"/>
    <w:rsid w:val="00CA5AD8"/>
    <w:rsid w:val="00CA5DA1"/>
    <w:rsid w:val="00CA5DAB"/>
    <w:rsid w:val="00CA5FEE"/>
    <w:rsid w:val="00CA6123"/>
    <w:rsid w:val="00CA6234"/>
    <w:rsid w:val="00CA651C"/>
    <w:rsid w:val="00CA66EE"/>
    <w:rsid w:val="00CA679D"/>
    <w:rsid w:val="00CA6A53"/>
    <w:rsid w:val="00CA6B8D"/>
    <w:rsid w:val="00CA6E7D"/>
    <w:rsid w:val="00CA6ECE"/>
    <w:rsid w:val="00CA6F2B"/>
    <w:rsid w:val="00CA7051"/>
    <w:rsid w:val="00CA70C3"/>
    <w:rsid w:val="00CA70F9"/>
    <w:rsid w:val="00CA7225"/>
    <w:rsid w:val="00CA7757"/>
    <w:rsid w:val="00CA792C"/>
    <w:rsid w:val="00CA7A75"/>
    <w:rsid w:val="00CA7A9E"/>
    <w:rsid w:val="00CA7AC6"/>
    <w:rsid w:val="00CA7BB4"/>
    <w:rsid w:val="00CA7BB9"/>
    <w:rsid w:val="00CA7BD8"/>
    <w:rsid w:val="00CA7C4E"/>
    <w:rsid w:val="00CA7CB4"/>
    <w:rsid w:val="00CAB25B"/>
    <w:rsid w:val="00CB0033"/>
    <w:rsid w:val="00CB0048"/>
    <w:rsid w:val="00CB027E"/>
    <w:rsid w:val="00CB03D9"/>
    <w:rsid w:val="00CB061E"/>
    <w:rsid w:val="00CB062D"/>
    <w:rsid w:val="00CB066E"/>
    <w:rsid w:val="00CB06DE"/>
    <w:rsid w:val="00CB09D2"/>
    <w:rsid w:val="00CB0A08"/>
    <w:rsid w:val="00CB0B26"/>
    <w:rsid w:val="00CB0C73"/>
    <w:rsid w:val="00CB0DC9"/>
    <w:rsid w:val="00CB0EAB"/>
    <w:rsid w:val="00CB0F02"/>
    <w:rsid w:val="00CB1068"/>
    <w:rsid w:val="00CB1123"/>
    <w:rsid w:val="00CB1286"/>
    <w:rsid w:val="00CB15DB"/>
    <w:rsid w:val="00CB1609"/>
    <w:rsid w:val="00CB17BF"/>
    <w:rsid w:val="00CB1C16"/>
    <w:rsid w:val="00CB2128"/>
    <w:rsid w:val="00CB2260"/>
    <w:rsid w:val="00CB22C4"/>
    <w:rsid w:val="00CB22C9"/>
    <w:rsid w:val="00CB231E"/>
    <w:rsid w:val="00CB232B"/>
    <w:rsid w:val="00CB2523"/>
    <w:rsid w:val="00CB2ACB"/>
    <w:rsid w:val="00CB2C24"/>
    <w:rsid w:val="00CB2C3F"/>
    <w:rsid w:val="00CB2C59"/>
    <w:rsid w:val="00CB2C62"/>
    <w:rsid w:val="00CB2C9F"/>
    <w:rsid w:val="00CB2D2A"/>
    <w:rsid w:val="00CB2EA7"/>
    <w:rsid w:val="00CB32FC"/>
    <w:rsid w:val="00CB33E3"/>
    <w:rsid w:val="00CB3503"/>
    <w:rsid w:val="00CB350E"/>
    <w:rsid w:val="00CB354A"/>
    <w:rsid w:val="00CB3597"/>
    <w:rsid w:val="00CB3690"/>
    <w:rsid w:val="00CB382B"/>
    <w:rsid w:val="00CB38A9"/>
    <w:rsid w:val="00CB3B52"/>
    <w:rsid w:val="00CB3D31"/>
    <w:rsid w:val="00CB3D49"/>
    <w:rsid w:val="00CB3E97"/>
    <w:rsid w:val="00CB42BA"/>
    <w:rsid w:val="00CB44B7"/>
    <w:rsid w:val="00CB4514"/>
    <w:rsid w:val="00CB4569"/>
    <w:rsid w:val="00CB45C8"/>
    <w:rsid w:val="00CB45F9"/>
    <w:rsid w:val="00CB46CB"/>
    <w:rsid w:val="00CB4763"/>
    <w:rsid w:val="00CB4878"/>
    <w:rsid w:val="00CB4902"/>
    <w:rsid w:val="00CB4933"/>
    <w:rsid w:val="00CB4AAF"/>
    <w:rsid w:val="00CB4C1A"/>
    <w:rsid w:val="00CB4CAF"/>
    <w:rsid w:val="00CB4FE5"/>
    <w:rsid w:val="00CB515B"/>
    <w:rsid w:val="00CB5168"/>
    <w:rsid w:val="00CB52C5"/>
    <w:rsid w:val="00CB533E"/>
    <w:rsid w:val="00CB5545"/>
    <w:rsid w:val="00CB5596"/>
    <w:rsid w:val="00CB567C"/>
    <w:rsid w:val="00CB5717"/>
    <w:rsid w:val="00CB5772"/>
    <w:rsid w:val="00CB57FC"/>
    <w:rsid w:val="00CB5935"/>
    <w:rsid w:val="00CB5DB8"/>
    <w:rsid w:val="00CB5EB9"/>
    <w:rsid w:val="00CB5EBD"/>
    <w:rsid w:val="00CB600E"/>
    <w:rsid w:val="00CB6191"/>
    <w:rsid w:val="00CB62CE"/>
    <w:rsid w:val="00CB645A"/>
    <w:rsid w:val="00CB6589"/>
    <w:rsid w:val="00CB697A"/>
    <w:rsid w:val="00CB69C3"/>
    <w:rsid w:val="00CB6DEB"/>
    <w:rsid w:val="00CB6EAD"/>
    <w:rsid w:val="00CB71FD"/>
    <w:rsid w:val="00CB7683"/>
    <w:rsid w:val="00CB7897"/>
    <w:rsid w:val="00CB795B"/>
    <w:rsid w:val="00CB7CF0"/>
    <w:rsid w:val="00CB7FAB"/>
    <w:rsid w:val="00CC01FB"/>
    <w:rsid w:val="00CC02F3"/>
    <w:rsid w:val="00CC0329"/>
    <w:rsid w:val="00CC036C"/>
    <w:rsid w:val="00CC04FB"/>
    <w:rsid w:val="00CC076B"/>
    <w:rsid w:val="00CC0916"/>
    <w:rsid w:val="00CC0A49"/>
    <w:rsid w:val="00CC0CC4"/>
    <w:rsid w:val="00CC0D2F"/>
    <w:rsid w:val="00CC0F22"/>
    <w:rsid w:val="00CC106F"/>
    <w:rsid w:val="00CC129D"/>
    <w:rsid w:val="00CC1393"/>
    <w:rsid w:val="00CC1483"/>
    <w:rsid w:val="00CC151D"/>
    <w:rsid w:val="00CC16C4"/>
    <w:rsid w:val="00CC1744"/>
    <w:rsid w:val="00CC17D4"/>
    <w:rsid w:val="00CC1866"/>
    <w:rsid w:val="00CC19F9"/>
    <w:rsid w:val="00CC1A36"/>
    <w:rsid w:val="00CC1B0F"/>
    <w:rsid w:val="00CC1C70"/>
    <w:rsid w:val="00CC1C88"/>
    <w:rsid w:val="00CC1C8F"/>
    <w:rsid w:val="00CC1CE5"/>
    <w:rsid w:val="00CC1D76"/>
    <w:rsid w:val="00CC1E24"/>
    <w:rsid w:val="00CC1ECA"/>
    <w:rsid w:val="00CC21A2"/>
    <w:rsid w:val="00CC22C2"/>
    <w:rsid w:val="00CC2318"/>
    <w:rsid w:val="00CC23CD"/>
    <w:rsid w:val="00CC261A"/>
    <w:rsid w:val="00CC279D"/>
    <w:rsid w:val="00CC283E"/>
    <w:rsid w:val="00CC2857"/>
    <w:rsid w:val="00CC2B07"/>
    <w:rsid w:val="00CC2B6F"/>
    <w:rsid w:val="00CC2BE5"/>
    <w:rsid w:val="00CC2C3D"/>
    <w:rsid w:val="00CC2D16"/>
    <w:rsid w:val="00CC2DF9"/>
    <w:rsid w:val="00CC2E82"/>
    <w:rsid w:val="00CC30B6"/>
    <w:rsid w:val="00CC31C9"/>
    <w:rsid w:val="00CC338F"/>
    <w:rsid w:val="00CC3586"/>
    <w:rsid w:val="00CC37FA"/>
    <w:rsid w:val="00CC386E"/>
    <w:rsid w:val="00CC392E"/>
    <w:rsid w:val="00CC39FC"/>
    <w:rsid w:val="00CC3A9C"/>
    <w:rsid w:val="00CC3B0F"/>
    <w:rsid w:val="00CC3C10"/>
    <w:rsid w:val="00CC3C4F"/>
    <w:rsid w:val="00CC3FDC"/>
    <w:rsid w:val="00CC400A"/>
    <w:rsid w:val="00CC40A9"/>
    <w:rsid w:val="00CC415B"/>
    <w:rsid w:val="00CC42D0"/>
    <w:rsid w:val="00CC43A7"/>
    <w:rsid w:val="00CC43B6"/>
    <w:rsid w:val="00CC4453"/>
    <w:rsid w:val="00CC4656"/>
    <w:rsid w:val="00CC46DB"/>
    <w:rsid w:val="00CC495B"/>
    <w:rsid w:val="00CC4AC9"/>
    <w:rsid w:val="00CC4D3D"/>
    <w:rsid w:val="00CC4EB3"/>
    <w:rsid w:val="00CC51B7"/>
    <w:rsid w:val="00CC52D3"/>
    <w:rsid w:val="00CC54E6"/>
    <w:rsid w:val="00CC5809"/>
    <w:rsid w:val="00CC594C"/>
    <w:rsid w:val="00CC5B63"/>
    <w:rsid w:val="00CC5B7F"/>
    <w:rsid w:val="00CC5BA1"/>
    <w:rsid w:val="00CC5CF0"/>
    <w:rsid w:val="00CC625C"/>
    <w:rsid w:val="00CC6285"/>
    <w:rsid w:val="00CC632B"/>
    <w:rsid w:val="00CC64C3"/>
    <w:rsid w:val="00CC666A"/>
    <w:rsid w:val="00CC66AC"/>
    <w:rsid w:val="00CC684E"/>
    <w:rsid w:val="00CC6A6B"/>
    <w:rsid w:val="00CC70BC"/>
    <w:rsid w:val="00CC718A"/>
    <w:rsid w:val="00CC71EF"/>
    <w:rsid w:val="00CC722E"/>
    <w:rsid w:val="00CC72B0"/>
    <w:rsid w:val="00CC73DD"/>
    <w:rsid w:val="00CC7404"/>
    <w:rsid w:val="00CC74B0"/>
    <w:rsid w:val="00CC74CA"/>
    <w:rsid w:val="00CC76A8"/>
    <w:rsid w:val="00CC76F3"/>
    <w:rsid w:val="00CC781D"/>
    <w:rsid w:val="00CC7A3D"/>
    <w:rsid w:val="00CC7A64"/>
    <w:rsid w:val="00CC7BA3"/>
    <w:rsid w:val="00CC7EAD"/>
    <w:rsid w:val="00CD008F"/>
    <w:rsid w:val="00CD00A9"/>
    <w:rsid w:val="00CD042C"/>
    <w:rsid w:val="00CD047A"/>
    <w:rsid w:val="00CD0560"/>
    <w:rsid w:val="00CD0644"/>
    <w:rsid w:val="00CD0646"/>
    <w:rsid w:val="00CD069C"/>
    <w:rsid w:val="00CD0813"/>
    <w:rsid w:val="00CD09A8"/>
    <w:rsid w:val="00CD0A43"/>
    <w:rsid w:val="00CD0ADC"/>
    <w:rsid w:val="00CD0DEF"/>
    <w:rsid w:val="00CD0F68"/>
    <w:rsid w:val="00CD11A3"/>
    <w:rsid w:val="00CD1214"/>
    <w:rsid w:val="00CD1344"/>
    <w:rsid w:val="00CD1465"/>
    <w:rsid w:val="00CD15CD"/>
    <w:rsid w:val="00CD17D0"/>
    <w:rsid w:val="00CD1952"/>
    <w:rsid w:val="00CD1A4D"/>
    <w:rsid w:val="00CD1A69"/>
    <w:rsid w:val="00CD1B87"/>
    <w:rsid w:val="00CD1C7A"/>
    <w:rsid w:val="00CD1D7C"/>
    <w:rsid w:val="00CD1F5B"/>
    <w:rsid w:val="00CD1FCC"/>
    <w:rsid w:val="00CD2441"/>
    <w:rsid w:val="00CD25F0"/>
    <w:rsid w:val="00CD2647"/>
    <w:rsid w:val="00CD26B1"/>
    <w:rsid w:val="00CD271C"/>
    <w:rsid w:val="00CD297F"/>
    <w:rsid w:val="00CD2A47"/>
    <w:rsid w:val="00CD2ADE"/>
    <w:rsid w:val="00CD2B60"/>
    <w:rsid w:val="00CD2BAF"/>
    <w:rsid w:val="00CD2C64"/>
    <w:rsid w:val="00CD2DC5"/>
    <w:rsid w:val="00CD2F88"/>
    <w:rsid w:val="00CD3125"/>
    <w:rsid w:val="00CD3195"/>
    <w:rsid w:val="00CD3334"/>
    <w:rsid w:val="00CD333D"/>
    <w:rsid w:val="00CD33DA"/>
    <w:rsid w:val="00CD349E"/>
    <w:rsid w:val="00CD34A6"/>
    <w:rsid w:val="00CD37BF"/>
    <w:rsid w:val="00CD38B4"/>
    <w:rsid w:val="00CD3930"/>
    <w:rsid w:val="00CD3A6D"/>
    <w:rsid w:val="00CD3A76"/>
    <w:rsid w:val="00CD3A8E"/>
    <w:rsid w:val="00CD3A8F"/>
    <w:rsid w:val="00CD3C49"/>
    <w:rsid w:val="00CD3C60"/>
    <w:rsid w:val="00CD3C6C"/>
    <w:rsid w:val="00CD3D92"/>
    <w:rsid w:val="00CD3F57"/>
    <w:rsid w:val="00CD4025"/>
    <w:rsid w:val="00CD42B5"/>
    <w:rsid w:val="00CD4497"/>
    <w:rsid w:val="00CD4503"/>
    <w:rsid w:val="00CD4669"/>
    <w:rsid w:val="00CD4716"/>
    <w:rsid w:val="00CD48C6"/>
    <w:rsid w:val="00CD4A24"/>
    <w:rsid w:val="00CD4A46"/>
    <w:rsid w:val="00CD4D6F"/>
    <w:rsid w:val="00CD4D92"/>
    <w:rsid w:val="00CD4E92"/>
    <w:rsid w:val="00CD4EBB"/>
    <w:rsid w:val="00CD5079"/>
    <w:rsid w:val="00CD508D"/>
    <w:rsid w:val="00CD529C"/>
    <w:rsid w:val="00CD53F5"/>
    <w:rsid w:val="00CD54CE"/>
    <w:rsid w:val="00CD54D7"/>
    <w:rsid w:val="00CD5565"/>
    <w:rsid w:val="00CD5597"/>
    <w:rsid w:val="00CD5B64"/>
    <w:rsid w:val="00CD5BB9"/>
    <w:rsid w:val="00CD5BED"/>
    <w:rsid w:val="00CD5DE6"/>
    <w:rsid w:val="00CD5E76"/>
    <w:rsid w:val="00CD5F55"/>
    <w:rsid w:val="00CD61EC"/>
    <w:rsid w:val="00CD64BE"/>
    <w:rsid w:val="00CD67D1"/>
    <w:rsid w:val="00CD67E2"/>
    <w:rsid w:val="00CD683A"/>
    <w:rsid w:val="00CD6984"/>
    <w:rsid w:val="00CD6BE3"/>
    <w:rsid w:val="00CD6D36"/>
    <w:rsid w:val="00CD6D9D"/>
    <w:rsid w:val="00CD6E3F"/>
    <w:rsid w:val="00CD6EE9"/>
    <w:rsid w:val="00CD6F06"/>
    <w:rsid w:val="00CD6F3A"/>
    <w:rsid w:val="00CD6FB4"/>
    <w:rsid w:val="00CD7282"/>
    <w:rsid w:val="00CD735E"/>
    <w:rsid w:val="00CD747A"/>
    <w:rsid w:val="00CD761A"/>
    <w:rsid w:val="00CD7841"/>
    <w:rsid w:val="00CD7C43"/>
    <w:rsid w:val="00CD7D25"/>
    <w:rsid w:val="00CD7F5D"/>
    <w:rsid w:val="00CE0079"/>
    <w:rsid w:val="00CE0242"/>
    <w:rsid w:val="00CE032F"/>
    <w:rsid w:val="00CE03EA"/>
    <w:rsid w:val="00CE0732"/>
    <w:rsid w:val="00CE07CC"/>
    <w:rsid w:val="00CE08E7"/>
    <w:rsid w:val="00CE0BED"/>
    <w:rsid w:val="00CE0CAA"/>
    <w:rsid w:val="00CE0D77"/>
    <w:rsid w:val="00CE0D9B"/>
    <w:rsid w:val="00CE1269"/>
    <w:rsid w:val="00CE1418"/>
    <w:rsid w:val="00CE161A"/>
    <w:rsid w:val="00CE1675"/>
    <w:rsid w:val="00CE1890"/>
    <w:rsid w:val="00CE18BB"/>
    <w:rsid w:val="00CE1AD3"/>
    <w:rsid w:val="00CE1CB2"/>
    <w:rsid w:val="00CE1D1B"/>
    <w:rsid w:val="00CE1D75"/>
    <w:rsid w:val="00CE1FAF"/>
    <w:rsid w:val="00CE21E8"/>
    <w:rsid w:val="00CE2396"/>
    <w:rsid w:val="00CE2445"/>
    <w:rsid w:val="00CE2467"/>
    <w:rsid w:val="00CE2652"/>
    <w:rsid w:val="00CE2706"/>
    <w:rsid w:val="00CE2722"/>
    <w:rsid w:val="00CE28F1"/>
    <w:rsid w:val="00CE29F3"/>
    <w:rsid w:val="00CE2A01"/>
    <w:rsid w:val="00CE2A28"/>
    <w:rsid w:val="00CE2A58"/>
    <w:rsid w:val="00CE2A79"/>
    <w:rsid w:val="00CE2B7E"/>
    <w:rsid w:val="00CE2D2A"/>
    <w:rsid w:val="00CE2D5C"/>
    <w:rsid w:val="00CE34E9"/>
    <w:rsid w:val="00CE38F5"/>
    <w:rsid w:val="00CE3AD9"/>
    <w:rsid w:val="00CE3BC8"/>
    <w:rsid w:val="00CE3C88"/>
    <w:rsid w:val="00CE3DEB"/>
    <w:rsid w:val="00CE3F2F"/>
    <w:rsid w:val="00CE4133"/>
    <w:rsid w:val="00CE448F"/>
    <w:rsid w:val="00CE44CE"/>
    <w:rsid w:val="00CE45C0"/>
    <w:rsid w:val="00CE4721"/>
    <w:rsid w:val="00CE475D"/>
    <w:rsid w:val="00CE47C8"/>
    <w:rsid w:val="00CE4990"/>
    <w:rsid w:val="00CE4C6D"/>
    <w:rsid w:val="00CE4CDA"/>
    <w:rsid w:val="00CE514A"/>
    <w:rsid w:val="00CE5245"/>
    <w:rsid w:val="00CE531D"/>
    <w:rsid w:val="00CE552A"/>
    <w:rsid w:val="00CE569B"/>
    <w:rsid w:val="00CE5840"/>
    <w:rsid w:val="00CE593C"/>
    <w:rsid w:val="00CE5990"/>
    <w:rsid w:val="00CE5997"/>
    <w:rsid w:val="00CE5A28"/>
    <w:rsid w:val="00CE5C0E"/>
    <w:rsid w:val="00CE5E52"/>
    <w:rsid w:val="00CE5FC7"/>
    <w:rsid w:val="00CE6047"/>
    <w:rsid w:val="00CE6092"/>
    <w:rsid w:val="00CE62BE"/>
    <w:rsid w:val="00CE630D"/>
    <w:rsid w:val="00CE6443"/>
    <w:rsid w:val="00CE6484"/>
    <w:rsid w:val="00CE6487"/>
    <w:rsid w:val="00CE6763"/>
    <w:rsid w:val="00CE6803"/>
    <w:rsid w:val="00CE6868"/>
    <w:rsid w:val="00CE6A2C"/>
    <w:rsid w:val="00CE6CD7"/>
    <w:rsid w:val="00CE6DE6"/>
    <w:rsid w:val="00CE6EB4"/>
    <w:rsid w:val="00CE7123"/>
    <w:rsid w:val="00CE7459"/>
    <w:rsid w:val="00CE770B"/>
    <w:rsid w:val="00CE7713"/>
    <w:rsid w:val="00CE7747"/>
    <w:rsid w:val="00CE7773"/>
    <w:rsid w:val="00CE78EA"/>
    <w:rsid w:val="00CE79EB"/>
    <w:rsid w:val="00CE7E23"/>
    <w:rsid w:val="00CE7EA4"/>
    <w:rsid w:val="00CE7F18"/>
    <w:rsid w:val="00CE7FE5"/>
    <w:rsid w:val="00CEB4C9"/>
    <w:rsid w:val="00CF0077"/>
    <w:rsid w:val="00CF012B"/>
    <w:rsid w:val="00CF0173"/>
    <w:rsid w:val="00CF0280"/>
    <w:rsid w:val="00CF029C"/>
    <w:rsid w:val="00CF0441"/>
    <w:rsid w:val="00CF05B4"/>
    <w:rsid w:val="00CF05DE"/>
    <w:rsid w:val="00CF05E7"/>
    <w:rsid w:val="00CF07CD"/>
    <w:rsid w:val="00CF09CC"/>
    <w:rsid w:val="00CF0ABA"/>
    <w:rsid w:val="00CF0AC2"/>
    <w:rsid w:val="00CF0C23"/>
    <w:rsid w:val="00CF0D36"/>
    <w:rsid w:val="00CF0E9A"/>
    <w:rsid w:val="00CF10CB"/>
    <w:rsid w:val="00CF1218"/>
    <w:rsid w:val="00CF143F"/>
    <w:rsid w:val="00CF15F0"/>
    <w:rsid w:val="00CF166D"/>
    <w:rsid w:val="00CF1795"/>
    <w:rsid w:val="00CF182E"/>
    <w:rsid w:val="00CF18B6"/>
    <w:rsid w:val="00CF1B8F"/>
    <w:rsid w:val="00CF1D0F"/>
    <w:rsid w:val="00CF2178"/>
    <w:rsid w:val="00CF21DD"/>
    <w:rsid w:val="00CF22C6"/>
    <w:rsid w:val="00CF23CD"/>
    <w:rsid w:val="00CF240A"/>
    <w:rsid w:val="00CF24DB"/>
    <w:rsid w:val="00CF25E0"/>
    <w:rsid w:val="00CF2BF4"/>
    <w:rsid w:val="00CF2CD6"/>
    <w:rsid w:val="00CF2D33"/>
    <w:rsid w:val="00CF2D35"/>
    <w:rsid w:val="00CF2D3A"/>
    <w:rsid w:val="00CF2EDE"/>
    <w:rsid w:val="00CF2F55"/>
    <w:rsid w:val="00CF32AE"/>
    <w:rsid w:val="00CF3440"/>
    <w:rsid w:val="00CF3508"/>
    <w:rsid w:val="00CF3650"/>
    <w:rsid w:val="00CF3758"/>
    <w:rsid w:val="00CF37CA"/>
    <w:rsid w:val="00CF3806"/>
    <w:rsid w:val="00CF3976"/>
    <w:rsid w:val="00CF3B07"/>
    <w:rsid w:val="00CF3CCB"/>
    <w:rsid w:val="00CF3D86"/>
    <w:rsid w:val="00CF3F09"/>
    <w:rsid w:val="00CF412C"/>
    <w:rsid w:val="00CF43C5"/>
    <w:rsid w:val="00CF44EA"/>
    <w:rsid w:val="00CF471E"/>
    <w:rsid w:val="00CF477B"/>
    <w:rsid w:val="00CF4C6A"/>
    <w:rsid w:val="00CF4CA0"/>
    <w:rsid w:val="00CF4CAD"/>
    <w:rsid w:val="00CF4E05"/>
    <w:rsid w:val="00CF4E42"/>
    <w:rsid w:val="00CF4F3F"/>
    <w:rsid w:val="00CF53FE"/>
    <w:rsid w:val="00CF5535"/>
    <w:rsid w:val="00CF5882"/>
    <w:rsid w:val="00CF58C0"/>
    <w:rsid w:val="00CF5AE7"/>
    <w:rsid w:val="00CF5F26"/>
    <w:rsid w:val="00CF5FF2"/>
    <w:rsid w:val="00CF6110"/>
    <w:rsid w:val="00CF690A"/>
    <w:rsid w:val="00CF695A"/>
    <w:rsid w:val="00CF698D"/>
    <w:rsid w:val="00CF6AC9"/>
    <w:rsid w:val="00CF6D8B"/>
    <w:rsid w:val="00CF6F6D"/>
    <w:rsid w:val="00CF6FB0"/>
    <w:rsid w:val="00CF704A"/>
    <w:rsid w:val="00CF711F"/>
    <w:rsid w:val="00CF7207"/>
    <w:rsid w:val="00CF72D5"/>
    <w:rsid w:val="00CF7310"/>
    <w:rsid w:val="00CF73F6"/>
    <w:rsid w:val="00CF74CF"/>
    <w:rsid w:val="00CF75EC"/>
    <w:rsid w:val="00CF760B"/>
    <w:rsid w:val="00CF7898"/>
    <w:rsid w:val="00CF7B97"/>
    <w:rsid w:val="00CF7C77"/>
    <w:rsid w:val="00CF7DE2"/>
    <w:rsid w:val="00CF7F2F"/>
    <w:rsid w:val="00D00156"/>
    <w:rsid w:val="00D001D7"/>
    <w:rsid w:val="00D00363"/>
    <w:rsid w:val="00D0079F"/>
    <w:rsid w:val="00D00899"/>
    <w:rsid w:val="00D009CD"/>
    <w:rsid w:val="00D00AFA"/>
    <w:rsid w:val="00D00D69"/>
    <w:rsid w:val="00D00DFE"/>
    <w:rsid w:val="00D00E91"/>
    <w:rsid w:val="00D012A8"/>
    <w:rsid w:val="00D0145C"/>
    <w:rsid w:val="00D01ADA"/>
    <w:rsid w:val="00D01C16"/>
    <w:rsid w:val="00D01CAF"/>
    <w:rsid w:val="00D01CB6"/>
    <w:rsid w:val="00D01E92"/>
    <w:rsid w:val="00D021E9"/>
    <w:rsid w:val="00D023BF"/>
    <w:rsid w:val="00D02524"/>
    <w:rsid w:val="00D02745"/>
    <w:rsid w:val="00D02910"/>
    <w:rsid w:val="00D029B3"/>
    <w:rsid w:val="00D02B06"/>
    <w:rsid w:val="00D02C6D"/>
    <w:rsid w:val="00D02E15"/>
    <w:rsid w:val="00D02E18"/>
    <w:rsid w:val="00D02E68"/>
    <w:rsid w:val="00D02EC4"/>
    <w:rsid w:val="00D03217"/>
    <w:rsid w:val="00D03350"/>
    <w:rsid w:val="00D033A1"/>
    <w:rsid w:val="00D034D3"/>
    <w:rsid w:val="00D038D9"/>
    <w:rsid w:val="00D038F5"/>
    <w:rsid w:val="00D03953"/>
    <w:rsid w:val="00D03A0D"/>
    <w:rsid w:val="00D03A33"/>
    <w:rsid w:val="00D03B59"/>
    <w:rsid w:val="00D03B7F"/>
    <w:rsid w:val="00D03C18"/>
    <w:rsid w:val="00D03C38"/>
    <w:rsid w:val="00D03D86"/>
    <w:rsid w:val="00D03DA5"/>
    <w:rsid w:val="00D03EA8"/>
    <w:rsid w:val="00D03F2F"/>
    <w:rsid w:val="00D03FC8"/>
    <w:rsid w:val="00D0401F"/>
    <w:rsid w:val="00D040B6"/>
    <w:rsid w:val="00D04302"/>
    <w:rsid w:val="00D0434F"/>
    <w:rsid w:val="00D043E6"/>
    <w:rsid w:val="00D0442D"/>
    <w:rsid w:val="00D045FF"/>
    <w:rsid w:val="00D046C2"/>
    <w:rsid w:val="00D046D7"/>
    <w:rsid w:val="00D04750"/>
    <w:rsid w:val="00D0475A"/>
    <w:rsid w:val="00D04A1A"/>
    <w:rsid w:val="00D04A3D"/>
    <w:rsid w:val="00D04AA2"/>
    <w:rsid w:val="00D04ABC"/>
    <w:rsid w:val="00D04B28"/>
    <w:rsid w:val="00D04CB1"/>
    <w:rsid w:val="00D04D0C"/>
    <w:rsid w:val="00D04DFD"/>
    <w:rsid w:val="00D04ED2"/>
    <w:rsid w:val="00D04F04"/>
    <w:rsid w:val="00D04F94"/>
    <w:rsid w:val="00D05063"/>
    <w:rsid w:val="00D050D7"/>
    <w:rsid w:val="00D0537D"/>
    <w:rsid w:val="00D05556"/>
    <w:rsid w:val="00D055B0"/>
    <w:rsid w:val="00D056AB"/>
    <w:rsid w:val="00D05701"/>
    <w:rsid w:val="00D05763"/>
    <w:rsid w:val="00D057A3"/>
    <w:rsid w:val="00D0587C"/>
    <w:rsid w:val="00D059E2"/>
    <w:rsid w:val="00D05BD9"/>
    <w:rsid w:val="00D05DE2"/>
    <w:rsid w:val="00D05E2B"/>
    <w:rsid w:val="00D05EA3"/>
    <w:rsid w:val="00D05F28"/>
    <w:rsid w:val="00D05F66"/>
    <w:rsid w:val="00D0604A"/>
    <w:rsid w:val="00D0612B"/>
    <w:rsid w:val="00D0616C"/>
    <w:rsid w:val="00D06175"/>
    <w:rsid w:val="00D06277"/>
    <w:rsid w:val="00D0627E"/>
    <w:rsid w:val="00D06292"/>
    <w:rsid w:val="00D06300"/>
    <w:rsid w:val="00D064BB"/>
    <w:rsid w:val="00D0657B"/>
    <w:rsid w:val="00D066E8"/>
    <w:rsid w:val="00D06830"/>
    <w:rsid w:val="00D068A6"/>
    <w:rsid w:val="00D06BAA"/>
    <w:rsid w:val="00D06C98"/>
    <w:rsid w:val="00D06CE3"/>
    <w:rsid w:val="00D06E4F"/>
    <w:rsid w:val="00D06FE8"/>
    <w:rsid w:val="00D06FEC"/>
    <w:rsid w:val="00D0707A"/>
    <w:rsid w:val="00D07177"/>
    <w:rsid w:val="00D0717F"/>
    <w:rsid w:val="00D074F4"/>
    <w:rsid w:val="00D0769A"/>
    <w:rsid w:val="00D07876"/>
    <w:rsid w:val="00D07A20"/>
    <w:rsid w:val="00D07C07"/>
    <w:rsid w:val="00D07CBE"/>
    <w:rsid w:val="00D07F6A"/>
    <w:rsid w:val="00D10001"/>
    <w:rsid w:val="00D10048"/>
    <w:rsid w:val="00D100CD"/>
    <w:rsid w:val="00D100D0"/>
    <w:rsid w:val="00D10401"/>
    <w:rsid w:val="00D1041F"/>
    <w:rsid w:val="00D1049C"/>
    <w:rsid w:val="00D105F1"/>
    <w:rsid w:val="00D10699"/>
    <w:rsid w:val="00D1073C"/>
    <w:rsid w:val="00D1080F"/>
    <w:rsid w:val="00D10B84"/>
    <w:rsid w:val="00D10C3C"/>
    <w:rsid w:val="00D10DC2"/>
    <w:rsid w:val="00D10F27"/>
    <w:rsid w:val="00D10FA0"/>
    <w:rsid w:val="00D10FE6"/>
    <w:rsid w:val="00D112ED"/>
    <w:rsid w:val="00D11404"/>
    <w:rsid w:val="00D11470"/>
    <w:rsid w:val="00D11745"/>
    <w:rsid w:val="00D1175E"/>
    <w:rsid w:val="00D11766"/>
    <w:rsid w:val="00D11787"/>
    <w:rsid w:val="00D11807"/>
    <w:rsid w:val="00D11879"/>
    <w:rsid w:val="00D11905"/>
    <w:rsid w:val="00D11945"/>
    <w:rsid w:val="00D1197E"/>
    <w:rsid w:val="00D11A0D"/>
    <w:rsid w:val="00D11A20"/>
    <w:rsid w:val="00D11E7D"/>
    <w:rsid w:val="00D11F38"/>
    <w:rsid w:val="00D127E6"/>
    <w:rsid w:val="00D127FD"/>
    <w:rsid w:val="00D12955"/>
    <w:rsid w:val="00D12A01"/>
    <w:rsid w:val="00D12A34"/>
    <w:rsid w:val="00D12A3F"/>
    <w:rsid w:val="00D12BF4"/>
    <w:rsid w:val="00D12C52"/>
    <w:rsid w:val="00D12C83"/>
    <w:rsid w:val="00D12DAD"/>
    <w:rsid w:val="00D12E12"/>
    <w:rsid w:val="00D12E98"/>
    <w:rsid w:val="00D12F68"/>
    <w:rsid w:val="00D13104"/>
    <w:rsid w:val="00D1342F"/>
    <w:rsid w:val="00D134E8"/>
    <w:rsid w:val="00D1353A"/>
    <w:rsid w:val="00D13546"/>
    <w:rsid w:val="00D13724"/>
    <w:rsid w:val="00D13895"/>
    <w:rsid w:val="00D13AD7"/>
    <w:rsid w:val="00D13BF7"/>
    <w:rsid w:val="00D13F09"/>
    <w:rsid w:val="00D13F36"/>
    <w:rsid w:val="00D13F47"/>
    <w:rsid w:val="00D14047"/>
    <w:rsid w:val="00D1407C"/>
    <w:rsid w:val="00D14261"/>
    <w:rsid w:val="00D142D3"/>
    <w:rsid w:val="00D14323"/>
    <w:rsid w:val="00D145B9"/>
    <w:rsid w:val="00D147BD"/>
    <w:rsid w:val="00D1489C"/>
    <w:rsid w:val="00D149CD"/>
    <w:rsid w:val="00D14BF1"/>
    <w:rsid w:val="00D14DB8"/>
    <w:rsid w:val="00D14E6B"/>
    <w:rsid w:val="00D150AA"/>
    <w:rsid w:val="00D15247"/>
    <w:rsid w:val="00D15322"/>
    <w:rsid w:val="00D15420"/>
    <w:rsid w:val="00D15564"/>
    <w:rsid w:val="00D156FF"/>
    <w:rsid w:val="00D15872"/>
    <w:rsid w:val="00D158C4"/>
    <w:rsid w:val="00D15A2F"/>
    <w:rsid w:val="00D15B4C"/>
    <w:rsid w:val="00D15C19"/>
    <w:rsid w:val="00D15D0B"/>
    <w:rsid w:val="00D15D57"/>
    <w:rsid w:val="00D15F03"/>
    <w:rsid w:val="00D15F0E"/>
    <w:rsid w:val="00D1625F"/>
    <w:rsid w:val="00D1626B"/>
    <w:rsid w:val="00D1657F"/>
    <w:rsid w:val="00D16718"/>
    <w:rsid w:val="00D16774"/>
    <w:rsid w:val="00D16790"/>
    <w:rsid w:val="00D1688F"/>
    <w:rsid w:val="00D169B3"/>
    <w:rsid w:val="00D169EE"/>
    <w:rsid w:val="00D16A37"/>
    <w:rsid w:val="00D16C19"/>
    <w:rsid w:val="00D16CD6"/>
    <w:rsid w:val="00D16ECD"/>
    <w:rsid w:val="00D1703A"/>
    <w:rsid w:val="00D172CB"/>
    <w:rsid w:val="00D174A0"/>
    <w:rsid w:val="00D1765E"/>
    <w:rsid w:val="00D17727"/>
    <w:rsid w:val="00D1791C"/>
    <w:rsid w:val="00D17929"/>
    <w:rsid w:val="00D17A2E"/>
    <w:rsid w:val="00D17A93"/>
    <w:rsid w:val="00D17B35"/>
    <w:rsid w:val="00D2001B"/>
    <w:rsid w:val="00D20036"/>
    <w:rsid w:val="00D20090"/>
    <w:rsid w:val="00D201E3"/>
    <w:rsid w:val="00D2040B"/>
    <w:rsid w:val="00D205E7"/>
    <w:rsid w:val="00D206BD"/>
    <w:rsid w:val="00D20C3F"/>
    <w:rsid w:val="00D20C71"/>
    <w:rsid w:val="00D20D05"/>
    <w:rsid w:val="00D20E56"/>
    <w:rsid w:val="00D20F53"/>
    <w:rsid w:val="00D212D2"/>
    <w:rsid w:val="00D2137A"/>
    <w:rsid w:val="00D213B0"/>
    <w:rsid w:val="00D21446"/>
    <w:rsid w:val="00D218CC"/>
    <w:rsid w:val="00D218F5"/>
    <w:rsid w:val="00D21BED"/>
    <w:rsid w:val="00D21DAE"/>
    <w:rsid w:val="00D21E05"/>
    <w:rsid w:val="00D2205D"/>
    <w:rsid w:val="00D223B7"/>
    <w:rsid w:val="00D226A4"/>
    <w:rsid w:val="00D2272E"/>
    <w:rsid w:val="00D229CC"/>
    <w:rsid w:val="00D22AAF"/>
    <w:rsid w:val="00D22C51"/>
    <w:rsid w:val="00D22D74"/>
    <w:rsid w:val="00D22DD3"/>
    <w:rsid w:val="00D230E9"/>
    <w:rsid w:val="00D231B3"/>
    <w:rsid w:val="00D231EE"/>
    <w:rsid w:val="00D232B3"/>
    <w:rsid w:val="00D2359E"/>
    <w:rsid w:val="00D23860"/>
    <w:rsid w:val="00D23916"/>
    <w:rsid w:val="00D23983"/>
    <w:rsid w:val="00D23A05"/>
    <w:rsid w:val="00D23B13"/>
    <w:rsid w:val="00D23EF1"/>
    <w:rsid w:val="00D23F47"/>
    <w:rsid w:val="00D241FD"/>
    <w:rsid w:val="00D243CD"/>
    <w:rsid w:val="00D2443D"/>
    <w:rsid w:val="00D24452"/>
    <w:rsid w:val="00D24829"/>
    <w:rsid w:val="00D248D7"/>
    <w:rsid w:val="00D248EE"/>
    <w:rsid w:val="00D24C98"/>
    <w:rsid w:val="00D24E9C"/>
    <w:rsid w:val="00D24F50"/>
    <w:rsid w:val="00D24FF4"/>
    <w:rsid w:val="00D251E1"/>
    <w:rsid w:val="00D25261"/>
    <w:rsid w:val="00D25363"/>
    <w:rsid w:val="00D254AA"/>
    <w:rsid w:val="00D25573"/>
    <w:rsid w:val="00D259B2"/>
    <w:rsid w:val="00D25A31"/>
    <w:rsid w:val="00D25AFD"/>
    <w:rsid w:val="00D25D95"/>
    <w:rsid w:val="00D25DAB"/>
    <w:rsid w:val="00D25EE0"/>
    <w:rsid w:val="00D260A7"/>
    <w:rsid w:val="00D26361"/>
    <w:rsid w:val="00D264BE"/>
    <w:rsid w:val="00D26515"/>
    <w:rsid w:val="00D26575"/>
    <w:rsid w:val="00D26773"/>
    <w:rsid w:val="00D268F8"/>
    <w:rsid w:val="00D26D0F"/>
    <w:rsid w:val="00D26D9F"/>
    <w:rsid w:val="00D26F67"/>
    <w:rsid w:val="00D27106"/>
    <w:rsid w:val="00D272FD"/>
    <w:rsid w:val="00D27357"/>
    <w:rsid w:val="00D27358"/>
    <w:rsid w:val="00D2737A"/>
    <w:rsid w:val="00D27683"/>
    <w:rsid w:val="00D276DA"/>
    <w:rsid w:val="00D2798E"/>
    <w:rsid w:val="00D27A2C"/>
    <w:rsid w:val="00D27B71"/>
    <w:rsid w:val="00D27C83"/>
    <w:rsid w:val="00D27DCC"/>
    <w:rsid w:val="00D27E49"/>
    <w:rsid w:val="00D27ECA"/>
    <w:rsid w:val="00D27EEA"/>
    <w:rsid w:val="00D30131"/>
    <w:rsid w:val="00D301EA"/>
    <w:rsid w:val="00D302C0"/>
    <w:rsid w:val="00D3033E"/>
    <w:rsid w:val="00D30454"/>
    <w:rsid w:val="00D3053D"/>
    <w:rsid w:val="00D307C9"/>
    <w:rsid w:val="00D30A66"/>
    <w:rsid w:val="00D30AEF"/>
    <w:rsid w:val="00D30CEE"/>
    <w:rsid w:val="00D30EB9"/>
    <w:rsid w:val="00D30F9A"/>
    <w:rsid w:val="00D30FEB"/>
    <w:rsid w:val="00D31088"/>
    <w:rsid w:val="00D310C9"/>
    <w:rsid w:val="00D31191"/>
    <w:rsid w:val="00D312A7"/>
    <w:rsid w:val="00D31319"/>
    <w:rsid w:val="00D31460"/>
    <w:rsid w:val="00D3146A"/>
    <w:rsid w:val="00D31558"/>
    <w:rsid w:val="00D31671"/>
    <w:rsid w:val="00D317B0"/>
    <w:rsid w:val="00D3185C"/>
    <w:rsid w:val="00D31913"/>
    <w:rsid w:val="00D31937"/>
    <w:rsid w:val="00D31A08"/>
    <w:rsid w:val="00D31B35"/>
    <w:rsid w:val="00D324F0"/>
    <w:rsid w:val="00D326A3"/>
    <w:rsid w:val="00D32759"/>
    <w:rsid w:val="00D327F0"/>
    <w:rsid w:val="00D3283D"/>
    <w:rsid w:val="00D32883"/>
    <w:rsid w:val="00D32A8C"/>
    <w:rsid w:val="00D32B89"/>
    <w:rsid w:val="00D32BD3"/>
    <w:rsid w:val="00D32D55"/>
    <w:rsid w:val="00D32D5F"/>
    <w:rsid w:val="00D32D77"/>
    <w:rsid w:val="00D32DC6"/>
    <w:rsid w:val="00D3304F"/>
    <w:rsid w:val="00D330DA"/>
    <w:rsid w:val="00D3326E"/>
    <w:rsid w:val="00D33276"/>
    <w:rsid w:val="00D33380"/>
    <w:rsid w:val="00D333B9"/>
    <w:rsid w:val="00D335D1"/>
    <w:rsid w:val="00D33946"/>
    <w:rsid w:val="00D339D3"/>
    <w:rsid w:val="00D339E7"/>
    <w:rsid w:val="00D33A47"/>
    <w:rsid w:val="00D33B4E"/>
    <w:rsid w:val="00D33C14"/>
    <w:rsid w:val="00D33C68"/>
    <w:rsid w:val="00D33C8F"/>
    <w:rsid w:val="00D33D13"/>
    <w:rsid w:val="00D34113"/>
    <w:rsid w:val="00D34189"/>
    <w:rsid w:val="00D343A7"/>
    <w:rsid w:val="00D34471"/>
    <w:rsid w:val="00D3451C"/>
    <w:rsid w:val="00D34581"/>
    <w:rsid w:val="00D345DA"/>
    <w:rsid w:val="00D34656"/>
    <w:rsid w:val="00D34706"/>
    <w:rsid w:val="00D3486A"/>
    <w:rsid w:val="00D348E8"/>
    <w:rsid w:val="00D34B3C"/>
    <w:rsid w:val="00D34B80"/>
    <w:rsid w:val="00D34C76"/>
    <w:rsid w:val="00D34C99"/>
    <w:rsid w:val="00D34E4C"/>
    <w:rsid w:val="00D3516A"/>
    <w:rsid w:val="00D352F2"/>
    <w:rsid w:val="00D35551"/>
    <w:rsid w:val="00D357C8"/>
    <w:rsid w:val="00D35876"/>
    <w:rsid w:val="00D358AD"/>
    <w:rsid w:val="00D35902"/>
    <w:rsid w:val="00D359DE"/>
    <w:rsid w:val="00D35B02"/>
    <w:rsid w:val="00D35BE8"/>
    <w:rsid w:val="00D36322"/>
    <w:rsid w:val="00D363D9"/>
    <w:rsid w:val="00D36479"/>
    <w:rsid w:val="00D3697D"/>
    <w:rsid w:val="00D36E09"/>
    <w:rsid w:val="00D36E42"/>
    <w:rsid w:val="00D36E6E"/>
    <w:rsid w:val="00D371F4"/>
    <w:rsid w:val="00D37486"/>
    <w:rsid w:val="00D374C3"/>
    <w:rsid w:val="00D3768D"/>
    <w:rsid w:val="00D378B3"/>
    <w:rsid w:val="00D37900"/>
    <w:rsid w:val="00D37965"/>
    <w:rsid w:val="00D37985"/>
    <w:rsid w:val="00D37B50"/>
    <w:rsid w:val="00D37DFF"/>
    <w:rsid w:val="00D37EE7"/>
    <w:rsid w:val="00D37FEA"/>
    <w:rsid w:val="00D4012A"/>
    <w:rsid w:val="00D40202"/>
    <w:rsid w:val="00D40260"/>
    <w:rsid w:val="00D40324"/>
    <w:rsid w:val="00D40504"/>
    <w:rsid w:val="00D407C2"/>
    <w:rsid w:val="00D40917"/>
    <w:rsid w:val="00D40998"/>
    <w:rsid w:val="00D40C58"/>
    <w:rsid w:val="00D40E59"/>
    <w:rsid w:val="00D40F3B"/>
    <w:rsid w:val="00D40F44"/>
    <w:rsid w:val="00D410A4"/>
    <w:rsid w:val="00D41141"/>
    <w:rsid w:val="00D41167"/>
    <w:rsid w:val="00D41299"/>
    <w:rsid w:val="00D41461"/>
    <w:rsid w:val="00D4155A"/>
    <w:rsid w:val="00D415B0"/>
    <w:rsid w:val="00D4165F"/>
    <w:rsid w:val="00D41715"/>
    <w:rsid w:val="00D419C2"/>
    <w:rsid w:val="00D41BE4"/>
    <w:rsid w:val="00D41C33"/>
    <w:rsid w:val="00D41D39"/>
    <w:rsid w:val="00D42240"/>
    <w:rsid w:val="00D42308"/>
    <w:rsid w:val="00D42831"/>
    <w:rsid w:val="00D42A66"/>
    <w:rsid w:val="00D42CC7"/>
    <w:rsid w:val="00D42E3E"/>
    <w:rsid w:val="00D42E3F"/>
    <w:rsid w:val="00D42F0C"/>
    <w:rsid w:val="00D433B2"/>
    <w:rsid w:val="00D4349B"/>
    <w:rsid w:val="00D4361D"/>
    <w:rsid w:val="00D43886"/>
    <w:rsid w:val="00D43F61"/>
    <w:rsid w:val="00D440A7"/>
    <w:rsid w:val="00D440AB"/>
    <w:rsid w:val="00D441FE"/>
    <w:rsid w:val="00D44300"/>
    <w:rsid w:val="00D44326"/>
    <w:rsid w:val="00D443AF"/>
    <w:rsid w:val="00D44411"/>
    <w:rsid w:val="00D444AC"/>
    <w:rsid w:val="00D446B4"/>
    <w:rsid w:val="00D446BF"/>
    <w:rsid w:val="00D4481A"/>
    <w:rsid w:val="00D448AF"/>
    <w:rsid w:val="00D44C04"/>
    <w:rsid w:val="00D44C75"/>
    <w:rsid w:val="00D44D4B"/>
    <w:rsid w:val="00D451F3"/>
    <w:rsid w:val="00D454FF"/>
    <w:rsid w:val="00D4559A"/>
    <w:rsid w:val="00D4569C"/>
    <w:rsid w:val="00D457B0"/>
    <w:rsid w:val="00D45835"/>
    <w:rsid w:val="00D45853"/>
    <w:rsid w:val="00D459B5"/>
    <w:rsid w:val="00D45AA9"/>
    <w:rsid w:val="00D45CAD"/>
    <w:rsid w:val="00D45DD8"/>
    <w:rsid w:val="00D45EE6"/>
    <w:rsid w:val="00D45FB2"/>
    <w:rsid w:val="00D46087"/>
    <w:rsid w:val="00D460C9"/>
    <w:rsid w:val="00D4620E"/>
    <w:rsid w:val="00D4626B"/>
    <w:rsid w:val="00D46292"/>
    <w:rsid w:val="00D4634F"/>
    <w:rsid w:val="00D463DC"/>
    <w:rsid w:val="00D464FE"/>
    <w:rsid w:val="00D4655B"/>
    <w:rsid w:val="00D466ED"/>
    <w:rsid w:val="00D4670E"/>
    <w:rsid w:val="00D469B4"/>
    <w:rsid w:val="00D46A1C"/>
    <w:rsid w:val="00D46A6A"/>
    <w:rsid w:val="00D46C5B"/>
    <w:rsid w:val="00D46E35"/>
    <w:rsid w:val="00D46E5A"/>
    <w:rsid w:val="00D46ECA"/>
    <w:rsid w:val="00D473DD"/>
    <w:rsid w:val="00D47418"/>
    <w:rsid w:val="00D47473"/>
    <w:rsid w:val="00D475EC"/>
    <w:rsid w:val="00D47692"/>
    <w:rsid w:val="00D477FB"/>
    <w:rsid w:val="00D47842"/>
    <w:rsid w:val="00D479F7"/>
    <w:rsid w:val="00D47A5B"/>
    <w:rsid w:val="00D47D53"/>
    <w:rsid w:val="00D47DC8"/>
    <w:rsid w:val="00D47E26"/>
    <w:rsid w:val="00D5015E"/>
    <w:rsid w:val="00D50184"/>
    <w:rsid w:val="00D501A4"/>
    <w:rsid w:val="00D50261"/>
    <w:rsid w:val="00D502DA"/>
    <w:rsid w:val="00D503DF"/>
    <w:rsid w:val="00D50411"/>
    <w:rsid w:val="00D50480"/>
    <w:rsid w:val="00D504CE"/>
    <w:rsid w:val="00D50525"/>
    <w:rsid w:val="00D505A3"/>
    <w:rsid w:val="00D505B0"/>
    <w:rsid w:val="00D50861"/>
    <w:rsid w:val="00D50915"/>
    <w:rsid w:val="00D5095D"/>
    <w:rsid w:val="00D509C8"/>
    <w:rsid w:val="00D50ADF"/>
    <w:rsid w:val="00D50CC4"/>
    <w:rsid w:val="00D50E29"/>
    <w:rsid w:val="00D50F18"/>
    <w:rsid w:val="00D50FEE"/>
    <w:rsid w:val="00D5107B"/>
    <w:rsid w:val="00D51114"/>
    <w:rsid w:val="00D51150"/>
    <w:rsid w:val="00D5118A"/>
    <w:rsid w:val="00D512A1"/>
    <w:rsid w:val="00D51368"/>
    <w:rsid w:val="00D5143C"/>
    <w:rsid w:val="00D514AB"/>
    <w:rsid w:val="00D516AF"/>
    <w:rsid w:val="00D51740"/>
    <w:rsid w:val="00D51891"/>
    <w:rsid w:val="00D518AC"/>
    <w:rsid w:val="00D51C61"/>
    <w:rsid w:val="00D51CB2"/>
    <w:rsid w:val="00D51F0D"/>
    <w:rsid w:val="00D520B8"/>
    <w:rsid w:val="00D5223C"/>
    <w:rsid w:val="00D52259"/>
    <w:rsid w:val="00D52264"/>
    <w:rsid w:val="00D52362"/>
    <w:rsid w:val="00D52375"/>
    <w:rsid w:val="00D527AA"/>
    <w:rsid w:val="00D52920"/>
    <w:rsid w:val="00D52963"/>
    <w:rsid w:val="00D52B14"/>
    <w:rsid w:val="00D52BF6"/>
    <w:rsid w:val="00D52D82"/>
    <w:rsid w:val="00D52DFE"/>
    <w:rsid w:val="00D53019"/>
    <w:rsid w:val="00D5313C"/>
    <w:rsid w:val="00D5324C"/>
    <w:rsid w:val="00D5338A"/>
    <w:rsid w:val="00D5348B"/>
    <w:rsid w:val="00D53545"/>
    <w:rsid w:val="00D535D3"/>
    <w:rsid w:val="00D5361F"/>
    <w:rsid w:val="00D536B8"/>
    <w:rsid w:val="00D536CE"/>
    <w:rsid w:val="00D53ADD"/>
    <w:rsid w:val="00D53B00"/>
    <w:rsid w:val="00D53C63"/>
    <w:rsid w:val="00D53CFA"/>
    <w:rsid w:val="00D53DA3"/>
    <w:rsid w:val="00D53DE8"/>
    <w:rsid w:val="00D54029"/>
    <w:rsid w:val="00D54207"/>
    <w:rsid w:val="00D5450B"/>
    <w:rsid w:val="00D545B6"/>
    <w:rsid w:val="00D547A2"/>
    <w:rsid w:val="00D547D1"/>
    <w:rsid w:val="00D549EB"/>
    <w:rsid w:val="00D549F9"/>
    <w:rsid w:val="00D54D16"/>
    <w:rsid w:val="00D54DFE"/>
    <w:rsid w:val="00D54F6F"/>
    <w:rsid w:val="00D55062"/>
    <w:rsid w:val="00D5562D"/>
    <w:rsid w:val="00D556A0"/>
    <w:rsid w:val="00D556D1"/>
    <w:rsid w:val="00D55A91"/>
    <w:rsid w:val="00D55AB1"/>
    <w:rsid w:val="00D55C1C"/>
    <w:rsid w:val="00D55F6F"/>
    <w:rsid w:val="00D560CA"/>
    <w:rsid w:val="00D560F9"/>
    <w:rsid w:val="00D5615A"/>
    <w:rsid w:val="00D5615B"/>
    <w:rsid w:val="00D56258"/>
    <w:rsid w:val="00D562C2"/>
    <w:rsid w:val="00D56763"/>
    <w:rsid w:val="00D567B8"/>
    <w:rsid w:val="00D5682A"/>
    <w:rsid w:val="00D56874"/>
    <w:rsid w:val="00D5696D"/>
    <w:rsid w:val="00D56A80"/>
    <w:rsid w:val="00D56B23"/>
    <w:rsid w:val="00D56E23"/>
    <w:rsid w:val="00D56E56"/>
    <w:rsid w:val="00D56F1E"/>
    <w:rsid w:val="00D57224"/>
    <w:rsid w:val="00D572CF"/>
    <w:rsid w:val="00D573A8"/>
    <w:rsid w:val="00D573B8"/>
    <w:rsid w:val="00D573FC"/>
    <w:rsid w:val="00D57531"/>
    <w:rsid w:val="00D578B0"/>
    <w:rsid w:val="00D578B9"/>
    <w:rsid w:val="00D57A79"/>
    <w:rsid w:val="00D57C38"/>
    <w:rsid w:val="00D57DD2"/>
    <w:rsid w:val="00D57E2E"/>
    <w:rsid w:val="00D57E5D"/>
    <w:rsid w:val="00D57EE3"/>
    <w:rsid w:val="00D600BA"/>
    <w:rsid w:val="00D6041E"/>
    <w:rsid w:val="00D6059A"/>
    <w:rsid w:val="00D607FB"/>
    <w:rsid w:val="00D6081E"/>
    <w:rsid w:val="00D608A4"/>
    <w:rsid w:val="00D60C0C"/>
    <w:rsid w:val="00D60CF3"/>
    <w:rsid w:val="00D60D4E"/>
    <w:rsid w:val="00D60D62"/>
    <w:rsid w:val="00D60DBF"/>
    <w:rsid w:val="00D61093"/>
    <w:rsid w:val="00D610F9"/>
    <w:rsid w:val="00D61128"/>
    <w:rsid w:val="00D6129B"/>
    <w:rsid w:val="00D61316"/>
    <w:rsid w:val="00D6131C"/>
    <w:rsid w:val="00D6132A"/>
    <w:rsid w:val="00D6137E"/>
    <w:rsid w:val="00D6156E"/>
    <w:rsid w:val="00D61678"/>
    <w:rsid w:val="00D61889"/>
    <w:rsid w:val="00D6199B"/>
    <w:rsid w:val="00D619E9"/>
    <w:rsid w:val="00D61BE8"/>
    <w:rsid w:val="00D61CC2"/>
    <w:rsid w:val="00D61E2F"/>
    <w:rsid w:val="00D61E62"/>
    <w:rsid w:val="00D62038"/>
    <w:rsid w:val="00D621E4"/>
    <w:rsid w:val="00D623B5"/>
    <w:rsid w:val="00D6243A"/>
    <w:rsid w:val="00D625D9"/>
    <w:rsid w:val="00D62792"/>
    <w:rsid w:val="00D629B1"/>
    <w:rsid w:val="00D62A33"/>
    <w:rsid w:val="00D62B94"/>
    <w:rsid w:val="00D62C03"/>
    <w:rsid w:val="00D62DA7"/>
    <w:rsid w:val="00D631E5"/>
    <w:rsid w:val="00D6323A"/>
    <w:rsid w:val="00D6333C"/>
    <w:rsid w:val="00D63452"/>
    <w:rsid w:val="00D634EF"/>
    <w:rsid w:val="00D635B2"/>
    <w:rsid w:val="00D63648"/>
    <w:rsid w:val="00D63655"/>
    <w:rsid w:val="00D636D9"/>
    <w:rsid w:val="00D63739"/>
    <w:rsid w:val="00D638A7"/>
    <w:rsid w:val="00D6399B"/>
    <w:rsid w:val="00D63A7B"/>
    <w:rsid w:val="00D63B40"/>
    <w:rsid w:val="00D63C0D"/>
    <w:rsid w:val="00D63C83"/>
    <w:rsid w:val="00D63D0B"/>
    <w:rsid w:val="00D63FB8"/>
    <w:rsid w:val="00D64008"/>
    <w:rsid w:val="00D642CC"/>
    <w:rsid w:val="00D64452"/>
    <w:rsid w:val="00D64462"/>
    <w:rsid w:val="00D64512"/>
    <w:rsid w:val="00D64595"/>
    <w:rsid w:val="00D64608"/>
    <w:rsid w:val="00D64751"/>
    <w:rsid w:val="00D6478A"/>
    <w:rsid w:val="00D64907"/>
    <w:rsid w:val="00D64991"/>
    <w:rsid w:val="00D649E3"/>
    <w:rsid w:val="00D64A8F"/>
    <w:rsid w:val="00D64B75"/>
    <w:rsid w:val="00D64BFB"/>
    <w:rsid w:val="00D64C46"/>
    <w:rsid w:val="00D64C9B"/>
    <w:rsid w:val="00D64E06"/>
    <w:rsid w:val="00D64F13"/>
    <w:rsid w:val="00D64FB1"/>
    <w:rsid w:val="00D64FCA"/>
    <w:rsid w:val="00D64FE6"/>
    <w:rsid w:val="00D650B5"/>
    <w:rsid w:val="00D6522B"/>
    <w:rsid w:val="00D652A1"/>
    <w:rsid w:val="00D65403"/>
    <w:rsid w:val="00D65430"/>
    <w:rsid w:val="00D65558"/>
    <w:rsid w:val="00D656CD"/>
    <w:rsid w:val="00D65887"/>
    <w:rsid w:val="00D65B5E"/>
    <w:rsid w:val="00D65F44"/>
    <w:rsid w:val="00D6622C"/>
    <w:rsid w:val="00D66244"/>
    <w:rsid w:val="00D66498"/>
    <w:rsid w:val="00D66A68"/>
    <w:rsid w:val="00D66C4E"/>
    <w:rsid w:val="00D66F0A"/>
    <w:rsid w:val="00D67014"/>
    <w:rsid w:val="00D6718E"/>
    <w:rsid w:val="00D67349"/>
    <w:rsid w:val="00D67650"/>
    <w:rsid w:val="00D6792C"/>
    <w:rsid w:val="00D679AC"/>
    <w:rsid w:val="00D67A23"/>
    <w:rsid w:val="00D67BF0"/>
    <w:rsid w:val="00D67D69"/>
    <w:rsid w:val="00D67D7D"/>
    <w:rsid w:val="00D67E07"/>
    <w:rsid w:val="00D67E42"/>
    <w:rsid w:val="00D67EC0"/>
    <w:rsid w:val="00D7007C"/>
    <w:rsid w:val="00D70391"/>
    <w:rsid w:val="00D703E2"/>
    <w:rsid w:val="00D7056D"/>
    <w:rsid w:val="00D70720"/>
    <w:rsid w:val="00D70729"/>
    <w:rsid w:val="00D70747"/>
    <w:rsid w:val="00D707D1"/>
    <w:rsid w:val="00D707E3"/>
    <w:rsid w:val="00D708D3"/>
    <w:rsid w:val="00D70A12"/>
    <w:rsid w:val="00D70B3C"/>
    <w:rsid w:val="00D70B4D"/>
    <w:rsid w:val="00D70BF9"/>
    <w:rsid w:val="00D7115C"/>
    <w:rsid w:val="00D711FC"/>
    <w:rsid w:val="00D711FD"/>
    <w:rsid w:val="00D713C0"/>
    <w:rsid w:val="00D713FB"/>
    <w:rsid w:val="00D71469"/>
    <w:rsid w:val="00D714BE"/>
    <w:rsid w:val="00D717FF"/>
    <w:rsid w:val="00D7196E"/>
    <w:rsid w:val="00D71B1E"/>
    <w:rsid w:val="00D71B64"/>
    <w:rsid w:val="00D71C1F"/>
    <w:rsid w:val="00D71CC3"/>
    <w:rsid w:val="00D71EC1"/>
    <w:rsid w:val="00D71F88"/>
    <w:rsid w:val="00D721FD"/>
    <w:rsid w:val="00D72329"/>
    <w:rsid w:val="00D7237C"/>
    <w:rsid w:val="00D72496"/>
    <w:rsid w:val="00D728E4"/>
    <w:rsid w:val="00D72943"/>
    <w:rsid w:val="00D72A42"/>
    <w:rsid w:val="00D72AB7"/>
    <w:rsid w:val="00D72BC5"/>
    <w:rsid w:val="00D72C4A"/>
    <w:rsid w:val="00D72C8B"/>
    <w:rsid w:val="00D72E39"/>
    <w:rsid w:val="00D72ED4"/>
    <w:rsid w:val="00D72F99"/>
    <w:rsid w:val="00D730A6"/>
    <w:rsid w:val="00D73133"/>
    <w:rsid w:val="00D7339F"/>
    <w:rsid w:val="00D73453"/>
    <w:rsid w:val="00D73648"/>
    <w:rsid w:val="00D7365A"/>
    <w:rsid w:val="00D736D4"/>
    <w:rsid w:val="00D7375C"/>
    <w:rsid w:val="00D73785"/>
    <w:rsid w:val="00D739DF"/>
    <w:rsid w:val="00D73B06"/>
    <w:rsid w:val="00D73BF5"/>
    <w:rsid w:val="00D73C9E"/>
    <w:rsid w:val="00D73DF4"/>
    <w:rsid w:val="00D73FF1"/>
    <w:rsid w:val="00D74266"/>
    <w:rsid w:val="00D742A3"/>
    <w:rsid w:val="00D747B3"/>
    <w:rsid w:val="00D748B3"/>
    <w:rsid w:val="00D7495F"/>
    <w:rsid w:val="00D74BA7"/>
    <w:rsid w:val="00D74CDF"/>
    <w:rsid w:val="00D74E7C"/>
    <w:rsid w:val="00D75056"/>
    <w:rsid w:val="00D750D9"/>
    <w:rsid w:val="00D750F5"/>
    <w:rsid w:val="00D75214"/>
    <w:rsid w:val="00D75258"/>
    <w:rsid w:val="00D7559C"/>
    <w:rsid w:val="00D7599A"/>
    <w:rsid w:val="00D75A2F"/>
    <w:rsid w:val="00D75A8E"/>
    <w:rsid w:val="00D75B73"/>
    <w:rsid w:val="00D75E2C"/>
    <w:rsid w:val="00D75FE7"/>
    <w:rsid w:val="00D75FFF"/>
    <w:rsid w:val="00D7600A"/>
    <w:rsid w:val="00D76062"/>
    <w:rsid w:val="00D761AB"/>
    <w:rsid w:val="00D763E0"/>
    <w:rsid w:val="00D7646B"/>
    <w:rsid w:val="00D764DF"/>
    <w:rsid w:val="00D765A8"/>
    <w:rsid w:val="00D76689"/>
    <w:rsid w:val="00D76771"/>
    <w:rsid w:val="00D76857"/>
    <w:rsid w:val="00D76A1E"/>
    <w:rsid w:val="00D76C42"/>
    <w:rsid w:val="00D76C48"/>
    <w:rsid w:val="00D76E47"/>
    <w:rsid w:val="00D7711E"/>
    <w:rsid w:val="00D7718D"/>
    <w:rsid w:val="00D771A8"/>
    <w:rsid w:val="00D773BF"/>
    <w:rsid w:val="00D77400"/>
    <w:rsid w:val="00D77BE5"/>
    <w:rsid w:val="00D77FDF"/>
    <w:rsid w:val="00D80038"/>
    <w:rsid w:val="00D8007E"/>
    <w:rsid w:val="00D8028E"/>
    <w:rsid w:val="00D802FC"/>
    <w:rsid w:val="00D803DE"/>
    <w:rsid w:val="00D803F9"/>
    <w:rsid w:val="00D80410"/>
    <w:rsid w:val="00D8062E"/>
    <w:rsid w:val="00D80A24"/>
    <w:rsid w:val="00D80A27"/>
    <w:rsid w:val="00D80A83"/>
    <w:rsid w:val="00D80B45"/>
    <w:rsid w:val="00D80C91"/>
    <w:rsid w:val="00D80C9B"/>
    <w:rsid w:val="00D80DAE"/>
    <w:rsid w:val="00D80E17"/>
    <w:rsid w:val="00D81121"/>
    <w:rsid w:val="00D81259"/>
    <w:rsid w:val="00D81380"/>
    <w:rsid w:val="00D813C5"/>
    <w:rsid w:val="00D814BC"/>
    <w:rsid w:val="00D81561"/>
    <w:rsid w:val="00D816D6"/>
    <w:rsid w:val="00D817D4"/>
    <w:rsid w:val="00D81890"/>
    <w:rsid w:val="00D8198E"/>
    <w:rsid w:val="00D819A1"/>
    <w:rsid w:val="00D81A1F"/>
    <w:rsid w:val="00D81A33"/>
    <w:rsid w:val="00D81B55"/>
    <w:rsid w:val="00D81C84"/>
    <w:rsid w:val="00D81F1E"/>
    <w:rsid w:val="00D8222F"/>
    <w:rsid w:val="00D823A9"/>
    <w:rsid w:val="00D824E7"/>
    <w:rsid w:val="00D8258A"/>
    <w:rsid w:val="00D825D6"/>
    <w:rsid w:val="00D825FE"/>
    <w:rsid w:val="00D82944"/>
    <w:rsid w:val="00D82A88"/>
    <w:rsid w:val="00D82A95"/>
    <w:rsid w:val="00D82C88"/>
    <w:rsid w:val="00D82CBA"/>
    <w:rsid w:val="00D82EE5"/>
    <w:rsid w:val="00D82F66"/>
    <w:rsid w:val="00D82FD8"/>
    <w:rsid w:val="00D832FE"/>
    <w:rsid w:val="00D8332D"/>
    <w:rsid w:val="00D83344"/>
    <w:rsid w:val="00D8362F"/>
    <w:rsid w:val="00D8376F"/>
    <w:rsid w:val="00D83C06"/>
    <w:rsid w:val="00D83CD3"/>
    <w:rsid w:val="00D83E3E"/>
    <w:rsid w:val="00D84048"/>
    <w:rsid w:val="00D84128"/>
    <w:rsid w:val="00D84141"/>
    <w:rsid w:val="00D84145"/>
    <w:rsid w:val="00D841A3"/>
    <w:rsid w:val="00D841F1"/>
    <w:rsid w:val="00D84251"/>
    <w:rsid w:val="00D8426D"/>
    <w:rsid w:val="00D842CB"/>
    <w:rsid w:val="00D848DF"/>
    <w:rsid w:val="00D8499C"/>
    <w:rsid w:val="00D84BA9"/>
    <w:rsid w:val="00D84CC7"/>
    <w:rsid w:val="00D84DF8"/>
    <w:rsid w:val="00D84E9E"/>
    <w:rsid w:val="00D84F57"/>
    <w:rsid w:val="00D850F0"/>
    <w:rsid w:val="00D851FF"/>
    <w:rsid w:val="00D85265"/>
    <w:rsid w:val="00D85636"/>
    <w:rsid w:val="00D8574C"/>
    <w:rsid w:val="00D8576E"/>
    <w:rsid w:val="00D85899"/>
    <w:rsid w:val="00D858C5"/>
    <w:rsid w:val="00D858F4"/>
    <w:rsid w:val="00D85A59"/>
    <w:rsid w:val="00D85AC0"/>
    <w:rsid w:val="00D85E0A"/>
    <w:rsid w:val="00D85E0D"/>
    <w:rsid w:val="00D85EA1"/>
    <w:rsid w:val="00D86008"/>
    <w:rsid w:val="00D8602E"/>
    <w:rsid w:val="00D8616A"/>
    <w:rsid w:val="00D861FD"/>
    <w:rsid w:val="00D8621F"/>
    <w:rsid w:val="00D8632C"/>
    <w:rsid w:val="00D86587"/>
    <w:rsid w:val="00D867B8"/>
    <w:rsid w:val="00D86836"/>
    <w:rsid w:val="00D86852"/>
    <w:rsid w:val="00D8696D"/>
    <w:rsid w:val="00D86975"/>
    <w:rsid w:val="00D86A58"/>
    <w:rsid w:val="00D86FA6"/>
    <w:rsid w:val="00D86FDE"/>
    <w:rsid w:val="00D870D5"/>
    <w:rsid w:val="00D8710C"/>
    <w:rsid w:val="00D87207"/>
    <w:rsid w:val="00D872D0"/>
    <w:rsid w:val="00D87341"/>
    <w:rsid w:val="00D87640"/>
    <w:rsid w:val="00D877AF"/>
    <w:rsid w:val="00D87A0A"/>
    <w:rsid w:val="00D87BE1"/>
    <w:rsid w:val="00D87C69"/>
    <w:rsid w:val="00D87CB8"/>
    <w:rsid w:val="00D87CED"/>
    <w:rsid w:val="00D87E41"/>
    <w:rsid w:val="00D87EF1"/>
    <w:rsid w:val="00D87F51"/>
    <w:rsid w:val="00D87FDD"/>
    <w:rsid w:val="00D90140"/>
    <w:rsid w:val="00D90187"/>
    <w:rsid w:val="00D90283"/>
    <w:rsid w:val="00D902C3"/>
    <w:rsid w:val="00D9043D"/>
    <w:rsid w:val="00D90525"/>
    <w:rsid w:val="00D90794"/>
    <w:rsid w:val="00D908EA"/>
    <w:rsid w:val="00D909C2"/>
    <w:rsid w:val="00D909C9"/>
    <w:rsid w:val="00D90A3A"/>
    <w:rsid w:val="00D90B76"/>
    <w:rsid w:val="00D90E21"/>
    <w:rsid w:val="00D90EC6"/>
    <w:rsid w:val="00D90F6A"/>
    <w:rsid w:val="00D91009"/>
    <w:rsid w:val="00D91072"/>
    <w:rsid w:val="00D910C0"/>
    <w:rsid w:val="00D9124B"/>
    <w:rsid w:val="00D91509"/>
    <w:rsid w:val="00D91C68"/>
    <w:rsid w:val="00D91F32"/>
    <w:rsid w:val="00D91F3B"/>
    <w:rsid w:val="00D9204D"/>
    <w:rsid w:val="00D921BC"/>
    <w:rsid w:val="00D922A2"/>
    <w:rsid w:val="00D926D3"/>
    <w:rsid w:val="00D926E0"/>
    <w:rsid w:val="00D92862"/>
    <w:rsid w:val="00D928D9"/>
    <w:rsid w:val="00D92A98"/>
    <w:rsid w:val="00D92F08"/>
    <w:rsid w:val="00D92FAA"/>
    <w:rsid w:val="00D93018"/>
    <w:rsid w:val="00D93078"/>
    <w:rsid w:val="00D93323"/>
    <w:rsid w:val="00D9342E"/>
    <w:rsid w:val="00D93443"/>
    <w:rsid w:val="00D934C0"/>
    <w:rsid w:val="00D935FD"/>
    <w:rsid w:val="00D9366E"/>
    <w:rsid w:val="00D9388B"/>
    <w:rsid w:val="00D93AEB"/>
    <w:rsid w:val="00D93B91"/>
    <w:rsid w:val="00D93D1A"/>
    <w:rsid w:val="00D93EB0"/>
    <w:rsid w:val="00D93FC5"/>
    <w:rsid w:val="00D940B6"/>
    <w:rsid w:val="00D94180"/>
    <w:rsid w:val="00D9421A"/>
    <w:rsid w:val="00D9430B"/>
    <w:rsid w:val="00D9444D"/>
    <w:rsid w:val="00D944AE"/>
    <w:rsid w:val="00D94677"/>
    <w:rsid w:val="00D94708"/>
    <w:rsid w:val="00D94729"/>
    <w:rsid w:val="00D9477A"/>
    <w:rsid w:val="00D9481E"/>
    <w:rsid w:val="00D94BFF"/>
    <w:rsid w:val="00D94DC9"/>
    <w:rsid w:val="00D95050"/>
    <w:rsid w:val="00D950A6"/>
    <w:rsid w:val="00D950BC"/>
    <w:rsid w:val="00D95372"/>
    <w:rsid w:val="00D95473"/>
    <w:rsid w:val="00D95655"/>
    <w:rsid w:val="00D9573B"/>
    <w:rsid w:val="00D959DE"/>
    <w:rsid w:val="00D95B37"/>
    <w:rsid w:val="00D95C36"/>
    <w:rsid w:val="00D95C7A"/>
    <w:rsid w:val="00D95EB8"/>
    <w:rsid w:val="00D9611C"/>
    <w:rsid w:val="00D9623B"/>
    <w:rsid w:val="00D96250"/>
    <w:rsid w:val="00D96292"/>
    <w:rsid w:val="00D962D2"/>
    <w:rsid w:val="00D9637F"/>
    <w:rsid w:val="00D96383"/>
    <w:rsid w:val="00D9641F"/>
    <w:rsid w:val="00D9642C"/>
    <w:rsid w:val="00D96633"/>
    <w:rsid w:val="00D96649"/>
    <w:rsid w:val="00D968C0"/>
    <w:rsid w:val="00D9692A"/>
    <w:rsid w:val="00D96954"/>
    <w:rsid w:val="00D969A0"/>
    <w:rsid w:val="00D969E8"/>
    <w:rsid w:val="00D96A48"/>
    <w:rsid w:val="00D96A63"/>
    <w:rsid w:val="00D96A73"/>
    <w:rsid w:val="00D96B29"/>
    <w:rsid w:val="00D96BD1"/>
    <w:rsid w:val="00D96E1E"/>
    <w:rsid w:val="00D96EAE"/>
    <w:rsid w:val="00D97099"/>
    <w:rsid w:val="00D97117"/>
    <w:rsid w:val="00D971F5"/>
    <w:rsid w:val="00D9736A"/>
    <w:rsid w:val="00D973A5"/>
    <w:rsid w:val="00D9742F"/>
    <w:rsid w:val="00D974CA"/>
    <w:rsid w:val="00D9757E"/>
    <w:rsid w:val="00D975E7"/>
    <w:rsid w:val="00D975E8"/>
    <w:rsid w:val="00D9782B"/>
    <w:rsid w:val="00D97888"/>
    <w:rsid w:val="00D978BB"/>
    <w:rsid w:val="00D97A59"/>
    <w:rsid w:val="00D97C6A"/>
    <w:rsid w:val="00D97D53"/>
    <w:rsid w:val="00D97D8A"/>
    <w:rsid w:val="00DA0012"/>
    <w:rsid w:val="00DA006A"/>
    <w:rsid w:val="00DA0136"/>
    <w:rsid w:val="00DA02E1"/>
    <w:rsid w:val="00DA0834"/>
    <w:rsid w:val="00DA0D1A"/>
    <w:rsid w:val="00DA1023"/>
    <w:rsid w:val="00DA156F"/>
    <w:rsid w:val="00DA1579"/>
    <w:rsid w:val="00DA1836"/>
    <w:rsid w:val="00DA1939"/>
    <w:rsid w:val="00DA19C5"/>
    <w:rsid w:val="00DA1A83"/>
    <w:rsid w:val="00DA1A8F"/>
    <w:rsid w:val="00DA1C7F"/>
    <w:rsid w:val="00DA1E67"/>
    <w:rsid w:val="00DA1E6B"/>
    <w:rsid w:val="00DA1EBD"/>
    <w:rsid w:val="00DA1FB8"/>
    <w:rsid w:val="00DA21FF"/>
    <w:rsid w:val="00DA22A6"/>
    <w:rsid w:val="00DA25F3"/>
    <w:rsid w:val="00DA2616"/>
    <w:rsid w:val="00DA2A46"/>
    <w:rsid w:val="00DA2CD0"/>
    <w:rsid w:val="00DA2D67"/>
    <w:rsid w:val="00DA304E"/>
    <w:rsid w:val="00DA317F"/>
    <w:rsid w:val="00DA31A1"/>
    <w:rsid w:val="00DA37CF"/>
    <w:rsid w:val="00DA3A07"/>
    <w:rsid w:val="00DA3A0A"/>
    <w:rsid w:val="00DA3ADD"/>
    <w:rsid w:val="00DA3D5F"/>
    <w:rsid w:val="00DA3D86"/>
    <w:rsid w:val="00DA3DFA"/>
    <w:rsid w:val="00DA3F95"/>
    <w:rsid w:val="00DA4005"/>
    <w:rsid w:val="00DA405E"/>
    <w:rsid w:val="00DA427E"/>
    <w:rsid w:val="00DA4320"/>
    <w:rsid w:val="00DA448D"/>
    <w:rsid w:val="00DA45B8"/>
    <w:rsid w:val="00DA463F"/>
    <w:rsid w:val="00DA48A5"/>
    <w:rsid w:val="00DA4902"/>
    <w:rsid w:val="00DA4AB8"/>
    <w:rsid w:val="00DA4F96"/>
    <w:rsid w:val="00DA5067"/>
    <w:rsid w:val="00DA5240"/>
    <w:rsid w:val="00DA54F6"/>
    <w:rsid w:val="00DA568C"/>
    <w:rsid w:val="00DA570B"/>
    <w:rsid w:val="00DA58C1"/>
    <w:rsid w:val="00DA59FA"/>
    <w:rsid w:val="00DA5A6B"/>
    <w:rsid w:val="00DA5AD3"/>
    <w:rsid w:val="00DA5AE6"/>
    <w:rsid w:val="00DA5B1A"/>
    <w:rsid w:val="00DA5C3E"/>
    <w:rsid w:val="00DA5C86"/>
    <w:rsid w:val="00DA5E0B"/>
    <w:rsid w:val="00DA5ED5"/>
    <w:rsid w:val="00DA5FA2"/>
    <w:rsid w:val="00DA6064"/>
    <w:rsid w:val="00DA60AB"/>
    <w:rsid w:val="00DA61A5"/>
    <w:rsid w:val="00DA639D"/>
    <w:rsid w:val="00DA654C"/>
    <w:rsid w:val="00DA65FC"/>
    <w:rsid w:val="00DA6788"/>
    <w:rsid w:val="00DA679B"/>
    <w:rsid w:val="00DA67A6"/>
    <w:rsid w:val="00DA68B1"/>
    <w:rsid w:val="00DA693F"/>
    <w:rsid w:val="00DA6948"/>
    <w:rsid w:val="00DA6B2D"/>
    <w:rsid w:val="00DA6C01"/>
    <w:rsid w:val="00DA6CBF"/>
    <w:rsid w:val="00DA71F0"/>
    <w:rsid w:val="00DA7226"/>
    <w:rsid w:val="00DA75F5"/>
    <w:rsid w:val="00DA763C"/>
    <w:rsid w:val="00DA76C1"/>
    <w:rsid w:val="00DA76DF"/>
    <w:rsid w:val="00DA7756"/>
    <w:rsid w:val="00DA78AC"/>
    <w:rsid w:val="00DA7A98"/>
    <w:rsid w:val="00DA7D90"/>
    <w:rsid w:val="00DA7E1E"/>
    <w:rsid w:val="00DA7FD2"/>
    <w:rsid w:val="00DB004E"/>
    <w:rsid w:val="00DB00C9"/>
    <w:rsid w:val="00DB01F9"/>
    <w:rsid w:val="00DB042E"/>
    <w:rsid w:val="00DB0A49"/>
    <w:rsid w:val="00DB0B33"/>
    <w:rsid w:val="00DB0CA2"/>
    <w:rsid w:val="00DB0E45"/>
    <w:rsid w:val="00DB0F7E"/>
    <w:rsid w:val="00DB12D7"/>
    <w:rsid w:val="00DB133C"/>
    <w:rsid w:val="00DB145C"/>
    <w:rsid w:val="00DB19F7"/>
    <w:rsid w:val="00DB1A78"/>
    <w:rsid w:val="00DB1B9D"/>
    <w:rsid w:val="00DB1BE1"/>
    <w:rsid w:val="00DB1C0B"/>
    <w:rsid w:val="00DB1E9B"/>
    <w:rsid w:val="00DB1F21"/>
    <w:rsid w:val="00DB2088"/>
    <w:rsid w:val="00DB20AB"/>
    <w:rsid w:val="00DB2487"/>
    <w:rsid w:val="00DB24A2"/>
    <w:rsid w:val="00DB2DFB"/>
    <w:rsid w:val="00DB2E8D"/>
    <w:rsid w:val="00DB30A4"/>
    <w:rsid w:val="00DB3229"/>
    <w:rsid w:val="00DB33E0"/>
    <w:rsid w:val="00DB3453"/>
    <w:rsid w:val="00DB363D"/>
    <w:rsid w:val="00DB3837"/>
    <w:rsid w:val="00DB3937"/>
    <w:rsid w:val="00DB3983"/>
    <w:rsid w:val="00DB399B"/>
    <w:rsid w:val="00DB39E5"/>
    <w:rsid w:val="00DB3A9D"/>
    <w:rsid w:val="00DB3ABA"/>
    <w:rsid w:val="00DB3F8D"/>
    <w:rsid w:val="00DB3FF9"/>
    <w:rsid w:val="00DB4001"/>
    <w:rsid w:val="00DB4172"/>
    <w:rsid w:val="00DB4178"/>
    <w:rsid w:val="00DB421C"/>
    <w:rsid w:val="00DB4265"/>
    <w:rsid w:val="00DB43A0"/>
    <w:rsid w:val="00DB4554"/>
    <w:rsid w:val="00DB45A2"/>
    <w:rsid w:val="00DB4660"/>
    <w:rsid w:val="00DB4864"/>
    <w:rsid w:val="00DB488C"/>
    <w:rsid w:val="00DB4B5C"/>
    <w:rsid w:val="00DB4C90"/>
    <w:rsid w:val="00DB4CA7"/>
    <w:rsid w:val="00DB4CC3"/>
    <w:rsid w:val="00DB4E41"/>
    <w:rsid w:val="00DB4E44"/>
    <w:rsid w:val="00DB4EBE"/>
    <w:rsid w:val="00DB4F17"/>
    <w:rsid w:val="00DB4F54"/>
    <w:rsid w:val="00DB5146"/>
    <w:rsid w:val="00DB52C4"/>
    <w:rsid w:val="00DB5721"/>
    <w:rsid w:val="00DB5729"/>
    <w:rsid w:val="00DB57C0"/>
    <w:rsid w:val="00DB5822"/>
    <w:rsid w:val="00DB5944"/>
    <w:rsid w:val="00DB5994"/>
    <w:rsid w:val="00DB59BA"/>
    <w:rsid w:val="00DB5A42"/>
    <w:rsid w:val="00DB5AF0"/>
    <w:rsid w:val="00DB5B27"/>
    <w:rsid w:val="00DB5C8C"/>
    <w:rsid w:val="00DB5CED"/>
    <w:rsid w:val="00DB5D23"/>
    <w:rsid w:val="00DB5E9D"/>
    <w:rsid w:val="00DB5EA8"/>
    <w:rsid w:val="00DB5FA0"/>
    <w:rsid w:val="00DB5FE2"/>
    <w:rsid w:val="00DB6049"/>
    <w:rsid w:val="00DB60D5"/>
    <w:rsid w:val="00DB63A1"/>
    <w:rsid w:val="00DB6490"/>
    <w:rsid w:val="00DB678F"/>
    <w:rsid w:val="00DB6892"/>
    <w:rsid w:val="00DB6938"/>
    <w:rsid w:val="00DB6A7B"/>
    <w:rsid w:val="00DB6C0E"/>
    <w:rsid w:val="00DB6C56"/>
    <w:rsid w:val="00DB6C8E"/>
    <w:rsid w:val="00DB6DF9"/>
    <w:rsid w:val="00DB6E71"/>
    <w:rsid w:val="00DB725A"/>
    <w:rsid w:val="00DB7338"/>
    <w:rsid w:val="00DB74DB"/>
    <w:rsid w:val="00DB75CF"/>
    <w:rsid w:val="00DB75D7"/>
    <w:rsid w:val="00DB75F2"/>
    <w:rsid w:val="00DB7621"/>
    <w:rsid w:val="00DB795A"/>
    <w:rsid w:val="00DB7AD9"/>
    <w:rsid w:val="00DB7EC3"/>
    <w:rsid w:val="00DB7F1E"/>
    <w:rsid w:val="00DC076E"/>
    <w:rsid w:val="00DC088F"/>
    <w:rsid w:val="00DC0B6F"/>
    <w:rsid w:val="00DC1038"/>
    <w:rsid w:val="00DC1063"/>
    <w:rsid w:val="00DC1147"/>
    <w:rsid w:val="00DC1543"/>
    <w:rsid w:val="00DC16C9"/>
    <w:rsid w:val="00DC16D5"/>
    <w:rsid w:val="00DC1777"/>
    <w:rsid w:val="00DC1896"/>
    <w:rsid w:val="00DC1C15"/>
    <w:rsid w:val="00DC1CA0"/>
    <w:rsid w:val="00DC1CE0"/>
    <w:rsid w:val="00DC1D86"/>
    <w:rsid w:val="00DC1EC6"/>
    <w:rsid w:val="00DC1F1E"/>
    <w:rsid w:val="00DC1FF6"/>
    <w:rsid w:val="00DC2432"/>
    <w:rsid w:val="00DC248F"/>
    <w:rsid w:val="00DC2498"/>
    <w:rsid w:val="00DC26D8"/>
    <w:rsid w:val="00DC2872"/>
    <w:rsid w:val="00DC28C5"/>
    <w:rsid w:val="00DC2B3A"/>
    <w:rsid w:val="00DC2D9C"/>
    <w:rsid w:val="00DC2E8F"/>
    <w:rsid w:val="00DC2F7B"/>
    <w:rsid w:val="00DC30C6"/>
    <w:rsid w:val="00DC314F"/>
    <w:rsid w:val="00DC31A6"/>
    <w:rsid w:val="00DC321E"/>
    <w:rsid w:val="00DC3270"/>
    <w:rsid w:val="00DC32E2"/>
    <w:rsid w:val="00DC3322"/>
    <w:rsid w:val="00DC34B7"/>
    <w:rsid w:val="00DC34FA"/>
    <w:rsid w:val="00DC35DA"/>
    <w:rsid w:val="00DC35F7"/>
    <w:rsid w:val="00DC3614"/>
    <w:rsid w:val="00DC37B5"/>
    <w:rsid w:val="00DC3884"/>
    <w:rsid w:val="00DC39C8"/>
    <w:rsid w:val="00DC3AE5"/>
    <w:rsid w:val="00DC3D1D"/>
    <w:rsid w:val="00DC41D2"/>
    <w:rsid w:val="00DC431A"/>
    <w:rsid w:val="00DC435C"/>
    <w:rsid w:val="00DC44BD"/>
    <w:rsid w:val="00DC45F6"/>
    <w:rsid w:val="00DC472F"/>
    <w:rsid w:val="00DC4774"/>
    <w:rsid w:val="00DC4854"/>
    <w:rsid w:val="00DC4889"/>
    <w:rsid w:val="00DC4A31"/>
    <w:rsid w:val="00DC4D2F"/>
    <w:rsid w:val="00DC500D"/>
    <w:rsid w:val="00DC5199"/>
    <w:rsid w:val="00DC5557"/>
    <w:rsid w:val="00DC5561"/>
    <w:rsid w:val="00DC55F2"/>
    <w:rsid w:val="00DC5747"/>
    <w:rsid w:val="00DC585C"/>
    <w:rsid w:val="00DC5B1B"/>
    <w:rsid w:val="00DC6084"/>
    <w:rsid w:val="00DC616A"/>
    <w:rsid w:val="00DC6291"/>
    <w:rsid w:val="00DC6389"/>
    <w:rsid w:val="00DC6652"/>
    <w:rsid w:val="00DC6932"/>
    <w:rsid w:val="00DC6B00"/>
    <w:rsid w:val="00DC6B8B"/>
    <w:rsid w:val="00DC6B95"/>
    <w:rsid w:val="00DC6C3B"/>
    <w:rsid w:val="00DC6CFF"/>
    <w:rsid w:val="00DC6E40"/>
    <w:rsid w:val="00DC6F48"/>
    <w:rsid w:val="00DC701F"/>
    <w:rsid w:val="00DC71F6"/>
    <w:rsid w:val="00DC7318"/>
    <w:rsid w:val="00DC755A"/>
    <w:rsid w:val="00DC7630"/>
    <w:rsid w:val="00DC768E"/>
    <w:rsid w:val="00DC782D"/>
    <w:rsid w:val="00DC7A21"/>
    <w:rsid w:val="00DC7AE7"/>
    <w:rsid w:val="00DC7D19"/>
    <w:rsid w:val="00DC7E60"/>
    <w:rsid w:val="00DC7EE6"/>
    <w:rsid w:val="00DC7EE7"/>
    <w:rsid w:val="00DCC186"/>
    <w:rsid w:val="00DD0028"/>
    <w:rsid w:val="00DD0342"/>
    <w:rsid w:val="00DD04D1"/>
    <w:rsid w:val="00DD04EE"/>
    <w:rsid w:val="00DD06BC"/>
    <w:rsid w:val="00DD0A6B"/>
    <w:rsid w:val="00DD0C41"/>
    <w:rsid w:val="00DD0E14"/>
    <w:rsid w:val="00DD0F47"/>
    <w:rsid w:val="00DD1141"/>
    <w:rsid w:val="00DD127D"/>
    <w:rsid w:val="00DD131D"/>
    <w:rsid w:val="00DD141E"/>
    <w:rsid w:val="00DD143A"/>
    <w:rsid w:val="00DD1533"/>
    <w:rsid w:val="00DD15E6"/>
    <w:rsid w:val="00DD183B"/>
    <w:rsid w:val="00DD1874"/>
    <w:rsid w:val="00DD19A6"/>
    <w:rsid w:val="00DD19E9"/>
    <w:rsid w:val="00DD1A46"/>
    <w:rsid w:val="00DD1C58"/>
    <w:rsid w:val="00DD1C9E"/>
    <w:rsid w:val="00DD1D87"/>
    <w:rsid w:val="00DD1DBC"/>
    <w:rsid w:val="00DD1DC8"/>
    <w:rsid w:val="00DD1EE9"/>
    <w:rsid w:val="00DD2104"/>
    <w:rsid w:val="00DD2214"/>
    <w:rsid w:val="00DD22DD"/>
    <w:rsid w:val="00DD2361"/>
    <w:rsid w:val="00DD236C"/>
    <w:rsid w:val="00DD2440"/>
    <w:rsid w:val="00DD289A"/>
    <w:rsid w:val="00DD28BF"/>
    <w:rsid w:val="00DD2985"/>
    <w:rsid w:val="00DD2A88"/>
    <w:rsid w:val="00DD2ADB"/>
    <w:rsid w:val="00DD2B82"/>
    <w:rsid w:val="00DD2B93"/>
    <w:rsid w:val="00DD2BF3"/>
    <w:rsid w:val="00DD2C7D"/>
    <w:rsid w:val="00DD2DEA"/>
    <w:rsid w:val="00DD2EED"/>
    <w:rsid w:val="00DD30A7"/>
    <w:rsid w:val="00DD30CB"/>
    <w:rsid w:val="00DD32F0"/>
    <w:rsid w:val="00DD33E8"/>
    <w:rsid w:val="00DD349A"/>
    <w:rsid w:val="00DD35A7"/>
    <w:rsid w:val="00DD3718"/>
    <w:rsid w:val="00DD3871"/>
    <w:rsid w:val="00DD395F"/>
    <w:rsid w:val="00DD39C0"/>
    <w:rsid w:val="00DD39CC"/>
    <w:rsid w:val="00DD39DA"/>
    <w:rsid w:val="00DD3A76"/>
    <w:rsid w:val="00DD3B11"/>
    <w:rsid w:val="00DD3D45"/>
    <w:rsid w:val="00DD4249"/>
    <w:rsid w:val="00DD4257"/>
    <w:rsid w:val="00DD4366"/>
    <w:rsid w:val="00DD43B0"/>
    <w:rsid w:val="00DD45E2"/>
    <w:rsid w:val="00DD45F8"/>
    <w:rsid w:val="00DD46BA"/>
    <w:rsid w:val="00DD4823"/>
    <w:rsid w:val="00DD4852"/>
    <w:rsid w:val="00DD48E2"/>
    <w:rsid w:val="00DD496B"/>
    <w:rsid w:val="00DD515D"/>
    <w:rsid w:val="00DD551E"/>
    <w:rsid w:val="00DD5775"/>
    <w:rsid w:val="00DD57B1"/>
    <w:rsid w:val="00DD58C2"/>
    <w:rsid w:val="00DD5BBF"/>
    <w:rsid w:val="00DD5BD6"/>
    <w:rsid w:val="00DD5C5B"/>
    <w:rsid w:val="00DD5D5E"/>
    <w:rsid w:val="00DD5F01"/>
    <w:rsid w:val="00DD5FCB"/>
    <w:rsid w:val="00DD61A3"/>
    <w:rsid w:val="00DD62F7"/>
    <w:rsid w:val="00DD63CD"/>
    <w:rsid w:val="00DD65ED"/>
    <w:rsid w:val="00DD6706"/>
    <w:rsid w:val="00DD6ADA"/>
    <w:rsid w:val="00DD6BA0"/>
    <w:rsid w:val="00DD6C2A"/>
    <w:rsid w:val="00DD6F0A"/>
    <w:rsid w:val="00DD707F"/>
    <w:rsid w:val="00DD7310"/>
    <w:rsid w:val="00DD741A"/>
    <w:rsid w:val="00DD7435"/>
    <w:rsid w:val="00DD75B4"/>
    <w:rsid w:val="00DD75B6"/>
    <w:rsid w:val="00DD75EF"/>
    <w:rsid w:val="00DD7BDB"/>
    <w:rsid w:val="00DD7C31"/>
    <w:rsid w:val="00DD7D28"/>
    <w:rsid w:val="00DD7DB9"/>
    <w:rsid w:val="00DD7DF6"/>
    <w:rsid w:val="00DD7F08"/>
    <w:rsid w:val="00DD7F13"/>
    <w:rsid w:val="00DDEB79"/>
    <w:rsid w:val="00DE0155"/>
    <w:rsid w:val="00DE05EE"/>
    <w:rsid w:val="00DE071C"/>
    <w:rsid w:val="00DE0B15"/>
    <w:rsid w:val="00DE0C7F"/>
    <w:rsid w:val="00DE0CCE"/>
    <w:rsid w:val="00DE0DF1"/>
    <w:rsid w:val="00DE0E32"/>
    <w:rsid w:val="00DE111E"/>
    <w:rsid w:val="00DE1158"/>
    <w:rsid w:val="00DE11CE"/>
    <w:rsid w:val="00DE12FF"/>
    <w:rsid w:val="00DE1331"/>
    <w:rsid w:val="00DE1583"/>
    <w:rsid w:val="00DE16F3"/>
    <w:rsid w:val="00DE18C1"/>
    <w:rsid w:val="00DE18CE"/>
    <w:rsid w:val="00DE19A0"/>
    <w:rsid w:val="00DE1B34"/>
    <w:rsid w:val="00DE1BFE"/>
    <w:rsid w:val="00DE1C91"/>
    <w:rsid w:val="00DE1E3B"/>
    <w:rsid w:val="00DE1E7B"/>
    <w:rsid w:val="00DE2052"/>
    <w:rsid w:val="00DE20E0"/>
    <w:rsid w:val="00DE20E4"/>
    <w:rsid w:val="00DE20FA"/>
    <w:rsid w:val="00DE215D"/>
    <w:rsid w:val="00DE2167"/>
    <w:rsid w:val="00DE2177"/>
    <w:rsid w:val="00DE230C"/>
    <w:rsid w:val="00DE236E"/>
    <w:rsid w:val="00DE23A9"/>
    <w:rsid w:val="00DE2491"/>
    <w:rsid w:val="00DE256E"/>
    <w:rsid w:val="00DE2C4B"/>
    <w:rsid w:val="00DE2ECD"/>
    <w:rsid w:val="00DE3079"/>
    <w:rsid w:val="00DE3450"/>
    <w:rsid w:val="00DE34F3"/>
    <w:rsid w:val="00DE352E"/>
    <w:rsid w:val="00DE36C8"/>
    <w:rsid w:val="00DE375C"/>
    <w:rsid w:val="00DE3778"/>
    <w:rsid w:val="00DE3885"/>
    <w:rsid w:val="00DE38A8"/>
    <w:rsid w:val="00DE3AF9"/>
    <w:rsid w:val="00DE3C49"/>
    <w:rsid w:val="00DE3C77"/>
    <w:rsid w:val="00DE3D7D"/>
    <w:rsid w:val="00DE3D7E"/>
    <w:rsid w:val="00DE3E27"/>
    <w:rsid w:val="00DE4076"/>
    <w:rsid w:val="00DE4205"/>
    <w:rsid w:val="00DE43A2"/>
    <w:rsid w:val="00DE43C4"/>
    <w:rsid w:val="00DE4603"/>
    <w:rsid w:val="00DE4662"/>
    <w:rsid w:val="00DE4679"/>
    <w:rsid w:val="00DE491E"/>
    <w:rsid w:val="00DE4DC8"/>
    <w:rsid w:val="00DE4F7E"/>
    <w:rsid w:val="00DE50BF"/>
    <w:rsid w:val="00DE525A"/>
    <w:rsid w:val="00DE56DC"/>
    <w:rsid w:val="00DE5969"/>
    <w:rsid w:val="00DE597E"/>
    <w:rsid w:val="00DE597F"/>
    <w:rsid w:val="00DE5A70"/>
    <w:rsid w:val="00DE5A7C"/>
    <w:rsid w:val="00DE5C0A"/>
    <w:rsid w:val="00DE5C56"/>
    <w:rsid w:val="00DE5D5E"/>
    <w:rsid w:val="00DE5EB1"/>
    <w:rsid w:val="00DE5F11"/>
    <w:rsid w:val="00DE6028"/>
    <w:rsid w:val="00DE63C9"/>
    <w:rsid w:val="00DE63E8"/>
    <w:rsid w:val="00DE641F"/>
    <w:rsid w:val="00DE66B8"/>
    <w:rsid w:val="00DE6855"/>
    <w:rsid w:val="00DE6869"/>
    <w:rsid w:val="00DE68ED"/>
    <w:rsid w:val="00DE69B7"/>
    <w:rsid w:val="00DE6DAC"/>
    <w:rsid w:val="00DE6E2A"/>
    <w:rsid w:val="00DE6F49"/>
    <w:rsid w:val="00DE6FD7"/>
    <w:rsid w:val="00DE6FFB"/>
    <w:rsid w:val="00DE70BF"/>
    <w:rsid w:val="00DE7108"/>
    <w:rsid w:val="00DE7259"/>
    <w:rsid w:val="00DE7323"/>
    <w:rsid w:val="00DE736B"/>
    <w:rsid w:val="00DE7407"/>
    <w:rsid w:val="00DE749E"/>
    <w:rsid w:val="00DE74FE"/>
    <w:rsid w:val="00DE7587"/>
    <w:rsid w:val="00DE7848"/>
    <w:rsid w:val="00DE7D4E"/>
    <w:rsid w:val="00DE7E39"/>
    <w:rsid w:val="00DE7E53"/>
    <w:rsid w:val="00DE7F98"/>
    <w:rsid w:val="00DF000D"/>
    <w:rsid w:val="00DF0281"/>
    <w:rsid w:val="00DF034B"/>
    <w:rsid w:val="00DF0536"/>
    <w:rsid w:val="00DF06E1"/>
    <w:rsid w:val="00DF0844"/>
    <w:rsid w:val="00DF08EE"/>
    <w:rsid w:val="00DF0950"/>
    <w:rsid w:val="00DF09C4"/>
    <w:rsid w:val="00DF0B64"/>
    <w:rsid w:val="00DF0C75"/>
    <w:rsid w:val="00DF1011"/>
    <w:rsid w:val="00DF1288"/>
    <w:rsid w:val="00DF12AB"/>
    <w:rsid w:val="00DF1397"/>
    <w:rsid w:val="00DF13F0"/>
    <w:rsid w:val="00DF1451"/>
    <w:rsid w:val="00DF1742"/>
    <w:rsid w:val="00DF17F1"/>
    <w:rsid w:val="00DF19F1"/>
    <w:rsid w:val="00DF1A0F"/>
    <w:rsid w:val="00DF1A30"/>
    <w:rsid w:val="00DF1BFC"/>
    <w:rsid w:val="00DF1D7B"/>
    <w:rsid w:val="00DF1F86"/>
    <w:rsid w:val="00DF22DA"/>
    <w:rsid w:val="00DF251C"/>
    <w:rsid w:val="00DF2537"/>
    <w:rsid w:val="00DF2559"/>
    <w:rsid w:val="00DF268D"/>
    <w:rsid w:val="00DF2AA8"/>
    <w:rsid w:val="00DF2ED4"/>
    <w:rsid w:val="00DF2EFA"/>
    <w:rsid w:val="00DF2F3C"/>
    <w:rsid w:val="00DF2FBF"/>
    <w:rsid w:val="00DF2FC6"/>
    <w:rsid w:val="00DF3146"/>
    <w:rsid w:val="00DF35E1"/>
    <w:rsid w:val="00DF3624"/>
    <w:rsid w:val="00DF36C0"/>
    <w:rsid w:val="00DF372E"/>
    <w:rsid w:val="00DF381A"/>
    <w:rsid w:val="00DF3909"/>
    <w:rsid w:val="00DF3BD9"/>
    <w:rsid w:val="00DF4176"/>
    <w:rsid w:val="00DF4308"/>
    <w:rsid w:val="00DF43BD"/>
    <w:rsid w:val="00DF44E7"/>
    <w:rsid w:val="00DF459C"/>
    <w:rsid w:val="00DF4881"/>
    <w:rsid w:val="00DF49A8"/>
    <w:rsid w:val="00DF4C79"/>
    <w:rsid w:val="00DF4D66"/>
    <w:rsid w:val="00DF5013"/>
    <w:rsid w:val="00DF515D"/>
    <w:rsid w:val="00DF51C8"/>
    <w:rsid w:val="00DF5343"/>
    <w:rsid w:val="00DF5516"/>
    <w:rsid w:val="00DF5703"/>
    <w:rsid w:val="00DF579C"/>
    <w:rsid w:val="00DF59A9"/>
    <w:rsid w:val="00DF59BF"/>
    <w:rsid w:val="00DF5B4B"/>
    <w:rsid w:val="00DF5D5E"/>
    <w:rsid w:val="00DF5EB5"/>
    <w:rsid w:val="00DF615C"/>
    <w:rsid w:val="00DF62A3"/>
    <w:rsid w:val="00DF6324"/>
    <w:rsid w:val="00DF63DB"/>
    <w:rsid w:val="00DF643F"/>
    <w:rsid w:val="00DF6450"/>
    <w:rsid w:val="00DF6CDC"/>
    <w:rsid w:val="00DF6E89"/>
    <w:rsid w:val="00DF6FA6"/>
    <w:rsid w:val="00DF7005"/>
    <w:rsid w:val="00DF707D"/>
    <w:rsid w:val="00DF70A1"/>
    <w:rsid w:val="00DF7137"/>
    <w:rsid w:val="00DF7156"/>
    <w:rsid w:val="00DF717F"/>
    <w:rsid w:val="00DF71FD"/>
    <w:rsid w:val="00DF7548"/>
    <w:rsid w:val="00DF77A3"/>
    <w:rsid w:val="00DF7926"/>
    <w:rsid w:val="00DF7956"/>
    <w:rsid w:val="00DF79E0"/>
    <w:rsid w:val="00DF7B10"/>
    <w:rsid w:val="00DF7BAE"/>
    <w:rsid w:val="00DF7C47"/>
    <w:rsid w:val="00DF7C65"/>
    <w:rsid w:val="00DF7F72"/>
    <w:rsid w:val="00DF7FBA"/>
    <w:rsid w:val="00DFEA94"/>
    <w:rsid w:val="00E00002"/>
    <w:rsid w:val="00E00156"/>
    <w:rsid w:val="00E0019C"/>
    <w:rsid w:val="00E001D9"/>
    <w:rsid w:val="00E005D7"/>
    <w:rsid w:val="00E00622"/>
    <w:rsid w:val="00E00B81"/>
    <w:rsid w:val="00E00D68"/>
    <w:rsid w:val="00E00EB1"/>
    <w:rsid w:val="00E00F95"/>
    <w:rsid w:val="00E012E4"/>
    <w:rsid w:val="00E01480"/>
    <w:rsid w:val="00E01552"/>
    <w:rsid w:val="00E01754"/>
    <w:rsid w:val="00E017CF"/>
    <w:rsid w:val="00E019D0"/>
    <w:rsid w:val="00E01ADF"/>
    <w:rsid w:val="00E01C47"/>
    <w:rsid w:val="00E01D40"/>
    <w:rsid w:val="00E01EF6"/>
    <w:rsid w:val="00E01F00"/>
    <w:rsid w:val="00E01FCE"/>
    <w:rsid w:val="00E02029"/>
    <w:rsid w:val="00E02141"/>
    <w:rsid w:val="00E021B7"/>
    <w:rsid w:val="00E022AB"/>
    <w:rsid w:val="00E02861"/>
    <w:rsid w:val="00E02903"/>
    <w:rsid w:val="00E02969"/>
    <w:rsid w:val="00E02C8F"/>
    <w:rsid w:val="00E03054"/>
    <w:rsid w:val="00E030D8"/>
    <w:rsid w:val="00E03180"/>
    <w:rsid w:val="00E03289"/>
    <w:rsid w:val="00E0331B"/>
    <w:rsid w:val="00E035D3"/>
    <w:rsid w:val="00E03879"/>
    <w:rsid w:val="00E038F2"/>
    <w:rsid w:val="00E03C01"/>
    <w:rsid w:val="00E03EAA"/>
    <w:rsid w:val="00E04151"/>
    <w:rsid w:val="00E0417E"/>
    <w:rsid w:val="00E043EC"/>
    <w:rsid w:val="00E04503"/>
    <w:rsid w:val="00E04718"/>
    <w:rsid w:val="00E04759"/>
    <w:rsid w:val="00E0481C"/>
    <w:rsid w:val="00E04947"/>
    <w:rsid w:val="00E04A7C"/>
    <w:rsid w:val="00E04B10"/>
    <w:rsid w:val="00E04BF7"/>
    <w:rsid w:val="00E051D1"/>
    <w:rsid w:val="00E0527C"/>
    <w:rsid w:val="00E05499"/>
    <w:rsid w:val="00E0573C"/>
    <w:rsid w:val="00E05840"/>
    <w:rsid w:val="00E058BA"/>
    <w:rsid w:val="00E058EF"/>
    <w:rsid w:val="00E05997"/>
    <w:rsid w:val="00E05A1E"/>
    <w:rsid w:val="00E05D66"/>
    <w:rsid w:val="00E05E3C"/>
    <w:rsid w:val="00E05FB7"/>
    <w:rsid w:val="00E06006"/>
    <w:rsid w:val="00E0625E"/>
    <w:rsid w:val="00E0652E"/>
    <w:rsid w:val="00E065C1"/>
    <w:rsid w:val="00E065D4"/>
    <w:rsid w:val="00E06A84"/>
    <w:rsid w:val="00E06BC3"/>
    <w:rsid w:val="00E06E80"/>
    <w:rsid w:val="00E0700F"/>
    <w:rsid w:val="00E07286"/>
    <w:rsid w:val="00E073BD"/>
    <w:rsid w:val="00E07528"/>
    <w:rsid w:val="00E07668"/>
    <w:rsid w:val="00E076C7"/>
    <w:rsid w:val="00E078D4"/>
    <w:rsid w:val="00E078D7"/>
    <w:rsid w:val="00E078DD"/>
    <w:rsid w:val="00E079B7"/>
    <w:rsid w:val="00E07CDC"/>
    <w:rsid w:val="00E07CE7"/>
    <w:rsid w:val="00E07DD9"/>
    <w:rsid w:val="00E07E78"/>
    <w:rsid w:val="00E07EE9"/>
    <w:rsid w:val="00E07F4B"/>
    <w:rsid w:val="00E1014E"/>
    <w:rsid w:val="00E102B4"/>
    <w:rsid w:val="00E10491"/>
    <w:rsid w:val="00E1054C"/>
    <w:rsid w:val="00E105FF"/>
    <w:rsid w:val="00E108F3"/>
    <w:rsid w:val="00E10BE2"/>
    <w:rsid w:val="00E10C1B"/>
    <w:rsid w:val="00E10D77"/>
    <w:rsid w:val="00E10F0B"/>
    <w:rsid w:val="00E110EE"/>
    <w:rsid w:val="00E1113F"/>
    <w:rsid w:val="00E11189"/>
    <w:rsid w:val="00E113D8"/>
    <w:rsid w:val="00E117CB"/>
    <w:rsid w:val="00E11C4B"/>
    <w:rsid w:val="00E11C52"/>
    <w:rsid w:val="00E11C8D"/>
    <w:rsid w:val="00E11CEB"/>
    <w:rsid w:val="00E12022"/>
    <w:rsid w:val="00E1241B"/>
    <w:rsid w:val="00E12457"/>
    <w:rsid w:val="00E124F6"/>
    <w:rsid w:val="00E126ED"/>
    <w:rsid w:val="00E129F4"/>
    <w:rsid w:val="00E12B3F"/>
    <w:rsid w:val="00E12B80"/>
    <w:rsid w:val="00E12BB9"/>
    <w:rsid w:val="00E12C95"/>
    <w:rsid w:val="00E12D04"/>
    <w:rsid w:val="00E12D8F"/>
    <w:rsid w:val="00E1303A"/>
    <w:rsid w:val="00E1310D"/>
    <w:rsid w:val="00E132AB"/>
    <w:rsid w:val="00E132CB"/>
    <w:rsid w:val="00E1343C"/>
    <w:rsid w:val="00E1343E"/>
    <w:rsid w:val="00E1344A"/>
    <w:rsid w:val="00E13486"/>
    <w:rsid w:val="00E13618"/>
    <w:rsid w:val="00E1367D"/>
    <w:rsid w:val="00E13686"/>
    <w:rsid w:val="00E1375A"/>
    <w:rsid w:val="00E13885"/>
    <w:rsid w:val="00E138B1"/>
    <w:rsid w:val="00E13975"/>
    <w:rsid w:val="00E139B0"/>
    <w:rsid w:val="00E13A8B"/>
    <w:rsid w:val="00E13AF2"/>
    <w:rsid w:val="00E13B9F"/>
    <w:rsid w:val="00E13E22"/>
    <w:rsid w:val="00E13ED3"/>
    <w:rsid w:val="00E13EE1"/>
    <w:rsid w:val="00E1419B"/>
    <w:rsid w:val="00E1423F"/>
    <w:rsid w:val="00E1426E"/>
    <w:rsid w:val="00E143AB"/>
    <w:rsid w:val="00E1453F"/>
    <w:rsid w:val="00E148A4"/>
    <w:rsid w:val="00E14AB4"/>
    <w:rsid w:val="00E14BBB"/>
    <w:rsid w:val="00E14C22"/>
    <w:rsid w:val="00E14CDC"/>
    <w:rsid w:val="00E14D44"/>
    <w:rsid w:val="00E15129"/>
    <w:rsid w:val="00E153D0"/>
    <w:rsid w:val="00E153EC"/>
    <w:rsid w:val="00E1541F"/>
    <w:rsid w:val="00E15441"/>
    <w:rsid w:val="00E15514"/>
    <w:rsid w:val="00E15706"/>
    <w:rsid w:val="00E15882"/>
    <w:rsid w:val="00E1594A"/>
    <w:rsid w:val="00E15AA9"/>
    <w:rsid w:val="00E15C3A"/>
    <w:rsid w:val="00E15CD1"/>
    <w:rsid w:val="00E15D11"/>
    <w:rsid w:val="00E15DFF"/>
    <w:rsid w:val="00E15E1B"/>
    <w:rsid w:val="00E15E4D"/>
    <w:rsid w:val="00E16027"/>
    <w:rsid w:val="00E1605C"/>
    <w:rsid w:val="00E160DD"/>
    <w:rsid w:val="00E16264"/>
    <w:rsid w:val="00E16365"/>
    <w:rsid w:val="00E1647E"/>
    <w:rsid w:val="00E165B3"/>
    <w:rsid w:val="00E166A2"/>
    <w:rsid w:val="00E166C4"/>
    <w:rsid w:val="00E166C5"/>
    <w:rsid w:val="00E16859"/>
    <w:rsid w:val="00E16916"/>
    <w:rsid w:val="00E16979"/>
    <w:rsid w:val="00E16AD4"/>
    <w:rsid w:val="00E16D4C"/>
    <w:rsid w:val="00E16DA1"/>
    <w:rsid w:val="00E16E9E"/>
    <w:rsid w:val="00E17065"/>
    <w:rsid w:val="00E170A1"/>
    <w:rsid w:val="00E1742F"/>
    <w:rsid w:val="00E17607"/>
    <w:rsid w:val="00E17700"/>
    <w:rsid w:val="00E177D3"/>
    <w:rsid w:val="00E1789A"/>
    <w:rsid w:val="00E17AB7"/>
    <w:rsid w:val="00E17AE8"/>
    <w:rsid w:val="00E17B9B"/>
    <w:rsid w:val="00E17C2F"/>
    <w:rsid w:val="00E17D3D"/>
    <w:rsid w:val="00E2004C"/>
    <w:rsid w:val="00E20319"/>
    <w:rsid w:val="00E20324"/>
    <w:rsid w:val="00E20334"/>
    <w:rsid w:val="00E20585"/>
    <w:rsid w:val="00E2087A"/>
    <w:rsid w:val="00E20981"/>
    <w:rsid w:val="00E209BB"/>
    <w:rsid w:val="00E20C4D"/>
    <w:rsid w:val="00E20D23"/>
    <w:rsid w:val="00E20D26"/>
    <w:rsid w:val="00E20DBD"/>
    <w:rsid w:val="00E20F0E"/>
    <w:rsid w:val="00E20FBE"/>
    <w:rsid w:val="00E210CD"/>
    <w:rsid w:val="00E21270"/>
    <w:rsid w:val="00E21517"/>
    <w:rsid w:val="00E21634"/>
    <w:rsid w:val="00E2170D"/>
    <w:rsid w:val="00E21784"/>
    <w:rsid w:val="00E21805"/>
    <w:rsid w:val="00E21BFE"/>
    <w:rsid w:val="00E21C5C"/>
    <w:rsid w:val="00E21E00"/>
    <w:rsid w:val="00E21EB9"/>
    <w:rsid w:val="00E21EC5"/>
    <w:rsid w:val="00E22049"/>
    <w:rsid w:val="00E22088"/>
    <w:rsid w:val="00E22401"/>
    <w:rsid w:val="00E22862"/>
    <w:rsid w:val="00E228E0"/>
    <w:rsid w:val="00E22973"/>
    <w:rsid w:val="00E2297E"/>
    <w:rsid w:val="00E22BAA"/>
    <w:rsid w:val="00E22DDD"/>
    <w:rsid w:val="00E22E6D"/>
    <w:rsid w:val="00E22F5E"/>
    <w:rsid w:val="00E22F8F"/>
    <w:rsid w:val="00E22FBC"/>
    <w:rsid w:val="00E230E7"/>
    <w:rsid w:val="00E23189"/>
    <w:rsid w:val="00E234DE"/>
    <w:rsid w:val="00E23506"/>
    <w:rsid w:val="00E236A0"/>
    <w:rsid w:val="00E237BE"/>
    <w:rsid w:val="00E23919"/>
    <w:rsid w:val="00E23954"/>
    <w:rsid w:val="00E239FF"/>
    <w:rsid w:val="00E23B73"/>
    <w:rsid w:val="00E23C0D"/>
    <w:rsid w:val="00E23CC5"/>
    <w:rsid w:val="00E23E2B"/>
    <w:rsid w:val="00E23E79"/>
    <w:rsid w:val="00E23F30"/>
    <w:rsid w:val="00E243E2"/>
    <w:rsid w:val="00E24410"/>
    <w:rsid w:val="00E244A5"/>
    <w:rsid w:val="00E244D2"/>
    <w:rsid w:val="00E246BF"/>
    <w:rsid w:val="00E248E6"/>
    <w:rsid w:val="00E24C33"/>
    <w:rsid w:val="00E24C60"/>
    <w:rsid w:val="00E24D86"/>
    <w:rsid w:val="00E24DF3"/>
    <w:rsid w:val="00E24E0E"/>
    <w:rsid w:val="00E24F98"/>
    <w:rsid w:val="00E2509A"/>
    <w:rsid w:val="00E25245"/>
    <w:rsid w:val="00E2532C"/>
    <w:rsid w:val="00E253D4"/>
    <w:rsid w:val="00E2555F"/>
    <w:rsid w:val="00E258F1"/>
    <w:rsid w:val="00E259A3"/>
    <w:rsid w:val="00E25A9D"/>
    <w:rsid w:val="00E25AB7"/>
    <w:rsid w:val="00E25B88"/>
    <w:rsid w:val="00E25BC0"/>
    <w:rsid w:val="00E25F6D"/>
    <w:rsid w:val="00E25F8F"/>
    <w:rsid w:val="00E2603A"/>
    <w:rsid w:val="00E2633C"/>
    <w:rsid w:val="00E26442"/>
    <w:rsid w:val="00E26652"/>
    <w:rsid w:val="00E267E0"/>
    <w:rsid w:val="00E26842"/>
    <w:rsid w:val="00E26AE5"/>
    <w:rsid w:val="00E26BA1"/>
    <w:rsid w:val="00E26C05"/>
    <w:rsid w:val="00E26C4C"/>
    <w:rsid w:val="00E26C52"/>
    <w:rsid w:val="00E26D46"/>
    <w:rsid w:val="00E26E2C"/>
    <w:rsid w:val="00E2705A"/>
    <w:rsid w:val="00E274C9"/>
    <w:rsid w:val="00E276CF"/>
    <w:rsid w:val="00E276E8"/>
    <w:rsid w:val="00E27750"/>
    <w:rsid w:val="00E27A1F"/>
    <w:rsid w:val="00E27BA3"/>
    <w:rsid w:val="00E30012"/>
    <w:rsid w:val="00E30015"/>
    <w:rsid w:val="00E300B9"/>
    <w:rsid w:val="00E300E3"/>
    <w:rsid w:val="00E30165"/>
    <w:rsid w:val="00E301A3"/>
    <w:rsid w:val="00E30212"/>
    <w:rsid w:val="00E303FE"/>
    <w:rsid w:val="00E305BF"/>
    <w:rsid w:val="00E305D6"/>
    <w:rsid w:val="00E306A4"/>
    <w:rsid w:val="00E30725"/>
    <w:rsid w:val="00E308E8"/>
    <w:rsid w:val="00E3097F"/>
    <w:rsid w:val="00E30B1B"/>
    <w:rsid w:val="00E30C19"/>
    <w:rsid w:val="00E30EA8"/>
    <w:rsid w:val="00E30F16"/>
    <w:rsid w:val="00E310CF"/>
    <w:rsid w:val="00E31175"/>
    <w:rsid w:val="00E311F5"/>
    <w:rsid w:val="00E31339"/>
    <w:rsid w:val="00E313C5"/>
    <w:rsid w:val="00E31455"/>
    <w:rsid w:val="00E314BE"/>
    <w:rsid w:val="00E315D2"/>
    <w:rsid w:val="00E31612"/>
    <w:rsid w:val="00E31644"/>
    <w:rsid w:val="00E3170B"/>
    <w:rsid w:val="00E31805"/>
    <w:rsid w:val="00E3198E"/>
    <w:rsid w:val="00E31AD3"/>
    <w:rsid w:val="00E31C1B"/>
    <w:rsid w:val="00E31FEB"/>
    <w:rsid w:val="00E32091"/>
    <w:rsid w:val="00E32254"/>
    <w:rsid w:val="00E3253C"/>
    <w:rsid w:val="00E325DF"/>
    <w:rsid w:val="00E32903"/>
    <w:rsid w:val="00E329A5"/>
    <w:rsid w:val="00E329A8"/>
    <w:rsid w:val="00E32CEB"/>
    <w:rsid w:val="00E32D66"/>
    <w:rsid w:val="00E32D8B"/>
    <w:rsid w:val="00E32E70"/>
    <w:rsid w:val="00E32F6D"/>
    <w:rsid w:val="00E32F82"/>
    <w:rsid w:val="00E330B0"/>
    <w:rsid w:val="00E33693"/>
    <w:rsid w:val="00E337EF"/>
    <w:rsid w:val="00E33889"/>
    <w:rsid w:val="00E33911"/>
    <w:rsid w:val="00E3391A"/>
    <w:rsid w:val="00E33CD9"/>
    <w:rsid w:val="00E33DCE"/>
    <w:rsid w:val="00E33E23"/>
    <w:rsid w:val="00E33F23"/>
    <w:rsid w:val="00E34084"/>
    <w:rsid w:val="00E3428E"/>
    <w:rsid w:val="00E342D6"/>
    <w:rsid w:val="00E34315"/>
    <w:rsid w:val="00E343E4"/>
    <w:rsid w:val="00E34A3E"/>
    <w:rsid w:val="00E34B5D"/>
    <w:rsid w:val="00E34E34"/>
    <w:rsid w:val="00E34E3B"/>
    <w:rsid w:val="00E35083"/>
    <w:rsid w:val="00E35138"/>
    <w:rsid w:val="00E3514B"/>
    <w:rsid w:val="00E3522B"/>
    <w:rsid w:val="00E35499"/>
    <w:rsid w:val="00E354F0"/>
    <w:rsid w:val="00E35714"/>
    <w:rsid w:val="00E358BC"/>
    <w:rsid w:val="00E358F2"/>
    <w:rsid w:val="00E35C33"/>
    <w:rsid w:val="00E35C41"/>
    <w:rsid w:val="00E35D98"/>
    <w:rsid w:val="00E3603F"/>
    <w:rsid w:val="00E3622A"/>
    <w:rsid w:val="00E3639E"/>
    <w:rsid w:val="00E363C8"/>
    <w:rsid w:val="00E36744"/>
    <w:rsid w:val="00E3687C"/>
    <w:rsid w:val="00E36A23"/>
    <w:rsid w:val="00E36DDD"/>
    <w:rsid w:val="00E3726B"/>
    <w:rsid w:val="00E37271"/>
    <w:rsid w:val="00E37304"/>
    <w:rsid w:val="00E37319"/>
    <w:rsid w:val="00E37324"/>
    <w:rsid w:val="00E375C3"/>
    <w:rsid w:val="00E3772C"/>
    <w:rsid w:val="00E379C0"/>
    <w:rsid w:val="00E37C36"/>
    <w:rsid w:val="00E37CAB"/>
    <w:rsid w:val="00E37D27"/>
    <w:rsid w:val="00E37E38"/>
    <w:rsid w:val="00E37E41"/>
    <w:rsid w:val="00E37E7C"/>
    <w:rsid w:val="00E37EBF"/>
    <w:rsid w:val="00E37EFF"/>
    <w:rsid w:val="00E37FD0"/>
    <w:rsid w:val="00E40249"/>
    <w:rsid w:val="00E403A5"/>
    <w:rsid w:val="00E40516"/>
    <w:rsid w:val="00E4091A"/>
    <w:rsid w:val="00E40C93"/>
    <w:rsid w:val="00E40D40"/>
    <w:rsid w:val="00E40E32"/>
    <w:rsid w:val="00E40F31"/>
    <w:rsid w:val="00E4102A"/>
    <w:rsid w:val="00E410B5"/>
    <w:rsid w:val="00E410E5"/>
    <w:rsid w:val="00E412C0"/>
    <w:rsid w:val="00E414A9"/>
    <w:rsid w:val="00E41698"/>
    <w:rsid w:val="00E41801"/>
    <w:rsid w:val="00E4193D"/>
    <w:rsid w:val="00E41CAC"/>
    <w:rsid w:val="00E41F23"/>
    <w:rsid w:val="00E42544"/>
    <w:rsid w:val="00E42762"/>
    <w:rsid w:val="00E427BB"/>
    <w:rsid w:val="00E427F5"/>
    <w:rsid w:val="00E42B73"/>
    <w:rsid w:val="00E42BD3"/>
    <w:rsid w:val="00E42C98"/>
    <w:rsid w:val="00E42CFD"/>
    <w:rsid w:val="00E42D39"/>
    <w:rsid w:val="00E42FB6"/>
    <w:rsid w:val="00E43551"/>
    <w:rsid w:val="00E43621"/>
    <w:rsid w:val="00E43659"/>
    <w:rsid w:val="00E4367C"/>
    <w:rsid w:val="00E436CA"/>
    <w:rsid w:val="00E43791"/>
    <w:rsid w:val="00E438A8"/>
    <w:rsid w:val="00E43B2A"/>
    <w:rsid w:val="00E43C7E"/>
    <w:rsid w:val="00E43DA4"/>
    <w:rsid w:val="00E43E49"/>
    <w:rsid w:val="00E43F8B"/>
    <w:rsid w:val="00E43FD7"/>
    <w:rsid w:val="00E4404F"/>
    <w:rsid w:val="00E44451"/>
    <w:rsid w:val="00E4446C"/>
    <w:rsid w:val="00E4449E"/>
    <w:rsid w:val="00E444CA"/>
    <w:rsid w:val="00E44513"/>
    <w:rsid w:val="00E44583"/>
    <w:rsid w:val="00E446BC"/>
    <w:rsid w:val="00E44852"/>
    <w:rsid w:val="00E449B7"/>
    <w:rsid w:val="00E44B43"/>
    <w:rsid w:val="00E44D35"/>
    <w:rsid w:val="00E44E81"/>
    <w:rsid w:val="00E44FA8"/>
    <w:rsid w:val="00E44FB3"/>
    <w:rsid w:val="00E44FBB"/>
    <w:rsid w:val="00E44FC6"/>
    <w:rsid w:val="00E450E5"/>
    <w:rsid w:val="00E4514B"/>
    <w:rsid w:val="00E45196"/>
    <w:rsid w:val="00E4529F"/>
    <w:rsid w:val="00E45409"/>
    <w:rsid w:val="00E454A8"/>
    <w:rsid w:val="00E4550C"/>
    <w:rsid w:val="00E456D3"/>
    <w:rsid w:val="00E457D9"/>
    <w:rsid w:val="00E458B4"/>
    <w:rsid w:val="00E45C3F"/>
    <w:rsid w:val="00E45CD5"/>
    <w:rsid w:val="00E45D12"/>
    <w:rsid w:val="00E45D77"/>
    <w:rsid w:val="00E45FC6"/>
    <w:rsid w:val="00E45FEA"/>
    <w:rsid w:val="00E46486"/>
    <w:rsid w:val="00E464E4"/>
    <w:rsid w:val="00E468D3"/>
    <w:rsid w:val="00E46966"/>
    <w:rsid w:val="00E46B85"/>
    <w:rsid w:val="00E46C65"/>
    <w:rsid w:val="00E46C80"/>
    <w:rsid w:val="00E46EB3"/>
    <w:rsid w:val="00E46F31"/>
    <w:rsid w:val="00E47099"/>
    <w:rsid w:val="00E4715B"/>
    <w:rsid w:val="00E4720F"/>
    <w:rsid w:val="00E4741C"/>
    <w:rsid w:val="00E474AB"/>
    <w:rsid w:val="00E4750B"/>
    <w:rsid w:val="00E4761D"/>
    <w:rsid w:val="00E47A40"/>
    <w:rsid w:val="00E47B1F"/>
    <w:rsid w:val="00E47C03"/>
    <w:rsid w:val="00E47D80"/>
    <w:rsid w:val="00E47E9C"/>
    <w:rsid w:val="00E47FCE"/>
    <w:rsid w:val="00E506E7"/>
    <w:rsid w:val="00E50717"/>
    <w:rsid w:val="00E5073E"/>
    <w:rsid w:val="00E507DF"/>
    <w:rsid w:val="00E507E2"/>
    <w:rsid w:val="00E5080A"/>
    <w:rsid w:val="00E508DA"/>
    <w:rsid w:val="00E5091A"/>
    <w:rsid w:val="00E50CF7"/>
    <w:rsid w:val="00E50DCD"/>
    <w:rsid w:val="00E50E2C"/>
    <w:rsid w:val="00E51537"/>
    <w:rsid w:val="00E5155D"/>
    <w:rsid w:val="00E51819"/>
    <w:rsid w:val="00E51AA9"/>
    <w:rsid w:val="00E524A7"/>
    <w:rsid w:val="00E525CB"/>
    <w:rsid w:val="00E5272D"/>
    <w:rsid w:val="00E52A5E"/>
    <w:rsid w:val="00E52B34"/>
    <w:rsid w:val="00E52B7E"/>
    <w:rsid w:val="00E52C2F"/>
    <w:rsid w:val="00E52E73"/>
    <w:rsid w:val="00E52E93"/>
    <w:rsid w:val="00E53336"/>
    <w:rsid w:val="00E5335D"/>
    <w:rsid w:val="00E53601"/>
    <w:rsid w:val="00E5363F"/>
    <w:rsid w:val="00E53851"/>
    <w:rsid w:val="00E53869"/>
    <w:rsid w:val="00E539DC"/>
    <w:rsid w:val="00E53B08"/>
    <w:rsid w:val="00E53BB0"/>
    <w:rsid w:val="00E53F1A"/>
    <w:rsid w:val="00E53FDB"/>
    <w:rsid w:val="00E541BD"/>
    <w:rsid w:val="00E542D8"/>
    <w:rsid w:val="00E54437"/>
    <w:rsid w:val="00E54607"/>
    <w:rsid w:val="00E54A4D"/>
    <w:rsid w:val="00E54AE9"/>
    <w:rsid w:val="00E54FCC"/>
    <w:rsid w:val="00E54FD3"/>
    <w:rsid w:val="00E55126"/>
    <w:rsid w:val="00E5523E"/>
    <w:rsid w:val="00E552E7"/>
    <w:rsid w:val="00E55342"/>
    <w:rsid w:val="00E55494"/>
    <w:rsid w:val="00E5560B"/>
    <w:rsid w:val="00E556A3"/>
    <w:rsid w:val="00E556D1"/>
    <w:rsid w:val="00E55991"/>
    <w:rsid w:val="00E55A8F"/>
    <w:rsid w:val="00E55C4D"/>
    <w:rsid w:val="00E55D7E"/>
    <w:rsid w:val="00E55E4A"/>
    <w:rsid w:val="00E56238"/>
    <w:rsid w:val="00E563CB"/>
    <w:rsid w:val="00E56556"/>
    <w:rsid w:val="00E56964"/>
    <w:rsid w:val="00E5699D"/>
    <w:rsid w:val="00E56AE8"/>
    <w:rsid w:val="00E56D3A"/>
    <w:rsid w:val="00E56E14"/>
    <w:rsid w:val="00E56E4D"/>
    <w:rsid w:val="00E56E77"/>
    <w:rsid w:val="00E56EC7"/>
    <w:rsid w:val="00E56F11"/>
    <w:rsid w:val="00E56F8A"/>
    <w:rsid w:val="00E56FB7"/>
    <w:rsid w:val="00E570BD"/>
    <w:rsid w:val="00E5722C"/>
    <w:rsid w:val="00E57343"/>
    <w:rsid w:val="00E57415"/>
    <w:rsid w:val="00E57436"/>
    <w:rsid w:val="00E57449"/>
    <w:rsid w:val="00E575D1"/>
    <w:rsid w:val="00E5783C"/>
    <w:rsid w:val="00E57841"/>
    <w:rsid w:val="00E57893"/>
    <w:rsid w:val="00E57B8C"/>
    <w:rsid w:val="00E57CAE"/>
    <w:rsid w:val="00E57D65"/>
    <w:rsid w:val="00E57D9B"/>
    <w:rsid w:val="00E57F9B"/>
    <w:rsid w:val="00E57FFA"/>
    <w:rsid w:val="00E60215"/>
    <w:rsid w:val="00E60246"/>
    <w:rsid w:val="00E60271"/>
    <w:rsid w:val="00E6037B"/>
    <w:rsid w:val="00E6044B"/>
    <w:rsid w:val="00E6057F"/>
    <w:rsid w:val="00E605BA"/>
    <w:rsid w:val="00E60639"/>
    <w:rsid w:val="00E60641"/>
    <w:rsid w:val="00E607A2"/>
    <w:rsid w:val="00E60801"/>
    <w:rsid w:val="00E60832"/>
    <w:rsid w:val="00E6083C"/>
    <w:rsid w:val="00E60CBD"/>
    <w:rsid w:val="00E60CFA"/>
    <w:rsid w:val="00E60D7F"/>
    <w:rsid w:val="00E60FE9"/>
    <w:rsid w:val="00E61179"/>
    <w:rsid w:val="00E61483"/>
    <w:rsid w:val="00E615C2"/>
    <w:rsid w:val="00E61753"/>
    <w:rsid w:val="00E61846"/>
    <w:rsid w:val="00E6185C"/>
    <w:rsid w:val="00E618DE"/>
    <w:rsid w:val="00E6192B"/>
    <w:rsid w:val="00E61986"/>
    <w:rsid w:val="00E61C77"/>
    <w:rsid w:val="00E61CE8"/>
    <w:rsid w:val="00E61DB8"/>
    <w:rsid w:val="00E62A7C"/>
    <w:rsid w:val="00E62D0D"/>
    <w:rsid w:val="00E62E91"/>
    <w:rsid w:val="00E62F44"/>
    <w:rsid w:val="00E6304F"/>
    <w:rsid w:val="00E6352A"/>
    <w:rsid w:val="00E636B7"/>
    <w:rsid w:val="00E6398A"/>
    <w:rsid w:val="00E63CDF"/>
    <w:rsid w:val="00E63FE0"/>
    <w:rsid w:val="00E6402B"/>
    <w:rsid w:val="00E6419C"/>
    <w:rsid w:val="00E643DE"/>
    <w:rsid w:val="00E6446E"/>
    <w:rsid w:val="00E64570"/>
    <w:rsid w:val="00E6494E"/>
    <w:rsid w:val="00E64B24"/>
    <w:rsid w:val="00E64B3A"/>
    <w:rsid w:val="00E64CF3"/>
    <w:rsid w:val="00E64D6B"/>
    <w:rsid w:val="00E64E3B"/>
    <w:rsid w:val="00E64F45"/>
    <w:rsid w:val="00E651C2"/>
    <w:rsid w:val="00E65313"/>
    <w:rsid w:val="00E655C3"/>
    <w:rsid w:val="00E65625"/>
    <w:rsid w:val="00E656C5"/>
    <w:rsid w:val="00E659D0"/>
    <w:rsid w:val="00E65C36"/>
    <w:rsid w:val="00E65DE1"/>
    <w:rsid w:val="00E65E04"/>
    <w:rsid w:val="00E65E05"/>
    <w:rsid w:val="00E65E31"/>
    <w:rsid w:val="00E65E58"/>
    <w:rsid w:val="00E65E85"/>
    <w:rsid w:val="00E6601A"/>
    <w:rsid w:val="00E66032"/>
    <w:rsid w:val="00E660AB"/>
    <w:rsid w:val="00E663D0"/>
    <w:rsid w:val="00E66475"/>
    <w:rsid w:val="00E666F1"/>
    <w:rsid w:val="00E66B5E"/>
    <w:rsid w:val="00E66C7B"/>
    <w:rsid w:val="00E66CB9"/>
    <w:rsid w:val="00E66D8D"/>
    <w:rsid w:val="00E66FA4"/>
    <w:rsid w:val="00E6712E"/>
    <w:rsid w:val="00E67148"/>
    <w:rsid w:val="00E67161"/>
    <w:rsid w:val="00E6753C"/>
    <w:rsid w:val="00E677C0"/>
    <w:rsid w:val="00E67B05"/>
    <w:rsid w:val="00E67E48"/>
    <w:rsid w:val="00E67EDF"/>
    <w:rsid w:val="00E67FBF"/>
    <w:rsid w:val="00E7000C"/>
    <w:rsid w:val="00E700CA"/>
    <w:rsid w:val="00E7014E"/>
    <w:rsid w:val="00E70164"/>
    <w:rsid w:val="00E70351"/>
    <w:rsid w:val="00E70563"/>
    <w:rsid w:val="00E70642"/>
    <w:rsid w:val="00E7070D"/>
    <w:rsid w:val="00E7078D"/>
    <w:rsid w:val="00E7098C"/>
    <w:rsid w:val="00E70BA1"/>
    <w:rsid w:val="00E7108C"/>
    <w:rsid w:val="00E710B8"/>
    <w:rsid w:val="00E7137F"/>
    <w:rsid w:val="00E7142B"/>
    <w:rsid w:val="00E714B4"/>
    <w:rsid w:val="00E714E8"/>
    <w:rsid w:val="00E71644"/>
    <w:rsid w:val="00E71709"/>
    <w:rsid w:val="00E71763"/>
    <w:rsid w:val="00E71823"/>
    <w:rsid w:val="00E719D4"/>
    <w:rsid w:val="00E71A39"/>
    <w:rsid w:val="00E71B8D"/>
    <w:rsid w:val="00E71BA2"/>
    <w:rsid w:val="00E71D7B"/>
    <w:rsid w:val="00E71D90"/>
    <w:rsid w:val="00E71E80"/>
    <w:rsid w:val="00E71EF3"/>
    <w:rsid w:val="00E720E8"/>
    <w:rsid w:val="00E721ED"/>
    <w:rsid w:val="00E72263"/>
    <w:rsid w:val="00E722C5"/>
    <w:rsid w:val="00E7240E"/>
    <w:rsid w:val="00E7273B"/>
    <w:rsid w:val="00E727D2"/>
    <w:rsid w:val="00E7294B"/>
    <w:rsid w:val="00E72A4B"/>
    <w:rsid w:val="00E72C04"/>
    <w:rsid w:val="00E73175"/>
    <w:rsid w:val="00E731BA"/>
    <w:rsid w:val="00E73314"/>
    <w:rsid w:val="00E7340D"/>
    <w:rsid w:val="00E7348B"/>
    <w:rsid w:val="00E7358C"/>
    <w:rsid w:val="00E73625"/>
    <w:rsid w:val="00E73714"/>
    <w:rsid w:val="00E73774"/>
    <w:rsid w:val="00E738AA"/>
    <w:rsid w:val="00E739A3"/>
    <w:rsid w:val="00E73BBC"/>
    <w:rsid w:val="00E73E29"/>
    <w:rsid w:val="00E73E61"/>
    <w:rsid w:val="00E74104"/>
    <w:rsid w:val="00E742F5"/>
    <w:rsid w:val="00E744E7"/>
    <w:rsid w:val="00E74572"/>
    <w:rsid w:val="00E74625"/>
    <w:rsid w:val="00E74665"/>
    <w:rsid w:val="00E74A68"/>
    <w:rsid w:val="00E74D26"/>
    <w:rsid w:val="00E74E2C"/>
    <w:rsid w:val="00E7520D"/>
    <w:rsid w:val="00E752AB"/>
    <w:rsid w:val="00E753B7"/>
    <w:rsid w:val="00E754C0"/>
    <w:rsid w:val="00E7552B"/>
    <w:rsid w:val="00E75546"/>
    <w:rsid w:val="00E75607"/>
    <w:rsid w:val="00E756DC"/>
    <w:rsid w:val="00E757B3"/>
    <w:rsid w:val="00E75873"/>
    <w:rsid w:val="00E7587D"/>
    <w:rsid w:val="00E758A3"/>
    <w:rsid w:val="00E75B1A"/>
    <w:rsid w:val="00E75BA7"/>
    <w:rsid w:val="00E75CCC"/>
    <w:rsid w:val="00E75D5B"/>
    <w:rsid w:val="00E75F42"/>
    <w:rsid w:val="00E75FBD"/>
    <w:rsid w:val="00E7620C"/>
    <w:rsid w:val="00E76320"/>
    <w:rsid w:val="00E764AC"/>
    <w:rsid w:val="00E76645"/>
    <w:rsid w:val="00E7664A"/>
    <w:rsid w:val="00E767E6"/>
    <w:rsid w:val="00E769B6"/>
    <w:rsid w:val="00E769C8"/>
    <w:rsid w:val="00E76C0D"/>
    <w:rsid w:val="00E76C57"/>
    <w:rsid w:val="00E76CC2"/>
    <w:rsid w:val="00E76FA7"/>
    <w:rsid w:val="00E77042"/>
    <w:rsid w:val="00E771CB"/>
    <w:rsid w:val="00E773C6"/>
    <w:rsid w:val="00E776E6"/>
    <w:rsid w:val="00E777BE"/>
    <w:rsid w:val="00E77AC6"/>
    <w:rsid w:val="00E77AD1"/>
    <w:rsid w:val="00E77CF1"/>
    <w:rsid w:val="00E77D5A"/>
    <w:rsid w:val="00E77D66"/>
    <w:rsid w:val="00E77E16"/>
    <w:rsid w:val="00E8007A"/>
    <w:rsid w:val="00E8008F"/>
    <w:rsid w:val="00E80117"/>
    <w:rsid w:val="00E8017A"/>
    <w:rsid w:val="00E802A7"/>
    <w:rsid w:val="00E8036F"/>
    <w:rsid w:val="00E80572"/>
    <w:rsid w:val="00E80578"/>
    <w:rsid w:val="00E806E1"/>
    <w:rsid w:val="00E8070B"/>
    <w:rsid w:val="00E8071C"/>
    <w:rsid w:val="00E80725"/>
    <w:rsid w:val="00E80727"/>
    <w:rsid w:val="00E80735"/>
    <w:rsid w:val="00E809EA"/>
    <w:rsid w:val="00E80AA2"/>
    <w:rsid w:val="00E80B0C"/>
    <w:rsid w:val="00E80C54"/>
    <w:rsid w:val="00E80D7E"/>
    <w:rsid w:val="00E80F2D"/>
    <w:rsid w:val="00E80F4B"/>
    <w:rsid w:val="00E81602"/>
    <w:rsid w:val="00E816BD"/>
    <w:rsid w:val="00E817E3"/>
    <w:rsid w:val="00E817FD"/>
    <w:rsid w:val="00E81864"/>
    <w:rsid w:val="00E8187B"/>
    <w:rsid w:val="00E81964"/>
    <w:rsid w:val="00E819F5"/>
    <w:rsid w:val="00E81AB9"/>
    <w:rsid w:val="00E81B74"/>
    <w:rsid w:val="00E81E51"/>
    <w:rsid w:val="00E81E63"/>
    <w:rsid w:val="00E81EE5"/>
    <w:rsid w:val="00E81FC2"/>
    <w:rsid w:val="00E82343"/>
    <w:rsid w:val="00E82344"/>
    <w:rsid w:val="00E823EA"/>
    <w:rsid w:val="00E82538"/>
    <w:rsid w:val="00E82546"/>
    <w:rsid w:val="00E82688"/>
    <w:rsid w:val="00E82740"/>
    <w:rsid w:val="00E8275A"/>
    <w:rsid w:val="00E82920"/>
    <w:rsid w:val="00E82BC9"/>
    <w:rsid w:val="00E82C0D"/>
    <w:rsid w:val="00E82CE9"/>
    <w:rsid w:val="00E82ECC"/>
    <w:rsid w:val="00E82EFA"/>
    <w:rsid w:val="00E82F7C"/>
    <w:rsid w:val="00E83166"/>
    <w:rsid w:val="00E83290"/>
    <w:rsid w:val="00E83391"/>
    <w:rsid w:val="00E833A7"/>
    <w:rsid w:val="00E83461"/>
    <w:rsid w:val="00E83574"/>
    <w:rsid w:val="00E836A6"/>
    <w:rsid w:val="00E83968"/>
    <w:rsid w:val="00E83C0A"/>
    <w:rsid w:val="00E83C14"/>
    <w:rsid w:val="00E83C70"/>
    <w:rsid w:val="00E83C79"/>
    <w:rsid w:val="00E83D01"/>
    <w:rsid w:val="00E83D7F"/>
    <w:rsid w:val="00E83DC8"/>
    <w:rsid w:val="00E84039"/>
    <w:rsid w:val="00E84162"/>
    <w:rsid w:val="00E841B9"/>
    <w:rsid w:val="00E8422D"/>
    <w:rsid w:val="00E8434B"/>
    <w:rsid w:val="00E843FB"/>
    <w:rsid w:val="00E84529"/>
    <w:rsid w:val="00E846D8"/>
    <w:rsid w:val="00E84831"/>
    <w:rsid w:val="00E84A36"/>
    <w:rsid w:val="00E84B92"/>
    <w:rsid w:val="00E84F78"/>
    <w:rsid w:val="00E85110"/>
    <w:rsid w:val="00E851D0"/>
    <w:rsid w:val="00E852DE"/>
    <w:rsid w:val="00E853B6"/>
    <w:rsid w:val="00E8561D"/>
    <w:rsid w:val="00E85B30"/>
    <w:rsid w:val="00E85CA7"/>
    <w:rsid w:val="00E85D34"/>
    <w:rsid w:val="00E85D5B"/>
    <w:rsid w:val="00E85D61"/>
    <w:rsid w:val="00E85DF6"/>
    <w:rsid w:val="00E85F88"/>
    <w:rsid w:val="00E86142"/>
    <w:rsid w:val="00E861BF"/>
    <w:rsid w:val="00E86459"/>
    <w:rsid w:val="00E86554"/>
    <w:rsid w:val="00E86BB4"/>
    <w:rsid w:val="00E86D8E"/>
    <w:rsid w:val="00E86DC3"/>
    <w:rsid w:val="00E86FCD"/>
    <w:rsid w:val="00E8711A"/>
    <w:rsid w:val="00E87195"/>
    <w:rsid w:val="00E871C4"/>
    <w:rsid w:val="00E8720F"/>
    <w:rsid w:val="00E872C3"/>
    <w:rsid w:val="00E874B4"/>
    <w:rsid w:val="00E87674"/>
    <w:rsid w:val="00E87703"/>
    <w:rsid w:val="00E87737"/>
    <w:rsid w:val="00E879BE"/>
    <w:rsid w:val="00E87D6B"/>
    <w:rsid w:val="00E8BDE7"/>
    <w:rsid w:val="00E9018B"/>
    <w:rsid w:val="00E9019B"/>
    <w:rsid w:val="00E90259"/>
    <w:rsid w:val="00E903B5"/>
    <w:rsid w:val="00E9059E"/>
    <w:rsid w:val="00E907E1"/>
    <w:rsid w:val="00E9093E"/>
    <w:rsid w:val="00E90AB6"/>
    <w:rsid w:val="00E90AF1"/>
    <w:rsid w:val="00E90E58"/>
    <w:rsid w:val="00E9113B"/>
    <w:rsid w:val="00E91165"/>
    <w:rsid w:val="00E9150B"/>
    <w:rsid w:val="00E9159C"/>
    <w:rsid w:val="00E916D1"/>
    <w:rsid w:val="00E91937"/>
    <w:rsid w:val="00E9196E"/>
    <w:rsid w:val="00E919BE"/>
    <w:rsid w:val="00E91AC1"/>
    <w:rsid w:val="00E91C79"/>
    <w:rsid w:val="00E91D00"/>
    <w:rsid w:val="00E926BB"/>
    <w:rsid w:val="00E9283A"/>
    <w:rsid w:val="00E9284A"/>
    <w:rsid w:val="00E92867"/>
    <w:rsid w:val="00E92952"/>
    <w:rsid w:val="00E92A27"/>
    <w:rsid w:val="00E92B85"/>
    <w:rsid w:val="00E92B98"/>
    <w:rsid w:val="00E92BDA"/>
    <w:rsid w:val="00E92CBA"/>
    <w:rsid w:val="00E92D97"/>
    <w:rsid w:val="00E9313E"/>
    <w:rsid w:val="00E9339D"/>
    <w:rsid w:val="00E93B78"/>
    <w:rsid w:val="00E93B79"/>
    <w:rsid w:val="00E93C15"/>
    <w:rsid w:val="00E93C7A"/>
    <w:rsid w:val="00E93DFD"/>
    <w:rsid w:val="00E93E9F"/>
    <w:rsid w:val="00E94051"/>
    <w:rsid w:val="00E943D4"/>
    <w:rsid w:val="00E9441F"/>
    <w:rsid w:val="00E948F0"/>
    <w:rsid w:val="00E94AA6"/>
    <w:rsid w:val="00E94B96"/>
    <w:rsid w:val="00E94F92"/>
    <w:rsid w:val="00E94FD2"/>
    <w:rsid w:val="00E94FEF"/>
    <w:rsid w:val="00E950FE"/>
    <w:rsid w:val="00E952C8"/>
    <w:rsid w:val="00E95338"/>
    <w:rsid w:val="00E9537D"/>
    <w:rsid w:val="00E955C6"/>
    <w:rsid w:val="00E95957"/>
    <w:rsid w:val="00E95D0B"/>
    <w:rsid w:val="00E95D25"/>
    <w:rsid w:val="00E95DD6"/>
    <w:rsid w:val="00E95E82"/>
    <w:rsid w:val="00E95EDF"/>
    <w:rsid w:val="00E95F36"/>
    <w:rsid w:val="00E96046"/>
    <w:rsid w:val="00E960B7"/>
    <w:rsid w:val="00E964F7"/>
    <w:rsid w:val="00E965B8"/>
    <w:rsid w:val="00E965E7"/>
    <w:rsid w:val="00E966D5"/>
    <w:rsid w:val="00E968E9"/>
    <w:rsid w:val="00E96AAB"/>
    <w:rsid w:val="00E96AF3"/>
    <w:rsid w:val="00E96CEA"/>
    <w:rsid w:val="00E96D9C"/>
    <w:rsid w:val="00E97021"/>
    <w:rsid w:val="00E97135"/>
    <w:rsid w:val="00E97222"/>
    <w:rsid w:val="00E97252"/>
    <w:rsid w:val="00E9735E"/>
    <w:rsid w:val="00E97397"/>
    <w:rsid w:val="00E97483"/>
    <w:rsid w:val="00E9768E"/>
    <w:rsid w:val="00E97724"/>
    <w:rsid w:val="00E97737"/>
    <w:rsid w:val="00E97757"/>
    <w:rsid w:val="00E9784E"/>
    <w:rsid w:val="00E978AA"/>
    <w:rsid w:val="00E97A61"/>
    <w:rsid w:val="00E97A7D"/>
    <w:rsid w:val="00E97AFB"/>
    <w:rsid w:val="00E97B05"/>
    <w:rsid w:val="00E97BBE"/>
    <w:rsid w:val="00E97D29"/>
    <w:rsid w:val="00E97E32"/>
    <w:rsid w:val="00E97E60"/>
    <w:rsid w:val="00EA01DC"/>
    <w:rsid w:val="00EA026F"/>
    <w:rsid w:val="00EA03CC"/>
    <w:rsid w:val="00EA0662"/>
    <w:rsid w:val="00EA0689"/>
    <w:rsid w:val="00EA08DD"/>
    <w:rsid w:val="00EA0A07"/>
    <w:rsid w:val="00EA0AD3"/>
    <w:rsid w:val="00EA0BC3"/>
    <w:rsid w:val="00EA0C6F"/>
    <w:rsid w:val="00EA0CE6"/>
    <w:rsid w:val="00EA0E35"/>
    <w:rsid w:val="00EA0FB4"/>
    <w:rsid w:val="00EA134E"/>
    <w:rsid w:val="00EA16F7"/>
    <w:rsid w:val="00EA1A34"/>
    <w:rsid w:val="00EA1A4A"/>
    <w:rsid w:val="00EA1C2F"/>
    <w:rsid w:val="00EA1C9B"/>
    <w:rsid w:val="00EA1D6A"/>
    <w:rsid w:val="00EA1DF4"/>
    <w:rsid w:val="00EA1FDC"/>
    <w:rsid w:val="00EA2195"/>
    <w:rsid w:val="00EA2495"/>
    <w:rsid w:val="00EA256B"/>
    <w:rsid w:val="00EA25A4"/>
    <w:rsid w:val="00EA274A"/>
    <w:rsid w:val="00EA27F8"/>
    <w:rsid w:val="00EA2881"/>
    <w:rsid w:val="00EA2996"/>
    <w:rsid w:val="00EA2BE1"/>
    <w:rsid w:val="00EA2D4D"/>
    <w:rsid w:val="00EA3037"/>
    <w:rsid w:val="00EA3041"/>
    <w:rsid w:val="00EA30FB"/>
    <w:rsid w:val="00EA311D"/>
    <w:rsid w:val="00EA330E"/>
    <w:rsid w:val="00EA337A"/>
    <w:rsid w:val="00EA33DC"/>
    <w:rsid w:val="00EA3445"/>
    <w:rsid w:val="00EA345A"/>
    <w:rsid w:val="00EA3461"/>
    <w:rsid w:val="00EA3496"/>
    <w:rsid w:val="00EA34FC"/>
    <w:rsid w:val="00EA377D"/>
    <w:rsid w:val="00EA3875"/>
    <w:rsid w:val="00EA38E8"/>
    <w:rsid w:val="00EA3A03"/>
    <w:rsid w:val="00EA3B3A"/>
    <w:rsid w:val="00EA3B72"/>
    <w:rsid w:val="00EA3BAE"/>
    <w:rsid w:val="00EA3C91"/>
    <w:rsid w:val="00EA3CFF"/>
    <w:rsid w:val="00EA3DBF"/>
    <w:rsid w:val="00EA40DC"/>
    <w:rsid w:val="00EA40E0"/>
    <w:rsid w:val="00EA40FE"/>
    <w:rsid w:val="00EA41EA"/>
    <w:rsid w:val="00EA42FD"/>
    <w:rsid w:val="00EA442E"/>
    <w:rsid w:val="00EA4488"/>
    <w:rsid w:val="00EA4497"/>
    <w:rsid w:val="00EA4565"/>
    <w:rsid w:val="00EA45F3"/>
    <w:rsid w:val="00EA461D"/>
    <w:rsid w:val="00EA46EF"/>
    <w:rsid w:val="00EA49E3"/>
    <w:rsid w:val="00EA4AC0"/>
    <w:rsid w:val="00EA4D25"/>
    <w:rsid w:val="00EA4ED9"/>
    <w:rsid w:val="00EA52B1"/>
    <w:rsid w:val="00EA5496"/>
    <w:rsid w:val="00EA5527"/>
    <w:rsid w:val="00EA564C"/>
    <w:rsid w:val="00EA57F5"/>
    <w:rsid w:val="00EA58F1"/>
    <w:rsid w:val="00EA5996"/>
    <w:rsid w:val="00EA5ACA"/>
    <w:rsid w:val="00EA5BBC"/>
    <w:rsid w:val="00EA5CF2"/>
    <w:rsid w:val="00EA5D71"/>
    <w:rsid w:val="00EA5DF2"/>
    <w:rsid w:val="00EA5E00"/>
    <w:rsid w:val="00EA5F1B"/>
    <w:rsid w:val="00EA5FA4"/>
    <w:rsid w:val="00EA5FEE"/>
    <w:rsid w:val="00EA61AA"/>
    <w:rsid w:val="00EA63F2"/>
    <w:rsid w:val="00EA64B6"/>
    <w:rsid w:val="00EA6639"/>
    <w:rsid w:val="00EA680F"/>
    <w:rsid w:val="00EA682F"/>
    <w:rsid w:val="00EA683C"/>
    <w:rsid w:val="00EA68F0"/>
    <w:rsid w:val="00EA69A1"/>
    <w:rsid w:val="00EA6AFF"/>
    <w:rsid w:val="00EA6B3C"/>
    <w:rsid w:val="00EA6D00"/>
    <w:rsid w:val="00EA71A2"/>
    <w:rsid w:val="00EA774E"/>
    <w:rsid w:val="00EA77CE"/>
    <w:rsid w:val="00EA78CC"/>
    <w:rsid w:val="00EA7982"/>
    <w:rsid w:val="00EA7B7C"/>
    <w:rsid w:val="00EA7BF7"/>
    <w:rsid w:val="00EA7C07"/>
    <w:rsid w:val="00EA7DC6"/>
    <w:rsid w:val="00EA7DE5"/>
    <w:rsid w:val="00EA7FC0"/>
    <w:rsid w:val="00EA7FD5"/>
    <w:rsid w:val="00EA7FDE"/>
    <w:rsid w:val="00EB0073"/>
    <w:rsid w:val="00EB0227"/>
    <w:rsid w:val="00EB0414"/>
    <w:rsid w:val="00EB04B7"/>
    <w:rsid w:val="00EB0596"/>
    <w:rsid w:val="00EB0633"/>
    <w:rsid w:val="00EB071D"/>
    <w:rsid w:val="00EB0777"/>
    <w:rsid w:val="00EB0A7B"/>
    <w:rsid w:val="00EB0AE0"/>
    <w:rsid w:val="00EB0B76"/>
    <w:rsid w:val="00EB1038"/>
    <w:rsid w:val="00EB10D5"/>
    <w:rsid w:val="00EB1159"/>
    <w:rsid w:val="00EB139B"/>
    <w:rsid w:val="00EB1482"/>
    <w:rsid w:val="00EB1588"/>
    <w:rsid w:val="00EB1767"/>
    <w:rsid w:val="00EB18C2"/>
    <w:rsid w:val="00EB19CB"/>
    <w:rsid w:val="00EB1A0E"/>
    <w:rsid w:val="00EB1D4A"/>
    <w:rsid w:val="00EB1DDA"/>
    <w:rsid w:val="00EB1EDC"/>
    <w:rsid w:val="00EB1EF7"/>
    <w:rsid w:val="00EB1F18"/>
    <w:rsid w:val="00EB2145"/>
    <w:rsid w:val="00EB2276"/>
    <w:rsid w:val="00EB244C"/>
    <w:rsid w:val="00EB2556"/>
    <w:rsid w:val="00EB25E4"/>
    <w:rsid w:val="00EB2698"/>
    <w:rsid w:val="00EB2770"/>
    <w:rsid w:val="00EB27DD"/>
    <w:rsid w:val="00EB28AA"/>
    <w:rsid w:val="00EB2935"/>
    <w:rsid w:val="00EB2C2A"/>
    <w:rsid w:val="00EB2C34"/>
    <w:rsid w:val="00EB2D1C"/>
    <w:rsid w:val="00EB2E02"/>
    <w:rsid w:val="00EB2F16"/>
    <w:rsid w:val="00EB2F20"/>
    <w:rsid w:val="00EB33DB"/>
    <w:rsid w:val="00EB3A66"/>
    <w:rsid w:val="00EB3B99"/>
    <w:rsid w:val="00EB3B9A"/>
    <w:rsid w:val="00EB3BAC"/>
    <w:rsid w:val="00EB3D8B"/>
    <w:rsid w:val="00EB3EAD"/>
    <w:rsid w:val="00EB40AB"/>
    <w:rsid w:val="00EB40F3"/>
    <w:rsid w:val="00EB4194"/>
    <w:rsid w:val="00EB426E"/>
    <w:rsid w:val="00EB4343"/>
    <w:rsid w:val="00EB4349"/>
    <w:rsid w:val="00EB43A6"/>
    <w:rsid w:val="00EB47E8"/>
    <w:rsid w:val="00EB487D"/>
    <w:rsid w:val="00EB4AAA"/>
    <w:rsid w:val="00EB4AB7"/>
    <w:rsid w:val="00EB4AEF"/>
    <w:rsid w:val="00EB4BBA"/>
    <w:rsid w:val="00EB4C46"/>
    <w:rsid w:val="00EB4ED5"/>
    <w:rsid w:val="00EB4F2D"/>
    <w:rsid w:val="00EB505E"/>
    <w:rsid w:val="00EB53C6"/>
    <w:rsid w:val="00EB57D7"/>
    <w:rsid w:val="00EB583C"/>
    <w:rsid w:val="00EB5A3E"/>
    <w:rsid w:val="00EB5B10"/>
    <w:rsid w:val="00EB5CF7"/>
    <w:rsid w:val="00EB632E"/>
    <w:rsid w:val="00EB64FF"/>
    <w:rsid w:val="00EB66AE"/>
    <w:rsid w:val="00EB69B8"/>
    <w:rsid w:val="00EB69D7"/>
    <w:rsid w:val="00EB6C1E"/>
    <w:rsid w:val="00EB6D2A"/>
    <w:rsid w:val="00EB6E11"/>
    <w:rsid w:val="00EB6E38"/>
    <w:rsid w:val="00EB7035"/>
    <w:rsid w:val="00EB705C"/>
    <w:rsid w:val="00EB70F2"/>
    <w:rsid w:val="00EB74A8"/>
    <w:rsid w:val="00EB750C"/>
    <w:rsid w:val="00EB7628"/>
    <w:rsid w:val="00EB77C5"/>
    <w:rsid w:val="00EB7922"/>
    <w:rsid w:val="00EB79B3"/>
    <w:rsid w:val="00EB7A06"/>
    <w:rsid w:val="00EB7AAB"/>
    <w:rsid w:val="00EB7B5A"/>
    <w:rsid w:val="00EB7DF6"/>
    <w:rsid w:val="00EB7DFA"/>
    <w:rsid w:val="00EB7FA5"/>
    <w:rsid w:val="00EC005E"/>
    <w:rsid w:val="00EC0193"/>
    <w:rsid w:val="00EC023F"/>
    <w:rsid w:val="00EC028B"/>
    <w:rsid w:val="00EC029B"/>
    <w:rsid w:val="00EC0349"/>
    <w:rsid w:val="00EC03BE"/>
    <w:rsid w:val="00EC04CC"/>
    <w:rsid w:val="00EC07FB"/>
    <w:rsid w:val="00EC1074"/>
    <w:rsid w:val="00EC11CE"/>
    <w:rsid w:val="00EC1326"/>
    <w:rsid w:val="00EC13ED"/>
    <w:rsid w:val="00EC166D"/>
    <w:rsid w:val="00EC1779"/>
    <w:rsid w:val="00EC17F7"/>
    <w:rsid w:val="00EC18FE"/>
    <w:rsid w:val="00EC190B"/>
    <w:rsid w:val="00EC19A6"/>
    <w:rsid w:val="00EC1A95"/>
    <w:rsid w:val="00EC1ADD"/>
    <w:rsid w:val="00EC1B02"/>
    <w:rsid w:val="00EC1BA4"/>
    <w:rsid w:val="00EC1CF5"/>
    <w:rsid w:val="00EC1DC1"/>
    <w:rsid w:val="00EC1EDB"/>
    <w:rsid w:val="00EC1F48"/>
    <w:rsid w:val="00EC1F5C"/>
    <w:rsid w:val="00EC2000"/>
    <w:rsid w:val="00EC204F"/>
    <w:rsid w:val="00EC20E0"/>
    <w:rsid w:val="00EC240F"/>
    <w:rsid w:val="00EC2436"/>
    <w:rsid w:val="00EC243E"/>
    <w:rsid w:val="00EC25B8"/>
    <w:rsid w:val="00EC285F"/>
    <w:rsid w:val="00EC28D4"/>
    <w:rsid w:val="00EC2AB6"/>
    <w:rsid w:val="00EC2B3B"/>
    <w:rsid w:val="00EC2B9D"/>
    <w:rsid w:val="00EC2E4A"/>
    <w:rsid w:val="00EC2F2E"/>
    <w:rsid w:val="00EC3222"/>
    <w:rsid w:val="00EC3259"/>
    <w:rsid w:val="00EC331E"/>
    <w:rsid w:val="00EC345F"/>
    <w:rsid w:val="00EC34EF"/>
    <w:rsid w:val="00EC35EA"/>
    <w:rsid w:val="00EC38BA"/>
    <w:rsid w:val="00EC3E36"/>
    <w:rsid w:val="00EC4198"/>
    <w:rsid w:val="00EC41C4"/>
    <w:rsid w:val="00EC4208"/>
    <w:rsid w:val="00EC4511"/>
    <w:rsid w:val="00EC456D"/>
    <w:rsid w:val="00EC4594"/>
    <w:rsid w:val="00EC45B1"/>
    <w:rsid w:val="00EC4601"/>
    <w:rsid w:val="00EC46C4"/>
    <w:rsid w:val="00EC49A3"/>
    <w:rsid w:val="00EC4BE6"/>
    <w:rsid w:val="00EC4C9B"/>
    <w:rsid w:val="00EC5026"/>
    <w:rsid w:val="00EC5098"/>
    <w:rsid w:val="00EC5100"/>
    <w:rsid w:val="00EC5456"/>
    <w:rsid w:val="00EC54FA"/>
    <w:rsid w:val="00EC5518"/>
    <w:rsid w:val="00EC5568"/>
    <w:rsid w:val="00EC5752"/>
    <w:rsid w:val="00EC59C2"/>
    <w:rsid w:val="00EC5A6F"/>
    <w:rsid w:val="00EC5D96"/>
    <w:rsid w:val="00EC5E99"/>
    <w:rsid w:val="00EC6007"/>
    <w:rsid w:val="00EC6021"/>
    <w:rsid w:val="00EC60BC"/>
    <w:rsid w:val="00EC60BE"/>
    <w:rsid w:val="00EC611A"/>
    <w:rsid w:val="00EC6158"/>
    <w:rsid w:val="00EC6191"/>
    <w:rsid w:val="00EC61BA"/>
    <w:rsid w:val="00EC61E2"/>
    <w:rsid w:val="00EC633B"/>
    <w:rsid w:val="00EC63A3"/>
    <w:rsid w:val="00EC6902"/>
    <w:rsid w:val="00EC6E4B"/>
    <w:rsid w:val="00EC6F3F"/>
    <w:rsid w:val="00EC7003"/>
    <w:rsid w:val="00EC710A"/>
    <w:rsid w:val="00EC7302"/>
    <w:rsid w:val="00EC73AD"/>
    <w:rsid w:val="00EC755E"/>
    <w:rsid w:val="00EC7632"/>
    <w:rsid w:val="00EC775D"/>
    <w:rsid w:val="00EC7E8F"/>
    <w:rsid w:val="00EC7F46"/>
    <w:rsid w:val="00EC7FE7"/>
    <w:rsid w:val="00ED014A"/>
    <w:rsid w:val="00ED027C"/>
    <w:rsid w:val="00ED0481"/>
    <w:rsid w:val="00ED0622"/>
    <w:rsid w:val="00ED063F"/>
    <w:rsid w:val="00ED078C"/>
    <w:rsid w:val="00ED09C0"/>
    <w:rsid w:val="00ED0A3B"/>
    <w:rsid w:val="00ED0C2E"/>
    <w:rsid w:val="00ED0D02"/>
    <w:rsid w:val="00ED0F5D"/>
    <w:rsid w:val="00ED108D"/>
    <w:rsid w:val="00ED11DB"/>
    <w:rsid w:val="00ED138A"/>
    <w:rsid w:val="00ED1440"/>
    <w:rsid w:val="00ED1491"/>
    <w:rsid w:val="00ED14EB"/>
    <w:rsid w:val="00ED1596"/>
    <w:rsid w:val="00ED16FA"/>
    <w:rsid w:val="00ED1848"/>
    <w:rsid w:val="00ED188B"/>
    <w:rsid w:val="00ED18CE"/>
    <w:rsid w:val="00ED1A8F"/>
    <w:rsid w:val="00ED1B6D"/>
    <w:rsid w:val="00ED1B81"/>
    <w:rsid w:val="00ED1B92"/>
    <w:rsid w:val="00ED1C3C"/>
    <w:rsid w:val="00ED1C5F"/>
    <w:rsid w:val="00ED1C76"/>
    <w:rsid w:val="00ED1FD1"/>
    <w:rsid w:val="00ED2004"/>
    <w:rsid w:val="00ED21D9"/>
    <w:rsid w:val="00ED21E6"/>
    <w:rsid w:val="00ED2296"/>
    <w:rsid w:val="00ED2297"/>
    <w:rsid w:val="00ED2571"/>
    <w:rsid w:val="00ED26A9"/>
    <w:rsid w:val="00ED26DA"/>
    <w:rsid w:val="00ED275B"/>
    <w:rsid w:val="00ED2819"/>
    <w:rsid w:val="00ED2B06"/>
    <w:rsid w:val="00ED2E9E"/>
    <w:rsid w:val="00ED2FC1"/>
    <w:rsid w:val="00ED2FF9"/>
    <w:rsid w:val="00ED3184"/>
    <w:rsid w:val="00ED325F"/>
    <w:rsid w:val="00ED3273"/>
    <w:rsid w:val="00ED332E"/>
    <w:rsid w:val="00ED33C8"/>
    <w:rsid w:val="00ED347C"/>
    <w:rsid w:val="00ED3722"/>
    <w:rsid w:val="00ED3880"/>
    <w:rsid w:val="00ED388B"/>
    <w:rsid w:val="00ED3938"/>
    <w:rsid w:val="00ED3C1B"/>
    <w:rsid w:val="00ED3C83"/>
    <w:rsid w:val="00ED3D43"/>
    <w:rsid w:val="00ED3D6B"/>
    <w:rsid w:val="00ED3F5A"/>
    <w:rsid w:val="00ED4292"/>
    <w:rsid w:val="00ED440A"/>
    <w:rsid w:val="00ED4540"/>
    <w:rsid w:val="00ED456F"/>
    <w:rsid w:val="00ED4659"/>
    <w:rsid w:val="00ED46D1"/>
    <w:rsid w:val="00ED47F9"/>
    <w:rsid w:val="00ED49CC"/>
    <w:rsid w:val="00ED4A30"/>
    <w:rsid w:val="00ED4A95"/>
    <w:rsid w:val="00ED4C3C"/>
    <w:rsid w:val="00ED4FF5"/>
    <w:rsid w:val="00ED500C"/>
    <w:rsid w:val="00ED505B"/>
    <w:rsid w:val="00ED5188"/>
    <w:rsid w:val="00ED53F6"/>
    <w:rsid w:val="00ED5593"/>
    <w:rsid w:val="00ED56F6"/>
    <w:rsid w:val="00ED5755"/>
    <w:rsid w:val="00ED5876"/>
    <w:rsid w:val="00ED59A4"/>
    <w:rsid w:val="00ED5AD1"/>
    <w:rsid w:val="00ED5AFB"/>
    <w:rsid w:val="00ED5B28"/>
    <w:rsid w:val="00ED5BB2"/>
    <w:rsid w:val="00ED5D17"/>
    <w:rsid w:val="00ED5EBD"/>
    <w:rsid w:val="00ED5FB3"/>
    <w:rsid w:val="00ED638A"/>
    <w:rsid w:val="00ED63D1"/>
    <w:rsid w:val="00ED6454"/>
    <w:rsid w:val="00ED655D"/>
    <w:rsid w:val="00ED6659"/>
    <w:rsid w:val="00ED682A"/>
    <w:rsid w:val="00ED68F3"/>
    <w:rsid w:val="00ED695A"/>
    <w:rsid w:val="00ED69C3"/>
    <w:rsid w:val="00ED6A31"/>
    <w:rsid w:val="00ED6AA8"/>
    <w:rsid w:val="00ED6CE8"/>
    <w:rsid w:val="00ED6D8B"/>
    <w:rsid w:val="00ED6E0D"/>
    <w:rsid w:val="00ED710A"/>
    <w:rsid w:val="00ED7934"/>
    <w:rsid w:val="00ED795A"/>
    <w:rsid w:val="00ED7A6A"/>
    <w:rsid w:val="00ED7B5C"/>
    <w:rsid w:val="00ED7C83"/>
    <w:rsid w:val="00EE0265"/>
    <w:rsid w:val="00EE02C5"/>
    <w:rsid w:val="00EE04B9"/>
    <w:rsid w:val="00EE04C8"/>
    <w:rsid w:val="00EE0585"/>
    <w:rsid w:val="00EE07B2"/>
    <w:rsid w:val="00EE0D59"/>
    <w:rsid w:val="00EE0E9E"/>
    <w:rsid w:val="00EE0F32"/>
    <w:rsid w:val="00EE1031"/>
    <w:rsid w:val="00EE1117"/>
    <w:rsid w:val="00EE11A1"/>
    <w:rsid w:val="00EE13AC"/>
    <w:rsid w:val="00EE14E3"/>
    <w:rsid w:val="00EE18EC"/>
    <w:rsid w:val="00EE1A4E"/>
    <w:rsid w:val="00EE1A7D"/>
    <w:rsid w:val="00EE1BBF"/>
    <w:rsid w:val="00EE1C80"/>
    <w:rsid w:val="00EE1D21"/>
    <w:rsid w:val="00EE1F2E"/>
    <w:rsid w:val="00EE20CA"/>
    <w:rsid w:val="00EE2206"/>
    <w:rsid w:val="00EE22E0"/>
    <w:rsid w:val="00EE235F"/>
    <w:rsid w:val="00EE246F"/>
    <w:rsid w:val="00EE247C"/>
    <w:rsid w:val="00EE248F"/>
    <w:rsid w:val="00EE24D3"/>
    <w:rsid w:val="00EE2A35"/>
    <w:rsid w:val="00EE2B3A"/>
    <w:rsid w:val="00EE2B3B"/>
    <w:rsid w:val="00EE2C73"/>
    <w:rsid w:val="00EE2D54"/>
    <w:rsid w:val="00EE2EFD"/>
    <w:rsid w:val="00EE3049"/>
    <w:rsid w:val="00EE307C"/>
    <w:rsid w:val="00EE315A"/>
    <w:rsid w:val="00EE3359"/>
    <w:rsid w:val="00EE3365"/>
    <w:rsid w:val="00EE33E8"/>
    <w:rsid w:val="00EE3894"/>
    <w:rsid w:val="00EE3A90"/>
    <w:rsid w:val="00EE3C54"/>
    <w:rsid w:val="00EE3D33"/>
    <w:rsid w:val="00EE3D91"/>
    <w:rsid w:val="00EE3F3E"/>
    <w:rsid w:val="00EE3F8A"/>
    <w:rsid w:val="00EE4211"/>
    <w:rsid w:val="00EE437D"/>
    <w:rsid w:val="00EE43E1"/>
    <w:rsid w:val="00EE4522"/>
    <w:rsid w:val="00EE4545"/>
    <w:rsid w:val="00EE4555"/>
    <w:rsid w:val="00EE457A"/>
    <w:rsid w:val="00EE4593"/>
    <w:rsid w:val="00EE4792"/>
    <w:rsid w:val="00EE482C"/>
    <w:rsid w:val="00EE4B1F"/>
    <w:rsid w:val="00EE4C51"/>
    <w:rsid w:val="00EE4DC3"/>
    <w:rsid w:val="00EE4E3E"/>
    <w:rsid w:val="00EE4FE9"/>
    <w:rsid w:val="00EE5266"/>
    <w:rsid w:val="00EE529D"/>
    <w:rsid w:val="00EE54A3"/>
    <w:rsid w:val="00EE5507"/>
    <w:rsid w:val="00EE58AB"/>
    <w:rsid w:val="00EE59BD"/>
    <w:rsid w:val="00EE59C6"/>
    <w:rsid w:val="00EE5A36"/>
    <w:rsid w:val="00EE5AA8"/>
    <w:rsid w:val="00EE5C2D"/>
    <w:rsid w:val="00EE5DC6"/>
    <w:rsid w:val="00EE5F51"/>
    <w:rsid w:val="00EE6291"/>
    <w:rsid w:val="00EE635F"/>
    <w:rsid w:val="00EE660F"/>
    <w:rsid w:val="00EE6749"/>
    <w:rsid w:val="00EE674E"/>
    <w:rsid w:val="00EE677B"/>
    <w:rsid w:val="00EE686B"/>
    <w:rsid w:val="00EE6B2D"/>
    <w:rsid w:val="00EE6BC0"/>
    <w:rsid w:val="00EE6DE9"/>
    <w:rsid w:val="00EE6E09"/>
    <w:rsid w:val="00EE6F49"/>
    <w:rsid w:val="00EE71C5"/>
    <w:rsid w:val="00EE7474"/>
    <w:rsid w:val="00EE762F"/>
    <w:rsid w:val="00EE7654"/>
    <w:rsid w:val="00EE78B8"/>
    <w:rsid w:val="00EE78ED"/>
    <w:rsid w:val="00EE790A"/>
    <w:rsid w:val="00EE7930"/>
    <w:rsid w:val="00EE7962"/>
    <w:rsid w:val="00EE7ADD"/>
    <w:rsid w:val="00EE7D17"/>
    <w:rsid w:val="00EE7FE2"/>
    <w:rsid w:val="00EF010A"/>
    <w:rsid w:val="00EF0212"/>
    <w:rsid w:val="00EF023D"/>
    <w:rsid w:val="00EF0264"/>
    <w:rsid w:val="00EF0270"/>
    <w:rsid w:val="00EF035A"/>
    <w:rsid w:val="00EF04BD"/>
    <w:rsid w:val="00EF05BB"/>
    <w:rsid w:val="00EF05D6"/>
    <w:rsid w:val="00EF06BE"/>
    <w:rsid w:val="00EF0725"/>
    <w:rsid w:val="00EF073F"/>
    <w:rsid w:val="00EF0869"/>
    <w:rsid w:val="00EF0878"/>
    <w:rsid w:val="00EF0905"/>
    <w:rsid w:val="00EF0B03"/>
    <w:rsid w:val="00EF0C48"/>
    <w:rsid w:val="00EF0F6D"/>
    <w:rsid w:val="00EF1389"/>
    <w:rsid w:val="00EF13D2"/>
    <w:rsid w:val="00EF149E"/>
    <w:rsid w:val="00EF156C"/>
    <w:rsid w:val="00EF16F7"/>
    <w:rsid w:val="00EF1A2F"/>
    <w:rsid w:val="00EF1B62"/>
    <w:rsid w:val="00EF1BEA"/>
    <w:rsid w:val="00EF1DA7"/>
    <w:rsid w:val="00EF1F5F"/>
    <w:rsid w:val="00EF230D"/>
    <w:rsid w:val="00EF2424"/>
    <w:rsid w:val="00EF243E"/>
    <w:rsid w:val="00EF2561"/>
    <w:rsid w:val="00EF25B1"/>
    <w:rsid w:val="00EF2604"/>
    <w:rsid w:val="00EF2686"/>
    <w:rsid w:val="00EF2B30"/>
    <w:rsid w:val="00EF2BC0"/>
    <w:rsid w:val="00EF2E9A"/>
    <w:rsid w:val="00EF2F14"/>
    <w:rsid w:val="00EF3101"/>
    <w:rsid w:val="00EF3212"/>
    <w:rsid w:val="00EF328A"/>
    <w:rsid w:val="00EF32DE"/>
    <w:rsid w:val="00EF339E"/>
    <w:rsid w:val="00EF340D"/>
    <w:rsid w:val="00EF36C3"/>
    <w:rsid w:val="00EF36D8"/>
    <w:rsid w:val="00EF3774"/>
    <w:rsid w:val="00EF389A"/>
    <w:rsid w:val="00EF38D5"/>
    <w:rsid w:val="00EF3ADF"/>
    <w:rsid w:val="00EF3B3E"/>
    <w:rsid w:val="00EF3B71"/>
    <w:rsid w:val="00EF3CB6"/>
    <w:rsid w:val="00EF3D60"/>
    <w:rsid w:val="00EF3E40"/>
    <w:rsid w:val="00EF404C"/>
    <w:rsid w:val="00EF441F"/>
    <w:rsid w:val="00EF4427"/>
    <w:rsid w:val="00EF442A"/>
    <w:rsid w:val="00EF4600"/>
    <w:rsid w:val="00EF4615"/>
    <w:rsid w:val="00EF4658"/>
    <w:rsid w:val="00EF4677"/>
    <w:rsid w:val="00EF469F"/>
    <w:rsid w:val="00EF46CE"/>
    <w:rsid w:val="00EF4795"/>
    <w:rsid w:val="00EF482E"/>
    <w:rsid w:val="00EF4C99"/>
    <w:rsid w:val="00EF4D3F"/>
    <w:rsid w:val="00EF4DB8"/>
    <w:rsid w:val="00EF4DD6"/>
    <w:rsid w:val="00EF4F0D"/>
    <w:rsid w:val="00EF4FC8"/>
    <w:rsid w:val="00EF51DE"/>
    <w:rsid w:val="00EF5435"/>
    <w:rsid w:val="00EF5627"/>
    <w:rsid w:val="00EF587A"/>
    <w:rsid w:val="00EF590F"/>
    <w:rsid w:val="00EF59E6"/>
    <w:rsid w:val="00EF5B22"/>
    <w:rsid w:val="00EF5B47"/>
    <w:rsid w:val="00EF5BDC"/>
    <w:rsid w:val="00EF5CBB"/>
    <w:rsid w:val="00EF5E07"/>
    <w:rsid w:val="00EF5F57"/>
    <w:rsid w:val="00EF5FB6"/>
    <w:rsid w:val="00EF616E"/>
    <w:rsid w:val="00EF6421"/>
    <w:rsid w:val="00EF64E7"/>
    <w:rsid w:val="00EF6AF1"/>
    <w:rsid w:val="00EF6B39"/>
    <w:rsid w:val="00EF6C1C"/>
    <w:rsid w:val="00EF6DF2"/>
    <w:rsid w:val="00EF6EBB"/>
    <w:rsid w:val="00EF6EE9"/>
    <w:rsid w:val="00EF6F10"/>
    <w:rsid w:val="00EF7158"/>
    <w:rsid w:val="00EF7231"/>
    <w:rsid w:val="00EF7264"/>
    <w:rsid w:val="00EF755F"/>
    <w:rsid w:val="00EF769C"/>
    <w:rsid w:val="00EF774A"/>
    <w:rsid w:val="00EF7A25"/>
    <w:rsid w:val="00EF7C47"/>
    <w:rsid w:val="00EF7C92"/>
    <w:rsid w:val="00EF7D73"/>
    <w:rsid w:val="00F0004B"/>
    <w:rsid w:val="00F0026F"/>
    <w:rsid w:val="00F002C3"/>
    <w:rsid w:val="00F002E1"/>
    <w:rsid w:val="00F0056C"/>
    <w:rsid w:val="00F00681"/>
    <w:rsid w:val="00F006E5"/>
    <w:rsid w:val="00F00734"/>
    <w:rsid w:val="00F008D4"/>
    <w:rsid w:val="00F00B0D"/>
    <w:rsid w:val="00F00C3C"/>
    <w:rsid w:val="00F00C8D"/>
    <w:rsid w:val="00F00D97"/>
    <w:rsid w:val="00F00EF0"/>
    <w:rsid w:val="00F00F3F"/>
    <w:rsid w:val="00F00FEB"/>
    <w:rsid w:val="00F010F2"/>
    <w:rsid w:val="00F011D4"/>
    <w:rsid w:val="00F01232"/>
    <w:rsid w:val="00F01293"/>
    <w:rsid w:val="00F0131E"/>
    <w:rsid w:val="00F01385"/>
    <w:rsid w:val="00F0141B"/>
    <w:rsid w:val="00F014CC"/>
    <w:rsid w:val="00F014E1"/>
    <w:rsid w:val="00F0157B"/>
    <w:rsid w:val="00F0177C"/>
    <w:rsid w:val="00F01851"/>
    <w:rsid w:val="00F018F5"/>
    <w:rsid w:val="00F019C7"/>
    <w:rsid w:val="00F01A5D"/>
    <w:rsid w:val="00F01AEF"/>
    <w:rsid w:val="00F01DE0"/>
    <w:rsid w:val="00F01F8C"/>
    <w:rsid w:val="00F0201D"/>
    <w:rsid w:val="00F020A8"/>
    <w:rsid w:val="00F021C5"/>
    <w:rsid w:val="00F021EE"/>
    <w:rsid w:val="00F0221C"/>
    <w:rsid w:val="00F02491"/>
    <w:rsid w:val="00F024FD"/>
    <w:rsid w:val="00F0259E"/>
    <w:rsid w:val="00F0266F"/>
    <w:rsid w:val="00F02794"/>
    <w:rsid w:val="00F02F9B"/>
    <w:rsid w:val="00F0304D"/>
    <w:rsid w:val="00F034EC"/>
    <w:rsid w:val="00F0351F"/>
    <w:rsid w:val="00F03713"/>
    <w:rsid w:val="00F03784"/>
    <w:rsid w:val="00F03884"/>
    <w:rsid w:val="00F03888"/>
    <w:rsid w:val="00F0389B"/>
    <w:rsid w:val="00F03925"/>
    <w:rsid w:val="00F03C5C"/>
    <w:rsid w:val="00F03CEF"/>
    <w:rsid w:val="00F03D1D"/>
    <w:rsid w:val="00F03E5E"/>
    <w:rsid w:val="00F04110"/>
    <w:rsid w:val="00F04158"/>
    <w:rsid w:val="00F045BF"/>
    <w:rsid w:val="00F0466C"/>
    <w:rsid w:val="00F0499E"/>
    <w:rsid w:val="00F04B12"/>
    <w:rsid w:val="00F04BC1"/>
    <w:rsid w:val="00F04D04"/>
    <w:rsid w:val="00F04E22"/>
    <w:rsid w:val="00F04F1A"/>
    <w:rsid w:val="00F04F2B"/>
    <w:rsid w:val="00F050C5"/>
    <w:rsid w:val="00F051DE"/>
    <w:rsid w:val="00F05226"/>
    <w:rsid w:val="00F052A0"/>
    <w:rsid w:val="00F05553"/>
    <w:rsid w:val="00F0567A"/>
    <w:rsid w:val="00F056D0"/>
    <w:rsid w:val="00F05861"/>
    <w:rsid w:val="00F05875"/>
    <w:rsid w:val="00F05943"/>
    <w:rsid w:val="00F05D34"/>
    <w:rsid w:val="00F06087"/>
    <w:rsid w:val="00F063CA"/>
    <w:rsid w:val="00F063CF"/>
    <w:rsid w:val="00F064E0"/>
    <w:rsid w:val="00F065DD"/>
    <w:rsid w:val="00F06763"/>
    <w:rsid w:val="00F068A9"/>
    <w:rsid w:val="00F069D3"/>
    <w:rsid w:val="00F06C7F"/>
    <w:rsid w:val="00F0701E"/>
    <w:rsid w:val="00F07036"/>
    <w:rsid w:val="00F07042"/>
    <w:rsid w:val="00F070DD"/>
    <w:rsid w:val="00F07130"/>
    <w:rsid w:val="00F071FC"/>
    <w:rsid w:val="00F07303"/>
    <w:rsid w:val="00F07436"/>
    <w:rsid w:val="00F07532"/>
    <w:rsid w:val="00F076C6"/>
    <w:rsid w:val="00F07794"/>
    <w:rsid w:val="00F07856"/>
    <w:rsid w:val="00F078AE"/>
    <w:rsid w:val="00F078CF"/>
    <w:rsid w:val="00F0793A"/>
    <w:rsid w:val="00F07945"/>
    <w:rsid w:val="00F07EB4"/>
    <w:rsid w:val="00F07FEC"/>
    <w:rsid w:val="00F10093"/>
    <w:rsid w:val="00F100B6"/>
    <w:rsid w:val="00F100E9"/>
    <w:rsid w:val="00F101C8"/>
    <w:rsid w:val="00F1022A"/>
    <w:rsid w:val="00F10295"/>
    <w:rsid w:val="00F102B8"/>
    <w:rsid w:val="00F104DA"/>
    <w:rsid w:val="00F104F6"/>
    <w:rsid w:val="00F10562"/>
    <w:rsid w:val="00F105F4"/>
    <w:rsid w:val="00F10932"/>
    <w:rsid w:val="00F10AE7"/>
    <w:rsid w:val="00F10B87"/>
    <w:rsid w:val="00F10CE9"/>
    <w:rsid w:val="00F10DB5"/>
    <w:rsid w:val="00F10E94"/>
    <w:rsid w:val="00F11148"/>
    <w:rsid w:val="00F11205"/>
    <w:rsid w:val="00F1151B"/>
    <w:rsid w:val="00F11764"/>
    <w:rsid w:val="00F117F8"/>
    <w:rsid w:val="00F11821"/>
    <w:rsid w:val="00F1183C"/>
    <w:rsid w:val="00F11951"/>
    <w:rsid w:val="00F11A4F"/>
    <w:rsid w:val="00F11B6A"/>
    <w:rsid w:val="00F11BA7"/>
    <w:rsid w:val="00F11DA8"/>
    <w:rsid w:val="00F11ED1"/>
    <w:rsid w:val="00F11EE7"/>
    <w:rsid w:val="00F11F6A"/>
    <w:rsid w:val="00F11FB6"/>
    <w:rsid w:val="00F11FEE"/>
    <w:rsid w:val="00F120DA"/>
    <w:rsid w:val="00F120EF"/>
    <w:rsid w:val="00F122B2"/>
    <w:rsid w:val="00F12467"/>
    <w:rsid w:val="00F124C4"/>
    <w:rsid w:val="00F125D5"/>
    <w:rsid w:val="00F12622"/>
    <w:rsid w:val="00F128A6"/>
    <w:rsid w:val="00F12A04"/>
    <w:rsid w:val="00F12A61"/>
    <w:rsid w:val="00F12C0A"/>
    <w:rsid w:val="00F12CB1"/>
    <w:rsid w:val="00F12CDF"/>
    <w:rsid w:val="00F1314C"/>
    <w:rsid w:val="00F131B8"/>
    <w:rsid w:val="00F133F2"/>
    <w:rsid w:val="00F136A7"/>
    <w:rsid w:val="00F13758"/>
    <w:rsid w:val="00F13814"/>
    <w:rsid w:val="00F13AEC"/>
    <w:rsid w:val="00F13C46"/>
    <w:rsid w:val="00F13FB7"/>
    <w:rsid w:val="00F14222"/>
    <w:rsid w:val="00F142D9"/>
    <w:rsid w:val="00F14313"/>
    <w:rsid w:val="00F1499F"/>
    <w:rsid w:val="00F14D89"/>
    <w:rsid w:val="00F14D9E"/>
    <w:rsid w:val="00F14EF8"/>
    <w:rsid w:val="00F15026"/>
    <w:rsid w:val="00F152FC"/>
    <w:rsid w:val="00F15472"/>
    <w:rsid w:val="00F155ED"/>
    <w:rsid w:val="00F156E4"/>
    <w:rsid w:val="00F1590F"/>
    <w:rsid w:val="00F15947"/>
    <w:rsid w:val="00F15B12"/>
    <w:rsid w:val="00F15BD9"/>
    <w:rsid w:val="00F15BF9"/>
    <w:rsid w:val="00F15D6D"/>
    <w:rsid w:val="00F15E6F"/>
    <w:rsid w:val="00F15F7E"/>
    <w:rsid w:val="00F1604C"/>
    <w:rsid w:val="00F1614F"/>
    <w:rsid w:val="00F163CB"/>
    <w:rsid w:val="00F165E7"/>
    <w:rsid w:val="00F1672A"/>
    <w:rsid w:val="00F16B4F"/>
    <w:rsid w:val="00F16D5E"/>
    <w:rsid w:val="00F17042"/>
    <w:rsid w:val="00F172B1"/>
    <w:rsid w:val="00F173DE"/>
    <w:rsid w:val="00F1770D"/>
    <w:rsid w:val="00F179C6"/>
    <w:rsid w:val="00F17B41"/>
    <w:rsid w:val="00F17D7B"/>
    <w:rsid w:val="00F17E83"/>
    <w:rsid w:val="00F17F13"/>
    <w:rsid w:val="00F17FB8"/>
    <w:rsid w:val="00F2008E"/>
    <w:rsid w:val="00F200F5"/>
    <w:rsid w:val="00F20312"/>
    <w:rsid w:val="00F2034B"/>
    <w:rsid w:val="00F203F9"/>
    <w:rsid w:val="00F20423"/>
    <w:rsid w:val="00F20546"/>
    <w:rsid w:val="00F20739"/>
    <w:rsid w:val="00F2084B"/>
    <w:rsid w:val="00F209DF"/>
    <w:rsid w:val="00F20B30"/>
    <w:rsid w:val="00F20B65"/>
    <w:rsid w:val="00F20C60"/>
    <w:rsid w:val="00F20C97"/>
    <w:rsid w:val="00F21101"/>
    <w:rsid w:val="00F212C4"/>
    <w:rsid w:val="00F217D9"/>
    <w:rsid w:val="00F21873"/>
    <w:rsid w:val="00F21946"/>
    <w:rsid w:val="00F2198C"/>
    <w:rsid w:val="00F21CE9"/>
    <w:rsid w:val="00F21E51"/>
    <w:rsid w:val="00F21FF4"/>
    <w:rsid w:val="00F2211A"/>
    <w:rsid w:val="00F221C2"/>
    <w:rsid w:val="00F2220B"/>
    <w:rsid w:val="00F2224C"/>
    <w:rsid w:val="00F222E0"/>
    <w:rsid w:val="00F222E1"/>
    <w:rsid w:val="00F223ED"/>
    <w:rsid w:val="00F22704"/>
    <w:rsid w:val="00F2277B"/>
    <w:rsid w:val="00F227C6"/>
    <w:rsid w:val="00F2284F"/>
    <w:rsid w:val="00F22912"/>
    <w:rsid w:val="00F22B43"/>
    <w:rsid w:val="00F22BB6"/>
    <w:rsid w:val="00F22DF5"/>
    <w:rsid w:val="00F22DFC"/>
    <w:rsid w:val="00F22F06"/>
    <w:rsid w:val="00F22F8D"/>
    <w:rsid w:val="00F23021"/>
    <w:rsid w:val="00F23031"/>
    <w:rsid w:val="00F23094"/>
    <w:rsid w:val="00F232C8"/>
    <w:rsid w:val="00F2347F"/>
    <w:rsid w:val="00F23513"/>
    <w:rsid w:val="00F23514"/>
    <w:rsid w:val="00F235EE"/>
    <w:rsid w:val="00F2374E"/>
    <w:rsid w:val="00F23908"/>
    <w:rsid w:val="00F2393B"/>
    <w:rsid w:val="00F239BB"/>
    <w:rsid w:val="00F23A7A"/>
    <w:rsid w:val="00F23ABB"/>
    <w:rsid w:val="00F23FCA"/>
    <w:rsid w:val="00F24015"/>
    <w:rsid w:val="00F24189"/>
    <w:rsid w:val="00F242B9"/>
    <w:rsid w:val="00F24421"/>
    <w:rsid w:val="00F245D9"/>
    <w:rsid w:val="00F2468D"/>
    <w:rsid w:val="00F247CF"/>
    <w:rsid w:val="00F2498B"/>
    <w:rsid w:val="00F24B27"/>
    <w:rsid w:val="00F24FD5"/>
    <w:rsid w:val="00F24FE0"/>
    <w:rsid w:val="00F25016"/>
    <w:rsid w:val="00F2501C"/>
    <w:rsid w:val="00F25139"/>
    <w:rsid w:val="00F254B8"/>
    <w:rsid w:val="00F2554B"/>
    <w:rsid w:val="00F2573B"/>
    <w:rsid w:val="00F25800"/>
    <w:rsid w:val="00F2583B"/>
    <w:rsid w:val="00F25AE5"/>
    <w:rsid w:val="00F25B17"/>
    <w:rsid w:val="00F25D91"/>
    <w:rsid w:val="00F25FD8"/>
    <w:rsid w:val="00F25FEE"/>
    <w:rsid w:val="00F261DA"/>
    <w:rsid w:val="00F26335"/>
    <w:rsid w:val="00F2637E"/>
    <w:rsid w:val="00F26890"/>
    <w:rsid w:val="00F26934"/>
    <w:rsid w:val="00F26952"/>
    <w:rsid w:val="00F26AE1"/>
    <w:rsid w:val="00F26BDE"/>
    <w:rsid w:val="00F2725F"/>
    <w:rsid w:val="00F27265"/>
    <w:rsid w:val="00F27319"/>
    <w:rsid w:val="00F27528"/>
    <w:rsid w:val="00F27962"/>
    <w:rsid w:val="00F27A9E"/>
    <w:rsid w:val="00F27C3E"/>
    <w:rsid w:val="00F27C4A"/>
    <w:rsid w:val="00F27D37"/>
    <w:rsid w:val="00F27F63"/>
    <w:rsid w:val="00F27FF7"/>
    <w:rsid w:val="00F3027D"/>
    <w:rsid w:val="00F305CD"/>
    <w:rsid w:val="00F30692"/>
    <w:rsid w:val="00F306B5"/>
    <w:rsid w:val="00F30A2C"/>
    <w:rsid w:val="00F30C93"/>
    <w:rsid w:val="00F30CCC"/>
    <w:rsid w:val="00F30CD4"/>
    <w:rsid w:val="00F30D74"/>
    <w:rsid w:val="00F30DBA"/>
    <w:rsid w:val="00F30F4B"/>
    <w:rsid w:val="00F30FCA"/>
    <w:rsid w:val="00F310B3"/>
    <w:rsid w:val="00F31113"/>
    <w:rsid w:val="00F311CE"/>
    <w:rsid w:val="00F31334"/>
    <w:rsid w:val="00F315A5"/>
    <w:rsid w:val="00F31816"/>
    <w:rsid w:val="00F31C31"/>
    <w:rsid w:val="00F31CEE"/>
    <w:rsid w:val="00F31CF1"/>
    <w:rsid w:val="00F31D4E"/>
    <w:rsid w:val="00F31E1F"/>
    <w:rsid w:val="00F31F84"/>
    <w:rsid w:val="00F321CE"/>
    <w:rsid w:val="00F3252F"/>
    <w:rsid w:val="00F32539"/>
    <w:rsid w:val="00F3258B"/>
    <w:rsid w:val="00F3260D"/>
    <w:rsid w:val="00F326E0"/>
    <w:rsid w:val="00F327CC"/>
    <w:rsid w:val="00F32DFE"/>
    <w:rsid w:val="00F32EBD"/>
    <w:rsid w:val="00F33135"/>
    <w:rsid w:val="00F3335F"/>
    <w:rsid w:val="00F3339C"/>
    <w:rsid w:val="00F33503"/>
    <w:rsid w:val="00F33638"/>
    <w:rsid w:val="00F337C0"/>
    <w:rsid w:val="00F33892"/>
    <w:rsid w:val="00F338E1"/>
    <w:rsid w:val="00F33A49"/>
    <w:rsid w:val="00F34139"/>
    <w:rsid w:val="00F34238"/>
    <w:rsid w:val="00F34548"/>
    <w:rsid w:val="00F34680"/>
    <w:rsid w:val="00F34704"/>
    <w:rsid w:val="00F34906"/>
    <w:rsid w:val="00F34ABB"/>
    <w:rsid w:val="00F34BA8"/>
    <w:rsid w:val="00F34C72"/>
    <w:rsid w:val="00F34E9A"/>
    <w:rsid w:val="00F35129"/>
    <w:rsid w:val="00F3520E"/>
    <w:rsid w:val="00F3527F"/>
    <w:rsid w:val="00F354E5"/>
    <w:rsid w:val="00F35650"/>
    <w:rsid w:val="00F35774"/>
    <w:rsid w:val="00F35C1B"/>
    <w:rsid w:val="00F35C38"/>
    <w:rsid w:val="00F35E24"/>
    <w:rsid w:val="00F35F1E"/>
    <w:rsid w:val="00F3630C"/>
    <w:rsid w:val="00F36364"/>
    <w:rsid w:val="00F36554"/>
    <w:rsid w:val="00F36627"/>
    <w:rsid w:val="00F3665A"/>
    <w:rsid w:val="00F366FF"/>
    <w:rsid w:val="00F3672B"/>
    <w:rsid w:val="00F3679B"/>
    <w:rsid w:val="00F36889"/>
    <w:rsid w:val="00F368AC"/>
    <w:rsid w:val="00F368B7"/>
    <w:rsid w:val="00F36B3F"/>
    <w:rsid w:val="00F36B78"/>
    <w:rsid w:val="00F36D03"/>
    <w:rsid w:val="00F36F4D"/>
    <w:rsid w:val="00F37161"/>
    <w:rsid w:val="00F372F8"/>
    <w:rsid w:val="00F373BC"/>
    <w:rsid w:val="00F37421"/>
    <w:rsid w:val="00F37CCC"/>
    <w:rsid w:val="00F37DE6"/>
    <w:rsid w:val="00F37E80"/>
    <w:rsid w:val="00F40046"/>
    <w:rsid w:val="00F40455"/>
    <w:rsid w:val="00F4046E"/>
    <w:rsid w:val="00F4048E"/>
    <w:rsid w:val="00F405B3"/>
    <w:rsid w:val="00F40637"/>
    <w:rsid w:val="00F40747"/>
    <w:rsid w:val="00F4085A"/>
    <w:rsid w:val="00F40A09"/>
    <w:rsid w:val="00F40A69"/>
    <w:rsid w:val="00F40BBE"/>
    <w:rsid w:val="00F40D7C"/>
    <w:rsid w:val="00F40DCD"/>
    <w:rsid w:val="00F40E84"/>
    <w:rsid w:val="00F40E91"/>
    <w:rsid w:val="00F4118F"/>
    <w:rsid w:val="00F411F4"/>
    <w:rsid w:val="00F4123F"/>
    <w:rsid w:val="00F412B7"/>
    <w:rsid w:val="00F413AB"/>
    <w:rsid w:val="00F413CB"/>
    <w:rsid w:val="00F41660"/>
    <w:rsid w:val="00F4175B"/>
    <w:rsid w:val="00F418AD"/>
    <w:rsid w:val="00F41913"/>
    <w:rsid w:val="00F41CC6"/>
    <w:rsid w:val="00F41E83"/>
    <w:rsid w:val="00F41FD6"/>
    <w:rsid w:val="00F41FED"/>
    <w:rsid w:val="00F42227"/>
    <w:rsid w:val="00F425FB"/>
    <w:rsid w:val="00F4269A"/>
    <w:rsid w:val="00F426C0"/>
    <w:rsid w:val="00F42743"/>
    <w:rsid w:val="00F42823"/>
    <w:rsid w:val="00F42890"/>
    <w:rsid w:val="00F42A0E"/>
    <w:rsid w:val="00F42A1B"/>
    <w:rsid w:val="00F42B53"/>
    <w:rsid w:val="00F42BF2"/>
    <w:rsid w:val="00F42C60"/>
    <w:rsid w:val="00F42E62"/>
    <w:rsid w:val="00F43031"/>
    <w:rsid w:val="00F430F8"/>
    <w:rsid w:val="00F43106"/>
    <w:rsid w:val="00F43123"/>
    <w:rsid w:val="00F4317F"/>
    <w:rsid w:val="00F4327F"/>
    <w:rsid w:val="00F432F7"/>
    <w:rsid w:val="00F4344A"/>
    <w:rsid w:val="00F43468"/>
    <w:rsid w:val="00F43589"/>
    <w:rsid w:val="00F436C1"/>
    <w:rsid w:val="00F43712"/>
    <w:rsid w:val="00F4384A"/>
    <w:rsid w:val="00F43873"/>
    <w:rsid w:val="00F438E4"/>
    <w:rsid w:val="00F43933"/>
    <w:rsid w:val="00F4457C"/>
    <w:rsid w:val="00F445E9"/>
    <w:rsid w:val="00F44641"/>
    <w:rsid w:val="00F44695"/>
    <w:rsid w:val="00F44796"/>
    <w:rsid w:val="00F44A8E"/>
    <w:rsid w:val="00F44D24"/>
    <w:rsid w:val="00F44F84"/>
    <w:rsid w:val="00F44FC9"/>
    <w:rsid w:val="00F451DB"/>
    <w:rsid w:val="00F452D4"/>
    <w:rsid w:val="00F455E8"/>
    <w:rsid w:val="00F45655"/>
    <w:rsid w:val="00F456BC"/>
    <w:rsid w:val="00F457F2"/>
    <w:rsid w:val="00F458DE"/>
    <w:rsid w:val="00F45ACF"/>
    <w:rsid w:val="00F45B08"/>
    <w:rsid w:val="00F45BED"/>
    <w:rsid w:val="00F45D87"/>
    <w:rsid w:val="00F45F45"/>
    <w:rsid w:val="00F45FBC"/>
    <w:rsid w:val="00F46088"/>
    <w:rsid w:val="00F460A9"/>
    <w:rsid w:val="00F461A4"/>
    <w:rsid w:val="00F462A5"/>
    <w:rsid w:val="00F4631E"/>
    <w:rsid w:val="00F463A1"/>
    <w:rsid w:val="00F464D2"/>
    <w:rsid w:val="00F464FB"/>
    <w:rsid w:val="00F468DE"/>
    <w:rsid w:val="00F46D02"/>
    <w:rsid w:val="00F46D2E"/>
    <w:rsid w:val="00F473CB"/>
    <w:rsid w:val="00F473CE"/>
    <w:rsid w:val="00F47425"/>
    <w:rsid w:val="00F47453"/>
    <w:rsid w:val="00F47647"/>
    <w:rsid w:val="00F47652"/>
    <w:rsid w:val="00F47841"/>
    <w:rsid w:val="00F47A43"/>
    <w:rsid w:val="00F47AC6"/>
    <w:rsid w:val="00F47ACA"/>
    <w:rsid w:val="00F47B35"/>
    <w:rsid w:val="00F47D6A"/>
    <w:rsid w:val="00F47F7A"/>
    <w:rsid w:val="00F501C3"/>
    <w:rsid w:val="00F50249"/>
    <w:rsid w:val="00F502EE"/>
    <w:rsid w:val="00F5040E"/>
    <w:rsid w:val="00F5048E"/>
    <w:rsid w:val="00F505FE"/>
    <w:rsid w:val="00F50822"/>
    <w:rsid w:val="00F50983"/>
    <w:rsid w:val="00F5098E"/>
    <w:rsid w:val="00F50B6D"/>
    <w:rsid w:val="00F50D9F"/>
    <w:rsid w:val="00F50E38"/>
    <w:rsid w:val="00F50E63"/>
    <w:rsid w:val="00F50EB6"/>
    <w:rsid w:val="00F50EE9"/>
    <w:rsid w:val="00F51175"/>
    <w:rsid w:val="00F51194"/>
    <w:rsid w:val="00F513E9"/>
    <w:rsid w:val="00F51468"/>
    <w:rsid w:val="00F514AB"/>
    <w:rsid w:val="00F515D8"/>
    <w:rsid w:val="00F51A7A"/>
    <w:rsid w:val="00F51B51"/>
    <w:rsid w:val="00F51C18"/>
    <w:rsid w:val="00F524DD"/>
    <w:rsid w:val="00F524F9"/>
    <w:rsid w:val="00F52594"/>
    <w:rsid w:val="00F527B3"/>
    <w:rsid w:val="00F529BE"/>
    <w:rsid w:val="00F52B57"/>
    <w:rsid w:val="00F52C8C"/>
    <w:rsid w:val="00F52E4C"/>
    <w:rsid w:val="00F52F6E"/>
    <w:rsid w:val="00F53082"/>
    <w:rsid w:val="00F530D4"/>
    <w:rsid w:val="00F531DD"/>
    <w:rsid w:val="00F531F6"/>
    <w:rsid w:val="00F532A2"/>
    <w:rsid w:val="00F53331"/>
    <w:rsid w:val="00F534B7"/>
    <w:rsid w:val="00F53517"/>
    <w:rsid w:val="00F53633"/>
    <w:rsid w:val="00F536C3"/>
    <w:rsid w:val="00F53980"/>
    <w:rsid w:val="00F53C75"/>
    <w:rsid w:val="00F53D47"/>
    <w:rsid w:val="00F53E43"/>
    <w:rsid w:val="00F53F7B"/>
    <w:rsid w:val="00F54108"/>
    <w:rsid w:val="00F5414C"/>
    <w:rsid w:val="00F54255"/>
    <w:rsid w:val="00F542DC"/>
    <w:rsid w:val="00F543A1"/>
    <w:rsid w:val="00F54407"/>
    <w:rsid w:val="00F54556"/>
    <w:rsid w:val="00F5469A"/>
    <w:rsid w:val="00F54B23"/>
    <w:rsid w:val="00F54B59"/>
    <w:rsid w:val="00F54C65"/>
    <w:rsid w:val="00F54CBA"/>
    <w:rsid w:val="00F54CD6"/>
    <w:rsid w:val="00F54DF4"/>
    <w:rsid w:val="00F550EA"/>
    <w:rsid w:val="00F5515B"/>
    <w:rsid w:val="00F55175"/>
    <w:rsid w:val="00F551CC"/>
    <w:rsid w:val="00F551FF"/>
    <w:rsid w:val="00F5522D"/>
    <w:rsid w:val="00F55315"/>
    <w:rsid w:val="00F55539"/>
    <w:rsid w:val="00F555D7"/>
    <w:rsid w:val="00F555ED"/>
    <w:rsid w:val="00F55611"/>
    <w:rsid w:val="00F55652"/>
    <w:rsid w:val="00F55926"/>
    <w:rsid w:val="00F559E8"/>
    <w:rsid w:val="00F55A67"/>
    <w:rsid w:val="00F55A78"/>
    <w:rsid w:val="00F55CC8"/>
    <w:rsid w:val="00F55D07"/>
    <w:rsid w:val="00F55D16"/>
    <w:rsid w:val="00F55EE9"/>
    <w:rsid w:val="00F55F49"/>
    <w:rsid w:val="00F55F81"/>
    <w:rsid w:val="00F56635"/>
    <w:rsid w:val="00F56B13"/>
    <w:rsid w:val="00F56B5A"/>
    <w:rsid w:val="00F56C63"/>
    <w:rsid w:val="00F56F05"/>
    <w:rsid w:val="00F57008"/>
    <w:rsid w:val="00F570C7"/>
    <w:rsid w:val="00F5723B"/>
    <w:rsid w:val="00F573C0"/>
    <w:rsid w:val="00F57588"/>
    <w:rsid w:val="00F5763C"/>
    <w:rsid w:val="00F578B0"/>
    <w:rsid w:val="00F578E9"/>
    <w:rsid w:val="00F57A54"/>
    <w:rsid w:val="00F57C06"/>
    <w:rsid w:val="00F57D6A"/>
    <w:rsid w:val="00F57E0C"/>
    <w:rsid w:val="00F57EC5"/>
    <w:rsid w:val="00F57F77"/>
    <w:rsid w:val="00F60113"/>
    <w:rsid w:val="00F601DD"/>
    <w:rsid w:val="00F6033C"/>
    <w:rsid w:val="00F60422"/>
    <w:rsid w:val="00F60570"/>
    <w:rsid w:val="00F609C4"/>
    <w:rsid w:val="00F60B09"/>
    <w:rsid w:val="00F60C5F"/>
    <w:rsid w:val="00F60F63"/>
    <w:rsid w:val="00F61105"/>
    <w:rsid w:val="00F6121C"/>
    <w:rsid w:val="00F61600"/>
    <w:rsid w:val="00F61739"/>
    <w:rsid w:val="00F61819"/>
    <w:rsid w:val="00F61867"/>
    <w:rsid w:val="00F61917"/>
    <w:rsid w:val="00F6192D"/>
    <w:rsid w:val="00F619E8"/>
    <w:rsid w:val="00F61A34"/>
    <w:rsid w:val="00F61ADA"/>
    <w:rsid w:val="00F61BFA"/>
    <w:rsid w:val="00F61C66"/>
    <w:rsid w:val="00F61CC1"/>
    <w:rsid w:val="00F62070"/>
    <w:rsid w:val="00F62096"/>
    <w:rsid w:val="00F62186"/>
    <w:rsid w:val="00F621D3"/>
    <w:rsid w:val="00F622D6"/>
    <w:rsid w:val="00F624FA"/>
    <w:rsid w:val="00F628E2"/>
    <w:rsid w:val="00F62949"/>
    <w:rsid w:val="00F62D60"/>
    <w:rsid w:val="00F62DE1"/>
    <w:rsid w:val="00F62FDE"/>
    <w:rsid w:val="00F630DD"/>
    <w:rsid w:val="00F63188"/>
    <w:rsid w:val="00F631CB"/>
    <w:rsid w:val="00F631EE"/>
    <w:rsid w:val="00F6327B"/>
    <w:rsid w:val="00F632DD"/>
    <w:rsid w:val="00F63372"/>
    <w:rsid w:val="00F63373"/>
    <w:rsid w:val="00F63377"/>
    <w:rsid w:val="00F63395"/>
    <w:rsid w:val="00F63563"/>
    <w:rsid w:val="00F635C3"/>
    <w:rsid w:val="00F63717"/>
    <w:rsid w:val="00F637A7"/>
    <w:rsid w:val="00F637BC"/>
    <w:rsid w:val="00F63839"/>
    <w:rsid w:val="00F63B6C"/>
    <w:rsid w:val="00F63C13"/>
    <w:rsid w:val="00F63CA8"/>
    <w:rsid w:val="00F63CE9"/>
    <w:rsid w:val="00F63E60"/>
    <w:rsid w:val="00F63EDC"/>
    <w:rsid w:val="00F64212"/>
    <w:rsid w:val="00F642D2"/>
    <w:rsid w:val="00F64455"/>
    <w:rsid w:val="00F64569"/>
    <w:rsid w:val="00F647A4"/>
    <w:rsid w:val="00F6481B"/>
    <w:rsid w:val="00F649ED"/>
    <w:rsid w:val="00F64BB2"/>
    <w:rsid w:val="00F64C1C"/>
    <w:rsid w:val="00F64C28"/>
    <w:rsid w:val="00F64D35"/>
    <w:rsid w:val="00F64F58"/>
    <w:rsid w:val="00F64FD5"/>
    <w:rsid w:val="00F65108"/>
    <w:rsid w:val="00F6513E"/>
    <w:rsid w:val="00F652DC"/>
    <w:rsid w:val="00F65350"/>
    <w:rsid w:val="00F6547F"/>
    <w:rsid w:val="00F658B9"/>
    <w:rsid w:val="00F6598C"/>
    <w:rsid w:val="00F65C72"/>
    <w:rsid w:val="00F65D2B"/>
    <w:rsid w:val="00F65D98"/>
    <w:rsid w:val="00F66299"/>
    <w:rsid w:val="00F66438"/>
    <w:rsid w:val="00F66469"/>
    <w:rsid w:val="00F66552"/>
    <w:rsid w:val="00F66621"/>
    <w:rsid w:val="00F667B8"/>
    <w:rsid w:val="00F66979"/>
    <w:rsid w:val="00F669F1"/>
    <w:rsid w:val="00F66A5A"/>
    <w:rsid w:val="00F66B0A"/>
    <w:rsid w:val="00F66B9D"/>
    <w:rsid w:val="00F66BD1"/>
    <w:rsid w:val="00F66E0A"/>
    <w:rsid w:val="00F66FB5"/>
    <w:rsid w:val="00F67205"/>
    <w:rsid w:val="00F6741C"/>
    <w:rsid w:val="00F6762F"/>
    <w:rsid w:val="00F676F0"/>
    <w:rsid w:val="00F6771E"/>
    <w:rsid w:val="00F67748"/>
    <w:rsid w:val="00F677A0"/>
    <w:rsid w:val="00F677A1"/>
    <w:rsid w:val="00F67905"/>
    <w:rsid w:val="00F67C37"/>
    <w:rsid w:val="00F67F07"/>
    <w:rsid w:val="00F701B8"/>
    <w:rsid w:val="00F701FB"/>
    <w:rsid w:val="00F70553"/>
    <w:rsid w:val="00F70581"/>
    <w:rsid w:val="00F70631"/>
    <w:rsid w:val="00F708EA"/>
    <w:rsid w:val="00F70A5F"/>
    <w:rsid w:val="00F70AC3"/>
    <w:rsid w:val="00F70B5D"/>
    <w:rsid w:val="00F70B6B"/>
    <w:rsid w:val="00F70DC0"/>
    <w:rsid w:val="00F7106F"/>
    <w:rsid w:val="00F71439"/>
    <w:rsid w:val="00F71557"/>
    <w:rsid w:val="00F715B7"/>
    <w:rsid w:val="00F7167B"/>
    <w:rsid w:val="00F71739"/>
    <w:rsid w:val="00F7173E"/>
    <w:rsid w:val="00F717F2"/>
    <w:rsid w:val="00F71970"/>
    <w:rsid w:val="00F719CF"/>
    <w:rsid w:val="00F71DCE"/>
    <w:rsid w:val="00F71FC6"/>
    <w:rsid w:val="00F71FD1"/>
    <w:rsid w:val="00F720B7"/>
    <w:rsid w:val="00F720C1"/>
    <w:rsid w:val="00F72150"/>
    <w:rsid w:val="00F721CD"/>
    <w:rsid w:val="00F722A5"/>
    <w:rsid w:val="00F72533"/>
    <w:rsid w:val="00F72A53"/>
    <w:rsid w:val="00F72A62"/>
    <w:rsid w:val="00F72B32"/>
    <w:rsid w:val="00F72C12"/>
    <w:rsid w:val="00F72E0F"/>
    <w:rsid w:val="00F72F98"/>
    <w:rsid w:val="00F7303F"/>
    <w:rsid w:val="00F7307D"/>
    <w:rsid w:val="00F73133"/>
    <w:rsid w:val="00F731C6"/>
    <w:rsid w:val="00F731FB"/>
    <w:rsid w:val="00F73318"/>
    <w:rsid w:val="00F735A3"/>
    <w:rsid w:val="00F738E8"/>
    <w:rsid w:val="00F73BA6"/>
    <w:rsid w:val="00F73C2C"/>
    <w:rsid w:val="00F73F56"/>
    <w:rsid w:val="00F74094"/>
    <w:rsid w:val="00F74257"/>
    <w:rsid w:val="00F743E2"/>
    <w:rsid w:val="00F743E4"/>
    <w:rsid w:val="00F7445B"/>
    <w:rsid w:val="00F74486"/>
    <w:rsid w:val="00F74633"/>
    <w:rsid w:val="00F74665"/>
    <w:rsid w:val="00F74927"/>
    <w:rsid w:val="00F74A09"/>
    <w:rsid w:val="00F74A5B"/>
    <w:rsid w:val="00F74CFB"/>
    <w:rsid w:val="00F74D1C"/>
    <w:rsid w:val="00F75093"/>
    <w:rsid w:val="00F7518F"/>
    <w:rsid w:val="00F75263"/>
    <w:rsid w:val="00F752DC"/>
    <w:rsid w:val="00F7550D"/>
    <w:rsid w:val="00F75686"/>
    <w:rsid w:val="00F756CD"/>
    <w:rsid w:val="00F7576A"/>
    <w:rsid w:val="00F757CE"/>
    <w:rsid w:val="00F75AC1"/>
    <w:rsid w:val="00F75E69"/>
    <w:rsid w:val="00F75F6B"/>
    <w:rsid w:val="00F76291"/>
    <w:rsid w:val="00F763FE"/>
    <w:rsid w:val="00F7643E"/>
    <w:rsid w:val="00F7647B"/>
    <w:rsid w:val="00F76545"/>
    <w:rsid w:val="00F7670A"/>
    <w:rsid w:val="00F76805"/>
    <w:rsid w:val="00F76827"/>
    <w:rsid w:val="00F76882"/>
    <w:rsid w:val="00F768EF"/>
    <w:rsid w:val="00F7698B"/>
    <w:rsid w:val="00F76B60"/>
    <w:rsid w:val="00F76DE5"/>
    <w:rsid w:val="00F7729E"/>
    <w:rsid w:val="00F7762E"/>
    <w:rsid w:val="00F77654"/>
    <w:rsid w:val="00F77A4B"/>
    <w:rsid w:val="00F77BE6"/>
    <w:rsid w:val="00F77CB0"/>
    <w:rsid w:val="00F77E91"/>
    <w:rsid w:val="00F77EE0"/>
    <w:rsid w:val="00F8007A"/>
    <w:rsid w:val="00F8008A"/>
    <w:rsid w:val="00F80309"/>
    <w:rsid w:val="00F809C8"/>
    <w:rsid w:val="00F80C43"/>
    <w:rsid w:val="00F80DAC"/>
    <w:rsid w:val="00F80E18"/>
    <w:rsid w:val="00F81100"/>
    <w:rsid w:val="00F81127"/>
    <w:rsid w:val="00F81155"/>
    <w:rsid w:val="00F81207"/>
    <w:rsid w:val="00F812A1"/>
    <w:rsid w:val="00F812A8"/>
    <w:rsid w:val="00F8173F"/>
    <w:rsid w:val="00F81901"/>
    <w:rsid w:val="00F819D8"/>
    <w:rsid w:val="00F81ABD"/>
    <w:rsid w:val="00F81B76"/>
    <w:rsid w:val="00F81BF1"/>
    <w:rsid w:val="00F81DF9"/>
    <w:rsid w:val="00F81E35"/>
    <w:rsid w:val="00F81E41"/>
    <w:rsid w:val="00F81FD7"/>
    <w:rsid w:val="00F821A6"/>
    <w:rsid w:val="00F8228A"/>
    <w:rsid w:val="00F824AD"/>
    <w:rsid w:val="00F8252B"/>
    <w:rsid w:val="00F82A14"/>
    <w:rsid w:val="00F82ABC"/>
    <w:rsid w:val="00F82E0C"/>
    <w:rsid w:val="00F82EEE"/>
    <w:rsid w:val="00F82F2D"/>
    <w:rsid w:val="00F83029"/>
    <w:rsid w:val="00F83048"/>
    <w:rsid w:val="00F830DD"/>
    <w:rsid w:val="00F8315C"/>
    <w:rsid w:val="00F8315F"/>
    <w:rsid w:val="00F835B4"/>
    <w:rsid w:val="00F83718"/>
    <w:rsid w:val="00F83776"/>
    <w:rsid w:val="00F83B6C"/>
    <w:rsid w:val="00F83C87"/>
    <w:rsid w:val="00F83E5E"/>
    <w:rsid w:val="00F83F07"/>
    <w:rsid w:val="00F8422F"/>
    <w:rsid w:val="00F84397"/>
    <w:rsid w:val="00F843E1"/>
    <w:rsid w:val="00F843F8"/>
    <w:rsid w:val="00F84586"/>
    <w:rsid w:val="00F84708"/>
    <w:rsid w:val="00F84854"/>
    <w:rsid w:val="00F8488C"/>
    <w:rsid w:val="00F849C3"/>
    <w:rsid w:val="00F84C7E"/>
    <w:rsid w:val="00F84CF1"/>
    <w:rsid w:val="00F85187"/>
    <w:rsid w:val="00F85487"/>
    <w:rsid w:val="00F8553A"/>
    <w:rsid w:val="00F85594"/>
    <w:rsid w:val="00F855EB"/>
    <w:rsid w:val="00F8594C"/>
    <w:rsid w:val="00F85AFC"/>
    <w:rsid w:val="00F85CD5"/>
    <w:rsid w:val="00F85ECD"/>
    <w:rsid w:val="00F85F33"/>
    <w:rsid w:val="00F86378"/>
    <w:rsid w:val="00F86391"/>
    <w:rsid w:val="00F86617"/>
    <w:rsid w:val="00F866C9"/>
    <w:rsid w:val="00F866FB"/>
    <w:rsid w:val="00F867A7"/>
    <w:rsid w:val="00F8684C"/>
    <w:rsid w:val="00F868FA"/>
    <w:rsid w:val="00F86CA4"/>
    <w:rsid w:val="00F86F0F"/>
    <w:rsid w:val="00F86FF2"/>
    <w:rsid w:val="00F8753C"/>
    <w:rsid w:val="00F87549"/>
    <w:rsid w:val="00F8774E"/>
    <w:rsid w:val="00F8798E"/>
    <w:rsid w:val="00F879A1"/>
    <w:rsid w:val="00F87C61"/>
    <w:rsid w:val="00F87C9A"/>
    <w:rsid w:val="00F87DC0"/>
    <w:rsid w:val="00F87DD3"/>
    <w:rsid w:val="00F87E02"/>
    <w:rsid w:val="00F87EF9"/>
    <w:rsid w:val="00F87F32"/>
    <w:rsid w:val="00F9007E"/>
    <w:rsid w:val="00F902A0"/>
    <w:rsid w:val="00F906B3"/>
    <w:rsid w:val="00F90A58"/>
    <w:rsid w:val="00F90A73"/>
    <w:rsid w:val="00F90B1D"/>
    <w:rsid w:val="00F90E53"/>
    <w:rsid w:val="00F90FD8"/>
    <w:rsid w:val="00F9132D"/>
    <w:rsid w:val="00F91390"/>
    <w:rsid w:val="00F91745"/>
    <w:rsid w:val="00F91781"/>
    <w:rsid w:val="00F91862"/>
    <w:rsid w:val="00F91970"/>
    <w:rsid w:val="00F91BF7"/>
    <w:rsid w:val="00F91DEC"/>
    <w:rsid w:val="00F9230A"/>
    <w:rsid w:val="00F92356"/>
    <w:rsid w:val="00F92396"/>
    <w:rsid w:val="00F926D3"/>
    <w:rsid w:val="00F92A01"/>
    <w:rsid w:val="00F92A28"/>
    <w:rsid w:val="00F92B32"/>
    <w:rsid w:val="00F92BB2"/>
    <w:rsid w:val="00F92D49"/>
    <w:rsid w:val="00F92E77"/>
    <w:rsid w:val="00F92EE2"/>
    <w:rsid w:val="00F92F99"/>
    <w:rsid w:val="00F93018"/>
    <w:rsid w:val="00F93157"/>
    <w:rsid w:val="00F93265"/>
    <w:rsid w:val="00F93629"/>
    <w:rsid w:val="00F9362A"/>
    <w:rsid w:val="00F9363C"/>
    <w:rsid w:val="00F937FC"/>
    <w:rsid w:val="00F93842"/>
    <w:rsid w:val="00F93A7F"/>
    <w:rsid w:val="00F93C47"/>
    <w:rsid w:val="00F93DAF"/>
    <w:rsid w:val="00F93E63"/>
    <w:rsid w:val="00F93E65"/>
    <w:rsid w:val="00F93FBE"/>
    <w:rsid w:val="00F94097"/>
    <w:rsid w:val="00F94142"/>
    <w:rsid w:val="00F9429F"/>
    <w:rsid w:val="00F9432B"/>
    <w:rsid w:val="00F944B4"/>
    <w:rsid w:val="00F94694"/>
    <w:rsid w:val="00F948F5"/>
    <w:rsid w:val="00F94A92"/>
    <w:rsid w:val="00F94CCE"/>
    <w:rsid w:val="00F94DA5"/>
    <w:rsid w:val="00F94ED6"/>
    <w:rsid w:val="00F94EDC"/>
    <w:rsid w:val="00F9500B"/>
    <w:rsid w:val="00F953D2"/>
    <w:rsid w:val="00F95514"/>
    <w:rsid w:val="00F955D6"/>
    <w:rsid w:val="00F955FE"/>
    <w:rsid w:val="00F956D0"/>
    <w:rsid w:val="00F959DF"/>
    <w:rsid w:val="00F95BB4"/>
    <w:rsid w:val="00F95BFD"/>
    <w:rsid w:val="00F95C30"/>
    <w:rsid w:val="00F95C61"/>
    <w:rsid w:val="00F95C6D"/>
    <w:rsid w:val="00F95D32"/>
    <w:rsid w:val="00F95D3D"/>
    <w:rsid w:val="00F95DB1"/>
    <w:rsid w:val="00F95F66"/>
    <w:rsid w:val="00F95F80"/>
    <w:rsid w:val="00F96024"/>
    <w:rsid w:val="00F96222"/>
    <w:rsid w:val="00F96396"/>
    <w:rsid w:val="00F965F3"/>
    <w:rsid w:val="00F965FD"/>
    <w:rsid w:val="00F966F1"/>
    <w:rsid w:val="00F96823"/>
    <w:rsid w:val="00F9694A"/>
    <w:rsid w:val="00F96A6C"/>
    <w:rsid w:val="00F96B3F"/>
    <w:rsid w:val="00F96B91"/>
    <w:rsid w:val="00F96E70"/>
    <w:rsid w:val="00F96EF8"/>
    <w:rsid w:val="00F96F58"/>
    <w:rsid w:val="00F97081"/>
    <w:rsid w:val="00F970FE"/>
    <w:rsid w:val="00F975DF"/>
    <w:rsid w:val="00F976DA"/>
    <w:rsid w:val="00F9777D"/>
    <w:rsid w:val="00F97781"/>
    <w:rsid w:val="00F979AB"/>
    <w:rsid w:val="00F97A7B"/>
    <w:rsid w:val="00F97EB1"/>
    <w:rsid w:val="00FA051B"/>
    <w:rsid w:val="00FA054A"/>
    <w:rsid w:val="00FA0679"/>
    <w:rsid w:val="00FA07E1"/>
    <w:rsid w:val="00FA0A0D"/>
    <w:rsid w:val="00FA0A4F"/>
    <w:rsid w:val="00FA0C09"/>
    <w:rsid w:val="00FA0CAE"/>
    <w:rsid w:val="00FA1261"/>
    <w:rsid w:val="00FA1328"/>
    <w:rsid w:val="00FA1457"/>
    <w:rsid w:val="00FA15D1"/>
    <w:rsid w:val="00FA1776"/>
    <w:rsid w:val="00FA1AE5"/>
    <w:rsid w:val="00FA1EC3"/>
    <w:rsid w:val="00FA1F18"/>
    <w:rsid w:val="00FA21BE"/>
    <w:rsid w:val="00FA21DF"/>
    <w:rsid w:val="00FA2242"/>
    <w:rsid w:val="00FA25E0"/>
    <w:rsid w:val="00FA26F0"/>
    <w:rsid w:val="00FA272B"/>
    <w:rsid w:val="00FA278B"/>
    <w:rsid w:val="00FA28EA"/>
    <w:rsid w:val="00FA2B05"/>
    <w:rsid w:val="00FA2C7F"/>
    <w:rsid w:val="00FA2CE2"/>
    <w:rsid w:val="00FA2E05"/>
    <w:rsid w:val="00FA2E48"/>
    <w:rsid w:val="00FA3730"/>
    <w:rsid w:val="00FA3982"/>
    <w:rsid w:val="00FA3B63"/>
    <w:rsid w:val="00FA3D90"/>
    <w:rsid w:val="00FA3EBA"/>
    <w:rsid w:val="00FA3EC9"/>
    <w:rsid w:val="00FA4073"/>
    <w:rsid w:val="00FA4079"/>
    <w:rsid w:val="00FA40CE"/>
    <w:rsid w:val="00FA424E"/>
    <w:rsid w:val="00FA4265"/>
    <w:rsid w:val="00FA4412"/>
    <w:rsid w:val="00FA44BE"/>
    <w:rsid w:val="00FA458F"/>
    <w:rsid w:val="00FA4596"/>
    <w:rsid w:val="00FA4684"/>
    <w:rsid w:val="00FA47D5"/>
    <w:rsid w:val="00FA520E"/>
    <w:rsid w:val="00FA53B9"/>
    <w:rsid w:val="00FA541F"/>
    <w:rsid w:val="00FA547F"/>
    <w:rsid w:val="00FA552C"/>
    <w:rsid w:val="00FA582C"/>
    <w:rsid w:val="00FA585E"/>
    <w:rsid w:val="00FA5907"/>
    <w:rsid w:val="00FA5AE8"/>
    <w:rsid w:val="00FA5B7F"/>
    <w:rsid w:val="00FA5E45"/>
    <w:rsid w:val="00FA613D"/>
    <w:rsid w:val="00FA616B"/>
    <w:rsid w:val="00FA6244"/>
    <w:rsid w:val="00FA6331"/>
    <w:rsid w:val="00FA6555"/>
    <w:rsid w:val="00FA6889"/>
    <w:rsid w:val="00FA68D4"/>
    <w:rsid w:val="00FA68D6"/>
    <w:rsid w:val="00FA68EC"/>
    <w:rsid w:val="00FA6C52"/>
    <w:rsid w:val="00FA6C69"/>
    <w:rsid w:val="00FA6CC6"/>
    <w:rsid w:val="00FA7089"/>
    <w:rsid w:val="00FA72E8"/>
    <w:rsid w:val="00FA733C"/>
    <w:rsid w:val="00FA738B"/>
    <w:rsid w:val="00FA751B"/>
    <w:rsid w:val="00FA75DB"/>
    <w:rsid w:val="00FA782A"/>
    <w:rsid w:val="00FA789A"/>
    <w:rsid w:val="00FA78C2"/>
    <w:rsid w:val="00FA7A27"/>
    <w:rsid w:val="00FA7B52"/>
    <w:rsid w:val="00FA7C51"/>
    <w:rsid w:val="00FA7CA6"/>
    <w:rsid w:val="00FB017C"/>
    <w:rsid w:val="00FB01E6"/>
    <w:rsid w:val="00FB0227"/>
    <w:rsid w:val="00FB02B6"/>
    <w:rsid w:val="00FB048A"/>
    <w:rsid w:val="00FB049D"/>
    <w:rsid w:val="00FB0594"/>
    <w:rsid w:val="00FB075B"/>
    <w:rsid w:val="00FB0A8B"/>
    <w:rsid w:val="00FB0C1A"/>
    <w:rsid w:val="00FB0C7A"/>
    <w:rsid w:val="00FB0D6E"/>
    <w:rsid w:val="00FB0F0E"/>
    <w:rsid w:val="00FB0FBD"/>
    <w:rsid w:val="00FB1105"/>
    <w:rsid w:val="00FB168F"/>
    <w:rsid w:val="00FB18FD"/>
    <w:rsid w:val="00FB1A0D"/>
    <w:rsid w:val="00FB1A33"/>
    <w:rsid w:val="00FB1A4E"/>
    <w:rsid w:val="00FB1ADE"/>
    <w:rsid w:val="00FB1BA5"/>
    <w:rsid w:val="00FB1EC2"/>
    <w:rsid w:val="00FB2158"/>
    <w:rsid w:val="00FB23C9"/>
    <w:rsid w:val="00FB24E9"/>
    <w:rsid w:val="00FB252C"/>
    <w:rsid w:val="00FB2579"/>
    <w:rsid w:val="00FB25B0"/>
    <w:rsid w:val="00FB2624"/>
    <w:rsid w:val="00FB272B"/>
    <w:rsid w:val="00FB2808"/>
    <w:rsid w:val="00FB2813"/>
    <w:rsid w:val="00FB29E1"/>
    <w:rsid w:val="00FB2E5C"/>
    <w:rsid w:val="00FB2F4D"/>
    <w:rsid w:val="00FB2F51"/>
    <w:rsid w:val="00FB3066"/>
    <w:rsid w:val="00FB3482"/>
    <w:rsid w:val="00FB34BE"/>
    <w:rsid w:val="00FB3572"/>
    <w:rsid w:val="00FB35A9"/>
    <w:rsid w:val="00FB3BA8"/>
    <w:rsid w:val="00FB3FBC"/>
    <w:rsid w:val="00FB4052"/>
    <w:rsid w:val="00FB4215"/>
    <w:rsid w:val="00FB43A7"/>
    <w:rsid w:val="00FB4492"/>
    <w:rsid w:val="00FB45C0"/>
    <w:rsid w:val="00FB45DA"/>
    <w:rsid w:val="00FB4638"/>
    <w:rsid w:val="00FB46B6"/>
    <w:rsid w:val="00FB47A6"/>
    <w:rsid w:val="00FB4911"/>
    <w:rsid w:val="00FB49BF"/>
    <w:rsid w:val="00FB4C5A"/>
    <w:rsid w:val="00FB4F19"/>
    <w:rsid w:val="00FB4F2B"/>
    <w:rsid w:val="00FB5025"/>
    <w:rsid w:val="00FB507A"/>
    <w:rsid w:val="00FB51D6"/>
    <w:rsid w:val="00FB5268"/>
    <w:rsid w:val="00FB5328"/>
    <w:rsid w:val="00FB5338"/>
    <w:rsid w:val="00FB534B"/>
    <w:rsid w:val="00FB5461"/>
    <w:rsid w:val="00FB54E4"/>
    <w:rsid w:val="00FB571A"/>
    <w:rsid w:val="00FB5B79"/>
    <w:rsid w:val="00FB5C17"/>
    <w:rsid w:val="00FB5C7B"/>
    <w:rsid w:val="00FB5CA7"/>
    <w:rsid w:val="00FB5CD4"/>
    <w:rsid w:val="00FB5F4B"/>
    <w:rsid w:val="00FB5F90"/>
    <w:rsid w:val="00FB603A"/>
    <w:rsid w:val="00FB61C2"/>
    <w:rsid w:val="00FB6384"/>
    <w:rsid w:val="00FB65BC"/>
    <w:rsid w:val="00FB67B1"/>
    <w:rsid w:val="00FB6858"/>
    <w:rsid w:val="00FB6A25"/>
    <w:rsid w:val="00FB6A75"/>
    <w:rsid w:val="00FB6B1B"/>
    <w:rsid w:val="00FB6CC4"/>
    <w:rsid w:val="00FB6D8E"/>
    <w:rsid w:val="00FB6FEB"/>
    <w:rsid w:val="00FB7319"/>
    <w:rsid w:val="00FB78C5"/>
    <w:rsid w:val="00FB7D0B"/>
    <w:rsid w:val="00FB7E6D"/>
    <w:rsid w:val="00FB7FB8"/>
    <w:rsid w:val="00FC0225"/>
    <w:rsid w:val="00FC0403"/>
    <w:rsid w:val="00FC0563"/>
    <w:rsid w:val="00FC06E9"/>
    <w:rsid w:val="00FC0A7A"/>
    <w:rsid w:val="00FC0B12"/>
    <w:rsid w:val="00FC0D5A"/>
    <w:rsid w:val="00FC0E11"/>
    <w:rsid w:val="00FC0F0E"/>
    <w:rsid w:val="00FC0FFE"/>
    <w:rsid w:val="00FC1034"/>
    <w:rsid w:val="00FC10A2"/>
    <w:rsid w:val="00FC111B"/>
    <w:rsid w:val="00FC11BD"/>
    <w:rsid w:val="00FC12BF"/>
    <w:rsid w:val="00FC1323"/>
    <w:rsid w:val="00FC161E"/>
    <w:rsid w:val="00FC1BE4"/>
    <w:rsid w:val="00FC1E4F"/>
    <w:rsid w:val="00FC2139"/>
    <w:rsid w:val="00FC21C9"/>
    <w:rsid w:val="00FC21F4"/>
    <w:rsid w:val="00FC2209"/>
    <w:rsid w:val="00FC223B"/>
    <w:rsid w:val="00FC2343"/>
    <w:rsid w:val="00FC23E9"/>
    <w:rsid w:val="00FC24DD"/>
    <w:rsid w:val="00FC2612"/>
    <w:rsid w:val="00FC27F8"/>
    <w:rsid w:val="00FC2871"/>
    <w:rsid w:val="00FC28E7"/>
    <w:rsid w:val="00FC2906"/>
    <w:rsid w:val="00FC2961"/>
    <w:rsid w:val="00FC29FE"/>
    <w:rsid w:val="00FC2B72"/>
    <w:rsid w:val="00FC2C12"/>
    <w:rsid w:val="00FC2D83"/>
    <w:rsid w:val="00FC2EDD"/>
    <w:rsid w:val="00FC34F4"/>
    <w:rsid w:val="00FC3515"/>
    <w:rsid w:val="00FC3947"/>
    <w:rsid w:val="00FC3B9F"/>
    <w:rsid w:val="00FC3D53"/>
    <w:rsid w:val="00FC3EB1"/>
    <w:rsid w:val="00FC4090"/>
    <w:rsid w:val="00FC4101"/>
    <w:rsid w:val="00FC4291"/>
    <w:rsid w:val="00FC42D8"/>
    <w:rsid w:val="00FC4355"/>
    <w:rsid w:val="00FC446C"/>
    <w:rsid w:val="00FC44E3"/>
    <w:rsid w:val="00FC45CB"/>
    <w:rsid w:val="00FC463B"/>
    <w:rsid w:val="00FC464F"/>
    <w:rsid w:val="00FC46BF"/>
    <w:rsid w:val="00FC47A9"/>
    <w:rsid w:val="00FC4A5C"/>
    <w:rsid w:val="00FC4B24"/>
    <w:rsid w:val="00FC4C8C"/>
    <w:rsid w:val="00FC4DC3"/>
    <w:rsid w:val="00FC4DF5"/>
    <w:rsid w:val="00FC4E90"/>
    <w:rsid w:val="00FC4F21"/>
    <w:rsid w:val="00FC4FCB"/>
    <w:rsid w:val="00FC533E"/>
    <w:rsid w:val="00FC5747"/>
    <w:rsid w:val="00FC5795"/>
    <w:rsid w:val="00FC57CD"/>
    <w:rsid w:val="00FC5896"/>
    <w:rsid w:val="00FC5A10"/>
    <w:rsid w:val="00FC5AEF"/>
    <w:rsid w:val="00FC5D3F"/>
    <w:rsid w:val="00FC5D84"/>
    <w:rsid w:val="00FC60CC"/>
    <w:rsid w:val="00FC6120"/>
    <w:rsid w:val="00FC61C5"/>
    <w:rsid w:val="00FC67FA"/>
    <w:rsid w:val="00FC68D0"/>
    <w:rsid w:val="00FC6A70"/>
    <w:rsid w:val="00FC6AAA"/>
    <w:rsid w:val="00FC6B04"/>
    <w:rsid w:val="00FC6B69"/>
    <w:rsid w:val="00FC6CB8"/>
    <w:rsid w:val="00FC6CC3"/>
    <w:rsid w:val="00FC6E40"/>
    <w:rsid w:val="00FC6F22"/>
    <w:rsid w:val="00FC707C"/>
    <w:rsid w:val="00FC709B"/>
    <w:rsid w:val="00FC70BF"/>
    <w:rsid w:val="00FC70E6"/>
    <w:rsid w:val="00FC724D"/>
    <w:rsid w:val="00FC7349"/>
    <w:rsid w:val="00FC7364"/>
    <w:rsid w:val="00FC742D"/>
    <w:rsid w:val="00FC74F7"/>
    <w:rsid w:val="00FC770A"/>
    <w:rsid w:val="00FC7961"/>
    <w:rsid w:val="00FC7BB0"/>
    <w:rsid w:val="00FC7BE4"/>
    <w:rsid w:val="00FC7DB6"/>
    <w:rsid w:val="00FD022D"/>
    <w:rsid w:val="00FD0286"/>
    <w:rsid w:val="00FD02FE"/>
    <w:rsid w:val="00FD03F1"/>
    <w:rsid w:val="00FD066A"/>
    <w:rsid w:val="00FD06A5"/>
    <w:rsid w:val="00FD0791"/>
    <w:rsid w:val="00FD08C9"/>
    <w:rsid w:val="00FD0A03"/>
    <w:rsid w:val="00FD0AD0"/>
    <w:rsid w:val="00FD0AFE"/>
    <w:rsid w:val="00FD0BAD"/>
    <w:rsid w:val="00FD0D5D"/>
    <w:rsid w:val="00FD0E04"/>
    <w:rsid w:val="00FD1121"/>
    <w:rsid w:val="00FD11F5"/>
    <w:rsid w:val="00FD11FF"/>
    <w:rsid w:val="00FD1391"/>
    <w:rsid w:val="00FD142A"/>
    <w:rsid w:val="00FD144F"/>
    <w:rsid w:val="00FD1475"/>
    <w:rsid w:val="00FD157B"/>
    <w:rsid w:val="00FD16A7"/>
    <w:rsid w:val="00FD16B9"/>
    <w:rsid w:val="00FD18F3"/>
    <w:rsid w:val="00FD1CC8"/>
    <w:rsid w:val="00FD2033"/>
    <w:rsid w:val="00FD238F"/>
    <w:rsid w:val="00FD2390"/>
    <w:rsid w:val="00FD23D0"/>
    <w:rsid w:val="00FD24AC"/>
    <w:rsid w:val="00FD24CE"/>
    <w:rsid w:val="00FD27E1"/>
    <w:rsid w:val="00FD2B0D"/>
    <w:rsid w:val="00FD2F68"/>
    <w:rsid w:val="00FD2FB1"/>
    <w:rsid w:val="00FD31A6"/>
    <w:rsid w:val="00FD32CB"/>
    <w:rsid w:val="00FD33C5"/>
    <w:rsid w:val="00FD33D9"/>
    <w:rsid w:val="00FD3405"/>
    <w:rsid w:val="00FD34CF"/>
    <w:rsid w:val="00FD350F"/>
    <w:rsid w:val="00FD359E"/>
    <w:rsid w:val="00FD35E9"/>
    <w:rsid w:val="00FD3682"/>
    <w:rsid w:val="00FD3834"/>
    <w:rsid w:val="00FD3CF8"/>
    <w:rsid w:val="00FD3E2D"/>
    <w:rsid w:val="00FD4006"/>
    <w:rsid w:val="00FD400D"/>
    <w:rsid w:val="00FD4050"/>
    <w:rsid w:val="00FD40E5"/>
    <w:rsid w:val="00FD40EB"/>
    <w:rsid w:val="00FD410E"/>
    <w:rsid w:val="00FD4165"/>
    <w:rsid w:val="00FD4179"/>
    <w:rsid w:val="00FD4287"/>
    <w:rsid w:val="00FD43B8"/>
    <w:rsid w:val="00FD46E8"/>
    <w:rsid w:val="00FD47F2"/>
    <w:rsid w:val="00FD489B"/>
    <w:rsid w:val="00FD4952"/>
    <w:rsid w:val="00FD4986"/>
    <w:rsid w:val="00FD4A0C"/>
    <w:rsid w:val="00FD4A53"/>
    <w:rsid w:val="00FD4BC4"/>
    <w:rsid w:val="00FD4BE1"/>
    <w:rsid w:val="00FD4D37"/>
    <w:rsid w:val="00FD4E28"/>
    <w:rsid w:val="00FD4E9C"/>
    <w:rsid w:val="00FD51A4"/>
    <w:rsid w:val="00FD52E0"/>
    <w:rsid w:val="00FD54B7"/>
    <w:rsid w:val="00FD5AB4"/>
    <w:rsid w:val="00FD5BEC"/>
    <w:rsid w:val="00FD5C9C"/>
    <w:rsid w:val="00FD5D42"/>
    <w:rsid w:val="00FD5EDB"/>
    <w:rsid w:val="00FD65AC"/>
    <w:rsid w:val="00FD65D3"/>
    <w:rsid w:val="00FD66EA"/>
    <w:rsid w:val="00FD671A"/>
    <w:rsid w:val="00FD6741"/>
    <w:rsid w:val="00FD6967"/>
    <w:rsid w:val="00FD6B11"/>
    <w:rsid w:val="00FD6C17"/>
    <w:rsid w:val="00FD6C33"/>
    <w:rsid w:val="00FD6D91"/>
    <w:rsid w:val="00FD6EF7"/>
    <w:rsid w:val="00FD6FFE"/>
    <w:rsid w:val="00FD71E4"/>
    <w:rsid w:val="00FD71FC"/>
    <w:rsid w:val="00FD7292"/>
    <w:rsid w:val="00FD731F"/>
    <w:rsid w:val="00FD7520"/>
    <w:rsid w:val="00FD7625"/>
    <w:rsid w:val="00FD76B2"/>
    <w:rsid w:val="00FD77B5"/>
    <w:rsid w:val="00FD7803"/>
    <w:rsid w:val="00FD7852"/>
    <w:rsid w:val="00FD78DE"/>
    <w:rsid w:val="00FD799C"/>
    <w:rsid w:val="00FD79E1"/>
    <w:rsid w:val="00FD7CB8"/>
    <w:rsid w:val="00FD7CEA"/>
    <w:rsid w:val="00FD7DAE"/>
    <w:rsid w:val="00FD7DFA"/>
    <w:rsid w:val="00FD7EB9"/>
    <w:rsid w:val="00FE0072"/>
    <w:rsid w:val="00FE00DA"/>
    <w:rsid w:val="00FE0170"/>
    <w:rsid w:val="00FE0190"/>
    <w:rsid w:val="00FE019A"/>
    <w:rsid w:val="00FE02B7"/>
    <w:rsid w:val="00FE0447"/>
    <w:rsid w:val="00FE0555"/>
    <w:rsid w:val="00FE05D0"/>
    <w:rsid w:val="00FE095F"/>
    <w:rsid w:val="00FE0A75"/>
    <w:rsid w:val="00FE0C30"/>
    <w:rsid w:val="00FE0D76"/>
    <w:rsid w:val="00FE0ED4"/>
    <w:rsid w:val="00FE0F9E"/>
    <w:rsid w:val="00FE109D"/>
    <w:rsid w:val="00FE10F0"/>
    <w:rsid w:val="00FE126B"/>
    <w:rsid w:val="00FE150A"/>
    <w:rsid w:val="00FE162D"/>
    <w:rsid w:val="00FE1646"/>
    <w:rsid w:val="00FE1670"/>
    <w:rsid w:val="00FE1860"/>
    <w:rsid w:val="00FE1891"/>
    <w:rsid w:val="00FE1E32"/>
    <w:rsid w:val="00FE1EC6"/>
    <w:rsid w:val="00FE1FC6"/>
    <w:rsid w:val="00FE2070"/>
    <w:rsid w:val="00FE2153"/>
    <w:rsid w:val="00FE231D"/>
    <w:rsid w:val="00FE2489"/>
    <w:rsid w:val="00FE2694"/>
    <w:rsid w:val="00FE271C"/>
    <w:rsid w:val="00FE27B7"/>
    <w:rsid w:val="00FE28D7"/>
    <w:rsid w:val="00FE2973"/>
    <w:rsid w:val="00FE2A1B"/>
    <w:rsid w:val="00FE2AC8"/>
    <w:rsid w:val="00FE2E0F"/>
    <w:rsid w:val="00FE3012"/>
    <w:rsid w:val="00FE30E6"/>
    <w:rsid w:val="00FE319F"/>
    <w:rsid w:val="00FE31AB"/>
    <w:rsid w:val="00FE32B3"/>
    <w:rsid w:val="00FE32FD"/>
    <w:rsid w:val="00FE356A"/>
    <w:rsid w:val="00FE358B"/>
    <w:rsid w:val="00FE3653"/>
    <w:rsid w:val="00FE3666"/>
    <w:rsid w:val="00FE370D"/>
    <w:rsid w:val="00FE388D"/>
    <w:rsid w:val="00FE399F"/>
    <w:rsid w:val="00FE3A30"/>
    <w:rsid w:val="00FE3A77"/>
    <w:rsid w:val="00FE3B63"/>
    <w:rsid w:val="00FE407B"/>
    <w:rsid w:val="00FE41D4"/>
    <w:rsid w:val="00FE422D"/>
    <w:rsid w:val="00FE4289"/>
    <w:rsid w:val="00FE441D"/>
    <w:rsid w:val="00FE473B"/>
    <w:rsid w:val="00FE4862"/>
    <w:rsid w:val="00FE4932"/>
    <w:rsid w:val="00FE4B37"/>
    <w:rsid w:val="00FE4C41"/>
    <w:rsid w:val="00FE4E63"/>
    <w:rsid w:val="00FE4FDE"/>
    <w:rsid w:val="00FE50FD"/>
    <w:rsid w:val="00FE519D"/>
    <w:rsid w:val="00FE522C"/>
    <w:rsid w:val="00FE56B5"/>
    <w:rsid w:val="00FE572B"/>
    <w:rsid w:val="00FE5826"/>
    <w:rsid w:val="00FE58A1"/>
    <w:rsid w:val="00FE59BB"/>
    <w:rsid w:val="00FE5A13"/>
    <w:rsid w:val="00FE5B27"/>
    <w:rsid w:val="00FE5B9C"/>
    <w:rsid w:val="00FE5C34"/>
    <w:rsid w:val="00FE62BC"/>
    <w:rsid w:val="00FE634E"/>
    <w:rsid w:val="00FE63F7"/>
    <w:rsid w:val="00FE641D"/>
    <w:rsid w:val="00FE655A"/>
    <w:rsid w:val="00FE65DF"/>
    <w:rsid w:val="00FE675A"/>
    <w:rsid w:val="00FE692E"/>
    <w:rsid w:val="00FE6A3C"/>
    <w:rsid w:val="00FE6E57"/>
    <w:rsid w:val="00FE6EE6"/>
    <w:rsid w:val="00FE6F9E"/>
    <w:rsid w:val="00FE719F"/>
    <w:rsid w:val="00FE7396"/>
    <w:rsid w:val="00FE747A"/>
    <w:rsid w:val="00FE74E1"/>
    <w:rsid w:val="00FE76EA"/>
    <w:rsid w:val="00FE794E"/>
    <w:rsid w:val="00FE7A87"/>
    <w:rsid w:val="00FE7B21"/>
    <w:rsid w:val="00FE7C0C"/>
    <w:rsid w:val="00FE7D68"/>
    <w:rsid w:val="00FE7FA2"/>
    <w:rsid w:val="00FF02F5"/>
    <w:rsid w:val="00FF03CA"/>
    <w:rsid w:val="00FF0541"/>
    <w:rsid w:val="00FF0792"/>
    <w:rsid w:val="00FF09BD"/>
    <w:rsid w:val="00FF0B3D"/>
    <w:rsid w:val="00FF0E34"/>
    <w:rsid w:val="00FF0E98"/>
    <w:rsid w:val="00FF0F8F"/>
    <w:rsid w:val="00FF1026"/>
    <w:rsid w:val="00FF10C0"/>
    <w:rsid w:val="00FF1102"/>
    <w:rsid w:val="00FF131D"/>
    <w:rsid w:val="00FF146D"/>
    <w:rsid w:val="00FF14CC"/>
    <w:rsid w:val="00FF16A7"/>
    <w:rsid w:val="00FF16CE"/>
    <w:rsid w:val="00FF1805"/>
    <w:rsid w:val="00FF18CA"/>
    <w:rsid w:val="00FF1B4D"/>
    <w:rsid w:val="00FF1B6A"/>
    <w:rsid w:val="00FF1D33"/>
    <w:rsid w:val="00FF1D7C"/>
    <w:rsid w:val="00FF1F8A"/>
    <w:rsid w:val="00FF21DF"/>
    <w:rsid w:val="00FF21FF"/>
    <w:rsid w:val="00FF2265"/>
    <w:rsid w:val="00FF22C0"/>
    <w:rsid w:val="00FF239B"/>
    <w:rsid w:val="00FF24F9"/>
    <w:rsid w:val="00FF2B1E"/>
    <w:rsid w:val="00FF2C23"/>
    <w:rsid w:val="00FF2C94"/>
    <w:rsid w:val="00FF2DBD"/>
    <w:rsid w:val="00FF2E21"/>
    <w:rsid w:val="00FF2EA7"/>
    <w:rsid w:val="00FF2F8B"/>
    <w:rsid w:val="00FF303B"/>
    <w:rsid w:val="00FF306A"/>
    <w:rsid w:val="00FF3325"/>
    <w:rsid w:val="00FF333C"/>
    <w:rsid w:val="00FF3368"/>
    <w:rsid w:val="00FF337A"/>
    <w:rsid w:val="00FF3599"/>
    <w:rsid w:val="00FF37DC"/>
    <w:rsid w:val="00FF387D"/>
    <w:rsid w:val="00FF38F2"/>
    <w:rsid w:val="00FF3A32"/>
    <w:rsid w:val="00FF3AB1"/>
    <w:rsid w:val="00FF3B2F"/>
    <w:rsid w:val="00FF3BD6"/>
    <w:rsid w:val="00FF3D33"/>
    <w:rsid w:val="00FF3D3B"/>
    <w:rsid w:val="00FF3F23"/>
    <w:rsid w:val="00FF3F47"/>
    <w:rsid w:val="00FF3FD8"/>
    <w:rsid w:val="00FF41AD"/>
    <w:rsid w:val="00FF41B3"/>
    <w:rsid w:val="00FF43AB"/>
    <w:rsid w:val="00FF4428"/>
    <w:rsid w:val="00FF4464"/>
    <w:rsid w:val="00FF4472"/>
    <w:rsid w:val="00FF44A5"/>
    <w:rsid w:val="00FF4A67"/>
    <w:rsid w:val="00FF4B97"/>
    <w:rsid w:val="00FF4F29"/>
    <w:rsid w:val="00FF4FEE"/>
    <w:rsid w:val="00FF5014"/>
    <w:rsid w:val="00FF50EE"/>
    <w:rsid w:val="00FF51E7"/>
    <w:rsid w:val="00FF5366"/>
    <w:rsid w:val="00FF54E1"/>
    <w:rsid w:val="00FF562A"/>
    <w:rsid w:val="00FF5888"/>
    <w:rsid w:val="00FF58B7"/>
    <w:rsid w:val="00FF593F"/>
    <w:rsid w:val="00FF5A08"/>
    <w:rsid w:val="00FF5F20"/>
    <w:rsid w:val="00FF6031"/>
    <w:rsid w:val="00FF6072"/>
    <w:rsid w:val="00FF639B"/>
    <w:rsid w:val="00FF63EE"/>
    <w:rsid w:val="00FF64EF"/>
    <w:rsid w:val="00FF65AC"/>
    <w:rsid w:val="00FF677E"/>
    <w:rsid w:val="00FF6941"/>
    <w:rsid w:val="00FF6991"/>
    <w:rsid w:val="00FF69A2"/>
    <w:rsid w:val="00FF6CAB"/>
    <w:rsid w:val="00FF6FB8"/>
    <w:rsid w:val="00FF700D"/>
    <w:rsid w:val="00FF7107"/>
    <w:rsid w:val="00FF711C"/>
    <w:rsid w:val="00FF71B5"/>
    <w:rsid w:val="00FF71F4"/>
    <w:rsid w:val="00FF75B4"/>
    <w:rsid w:val="00FF7684"/>
    <w:rsid w:val="00FF783A"/>
    <w:rsid w:val="00FF7C17"/>
    <w:rsid w:val="00FF7E4F"/>
    <w:rsid w:val="00FF7E76"/>
    <w:rsid w:val="00FF7EFE"/>
    <w:rsid w:val="01020AE4"/>
    <w:rsid w:val="0106318A"/>
    <w:rsid w:val="01083DC3"/>
    <w:rsid w:val="010E184B"/>
    <w:rsid w:val="010F9E02"/>
    <w:rsid w:val="01113CB2"/>
    <w:rsid w:val="0112B379"/>
    <w:rsid w:val="01139E25"/>
    <w:rsid w:val="01156558"/>
    <w:rsid w:val="0118D5BD"/>
    <w:rsid w:val="01267F31"/>
    <w:rsid w:val="01296B84"/>
    <w:rsid w:val="012EF14F"/>
    <w:rsid w:val="01389953"/>
    <w:rsid w:val="0139DF5C"/>
    <w:rsid w:val="013EE324"/>
    <w:rsid w:val="0141C0B2"/>
    <w:rsid w:val="0143CAEE"/>
    <w:rsid w:val="0149C460"/>
    <w:rsid w:val="014AF5C9"/>
    <w:rsid w:val="014CDBF9"/>
    <w:rsid w:val="014D59E1"/>
    <w:rsid w:val="015792FB"/>
    <w:rsid w:val="015BB423"/>
    <w:rsid w:val="015C920F"/>
    <w:rsid w:val="015D4C34"/>
    <w:rsid w:val="0160DD53"/>
    <w:rsid w:val="01654DE3"/>
    <w:rsid w:val="0165B09D"/>
    <w:rsid w:val="01662F09"/>
    <w:rsid w:val="016B3D4C"/>
    <w:rsid w:val="016BAC4A"/>
    <w:rsid w:val="016FDACB"/>
    <w:rsid w:val="0173261C"/>
    <w:rsid w:val="01757FC9"/>
    <w:rsid w:val="0184EEC2"/>
    <w:rsid w:val="0185FC42"/>
    <w:rsid w:val="018609E4"/>
    <w:rsid w:val="018E5D80"/>
    <w:rsid w:val="018EE4AA"/>
    <w:rsid w:val="01912F34"/>
    <w:rsid w:val="01934E87"/>
    <w:rsid w:val="0198E9C5"/>
    <w:rsid w:val="019FE44D"/>
    <w:rsid w:val="01A17753"/>
    <w:rsid w:val="01A2A0D8"/>
    <w:rsid w:val="01A385FD"/>
    <w:rsid w:val="01A4FF3E"/>
    <w:rsid w:val="01A7F008"/>
    <w:rsid w:val="01A83CC5"/>
    <w:rsid w:val="01A9007E"/>
    <w:rsid w:val="01B6E6DE"/>
    <w:rsid w:val="01BB0DB0"/>
    <w:rsid w:val="01BBD3C4"/>
    <w:rsid w:val="01C0ED56"/>
    <w:rsid w:val="01C29E42"/>
    <w:rsid w:val="01C3935E"/>
    <w:rsid w:val="01C6CFAD"/>
    <w:rsid w:val="01CF9899"/>
    <w:rsid w:val="01CFF900"/>
    <w:rsid w:val="01D1C4AA"/>
    <w:rsid w:val="01D26566"/>
    <w:rsid w:val="01D46C69"/>
    <w:rsid w:val="01D49F5B"/>
    <w:rsid w:val="01DB2E39"/>
    <w:rsid w:val="01DEA39C"/>
    <w:rsid w:val="01E105A4"/>
    <w:rsid w:val="01E28EE6"/>
    <w:rsid w:val="01E6E687"/>
    <w:rsid w:val="01E7290B"/>
    <w:rsid w:val="01E7A181"/>
    <w:rsid w:val="01E9EC74"/>
    <w:rsid w:val="01F0E651"/>
    <w:rsid w:val="01F11E6C"/>
    <w:rsid w:val="01F5C11E"/>
    <w:rsid w:val="01F69C6F"/>
    <w:rsid w:val="01F6B056"/>
    <w:rsid w:val="01F6E1CF"/>
    <w:rsid w:val="02078875"/>
    <w:rsid w:val="020B4FF2"/>
    <w:rsid w:val="020BC9AF"/>
    <w:rsid w:val="020BE4BA"/>
    <w:rsid w:val="020C57CD"/>
    <w:rsid w:val="02120259"/>
    <w:rsid w:val="02149295"/>
    <w:rsid w:val="02175555"/>
    <w:rsid w:val="022171F0"/>
    <w:rsid w:val="022416E9"/>
    <w:rsid w:val="022471DA"/>
    <w:rsid w:val="02268698"/>
    <w:rsid w:val="0227B414"/>
    <w:rsid w:val="0227D4B3"/>
    <w:rsid w:val="022D833A"/>
    <w:rsid w:val="023B05C4"/>
    <w:rsid w:val="023B754A"/>
    <w:rsid w:val="023C063F"/>
    <w:rsid w:val="02443A6E"/>
    <w:rsid w:val="02495E3B"/>
    <w:rsid w:val="024A6944"/>
    <w:rsid w:val="0257D170"/>
    <w:rsid w:val="025A8B43"/>
    <w:rsid w:val="02627D22"/>
    <w:rsid w:val="0263AC25"/>
    <w:rsid w:val="02687BFE"/>
    <w:rsid w:val="026E2861"/>
    <w:rsid w:val="0273F87D"/>
    <w:rsid w:val="0283B273"/>
    <w:rsid w:val="0286035B"/>
    <w:rsid w:val="028BDA18"/>
    <w:rsid w:val="028DA724"/>
    <w:rsid w:val="029089AD"/>
    <w:rsid w:val="02954886"/>
    <w:rsid w:val="02A192C2"/>
    <w:rsid w:val="02A1C16F"/>
    <w:rsid w:val="02A42F69"/>
    <w:rsid w:val="02AAAFC0"/>
    <w:rsid w:val="02B177FB"/>
    <w:rsid w:val="02B7F58C"/>
    <w:rsid w:val="02B8FF5F"/>
    <w:rsid w:val="02B90549"/>
    <w:rsid w:val="02C33FEE"/>
    <w:rsid w:val="02D119E2"/>
    <w:rsid w:val="02D2ED78"/>
    <w:rsid w:val="02D40EBC"/>
    <w:rsid w:val="02E5F92C"/>
    <w:rsid w:val="02EAF83F"/>
    <w:rsid w:val="02F13F84"/>
    <w:rsid w:val="02F99F3F"/>
    <w:rsid w:val="02FCF369"/>
    <w:rsid w:val="02FEF77B"/>
    <w:rsid w:val="0307FA7B"/>
    <w:rsid w:val="030AAACD"/>
    <w:rsid w:val="030C20BE"/>
    <w:rsid w:val="0311462B"/>
    <w:rsid w:val="031250C3"/>
    <w:rsid w:val="0322AE4F"/>
    <w:rsid w:val="0325D212"/>
    <w:rsid w:val="0327213F"/>
    <w:rsid w:val="0328101C"/>
    <w:rsid w:val="0331B02E"/>
    <w:rsid w:val="0335C36A"/>
    <w:rsid w:val="0340F478"/>
    <w:rsid w:val="034FB4FC"/>
    <w:rsid w:val="0351CDD6"/>
    <w:rsid w:val="0352B301"/>
    <w:rsid w:val="0357EDB2"/>
    <w:rsid w:val="035EA643"/>
    <w:rsid w:val="035F5247"/>
    <w:rsid w:val="035F7FAA"/>
    <w:rsid w:val="0361EFED"/>
    <w:rsid w:val="0362CD2D"/>
    <w:rsid w:val="03642A97"/>
    <w:rsid w:val="0366F0AB"/>
    <w:rsid w:val="03684C5A"/>
    <w:rsid w:val="036EA71D"/>
    <w:rsid w:val="0378AFD5"/>
    <w:rsid w:val="037FEFED"/>
    <w:rsid w:val="03805CDC"/>
    <w:rsid w:val="03828E70"/>
    <w:rsid w:val="03834A5C"/>
    <w:rsid w:val="03889B17"/>
    <w:rsid w:val="0389B9F5"/>
    <w:rsid w:val="0389EB2F"/>
    <w:rsid w:val="038ACCFB"/>
    <w:rsid w:val="038B725A"/>
    <w:rsid w:val="038EA283"/>
    <w:rsid w:val="03906332"/>
    <w:rsid w:val="039C9C57"/>
    <w:rsid w:val="03A26C0A"/>
    <w:rsid w:val="03AC97B0"/>
    <w:rsid w:val="03B1DC9A"/>
    <w:rsid w:val="03B66F0B"/>
    <w:rsid w:val="03BA1F3E"/>
    <w:rsid w:val="03BA53C7"/>
    <w:rsid w:val="03BD06B1"/>
    <w:rsid w:val="03BF7B49"/>
    <w:rsid w:val="03C339A0"/>
    <w:rsid w:val="03C64BC0"/>
    <w:rsid w:val="03C86F2F"/>
    <w:rsid w:val="03CD7CC7"/>
    <w:rsid w:val="03CE1957"/>
    <w:rsid w:val="03D0AE32"/>
    <w:rsid w:val="03D2ECC6"/>
    <w:rsid w:val="03D59620"/>
    <w:rsid w:val="03D61109"/>
    <w:rsid w:val="03D77990"/>
    <w:rsid w:val="03E4CD43"/>
    <w:rsid w:val="03EDAFF9"/>
    <w:rsid w:val="03EE18E7"/>
    <w:rsid w:val="03EEA32E"/>
    <w:rsid w:val="03F1EF8B"/>
    <w:rsid w:val="03F2CDE2"/>
    <w:rsid w:val="03F34B7A"/>
    <w:rsid w:val="03F8DCB5"/>
    <w:rsid w:val="03FEE7CC"/>
    <w:rsid w:val="0400BADD"/>
    <w:rsid w:val="0400EEE8"/>
    <w:rsid w:val="0401C9AD"/>
    <w:rsid w:val="04057461"/>
    <w:rsid w:val="0409AD78"/>
    <w:rsid w:val="040B29AB"/>
    <w:rsid w:val="040BEAD8"/>
    <w:rsid w:val="040C0026"/>
    <w:rsid w:val="040D1592"/>
    <w:rsid w:val="040EC30A"/>
    <w:rsid w:val="040FDC68"/>
    <w:rsid w:val="04106FBA"/>
    <w:rsid w:val="041354FA"/>
    <w:rsid w:val="0417A5E7"/>
    <w:rsid w:val="041E5293"/>
    <w:rsid w:val="0426EAAB"/>
    <w:rsid w:val="04282CB4"/>
    <w:rsid w:val="042BE67F"/>
    <w:rsid w:val="042F55E9"/>
    <w:rsid w:val="04328938"/>
    <w:rsid w:val="043325A0"/>
    <w:rsid w:val="0434A695"/>
    <w:rsid w:val="04366AA3"/>
    <w:rsid w:val="043764D1"/>
    <w:rsid w:val="043953CF"/>
    <w:rsid w:val="043CD6DB"/>
    <w:rsid w:val="04462BC9"/>
    <w:rsid w:val="04475E68"/>
    <w:rsid w:val="04493A20"/>
    <w:rsid w:val="04521BAA"/>
    <w:rsid w:val="045D3070"/>
    <w:rsid w:val="046347A6"/>
    <w:rsid w:val="0463C2F4"/>
    <w:rsid w:val="04657451"/>
    <w:rsid w:val="0466A11D"/>
    <w:rsid w:val="046830A4"/>
    <w:rsid w:val="0468381B"/>
    <w:rsid w:val="046B2BBC"/>
    <w:rsid w:val="046BC4EA"/>
    <w:rsid w:val="046EC2D5"/>
    <w:rsid w:val="047403C6"/>
    <w:rsid w:val="04753885"/>
    <w:rsid w:val="04798EA3"/>
    <w:rsid w:val="047997B8"/>
    <w:rsid w:val="047CAE92"/>
    <w:rsid w:val="047E9FF8"/>
    <w:rsid w:val="0480896D"/>
    <w:rsid w:val="048403B3"/>
    <w:rsid w:val="04864737"/>
    <w:rsid w:val="04883434"/>
    <w:rsid w:val="048BCC1F"/>
    <w:rsid w:val="048FAF62"/>
    <w:rsid w:val="0498CDFA"/>
    <w:rsid w:val="0499D9E1"/>
    <w:rsid w:val="04A3F6DB"/>
    <w:rsid w:val="04AC1D7E"/>
    <w:rsid w:val="04AFDA1B"/>
    <w:rsid w:val="04B5390E"/>
    <w:rsid w:val="04B62C20"/>
    <w:rsid w:val="04CCAF53"/>
    <w:rsid w:val="04D4F424"/>
    <w:rsid w:val="04DE9D01"/>
    <w:rsid w:val="04E02E43"/>
    <w:rsid w:val="04E3F304"/>
    <w:rsid w:val="04EA76B4"/>
    <w:rsid w:val="04F06820"/>
    <w:rsid w:val="04F11FCC"/>
    <w:rsid w:val="04F2B931"/>
    <w:rsid w:val="04F869EC"/>
    <w:rsid w:val="04FD3951"/>
    <w:rsid w:val="0501C739"/>
    <w:rsid w:val="050294B8"/>
    <w:rsid w:val="0509756B"/>
    <w:rsid w:val="050C8BA9"/>
    <w:rsid w:val="0513A1F4"/>
    <w:rsid w:val="05150237"/>
    <w:rsid w:val="05195F0E"/>
    <w:rsid w:val="0519AF09"/>
    <w:rsid w:val="051D6E81"/>
    <w:rsid w:val="05235C19"/>
    <w:rsid w:val="0526AA0C"/>
    <w:rsid w:val="052AC51F"/>
    <w:rsid w:val="0530E201"/>
    <w:rsid w:val="05379439"/>
    <w:rsid w:val="053C7253"/>
    <w:rsid w:val="053D8B4B"/>
    <w:rsid w:val="053E907D"/>
    <w:rsid w:val="053F72BE"/>
    <w:rsid w:val="05411C2D"/>
    <w:rsid w:val="0544BB38"/>
    <w:rsid w:val="0548E4A6"/>
    <w:rsid w:val="054E78D0"/>
    <w:rsid w:val="055654B4"/>
    <w:rsid w:val="055A23A2"/>
    <w:rsid w:val="055D222B"/>
    <w:rsid w:val="0566037D"/>
    <w:rsid w:val="057C494C"/>
    <w:rsid w:val="057EADCF"/>
    <w:rsid w:val="05810A76"/>
    <w:rsid w:val="05868B46"/>
    <w:rsid w:val="058AD971"/>
    <w:rsid w:val="059133A1"/>
    <w:rsid w:val="05933950"/>
    <w:rsid w:val="05963578"/>
    <w:rsid w:val="05A5FAAF"/>
    <w:rsid w:val="05A72C2A"/>
    <w:rsid w:val="05A9C150"/>
    <w:rsid w:val="05AC3733"/>
    <w:rsid w:val="05ADA4C8"/>
    <w:rsid w:val="05B08D48"/>
    <w:rsid w:val="05BE95AF"/>
    <w:rsid w:val="05BFF38E"/>
    <w:rsid w:val="05C0DEF5"/>
    <w:rsid w:val="05C13669"/>
    <w:rsid w:val="05C1CAB6"/>
    <w:rsid w:val="05CE3F87"/>
    <w:rsid w:val="05DAF009"/>
    <w:rsid w:val="05DAFDBA"/>
    <w:rsid w:val="05DE20B9"/>
    <w:rsid w:val="05EBD42D"/>
    <w:rsid w:val="05F49ECE"/>
    <w:rsid w:val="05FA92A8"/>
    <w:rsid w:val="05FF821C"/>
    <w:rsid w:val="060111F8"/>
    <w:rsid w:val="0607DB2D"/>
    <w:rsid w:val="0610DB2E"/>
    <w:rsid w:val="0611F779"/>
    <w:rsid w:val="0615F257"/>
    <w:rsid w:val="061A42A4"/>
    <w:rsid w:val="061F2D90"/>
    <w:rsid w:val="06253F81"/>
    <w:rsid w:val="06280614"/>
    <w:rsid w:val="06295E9F"/>
    <w:rsid w:val="062D3A74"/>
    <w:rsid w:val="0635C1BA"/>
    <w:rsid w:val="0635FDEB"/>
    <w:rsid w:val="063C1AA9"/>
    <w:rsid w:val="063EA548"/>
    <w:rsid w:val="0641133D"/>
    <w:rsid w:val="06416752"/>
    <w:rsid w:val="064993D2"/>
    <w:rsid w:val="0649A196"/>
    <w:rsid w:val="064D4706"/>
    <w:rsid w:val="064FA7FE"/>
    <w:rsid w:val="064FB0B8"/>
    <w:rsid w:val="0655D5E3"/>
    <w:rsid w:val="065DE7BD"/>
    <w:rsid w:val="0660F9A5"/>
    <w:rsid w:val="06628B9E"/>
    <w:rsid w:val="06640753"/>
    <w:rsid w:val="06698CB8"/>
    <w:rsid w:val="066B5183"/>
    <w:rsid w:val="0671304D"/>
    <w:rsid w:val="06716856"/>
    <w:rsid w:val="06762399"/>
    <w:rsid w:val="0678C63B"/>
    <w:rsid w:val="067B99F1"/>
    <w:rsid w:val="068501F6"/>
    <w:rsid w:val="0689D296"/>
    <w:rsid w:val="068ACCC0"/>
    <w:rsid w:val="068C29C6"/>
    <w:rsid w:val="068CA75E"/>
    <w:rsid w:val="068F0614"/>
    <w:rsid w:val="06916825"/>
    <w:rsid w:val="0691775B"/>
    <w:rsid w:val="069FC167"/>
    <w:rsid w:val="06A53075"/>
    <w:rsid w:val="06B351EA"/>
    <w:rsid w:val="06B606C1"/>
    <w:rsid w:val="06B734A9"/>
    <w:rsid w:val="06B7A3D8"/>
    <w:rsid w:val="06B859A1"/>
    <w:rsid w:val="06B957B7"/>
    <w:rsid w:val="06BD4898"/>
    <w:rsid w:val="06BFDCC1"/>
    <w:rsid w:val="06C16172"/>
    <w:rsid w:val="06C3044B"/>
    <w:rsid w:val="06C9BB0F"/>
    <w:rsid w:val="06D926E2"/>
    <w:rsid w:val="06DBB069"/>
    <w:rsid w:val="06DEDCF3"/>
    <w:rsid w:val="06E49391"/>
    <w:rsid w:val="06E66F24"/>
    <w:rsid w:val="06E7A7A9"/>
    <w:rsid w:val="06EAA3E9"/>
    <w:rsid w:val="06EE9D86"/>
    <w:rsid w:val="070A55FD"/>
    <w:rsid w:val="070B5544"/>
    <w:rsid w:val="070E06C6"/>
    <w:rsid w:val="0711D9D5"/>
    <w:rsid w:val="071416B8"/>
    <w:rsid w:val="0714E1D8"/>
    <w:rsid w:val="071A38D3"/>
    <w:rsid w:val="071C1951"/>
    <w:rsid w:val="071E4A61"/>
    <w:rsid w:val="0722510A"/>
    <w:rsid w:val="072523A8"/>
    <w:rsid w:val="072548DC"/>
    <w:rsid w:val="072558D1"/>
    <w:rsid w:val="0730629C"/>
    <w:rsid w:val="0737B9F4"/>
    <w:rsid w:val="0738AF1B"/>
    <w:rsid w:val="0739E13E"/>
    <w:rsid w:val="073EC7E9"/>
    <w:rsid w:val="07402752"/>
    <w:rsid w:val="07452111"/>
    <w:rsid w:val="0748B9A4"/>
    <w:rsid w:val="0749F733"/>
    <w:rsid w:val="075591F6"/>
    <w:rsid w:val="075B03CA"/>
    <w:rsid w:val="075D6C61"/>
    <w:rsid w:val="075E0057"/>
    <w:rsid w:val="075E34E7"/>
    <w:rsid w:val="0760D7B8"/>
    <w:rsid w:val="0762235C"/>
    <w:rsid w:val="07628048"/>
    <w:rsid w:val="07634BA4"/>
    <w:rsid w:val="07672943"/>
    <w:rsid w:val="076AE05C"/>
    <w:rsid w:val="076C4033"/>
    <w:rsid w:val="076F8C6E"/>
    <w:rsid w:val="0770CEA4"/>
    <w:rsid w:val="07778477"/>
    <w:rsid w:val="07785198"/>
    <w:rsid w:val="077C5851"/>
    <w:rsid w:val="07845D6E"/>
    <w:rsid w:val="07898412"/>
    <w:rsid w:val="0793E9FF"/>
    <w:rsid w:val="0794E341"/>
    <w:rsid w:val="079645ED"/>
    <w:rsid w:val="079D1092"/>
    <w:rsid w:val="079E7368"/>
    <w:rsid w:val="079ECDA1"/>
    <w:rsid w:val="07A2FDE0"/>
    <w:rsid w:val="07A68E0B"/>
    <w:rsid w:val="07AA2188"/>
    <w:rsid w:val="07AA8E93"/>
    <w:rsid w:val="07B49CC5"/>
    <w:rsid w:val="07B4D670"/>
    <w:rsid w:val="07B8E003"/>
    <w:rsid w:val="07BB66DB"/>
    <w:rsid w:val="07BC15A8"/>
    <w:rsid w:val="07C091FC"/>
    <w:rsid w:val="07C5F91F"/>
    <w:rsid w:val="07C6984D"/>
    <w:rsid w:val="07CC2F8E"/>
    <w:rsid w:val="07CC6495"/>
    <w:rsid w:val="07CF05EC"/>
    <w:rsid w:val="07D4E14E"/>
    <w:rsid w:val="07DA006A"/>
    <w:rsid w:val="07DF1F10"/>
    <w:rsid w:val="07E32DE5"/>
    <w:rsid w:val="07EF8534"/>
    <w:rsid w:val="07F1B182"/>
    <w:rsid w:val="07F1FB97"/>
    <w:rsid w:val="07F4F0DD"/>
    <w:rsid w:val="07F96C28"/>
    <w:rsid w:val="07FA0A16"/>
    <w:rsid w:val="07FA1962"/>
    <w:rsid w:val="07FCE096"/>
    <w:rsid w:val="0801D4D7"/>
    <w:rsid w:val="08027ABF"/>
    <w:rsid w:val="08077C4F"/>
    <w:rsid w:val="080D557B"/>
    <w:rsid w:val="08174498"/>
    <w:rsid w:val="081D97B6"/>
    <w:rsid w:val="08268B41"/>
    <w:rsid w:val="082715FE"/>
    <w:rsid w:val="08293648"/>
    <w:rsid w:val="082B2CAC"/>
    <w:rsid w:val="08347219"/>
    <w:rsid w:val="083A87DE"/>
    <w:rsid w:val="083BBEE0"/>
    <w:rsid w:val="083E92D3"/>
    <w:rsid w:val="084038EA"/>
    <w:rsid w:val="08471B2E"/>
    <w:rsid w:val="084A851D"/>
    <w:rsid w:val="084D0378"/>
    <w:rsid w:val="084E4666"/>
    <w:rsid w:val="084F6CDE"/>
    <w:rsid w:val="084F8772"/>
    <w:rsid w:val="08527653"/>
    <w:rsid w:val="085458F7"/>
    <w:rsid w:val="08568855"/>
    <w:rsid w:val="08582D5B"/>
    <w:rsid w:val="0858C256"/>
    <w:rsid w:val="085B3D8E"/>
    <w:rsid w:val="085DC5EF"/>
    <w:rsid w:val="0862CE00"/>
    <w:rsid w:val="0863D74F"/>
    <w:rsid w:val="08669ABC"/>
    <w:rsid w:val="086BF129"/>
    <w:rsid w:val="086F41FF"/>
    <w:rsid w:val="08701DA1"/>
    <w:rsid w:val="08720C34"/>
    <w:rsid w:val="0875DF0C"/>
    <w:rsid w:val="087752D5"/>
    <w:rsid w:val="08779BF7"/>
    <w:rsid w:val="0879D970"/>
    <w:rsid w:val="087A6B23"/>
    <w:rsid w:val="0880D336"/>
    <w:rsid w:val="08872F3E"/>
    <w:rsid w:val="0887D1EA"/>
    <w:rsid w:val="0889BB86"/>
    <w:rsid w:val="088BA18A"/>
    <w:rsid w:val="08912307"/>
    <w:rsid w:val="089148DD"/>
    <w:rsid w:val="0892C33C"/>
    <w:rsid w:val="089A1C88"/>
    <w:rsid w:val="089F5478"/>
    <w:rsid w:val="08A502C0"/>
    <w:rsid w:val="08A55B18"/>
    <w:rsid w:val="08A7FF16"/>
    <w:rsid w:val="08AA9306"/>
    <w:rsid w:val="08B1DBCC"/>
    <w:rsid w:val="08B23B54"/>
    <w:rsid w:val="08B28A54"/>
    <w:rsid w:val="08B67FBE"/>
    <w:rsid w:val="08B703CB"/>
    <w:rsid w:val="08B7415A"/>
    <w:rsid w:val="08B89059"/>
    <w:rsid w:val="08BD7449"/>
    <w:rsid w:val="08C36F1E"/>
    <w:rsid w:val="08C5B09A"/>
    <w:rsid w:val="08C717FF"/>
    <w:rsid w:val="08C76403"/>
    <w:rsid w:val="08C816C6"/>
    <w:rsid w:val="08CCE072"/>
    <w:rsid w:val="08CE8EB1"/>
    <w:rsid w:val="08D02E17"/>
    <w:rsid w:val="08D31374"/>
    <w:rsid w:val="08D702B9"/>
    <w:rsid w:val="08D71AF7"/>
    <w:rsid w:val="08E81A7E"/>
    <w:rsid w:val="08E9913B"/>
    <w:rsid w:val="08EEAAF3"/>
    <w:rsid w:val="08EF096D"/>
    <w:rsid w:val="08EFDF7E"/>
    <w:rsid w:val="08F90347"/>
    <w:rsid w:val="08FA377F"/>
    <w:rsid w:val="08FE2B3F"/>
    <w:rsid w:val="090C4614"/>
    <w:rsid w:val="090D021A"/>
    <w:rsid w:val="090F3C4F"/>
    <w:rsid w:val="091DEB48"/>
    <w:rsid w:val="091F2492"/>
    <w:rsid w:val="092531CF"/>
    <w:rsid w:val="09282D7B"/>
    <w:rsid w:val="092ECE03"/>
    <w:rsid w:val="092F6BDA"/>
    <w:rsid w:val="092F865B"/>
    <w:rsid w:val="0930C845"/>
    <w:rsid w:val="09357C4A"/>
    <w:rsid w:val="0938C6FD"/>
    <w:rsid w:val="093A38C0"/>
    <w:rsid w:val="09454F46"/>
    <w:rsid w:val="094B3E49"/>
    <w:rsid w:val="09510A75"/>
    <w:rsid w:val="0954A24A"/>
    <w:rsid w:val="0955F4DD"/>
    <w:rsid w:val="09564101"/>
    <w:rsid w:val="0956AF0C"/>
    <w:rsid w:val="09570D4D"/>
    <w:rsid w:val="095D1295"/>
    <w:rsid w:val="096362AF"/>
    <w:rsid w:val="09643F52"/>
    <w:rsid w:val="0966FA78"/>
    <w:rsid w:val="0967BC6C"/>
    <w:rsid w:val="0969C7C7"/>
    <w:rsid w:val="096AB17D"/>
    <w:rsid w:val="0971EBBA"/>
    <w:rsid w:val="0976A2E5"/>
    <w:rsid w:val="0977B6E9"/>
    <w:rsid w:val="098390AC"/>
    <w:rsid w:val="098485FA"/>
    <w:rsid w:val="098A8F66"/>
    <w:rsid w:val="098B4255"/>
    <w:rsid w:val="098C2B05"/>
    <w:rsid w:val="098D22BA"/>
    <w:rsid w:val="098F5C33"/>
    <w:rsid w:val="09925B06"/>
    <w:rsid w:val="099290B3"/>
    <w:rsid w:val="099ABB35"/>
    <w:rsid w:val="099E6BB3"/>
    <w:rsid w:val="099FA98B"/>
    <w:rsid w:val="09A747C6"/>
    <w:rsid w:val="09AE54D5"/>
    <w:rsid w:val="09B14F34"/>
    <w:rsid w:val="09B45154"/>
    <w:rsid w:val="09B83B87"/>
    <w:rsid w:val="09B90C0E"/>
    <w:rsid w:val="09BDC497"/>
    <w:rsid w:val="09C39546"/>
    <w:rsid w:val="09CBA33C"/>
    <w:rsid w:val="09D470C7"/>
    <w:rsid w:val="09D79942"/>
    <w:rsid w:val="09D8D91A"/>
    <w:rsid w:val="09D8E0E5"/>
    <w:rsid w:val="09DDEE0A"/>
    <w:rsid w:val="09E26EAA"/>
    <w:rsid w:val="09E4429B"/>
    <w:rsid w:val="09EC440B"/>
    <w:rsid w:val="09F27B5E"/>
    <w:rsid w:val="09FA3806"/>
    <w:rsid w:val="09FD2EE9"/>
    <w:rsid w:val="09FD6A03"/>
    <w:rsid w:val="09FD78C8"/>
    <w:rsid w:val="09FE2469"/>
    <w:rsid w:val="09FF18E8"/>
    <w:rsid w:val="0A0013B0"/>
    <w:rsid w:val="0A050F19"/>
    <w:rsid w:val="0A092DB5"/>
    <w:rsid w:val="0A0DEC20"/>
    <w:rsid w:val="0A106E6A"/>
    <w:rsid w:val="0A11A2AD"/>
    <w:rsid w:val="0A156EF2"/>
    <w:rsid w:val="0A1DA6C1"/>
    <w:rsid w:val="0A251FBC"/>
    <w:rsid w:val="0A27550A"/>
    <w:rsid w:val="0A2FFD40"/>
    <w:rsid w:val="0A33EC48"/>
    <w:rsid w:val="0A357619"/>
    <w:rsid w:val="0A36411C"/>
    <w:rsid w:val="0A399CA0"/>
    <w:rsid w:val="0A3E98F1"/>
    <w:rsid w:val="0A4479B9"/>
    <w:rsid w:val="0A501D3D"/>
    <w:rsid w:val="0A58A41F"/>
    <w:rsid w:val="0A5B00B7"/>
    <w:rsid w:val="0A606BB5"/>
    <w:rsid w:val="0A6321B4"/>
    <w:rsid w:val="0A6ACF4B"/>
    <w:rsid w:val="0A6B9A40"/>
    <w:rsid w:val="0A712AD2"/>
    <w:rsid w:val="0A7310B0"/>
    <w:rsid w:val="0A753457"/>
    <w:rsid w:val="0A80D744"/>
    <w:rsid w:val="0A8C832E"/>
    <w:rsid w:val="0A8CEA05"/>
    <w:rsid w:val="0A8D1572"/>
    <w:rsid w:val="0A8EBC6D"/>
    <w:rsid w:val="0A998D13"/>
    <w:rsid w:val="0A9C72C9"/>
    <w:rsid w:val="0A9C7A64"/>
    <w:rsid w:val="0AA3871B"/>
    <w:rsid w:val="0AA5934F"/>
    <w:rsid w:val="0AA78838"/>
    <w:rsid w:val="0AA9D2C5"/>
    <w:rsid w:val="0AAA6BA3"/>
    <w:rsid w:val="0AAA861F"/>
    <w:rsid w:val="0AAC7393"/>
    <w:rsid w:val="0AAF5170"/>
    <w:rsid w:val="0ABBF490"/>
    <w:rsid w:val="0ABC9394"/>
    <w:rsid w:val="0AC1C87B"/>
    <w:rsid w:val="0AC25C8C"/>
    <w:rsid w:val="0AC2BFF1"/>
    <w:rsid w:val="0AC3AFBC"/>
    <w:rsid w:val="0AC63A0E"/>
    <w:rsid w:val="0AC9CC55"/>
    <w:rsid w:val="0ACB9D48"/>
    <w:rsid w:val="0ACBF132"/>
    <w:rsid w:val="0ACDEDDE"/>
    <w:rsid w:val="0AD05566"/>
    <w:rsid w:val="0AE22CD2"/>
    <w:rsid w:val="0AEB88C7"/>
    <w:rsid w:val="0AEB924F"/>
    <w:rsid w:val="0AEF096F"/>
    <w:rsid w:val="0AF0D452"/>
    <w:rsid w:val="0AF6C36A"/>
    <w:rsid w:val="0AFDFDE9"/>
    <w:rsid w:val="0AFFF97F"/>
    <w:rsid w:val="0B024910"/>
    <w:rsid w:val="0B12DF8F"/>
    <w:rsid w:val="0B14745C"/>
    <w:rsid w:val="0B1667A7"/>
    <w:rsid w:val="0B1EF8D2"/>
    <w:rsid w:val="0B23515A"/>
    <w:rsid w:val="0B24346C"/>
    <w:rsid w:val="0B289B0E"/>
    <w:rsid w:val="0B2958DE"/>
    <w:rsid w:val="0B2B966A"/>
    <w:rsid w:val="0B2C8B5D"/>
    <w:rsid w:val="0B2CF9BB"/>
    <w:rsid w:val="0B31A361"/>
    <w:rsid w:val="0B322686"/>
    <w:rsid w:val="0B32F2F9"/>
    <w:rsid w:val="0B34F328"/>
    <w:rsid w:val="0B3500F3"/>
    <w:rsid w:val="0B35E0F5"/>
    <w:rsid w:val="0B3A59E0"/>
    <w:rsid w:val="0B3DACA2"/>
    <w:rsid w:val="0B3DE52D"/>
    <w:rsid w:val="0B3FB33B"/>
    <w:rsid w:val="0B40EA66"/>
    <w:rsid w:val="0B40ED84"/>
    <w:rsid w:val="0B42E7EE"/>
    <w:rsid w:val="0B442984"/>
    <w:rsid w:val="0B456DD6"/>
    <w:rsid w:val="0B4A3D20"/>
    <w:rsid w:val="0B4A41EF"/>
    <w:rsid w:val="0B54618F"/>
    <w:rsid w:val="0B5C6332"/>
    <w:rsid w:val="0B5F957D"/>
    <w:rsid w:val="0B69ADA0"/>
    <w:rsid w:val="0B69EEF0"/>
    <w:rsid w:val="0B74DAAD"/>
    <w:rsid w:val="0B77D8A0"/>
    <w:rsid w:val="0B783381"/>
    <w:rsid w:val="0B7EDE27"/>
    <w:rsid w:val="0B8644E7"/>
    <w:rsid w:val="0B9044B3"/>
    <w:rsid w:val="0B93EF01"/>
    <w:rsid w:val="0B962437"/>
    <w:rsid w:val="0B9A9B58"/>
    <w:rsid w:val="0BA15C66"/>
    <w:rsid w:val="0BA3614B"/>
    <w:rsid w:val="0BAC3CB7"/>
    <w:rsid w:val="0BAED00C"/>
    <w:rsid w:val="0BB3170C"/>
    <w:rsid w:val="0BB35769"/>
    <w:rsid w:val="0BB41ED4"/>
    <w:rsid w:val="0BBE17B5"/>
    <w:rsid w:val="0BC0AC63"/>
    <w:rsid w:val="0BC36C07"/>
    <w:rsid w:val="0BC6560B"/>
    <w:rsid w:val="0BCA0765"/>
    <w:rsid w:val="0BCB2452"/>
    <w:rsid w:val="0BCC25D6"/>
    <w:rsid w:val="0BCCE1D9"/>
    <w:rsid w:val="0BDBDB53"/>
    <w:rsid w:val="0BDCB518"/>
    <w:rsid w:val="0BDD9B78"/>
    <w:rsid w:val="0BDE7EA5"/>
    <w:rsid w:val="0BDEEFE9"/>
    <w:rsid w:val="0BE21BF8"/>
    <w:rsid w:val="0BE929D9"/>
    <w:rsid w:val="0BECEF82"/>
    <w:rsid w:val="0BF881F6"/>
    <w:rsid w:val="0BF9DA90"/>
    <w:rsid w:val="0C00AE12"/>
    <w:rsid w:val="0C01077A"/>
    <w:rsid w:val="0C089440"/>
    <w:rsid w:val="0C0C5A2A"/>
    <w:rsid w:val="0C0CC267"/>
    <w:rsid w:val="0C0E12B6"/>
    <w:rsid w:val="0C1240FD"/>
    <w:rsid w:val="0C17C3EE"/>
    <w:rsid w:val="0C1AAEF8"/>
    <w:rsid w:val="0C1B98D2"/>
    <w:rsid w:val="0C1C882E"/>
    <w:rsid w:val="0C21AB81"/>
    <w:rsid w:val="0C234EA5"/>
    <w:rsid w:val="0C2C8BDE"/>
    <w:rsid w:val="0C2DF4D7"/>
    <w:rsid w:val="0C3234DE"/>
    <w:rsid w:val="0C326AA9"/>
    <w:rsid w:val="0C3CB2C2"/>
    <w:rsid w:val="0C3EC5C8"/>
    <w:rsid w:val="0C3F70B0"/>
    <w:rsid w:val="0C426266"/>
    <w:rsid w:val="0C433970"/>
    <w:rsid w:val="0C463486"/>
    <w:rsid w:val="0C47295B"/>
    <w:rsid w:val="0C4E8ACB"/>
    <w:rsid w:val="0C5300BB"/>
    <w:rsid w:val="0C54169B"/>
    <w:rsid w:val="0C585EBB"/>
    <w:rsid w:val="0C5AE202"/>
    <w:rsid w:val="0C5E9EF0"/>
    <w:rsid w:val="0C6632FC"/>
    <w:rsid w:val="0C7E9B2C"/>
    <w:rsid w:val="0C80EC66"/>
    <w:rsid w:val="0C80F82A"/>
    <w:rsid w:val="0C82DBDA"/>
    <w:rsid w:val="0C93A4DB"/>
    <w:rsid w:val="0C93AAFD"/>
    <w:rsid w:val="0C97EA01"/>
    <w:rsid w:val="0C9A29A8"/>
    <w:rsid w:val="0C9EA57B"/>
    <w:rsid w:val="0CA9C6DB"/>
    <w:rsid w:val="0CAD9F4D"/>
    <w:rsid w:val="0CB0CD18"/>
    <w:rsid w:val="0CB4835C"/>
    <w:rsid w:val="0CB87114"/>
    <w:rsid w:val="0CC17A22"/>
    <w:rsid w:val="0CC91927"/>
    <w:rsid w:val="0CCFB36C"/>
    <w:rsid w:val="0CCFF71C"/>
    <w:rsid w:val="0CD30F58"/>
    <w:rsid w:val="0CD86C8F"/>
    <w:rsid w:val="0CDE76F3"/>
    <w:rsid w:val="0CE25181"/>
    <w:rsid w:val="0CE37D57"/>
    <w:rsid w:val="0CE63BCA"/>
    <w:rsid w:val="0CEE5CBC"/>
    <w:rsid w:val="0CF31120"/>
    <w:rsid w:val="0CF812E6"/>
    <w:rsid w:val="0D01B86D"/>
    <w:rsid w:val="0D03EED7"/>
    <w:rsid w:val="0D048B3E"/>
    <w:rsid w:val="0D091051"/>
    <w:rsid w:val="0D0DE5C7"/>
    <w:rsid w:val="0D1231D9"/>
    <w:rsid w:val="0D170FF0"/>
    <w:rsid w:val="0D1B25AC"/>
    <w:rsid w:val="0D1C1BB0"/>
    <w:rsid w:val="0D1CF2EF"/>
    <w:rsid w:val="0D20DEFE"/>
    <w:rsid w:val="0D2296A2"/>
    <w:rsid w:val="0D2950A5"/>
    <w:rsid w:val="0D2FF75B"/>
    <w:rsid w:val="0D339B8D"/>
    <w:rsid w:val="0D39EC99"/>
    <w:rsid w:val="0D3C44FE"/>
    <w:rsid w:val="0D3CB2DB"/>
    <w:rsid w:val="0D4212E5"/>
    <w:rsid w:val="0D423606"/>
    <w:rsid w:val="0D463A10"/>
    <w:rsid w:val="0D47D7C5"/>
    <w:rsid w:val="0D4F55D2"/>
    <w:rsid w:val="0D528768"/>
    <w:rsid w:val="0D66C45A"/>
    <w:rsid w:val="0D677BD9"/>
    <w:rsid w:val="0D74C869"/>
    <w:rsid w:val="0D7B03B5"/>
    <w:rsid w:val="0D811AD3"/>
    <w:rsid w:val="0D8918D9"/>
    <w:rsid w:val="0D9085F7"/>
    <w:rsid w:val="0D9879FC"/>
    <w:rsid w:val="0D9B3457"/>
    <w:rsid w:val="0DA206C7"/>
    <w:rsid w:val="0DAA3AC7"/>
    <w:rsid w:val="0DB063BA"/>
    <w:rsid w:val="0DB21F4E"/>
    <w:rsid w:val="0DB6E129"/>
    <w:rsid w:val="0DBCD7F7"/>
    <w:rsid w:val="0DBD56D6"/>
    <w:rsid w:val="0DC1B739"/>
    <w:rsid w:val="0DC773A9"/>
    <w:rsid w:val="0DC8A75E"/>
    <w:rsid w:val="0DCDBF21"/>
    <w:rsid w:val="0DD21723"/>
    <w:rsid w:val="0DD366D6"/>
    <w:rsid w:val="0DD6FA17"/>
    <w:rsid w:val="0DE2EBD8"/>
    <w:rsid w:val="0DE31D0B"/>
    <w:rsid w:val="0DE82C7A"/>
    <w:rsid w:val="0DE83FDC"/>
    <w:rsid w:val="0DEC0038"/>
    <w:rsid w:val="0DEE94D9"/>
    <w:rsid w:val="0DF844A6"/>
    <w:rsid w:val="0DF8F2A9"/>
    <w:rsid w:val="0E044B54"/>
    <w:rsid w:val="0E097192"/>
    <w:rsid w:val="0E0B1EE4"/>
    <w:rsid w:val="0E279E8E"/>
    <w:rsid w:val="0E291781"/>
    <w:rsid w:val="0E2D41FF"/>
    <w:rsid w:val="0E3161E4"/>
    <w:rsid w:val="0E36ADD3"/>
    <w:rsid w:val="0E3AADF8"/>
    <w:rsid w:val="0E3E281C"/>
    <w:rsid w:val="0E3FA714"/>
    <w:rsid w:val="0E499009"/>
    <w:rsid w:val="0E51251A"/>
    <w:rsid w:val="0E5162A9"/>
    <w:rsid w:val="0E520A36"/>
    <w:rsid w:val="0E54278D"/>
    <w:rsid w:val="0E5AA286"/>
    <w:rsid w:val="0E5BBA01"/>
    <w:rsid w:val="0E5CB7A4"/>
    <w:rsid w:val="0E5DCEB1"/>
    <w:rsid w:val="0E600CBC"/>
    <w:rsid w:val="0E608FEA"/>
    <w:rsid w:val="0E6263D8"/>
    <w:rsid w:val="0E648B3C"/>
    <w:rsid w:val="0E6C1539"/>
    <w:rsid w:val="0E7E9EA5"/>
    <w:rsid w:val="0E80017E"/>
    <w:rsid w:val="0E8416C6"/>
    <w:rsid w:val="0E8DB906"/>
    <w:rsid w:val="0E8FB250"/>
    <w:rsid w:val="0E91CC7E"/>
    <w:rsid w:val="0E96F614"/>
    <w:rsid w:val="0E980074"/>
    <w:rsid w:val="0E9A597D"/>
    <w:rsid w:val="0E9B99DC"/>
    <w:rsid w:val="0E9D058D"/>
    <w:rsid w:val="0E9D4BCD"/>
    <w:rsid w:val="0E9EAAB1"/>
    <w:rsid w:val="0E9FCD70"/>
    <w:rsid w:val="0EA29CC0"/>
    <w:rsid w:val="0EA60AE5"/>
    <w:rsid w:val="0EA63453"/>
    <w:rsid w:val="0EAA440F"/>
    <w:rsid w:val="0EB09EE8"/>
    <w:rsid w:val="0EB353C2"/>
    <w:rsid w:val="0EB4CF77"/>
    <w:rsid w:val="0EBCC4AF"/>
    <w:rsid w:val="0EC41DB0"/>
    <w:rsid w:val="0EC6DA6D"/>
    <w:rsid w:val="0EC705C7"/>
    <w:rsid w:val="0ECC136B"/>
    <w:rsid w:val="0ED992AD"/>
    <w:rsid w:val="0EDAAB3C"/>
    <w:rsid w:val="0EDFC95E"/>
    <w:rsid w:val="0EE05329"/>
    <w:rsid w:val="0EE0AF6E"/>
    <w:rsid w:val="0EE0DD42"/>
    <w:rsid w:val="0EE1B177"/>
    <w:rsid w:val="0EF58157"/>
    <w:rsid w:val="0EF80210"/>
    <w:rsid w:val="0EF8AC80"/>
    <w:rsid w:val="0EFAFE33"/>
    <w:rsid w:val="0EFB1B11"/>
    <w:rsid w:val="0EFBE5B4"/>
    <w:rsid w:val="0EFE8661"/>
    <w:rsid w:val="0EFF96A3"/>
    <w:rsid w:val="0F00B5C1"/>
    <w:rsid w:val="0F06960D"/>
    <w:rsid w:val="0F0FBBD6"/>
    <w:rsid w:val="0F113880"/>
    <w:rsid w:val="0F17D476"/>
    <w:rsid w:val="0F1A95BE"/>
    <w:rsid w:val="0F1D8CF6"/>
    <w:rsid w:val="0F21C211"/>
    <w:rsid w:val="0F23B063"/>
    <w:rsid w:val="0F2F0E3A"/>
    <w:rsid w:val="0F3209F6"/>
    <w:rsid w:val="0F34A4A6"/>
    <w:rsid w:val="0F3504C0"/>
    <w:rsid w:val="0F401651"/>
    <w:rsid w:val="0F46A5DC"/>
    <w:rsid w:val="0F46B74C"/>
    <w:rsid w:val="0F480755"/>
    <w:rsid w:val="0F4CCD7C"/>
    <w:rsid w:val="0F4F131E"/>
    <w:rsid w:val="0F578550"/>
    <w:rsid w:val="0F589477"/>
    <w:rsid w:val="0F5D676D"/>
    <w:rsid w:val="0F62772E"/>
    <w:rsid w:val="0F696212"/>
    <w:rsid w:val="0F69AF28"/>
    <w:rsid w:val="0F6E8D11"/>
    <w:rsid w:val="0F73F63C"/>
    <w:rsid w:val="0F7C5E4D"/>
    <w:rsid w:val="0F7E9FB8"/>
    <w:rsid w:val="0F841DFB"/>
    <w:rsid w:val="0F869C70"/>
    <w:rsid w:val="0F871CA1"/>
    <w:rsid w:val="0F8992A6"/>
    <w:rsid w:val="0F8B91B1"/>
    <w:rsid w:val="0F8D0E94"/>
    <w:rsid w:val="0F8F45F2"/>
    <w:rsid w:val="0F9548DF"/>
    <w:rsid w:val="0FA02133"/>
    <w:rsid w:val="0FA52AAF"/>
    <w:rsid w:val="0FA63C2C"/>
    <w:rsid w:val="0FAEF5D6"/>
    <w:rsid w:val="0FAF05B5"/>
    <w:rsid w:val="0FB028D7"/>
    <w:rsid w:val="0FB4209F"/>
    <w:rsid w:val="0FB770C0"/>
    <w:rsid w:val="0FBBBC4A"/>
    <w:rsid w:val="0FBCE499"/>
    <w:rsid w:val="0FBE749D"/>
    <w:rsid w:val="0FC2F431"/>
    <w:rsid w:val="0FC5F125"/>
    <w:rsid w:val="0FC93414"/>
    <w:rsid w:val="0FCB2BC8"/>
    <w:rsid w:val="0FCE53D4"/>
    <w:rsid w:val="0FD02A0E"/>
    <w:rsid w:val="0FD59894"/>
    <w:rsid w:val="0FDC3F03"/>
    <w:rsid w:val="0FDC68C4"/>
    <w:rsid w:val="0FDF1397"/>
    <w:rsid w:val="0FE8F577"/>
    <w:rsid w:val="10022E2B"/>
    <w:rsid w:val="10081DF7"/>
    <w:rsid w:val="100BABC8"/>
    <w:rsid w:val="100BD13C"/>
    <w:rsid w:val="100E9611"/>
    <w:rsid w:val="100FDE08"/>
    <w:rsid w:val="1012EF34"/>
    <w:rsid w:val="101BB8A6"/>
    <w:rsid w:val="101EA709"/>
    <w:rsid w:val="1025C864"/>
    <w:rsid w:val="102656F9"/>
    <w:rsid w:val="10275799"/>
    <w:rsid w:val="10297C26"/>
    <w:rsid w:val="103843F4"/>
    <w:rsid w:val="1038895C"/>
    <w:rsid w:val="1038C735"/>
    <w:rsid w:val="1039DA12"/>
    <w:rsid w:val="103F1685"/>
    <w:rsid w:val="10456D92"/>
    <w:rsid w:val="1045CDDD"/>
    <w:rsid w:val="104FF36C"/>
    <w:rsid w:val="10515FA4"/>
    <w:rsid w:val="1052C9DA"/>
    <w:rsid w:val="10546EDA"/>
    <w:rsid w:val="1058E39E"/>
    <w:rsid w:val="105B0200"/>
    <w:rsid w:val="105B1B7E"/>
    <w:rsid w:val="105EB0A0"/>
    <w:rsid w:val="1065AD93"/>
    <w:rsid w:val="10686A34"/>
    <w:rsid w:val="106A0091"/>
    <w:rsid w:val="106C6952"/>
    <w:rsid w:val="1070E374"/>
    <w:rsid w:val="1073E880"/>
    <w:rsid w:val="107A6D9A"/>
    <w:rsid w:val="107FA1B6"/>
    <w:rsid w:val="10812E08"/>
    <w:rsid w:val="1083D5E0"/>
    <w:rsid w:val="1084249E"/>
    <w:rsid w:val="1084D94C"/>
    <w:rsid w:val="108B8708"/>
    <w:rsid w:val="10952A4F"/>
    <w:rsid w:val="1097B3D1"/>
    <w:rsid w:val="109830EA"/>
    <w:rsid w:val="109AB677"/>
    <w:rsid w:val="109ADC61"/>
    <w:rsid w:val="109E7BF3"/>
    <w:rsid w:val="10AB8A2A"/>
    <w:rsid w:val="10B24357"/>
    <w:rsid w:val="10B49822"/>
    <w:rsid w:val="10BCBA00"/>
    <w:rsid w:val="10BD7973"/>
    <w:rsid w:val="10C28C2F"/>
    <w:rsid w:val="10C49202"/>
    <w:rsid w:val="10CB3410"/>
    <w:rsid w:val="10CDA35E"/>
    <w:rsid w:val="10D37516"/>
    <w:rsid w:val="10D3C32E"/>
    <w:rsid w:val="10D5D237"/>
    <w:rsid w:val="10D86E2C"/>
    <w:rsid w:val="10E906DD"/>
    <w:rsid w:val="10EDE077"/>
    <w:rsid w:val="10F79194"/>
    <w:rsid w:val="10FCCC66"/>
    <w:rsid w:val="1100FFB4"/>
    <w:rsid w:val="11032BF4"/>
    <w:rsid w:val="11071987"/>
    <w:rsid w:val="110D0529"/>
    <w:rsid w:val="11128EAE"/>
    <w:rsid w:val="1112B5B1"/>
    <w:rsid w:val="111F8441"/>
    <w:rsid w:val="11230DCA"/>
    <w:rsid w:val="1124382A"/>
    <w:rsid w:val="11292883"/>
    <w:rsid w:val="1129F04A"/>
    <w:rsid w:val="112C5AF2"/>
    <w:rsid w:val="11335627"/>
    <w:rsid w:val="113567A9"/>
    <w:rsid w:val="113775C6"/>
    <w:rsid w:val="113AD2B7"/>
    <w:rsid w:val="113C0A55"/>
    <w:rsid w:val="11403EE5"/>
    <w:rsid w:val="11413C14"/>
    <w:rsid w:val="114B7003"/>
    <w:rsid w:val="114EE286"/>
    <w:rsid w:val="1152E380"/>
    <w:rsid w:val="11550AFB"/>
    <w:rsid w:val="116078A2"/>
    <w:rsid w:val="116134C3"/>
    <w:rsid w:val="1163B8C0"/>
    <w:rsid w:val="116C75FC"/>
    <w:rsid w:val="1182211F"/>
    <w:rsid w:val="11865A58"/>
    <w:rsid w:val="11868835"/>
    <w:rsid w:val="118BEE28"/>
    <w:rsid w:val="119A32FE"/>
    <w:rsid w:val="119F391C"/>
    <w:rsid w:val="11A0CB57"/>
    <w:rsid w:val="11A5E47B"/>
    <w:rsid w:val="11A6A076"/>
    <w:rsid w:val="11AB8589"/>
    <w:rsid w:val="11ABB5DA"/>
    <w:rsid w:val="11AC77C6"/>
    <w:rsid w:val="11AF7689"/>
    <w:rsid w:val="11B18FCE"/>
    <w:rsid w:val="11B22B89"/>
    <w:rsid w:val="11B38B3F"/>
    <w:rsid w:val="11B5EA50"/>
    <w:rsid w:val="11BE7875"/>
    <w:rsid w:val="11C0EE31"/>
    <w:rsid w:val="11C2D3FB"/>
    <w:rsid w:val="11C6D279"/>
    <w:rsid w:val="11C8BC84"/>
    <w:rsid w:val="11C97CE4"/>
    <w:rsid w:val="11D1974D"/>
    <w:rsid w:val="11D6B7B1"/>
    <w:rsid w:val="11D7E5DA"/>
    <w:rsid w:val="11DAD4B1"/>
    <w:rsid w:val="11DCD533"/>
    <w:rsid w:val="11DDC60E"/>
    <w:rsid w:val="11DFCEC7"/>
    <w:rsid w:val="11E4AFE7"/>
    <w:rsid w:val="11E60FF4"/>
    <w:rsid w:val="11E7373E"/>
    <w:rsid w:val="11E8391A"/>
    <w:rsid w:val="11EC1B35"/>
    <w:rsid w:val="11EDEFDB"/>
    <w:rsid w:val="11EE3733"/>
    <w:rsid w:val="11EE74F8"/>
    <w:rsid w:val="11EF0DFE"/>
    <w:rsid w:val="11F4ACCC"/>
    <w:rsid w:val="11FAD8EA"/>
    <w:rsid w:val="11FC5758"/>
    <w:rsid w:val="1200999F"/>
    <w:rsid w:val="12056CB8"/>
    <w:rsid w:val="12076717"/>
    <w:rsid w:val="120B4FE7"/>
    <w:rsid w:val="12219CBD"/>
    <w:rsid w:val="12273189"/>
    <w:rsid w:val="1227A51F"/>
    <w:rsid w:val="1238D4D5"/>
    <w:rsid w:val="123B85A3"/>
    <w:rsid w:val="123E726A"/>
    <w:rsid w:val="124204DB"/>
    <w:rsid w:val="12429E28"/>
    <w:rsid w:val="1243B9D0"/>
    <w:rsid w:val="124863FF"/>
    <w:rsid w:val="125196CB"/>
    <w:rsid w:val="1252FA15"/>
    <w:rsid w:val="125349A0"/>
    <w:rsid w:val="12540C27"/>
    <w:rsid w:val="125DA9A0"/>
    <w:rsid w:val="12632F77"/>
    <w:rsid w:val="12645B63"/>
    <w:rsid w:val="12673214"/>
    <w:rsid w:val="1267A455"/>
    <w:rsid w:val="1269B457"/>
    <w:rsid w:val="126EB466"/>
    <w:rsid w:val="126FBEA4"/>
    <w:rsid w:val="1270060B"/>
    <w:rsid w:val="12722D15"/>
    <w:rsid w:val="1275B7F2"/>
    <w:rsid w:val="12801258"/>
    <w:rsid w:val="1282713E"/>
    <w:rsid w:val="1284DCE4"/>
    <w:rsid w:val="128C5EB8"/>
    <w:rsid w:val="1295A524"/>
    <w:rsid w:val="129C7206"/>
    <w:rsid w:val="129D059C"/>
    <w:rsid w:val="12A38722"/>
    <w:rsid w:val="12A6725B"/>
    <w:rsid w:val="12A8600E"/>
    <w:rsid w:val="12B3E32D"/>
    <w:rsid w:val="12BB5530"/>
    <w:rsid w:val="12BF6572"/>
    <w:rsid w:val="12C45523"/>
    <w:rsid w:val="12C5C581"/>
    <w:rsid w:val="12C5EA56"/>
    <w:rsid w:val="12CE44D0"/>
    <w:rsid w:val="12D134ED"/>
    <w:rsid w:val="12D28A1C"/>
    <w:rsid w:val="12D4AA00"/>
    <w:rsid w:val="12D5659C"/>
    <w:rsid w:val="12D6AD0D"/>
    <w:rsid w:val="12D76393"/>
    <w:rsid w:val="12D87D79"/>
    <w:rsid w:val="12D8AA60"/>
    <w:rsid w:val="12DC794B"/>
    <w:rsid w:val="12DD56C4"/>
    <w:rsid w:val="12DDFB4D"/>
    <w:rsid w:val="12E0DB17"/>
    <w:rsid w:val="12E2DB97"/>
    <w:rsid w:val="12E302B6"/>
    <w:rsid w:val="12E78B7B"/>
    <w:rsid w:val="12E79B1E"/>
    <w:rsid w:val="12EA3D9A"/>
    <w:rsid w:val="12EAF457"/>
    <w:rsid w:val="12EBE8FA"/>
    <w:rsid w:val="12F44B61"/>
    <w:rsid w:val="12F7921E"/>
    <w:rsid w:val="12F83DAD"/>
    <w:rsid w:val="12FAE12F"/>
    <w:rsid w:val="12FC03E6"/>
    <w:rsid w:val="1300BB2B"/>
    <w:rsid w:val="13032F75"/>
    <w:rsid w:val="1309C133"/>
    <w:rsid w:val="130E59C4"/>
    <w:rsid w:val="1313D537"/>
    <w:rsid w:val="131FC2B3"/>
    <w:rsid w:val="13223DD5"/>
    <w:rsid w:val="13252FEE"/>
    <w:rsid w:val="1328545E"/>
    <w:rsid w:val="1332BA87"/>
    <w:rsid w:val="1338DF73"/>
    <w:rsid w:val="133ACE7A"/>
    <w:rsid w:val="133CBA6D"/>
    <w:rsid w:val="133DA4DB"/>
    <w:rsid w:val="1340011A"/>
    <w:rsid w:val="134116A6"/>
    <w:rsid w:val="1341DEB9"/>
    <w:rsid w:val="134398B7"/>
    <w:rsid w:val="1349D8C6"/>
    <w:rsid w:val="1351E325"/>
    <w:rsid w:val="13538BA3"/>
    <w:rsid w:val="135AB895"/>
    <w:rsid w:val="135BA2E0"/>
    <w:rsid w:val="1363D93B"/>
    <w:rsid w:val="1368A803"/>
    <w:rsid w:val="13751E47"/>
    <w:rsid w:val="1375D39B"/>
    <w:rsid w:val="13772666"/>
    <w:rsid w:val="137B6803"/>
    <w:rsid w:val="137C9377"/>
    <w:rsid w:val="137FF26B"/>
    <w:rsid w:val="13857A7A"/>
    <w:rsid w:val="1398C105"/>
    <w:rsid w:val="13AAA571"/>
    <w:rsid w:val="13AC3AC6"/>
    <w:rsid w:val="13AD3B51"/>
    <w:rsid w:val="13C76FB0"/>
    <w:rsid w:val="13C9FBF6"/>
    <w:rsid w:val="13CD63B3"/>
    <w:rsid w:val="13CDD463"/>
    <w:rsid w:val="13D7992A"/>
    <w:rsid w:val="13E6DF0A"/>
    <w:rsid w:val="13EBE204"/>
    <w:rsid w:val="13EF2995"/>
    <w:rsid w:val="13F1181E"/>
    <w:rsid w:val="13F97966"/>
    <w:rsid w:val="13FC6804"/>
    <w:rsid w:val="13FF7F05"/>
    <w:rsid w:val="13FFAE78"/>
    <w:rsid w:val="14007295"/>
    <w:rsid w:val="14037F59"/>
    <w:rsid w:val="140716EA"/>
    <w:rsid w:val="140BC057"/>
    <w:rsid w:val="140EBC00"/>
    <w:rsid w:val="141C37A4"/>
    <w:rsid w:val="142509F4"/>
    <w:rsid w:val="1428583C"/>
    <w:rsid w:val="1429F1EB"/>
    <w:rsid w:val="142AA721"/>
    <w:rsid w:val="142C26B7"/>
    <w:rsid w:val="142CEC31"/>
    <w:rsid w:val="1433EB8A"/>
    <w:rsid w:val="14362B9F"/>
    <w:rsid w:val="1437CDA1"/>
    <w:rsid w:val="1438280F"/>
    <w:rsid w:val="143A528F"/>
    <w:rsid w:val="1444E190"/>
    <w:rsid w:val="14517777"/>
    <w:rsid w:val="14525AD3"/>
    <w:rsid w:val="14549F9B"/>
    <w:rsid w:val="145616CF"/>
    <w:rsid w:val="145C78AA"/>
    <w:rsid w:val="145DFA15"/>
    <w:rsid w:val="145F6C0A"/>
    <w:rsid w:val="1464C202"/>
    <w:rsid w:val="14774661"/>
    <w:rsid w:val="14790D51"/>
    <w:rsid w:val="1481FEEE"/>
    <w:rsid w:val="148B8CA4"/>
    <w:rsid w:val="148CB130"/>
    <w:rsid w:val="148DD94A"/>
    <w:rsid w:val="1499A3E1"/>
    <w:rsid w:val="149D0DE6"/>
    <w:rsid w:val="14A37AC1"/>
    <w:rsid w:val="14A4994E"/>
    <w:rsid w:val="14A815BC"/>
    <w:rsid w:val="14AA77FE"/>
    <w:rsid w:val="14AAA8A8"/>
    <w:rsid w:val="14AFCC7A"/>
    <w:rsid w:val="14B2730A"/>
    <w:rsid w:val="14B8F72D"/>
    <w:rsid w:val="14C1707F"/>
    <w:rsid w:val="14C43539"/>
    <w:rsid w:val="14C996C3"/>
    <w:rsid w:val="14CA4B9A"/>
    <w:rsid w:val="14D732CA"/>
    <w:rsid w:val="14D84328"/>
    <w:rsid w:val="14DB98F3"/>
    <w:rsid w:val="14DCB5B8"/>
    <w:rsid w:val="14DFA674"/>
    <w:rsid w:val="14E4D9E1"/>
    <w:rsid w:val="14E55F55"/>
    <w:rsid w:val="14E7F163"/>
    <w:rsid w:val="14EB25F2"/>
    <w:rsid w:val="14F06277"/>
    <w:rsid w:val="14F34FDC"/>
    <w:rsid w:val="14FCD6C5"/>
    <w:rsid w:val="150C963B"/>
    <w:rsid w:val="150D1359"/>
    <w:rsid w:val="15110898"/>
    <w:rsid w:val="1512404D"/>
    <w:rsid w:val="1523FAD2"/>
    <w:rsid w:val="152D963A"/>
    <w:rsid w:val="152DF668"/>
    <w:rsid w:val="15382C6E"/>
    <w:rsid w:val="1538EF0F"/>
    <w:rsid w:val="153B4779"/>
    <w:rsid w:val="153E0BA8"/>
    <w:rsid w:val="1541CEC9"/>
    <w:rsid w:val="1542E57D"/>
    <w:rsid w:val="15456C27"/>
    <w:rsid w:val="15489F43"/>
    <w:rsid w:val="1548E7E2"/>
    <w:rsid w:val="154CF0D3"/>
    <w:rsid w:val="1553028D"/>
    <w:rsid w:val="1557B7F7"/>
    <w:rsid w:val="1558A25D"/>
    <w:rsid w:val="155F53E3"/>
    <w:rsid w:val="1567B3C6"/>
    <w:rsid w:val="156BFE65"/>
    <w:rsid w:val="156CFE9B"/>
    <w:rsid w:val="156ED6D4"/>
    <w:rsid w:val="15702B34"/>
    <w:rsid w:val="1570ABF9"/>
    <w:rsid w:val="1572D39E"/>
    <w:rsid w:val="15739A9C"/>
    <w:rsid w:val="157B7E56"/>
    <w:rsid w:val="157B949F"/>
    <w:rsid w:val="15891897"/>
    <w:rsid w:val="158C8E5C"/>
    <w:rsid w:val="158CC657"/>
    <w:rsid w:val="1590C005"/>
    <w:rsid w:val="15943F9A"/>
    <w:rsid w:val="159AC440"/>
    <w:rsid w:val="159D4E19"/>
    <w:rsid w:val="159FDBA6"/>
    <w:rsid w:val="15A84498"/>
    <w:rsid w:val="15AEE836"/>
    <w:rsid w:val="15B17A60"/>
    <w:rsid w:val="15B4278E"/>
    <w:rsid w:val="15BB658F"/>
    <w:rsid w:val="15BDA10C"/>
    <w:rsid w:val="15BE19FC"/>
    <w:rsid w:val="15C19201"/>
    <w:rsid w:val="15C28BDB"/>
    <w:rsid w:val="15C400CE"/>
    <w:rsid w:val="15C420B0"/>
    <w:rsid w:val="15C6853F"/>
    <w:rsid w:val="15CC98BF"/>
    <w:rsid w:val="15D04B5A"/>
    <w:rsid w:val="15D5084D"/>
    <w:rsid w:val="15D66D42"/>
    <w:rsid w:val="15D914B3"/>
    <w:rsid w:val="15DB7138"/>
    <w:rsid w:val="15DEC02B"/>
    <w:rsid w:val="15E95D67"/>
    <w:rsid w:val="15F1C260"/>
    <w:rsid w:val="15F4E229"/>
    <w:rsid w:val="15FA2AAA"/>
    <w:rsid w:val="15FC959C"/>
    <w:rsid w:val="15FDB6FE"/>
    <w:rsid w:val="1600F201"/>
    <w:rsid w:val="1605610C"/>
    <w:rsid w:val="1606D552"/>
    <w:rsid w:val="1607ABC5"/>
    <w:rsid w:val="160851D3"/>
    <w:rsid w:val="1608520B"/>
    <w:rsid w:val="1614FC67"/>
    <w:rsid w:val="1615B341"/>
    <w:rsid w:val="1616A217"/>
    <w:rsid w:val="161C68AE"/>
    <w:rsid w:val="16289CDF"/>
    <w:rsid w:val="162C6BEF"/>
    <w:rsid w:val="162EDECF"/>
    <w:rsid w:val="162F62F8"/>
    <w:rsid w:val="1630E180"/>
    <w:rsid w:val="1634233A"/>
    <w:rsid w:val="1638305E"/>
    <w:rsid w:val="1639718F"/>
    <w:rsid w:val="163A07AD"/>
    <w:rsid w:val="16403AE4"/>
    <w:rsid w:val="1643DC01"/>
    <w:rsid w:val="1646C036"/>
    <w:rsid w:val="1648318A"/>
    <w:rsid w:val="1648A5AB"/>
    <w:rsid w:val="16499B90"/>
    <w:rsid w:val="164B19BF"/>
    <w:rsid w:val="164B74B4"/>
    <w:rsid w:val="164DA68C"/>
    <w:rsid w:val="164F4F78"/>
    <w:rsid w:val="165096FA"/>
    <w:rsid w:val="1654E2AA"/>
    <w:rsid w:val="16565ADC"/>
    <w:rsid w:val="165D42AF"/>
    <w:rsid w:val="166769C0"/>
    <w:rsid w:val="16685765"/>
    <w:rsid w:val="1670DBB5"/>
    <w:rsid w:val="1677656F"/>
    <w:rsid w:val="1678268F"/>
    <w:rsid w:val="167AFD1E"/>
    <w:rsid w:val="167B0055"/>
    <w:rsid w:val="167F7D46"/>
    <w:rsid w:val="16845EFB"/>
    <w:rsid w:val="168CD690"/>
    <w:rsid w:val="168DAD25"/>
    <w:rsid w:val="168FF607"/>
    <w:rsid w:val="169C2BF8"/>
    <w:rsid w:val="169FA4FE"/>
    <w:rsid w:val="16A11E19"/>
    <w:rsid w:val="16A382FD"/>
    <w:rsid w:val="16A43BB2"/>
    <w:rsid w:val="16A72668"/>
    <w:rsid w:val="16A811D0"/>
    <w:rsid w:val="16AEED4F"/>
    <w:rsid w:val="16B2EFEB"/>
    <w:rsid w:val="16B36049"/>
    <w:rsid w:val="16B45084"/>
    <w:rsid w:val="16B7D88E"/>
    <w:rsid w:val="16BD8C16"/>
    <w:rsid w:val="16C7DB62"/>
    <w:rsid w:val="16CBAA01"/>
    <w:rsid w:val="16CD0AB4"/>
    <w:rsid w:val="16CD6085"/>
    <w:rsid w:val="16CEFB11"/>
    <w:rsid w:val="16CFB42F"/>
    <w:rsid w:val="16D55B19"/>
    <w:rsid w:val="16D5866D"/>
    <w:rsid w:val="16D60B30"/>
    <w:rsid w:val="16D6FEE4"/>
    <w:rsid w:val="16DAF6E0"/>
    <w:rsid w:val="16DB8607"/>
    <w:rsid w:val="16DE8893"/>
    <w:rsid w:val="16E31E6B"/>
    <w:rsid w:val="16F303C6"/>
    <w:rsid w:val="16F7E5B8"/>
    <w:rsid w:val="16FDE437"/>
    <w:rsid w:val="171069EA"/>
    <w:rsid w:val="1716AFB2"/>
    <w:rsid w:val="171B1E9B"/>
    <w:rsid w:val="171BEDE3"/>
    <w:rsid w:val="171D95E0"/>
    <w:rsid w:val="17226D11"/>
    <w:rsid w:val="1724BF7A"/>
    <w:rsid w:val="17281C85"/>
    <w:rsid w:val="17319C15"/>
    <w:rsid w:val="173261BD"/>
    <w:rsid w:val="1732A139"/>
    <w:rsid w:val="173DBB65"/>
    <w:rsid w:val="173E034F"/>
    <w:rsid w:val="174959A8"/>
    <w:rsid w:val="174E5B1F"/>
    <w:rsid w:val="1751F715"/>
    <w:rsid w:val="1752D583"/>
    <w:rsid w:val="1756A64A"/>
    <w:rsid w:val="17574642"/>
    <w:rsid w:val="175C0057"/>
    <w:rsid w:val="1760E9D1"/>
    <w:rsid w:val="177324A9"/>
    <w:rsid w:val="1775B8A0"/>
    <w:rsid w:val="177685E5"/>
    <w:rsid w:val="177AA357"/>
    <w:rsid w:val="1787D2B8"/>
    <w:rsid w:val="178BD29A"/>
    <w:rsid w:val="178DC448"/>
    <w:rsid w:val="178DD77C"/>
    <w:rsid w:val="17A91E3B"/>
    <w:rsid w:val="17A9F5D7"/>
    <w:rsid w:val="17ABC6A8"/>
    <w:rsid w:val="17ADA610"/>
    <w:rsid w:val="17AF5742"/>
    <w:rsid w:val="17AF9149"/>
    <w:rsid w:val="17B7905C"/>
    <w:rsid w:val="17B99447"/>
    <w:rsid w:val="17BA3C09"/>
    <w:rsid w:val="17CBF08E"/>
    <w:rsid w:val="17D16188"/>
    <w:rsid w:val="17D1978B"/>
    <w:rsid w:val="17D24C53"/>
    <w:rsid w:val="17D3DF0D"/>
    <w:rsid w:val="17E9D05F"/>
    <w:rsid w:val="17EA2FC6"/>
    <w:rsid w:val="17EEC36B"/>
    <w:rsid w:val="17F2339A"/>
    <w:rsid w:val="17F3D2B0"/>
    <w:rsid w:val="17F68078"/>
    <w:rsid w:val="18060127"/>
    <w:rsid w:val="1808A57F"/>
    <w:rsid w:val="1813D9B0"/>
    <w:rsid w:val="1816271C"/>
    <w:rsid w:val="181C36B3"/>
    <w:rsid w:val="182B2F91"/>
    <w:rsid w:val="182F0C97"/>
    <w:rsid w:val="1841DED2"/>
    <w:rsid w:val="18455F52"/>
    <w:rsid w:val="18462629"/>
    <w:rsid w:val="1849AD3E"/>
    <w:rsid w:val="1849CF92"/>
    <w:rsid w:val="184C68FF"/>
    <w:rsid w:val="185014D0"/>
    <w:rsid w:val="1851D826"/>
    <w:rsid w:val="18545A16"/>
    <w:rsid w:val="1854DEAF"/>
    <w:rsid w:val="185AACDC"/>
    <w:rsid w:val="1862F9D0"/>
    <w:rsid w:val="18636846"/>
    <w:rsid w:val="18647894"/>
    <w:rsid w:val="1866DE9C"/>
    <w:rsid w:val="1867F556"/>
    <w:rsid w:val="1871BA42"/>
    <w:rsid w:val="1874374A"/>
    <w:rsid w:val="1875F59C"/>
    <w:rsid w:val="18792311"/>
    <w:rsid w:val="187BC29B"/>
    <w:rsid w:val="1882296E"/>
    <w:rsid w:val="18832B84"/>
    <w:rsid w:val="188700C2"/>
    <w:rsid w:val="1887F391"/>
    <w:rsid w:val="188AB11F"/>
    <w:rsid w:val="1892A813"/>
    <w:rsid w:val="189977C7"/>
    <w:rsid w:val="1899884F"/>
    <w:rsid w:val="189CC01E"/>
    <w:rsid w:val="18A276DC"/>
    <w:rsid w:val="18A386CD"/>
    <w:rsid w:val="18AAC56A"/>
    <w:rsid w:val="18B96936"/>
    <w:rsid w:val="18BE6214"/>
    <w:rsid w:val="18C2C40D"/>
    <w:rsid w:val="18C62852"/>
    <w:rsid w:val="18C81192"/>
    <w:rsid w:val="18CC361E"/>
    <w:rsid w:val="18E4CDE8"/>
    <w:rsid w:val="18E50F19"/>
    <w:rsid w:val="18F249BF"/>
    <w:rsid w:val="1901F3C0"/>
    <w:rsid w:val="190422F0"/>
    <w:rsid w:val="190A38ED"/>
    <w:rsid w:val="190B1427"/>
    <w:rsid w:val="190E38C8"/>
    <w:rsid w:val="190E5117"/>
    <w:rsid w:val="1912D87E"/>
    <w:rsid w:val="19134BB8"/>
    <w:rsid w:val="19150880"/>
    <w:rsid w:val="1916C497"/>
    <w:rsid w:val="191788D0"/>
    <w:rsid w:val="191C382F"/>
    <w:rsid w:val="191F9300"/>
    <w:rsid w:val="1923810F"/>
    <w:rsid w:val="1924CDFF"/>
    <w:rsid w:val="192B5657"/>
    <w:rsid w:val="192D10DE"/>
    <w:rsid w:val="1930E974"/>
    <w:rsid w:val="1932F745"/>
    <w:rsid w:val="19381AF1"/>
    <w:rsid w:val="19425CB1"/>
    <w:rsid w:val="1943AA55"/>
    <w:rsid w:val="1944CE32"/>
    <w:rsid w:val="1946800C"/>
    <w:rsid w:val="194682B8"/>
    <w:rsid w:val="1952EAAC"/>
    <w:rsid w:val="1952F94A"/>
    <w:rsid w:val="1959D9B3"/>
    <w:rsid w:val="195AF64E"/>
    <w:rsid w:val="195DFC3D"/>
    <w:rsid w:val="1963C863"/>
    <w:rsid w:val="19679A25"/>
    <w:rsid w:val="19685F4F"/>
    <w:rsid w:val="196C7B7B"/>
    <w:rsid w:val="196CD5E7"/>
    <w:rsid w:val="1973B065"/>
    <w:rsid w:val="1979FCA9"/>
    <w:rsid w:val="197A1DAA"/>
    <w:rsid w:val="19899904"/>
    <w:rsid w:val="198C7A85"/>
    <w:rsid w:val="1991C4F3"/>
    <w:rsid w:val="199560F5"/>
    <w:rsid w:val="1998D981"/>
    <w:rsid w:val="199AD84E"/>
    <w:rsid w:val="199C2A34"/>
    <w:rsid w:val="199ED0E0"/>
    <w:rsid w:val="19A4F868"/>
    <w:rsid w:val="19A765BA"/>
    <w:rsid w:val="19A7C0C4"/>
    <w:rsid w:val="19ADB92B"/>
    <w:rsid w:val="19B053F0"/>
    <w:rsid w:val="19B1178C"/>
    <w:rsid w:val="19B45DD7"/>
    <w:rsid w:val="19B8FC2C"/>
    <w:rsid w:val="19BA1F09"/>
    <w:rsid w:val="19BBB74F"/>
    <w:rsid w:val="19BDDA17"/>
    <w:rsid w:val="19C166A7"/>
    <w:rsid w:val="19C1D1DA"/>
    <w:rsid w:val="19D6C1CB"/>
    <w:rsid w:val="19DF42E2"/>
    <w:rsid w:val="19E038D7"/>
    <w:rsid w:val="19E225E8"/>
    <w:rsid w:val="19E22606"/>
    <w:rsid w:val="19E241E5"/>
    <w:rsid w:val="19E320B7"/>
    <w:rsid w:val="19E8F3BA"/>
    <w:rsid w:val="19E927DD"/>
    <w:rsid w:val="19ED6900"/>
    <w:rsid w:val="19F16414"/>
    <w:rsid w:val="19F1B8D9"/>
    <w:rsid w:val="19F5A683"/>
    <w:rsid w:val="19FB72F5"/>
    <w:rsid w:val="19FBD0E7"/>
    <w:rsid w:val="19FF3846"/>
    <w:rsid w:val="19FF7997"/>
    <w:rsid w:val="1A00134F"/>
    <w:rsid w:val="1A040418"/>
    <w:rsid w:val="1A07A470"/>
    <w:rsid w:val="1A094D4E"/>
    <w:rsid w:val="1A0A5861"/>
    <w:rsid w:val="1A0ED406"/>
    <w:rsid w:val="1A0F72FE"/>
    <w:rsid w:val="1A1333EC"/>
    <w:rsid w:val="1A149DC4"/>
    <w:rsid w:val="1A1A0C6E"/>
    <w:rsid w:val="1A1CF81D"/>
    <w:rsid w:val="1A1F17C3"/>
    <w:rsid w:val="1A29D04F"/>
    <w:rsid w:val="1A313E28"/>
    <w:rsid w:val="1A350E89"/>
    <w:rsid w:val="1A388C6D"/>
    <w:rsid w:val="1A3E1BB1"/>
    <w:rsid w:val="1A4E896D"/>
    <w:rsid w:val="1A4FE71B"/>
    <w:rsid w:val="1A51C6C3"/>
    <w:rsid w:val="1A5350D0"/>
    <w:rsid w:val="1A54F060"/>
    <w:rsid w:val="1A61C041"/>
    <w:rsid w:val="1A63EE10"/>
    <w:rsid w:val="1A64E05E"/>
    <w:rsid w:val="1A66DF97"/>
    <w:rsid w:val="1A6717C2"/>
    <w:rsid w:val="1A6CDA48"/>
    <w:rsid w:val="1A726186"/>
    <w:rsid w:val="1A768A49"/>
    <w:rsid w:val="1A7702AB"/>
    <w:rsid w:val="1A78F242"/>
    <w:rsid w:val="1A821FA3"/>
    <w:rsid w:val="1A87C303"/>
    <w:rsid w:val="1A8AB10B"/>
    <w:rsid w:val="1A8B78E7"/>
    <w:rsid w:val="1A8CEA99"/>
    <w:rsid w:val="1A8E8707"/>
    <w:rsid w:val="1A8F68F2"/>
    <w:rsid w:val="1A8F9313"/>
    <w:rsid w:val="1A9155E0"/>
    <w:rsid w:val="1A946DDF"/>
    <w:rsid w:val="1A9BAB59"/>
    <w:rsid w:val="1AA1643E"/>
    <w:rsid w:val="1AA3620A"/>
    <w:rsid w:val="1AA81908"/>
    <w:rsid w:val="1AABA733"/>
    <w:rsid w:val="1AAC5A3B"/>
    <w:rsid w:val="1AAF36DA"/>
    <w:rsid w:val="1AB4DE0B"/>
    <w:rsid w:val="1AB6C693"/>
    <w:rsid w:val="1ABD510E"/>
    <w:rsid w:val="1ABDD45A"/>
    <w:rsid w:val="1ABED881"/>
    <w:rsid w:val="1AC8CF36"/>
    <w:rsid w:val="1AC8EE52"/>
    <w:rsid w:val="1AD7317E"/>
    <w:rsid w:val="1ADC6A73"/>
    <w:rsid w:val="1AE1FD6C"/>
    <w:rsid w:val="1AE3C4F6"/>
    <w:rsid w:val="1AE50A96"/>
    <w:rsid w:val="1AE912CA"/>
    <w:rsid w:val="1AE95937"/>
    <w:rsid w:val="1AEC6387"/>
    <w:rsid w:val="1AF0498A"/>
    <w:rsid w:val="1AF05D4E"/>
    <w:rsid w:val="1AF3C90E"/>
    <w:rsid w:val="1AFCBC04"/>
    <w:rsid w:val="1B044772"/>
    <w:rsid w:val="1B060991"/>
    <w:rsid w:val="1B09A50A"/>
    <w:rsid w:val="1B0D2536"/>
    <w:rsid w:val="1B1151FB"/>
    <w:rsid w:val="1B199200"/>
    <w:rsid w:val="1B19D29F"/>
    <w:rsid w:val="1B215EC3"/>
    <w:rsid w:val="1B218995"/>
    <w:rsid w:val="1B23CDE7"/>
    <w:rsid w:val="1B247BA2"/>
    <w:rsid w:val="1B254311"/>
    <w:rsid w:val="1B273113"/>
    <w:rsid w:val="1B28FE7D"/>
    <w:rsid w:val="1B2BB86E"/>
    <w:rsid w:val="1B2F6EEE"/>
    <w:rsid w:val="1B2F994F"/>
    <w:rsid w:val="1B386380"/>
    <w:rsid w:val="1B38E8F2"/>
    <w:rsid w:val="1B4AC533"/>
    <w:rsid w:val="1B4C7D01"/>
    <w:rsid w:val="1B4F2325"/>
    <w:rsid w:val="1B4F5BBE"/>
    <w:rsid w:val="1B55AF6F"/>
    <w:rsid w:val="1B58919A"/>
    <w:rsid w:val="1B592FDE"/>
    <w:rsid w:val="1B59563D"/>
    <w:rsid w:val="1B61B644"/>
    <w:rsid w:val="1B64F664"/>
    <w:rsid w:val="1B65BC75"/>
    <w:rsid w:val="1B6C3EFA"/>
    <w:rsid w:val="1B6D3A60"/>
    <w:rsid w:val="1B6E577E"/>
    <w:rsid w:val="1B6EFDBC"/>
    <w:rsid w:val="1B72861B"/>
    <w:rsid w:val="1B733727"/>
    <w:rsid w:val="1B763D99"/>
    <w:rsid w:val="1B834399"/>
    <w:rsid w:val="1B83FA4D"/>
    <w:rsid w:val="1B84124B"/>
    <w:rsid w:val="1B84588C"/>
    <w:rsid w:val="1B888087"/>
    <w:rsid w:val="1B90001B"/>
    <w:rsid w:val="1B94730F"/>
    <w:rsid w:val="1B94F100"/>
    <w:rsid w:val="1B9C6C90"/>
    <w:rsid w:val="1BA49780"/>
    <w:rsid w:val="1BA5A040"/>
    <w:rsid w:val="1BA7CA14"/>
    <w:rsid w:val="1BAD721F"/>
    <w:rsid w:val="1BAF9975"/>
    <w:rsid w:val="1BB06041"/>
    <w:rsid w:val="1BB16DBD"/>
    <w:rsid w:val="1BB71355"/>
    <w:rsid w:val="1BC3058A"/>
    <w:rsid w:val="1BC66D40"/>
    <w:rsid w:val="1BC6976E"/>
    <w:rsid w:val="1BCAA527"/>
    <w:rsid w:val="1BCFF230"/>
    <w:rsid w:val="1BD0A836"/>
    <w:rsid w:val="1BD34505"/>
    <w:rsid w:val="1BE0DDFB"/>
    <w:rsid w:val="1BE2CBA1"/>
    <w:rsid w:val="1BE90647"/>
    <w:rsid w:val="1BE97B7C"/>
    <w:rsid w:val="1BF35679"/>
    <w:rsid w:val="1BF857A8"/>
    <w:rsid w:val="1C005EA9"/>
    <w:rsid w:val="1C05628F"/>
    <w:rsid w:val="1C083665"/>
    <w:rsid w:val="1C08C514"/>
    <w:rsid w:val="1C0AFF86"/>
    <w:rsid w:val="1C13358A"/>
    <w:rsid w:val="1C17227A"/>
    <w:rsid w:val="1C1A98AF"/>
    <w:rsid w:val="1C1AE36F"/>
    <w:rsid w:val="1C1CD47A"/>
    <w:rsid w:val="1C1DCEA8"/>
    <w:rsid w:val="1C212FC1"/>
    <w:rsid w:val="1C2CF61F"/>
    <w:rsid w:val="1C34F5FC"/>
    <w:rsid w:val="1C39D49C"/>
    <w:rsid w:val="1C438564"/>
    <w:rsid w:val="1C5163D7"/>
    <w:rsid w:val="1C54F550"/>
    <w:rsid w:val="1C589584"/>
    <w:rsid w:val="1C58B2FB"/>
    <w:rsid w:val="1C67DFD2"/>
    <w:rsid w:val="1C73FC2B"/>
    <w:rsid w:val="1C7761AA"/>
    <w:rsid w:val="1C79D1C2"/>
    <w:rsid w:val="1C7A90AC"/>
    <w:rsid w:val="1C880A71"/>
    <w:rsid w:val="1C91D3C6"/>
    <w:rsid w:val="1C974837"/>
    <w:rsid w:val="1C97FEDA"/>
    <w:rsid w:val="1C99FE87"/>
    <w:rsid w:val="1C9BE800"/>
    <w:rsid w:val="1C9CA67A"/>
    <w:rsid w:val="1CA37F68"/>
    <w:rsid w:val="1CA43836"/>
    <w:rsid w:val="1CA53AAB"/>
    <w:rsid w:val="1CA754B5"/>
    <w:rsid w:val="1CA9295E"/>
    <w:rsid w:val="1CAC87A3"/>
    <w:rsid w:val="1CB69905"/>
    <w:rsid w:val="1CB7C611"/>
    <w:rsid w:val="1CBCA74B"/>
    <w:rsid w:val="1CC524A8"/>
    <w:rsid w:val="1CC54968"/>
    <w:rsid w:val="1CC953C6"/>
    <w:rsid w:val="1CDCB89B"/>
    <w:rsid w:val="1CE02EAB"/>
    <w:rsid w:val="1CE5C5DF"/>
    <w:rsid w:val="1CE5D246"/>
    <w:rsid w:val="1CF37F83"/>
    <w:rsid w:val="1CF57E36"/>
    <w:rsid w:val="1CF8A24D"/>
    <w:rsid w:val="1CFC508C"/>
    <w:rsid w:val="1CFD4235"/>
    <w:rsid w:val="1CFEC808"/>
    <w:rsid w:val="1D010FBD"/>
    <w:rsid w:val="1D012D6A"/>
    <w:rsid w:val="1D094650"/>
    <w:rsid w:val="1D0CB297"/>
    <w:rsid w:val="1D0E7C70"/>
    <w:rsid w:val="1D177FDD"/>
    <w:rsid w:val="1D185E56"/>
    <w:rsid w:val="1D18DEB3"/>
    <w:rsid w:val="1D1B6585"/>
    <w:rsid w:val="1D1BF648"/>
    <w:rsid w:val="1D20655A"/>
    <w:rsid w:val="1D267E49"/>
    <w:rsid w:val="1D352854"/>
    <w:rsid w:val="1D370D6B"/>
    <w:rsid w:val="1D38E6ED"/>
    <w:rsid w:val="1D39E1FF"/>
    <w:rsid w:val="1D3D9CCF"/>
    <w:rsid w:val="1D3DAB27"/>
    <w:rsid w:val="1D42CCF9"/>
    <w:rsid w:val="1D486BC8"/>
    <w:rsid w:val="1D4E04F2"/>
    <w:rsid w:val="1D54021F"/>
    <w:rsid w:val="1D5ADE94"/>
    <w:rsid w:val="1D5B60D3"/>
    <w:rsid w:val="1D647485"/>
    <w:rsid w:val="1D667436"/>
    <w:rsid w:val="1D6B3DEC"/>
    <w:rsid w:val="1D6D369E"/>
    <w:rsid w:val="1D6FD4D5"/>
    <w:rsid w:val="1D757F5A"/>
    <w:rsid w:val="1D8227BF"/>
    <w:rsid w:val="1D8A3303"/>
    <w:rsid w:val="1D8BF671"/>
    <w:rsid w:val="1D8FCF10"/>
    <w:rsid w:val="1D932BB1"/>
    <w:rsid w:val="1D9CD386"/>
    <w:rsid w:val="1DA481B2"/>
    <w:rsid w:val="1DAAECE3"/>
    <w:rsid w:val="1DBE455D"/>
    <w:rsid w:val="1DD03C3F"/>
    <w:rsid w:val="1DDE949C"/>
    <w:rsid w:val="1DE52BB5"/>
    <w:rsid w:val="1DE65E77"/>
    <w:rsid w:val="1DE87265"/>
    <w:rsid w:val="1DE94CD0"/>
    <w:rsid w:val="1DEBE0A3"/>
    <w:rsid w:val="1DEE7A99"/>
    <w:rsid w:val="1DF3C95C"/>
    <w:rsid w:val="1DF83D34"/>
    <w:rsid w:val="1DFB1FD0"/>
    <w:rsid w:val="1DFC68B0"/>
    <w:rsid w:val="1E02EB12"/>
    <w:rsid w:val="1E06B73E"/>
    <w:rsid w:val="1E08210D"/>
    <w:rsid w:val="1E08CF8F"/>
    <w:rsid w:val="1E0A6176"/>
    <w:rsid w:val="1E165238"/>
    <w:rsid w:val="1E1F1DC4"/>
    <w:rsid w:val="1E211708"/>
    <w:rsid w:val="1E275068"/>
    <w:rsid w:val="1E2B43D0"/>
    <w:rsid w:val="1E316E4B"/>
    <w:rsid w:val="1E32A9C7"/>
    <w:rsid w:val="1E3586BE"/>
    <w:rsid w:val="1E3914EF"/>
    <w:rsid w:val="1E3F5CD4"/>
    <w:rsid w:val="1E48B480"/>
    <w:rsid w:val="1E4BF150"/>
    <w:rsid w:val="1E520B4A"/>
    <w:rsid w:val="1E6B84E3"/>
    <w:rsid w:val="1E75D25D"/>
    <w:rsid w:val="1E7C1BFD"/>
    <w:rsid w:val="1E7D30AD"/>
    <w:rsid w:val="1E80EF2A"/>
    <w:rsid w:val="1E83A417"/>
    <w:rsid w:val="1E89AB0C"/>
    <w:rsid w:val="1E89B333"/>
    <w:rsid w:val="1E8F44E2"/>
    <w:rsid w:val="1E989091"/>
    <w:rsid w:val="1E98F087"/>
    <w:rsid w:val="1E992AF2"/>
    <w:rsid w:val="1E9967DB"/>
    <w:rsid w:val="1E9AD805"/>
    <w:rsid w:val="1E9C7B30"/>
    <w:rsid w:val="1EA1B326"/>
    <w:rsid w:val="1EAF88CF"/>
    <w:rsid w:val="1EBD255D"/>
    <w:rsid w:val="1EBD33F4"/>
    <w:rsid w:val="1EC0A7EC"/>
    <w:rsid w:val="1EC1B68D"/>
    <w:rsid w:val="1EC45C59"/>
    <w:rsid w:val="1EC62247"/>
    <w:rsid w:val="1EC6B195"/>
    <w:rsid w:val="1EC9FACE"/>
    <w:rsid w:val="1ED40029"/>
    <w:rsid w:val="1ED4FCF1"/>
    <w:rsid w:val="1ED52F0D"/>
    <w:rsid w:val="1EDEBEAD"/>
    <w:rsid w:val="1EE285D4"/>
    <w:rsid w:val="1EE39F7F"/>
    <w:rsid w:val="1EE3B0BD"/>
    <w:rsid w:val="1EE49D8C"/>
    <w:rsid w:val="1EE725B5"/>
    <w:rsid w:val="1EE96F0D"/>
    <w:rsid w:val="1EF0FE66"/>
    <w:rsid w:val="1EF25C03"/>
    <w:rsid w:val="1EFF691C"/>
    <w:rsid w:val="1F04AA89"/>
    <w:rsid w:val="1F0AFB7A"/>
    <w:rsid w:val="1F0EBA4F"/>
    <w:rsid w:val="1F137939"/>
    <w:rsid w:val="1F1D48CE"/>
    <w:rsid w:val="1F1F732A"/>
    <w:rsid w:val="1F2175A9"/>
    <w:rsid w:val="1F22C356"/>
    <w:rsid w:val="1F2328FC"/>
    <w:rsid w:val="1F2E3D67"/>
    <w:rsid w:val="1F311257"/>
    <w:rsid w:val="1F3BAB1E"/>
    <w:rsid w:val="1F3E0D91"/>
    <w:rsid w:val="1F427C61"/>
    <w:rsid w:val="1F4AD222"/>
    <w:rsid w:val="1F4B2396"/>
    <w:rsid w:val="1F4E413F"/>
    <w:rsid w:val="1F5A5933"/>
    <w:rsid w:val="1F5A8887"/>
    <w:rsid w:val="1F5E3D3A"/>
    <w:rsid w:val="1F64B452"/>
    <w:rsid w:val="1F6CA5E8"/>
    <w:rsid w:val="1F704E5C"/>
    <w:rsid w:val="1F7B2F25"/>
    <w:rsid w:val="1F7D6891"/>
    <w:rsid w:val="1F80566B"/>
    <w:rsid w:val="1F8A9368"/>
    <w:rsid w:val="1F8E7E95"/>
    <w:rsid w:val="1F9085F9"/>
    <w:rsid w:val="1F90F3AE"/>
    <w:rsid w:val="1F950B7E"/>
    <w:rsid w:val="1F9770FB"/>
    <w:rsid w:val="1F98C647"/>
    <w:rsid w:val="1FA2A67D"/>
    <w:rsid w:val="1FA4162C"/>
    <w:rsid w:val="1FA9E634"/>
    <w:rsid w:val="1FADA704"/>
    <w:rsid w:val="1FAF9D17"/>
    <w:rsid w:val="1FB726F9"/>
    <w:rsid w:val="1FBBFB20"/>
    <w:rsid w:val="1FC118EE"/>
    <w:rsid w:val="1FC6DDFF"/>
    <w:rsid w:val="1FD22E45"/>
    <w:rsid w:val="1FD57067"/>
    <w:rsid w:val="1FD7B1BD"/>
    <w:rsid w:val="1FDD089B"/>
    <w:rsid w:val="1FE2DB23"/>
    <w:rsid w:val="1FEA17F0"/>
    <w:rsid w:val="1FF438D3"/>
    <w:rsid w:val="1FF570CD"/>
    <w:rsid w:val="1FF66D4D"/>
    <w:rsid w:val="2002CAA1"/>
    <w:rsid w:val="2003E09F"/>
    <w:rsid w:val="20088D14"/>
    <w:rsid w:val="20091138"/>
    <w:rsid w:val="20099C28"/>
    <w:rsid w:val="200C7E00"/>
    <w:rsid w:val="200DA06C"/>
    <w:rsid w:val="20112D4F"/>
    <w:rsid w:val="201A7C98"/>
    <w:rsid w:val="201E8516"/>
    <w:rsid w:val="202216C3"/>
    <w:rsid w:val="20308105"/>
    <w:rsid w:val="2034C419"/>
    <w:rsid w:val="2034F84C"/>
    <w:rsid w:val="20398964"/>
    <w:rsid w:val="2039A00E"/>
    <w:rsid w:val="203D488F"/>
    <w:rsid w:val="20414A89"/>
    <w:rsid w:val="204399AA"/>
    <w:rsid w:val="2044C2B4"/>
    <w:rsid w:val="204648BC"/>
    <w:rsid w:val="204654A5"/>
    <w:rsid w:val="20485709"/>
    <w:rsid w:val="204C5630"/>
    <w:rsid w:val="20525027"/>
    <w:rsid w:val="205C3C95"/>
    <w:rsid w:val="205CDC3A"/>
    <w:rsid w:val="206040E9"/>
    <w:rsid w:val="20632FE9"/>
    <w:rsid w:val="206D7168"/>
    <w:rsid w:val="2071ED98"/>
    <w:rsid w:val="2071F410"/>
    <w:rsid w:val="20721E91"/>
    <w:rsid w:val="20730CAB"/>
    <w:rsid w:val="2075746E"/>
    <w:rsid w:val="2081EA99"/>
    <w:rsid w:val="2087E19F"/>
    <w:rsid w:val="2088255B"/>
    <w:rsid w:val="20888DA7"/>
    <w:rsid w:val="20899C57"/>
    <w:rsid w:val="2091464C"/>
    <w:rsid w:val="2094BABE"/>
    <w:rsid w:val="209A7AFE"/>
    <w:rsid w:val="20A2D4DE"/>
    <w:rsid w:val="20AA5756"/>
    <w:rsid w:val="20B3C115"/>
    <w:rsid w:val="20B58567"/>
    <w:rsid w:val="20B852F8"/>
    <w:rsid w:val="20BB4DF4"/>
    <w:rsid w:val="20C2D83C"/>
    <w:rsid w:val="20CCB728"/>
    <w:rsid w:val="20CFB321"/>
    <w:rsid w:val="20D089E7"/>
    <w:rsid w:val="20D7C9A6"/>
    <w:rsid w:val="20DCF0CB"/>
    <w:rsid w:val="20E0E4AA"/>
    <w:rsid w:val="20E11866"/>
    <w:rsid w:val="20E367A4"/>
    <w:rsid w:val="20E529FD"/>
    <w:rsid w:val="20E65F50"/>
    <w:rsid w:val="20E6648F"/>
    <w:rsid w:val="20EE3C20"/>
    <w:rsid w:val="20F0905A"/>
    <w:rsid w:val="20F27184"/>
    <w:rsid w:val="20F6EDAE"/>
    <w:rsid w:val="20FA39D0"/>
    <w:rsid w:val="20FCF2C9"/>
    <w:rsid w:val="21098068"/>
    <w:rsid w:val="2109C644"/>
    <w:rsid w:val="210DD3DF"/>
    <w:rsid w:val="21103F5B"/>
    <w:rsid w:val="2115735A"/>
    <w:rsid w:val="21176E76"/>
    <w:rsid w:val="211AE7E3"/>
    <w:rsid w:val="211B0835"/>
    <w:rsid w:val="211B4185"/>
    <w:rsid w:val="211FF79E"/>
    <w:rsid w:val="2128AF17"/>
    <w:rsid w:val="212ECE3D"/>
    <w:rsid w:val="2131FCD9"/>
    <w:rsid w:val="21385687"/>
    <w:rsid w:val="2139D9C2"/>
    <w:rsid w:val="213EFFAB"/>
    <w:rsid w:val="214385CB"/>
    <w:rsid w:val="214B71CB"/>
    <w:rsid w:val="214D3C25"/>
    <w:rsid w:val="214FD11D"/>
    <w:rsid w:val="2150F334"/>
    <w:rsid w:val="215105F3"/>
    <w:rsid w:val="21518363"/>
    <w:rsid w:val="21537399"/>
    <w:rsid w:val="215677DD"/>
    <w:rsid w:val="215D6B88"/>
    <w:rsid w:val="215E3D65"/>
    <w:rsid w:val="21600FCE"/>
    <w:rsid w:val="2160580B"/>
    <w:rsid w:val="2163ED70"/>
    <w:rsid w:val="2165465A"/>
    <w:rsid w:val="2165D908"/>
    <w:rsid w:val="21735166"/>
    <w:rsid w:val="217D442D"/>
    <w:rsid w:val="217F7F51"/>
    <w:rsid w:val="2185B0F3"/>
    <w:rsid w:val="2185F417"/>
    <w:rsid w:val="21875B0A"/>
    <w:rsid w:val="218DE2D1"/>
    <w:rsid w:val="2194CFE2"/>
    <w:rsid w:val="21998F43"/>
    <w:rsid w:val="21A07691"/>
    <w:rsid w:val="21A39596"/>
    <w:rsid w:val="21A450DF"/>
    <w:rsid w:val="21A6965B"/>
    <w:rsid w:val="21A79F95"/>
    <w:rsid w:val="21A9FC6D"/>
    <w:rsid w:val="21AD1D0F"/>
    <w:rsid w:val="21AD6644"/>
    <w:rsid w:val="21B15223"/>
    <w:rsid w:val="21B37571"/>
    <w:rsid w:val="21B7E1BF"/>
    <w:rsid w:val="21BD9FF7"/>
    <w:rsid w:val="21BEEBAD"/>
    <w:rsid w:val="21C00E64"/>
    <w:rsid w:val="21C30158"/>
    <w:rsid w:val="21C56AB8"/>
    <w:rsid w:val="21C57453"/>
    <w:rsid w:val="21C61C1D"/>
    <w:rsid w:val="21C7AF8F"/>
    <w:rsid w:val="21CA018E"/>
    <w:rsid w:val="21CAAE49"/>
    <w:rsid w:val="21CC33C9"/>
    <w:rsid w:val="21D45FF4"/>
    <w:rsid w:val="21D4E088"/>
    <w:rsid w:val="21D66D7A"/>
    <w:rsid w:val="21E14C60"/>
    <w:rsid w:val="21E212CB"/>
    <w:rsid w:val="21E39850"/>
    <w:rsid w:val="21E9A9BA"/>
    <w:rsid w:val="21EBBCDA"/>
    <w:rsid w:val="21ED9058"/>
    <w:rsid w:val="21F1BE08"/>
    <w:rsid w:val="21F39B29"/>
    <w:rsid w:val="21FB1FF0"/>
    <w:rsid w:val="21FCA795"/>
    <w:rsid w:val="21FE13FE"/>
    <w:rsid w:val="21FFCA34"/>
    <w:rsid w:val="2200A8F6"/>
    <w:rsid w:val="2204A345"/>
    <w:rsid w:val="22067235"/>
    <w:rsid w:val="22074925"/>
    <w:rsid w:val="22085440"/>
    <w:rsid w:val="22088D9A"/>
    <w:rsid w:val="221641A3"/>
    <w:rsid w:val="221B72E9"/>
    <w:rsid w:val="221C03DD"/>
    <w:rsid w:val="2222F270"/>
    <w:rsid w:val="222664F6"/>
    <w:rsid w:val="2226EAE9"/>
    <w:rsid w:val="2227E2A7"/>
    <w:rsid w:val="22318652"/>
    <w:rsid w:val="223674B4"/>
    <w:rsid w:val="223734EF"/>
    <w:rsid w:val="224EE7DC"/>
    <w:rsid w:val="2250F69F"/>
    <w:rsid w:val="22557D75"/>
    <w:rsid w:val="22571CFB"/>
    <w:rsid w:val="225AF282"/>
    <w:rsid w:val="2267A203"/>
    <w:rsid w:val="2267D1A4"/>
    <w:rsid w:val="22685DDA"/>
    <w:rsid w:val="226DF977"/>
    <w:rsid w:val="226F69ED"/>
    <w:rsid w:val="226F9020"/>
    <w:rsid w:val="22720A1A"/>
    <w:rsid w:val="2272A276"/>
    <w:rsid w:val="2278037D"/>
    <w:rsid w:val="227B17D8"/>
    <w:rsid w:val="227F1588"/>
    <w:rsid w:val="2283B106"/>
    <w:rsid w:val="228679E2"/>
    <w:rsid w:val="228788DE"/>
    <w:rsid w:val="228C2D39"/>
    <w:rsid w:val="229B237A"/>
    <w:rsid w:val="229C6C0D"/>
    <w:rsid w:val="22A2FC39"/>
    <w:rsid w:val="22A30E35"/>
    <w:rsid w:val="22A8F12C"/>
    <w:rsid w:val="22A98C4C"/>
    <w:rsid w:val="22AA85E7"/>
    <w:rsid w:val="22AE9016"/>
    <w:rsid w:val="22B2688D"/>
    <w:rsid w:val="22C1DFE5"/>
    <w:rsid w:val="22C6DF44"/>
    <w:rsid w:val="22C7B987"/>
    <w:rsid w:val="22CD3138"/>
    <w:rsid w:val="22CD94DF"/>
    <w:rsid w:val="22D41C4A"/>
    <w:rsid w:val="22D46B0A"/>
    <w:rsid w:val="22D83802"/>
    <w:rsid w:val="22DB02BD"/>
    <w:rsid w:val="22F89991"/>
    <w:rsid w:val="22F8F1ED"/>
    <w:rsid w:val="22FA28F2"/>
    <w:rsid w:val="22FADE43"/>
    <w:rsid w:val="231300FC"/>
    <w:rsid w:val="23144CBB"/>
    <w:rsid w:val="2315A2D5"/>
    <w:rsid w:val="2319E7D9"/>
    <w:rsid w:val="2321FE59"/>
    <w:rsid w:val="2326ED9E"/>
    <w:rsid w:val="232BD808"/>
    <w:rsid w:val="233C1749"/>
    <w:rsid w:val="233C57C4"/>
    <w:rsid w:val="234083F1"/>
    <w:rsid w:val="2340BBD4"/>
    <w:rsid w:val="2342BE79"/>
    <w:rsid w:val="23432C6E"/>
    <w:rsid w:val="23462A88"/>
    <w:rsid w:val="2346E02E"/>
    <w:rsid w:val="234A27AB"/>
    <w:rsid w:val="234AB315"/>
    <w:rsid w:val="234EEE25"/>
    <w:rsid w:val="23500804"/>
    <w:rsid w:val="2351660B"/>
    <w:rsid w:val="23534A38"/>
    <w:rsid w:val="2354DFB6"/>
    <w:rsid w:val="235698AA"/>
    <w:rsid w:val="2360B2BD"/>
    <w:rsid w:val="236AB50B"/>
    <w:rsid w:val="2373833B"/>
    <w:rsid w:val="2376CAD0"/>
    <w:rsid w:val="238532F8"/>
    <w:rsid w:val="239067D3"/>
    <w:rsid w:val="2394DA49"/>
    <w:rsid w:val="23997E9D"/>
    <w:rsid w:val="2399C9B7"/>
    <w:rsid w:val="23A1E014"/>
    <w:rsid w:val="23A78E7D"/>
    <w:rsid w:val="23ABEDDA"/>
    <w:rsid w:val="23AE9189"/>
    <w:rsid w:val="23B1867C"/>
    <w:rsid w:val="23B60679"/>
    <w:rsid w:val="23B80135"/>
    <w:rsid w:val="23C3085D"/>
    <w:rsid w:val="23C34025"/>
    <w:rsid w:val="23C6E161"/>
    <w:rsid w:val="23CD6E5E"/>
    <w:rsid w:val="23D0523B"/>
    <w:rsid w:val="23D15BF0"/>
    <w:rsid w:val="23D2F30B"/>
    <w:rsid w:val="23D70346"/>
    <w:rsid w:val="23D85E8C"/>
    <w:rsid w:val="23DAB757"/>
    <w:rsid w:val="23DB48F2"/>
    <w:rsid w:val="23DC8ABF"/>
    <w:rsid w:val="23E3651B"/>
    <w:rsid w:val="23E470CA"/>
    <w:rsid w:val="23E5BED1"/>
    <w:rsid w:val="23E60B00"/>
    <w:rsid w:val="23EC46EF"/>
    <w:rsid w:val="23EFD3CF"/>
    <w:rsid w:val="23EFE6C0"/>
    <w:rsid w:val="23F02BA4"/>
    <w:rsid w:val="23F0AA37"/>
    <w:rsid w:val="23F6E97B"/>
    <w:rsid w:val="23F99B5A"/>
    <w:rsid w:val="23FAB577"/>
    <w:rsid w:val="23FBEFD2"/>
    <w:rsid w:val="240078CD"/>
    <w:rsid w:val="2402CA98"/>
    <w:rsid w:val="2406A280"/>
    <w:rsid w:val="240DB728"/>
    <w:rsid w:val="241754C8"/>
    <w:rsid w:val="24198B14"/>
    <w:rsid w:val="2422B351"/>
    <w:rsid w:val="2422D3B8"/>
    <w:rsid w:val="242B2237"/>
    <w:rsid w:val="242B56B3"/>
    <w:rsid w:val="2430DF9D"/>
    <w:rsid w:val="24313F79"/>
    <w:rsid w:val="2431A00D"/>
    <w:rsid w:val="243222C9"/>
    <w:rsid w:val="2432C0A6"/>
    <w:rsid w:val="243AA8F8"/>
    <w:rsid w:val="2440A343"/>
    <w:rsid w:val="24420735"/>
    <w:rsid w:val="244E7290"/>
    <w:rsid w:val="245916BF"/>
    <w:rsid w:val="2459EBE5"/>
    <w:rsid w:val="245F59AC"/>
    <w:rsid w:val="2461D7EF"/>
    <w:rsid w:val="246C66CA"/>
    <w:rsid w:val="246DBFA4"/>
    <w:rsid w:val="2476661B"/>
    <w:rsid w:val="24769D6F"/>
    <w:rsid w:val="2478EEF8"/>
    <w:rsid w:val="247BFA60"/>
    <w:rsid w:val="247EBF0D"/>
    <w:rsid w:val="2480828A"/>
    <w:rsid w:val="2481B9FA"/>
    <w:rsid w:val="24880EFF"/>
    <w:rsid w:val="24890853"/>
    <w:rsid w:val="248C983E"/>
    <w:rsid w:val="248CDF9B"/>
    <w:rsid w:val="248CEDFD"/>
    <w:rsid w:val="248D628E"/>
    <w:rsid w:val="248F9568"/>
    <w:rsid w:val="24923AA2"/>
    <w:rsid w:val="2499823E"/>
    <w:rsid w:val="249C8E77"/>
    <w:rsid w:val="24B2B69B"/>
    <w:rsid w:val="24B4D253"/>
    <w:rsid w:val="24BD9D00"/>
    <w:rsid w:val="24BDC5FE"/>
    <w:rsid w:val="24C481A7"/>
    <w:rsid w:val="24C7881E"/>
    <w:rsid w:val="24CCD801"/>
    <w:rsid w:val="24DB5B93"/>
    <w:rsid w:val="24E02D44"/>
    <w:rsid w:val="24E55AF4"/>
    <w:rsid w:val="24E632A4"/>
    <w:rsid w:val="24E95A35"/>
    <w:rsid w:val="24EC35CE"/>
    <w:rsid w:val="24EFDA36"/>
    <w:rsid w:val="24FE7D3F"/>
    <w:rsid w:val="2502D7CD"/>
    <w:rsid w:val="2509210F"/>
    <w:rsid w:val="250A368C"/>
    <w:rsid w:val="250CF5BD"/>
    <w:rsid w:val="250EA017"/>
    <w:rsid w:val="25130193"/>
    <w:rsid w:val="251CB58D"/>
    <w:rsid w:val="25289FD9"/>
    <w:rsid w:val="2528B825"/>
    <w:rsid w:val="252ACB1F"/>
    <w:rsid w:val="252C0726"/>
    <w:rsid w:val="252E5577"/>
    <w:rsid w:val="253134E1"/>
    <w:rsid w:val="2532A1CF"/>
    <w:rsid w:val="253310B2"/>
    <w:rsid w:val="25353414"/>
    <w:rsid w:val="2535E743"/>
    <w:rsid w:val="2538F035"/>
    <w:rsid w:val="2544E617"/>
    <w:rsid w:val="2546FCC4"/>
    <w:rsid w:val="2547079B"/>
    <w:rsid w:val="254DE5F9"/>
    <w:rsid w:val="254F172D"/>
    <w:rsid w:val="254F9728"/>
    <w:rsid w:val="2558DE23"/>
    <w:rsid w:val="255CD947"/>
    <w:rsid w:val="255E3612"/>
    <w:rsid w:val="256118CD"/>
    <w:rsid w:val="2568FAE9"/>
    <w:rsid w:val="256B6C30"/>
    <w:rsid w:val="2570A2DF"/>
    <w:rsid w:val="2579E8F2"/>
    <w:rsid w:val="257AB209"/>
    <w:rsid w:val="257B5457"/>
    <w:rsid w:val="25869F4D"/>
    <w:rsid w:val="258AFB1D"/>
    <w:rsid w:val="258E1D3A"/>
    <w:rsid w:val="25907F95"/>
    <w:rsid w:val="25925067"/>
    <w:rsid w:val="2596D6DC"/>
    <w:rsid w:val="259CC64C"/>
    <w:rsid w:val="25A90AB6"/>
    <w:rsid w:val="25B0F5E1"/>
    <w:rsid w:val="25B8D7DD"/>
    <w:rsid w:val="25B9A6D4"/>
    <w:rsid w:val="25BF4F8B"/>
    <w:rsid w:val="25BFCD67"/>
    <w:rsid w:val="25C04569"/>
    <w:rsid w:val="25C0F96A"/>
    <w:rsid w:val="25C2F216"/>
    <w:rsid w:val="25CD2004"/>
    <w:rsid w:val="25D0B237"/>
    <w:rsid w:val="25D17C5F"/>
    <w:rsid w:val="25D33C7A"/>
    <w:rsid w:val="25DFACD4"/>
    <w:rsid w:val="25EA583F"/>
    <w:rsid w:val="25EDAB2C"/>
    <w:rsid w:val="25EF619D"/>
    <w:rsid w:val="25F11724"/>
    <w:rsid w:val="25F22B3F"/>
    <w:rsid w:val="25F23122"/>
    <w:rsid w:val="25F90365"/>
    <w:rsid w:val="25FFF38D"/>
    <w:rsid w:val="2602796C"/>
    <w:rsid w:val="260941E1"/>
    <w:rsid w:val="260AF140"/>
    <w:rsid w:val="260F28EC"/>
    <w:rsid w:val="261642D5"/>
    <w:rsid w:val="261C84EC"/>
    <w:rsid w:val="261CCBFB"/>
    <w:rsid w:val="261E4788"/>
    <w:rsid w:val="2629AF2B"/>
    <w:rsid w:val="26310FE2"/>
    <w:rsid w:val="2637187F"/>
    <w:rsid w:val="2638ED9D"/>
    <w:rsid w:val="263D0094"/>
    <w:rsid w:val="263DA906"/>
    <w:rsid w:val="263FF04E"/>
    <w:rsid w:val="26439C7B"/>
    <w:rsid w:val="2643B29E"/>
    <w:rsid w:val="2646F4E9"/>
    <w:rsid w:val="264B10C6"/>
    <w:rsid w:val="264BFEDD"/>
    <w:rsid w:val="264F3776"/>
    <w:rsid w:val="265BBAB8"/>
    <w:rsid w:val="265ED44E"/>
    <w:rsid w:val="2660711E"/>
    <w:rsid w:val="2665285A"/>
    <w:rsid w:val="266720B8"/>
    <w:rsid w:val="2667605E"/>
    <w:rsid w:val="266A8E73"/>
    <w:rsid w:val="266FB4C2"/>
    <w:rsid w:val="2677B1A4"/>
    <w:rsid w:val="2678C72E"/>
    <w:rsid w:val="2678E3D9"/>
    <w:rsid w:val="2678ED4A"/>
    <w:rsid w:val="2678F877"/>
    <w:rsid w:val="267E8FF3"/>
    <w:rsid w:val="267FA993"/>
    <w:rsid w:val="267FCC54"/>
    <w:rsid w:val="268206BC"/>
    <w:rsid w:val="268F59B8"/>
    <w:rsid w:val="26900640"/>
    <w:rsid w:val="26921044"/>
    <w:rsid w:val="269BFCD2"/>
    <w:rsid w:val="269D741F"/>
    <w:rsid w:val="269FD17A"/>
    <w:rsid w:val="26A035FB"/>
    <w:rsid w:val="26A6832D"/>
    <w:rsid w:val="26B20C64"/>
    <w:rsid w:val="26B5A437"/>
    <w:rsid w:val="26BA27C5"/>
    <w:rsid w:val="26BAD8C1"/>
    <w:rsid w:val="26BC7EBF"/>
    <w:rsid w:val="26C22CC1"/>
    <w:rsid w:val="26C48BD1"/>
    <w:rsid w:val="26D883B7"/>
    <w:rsid w:val="26DBFAF1"/>
    <w:rsid w:val="26E5F3E2"/>
    <w:rsid w:val="26E64000"/>
    <w:rsid w:val="26E89748"/>
    <w:rsid w:val="26F18A83"/>
    <w:rsid w:val="26F361F9"/>
    <w:rsid w:val="26F6590E"/>
    <w:rsid w:val="26F749C0"/>
    <w:rsid w:val="26F9187F"/>
    <w:rsid w:val="2703714B"/>
    <w:rsid w:val="270877B1"/>
    <w:rsid w:val="2708E44D"/>
    <w:rsid w:val="270A6D9F"/>
    <w:rsid w:val="271466AC"/>
    <w:rsid w:val="2717AB61"/>
    <w:rsid w:val="2717B4D4"/>
    <w:rsid w:val="271ECDC7"/>
    <w:rsid w:val="2726B50F"/>
    <w:rsid w:val="27280C1A"/>
    <w:rsid w:val="272ABC94"/>
    <w:rsid w:val="27395B3B"/>
    <w:rsid w:val="273D79C8"/>
    <w:rsid w:val="274129CD"/>
    <w:rsid w:val="2741634D"/>
    <w:rsid w:val="27432846"/>
    <w:rsid w:val="274349C4"/>
    <w:rsid w:val="27460292"/>
    <w:rsid w:val="27472188"/>
    <w:rsid w:val="2752DABD"/>
    <w:rsid w:val="27544461"/>
    <w:rsid w:val="2758C8C6"/>
    <w:rsid w:val="275D307A"/>
    <w:rsid w:val="275DAD39"/>
    <w:rsid w:val="275F12A6"/>
    <w:rsid w:val="2761F263"/>
    <w:rsid w:val="27644AFC"/>
    <w:rsid w:val="2767839C"/>
    <w:rsid w:val="27691330"/>
    <w:rsid w:val="276B7DAE"/>
    <w:rsid w:val="2782E4FC"/>
    <w:rsid w:val="27833417"/>
    <w:rsid w:val="278AD41A"/>
    <w:rsid w:val="278C12D7"/>
    <w:rsid w:val="2791677A"/>
    <w:rsid w:val="2797F8ED"/>
    <w:rsid w:val="279A70C2"/>
    <w:rsid w:val="27A0FFB9"/>
    <w:rsid w:val="27A157C1"/>
    <w:rsid w:val="27A4514E"/>
    <w:rsid w:val="27AB3D02"/>
    <w:rsid w:val="27AD8CFD"/>
    <w:rsid w:val="27AE38B2"/>
    <w:rsid w:val="27AEBFC5"/>
    <w:rsid w:val="27B3739C"/>
    <w:rsid w:val="27B39CD1"/>
    <w:rsid w:val="27BAF689"/>
    <w:rsid w:val="27C0C1A0"/>
    <w:rsid w:val="27C0FD42"/>
    <w:rsid w:val="27C6F916"/>
    <w:rsid w:val="27CC98EC"/>
    <w:rsid w:val="27CDFBDE"/>
    <w:rsid w:val="27D0C1C2"/>
    <w:rsid w:val="27D3D479"/>
    <w:rsid w:val="27D5FD25"/>
    <w:rsid w:val="27D63F5F"/>
    <w:rsid w:val="27D8F2B3"/>
    <w:rsid w:val="27DB769F"/>
    <w:rsid w:val="27DBA155"/>
    <w:rsid w:val="27E37F6D"/>
    <w:rsid w:val="27E4EFCE"/>
    <w:rsid w:val="280652E6"/>
    <w:rsid w:val="2807D5E5"/>
    <w:rsid w:val="28087E2F"/>
    <w:rsid w:val="280E16B8"/>
    <w:rsid w:val="2811431F"/>
    <w:rsid w:val="281564B4"/>
    <w:rsid w:val="2824491D"/>
    <w:rsid w:val="28268CB8"/>
    <w:rsid w:val="2832AED9"/>
    <w:rsid w:val="28346D62"/>
    <w:rsid w:val="283BCDC1"/>
    <w:rsid w:val="28441EBB"/>
    <w:rsid w:val="28463DD6"/>
    <w:rsid w:val="28498229"/>
    <w:rsid w:val="284E79E8"/>
    <w:rsid w:val="2851C948"/>
    <w:rsid w:val="285307DF"/>
    <w:rsid w:val="28561B8D"/>
    <w:rsid w:val="28563B7A"/>
    <w:rsid w:val="285C3FBD"/>
    <w:rsid w:val="285CEDEC"/>
    <w:rsid w:val="2860032B"/>
    <w:rsid w:val="2860D4FE"/>
    <w:rsid w:val="2862AFD7"/>
    <w:rsid w:val="286A5A9E"/>
    <w:rsid w:val="286BFB1F"/>
    <w:rsid w:val="28745D91"/>
    <w:rsid w:val="28764298"/>
    <w:rsid w:val="2878A360"/>
    <w:rsid w:val="2880993F"/>
    <w:rsid w:val="28809D9A"/>
    <w:rsid w:val="28829517"/>
    <w:rsid w:val="2884651A"/>
    <w:rsid w:val="28889FE9"/>
    <w:rsid w:val="288CB0B1"/>
    <w:rsid w:val="28918E15"/>
    <w:rsid w:val="2892B6F0"/>
    <w:rsid w:val="2898E2A8"/>
    <w:rsid w:val="289C33DF"/>
    <w:rsid w:val="28A07E5A"/>
    <w:rsid w:val="28A4563F"/>
    <w:rsid w:val="28AF07B9"/>
    <w:rsid w:val="28AF149D"/>
    <w:rsid w:val="28B27D12"/>
    <w:rsid w:val="28B30B9F"/>
    <w:rsid w:val="28B697BC"/>
    <w:rsid w:val="28BD187D"/>
    <w:rsid w:val="28BE7059"/>
    <w:rsid w:val="28C3F2F3"/>
    <w:rsid w:val="28C4CDDE"/>
    <w:rsid w:val="28CA43D0"/>
    <w:rsid w:val="28CBE671"/>
    <w:rsid w:val="28D49B40"/>
    <w:rsid w:val="28D78363"/>
    <w:rsid w:val="28DC2E27"/>
    <w:rsid w:val="28DDCD5D"/>
    <w:rsid w:val="28E5FFAB"/>
    <w:rsid w:val="28E73B2A"/>
    <w:rsid w:val="28E8E707"/>
    <w:rsid w:val="28E99313"/>
    <w:rsid w:val="28E9CC06"/>
    <w:rsid w:val="28EEDF31"/>
    <w:rsid w:val="28F15AF5"/>
    <w:rsid w:val="28F7B3F3"/>
    <w:rsid w:val="28F8920F"/>
    <w:rsid w:val="28FA24D9"/>
    <w:rsid w:val="28FFD83E"/>
    <w:rsid w:val="28FFF37F"/>
    <w:rsid w:val="290A7A75"/>
    <w:rsid w:val="290BDB47"/>
    <w:rsid w:val="290C3A64"/>
    <w:rsid w:val="2915A4ED"/>
    <w:rsid w:val="2916794C"/>
    <w:rsid w:val="29192A7C"/>
    <w:rsid w:val="291E0841"/>
    <w:rsid w:val="291EAE30"/>
    <w:rsid w:val="29212EF3"/>
    <w:rsid w:val="29233146"/>
    <w:rsid w:val="2924662E"/>
    <w:rsid w:val="292B398D"/>
    <w:rsid w:val="292D08F6"/>
    <w:rsid w:val="292D47D7"/>
    <w:rsid w:val="2937CCB5"/>
    <w:rsid w:val="293AD8E3"/>
    <w:rsid w:val="293D6C46"/>
    <w:rsid w:val="2942A72E"/>
    <w:rsid w:val="294909FD"/>
    <w:rsid w:val="29519857"/>
    <w:rsid w:val="2953B71E"/>
    <w:rsid w:val="29559190"/>
    <w:rsid w:val="2956D15A"/>
    <w:rsid w:val="295B35AC"/>
    <w:rsid w:val="295C329B"/>
    <w:rsid w:val="2960DE5F"/>
    <w:rsid w:val="2963D6FB"/>
    <w:rsid w:val="2964AEB5"/>
    <w:rsid w:val="2968732D"/>
    <w:rsid w:val="296B086E"/>
    <w:rsid w:val="296E50FC"/>
    <w:rsid w:val="2970D9A7"/>
    <w:rsid w:val="2971C4C6"/>
    <w:rsid w:val="2972834F"/>
    <w:rsid w:val="297401AB"/>
    <w:rsid w:val="2974FEDD"/>
    <w:rsid w:val="297806F4"/>
    <w:rsid w:val="29820694"/>
    <w:rsid w:val="298A8628"/>
    <w:rsid w:val="298B6A42"/>
    <w:rsid w:val="2990C7C3"/>
    <w:rsid w:val="299642BE"/>
    <w:rsid w:val="299EA508"/>
    <w:rsid w:val="29A35ED4"/>
    <w:rsid w:val="29A97289"/>
    <w:rsid w:val="29B12CB5"/>
    <w:rsid w:val="29BA920A"/>
    <w:rsid w:val="29BAAEB0"/>
    <w:rsid w:val="29BEB1A6"/>
    <w:rsid w:val="29C1A6C7"/>
    <w:rsid w:val="29C23577"/>
    <w:rsid w:val="29C352D5"/>
    <w:rsid w:val="29C81AD3"/>
    <w:rsid w:val="29CA10AD"/>
    <w:rsid w:val="29CD5495"/>
    <w:rsid w:val="29D0FB74"/>
    <w:rsid w:val="29D77F9E"/>
    <w:rsid w:val="29E01CC5"/>
    <w:rsid w:val="29EFCBC5"/>
    <w:rsid w:val="29F32F4A"/>
    <w:rsid w:val="29F635E5"/>
    <w:rsid w:val="29F7EA07"/>
    <w:rsid w:val="29F8E138"/>
    <w:rsid w:val="29FC413B"/>
    <w:rsid w:val="29FF70C9"/>
    <w:rsid w:val="2A0BFA7D"/>
    <w:rsid w:val="2A103608"/>
    <w:rsid w:val="2A1F09D1"/>
    <w:rsid w:val="2A1F1338"/>
    <w:rsid w:val="2A228689"/>
    <w:rsid w:val="2A2A8755"/>
    <w:rsid w:val="2A2B8654"/>
    <w:rsid w:val="2A2EF8A8"/>
    <w:rsid w:val="2A3572B1"/>
    <w:rsid w:val="2A375212"/>
    <w:rsid w:val="2A389F02"/>
    <w:rsid w:val="2A389FE8"/>
    <w:rsid w:val="2A38C352"/>
    <w:rsid w:val="2A38FE7D"/>
    <w:rsid w:val="2A3994DD"/>
    <w:rsid w:val="2A3D64AA"/>
    <w:rsid w:val="2A408572"/>
    <w:rsid w:val="2A40FFE6"/>
    <w:rsid w:val="2A410A15"/>
    <w:rsid w:val="2A412FC9"/>
    <w:rsid w:val="2A431685"/>
    <w:rsid w:val="2A47B5C0"/>
    <w:rsid w:val="2A50C979"/>
    <w:rsid w:val="2A58BFC7"/>
    <w:rsid w:val="2A6CEDAF"/>
    <w:rsid w:val="2A6F87A6"/>
    <w:rsid w:val="2A7B0923"/>
    <w:rsid w:val="2A7C1BF8"/>
    <w:rsid w:val="2A7C6F74"/>
    <w:rsid w:val="2A82CB5B"/>
    <w:rsid w:val="2A86288A"/>
    <w:rsid w:val="2A867146"/>
    <w:rsid w:val="2A86D7D2"/>
    <w:rsid w:val="2A954D22"/>
    <w:rsid w:val="2A9AEF17"/>
    <w:rsid w:val="2A9C6A92"/>
    <w:rsid w:val="2A9E0E07"/>
    <w:rsid w:val="2A9F3C9C"/>
    <w:rsid w:val="2AA2167A"/>
    <w:rsid w:val="2AA26815"/>
    <w:rsid w:val="2AA7C35F"/>
    <w:rsid w:val="2AB1B9C5"/>
    <w:rsid w:val="2AB8FC75"/>
    <w:rsid w:val="2AB92856"/>
    <w:rsid w:val="2ABBAF02"/>
    <w:rsid w:val="2ABC50E3"/>
    <w:rsid w:val="2ABDBFD0"/>
    <w:rsid w:val="2AC1CADF"/>
    <w:rsid w:val="2AC26945"/>
    <w:rsid w:val="2ACA7A52"/>
    <w:rsid w:val="2ACF0977"/>
    <w:rsid w:val="2AD2BFF6"/>
    <w:rsid w:val="2ADE5B5D"/>
    <w:rsid w:val="2ADF1039"/>
    <w:rsid w:val="2AE51EBC"/>
    <w:rsid w:val="2AEAAA6E"/>
    <w:rsid w:val="2AF0172D"/>
    <w:rsid w:val="2AF39C1A"/>
    <w:rsid w:val="2AF4F3A1"/>
    <w:rsid w:val="2B037AB1"/>
    <w:rsid w:val="2B0E1A6E"/>
    <w:rsid w:val="2B0F0851"/>
    <w:rsid w:val="2B13E00B"/>
    <w:rsid w:val="2B165501"/>
    <w:rsid w:val="2B17279F"/>
    <w:rsid w:val="2B1924FB"/>
    <w:rsid w:val="2B1A3A60"/>
    <w:rsid w:val="2B1CA9CC"/>
    <w:rsid w:val="2B1DC786"/>
    <w:rsid w:val="2B27BF48"/>
    <w:rsid w:val="2B297910"/>
    <w:rsid w:val="2B2CB4EF"/>
    <w:rsid w:val="2B2FEC2F"/>
    <w:rsid w:val="2B3BAE3B"/>
    <w:rsid w:val="2B3EE37B"/>
    <w:rsid w:val="2B41A423"/>
    <w:rsid w:val="2B44FD73"/>
    <w:rsid w:val="2B473550"/>
    <w:rsid w:val="2B493090"/>
    <w:rsid w:val="2B4C6C48"/>
    <w:rsid w:val="2B4DFA35"/>
    <w:rsid w:val="2B55E43C"/>
    <w:rsid w:val="2B561896"/>
    <w:rsid w:val="2B589EE5"/>
    <w:rsid w:val="2B5BB695"/>
    <w:rsid w:val="2B5EF029"/>
    <w:rsid w:val="2B5FA364"/>
    <w:rsid w:val="2B64BF4A"/>
    <w:rsid w:val="2B68CADB"/>
    <w:rsid w:val="2B6BCA1A"/>
    <w:rsid w:val="2B6DFE6B"/>
    <w:rsid w:val="2B760D87"/>
    <w:rsid w:val="2B762663"/>
    <w:rsid w:val="2B7784A1"/>
    <w:rsid w:val="2B81B8B9"/>
    <w:rsid w:val="2B8289C6"/>
    <w:rsid w:val="2B8B3118"/>
    <w:rsid w:val="2B924A92"/>
    <w:rsid w:val="2B9FCFD4"/>
    <w:rsid w:val="2BA0AF54"/>
    <w:rsid w:val="2BA31917"/>
    <w:rsid w:val="2BA5EEC1"/>
    <w:rsid w:val="2BA6ABDA"/>
    <w:rsid w:val="2BA74F16"/>
    <w:rsid w:val="2BADA14B"/>
    <w:rsid w:val="2BB28CE2"/>
    <w:rsid w:val="2BB58435"/>
    <w:rsid w:val="2BB7459C"/>
    <w:rsid w:val="2BB9D3C9"/>
    <w:rsid w:val="2BC266F9"/>
    <w:rsid w:val="2BCB147F"/>
    <w:rsid w:val="2BCCFFBA"/>
    <w:rsid w:val="2BCEA751"/>
    <w:rsid w:val="2BD1759C"/>
    <w:rsid w:val="2BD61E0A"/>
    <w:rsid w:val="2BD8B1E5"/>
    <w:rsid w:val="2BD8DB0C"/>
    <w:rsid w:val="2BDAD523"/>
    <w:rsid w:val="2BDC824C"/>
    <w:rsid w:val="2BDEB403"/>
    <w:rsid w:val="2BE07544"/>
    <w:rsid w:val="2BE78558"/>
    <w:rsid w:val="2BED4F6B"/>
    <w:rsid w:val="2BF270BB"/>
    <w:rsid w:val="2BF3B302"/>
    <w:rsid w:val="2BF56E5B"/>
    <w:rsid w:val="2BF9951D"/>
    <w:rsid w:val="2BFA5C8C"/>
    <w:rsid w:val="2C065F8B"/>
    <w:rsid w:val="2C161C5D"/>
    <w:rsid w:val="2C1ADD4F"/>
    <w:rsid w:val="2C1F53C3"/>
    <w:rsid w:val="2C2161FF"/>
    <w:rsid w:val="2C268499"/>
    <w:rsid w:val="2C2AE6B1"/>
    <w:rsid w:val="2C39F64C"/>
    <w:rsid w:val="2C4055CD"/>
    <w:rsid w:val="2C44D28E"/>
    <w:rsid w:val="2C4D25A9"/>
    <w:rsid w:val="2C51507B"/>
    <w:rsid w:val="2C55DD38"/>
    <w:rsid w:val="2C577E8A"/>
    <w:rsid w:val="2C5CB98E"/>
    <w:rsid w:val="2C5F2D4B"/>
    <w:rsid w:val="2C631EFC"/>
    <w:rsid w:val="2C640B18"/>
    <w:rsid w:val="2C651A0A"/>
    <w:rsid w:val="2C66401D"/>
    <w:rsid w:val="2C678F62"/>
    <w:rsid w:val="2C69A842"/>
    <w:rsid w:val="2C711937"/>
    <w:rsid w:val="2C71C71E"/>
    <w:rsid w:val="2C7497DB"/>
    <w:rsid w:val="2C7CDCCE"/>
    <w:rsid w:val="2C7D4D47"/>
    <w:rsid w:val="2C80DAFB"/>
    <w:rsid w:val="2C839052"/>
    <w:rsid w:val="2C84C7A8"/>
    <w:rsid w:val="2C8519F3"/>
    <w:rsid w:val="2C883C08"/>
    <w:rsid w:val="2C8FDC88"/>
    <w:rsid w:val="2C911653"/>
    <w:rsid w:val="2C96584F"/>
    <w:rsid w:val="2C969628"/>
    <w:rsid w:val="2C984BEF"/>
    <w:rsid w:val="2C996AE2"/>
    <w:rsid w:val="2C9F3C51"/>
    <w:rsid w:val="2C9F7C72"/>
    <w:rsid w:val="2CA1A7E5"/>
    <w:rsid w:val="2CA61979"/>
    <w:rsid w:val="2CAC8BA4"/>
    <w:rsid w:val="2CB31BE9"/>
    <w:rsid w:val="2CB3DFB9"/>
    <w:rsid w:val="2CB8030A"/>
    <w:rsid w:val="2CB9CEF5"/>
    <w:rsid w:val="2CBD583F"/>
    <w:rsid w:val="2CBE9AF7"/>
    <w:rsid w:val="2CC81BA7"/>
    <w:rsid w:val="2CCC48CC"/>
    <w:rsid w:val="2CD1A9D2"/>
    <w:rsid w:val="2CD369C5"/>
    <w:rsid w:val="2CD3CF40"/>
    <w:rsid w:val="2CD451D5"/>
    <w:rsid w:val="2CD8E05A"/>
    <w:rsid w:val="2CD9954B"/>
    <w:rsid w:val="2CDAE70A"/>
    <w:rsid w:val="2CDD8940"/>
    <w:rsid w:val="2CE07CE2"/>
    <w:rsid w:val="2CE24353"/>
    <w:rsid w:val="2CE735FC"/>
    <w:rsid w:val="2CE873FC"/>
    <w:rsid w:val="2CEED46B"/>
    <w:rsid w:val="2CF29746"/>
    <w:rsid w:val="2CF3F5F2"/>
    <w:rsid w:val="2CF55262"/>
    <w:rsid w:val="2CFB086E"/>
    <w:rsid w:val="2CFB85FC"/>
    <w:rsid w:val="2CFCEC58"/>
    <w:rsid w:val="2CFD3BC8"/>
    <w:rsid w:val="2CFE20E2"/>
    <w:rsid w:val="2CFEA02A"/>
    <w:rsid w:val="2D03C33A"/>
    <w:rsid w:val="2D06F0B6"/>
    <w:rsid w:val="2D09DAE2"/>
    <w:rsid w:val="2D0B1405"/>
    <w:rsid w:val="2D0E9273"/>
    <w:rsid w:val="2D11933D"/>
    <w:rsid w:val="2D1C4C67"/>
    <w:rsid w:val="2D1EB75D"/>
    <w:rsid w:val="2D2182BA"/>
    <w:rsid w:val="2D29E53D"/>
    <w:rsid w:val="2D2A0FB1"/>
    <w:rsid w:val="2D2DB7DD"/>
    <w:rsid w:val="2D42F3A7"/>
    <w:rsid w:val="2D46A8B4"/>
    <w:rsid w:val="2D4B1B21"/>
    <w:rsid w:val="2D4EEA24"/>
    <w:rsid w:val="2D50D3D6"/>
    <w:rsid w:val="2D57D002"/>
    <w:rsid w:val="2D5A8A7C"/>
    <w:rsid w:val="2D5B9724"/>
    <w:rsid w:val="2D5C8E25"/>
    <w:rsid w:val="2D609502"/>
    <w:rsid w:val="2D61D1B8"/>
    <w:rsid w:val="2D63ABBA"/>
    <w:rsid w:val="2D6494B4"/>
    <w:rsid w:val="2D6501C0"/>
    <w:rsid w:val="2D697D8D"/>
    <w:rsid w:val="2D7329FD"/>
    <w:rsid w:val="2D7BA21F"/>
    <w:rsid w:val="2D7D91F0"/>
    <w:rsid w:val="2D7DD1EF"/>
    <w:rsid w:val="2D868005"/>
    <w:rsid w:val="2D86BF42"/>
    <w:rsid w:val="2D89C147"/>
    <w:rsid w:val="2D8C5223"/>
    <w:rsid w:val="2D904256"/>
    <w:rsid w:val="2D97B287"/>
    <w:rsid w:val="2D97D3E6"/>
    <w:rsid w:val="2D9FB8E3"/>
    <w:rsid w:val="2DA116B6"/>
    <w:rsid w:val="2DA23B55"/>
    <w:rsid w:val="2DA37FDF"/>
    <w:rsid w:val="2DA402A3"/>
    <w:rsid w:val="2DAED489"/>
    <w:rsid w:val="2DB02FC3"/>
    <w:rsid w:val="2DB0C214"/>
    <w:rsid w:val="2DB0D92B"/>
    <w:rsid w:val="2DB108E7"/>
    <w:rsid w:val="2DB16FC3"/>
    <w:rsid w:val="2DB21088"/>
    <w:rsid w:val="2DB3BF61"/>
    <w:rsid w:val="2DBE6E03"/>
    <w:rsid w:val="2DC414A4"/>
    <w:rsid w:val="2DCC2251"/>
    <w:rsid w:val="2DCD42D5"/>
    <w:rsid w:val="2DCE66CD"/>
    <w:rsid w:val="2DD0B209"/>
    <w:rsid w:val="2DD0D501"/>
    <w:rsid w:val="2DD24CBC"/>
    <w:rsid w:val="2DD6D4AA"/>
    <w:rsid w:val="2DDABE19"/>
    <w:rsid w:val="2DE000F0"/>
    <w:rsid w:val="2DE7FEC8"/>
    <w:rsid w:val="2DEB8810"/>
    <w:rsid w:val="2DF5C0A3"/>
    <w:rsid w:val="2DF864ED"/>
    <w:rsid w:val="2DF86F4F"/>
    <w:rsid w:val="2DFFDE34"/>
    <w:rsid w:val="2E0734DF"/>
    <w:rsid w:val="2E0CF06D"/>
    <w:rsid w:val="2E0D603A"/>
    <w:rsid w:val="2E0E4229"/>
    <w:rsid w:val="2E197C61"/>
    <w:rsid w:val="2E1B9E7E"/>
    <w:rsid w:val="2E1D3FFA"/>
    <w:rsid w:val="2E219D9E"/>
    <w:rsid w:val="2E26892D"/>
    <w:rsid w:val="2E2730DA"/>
    <w:rsid w:val="2E303942"/>
    <w:rsid w:val="2E404CB4"/>
    <w:rsid w:val="2E4AE3AB"/>
    <w:rsid w:val="2E505708"/>
    <w:rsid w:val="2E5106DF"/>
    <w:rsid w:val="2E514418"/>
    <w:rsid w:val="2E541A7E"/>
    <w:rsid w:val="2E563B2B"/>
    <w:rsid w:val="2E618CC2"/>
    <w:rsid w:val="2E648CBE"/>
    <w:rsid w:val="2E6EB163"/>
    <w:rsid w:val="2E6EDDC7"/>
    <w:rsid w:val="2E7ADB01"/>
    <w:rsid w:val="2E7C2D73"/>
    <w:rsid w:val="2E88502A"/>
    <w:rsid w:val="2E900610"/>
    <w:rsid w:val="2E9716DA"/>
    <w:rsid w:val="2E9FBF9B"/>
    <w:rsid w:val="2EA443C0"/>
    <w:rsid w:val="2EA6D2BB"/>
    <w:rsid w:val="2EA76C8B"/>
    <w:rsid w:val="2EAAA4C8"/>
    <w:rsid w:val="2EAB4FB5"/>
    <w:rsid w:val="2EAB7A49"/>
    <w:rsid w:val="2EADF6B2"/>
    <w:rsid w:val="2EB24A29"/>
    <w:rsid w:val="2EB6C4C7"/>
    <w:rsid w:val="2EB80572"/>
    <w:rsid w:val="2EB95974"/>
    <w:rsid w:val="2EBD9D77"/>
    <w:rsid w:val="2EC813D7"/>
    <w:rsid w:val="2EE0A409"/>
    <w:rsid w:val="2EE45981"/>
    <w:rsid w:val="2EEE582C"/>
    <w:rsid w:val="2EF4C696"/>
    <w:rsid w:val="2EF632FF"/>
    <w:rsid w:val="2EF819E9"/>
    <w:rsid w:val="2EFC194B"/>
    <w:rsid w:val="2EFC85A4"/>
    <w:rsid w:val="2EFE7211"/>
    <w:rsid w:val="2F01BF6E"/>
    <w:rsid w:val="2F02C120"/>
    <w:rsid w:val="2F043DAB"/>
    <w:rsid w:val="2F123701"/>
    <w:rsid w:val="2F131FAC"/>
    <w:rsid w:val="2F171029"/>
    <w:rsid w:val="2F19646D"/>
    <w:rsid w:val="2F21480A"/>
    <w:rsid w:val="2F23E20F"/>
    <w:rsid w:val="2F2A2C2E"/>
    <w:rsid w:val="2F35398D"/>
    <w:rsid w:val="2F36DE60"/>
    <w:rsid w:val="2F3A5AB7"/>
    <w:rsid w:val="2F429358"/>
    <w:rsid w:val="2F480A97"/>
    <w:rsid w:val="2F49C4F6"/>
    <w:rsid w:val="2F4CFD25"/>
    <w:rsid w:val="2F4E910E"/>
    <w:rsid w:val="2F502802"/>
    <w:rsid w:val="2F599E59"/>
    <w:rsid w:val="2F6243C7"/>
    <w:rsid w:val="2F6E854F"/>
    <w:rsid w:val="2F75DEFE"/>
    <w:rsid w:val="2F7DA24C"/>
    <w:rsid w:val="2F80122D"/>
    <w:rsid w:val="2F851068"/>
    <w:rsid w:val="2F859843"/>
    <w:rsid w:val="2F867AFF"/>
    <w:rsid w:val="2F87DCD1"/>
    <w:rsid w:val="2F8BA326"/>
    <w:rsid w:val="2F8BE8E1"/>
    <w:rsid w:val="2F901E0B"/>
    <w:rsid w:val="2F90C74D"/>
    <w:rsid w:val="2F90DC75"/>
    <w:rsid w:val="2F94192F"/>
    <w:rsid w:val="2F948AC5"/>
    <w:rsid w:val="2F96C5E5"/>
    <w:rsid w:val="2F98C07C"/>
    <w:rsid w:val="2F9AA410"/>
    <w:rsid w:val="2FA07241"/>
    <w:rsid w:val="2FA32FCE"/>
    <w:rsid w:val="2FA62F84"/>
    <w:rsid w:val="2FA90B3E"/>
    <w:rsid w:val="2FB31651"/>
    <w:rsid w:val="2FB4D962"/>
    <w:rsid w:val="2FB52A39"/>
    <w:rsid w:val="2FBA5392"/>
    <w:rsid w:val="2FC7BF1A"/>
    <w:rsid w:val="2FCBC050"/>
    <w:rsid w:val="2FD85888"/>
    <w:rsid w:val="2FDF1913"/>
    <w:rsid w:val="2FE8BF17"/>
    <w:rsid w:val="2FEBBB50"/>
    <w:rsid w:val="2FEF197D"/>
    <w:rsid w:val="2FF71AE6"/>
    <w:rsid w:val="2FF90B38"/>
    <w:rsid w:val="2FFA6EF3"/>
    <w:rsid w:val="2FFCA622"/>
    <w:rsid w:val="300EFBE1"/>
    <w:rsid w:val="3012374E"/>
    <w:rsid w:val="3014C863"/>
    <w:rsid w:val="3014EAB8"/>
    <w:rsid w:val="3019A801"/>
    <w:rsid w:val="301BFABB"/>
    <w:rsid w:val="302504AA"/>
    <w:rsid w:val="3032052C"/>
    <w:rsid w:val="30337881"/>
    <w:rsid w:val="303432EB"/>
    <w:rsid w:val="3038380A"/>
    <w:rsid w:val="303A5BB5"/>
    <w:rsid w:val="303C7A50"/>
    <w:rsid w:val="3041EA18"/>
    <w:rsid w:val="3044E3D6"/>
    <w:rsid w:val="30463618"/>
    <w:rsid w:val="3047033E"/>
    <w:rsid w:val="304B99D3"/>
    <w:rsid w:val="304E517D"/>
    <w:rsid w:val="305C31B8"/>
    <w:rsid w:val="3061279D"/>
    <w:rsid w:val="3066FEC9"/>
    <w:rsid w:val="3070898B"/>
    <w:rsid w:val="307764A7"/>
    <w:rsid w:val="3080070B"/>
    <w:rsid w:val="30870053"/>
    <w:rsid w:val="308B2751"/>
    <w:rsid w:val="308D380F"/>
    <w:rsid w:val="308E1BAF"/>
    <w:rsid w:val="308F4F0D"/>
    <w:rsid w:val="30952ABA"/>
    <w:rsid w:val="30966C80"/>
    <w:rsid w:val="3098C175"/>
    <w:rsid w:val="309D49D6"/>
    <w:rsid w:val="309E0534"/>
    <w:rsid w:val="309E368D"/>
    <w:rsid w:val="30A011F3"/>
    <w:rsid w:val="30A10686"/>
    <w:rsid w:val="30A1B4DF"/>
    <w:rsid w:val="30A1E1C5"/>
    <w:rsid w:val="30A288EE"/>
    <w:rsid w:val="30A5E0C4"/>
    <w:rsid w:val="30A6970C"/>
    <w:rsid w:val="30ACD5AA"/>
    <w:rsid w:val="30AF95F2"/>
    <w:rsid w:val="30B4185F"/>
    <w:rsid w:val="30B6B938"/>
    <w:rsid w:val="30BEBF73"/>
    <w:rsid w:val="30C4C841"/>
    <w:rsid w:val="30C5366F"/>
    <w:rsid w:val="30C5D080"/>
    <w:rsid w:val="30C733C2"/>
    <w:rsid w:val="30CA7601"/>
    <w:rsid w:val="30CE3A57"/>
    <w:rsid w:val="30CEF164"/>
    <w:rsid w:val="30D37888"/>
    <w:rsid w:val="30DF98EC"/>
    <w:rsid w:val="30E0CA1F"/>
    <w:rsid w:val="30E2A438"/>
    <w:rsid w:val="30E47897"/>
    <w:rsid w:val="30EC20EA"/>
    <w:rsid w:val="30ED534C"/>
    <w:rsid w:val="30ED9F6D"/>
    <w:rsid w:val="30F1DB07"/>
    <w:rsid w:val="30F2F351"/>
    <w:rsid w:val="30F37568"/>
    <w:rsid w:val="30F73B0E"/>
    <w:rsid w:val="30F9FF43"/>
    <w:rsid w:val="30FB7C85"/>
    <w:rsid w:val="30FC9B44"/>
    <w:rsid w:val="30FCF093"/>
    <w:rsid w:val="31021E9E"/>
    <w:rsid w:val="31042119"/>
    <w:rsid w:val="310B7E02"/>
    <w:rsid w:val="3110CD8D"/>
    <w:rsid w:val="311AED34"/>
    <w:rsid w:val="311B7C14"/>
    <w:rsid w:val="311C1AAC"/>
    <w:rsid w:val="311DEC95"/>
    <w:rsid w:val="311E6087"/>
    <w:rsid w:val="311E6A8D"/>
    <w:rsid w:val="3121A455"/>
    <w:rsid w:val="3123B71B"/>
    <w:rsid w:val="312597E7"/>
    <w:rsid w:val="31295D7C"/>
    <w:rsid w:val="312A3FE8"/>
    <w:rsid w:val="31305BE1"/>
    <w:rsid w:val="313774EE"/>
    <w:rsid w:val="31408174"/>
    <w:rsid w:val="3141B442"/>
    <w:rsid w:val="314704BD"/>
    <w:rsid w:val="3161D245"/>
    <w:rsid w:val="3168BD17"/>
    <w:rsid w:val="316A759F"/>
    <w:rsid w:val="3176A2ED"/>
    <w:rsid w:val="31839174"/>
    <w:rsid w:val="31847376"/>
    <w:rsid w:val="318819A1"/>
    <w:rsid w:val="318AB7F1"/>
    <w:rsid w:val="318F137D"/>
    <w:rsid w:val="318F2A34"/>
    <w:rsid w:val="31972D8C"/>
    <w:rsid w:val="3198AEAD"/>
    <w:rsid w:val="319A3CE6"/>
    <w:rsid w:val="319FC424"/>
    <w:rsid w:val="31A2B437"/>
    <w:rsid w:val="31ACCDFA"/>
    <w:rsid w:val="31AF9714"/>
    <w:rsid w:val="31B0D053"/>
    <w:rsid w:val="31B48D11"/>
    <w:rsid w:val="31B4C334"/>
    <w:rsid w:val="31B591FE"/>
    <w:rsid w:val="31B68EE5"/>
    <w:rsid w:val="31B6E771"/>
    <w:rsid w:val="31B7D0B8"/>
    <w:rsid w:val="31B9A5B1"/>
    <w:rsid w:val="31BAC3D5"/>
    <w:rsid w:val="31BB562B"/>
    <w:rsid w:val="31BE98FC"/>
    <w:rsid w:val="31C64182"/>
    <w:rsid w:val="31C782AE"/>
    <w:rsid w:val="31C7FDA8"/>
    <w:rsid w:val="31D06458"/>
    <w:rsid w:val="31D4A17F"/>
    <w:rsid w:val="31D90162"/>
    <w:rsid w:val="31DA53BA"/>
    <w:rsid w:val="31E0E461"/>
    <w:rsid w:val="31E21FCA"/>
    <w:rsid w:val="31E5A42B"/>
    <w:rsid w:val="31E65A37"/>
    <w:rsid w:val="31EF7AD7"/>
    <w:rsid w:val="31F7845D"/>
    <w:rsid w:val="31F7E9FB"/>
    <w:rsid w:val="31F8A092"/>
    <w:rsid w:val="31F99C7D"/>
    <w:rsid w:val="31FF633E"/>
    <w:rsid w:val="320598A1"/>
    <w:rsid w:val="3206FDC5"/>
    <w:rsid w:val="320EBE64"/>
    <w:rsid w:val="32226176"/>
    <w:rsid w:val="322C68F0"/>
    <w:rsid w:val="3230A724"/>
    <w:rsid w:val="32347F1A"/>
    <w:rsid w:val="323C8361"/>
    <w:rsid w:val="323D34D8"/>
    <w:rsid w:val="323D4523"/>
    <w:rsid w:val="323F3C14"/>
    <w:rsid w:val="3241BD5B"/>
    <w:rsid w:val="32451673"/>
    <w:rsid w:val="324FDC82"/>
    <w:rsid w:val="325B8B8B"/>
    <w:rsid w:val="325CD96D"/>
    <w:rsid w:val="325D7618"/>
    <w:rsid w:val="325FA034"/>
    <w:rsid w:val="325FD3BD"/>
    <w:rsid w:val="32623FDA"/>
    <w:rsid w:val="32659711"/>
    <w:rsid w:val="326AFFDE"/>
    <w:rsid w:val="32777B2A"/>
    <w:rsid w:val="327BA28A"/>
    <w:rsid w:val="327F07C4"/>
    <w:rsid w:val="3285296C"/>
    <w:rsid w:val="32933250"/>
    <w:rsid w:val="329F1FCD"/>
    <w:rsid w:val="32A78B02"/>
    <w:rsid w:val="32AC1B91"/>
    <w:rsid w:val="32AEA1F1"/>
    <w:rsid w:val="32AF1D15"/>
    <w:rsid w:val="32B23E42"/>
    <w:rsid w:val="32B5BE02"/>
    <w:rsid w:val="32BC0D7F"/>
    <w:rsid w:val="32BC7087"/>
    <w:rsid w:val="32C1EDC7"/>
    <w:rsid w:val="32C2167B"/>
    <w:rsid w:val="32C25BAB"/>
    <w:rsid w:val="32C59BD3"/>
    <w:rsid w:val="32C62604"/>
    <w:rsid w:val="32C7A409"/>
    <w:rsid w:val="32C9BFAB"/>
    <w:rsid w:val="32CA8A31"/>
    <w:rsid w:val="32CB88AB"/>
    <w:rsid w:val="32D2C38C"/>
    <w:rsid w:val="32D572DF"/>
    <w:rsid w:val="32E16BBB"/>
    <w:rsid w:val="32E5E7ED"/>
    <w:rsid w:val="32E6EF03"/>
    <w:rsid w:val="32EC3CAC"/>
    <w:rsid w:val="32ECB3CC"/>
    <w:rsid w:val="32F050D6"/>
    <w:rsid w:val="32F32792"/>
    <w:rsid w:val="32F51D4B"/>
    <w:rsid w:val="32F712AD"/>
    <w:rsid w:val="32FC4BE9"/>
    <w:rsid w:val="32FCF1B6"/>
    <w:rsid w:val="32FD244E"/>
    <w:rsid w:val="32FE3543"/>
    <w:rsid w:val="3305DA2C"/>
    <w:rsid w:val="3308F955"/>
    <w:rsid w:val="33189568"/>
    <w:rsid w:val="331AFB90"/>
    <w:rsid w:val="331E7F20"/>
    <w:rsid w:val="331F4306"/>
    <w:rsid w:val="33231A9B"/>
    <w:rsid w:val="33269A0D"/>
    <w:rsid w:val="3328E148"/>
    <w:rsid w:val="332962C7"/>
    <w:rsid w:val="33316943"/>
    <w:rsid w:val="333419D1"/>
    <w:rsid w:val="333444E4"/>
    <w:rsid w:val="33391059"/>
    <w:rsid w:val="333DE8F4"/>
    <w:rsid w:val="333E68C4"/>
    <w:rsid w:val="333F4BB1"/>
    <w:rsid w:val="335216CF"/>
    <w:rsid w:val="33547FCB"/>
    <w:rsid w:val="335626D4"/>
    <w:rsid w:val="33573866"/>
    <w:rsid w:val="3358BCD7"/>
    <w:rsid w:val="335F152A"/>
    <w:rsid w:val="3364AF6F"/>
    <w:rsid w:val="33668B98"/>
    <w:rsid w:val="33674A94"/>
    <w:rsid w:val="336F80ED"/>
    <w:rsid w:val="33746EEA"/>
    <w:rsid w:val="337476F1"/>
    <w:rsid w:val="33763E82"/>
    <w:rsid w:val="337D7EAD"/>
    <w:rsid w:val="33800C5E"/>
    <w:rsid w:val="33834322"/>
    <w:rsid w:val="3385E4E4"/>
    <w:rsid w:val="3387CBA2"/>
    <w:rsid w:val="3388C6C0"/>
    <w:rsid w:val="338A8493"/>
    <w:rsid w:val="338CECCD"/>
    <w:rsid w:val="338CF80D"/>
    <w:rsid w:val="338D8FD8"/>
    <w:rsid w:val="338F84FC"/>
    <w:rsid w:val="3390CB8E"/>
    <w:rsid w:val="3391CC68"/>
    <w:rsid w:val="3392D3E2"/>
    <w:rsid w:val="339330BE"/>
    <w:rsid w:val="3394FEC7"/>
    <w:rsid w:val="339530CB"/>
    <w:rsid w:val="33A7BB2E"/>
    <w:rsid w:val="33A8906C"/>
    <w:rsid w:val="33AC8370"/>
    <w:rsid w:val="33AE4682"/>
    <w:rsid w:val="33B063CE"/>
    <w:rsid w:val="33B9D5BC"/>
    <w:rsid w:val="33BBE8FE"/>
    <w:rsid w:val="33BE4D5E"/>
    <w:rsid w:val="33BE8FEC"/>
    <w:rsid w:val="33C07CB9"/>
    <w:rsid w:val="33CD020C"/>
    <w:rsid w:val="33D04A9B"/>
    <w:rsid w:val="33D16433"/>
    <w:rsid w:val="33D2FBC1"/>
    <w:rsid w:val="33D70ABC"/>
    <w:rsid w:val="33DE9D2C"/>
    <w:rsid w:val="33E20D48"/>
    <w:rsid w:val="33E25CA3"/>
    <w:rsid w:val="33E42C97"/>
    <w:rsid w:val="33E45C94"/>
    <w:rsid w:val="33E5DBF8"/>
    <w:rsid w:val="33F1CDE1"/>
    <w:rsid w:val="33F4D406"/>
    <w:rsid w:val="33F80768"/>
    <w:rsid w:val="33FABC85"/>
    <w:rsid w:val="33FB8C1C"/>
    <w:rsid w:val="33FCC22C"/>
    <w:rsid w:val="3400A44B"/>
    <w:rsid w:val="3400EC31"/>
    <w:rsid w:val="34053258"/>
    <w:rsid w:val="340984A4"/>
    <w:rsid w:val="340D3A21"/>
    <w:rsid w:val="340E22E3"/>
    <w:rsid w:val="3418E38F"/>
    <w:rsid w:val="3419D637"/>
    <w:rsid w:val="341B1748"/>
    <w:rsid w:val="341B629F"/>
    <w:rsid w:val="341F53EB"/>
    <w:rsid w:val="342074E6"/>
    <w:rsid w:val="342A1D47"/>
    <w:rsid w:val="34309AEB"/>
    <w:rsid w:val="3431211B"/>
    <w:rsid w:val="343266B6"/>
    <w:rsid w:val="3432F8BE"/>
    <w:rsid w:val="34377596"/>
    <w:rsid w:val="343C640E"/>
    <w:rsid w:val="343DB58A"/>
    <w:rsid w:val="343FA68F"/>
    <w:rsid w:val="3442F718"/>
    <w:rsid w:val="3443A6E8"/>
    <w:rsid w:val="344EA478"/>
    <w:rsid w:val="345A8602"/>
    <w:rsid w:val="34631D67"/>
    <w:rsid w:val="3469F5DF"/>
    <w:rsid w:val="346BCC9D"/>
    <w:rsid w:val="3471C820"/>
    <w:rsid w:val="3473DFEA"/>
    <w:rsid w:val="347A57F5"/>
    <w:rsid w:val="347C5CDD"/>
    <w:rsid w:val="347C614A"/>
    <w:rsid w:val="34800472"/>
    <w:rsid w:val="348A7B3A"/>
    <w:rsid w:val="348FAC68"/>
    <w:rsid w:val="3494983D"/>
    <w:rsid w:val="3498E0CD"/>
    <w:rsid w:val="349B0A36"/>
    <w:rsid w:val="349E5890"/>
    <w:rsid w:val="349E809B"/>
    <w:rsid w:val="34A06538"/>
    <w:rsid w:val="34A1122F"/>
    <w:rsid w:val="34ACC250"/>
    <w:rsid w:val="34AEA966"/>
    <w:rsid w:val="34B3782E"/>
    <w:rsid w:val="34B86A7F"/>
    <w:rsid w:val="34BB1191"/>
    <w:rsid w:val="34BD54D2"/>
    <w:rsid w:val="34C1E7DC"/>
    <w:rsid w:val="34CB9CF7"/>
    <w:rsid w:val="34DBEB61"/>
    <w:rsid w:val="34DFC290"/>
    <w:rsid w:val="34E50E5A"/>
    <w:rsid w:val="34F40A38"/>
    <w:rsid w:val="34F526D8"/>
    <w:rsid w:val="34F70C7A"/>
    <w:rsid w:val="34FB7E9E"/>
    <w:rsid w:val="34FBE008"/>
    <w:rsid w:val="34FD00FD"/>
    <w:rsid w:val="35011D20"/>
    <w:rsid w:val="3509BE90"/>
    <w:rsid w:val="350A38AB"/>
    <w:rsid w:val="350E8627"/>
    <w:rsid w:val="351142D3"/>
    <w:rsid w:val="3512E349"/>
    <w:rsid w:val="351885A1"/>
    <w:rsid w:val="351CFCB0"/>
    <w:rsid w:val="351DDDBC"/>
    <w:rsid w:val="351F2FD5"/>
    <w:rsid w:val="3523AB49"/>
    <w:rsid w:val="352796FC"/>
    <w:rsid w:val="3528D179"/>
    <w:rsid w:val="352BA099"/>
    <w:rsid w:val="35339D07"/>
    <w:rsid w:val="35341EB1"/>
    <w:rsid w:val="35354A82"/>
    <w:rsid w:val="353846B2"/>
    <w:rsid w:val="3538CAB0"/>
    <w:rsid w:val="3539B539"/>
    <w:rsid w:val="353E3A2A"/>
    <w:rsid w:val="35433CD4"/>
    <w:rsid w:val="35470DDD"/>
    <w:rsid w:val="35512C5F"/>
    <w:rsid w:val="355296B0"/>
    <w:rsid w:val="3553EE38"/>
    <w:rsid w:val="3564127C"/>
    <w:rsid w:val="3565FD57"/>
    <w:rsid w:val="356F15B6"/>
    <w:rsid w:val="356FE936"/>
    <w:rsid w:val="3571E2B0"/>
    <w:rsid w:val="3574FD18"/>
    <w:rsid w:val="3577AD7B"/>
    <w:rsid w:val="357DE5B6"/>
    <w:rsid w:val="357F03A9"/>
    <w:rsid w:val="3581929B"/>
    <w:rsid w:val="3584B5F0"/>
    <w:rsid w:val="358ACBB4"/>
    <w:rsid w:val="35941DCE"/>
    <w:rsid w:val="359EAB1B"/>
    <w:rsid w:val="359FD352"/>
    <w:rsid w:val="35A155C1"/>
    <w:rsid w:val="35A75CA1"/>
    <w:rsid w:val="35A7C64A"/>
    <w:rsid w:val="35A7E998"/>
    <w:rsid w:val="35A7F730"/>
    <w:rsid w:val="35AABB3A"/>
    <w:rsid w:val="35ABD47B"/>
    <w:rsid w:val="35B2D0F1"/>
    <w:rsid w:val="35B66EA1"/>
    <w:rsid w:val="35C7B331"/>
    <w:rsid w:val="35CA7261"/>
    <w:rsid w:val="35CA8B7F"/>
    <w:rsid w:val="35D15247"/>
    <w:rsid w:val="35D27DD2"/>
    <w:rsid w:val="35D60AF1"/>
    <w:rsid w:val="35DD61C0"/>
    <w:rsid w:val="35E16871"/>
    <w:rsid w:val="35E1A75B"/>
    <w:rsid w:val="35E5901A"/>
    <w:rsid w:val="35E8A370"/>
    <w:rsid w:val="35ECCD74"/>
    <w:rsid w:val="35F08F0A"/>
    <w:rsid w:val="35F9E6F0"/>
    <w:rsid w:val="35FABDD5"/>
    <w:rsid w:val="35FDE09F"/>
    <w:rsid w:val="3601271D"/>
    <w:rsid w:val="360222E2"/>
    <w:rsid w:val="360656B2"/>
    <w:rsid w:val="360FB20F"/>
    <w:rsid w:val="36119429"/>
    <w:rsid w:val="36130EBA"/>
    <w:rsid w:val="3616AB32"/>
    <w:rsid w:val="361B2FCC"/>
    <w:rsid w:val="361CE25B"/>
    <w:rsid w:val="3620B8BA"/>
    <w:rsid w:val="362A2C26"/>
    <w:rsid w:val="362A612E"/>
    <w:rsid w:val="362C5259"/>
    <w:rsid w:val="363325D0"/>
    <w:rsid w:val="363778E2"/>
    <w:rsid w:val="363E9E5D"/>
    <w:rsid w:val="363FDE72"/>
    <w:rsid w:val="36419E8F"/>
    <w:rsid w:val="3646DA8D"/>
    <w:rsid w:val="364A3082"/>
    <w:rsid w:val="364DEF96"/>
    <w:rsid w:val="36532C0F"/>
    <w:rsid w:val="3658345D"/>
    <w:rsid w:val="366887C8"/>
    <w:rsid w:val="366B0144"/>
    <w:rsid w:val="3670B80F"/>
    <w:rsid w:val="3672832C"/>
    <w:rsid w:val="36744A41"/>
    <w:rsid w:val="367A58AE"/>
    <w:rsid w:val="368113B5"/>
    <w:rsid w:val="36880449"/>
    <w:rsid w:val="368A7827"/>
    <w:rsid w:val="368E3EA8"/>
    <w:rsid w:val="36967141"/>
    <w:rsid w:val="3696C460"/>
    <w:rsid w:val="3696ED75"/>
    <w:rsid w:val="369B4F3B"/>
    <w:rsid w:val="36A08203"/>
    <w:rsid w:val="36A4FE0A"/>
    <w:rsid w:val="36A89B63"/>
    <w:rsid w:val="36A9A7DE"/>
    <w:rsid w:val="36AD89BD"/>
    <w:rsid w:val="36AE4496"/>
    <w:rsid w:val="36AE7761"/>
    <w:rsid w:val="36AFA45F"/>
    <w:rsid w:val="36B4047C"/>
    <w:rsid w:val="36B5E5AC"/>
    <w:rsid w:val="36BE1026"/>
    <w:rsid w:val="36C12DF8"/>
    <w:rsid w:val="36C23957"/>
    <w:rsid w:val="36C5B02D"/>
    <w:rsid w:val="36C73DB4"/>
    <w:rsid w:val="36CAD9E7"/>
    <w:rsid w:val="36D03562"/>
    <w:rsid w:val="36D0510F"/>
    <w:rsid w:val="36D06CBA"/>
    <w:rsid w:val="36DB92FF"/>
    <w:rsid w:val="36DC7844"/>
    <w:rsid w:val="36DD0A7E"/>
    <w:rsid w:val="36E29863"/>
    <w:rsid w:val="36E5256E"/>
    <w:rsid w:val="36E61302"/>
    <w:rsid w:val="36EBA227"/>
    <w:rsid w:val="36F96766"/>
    <w:rsid w:val="36FAA6BF"/>
    <w:rsid w:val="36FCEF23"/>
    <w:rsid w:val="36FFE550"/>
    <w:rsid w:val="3700E1AD"/>
    <w:rsid w:val="3700E99F"/>
    <w:rsid w:val="37192610"/>
    <w:rsid w:val="37269CAE"/>
    <w:rsid w:val="372B271C"/>
    <w:rsid w:val="372CFBA3"/>
    <w:rsid w:val="372D5EC8"/>
    <w:rsid w:val="372E57CD"/>
    <w:rsid w:val="3737883D"/>
    <w:rsid w:val="373936F1"/>
    <w:rsid w:val="374152A7"/>
    <w:rsid w:val="374514F4"/>
    <w:rsid w:val="374635C8"/>
    <w:rsid w:val="374C83A5"/>
    <w:rsid w:val="374E43DA"/>
    <w:rsid w:val="374ECC4E"/>
    <w:rsid w:val="375090C5"/>
    <w:rsid w:val="37539BF6"/>
    <w:rsid w:val="3764574E"/>
    <w:rsid w:val="37649796"/>
    <w:rsid w:val="376FAD36"/>
    <w:rsid w:val="3771CDC7"/>
    <w:rsid w:val="377D3014"/>
    <w:rsid w:val="377E5172"/>
    <w:rsid w:val="377EB11E"/>
    <w:rsid w:val="37830390"/>
    <w:rsid w:val="378494F8"/>
    <w:rsid w:val="3784D016"/>
    <w:rsid w:val="378C0CD8"/>
    <w:rsid w:val="378F4873"/>
    <w:rsid w:val="379DB5A6"/>
    <w:rsid w:val="37A2522A"/>
    <w:rsid w:val="37A38E10"/>
    <w:rsid w:val="37A6EEA9"/>
    <w:rsid w:val="37AE3249"/>
    <w:rsid w:val="37AF522F"/>
    <w:rsid w:val="37AFE2B8"/>
    <w:rsid w:val="37B0639E"/>
    <w:rsid w:val="37B7EBE1"/>
    <w:rsid w:val="37B80CB0"/>
    <w:rsid w:val="37B9ED72"/>
    <w:rsid w:val="37BBA51F"/>
    <w:rsid w:val="37BC634D"/>
    <w:rsid w:val="37C0F760"/>
    <w:rsid w:val="37C91E8E"/>
    <w:rsid w:val="37C9BFEA"/>
    <w:rsid w:val="37CD0F43"/>
    <w:rsid w:val="37CD26FE"/>
    <w:rsid w:val="37D6CFE3"/>
    <w:rsid w:val="37DB4610"/>
    <w:rsid w:val="37DEDC40"/>
    <w:rsid w:val="37E0A123"/>
    <w:rsid w:val="37E188A0"/>
    <w:rsid w:val="37E44F71"/>
    <w:rsid w:val="37EF5E88"/>
    <w:rsid w:val="37F34F7A"/>
    <w:rsid w:val="37F46586"/>
    <w:rsid w:val="3802E45C"/>
    <w:rsid w:val="3805569C"/>
    <w:rsid w:val="38058414"/>
    <w:rsid w:val="3806AEF0"/>
    <w:rsid w:val="380CD0C7"/>
    <w:rsid w:val="380E6AE9"/>
    <w:rsid w:val="380E8DAC"/>
    <w:rsid w:val="38111AB6"/>
    <w:rsid w:val="38143CE0"/>
    <w:rsid w:val="381E9871"/>
    <w:rsid w:val="3821D7A4"/>
    <w:rsid w:val="3822FA2C"/>
    <w:rsid w:val="38285686"/>
    <w:rsid w:val="3829D02B"/>
    <w:rsid w:val="382C7A9B"/>
    <w:rsid w:val="383076FA"/>
    <w:rsid w:val="3833BBE6"/>
    <w:rsid w:val="383D096E"/>
    <w:rsid w:val="383E166C"/>
    <w:rsid w:val="38430397"/>
    <w:rsid w:val="3846F6B1"/>
    <w:rsid w:val="384C0D2E"/>
    <w:rsid w:val="3851925E"/>
    <w:rsid w:val="38548F7B"/>
    <w:rsid w:val="38555B7B"/>
    <w:rsid w:val="3856823B"/>
    <w:rsid w:val="3856C7C8"/>
    <w:rsid w:val="385C6819"/>
    <w:rsid w:val="38612814"/>
    <w:rsid w:val="386D2B6C"/>
    <w:rsid w:val="3872156D"/>
    <w:rsid w:val="387BAA0B"/>
    <w:rsid w:val="3885D4D5"/>
    <w:rsid w:val="388F17E8"/>
    <w:rsid w:val="3891583E"/>
    <w:rsid w:val="3892BF7F"/>
    <w:rsid w:val="38935267"/>
    <w:rsid w:val="3893ED66"/>
    <w:rsid w:val="38943ACF"/>
    <w:rsid w:val="38970A58"/>
    <w:rsid w:val="3898F001"/>
    <w:rsid w:val="389A9E7D"/>
    <w:rsid w:val="38A15701"/>
    <w:rsid w:val="38AA3C59"/>
    <w:rsid w:val="38AA73E7"/>
    <w:rsid w:val="38B21831"/>
    <w:rsid w:val="38B95A17"/>
    <w:rsid w:val="38B970D8"/>
    <w:rsid w:val="38B9D4CB"/>
    <w:rsid w:val="38BC0C0F"/>
    <w:rsid w:val="38C1F34F"/>
    <w:rsid w:val="38C69A4C"/>
    <w:rsid w:val="38CC0168"/>
    <w:rsid w:val="38DF047E"/>
    <w:rsid w:val="38E3D30E"/>
    <w:rsid w:val="38E4B3AB"/>
    <w:rsid w:val="38E68C31"/>
    <w:rsid w:val="38E771DC"/>
    <w:rsid w:val="38EAB13C"/>
    <w:rsid w:val="38EDAA74"/>
    <w:rsid w:val="38EE01D1"/>
    <w:rsid w:val="38FA2490"/>
    <w:rsid w:val="38FC35C2"/>
    <w:rsid w:val="38FE5529"/>
    <w:rsid w:val="38FEF3BD"/>
    <w:rsid w:val="390159BD"/>
    <w:rsid w:val="39083C3A"/>
    <w:rsid w:val="3912B8EB"/>
    <w:rsid w:val="3915DB89"/>
    <w:rsid w:val="391E7BBC"/>
    <w:rsid w:val="391FFEC6"/>
    <w:rsid w:val="392085A8"/>
    <w:rsid w:val="39280244"/>
    <w:rsid w:val="392B50B1"/>
    <w:rsid w:val="392D5039"/>
    <w:rsid w:val="392FAC0B"/>
    <w:rsid w:val="3930ED52"/>
    <w:rsid w:val="39321A65"/>
    <w:rsid w:val="3939A747"/>
    <w:rsid w:val="393C8254"/>
    <w:rsid w:val="393D64C0"/>
    <w:rsid w:val="394122AC"/>
    <w:rsid w:val="39434ABC"/>
    <w:rsid w:val="3945A6C1"/>
    <w:rsid w:val="3946DDBB"/>
    <w:rsid w:val="394F46FF"/>
    <w:rsid w:val="394FB309"/>
    <w:rsid w:val="3955EC01"/>
    <w:rsid w:val="3962FA87"/>
    <w:rsid w:val="396A0693"/>
    <w:rsid w:val="396DC77B"/>
    <w:rsid w:val="396EDBDA"/>
    <w:rsid w:val="397678E6"/>
    <w:rsid w:val="397A5F26"/>
    <w:rsid w:val="397A829C"/>
    <w:rsid w:val="39815ADE"/>
    <w:rsid w:val="3982D983"/>
    <w:rsid w:val="3984E80A"/>
    <w:rsid w:val="3988336C"/>
    <w:rsid w:val="39978508"/>
    <w:rsid w:val="3999E55B"/>
    <w:rsid w:val="399BF4C8"/>
    <w:rsid w:val="39A095A7"/>
    <w:rsid w:val="39A38E3F"/>
    <w:rsid w:val="39A49DBD"/>
    <w:rsid w:val="39AAE7CD"/>
    <w:rsid w:val="39AB68C6"/>
    <w:rsid w:val="39AF1E32"/>
    <w:rsid w:val="39B0F459"/>
    <w:rsid w:val="39BDCB50"/>
    <w:rsid w:val="39BFEEFA"/>
    <w:rsid w:val="39C07D66"/>
    <w:rsid w:val="39C2EAB0"/>
    <w:rsid w:val="39C579AF"/>
    <w:rsid w:val="39C8CD68"/>
    <w:rsid w:val="39CA0748"/>
    <w:rsid w:val="39CEA001"/>
    <w:rsid w:val="39D08EC9"/>
    <w:rsid w:val="39D0D07D"/>
    <w:rsid w:val="39D11767"/>
    <w:rsid w:val="39D13459"/>
    <w:rsid w:val="39D8ADDD"/>
    <w:rsid w:val="39D90A04"/>
    <w:rsid w:val="39E0BB8D"/>
    <w:rsid w:val="39E61078"/>
    <w:rsid w:val="39E8510B"/>
    <w:rsid w:val="39ECB1FE"/>
    <w:rsid w:val="39ED40A5"/>
    <w:rsid w:val="39F23FB6"/>
    <w:rsid w:val="39F9EDFD"/>
    <w:rsid w:val="3A0116B8"/>
    <w:rsid w:val="3A0188FC"/>
    <w:rsid w:val="3A01DF42"/>
    <w:rsid w:val="3A0253E6"/>
    <w:rsid w:val="3A035AD6"/>
    <w:rsid w:val="3A036602"/>
    <w:rsid w:val="3A060F4A"/>
    <w:rsid w:val="3A079577"/>
    <w:rsid w:val="3A084762"/>
    <w:rsid w:val="3A08F9BB"/>
    <w:rsid w:val="3A0B3193"/>
    <w:rsid w:val="3A0E5741"/>
    <w:rsid w:val="3A16D661"/>
    <w:rsid w:val="3A20928B"/>
    <w:rsid w:val="3A24A4F0"/>
    <w:rsid w:val="3A26B7D0"/>
    <w:rsid w:val="3A27E1D9"/>
    <w:rsid w:val="3A2ADA65"/>
    <w:rsid w:val="3A34CDB1"/>
    <w:rsid w:val="3A3DC595"/>
    <w:rsid w:val="3A40DAF5"/>
    <w:rsid w:val="3A5C83C3"/>
    <w:rsid w:val="3A606308"/>
    <w:rsid w:val="3A653CD1"/>
    <w:rsid w:val="3A6E11A1"/>
    <w:rsid w:val="3A742BCE"/>
    <w:rsid w:val="3A752E0D"/>
    <w:rsid w:val="3A76684C"/>
    <w:rsid w:val="3A78F745"/>
    <w:rsid w:val="3A79A8C4"/>
    <w:rsid w:val="3A7AC103"/>
    <w:rsid w:val="3A7DCD7F"/>
    <w:rsid w:val="3A83CBE4"/>
    <w:rsid w:val="3A87469F"/>
    <w:rsid w:val="3A882C5A"/>
    <w:rsid w:val="3A890F47"/>
    <w:rsid w:val="3A8B2D9D"/>
    <w:rsid w:val="3A9129A1"/>
    <w:rsid w:val="3A94F878"/>
    <w:rsid w:val="3A9C3FA2"/>
    <w:rsid w:val="3A9CF970"/>
    <w:rsid w:val="3AA0CA94"/>
    <w:rsid w:val="3AA68A94"/>
    <w:rsid w:val="3AB005D2"/>
    <w:rsid w:val="3ABAF7A5"/>
    <w:rsid w:val="3ABC6BF7"/>
    <w:rsid w:val="3AC0A6C2"/>
    <w:rsid w:val="3AC0CC20"/>
    <w:rsid w:val="3AC1B7B1"/>
    <w:rsid w:val="3AC223EB"/>
    <w:rsid w:val="3AC8A35C"/>
    <w:rsid w:val="3ACBAB32"/>
    <w:rsid w:val="3ACE0A74"/>
    <w:rsid w:val="3ACF3598"/>
    <w:rsid w:val="3ACF938F"/>
    <w:rsid w:val="3AD4DA66"/>
    <w:rsid w:val="3AD78789"/>
    <w:rsid w:val="3ADE0496"/>
    <w:rsid w:val="3AE270B0"/>
    <w:rsid w:val="3AE65162"/>
    <w:rsid w:val="3AE80677"/>
    <w:rsid w:val="3AE8416E"/>
    <w:rsid w:val="3AEA6A3A"/>
    <w:rsid w:val="3AEA7013"/>
    <w:rsid w:val="3AEC9081"/>
    <w:rsid w:val="3AF74AA7"/>
    <w:rsid w:val="3AF75C05"/>
    <w:rsid w:val="3AFAABD4"/>
    <w:rsid w:val="3B0019CB"/>
    <w:rsid w:val="3B044D91"/>
    <w:rsid w:val="3B172FEA"/>
    <w:rsid w:val="3B206952"/>
    <w:rsid w:val="3B24CCCF"/>
    <w:rsid w:val="3B279A51"/>
    <w:rsid w:val="3B28F7A4"/>
    <w:rsid w:val="3B291035"/>
    <w:rsid w:val="3B379A34"/>
    <w:rsid w:val="3B38F1E5"/>
    <w:rsid w:val="3B446439"/>
    <w:rsid w:val="3B454901"/>
    <w:rsid w:val="3B4C21C0"/>
    <w:rsid w:val="3B4DA652"/>
    <w:rsid w:val="3B53FF6E"/>
    <w:rsid w:val="3B5736E0"/>
    <w:rsid w:val="3B5771F5"/>
    <w:rsid w:val="3B601769"/>
    <w:rsid w:val="3B607FDE"/>
    <w:rsid w:val="3B615D31"/>
    <w:rsid w:val="3B61A03B"/>
    <w:rsid w:val="3B63A963"/>
    <w:rsid w:val="3B66E4C4"/>
    <w:rsid w:val="3B67B630"/>
    <w:rsid w:val="3B697EF7"/>
    <w:rsid w:val="3B6AF88C"/>
    <w:rsid w:val="3B775A30"/>
    <w:rsid w:val="3B7796B0"/>
    <w:rsid w:val="3B7BCC39"/>
    <w:rsid w:val="3B7DD424"/>
    <w:rsid w:val="3B7DD788"/>
    <w:rsid w:val="3B807939"/>
    <w:rsid w:val="3B87840A"/>
    <w:rsid w:val="3B87D311"/>
    <w:rsid w:val="3B94D8F5"/>
    <w:rsid w:val="3B98C332"/>
    <w:rsid w:val="3B9C076E"/>
    <w:rsid w:val="3BAC88EF"/>
    <w:rsid w:val="3BC1619E"/>
    <w:rsid w:val="3BC3EFE2"/>
    <w:rsid w:val="3BD35A88"/>
    <w:rsid w:val="3BD4CA08"/>
    <w:rsid w:val="3BDAC703"/>
    <w:rsid w:val="3BE2074B"/>
    <w:rsid w:val="3BE5EC88"/>
    <w:rsid w:val="3BEA9001"/>
    <w:rsid w:val="3BF4AE9C"/>
    <w:rsid w:val="3BFB2B91"/>
    <w:rsid w:val="3BFE033C"/>
    <w:rsid w:val="3C002AE3"/>
    <w:rsid w:val="3C02E2C5"/>
    <w:rsid w:val="3C045D38"/>
    <w:rsid w:val="3C08A9BC"/>
    <w:rsid w:val="3C0A77FC"/>
    <w:rsid w:val="3C0A79DB"/>
    <w:rsid w:val="3C1287FA"/>
    <w:rsid w:val="3C196AC6"/>
    <w:rsid w:val="3C261FC3"/>
    <w:rsid w:val="3C26908C"/>
    <w:rsid w:val="3C30512E"/>
    <w:rsid w:val="3C317AE9"/>
    <w:rsid w:val="3C3216F2"/>
    <w:rsid w:val="3C327799"/>
    <w:rsid w:val="3C378456"/>
    <w:rsid w:val="3C39E38E"/>
    <w:rsid w:val="3C3A4EF4"/>
    <w:rsid w:val="3C3CC4B8"/>
    <w:rsid w:val="3C3EC2B6"/>
    <w:rsid w:val="3C3F808D"/>
    <w:rsid w:val="3C44265B"/>
    <w:rsid w:val="3C470046"/>
    <w:rsid w:val="3C4B2024"/>
    <w:rsid w:val="3C4EEF3A"/>
    <w:rsid w:val="3C4FC6D8"/>
    <w:rsid w:val="3C5D0135"/>
    <w:rsid w:val="3C632BB7"/>
    <w:rsid w:val="3C661A20"/>
    <w:rsid w:val="3C686FDC"/>
    <w:rsid w:val="3C6F0294"/>
    <w:rsid w:val="3C6FDDA9"/>
    <w:rsid w:val="3C70120B"/>
    <w:rsid w:val="3C7020AA"/>
    <w:rsid w:val="3C71897D"/>
    <w:rsid w:val="3C75EF9F"/>
    <w:rsid w:val="3C7C2390"/>
    <w:rsid w:val="3C7D3C5C"/>
    <w:rsid w:val="3C7F5805"/>
    <w:rsid w:val="3C8D1CA1"/>
    <w:rsid w:val="3C8E5510"/>
    <w:rsid w:val="3C8EA309"/>
    <w:rsid w:val="3C91B1AA"/>
    <w:rsid w:val="3C92B9F0"/>
    <w:rsid w:val="3C93696F"/>
    <w:rsid w:val="3CA0CC11"/>
    <w:rsid w:val="3CB1BEE8"/>
    <w:rsid w:val="3CB50C68"/>
    <w:rsid w:val="3CBDBBCE"/>
    <w:rsid w:val="3CBDC40E"/>
    <w:rsid w:val="3CC69ECA"/>
    <w:rsid w:val="3CCB2F71"/>
    <w:rsid w:val="3CCD6406"/>
    <w:rsid w:val="3CD10DA6"/>
    <w:rsid w:val="3CD1DD50"/>
    <w:rsid w:val="3CD38257"/>
    <w:rsid w:val="3CDBB51F"/>
    <w:rsid w:val="3CDCE0D5"/>
    <w:rsid w:val="3CE1ED55"/>
    <w:rsid w:val="3CE2B6D1"/>
    <w:rsid w:val="3CE3BD75"/>
    <w:rsid w:val="3CE3D967"/>
    <w:rsid w:val="3CE4BDA2"/>
    <w:rsid w:val="3CEC0576"/>
    <w:rsid w:val="3CEE74F3"/>
    <w:rsid w:val="3CEE9046"/>
    <w:rsid w:val="3CEFFD2A"/>
    <w:rsid w:val="3CF18C44"/>
    <w:rsid w:val="3CF268E1"/>
    <w:rsid w:val="3CF8C79F"/>
    <w:rsid w:val="3D0212C6"/>
    <w:rsid w:val="3D03F2C2"/>
    <w:rsid w:val="3D04F9DC"/>
    <w:rsid w:val="3D06A6B6"/>
    <w:rsid w:val="3D09A64D"/>
    <w:rsid w:val="3D0ABB52"/>
    <w:rsid w:val="3D0AFC0C"/>
    <w:rsid w:val="3D0B6AAD"/>
    <w:rsid w:val="3D1339C5"/>
    <w:rsid w:val="3D16DCEB"/>
    <w:rsid w:val="3D1DB253"/>
    <w:rsid w:val="3D235783"/>
    <w:rsid w:val="3D2C8EE4"/>
    <w:rsid w:val="3D2DE3B0"/>
    <w:rsid w:val="3D30CF33"/>
    <w:rsid w:val="3D355C67"/>
    <w:rsid w:val="3D391748"/>
    <w:rsid w:val="3D3B0552"/>
    <w:rsid w:val="3D3B96AE"/>
    <w:rsid w:val="3D3C28D9"/>
    <w:rsid w:val="3D3E0CFA"/>
    <w:rsid w:val="3D3F4105"/>
    <w:rsid w:val="3D406454"/>
    <w:rsid w:val="3D418877"/>
    <w:rsid w:val="3D424E15"/>
    <w:rsid w:val="3D47D4A3"/>
    <w:rsid w:val="3D480050"/>
    <w:rsid w:val="3D481B58"/>
    <w:rsid w:val="3D4D1929"/>
    <w:rsid w:val="3D4ED359"/>
    <w:rsid w:val="3D4FBDA2"/>
    <w:rsid w:val="3D527C11"/>
    <w:rsid w:val="3D53E953"/>
    <w:rsid w:val="3D55FB95"/>
    <w:rsid w:val="3D59A1E8"/>
    <w:rsid w:val="3D5B7E4B"/>
    <w:rsid w:val="3D612B6B"/>
    <w:rsid w:val="3D61F017"/>
    <w:rsid w:val="3D7423C3"/>
    <w:rsid w:val="3D780D88"/>
    <w:rsid w:val="3D7DCA8E"/>
    <w:rsid w:val="3D8640A1"/>
    <w:rsid w:val="3D873B4D"/>
    <w:rsid w:val="3D8DFDE7"/>
    <w:rsid w:val="3D924B98"/>
    <w:rsid w:val="3D938A38"/>
    <w:rsid w:val="3D959856"/>
    <w:rsid w:val="3D9A7B02"/>
    <w:rsid w:val="3D9DC9E7"/>
    <w:rsid w:val="3DA1D189"/>
    <w:rsid w:val="3DA2D303"/>
    <w:rsid w:val="3DA7745D"/>
    <w:rsid w:val="3DAD3A63"/>
    <w:rsid w:val="3DB2738F"/>
    <w:rsid w:val="3DB411E0"/>
    <w:rsid w:val="3DB6401A"/>
    <w:rsid w:val="3DBAADAB"/>
    <w:rsid w:val="3DBC47C2"/>
    <w:rsid w:val="3DC5CFC6"/>
    <w:rsid w:val="3DC8796C"/>
    <w:rsid w:val="3DC87EBF"/>
    <w:rsid w:val="3DCFF95D"/>
    <w:rsid w:val="3DD36AF5"/>
    <w:rsid w:val="3DDE7398"/>
    <w:rsid w:val="3DE0F2B9"/>
    <w:rsid w:val="3DE457CA"/>
    <w:rsid w:val="3DE57601"/>
    <w:rsid w:val="3DEA60A8"/>
    <w:rsid w:val="3DEB7BBD"/>
    <w:rsid w:val="3DF101AA"/>
    <w:rsid w:val="3DF634E7"/>
    <w:rsid w:val="3E010DA8"/>
    <w:rsid w:val="3E0C8305"/>
    <w:rsid w:val="3E0D4336"/>
    <w:rsid w:val="3E0EB0EA"/>
    <w:rsid w:val="3E0F63D9"/>
    <w:rsid w:val="3E109C17"/>
    <w:rsid w:val="3E111507"/>
    <w:rsid w:val="3E181611"/>
    <w:rsid w:val="3E193660"/>
    <w:rsid w:val="3E1A3778"/>
    <w:rsid w:val="3E1C9414"/>
    <w:rsid w:val="3E1F997E"/>
    <w:rsid w:val="3E22373C"/>
    <w:rsid w:val="3E29F263"/>
    <w:rsid w:val="3E2B57CD"/>
    <w:rsid w:val="3E2CF1BA"/>
    <w:rsid w:val="3E33247F"/>
    <w:rsid w:val="3E354E65"/>
    <w:rsid w:val="3E385EBC"/>
    <w:rsid w:val="3E3BFCED"/>
    <w:rsid w:val="3E3C81B6"/>
    <w:rsid w:val="3E3D53D6"/>
    <w:rsid w:val="3E3E80C7"/>
    <w:rsid w:val="3E3EB97E"/>
    <w:rsid w:val="3E4B9B21"/>
    <w:rsid w:val="3E4C4DC5"/>
    <w:rsid w:val="3E568144"/>
    <w:rsid w:val="3E56B82C"/>
    <w:rsid w:val="3E5F6BF4"/>
    <w:rsid w:val="3E61FBA4"/>
    <w:rsid w:val="3E6D44F5"/>
    <w:rsid w:val="3E7B762D"/>
    <w:rsid w:val="3E8C5E98"/>
    <w:rsid w:val="3E8C9B1D"/>
    <w:rsid w:val="3E8F77D3"/>
    <w:rsid w:val="3E919546"/>
    <w:rsid w:val="3E932320"/>
    <w:rsid w:val="3E96B5BA"/>
    <w:rsid w:val="3E977107"/>
    <w:rsid w:val="3E980368"/>
    <w:rsid w:val="3E98C1EE"/>
    <w:rsid w:val="3E992A9F"/>
    <w:rsid w:val="3E9B5EF8"/>
    <w:rsid w:val="3E9DD59E"/>
    <w:rsid w:val="3E9FD1F4"/>
    <w:rsid w:val="3EA8D7CA"/>
    <w:rsid w:val="3EB0F7BE"/>
    <w:rsid w:val="3EB4603C"/>
    <w:rsid w:val="3EB6787D"/>
    <w:rsid w:val="3EBA03DB"/>
    <w:rsid w:val="3EC08AF8"/>
    <w:rsid w:val="3EC1A219"/>
    <w:rsid w:val="3EC6B2EB"/>
    <w:rsid w:val="3ECA6C0A"/>
    <w:rsid w:val="3ECE9C43"/>
    <w:rsid w:val="3ED0D80F"/>
    <w:rsid w:val="3ED7B151"/>
    <w:rsid w:val="3ED9E849"/>
    <w:rsid w:val="3EE0553D"/>
    <w:rsid w:val="3EE703B4"/>
    <w:rsid w:val="3EE84D8F"/>
    <w:rsid w:val="3EE88C1D"/>
    <w:rsid w:val="3EEEB3B5"/>
    <w:rsid w:val="3EF7B54F"/>
    <w:rsid w:val="3EF9CCFB"/>
    <w:rsid w:val="3EFDECFC"/>
    <w:rsid w:val="3EFE1711"/>
    <w:rsid w:val="3F00FDCB"/>
    <w:rsid w:val="3F065C3D"/>
    <w:rsid w:val="3F14E28E"/>
    <w:rsid w:val="3F1594C3"/>
    <w:rsid w:val="3F1985D0"/>
    <w:rsid w:val="3F1BB7E0"/>
    <w:rsid w:val="3F1DD61F"/>
    <w:rsid w:val="3F3000F3"/>
    <w:rsid w:val="3F31CC61"/>
    <w:rsid w:val="3F39192C"/>
    <w:rsid w:val="3F3D02F8"/>
    <w:rsid w:val="3F43EC05"/>
    <w:rsid w:val="3F45D5D1"/>
    <w:rsid w:val="3F468175"/>
    <w:rsid w:val="3F47609E"/>
    <w:rsid w:val="3F4C33BB"/>
    <w:rsid w:val="3F4DCC69"/>
    <w:rsid w:val="3F4E58D5"/>
    <w:rsid w:val="3F54A5C7"/>
    <w:rsid w:val="3F54D5A6"/>
    <w:rsid w:val="3F58206B"/>
    <w:rsid w:val="3F64E942"/>
    <w:rsid w:val="3F652318"/>
    <w:rsid w:val="3F65A08E"/>
    <w:rsid w:val="3F68E14B"/>
    <w:rsid w:val="3F6FAAD3"/>
    <w:rsid w:val="3F7676C0"/>
    <w:rsid w:val="3F772794"/>
    <w:rsid w:val="3F7F4215"/>
    <w:rsid w:val="3F810DAE"/>
    <w:rsid w:val="3F853908"/>
    <w:rsid w:val="3F881A46"/>
    <w:rsid w:val="3F88644C"/>
    <w:rsid w:val="3F8BC5B4"/>
    <w:rsid w:val="3F8DFA23"/>
    <w:rsid w:val="3F90C84A"/>
    <w:rsid w:val="3F95AAA2"/>
    <w:rsid w:val="3F96381F"/>
    <w:rsid w:val="3F9BA28A"/>
    <w:rsid w:val="3F9CD1CC"/>
    <w:rsid w:val="3F9DE52C"/>
    <w:rsid w:val="3FA34FAC"/>
    <w:rsid w:val="3FA3A4F7"/>
    <w:rsid w:val="3FA3C501"/>
    <w:rsid w:val="3FA57798"/>
    <w:rsid w:val="3FADE792"/>
    <w:rsid w:val="3FAE673D"/>
    <w:rsid w:val="3FB21B1C"/>
    <w:rsid w:val="3FB4188E"/>
    <w:rsid w:val="3FB56D8D"/>
    <w:rsid w:val="3FB85DA9"/>
    <w:rsid w:val="3FB8FAE3"/>
    <w:rsid w:val="3FB9ADF1"/>
    <w:rsid w:val="3FBC2820"/>
    <w:rsid w:val="3FBE4860"/>
    <w:rsid w:val="3FC35226"/>
    <w:rsid w:val="3FCABE2A"/>
    <w:rsid w:val="3FD20943"/>
    <w:rsid w:val="3FD40BFE"/>
    <w:rsid w:val="3FD80313"/>
    <w:rsid w:val="3FD886B8"/>
    <w:rsid w:val="3FDB59A6"/>
    <w:rsid w:val="3FDE2963"/>
    <w:rsid w:val="3FDF0167"/>
    <w:rsid w:val="3FE23711"/>
    <w:rsid w:val="3FE6048B"/>
    <w:rsid w:val="3FFAF500"/>
    <w:rsid w:val="3FFD67E3"/>
    <w:rsid w:val="4006EAB4"/>
    <w:rsid w:val="400C682D"/>
    <w:rsid w:val="4013548F"/>
    <w:rsid w:val="40161D4A"/>
    <w:rsid w:val="4019F969"/>
    <w:rsid w:val="401A7810"/>
    <w:rsid w:val="401A7BF3"/>
    <w:rsid w:val="4020DE36"/>
    <w:rsid w:val="402513FD"/>
    <w:rsid w:val="402F8F67"/>
    <w:rsid w:val="40349BA9"/>
    <w:rsid w:val="404A5B18"/>
    <w:rsid w:val="404ACC29"/>
    <w:rsid w:val="404C2229"/>
    <w:rsid w:val="40509CCD"/>
    <w:rsid w:val="4051B0E2"/>
    <w:rsid w:val="40584CDD"/>
    <w:rsid w:val="405D53AD"/>
    <w:rsid w:val="406156CE"/>
    <w:rsid w:val="406504B9"/>
    <w:rsid w:val="406BFC06"/>
    <w:rsid w:val="406C2B82"/>
    <w:rsid w:val="40728B28"/>
    <w:rsid w:val="40735CDE"/>
    <w:rsid w:val="40744D58"/>
    <w:rsid w:val="4075D9DB"/>
    <w:rsid w:val="4077F276"/>
    <w:rsid w:val="407D61F2"/>
    <w:rsid w:val="4089F293"/>
    <w:rsid w:val="408C00FF"/>
    <w:rsid w:val="408D49EE"/>
    <w:rsid w:val="408FCD15"/>
    <w:rsid w:val="40956013"/>
    <w:rsid w:val="40B3E0CF"/>
    <w:rsid w:val="40B9B3CA"/>
    <w:rsid w:val="40BEEB57"/>
    <w:rsid w:val="40C06272"/>
    <w:rsid w:val="40C091B3"/>
    <w:rsid w:val="40C49A0E"/>
    <w:rsid w:val="40C5FAF9"/>
    <w:rsid w:val="40C8F45D"/>
    <w:rsid w:val="40CE148F"/>
    <w:rsid w:val="40D03064"/>
    <w:rsid w:val="40D28F12"/>
    <w:rsid w:val="40D5392C"/>
    <w:rsid w:val="40DA27DF"/>
    <w:rsid w:val="40DD2FB7"/>
    <w:rsid w:val="40DFC874"/>
    <w:rsid w:val="40E0092A"/>
    <w:rsid w:val="40E1091E"/>
    <w:rsid w:val="40E1D5AB"/>
    <w:rsid w:val="40E2C45C"/>
    <w:rsid w:val="40E56696"/>
    <w:rsid w:val="40E99C88"/>
    <w:rsid w:val="40EBC5DD"/>
    <w:rsid w:val="40FA79BA"/>
    <w:rsid w:val="40FC61F2"/>
    <w:rsid w:val="4100CD29"/>
    <w:rsid w:val="41010CC6"/>
    <w:rsid w:val="410243D9"/>
    <w:rsid w:val="4106A3E1"/>
    <w:rsid w:val="4107860F"/>
    <w:rsid w:val="410FF40A"/>
    <w:rsid w:val="41113B53"/>
    <w:rsid w:val="41139D7A"/>
    <w:rsid w:val="411460E7"/>
    <w:rsid w:val="41199141"/>
    <w:rsid w:val="411CEA9F"/>
    <w:rsid w:val="411FE291"/>
    <w:rsid w:val="4126622F"/>
    <w:rsid w:val="412E89AD"/>
    <w:rsid w:val="412EE2FE"/>
    <w:rsid w:val="412FFC25"/>
    <w:rsid w:val="413117A4"/>
    <w:rsid w:val="41361D8D"/>
    <w:rsid w:val="413B4603"/>
    <w:rsid w:val="4145C1CE"/>
    <w:rsid w:val="414E89AB"/>
    <w:rsid w:val="415256E3"/>
    <w:rsid w:val="4154DDE8"/>
    <w:rsid w:val="41572279"/>
    <w:rsid w:val="4158347F"/>
    <w:rsid w:val="415B5C7B"/>
    <w:rsid w:val="415FE46C"/>
    <w:rsid w:val="416448A2"/>
    <w:rsid w:val="416979DB"/>
    <w:rsid w:val="416AD85D"/>
    <w:rsid w:val="4171D838"/>
    <w:rsid w:val="4181C797"/>
    <w:rsid w:val="41835EBF"/>
    <w:rsid w:val="41854BED"/>
    <w:rsid w:val="41882D28"/>
    <w:rsid w:val="4189A9AF"/>
    <w:rsid w:val="41920F90"/>
    <w:rsid w:val="4192BE89"/>
    <w:rsid w:val="41981E32"/>
    <w:rsid w:val="41A01313"/>
    <w:rsid w:val="41A0BFE3"/>
    <w:rsid w:val="41A39009"/>
    <w:rsid w:val="41A5C22F"/>
    <w:rsid w:val="41A63312"/>
    <w:rsid w:val="41ABD85F"/>
    <w:rsid w:val="41AC6471"/>
    <w:rsid w:val="41AEFC3D"/>
    <w:rsid w:val="41B7F234"/>
    <w:rsid w:val="41B84102"/>
    <w:rsid w:val="41C46CF8"/>
    <w:rsid w:val="41C7F0DD"/>
    <w:rsid w:val="41D0DFA2"/>
    <w:rsid w:val="41D763A3"/>
    <w:rsid w:val="41D98564"/>
    <w:rsid w:val="41DD499B"/>
    <w:rsid w:val="41E04E28"/>
    <w:rsid w:val="41E75AAE"/>
    <w:rsid w:val="41EA44BE"/>
    <w:rsid w:val="41EA9939"/>
    <w:rsid w:val="41F13CE7"/>
    <w:rsid w:val="41F69A20"/>
    <w:rsid w:val="41FC1626"/>
    <w:rsid w:val="4201F880"/>
    <w:rsid w:val="42034775"/>
    <w:rsid w:val="420807A4"/>
    <w:rsid w:val="420AC706"/>
    <w:rsid w:val="420E17FC"/>
    <w:rsid w:val="42197499"/>
    <w:rsid w:val="4219EC39"/>
    <w:rsid w:val="421D0CBF"/>
    <w:rsid w:val="4220C8BE"/>
    <w:rsid w:val="4222C2A5"/>
    <w:rsid w:val="42244A41"/>
    <w:rsid w:val="422594E2"/>
    <w:rsid w:val="42335EC5"/>
    <w:rsid w:val="42354E4F"/>
    <w:rsid w:val="42358233"/>
    <w:rsid w:val="423CB423"/>
    <w:rsid w:val="423D6DE3"/>
    <w:rsid w:val="42412040"/>
    <w:rsid w:val="424123B7"/>
    <w:rsid w:val="4247AD23"/>
    <w:rsid w:val="424CD05A"/>
    <w:rsid w:val="42511205"/>
    <w:rsid w:val="4251B09A"/>
    <w:rsid w:val="4258D2E3"/>
    <w:rsid w:val="425C7C59"/>
    <w:rsid w:val="4262E288"/>
    <w:rsid w:val="42684F12"/>
    <w:rsid w:val="426899B7"/>
    <w:rsid w:val="4269C1D0"/>
    <w:rsid w:val="426F8BCD"/>
    <w:rsid w:val="4276F7CC"/>
    <w:rsid w:val="42776E17"/>
    <w:rsid w:val="427D1B9E"/>
    <w:rsid w:val="427D437F"/>
    <w:rsid w:val="427D8482"/>
    <w:rsid w:val="42823178"/>
    <w:rsid w:val="4287D733"/>
    <w:rsid w:val="4287F9E3"/>
    <w:rsid w:val="42880425"/>
    <w:rsid w:val="428AA7CE"/>
    <w:rsid w:val="428B6A86"/>
    <w:rsid w:val="428D6568"/>
    <w:rsid w:val="428DD55A"/>
    <w:rsid w:val="429731A2"/>
    <w:rsid w:val="4299B793"/>
    <w:rsid w:val="42A20E1E"/>
    <w:rsid w:val="42AB4345"/>
    <w:rsid w:val="42ABA6A2"/>
    <w:rsid w:val="42B04B57"/>
    <w:rsid w:val="42B2CF51"/>
    <w:rsid w:val="42B4D0FB"/>
    <w:rsid w:val="42BC4129"/>
    <w:rsid w:val="42BF5792"/>
    <w:rsid w:val="42C2E58C"/>
    <w:rsid w:val="42C4A01F"/>
    <w:rsid w:val="42CAF55E"/>
    <w:rsid w:val="42D92035"/>
    <w:rsid w:val="42DA0E1F"/>
    <w:rsid w:val="42DBB378"/>
    <w:rsid w:val="42DECC61"/>
    <w:rsid w:val="42E40E1E"/>
    <w:rsid w:val="42E59119"/>
    <w:rsid w:val="42E5B1F4"/>
    <w:rsid w:val="42E99406"/>
    <w:rsid w:val="42F027B7"/>
    <w:rsid w:val="42F1B25E"/>
    <w:rsid w:val="42F83EB8"/>
    <w:rsid w:val="42FB3697"/>
    <w:rsid w:val="4303B8E2"/>
    <w:rsid w:val="43081206"/>
    <w:rsid w:val="430C3C91"/>
    <w:rsid w:val="430CCD9A"/>
    <w:rsid w:val="430E58BF"/>
    <w:rsid w:val="430FFB1A"/>
    <w:rsid w:val="4311EC37"/>
    <w:rsid w:val="4314F3C2"/>
    <w:rsid w:val="431C71B7"/>
    <w:rsid w:val="431E7951"/>
    <w:rsid w:val="4326792D"/>
    <w:rsid w:val="43271B18"/>
    <w:rsid w:val="43272554"/>
    <w:rsid w:val="432AF17C"/>
    <w:rsid w:val="432F77F1"/>
    <w:rsid w:val="433145A8"/>
    <w:rsid w:val="433D3E61"/>
    <w:rsid w:val="433DF768"/>
    <w:rsid w:val="433F1A43"/>
    <w:rsid w:val="433FBCB4"/>
    <w:rsid w:val="434464D0"/>
    <w:rsid w:val="4354932F"/>
    <w:rsid w:val="4356EDBD"/>
    <w:rsid w:val="4359E94A"/>
    <w:rsid w:val="4362983B"/>
    <w:rsid w:val="4365B7EB"/>
    <w:rsid w:val="4376DEC5"/>
    <w:rsid w:val="4377CC49"/>
    <w:rsid w:val="43791B01"/>
    <w:rsid w:val="437D9515"/>
    <w:rsid w:val="4381EDE8"/>
    <w:rsid w:val="43843058"/>
    <w:rsid w:val="4386D668"/>
    <w:rsid w:val="438C6896"/>
    <w:rsid w:val="43988D4A"/>
    <w:rsid w:val="439A5871"/>
    <w:rsid w:val="43A0CF25"/>
    <w:rsid w:val="43A6BED4"/>
    <w:rsid w:val="43AD3E64"/>
    <w:rsid w:val="43B06137"/>
    <w:rsid w:val="43B1FEBE"/>
    <w:rsid w:val="43B5306A"/>
    <w:rsid w:val="43C141C1"/>
    <w:rsid w:val="43C48094"/>
    <w:rsid w:val="43CB1611"/>
    <w:rsid w:val="43CFB677"/>
    <w:rsid w:val="43D152F1"/>
    <w:rsid w:val="43D241C9"/>
    <w:rsid w:val="43D25EC7"/>
    <w:rsid w:val="43D98E85"/>
    <w:rsid w:val="43D9C099"/>
    <w:rsid w:val="43DBFA90"/>
    <w:rsid w:val="43DD4E8D"/>
    <w:rsid w:val="43DDE512"/>
    <w:rsid w:val="43E01CCF"/>
    <w:rsid w:val="43E088E1"/>
    <w:rsid w:val="43E601CB"/>
    <w:rsid w:val="43E64877"/>
    <w:rsid w:val="43E72611"/>
    <w:rsid w:val="43EAFBE8"/>
    <w:rsid w:val="43EC0906"/>
    <w:rsid w:val="43F0AED2"/>
    <w:rsid w:val="43FF5A8A"/>
    <w:rsid w:val="4407E035"/>
    <w:rsid w:val="440D7FC1"/>
    <w:rsid w:val="440F6EAE"/>
    <w:rsid w:val="440FB8DD"/>
    <w:rsid w:val="44110DE5"/>
    <w:rsid w:val="4418CB14"/>
    <w:rsid w:val="441991C3"/>
    <w:rsid w:val="442418CA"/>
    <w:rsid w:val="4424E5FD"/>
    <w:rsid w:val="442BE79F"/>
    <w:rsid w:val="44316B4F"/>
    <w:rsid w:val="44476266"/>
    <w:rsid w:val="44476CF2"/>
    <w:rsid w:val="44492884"/>
    <w:rsid w:val="444E642E"/>
    <w:rsid w:val="444EC803"/>
    <w:rsid w:val="44535648"/>
    <w:rsid w:val="4454B4C1"/>
    <w:rsid w:val="4454C43C"/>
    <w:rsid w:val="4458167A"/>
    <w:rsid w:val="445825A0"/>
    <w:rsid w:val="445C92D1"/>
    <w:rsid w:val="445D286E"/>
    <w:rsid w:val="446759E1"/>
    <w:rsid w:val="4483AF49"/>
    <w:rsid w:val="4492E9AD"/>
    <w:rsid w:val="44948DFB"/>
    <w:rsid w:val="449EF7A4"/>
    <w:rsid w:val="44A2A3C7"/>
    <w:rsid w:val="44A4DB65"/>
    <w:rsid w:val="44A5A280"/>
    <w:rsid w:val="44ABC8F4"/>
    <w:rsid w:val="44B2078E"/>
    <w:rsid w:val="44B5124B"/>
    <w:rsid w:val="44B74BA4"/>
    <w:rsid w:val="44BB0AEC"/>
    <w:rsid w:val="44C2AA78"/>
    <w:rsid w:val="44C578E9"/>
    <w:rsid w:val="44CC68DE"/>
    <w:rsid w:val="44D372B9"/>
    <w:rsid w:val="44D9C02A"/>
    <w:rsid w:val="44DBB66C"/>
    <w:rsid w:val="44DE6629"/>
    <w:rsid w:val="44E3CD4E"/>
    <w:rsid w:val="44E62376"/>
    <w:rsid w:val="44EA3383"/>
    <w:rsid w:val="44EC1800"/>
    <w:rsid w:val="44F3C29B"/>
    <w:rsid w:val="44F8E779"/>
    <w:rsid w:val="44F932EC"/>
    <w:rsid w:val="44FA7CC4"/>
    <w:rsid w:val="44FC1F27"/>
    <w:rsid w:val="44FE9860"/>
    <w:rsid w:val="450109F4"/>
    <w:rsid w:val="4507B495"/>
    <w:rsid w:val="450CC971"/>
    <w:rsid w:val="45118A9B"/>
    <w:rsid w:val="45133FF7"/>
    <w:rsid w:val="451C9BBA"/>
    <w:rsid w:val="452B7A6F"/>
    <w:rsid w:val="452D55B4"/>
    <w:rsid w:val="45311502"/>
    <w:rsid w:val="4531A25A"/>
    <w:rsid w:val="45357274"/>
    <w:rsid w:val="453BC49D"/>
    <w:rsid w:val="453D2804"/>
    <w:rsid w:val="45412429"/>
    <w:rsid w:val="4542B5DD"/>
    <w:rsid w:val="45486206"/>
    <w:rsid w:val="4549FC4F"/>
    <w:rsid w:val="454A9312"/>
    <w:rsid w:val="454AD593"/>
    <w:rsid w:val="4551CD11"/>
    <w:rsid w:val="455289CD"/>
    <w:rsid w:val="456D65A2"/>
    <w:rsid w:val="456E43A1"/>
    <w:rsid w:val="45704065"/>
    <w:rsid w:val="457F84B1"/>
    <w:rsid w:val="458100E9"/>
    <w:rsid w:val="458F7D59"/>
    <w:rsid w:val="458F901B"/>
    <w:rsid w:val="459831A4"/>
    <w:rsid w:val="459996BC"/>
    <w:rsid w:val="459BAE34"/>
    <w:rsid w:val="459C138D"/>
    <w:rsid w:val="459CFF9A"/>
    <w:rsid w:val="459DC870"/>
    <w:rsid w:val="45A0A57E"/>
    <w:rsid w:val="45A5041C"/>
    <w:rsid w:val="45BE20C2"/>
    <w:rsid w:val="45C33BF8"/>
    <w:rsid w:val="45C6A568"/>
    <w:rsid w:val="45C7F939"/>
    <w:rsid w:val="45CB36D8"/>
    <w:rsid w:val="45D3757C"/>
    <w:rsid w:val="45DA5F0B"/>
    <w:rsid w:val="45DE0EC7"/>
    <w:rsid w:val="45DE2BF1"/>
    <w:rsid w:val="45DE791A"/>
    <w:rsid w:val="45E37CCE"/>
    <w:rsid w:val="45E7B4E4"/>
    <w:rsid w:val="45EA1DE7"/>
    <w:rsid w:val="45EC4D5A"/>
    <w:rsid w:val="45ED7656"/>
    <w:rsid w:val="45F5D82A"/>
    <w:rsid w:val="45FDE16E"/>
    <w:rsid w:val="46019863"/>
    <w:rsid w:val="46023583"/>
    <w:rsid w:val="46095D23"/>
    <w:rsid w:val="460FD581"/>
    <w:rsid w:val="460FF0CB"/>
    <w:rsid w:val="462126B4"/>
    <w:rsid w:val="462168A7"/>
    <w:rsid w:val="4624C7F7"/>
    <w:rsid w:val="462F32B5"/>
    <w:rsid w:val="46329C51"/>
    <w:rsid w:val="46331054"/>
    <w:rsid w:val="4635047B"/>
    <w:rsid w:val="463C7914"/>
    <w:rsid w:val="46408C10"/>
    <w:rsid w:val="46414B08"/>
    <w:rsid w:val="4646F1E2"/>
    <w:rsid w:val="464E39D8"/>
    <w:rsid w:val="464EB194"/>
    <w:rsid w:val="464EC4A0"/>
    <w:rsid w:val="465026E6"/>
    <w:rsid w:val="4655B915"/>
    <w:rsid w:val="4659DE4E"/>
    <w:rsid w:val="4659E9F5"/>
    <w:rsid w:val="466269B4"/>
    <w:rsid w:val="4664354F"/>
    <w:rsid w:val="46668850"/>
    <w:rsid w:val="466A1FD0"/>
    <w:rsid w:val="466DE240"/>
    <w:rsid w:val="466EB531"/>
    <w:rsid w:val="466FF8C9"/>
    <w:rsid w:val="467169E8"/>
    <w:rsid w:val="46730DE0"/>
    <w:rsid w:val="46763879"/>
    <w:rsid w:val="4678999F"/>
    <w:rsid w:val="467F6FB5"/>
    <w:rsid w:val="46816DF2"/>
    <w:rsid w:val="4687D17E"/>
    <w:rsid w:val="468C4E7C"/>
    <w:rsid w:val="4691C4FB"/>
    <w:rsid w:val="4699BE1E"/>
    <w:rsid w:val="469B39D3"/>
    <w:rsid w:val="46A0094E"/>
    <w:rsid w:val="46A4C027"/>
    <w:rsid w:val="46A58469"/>
    <w:rsid w:val="46AAE752"/>
    <w:rsid w:val="46AB04D5"/>
    <w:rsid w:val="46B68BB3"/>
    <w:rsid w:val="46C5B68B"/>
    <w:rsid w:val="46CAAE4A"/>
    <w:rsid w:val="46CBA46C"/>
    <w:rsid w:val="46CBBE14"/>
    <w:rsid w:val="46DA7618"/>
    <w:rsid w:val="46DBCC40"/>
    <w:rsid w:val="46E6560B"/>
    <w:rsid w:val="46EC10D1"/>
    <w:rsid w:val="46EF520D"/>
    <w:rsid w:val="46EFA033"/>
    <w:rsid w:val="46F161C3"/>
    <w:rsid w:val="46F8B550"/>
    <w:rsid w:val="46FA9139"/>
    <w:rsid w:val="470975DC"/>
    <w:rsid w:val="470DF70D"/>
    <w:rsid w:val="4712342B"/>
    <w:rsid w:val="4716541F"/>
    <w:rsid w:val="471BE881"/>
    <w:rsid w:val="4732AF5A"/>
    <w:rsid w:val="47367CA0"/>
    <w:rsid w:val="473D6CAC"/>
    <w:rsid w:val="473FBF4C"/>
    <w:rsid w:val="4741AD60"/>
    <w:rsid w:val="474620CC"/>
    <w:rsid w:val="4749CE6A"/>
    <w:rsid w:val="474AA60B"/>
    <w:rsid w:val="474C19AB"/>
    <w:rsid w:val="474DB20D"/>
    <w:rsid w:val="474F7C15"/>
    <w:rsid w:val="475343FF"/>
    <w:rsid w:val="47542B01"/>
    <w:rsid w:val="4755D81E"/>
    <w:rsid w:val="475D5E0F"/>
    <w:rsid w:val="4760883C"/>
    <w:rsid w:val="4761D41A"/>
    <w:rsid w:val="4765F091"/>
    <w:rsid w:val="476A6CFD"/>
    <w:rsid w:val="476B6378"/>
    <w:rsid w:val="476D19FB"/>
    <w:rsid w:val="476D87AB"/>
    <w:rsid w:val="476FC4F6"/>
    <w:rsid w:val="476FEEAC"/>
    <w:rsid w:val="477768D4"/>
    <w:rsid w:val="47812731"/>
    <w:rsid w:val="47831C2D"/>
    <w:rsid w:val="478A33AB"/>
    <w:rsid w:val="478B1C55"/>
    <w:rsid w:val="478E994D"/>
    <w:rsid w:val="47911062"/>
    <w:rsid w:val="4797F751"/>
    <w:rsid w:val="4798F114"/>
    <w:rsid w:val="479D3DD4"/>
    <w:rsid w:val="47A2F7A9"/>
    <w:rsid w:val="47A3C572"/>
    <w:rsid w:val="47A75AD1"/>
    <w:rsid w:val="47AAA242"/>
    <w:rsid w:val="47AB78C1"/>
    <w:rsid w:val="47AE1F54"/>
    <w:rsid w:val="47B3CEE2"/>
    <w:rsid w:val="47B504F0"/>
    <w:rsid w:val="47B62842"/>
    <w:rsid w:val="47B9B375"/>
    <w:rsid w:val="47BA229E"/>
    <w:rsid w:val="47C3B798"/>
    <w:rsid w:val="47C8422C"/>
    <w:rsid w:val="47CC5374"/>
    <w:rsid w:val="47D257FA"/>
    <w:rsid w:val="47D388F7"/>
    <w:rsid w:val="47DC1681"/>
    <w:rsid w:val="47DD63B3"/>
    <w:rsid w:val="47DD8235"/>
    <w:rsid w:val="47DE489E"/>
    <w:rsid w:val="47DF69F5"/>
    <w:rsid w:val="47E0CCC4"/>
    <w:rsid w:val="47E1BBA9"/>
    <w:rsid w:val="47E1C81A"/>
    <w:rsid w:val="47E404A2"/>
    <w:rsid w:val="47EC635E"/>
    <w:rsid w:val="47F0F5CB"/>
    <w:rsid w:val="47F4ED8B"/>
    <w:rsid w:val="47F56BEE"/>
    <w:rsid w:val="47FC36EE"/>
    <w:rsid w:val="4801FF28"/>
    <w:rsid w:val="48093151"/>
    <w:rsid w:val="480B2846"/>
    <w:rsid w:val="480B30DD"/>
    <w:rsid w:val="480DB40F"/>
    <w:rsid w:val="48135BB8"/>
    <w:rsid w:val="4814349D"/>
    <w:rsid w:val="482097EE"/>
    <w:rsid w:val="4822E68F"/>
    <w:rsid w:val="48244DC3"/>
    <w:rsid w:val="4825F184"/>
    <w:rsid w:val="4827BF2F"/>
    <w:rsid w:val="482879AA"/>
    <w:rsid w:val="482A6407"/>
    <w:rsid w:val="482DB991"/>
    <w:rsid w:val="482E21B2"/>
    <w:rsid w:val="4836EF37"/>
    <w:rsid w:val="4836FC2B"/>
    <w:rsid w:val="4838B412"/>
    <w:rsid w:val="4849B84B"/>
    <w:rsid w:val="484DEEAD"/>
    <w:rsid w:val="485681BC"/>
    <w:rsid w:val="485915A9"/>
    <w:rsid w:val="48601ED8"/>
    <w:rsid w:val="4863C81C"/>
    <w:rsid w:val="48672E4A"/>
    <w:rsid w:val="4868532A"/>
    <w:rsid w:val="486A6201"/>
    <w:rsid w:val="486B7996"/>
    <w:rsid w:val="48728CCD"/>
    <w:rsid w:val="487B38B7"/>
    <w:rsid w:val="48828A2C"/>
    <w:rsid w:val="48836FC0"/>
    <w:rsid w:val="48854ABA"/>
    <w:rsid w:val="4889129B"/>
    <w:rsid w:val="488FFD40"/>
    <w:rsid w:val="4890C787"/>
    <w:rsid w:val="489827C8"/>
    <w:rsid w:val="48987F76"/>
    <w:rsid w:val="4899AC09"/>
    <w:rsid w:val="489B9772"/>
    <w:rsid w:val="489EA47A"/>
    <w:rsid w:val="48A35712"/>
    <w:rsid w:val="48A799BF"/>
    <w:rsid w:val="48A83BA1"/>
    <w:rsid w:val="48AF494E"/>
    <w:rsid w:val="48B17E2A"/>
    <w:rsid w:val="48B91F5C"/>
    <w:rsid w:val="48BA59CF"/>
    <w:rsid w:val="48BF1ADC"/>
    <w:rsid w:val="48C53A02"/>
    <w:rsid w:val="48D3BD87"/>
    <w:rsid w:val="48D89EA1"/>
    <w:rsid w:val="48DAC17B"/>
    <w:rsid w:val="48DCDFEB"/>
    <w:rsid w:val="48E2CBB7"/>
    <w:rsid w:val="48F61E4B"/>
    <w:rsid w:val="48FC9917"/>
    <w:rsid w:val="49011E0A"/>
    <w:rsid w:val="49045E61"/>
    <w:rsid w:val="4904F339"/>
    <w:rsid w:val="49094C1F"/>
    <w:rsid w:val="490F6A27"/>
    <w:rsid w:val="49139EBB"/>
    <w:rsid w:val="49144CE2"/>
    <w:rsid w:val="491A941D"/>
    <w:rsid w:val="491AFB7E"/>
    <w:rsid w:val="491E6A2F"/>
    <w:rsid w:val="491EA886"/>
    <w:rsid w:val="49261551"/>
    <w:rsid w:val="49273B76"/>
    <w:rsid w:val="493187FE"/>
    <w:rsid w:val="4932C74F"/>
    <w:rsid w:val="4933B6DD"/>
    <w:rsid w:val="4935D1AD"/>
    <w:rsid w:val="493631E5"/>
    <w:rsid w:val="4939E4F0"/>
    <w:rsid w:val="493DBD25"/>
    <w:rsid w:val="493EB835"/>
    <w:rsid w:val="49435D42"/>
    <w:rsid w:val="494509E4"/>
    <w:rsid w:val="4945BC55"/>
    <w:rsid w:val="49465F2F"/>
    <w:rsid w:val="4946C6F5"/>
    <w:rsid w:val="494FC6E9"/>
    <w:rsid w:val="49580F76"/>
    <w:rsid w:val="49619603"/>
    <w:rsid w:val="49645094"/>
    <w:rsid w:val="496B558E"/>
    <w:rsid w:val="496BA843"/>
    <w:rsid w:val="496EFEF6"/>
    <w:rsid w:val="49718718"/>
    <w:rsid w:val="4972AE1C"/>
    <w:rsid w:val="4978CB7A"/>
    <w:rsid w:val="497CF590"/>
    <w:rsid w:val="497E6AA0"/>
    <w:rsid w:val="497F5AAF"/>
    <w:rsid w:val="497F9AF7"/>
    <w:rsid w:val="498139BD"/>
    <w:rsid w:val="4981C9E0"/>
    <w:rsid w:val="4989C40B"/>
    <w:rsid w:val="498A43E8"/>
    <w:rsid w:val="498D3364"/>
    <w:rsid w:val="498DE094"/>
    <w:rsid w:val="498F716A"/>
    <w:rsid w:val="4995566E"/>
    <w:rsid w:val="499619D2"/>
    <w:rsid w:val="4999C515"/>
    <w:rsid w:val="499DE87F"/>
    <w:rsid w:val="49A0D3C4"/>
    <w:rsid w:val="49A1E820"/>
    <w:rsid w:val="49A55472"/>
    <w:rsid w:val="49A7CB2F"/>
    <w:rsid w:val="49A9530C"/>
    <w:rsid w:val="49AC7C07"/>
    <w:rsid w:val="49B3F19E"/>
    <w:rsid w:val="49BA579B"/>
    <w:rsid w:val="49BBD008"/>
    <w:rsid w:val="49C030EB"/>
    <w:rsid w:val="49C1752C"/>
    <w:rsid w:val="49C4FFCA"/>
    <w:rsid w:val="49C92809"/>
    <w:rsid w:val="49CBB0ED"/>
    <w:rsid w:val="49D3ADFF"/>
    <w:rsid w:val="49D7B424"/>
    <w:rsid w:val="49E0A20C"/>
    <w:rsid w:val="49E57DCB"/>
    <w:rsid w:val="49EFE1EF"/>
    <w:rsid w:val="49F52001"/>
    <w:rsid w:val="49FA9FED"/>
    <w:rsid w:val="49FADF29"/>
    <w:rsid w:val="49FE170C"/>
    <w:rsid w:val="4A00AE5C"/>
    <w:rsid w:val="4A0261A4"/>
    <w:rsid w:val="4A03E9B2"/>
    <w:rsid w:val="4A048F3F"/>
    <w:rsid w:val="4A0766B8"/>
    <w:rsid w:val="4A08E31E"/>
    <w:rsid w:val="4A0BB78F"/>
    <w:rsid w:val="4A1983A8"/>
    <w:rsid w:val="4A245159"/>
    <w:rsid w:val="4A24AD6C"/>
    <w:rsid w:val="4A26D23F"/>
    <w:rsid w:val="4A27B7BF"/>
    <w:rsid w:val="4A2ABA21"/>
    <w:rsid w:val="4A2E923B"/>
    <w:rsid w:val="4A3015DE"/>
    <w:rsid w:val="4A371817"/>
    <w:rsid w:val="4A375362"/>
    <w:rsid w:val="4A381180"/>
    <w:rsid w:val="4A3AC7B9"/>
    <w:rsid w:val="4A3E6C59"/>
    <w:rsid w:val="4A3E70BE"/>
    <w:rsid w:val="4A3EEB8E"/>
    <w:rsid w:val="4A4426F0"/>
    <w:rsid w:val="4A460C0D"/>
    <w:rsid w:val="4A48AA64"/>
    <w:rsid w:val="4A54B9B9"/>
    <w:rsid w:val="4A59EDB8"/>
    <w:rsid w:val="4A5BA416"/>
    <w:rsid w:val="4A5BF7C2"/>
    <w:rsid w:val="4A5DB4D2"/>
    <w:rsid w:val="4A618C5B"/>
    <w:rsid w:val="4A64F278"/>
    <w:rsid w:val="4A69E563"/>
    <w:rsid w:val="4A73A18C"/>
    <w:rsid w:val="4A7400FB"/>
    <w:rsid w:val="4A7401F7"/>
    <w:rsid w:val="4A7795FF"/>
    <w:rsid w:val="4A78D0A9"/>
    <w:rsid w:val="4A8A0C68"/>
    <w:rsid w:val="4A8A6374"/>
    <w:rsid w:val="4A8B6EDA"/>
    <w:rsid w:val="4A8DFE89"/>
    <w:rsid w:val="4A943EB5"/>
    <w:rsid w:val="4A9FF21D"/>
    <w:rsid w:val="4AA10E7F"/>
    <w:rsid w:val="4AA14E50"/>
    <w:rsid w:val="4AA419EE"/>
    <w:rsid w:val="4AA43B94"/>
    <w:rsid w:val="4AB255FB"/>
    <w:rsid w:val="4AB577A5"/>
    <w:rsid w:val="4ABAB79E"/>
    <w:rsid w:val="4ABD55EE"/>
    <w:rsid w:val="4AC565F9"/>
    <w:rsid w:val="4AC5F7A7"/>
    <w:rsid w:val="4AC6B8A1"/>
    <w:rsid w:val="4ACC3083"/>
    <w:rsid w:val="4ACE25BE"/>
    <w:rsid w:val="4AEF09B3"/>
    <w:rsid w:val="4AF11966"/>
    <w:rsid w:val="4AF2143A"/>
    <w:rsid w:val="4AF4BC13"/>
    <w:rsid w:val="4AFF303B"/>
    <w:rsid w:val="4B030D97"/>
    <w:rsid w:val="4B0AED5F"/>
    <w:rsid w:val="4B0B9E27"/>
    <w:rsid w:val="4B0C3743"/>
    <w:rsid w:val="4B0C3F82"/>
    <w:rsid w:val="4B0D1504"/>
    <w:rsid w:val="4B0EED32"/>
    <w:rsid w:val="4B13075E"/>
    <w:rsid w:val="4B145EBF"/>
    <w:rsid w:val="4B14FFC2"/>
    <w:rsid w:val="4B181A4D"/>
    <w:rsid w:val="4B18655E"/>
    <w:rsid w:val="4B190DA3"/>
    <w:rsid w:val="4B1C76C6"/>
    <w:rsid w:val="4B1CEC9E"/>
    <w:rsid w:val="4B1F1342"/>
    <w:rsid w:val="4B1FE923"/>
    <w:rsid w:val="4B20885B"/>
    <w:rsid w:val="4B261F5C"/>
    <w:rsid w:val="4B2B67C6"/>
    <w:rsid w:val="4B2BB097"/>
    <w:rsid w:val="4B2D8314"/>
    <w:rsid w:val="4B2F6BB4"/>
    <w:rsid w:val="4B3659CF"/>
    <w:rsid w:val="4B384E6F"/>
    <w:rsid w:val="4B3EAEE4"/>
    <w:rsid w:val="4B40B294"/>
    <w:rsid w:val="4B418412"/>
    <w:rsid w:val="4B4DC9DA"/>
    <w:rsid w:val="4B537A22"/>
    <w:rsid w:val="4B584543"/>
    <w:rsid w:val="4B5943F1"/>
    <w:rsid w:val="4B5A7553"/>
    <w:rsid w:val="4B677DEB"/>
    <w:rsid w:val="4B67E404"/>
    <w:rsid w:val="4B6C9EE7"/>
    <w:rsid w:val="4B7408D9"/>
    <w:rsid w:val="4B753A82"/>
    <w:rsid w:val="4B757D6B"/>
    <w:rsid w:val="4B760768"/>
    <w:rsid w:val="4B7CE49F"/>
    <w:rsid w:val="4B82056E"/>
    <w:rsid w:val="4B8B58D3"/>
    <w:rsid w:val="4B8E94B8"/>
    <w:rsid w:val="4B92B8F4"/>
    <w:rsid w:val="4B978009"/>
    <w:rsid w:val="4B978113"/>
    <w:rsid w:val="4B9E5051"/>
    <w:rsid w:val="4B9FCB21"/>
    <w:rsid w:val="4BA254FC"/>
    <w:rsid w:val="4BA664F7"/>
    <w:rsid w:val="4BB1ADCB"/>
    <w:rsid w:val="4BB1B374"/>
    <w:rsid w:val="4BB22497"/>
    <w:rsid w:val="4BB374F5"/>
    <w:rsid w:val="4BB43094"/>
    <w:rsid w:val="4BB5259B"/>
    <w:rsid w:val="4BB8B426"/>
    <w:rsid w:val="4BB8FF39"/>
    <w:rsid w:val="4BCB53A9"/>
    <w:rsid w:val="4BD1C970"/>
    <w:rsid w:val="4BD54539"/>
    <w:rsid w:val="4BD9BC25"/>
    <w:rsid w:val="4BDA844B"/>
    <w:rsid w:val="4BE796D9"/>
    <w:rsid w:val="4BEEDFE2"/>
    <w:rsid w:val="4BF000EC"/>
    <w:rsid w:val="4BF1D352"/>
    <w:rsid w:val="4C00493B"/>
    <w:rsid w:val="4C06F6F9"/>
    <w:rsid w:val="4C0F3133"/>
    <w:rsid w:val="4C16F35E"/>
    <w:rsid w:val="4C18FC08"/>
    <w:rsid w:val="4C1978D9"/>
    <w:rsid w:val="4C1A3CCC"/>
    <w:rsid w:val="4C225ED1"/>
    <w:rsid w:val="4C2DD1B3"/>
    <w:rsid w:val="4C312203"/>
    <w:rsid w:val="4C370451"/>
    <w:rsid w:val="4C37FDE5"/>
    <w:rsid w:val="4C391C03"/>
    <w:rsid w:val="4C3B5216"/>
    <w:rsid w:val="4C3FCEC4"/>
    <w:rsid w:val="4C41879B"/>
    <w:rsid w:val="4C46F5FB"/>
    <w:rsid w:val="4C4AD7E1"/>
    <w:rsid w:val="4C4C657E"/>
    <w:rsid w:val="4C4E81DF"/>
    <w:rsid w:val="4C4FF0FB"/>
    <w:rsid w:val="4C501219"/>
    <w:rsid w:val="4C537EF6"/>
    <w:rsid w:val="4C5BF20F"/>
    <w:rsid w:val="4C5DF7BA"/>
    <w:rsid w:val="4C600BDC"/>
    <w:rsid w:val="4C6464CF"/>
    <w:rsid w:val="4C6618B5"/>
    <w:rsid w:val="4C6787EE"/>
    <w:rsid w:val="4C6AAC9F"/>
    <w:rsid w:val="4C6D5314"/>
    <w:rsid w:val="4C6E8A1A"/>
    <w:rsid w:val="4C71BE1E"/>
    <w:rsid w:val="4C7233AD"/>
    <w:rsid w:val="4C731318"/>
    <w:rsid w:val="4C732B15"/>
    <w:rsid w:val="4C77A558"/>
    <w:rsid w:val="4C7C1788"/>
    <w:rsid w:val="4C7F2B0C"/>
    <w:rsid w:val="4C823B9E"/>
    <w:rsid w:val="4C824FD2"/>
    <w:rsid w:val="4C83F3C2"/>
    <w:rsid w:val="4C86F7C9"/>
    <w:rsid w:val="4C87D245"/>
    <w:rsid w:val="4C88C714"/>
    <w:rsid w:val="4C8A3F59"/>
    <w:rsid w:val="4C8EFD73"/>
    <w:rsid w:val="4C911050"/>
    <w:rsid w:val="4C97756F"/>
    <w:rsid w:val="4C99F7A9"/>
    <w:rsid w:val="4C9C5129"/>
    <w:rsid w:val="4CA03230"/>
    <w:rsid w:val="4CA343F5"/>
    <w:rsid w:val="4CA75B8E"/>
    <w:rsid w:val="4CA79C44"/>
    <w:rsid w:val="4CA9C9EE"/>
    <w:rsid w:val="4CAD9AB7"/>
    <w:rsid w:val="4CAEF27C"/>
    <w:rsid w:val="4CB0756D"/>
    <w:rsid w:val="4CB15620"/>
    <w:rsid w:val="4CB43A51"/>
    <w:rsid w:val="4CB6C1F3"/>
    <w:rsid w:val="4CC09968"/>
    <w:rsid w:val="4CC1BCAC"/>
    <w:rsid w:val="4CC5B3AC"/>
    <w:rsid w:val="4CC94A31"/>
    <w:rsid w:val="4CCE2BEE"/>
    <w:rsid w:val="4CD758E2"/>
    <w:rsid w:val="4CD8E923"/>
    <w:rsid w:val="4CDE8545"/>
    <w:rsid w:val="4CE6590A"/>
    <w:rsid w:val="4CE6602D"/>
    <w:rsid w:val="4CE75F3D"/>
    <w:rsid w:val="4CEB2655"/>
    <w:rsid w:val="4CEBB263"/>
    <w:rsid w:val="4CF272F3"/>
    <w:rsid w:val="4CF43C74"/>
    <w:rsid w:val="4CFD8340"/>
    <w:rsid w:val="4D007C40"/>
    <w:rsid w:val="4D00FE1C"/>
    <w:rsid w:val="4D0217B8"/>
    <w:rsid w:val="4D0421AB"/>
    <w:rsid w:val="4D073330"/>
    <w:rsid w:val="4D1A5407"/>
    <w:rsid w:val="4D1B6876"/>
    <w:rsid w:val="4D2748C2"/>
    <w:rsid w:val="4D27EB06"/>
    <w:rsid w:val="4D28700F"/>
    <w:rsid w:val="4D2BA48A"/>
    <w:rsid w:val="4D2F7C38"/>
    <w:rsid w:val="4D2FF7F5"/>
    <w:rsid w:val="4D3429AE"/>
    <w:rsid w:val="4D38A8DF"/>
    <w:rsid w:val="4D3C18EE"/>
    <w:rsid w:val="4D3C961F"/>
    <w:rsid w:val="4D40A006"/>
    <w:rsid w:val="4D447A7B"/>
    <w:rsid w:val="4D4C52AE"/>
    <w:rsid w:val="4D4D554F"/>
    <w:rsid w:val="4D57BF6A"/>
    <w:rsid w:val="4D5D56BA"/>
    <w:rsid w:val="4D5E13B1"/>
    <w:rsid w:val="4D6E0164"/>
    <w:rsid w:val="4D78220B"/>
    <w:rsid w:val="4D80850B"/>
    <w:rsid w:val="4D88B1E4"/>
    <w:rsid w:val="4D8CBCEB"/>
    <w:rsid w:val="4D8CE5AC"/>
    <w:rsid w:val="4D8E0718"/>
    <w:rsid w:val="4DA040A6"/>
    <w:rsid w:val="4DA29E17"/>
    <w:rsid w:val="4DA5678B"/>
    <w:rsid w:val="4DA5D2E9"/>
    <w:rsid w:val="4DAC218E"/>
    <w:rsid w:val="4DB31740"/>
    <w:rsid w:val="4DB80DE3"/>
    <w:rsid w:val="4DBCFDBC"/>
    <w:rsid w:val="4DBE976B"/>
    <w:rsid w:val="4DBF054E"/>
    <w:rsid w:val="4DC0A1A2"/>
    <w:rsid w:val="4DC1E403"/>
    <w:rsid w:val="4DCB679B"/>
    <w:rsid w:val="4DCE4BBD"/>
    <w:rsid w:val="4DD216BC"/>
    <w:rsid w:val="4DD6525F"/>
    <w:rsid w:val="4DDEC89A"/>
    <w:rsid w:val="4DE1B5D0"/>
    <w:rsid w:val="4DE3C6BB"/>
    <w:rsid w:val="4DE69664"/>
    <w:rsid w:val="4DED6598"/>
    <w:rsid w:val="4DF20983"/>
    <w:rsid w:val="4DF29EDC"/>
    <w:rsid w:val="4DF4F826"/>
    <w:rsid w:val="4DFAE5E1"/>
    <w:rsid w:val="4DFC0414"/>
    <w:rsid w:val="4DFF0E9E"/>
    <w:rsid w:val="4E036E40"/>
    <w:rsid w:val="4E0967D8"/>
    <w:rsid w:val="4E0F1E9A"/>
    <w:rsid w:val="4E115E0C"/>
    <w:rsid w:val="4E187D90"/>
    <w:rsid w:val="4E1B3D4F"/>
    <w:rsid w:val="4E1FB882"/>
    <w:rsid w:val="4E2B344B"/>
    <w:rsid w:val="4E2E0C25"/>
    <w:rsid w:val="4E2F1601"/>
    <w:rsid w:val="4E325D9D"/>
    <w:rsid w:val="4E36CEFA"/>
    <w:rsid w:val="4E394DA9"/>
    <w:rsid w:val="4E419F01"/>
    <w:rsid w:val="4E44179A"/>
    <w:rsid w:val="4E446A15"/>
    <w:rsid w:val="4E495B13"/>
    <w:rsid w:val="4E575060"/>
    <w:rsid w:val="4E59868D"/>
    <w:rsid w:val="4E5C8ECB"/>
    <w:rsid w:val="4E5FE337"/>
    <w:rsid w:val="4E64494A"/>
    <w:rsid w:val="4E6C09C6"/>
    <w:rsid w:val="4E6D0407"/>
    <w:rsid w:val="4E719AB4"/>
    <w:rsid w:val="4E7BED16"/>
    <w:rsid w:val="4E7BFFC5"/>
    <w:rsid w:val="4E7D1273"/>
    <w:rsid w:val="4E8C029A"/>
    <w:rsid w:val="4E8D6205"/>
    <w:rsid w:val="4E958096"/>
    <w:rsid w:val="4E98795B"/>
    <w:rsid w:val="4EA2E85C"/>
    <w:rsid w:val="4EA55C05"/>
    <w:rsid w:val="4EA99A7C"/>
    <w:rsid w:val="4EA9DC1B"/>
    <w:rsid w:val="4EAA4D5F"/>
    <w:rsid w:val="4EAAC928"/>
    <w:rsid w:val="4EAFED2C"/>
    <w:rsid w:val="4EAFEFBB"/>
    <w:rsid w:val="4EC4EC31"/>
    <w:rsid w:val="4ECBBC33"/>
    <w:rsid w:val="4ECDA6FA"/>
    <w:rsid w:val="4ECDF190"/>
    <w:rsid w:val="4ED7B0A9"/>
    <w:rsid w:val="4ED83403"/>
    <w:rsid w:val="4EDBA84C"/>
    <w:rsid w:val="4EE0669B"/>
    <w:rsid w:val="4EE0A73C"/>
    <w:rsid w:val="4EE2058A"/>
    <w:rsid w:val="4EE2BB2B"/>
    <w:rsid w:val="4EEC2816"/>
    <w:rsid w:val="4EF12CB3"/>
    <w:rsid w:val="4EF407CA"/>
    <w:rsid w:val="4EF55A15"/>
    <w:rsid w:val="4EF667F8"/>
    <w:rsid w:val="4EF91DA5"/>
    <w:rsid w:val="4EFA0F74"/>
    <w:rsid w:val="4F0D4A85"/>
    <w:rsid w:val="4F111FB1"/>
    <w:rsid w:val="4F152594"/>
    <w:rsid w:val="4F181B17"/>
    <w:rsid w:val="4F1B7563"/>
    <w:rsid w:val="4F2462D6"/>
    <w:rsid w:val="4F2609A7"/>
    <w:rsid w:val="4F36373A"/>
    <w:rsid w:val="4F397BFC"/>
    <w:rsid w:val="4F39F382"/>
    <w:rsid w:val="4F41B421"/>
    <w:rsid w:val="4F43FA60"/>
    <w:rsid w:val="4F4F2E0E"/>
    <w:rsid w:val="4F54CC6B"/>
    <w:rsid w:val="4F55E949"/>
    <w:rsid w:val="4F5C50E8"/>
    <w:rsid w:val="4F5DC207"/>
    <w:rsid w:val="4F5E48D3"/>
    <w:rsid w:val="4F635E21"/>
    <w:rsid w:val="4F649772"/>
    <w:rsid w:val="4F6528A7"/>
    <w:rsid w:val="4F6570B3"/>
    <w:rsid w:val="4F67ADFC"/>
    <w:rsid w:val="4F7B8AA0"/>
    <w:rsid w:val="4F847BB9"/>
    <w:rsid w:val="4F891BE8"/>
    <w:rsid w:val="4F99813E"/>
    <w:rsid w:val="4F99C14E"/>
    <w:rsid w:val="4F9A055B"/>
    <w:rsid w:val="4FA330CA"/>
    <w:rsid w:val="4FA60756"/>
    <w:rsid w:val="4FA7DD5A"/>
    <w:rsid w:val="4FA9CF6F"/>
    <w:rsid w:val="4FB2940D"/>
    <w:rsid w:val="4FB426D3"/>
    <w:rsid w:val="4FC34863"/>
    <w:rsid w:val="4FC66B21"/>
    <w:rsid w:val="4FC712A2"/>
    <w:rsid w:val="4FC78781"/>
    <w:rsid w:val="4FC80727"/>
    <w:rsid w:val="4FCA6952"/>
    <w:rsid w:val="4FCE94CD"/>
    <w:rsid w:val="4FCF3B9C"/>
    <w:rsid w:val="4FD263A6"/>
    <w:rsid w:val="4FD3F4DA"/>
    <w:rsid w:val="4FD5FD5F"/>
    <w:rsid w:val="4FD89AB4"/>
    <w:rsid w:val="4FDA4309"/>
    <w:rsid w:val="4FDC52BC"/>
    <w:rsid w:val="4FDE542C"/>
    <w:rsid w:val="4FE67761"/>
    <w:rsid w:val="4FE9BC2D"/>
    <w:rsid w:val="4FEAAE2D"/>
    <w:rsid w:val="4FEE7A5E"/>
    <w:rsid w:val="4FEE7DE7"/>
    <w:rsid w:val="4FF0C4F5"/>
    <w:rsid w:val="4FF0CC26"/>
    <w:rsid w:val="4FF0DB96"/>
    <w:rsid w:val="4FF90E97"/>
    <w:rsid w:val="5001A5AF"/>
    <w:rsid w:val="5002D5C4"/>
    <w:rsid w:val="50069F21"/>
    <w:rsid w:val="500855FC"/>
    <w:rsid w:val="50087B11"/>
    <w:rsid w:val="500A7BE8"/>
    <w:rsid w:val="500ABE51"/>
    <w:rsid w:val="500F4E46"/>
    <w:rsid w:val="500FD3EC"/>
    <w:rsid w:val="5019F1AE"/>
    <w:rsid w:val="501A7B5B"/>
    <w:rsid w:val="501B16B6"/>
    <w:rsid w:val="502059A7"/>
    <w:rsid w:val="5021D45A"/>
    <w:rsid w:val="5025A379"/>
    <w:rsid w:val="502A9A3A"/>
    <w:rsid w:val="502E7CA1"/>
    <w:rsid w:val="5031BF31"/>
    <w:rsid w:val="50328F51"/>
    <w:rsid w:val="503BEF7E"/>
    <w:rsid w:val="503D88BD"/>
    <w:rsid w:val="50433104"/>
    <w:rsid w:val="504C08DD"/>
    <w:rsid w:val="504F7211"/>
    <w:rsid w:val="50501920"/>
    <w:rsid w:val="5051472B"/>
    <w:rsid w:val="50556240"/>
    <w:rsid w:val="5055B672"/>
    <w:rsid w:val="505B3F67"/>
    <w:rsid w:val="50648C3B"/>
    <w:rsid w:val="5066A342"/>
    <w:rsid w:val="506B78CE"/>
    <w:rsid w:val="507BA77D"/>
    <w:rsid w:val="507C1C2A"/>
    <w:rsid w:val="50808751"/>
    <w:rsid w:val="508149FF"/>
    <w:rsid w:val="508201E1"/>
    <w:rsid w:val="50835D7B"/>
    <w:rsid w:val="50888E39"/>
    <w:rsid w:val="508DC368"/>
    <w:rsid w:val="508FC3C8"/>
    <w:rsid w:val="5098AA30"/>
    <w:rsid w:val="5099B6BE"/>
    <w:rsid w:val="50A27A8A"/>
    <w:rsid w:val="50A4D0A2"/>
    <w:rsid w:val="50A82990"/>
    <w:rsid w:val="50AAF732"/>
    <w:rsid w:val="50AFA6EB"/>
    <w:rsid w:val="50B07E82"/>
    <w:rsid w:val="50B854C9"/>
    <w:rsid w:val="50BA2A60"/>
    <w:rsid w:val="50BC20AB"/>
    <w:rsid w:val="50C60C91"/>
    <w:rsid w:val="50CF2B16"/>
    <w:rsid w:val="50D0E66B"/>
    <w:rsid w:val="50D0F24C"/>
    <w:rsid w:val="50D79A06"/>
    <w:rsid w:val="50D84C89"/>
    <w:rsid w:val="50DB113B"/>
    <w:rsid w:val="50E046C8"/>
    <w:rsid w:val="50E7A013"/>
    <w:rsid w:val="50EB3DCA"/>
    <w:rsid w:val="50EE36D5"/>
    <w:rsid w:val="50F336F1"/>
    <w:rsid w:val="50F43A1D"/>
    <w:rsid w:val="50F47F99"/>
    <w:rsid w:val="50FB7FED"/>
    <w:rsid w:val="50FD707A"/>
    <w:rsid w:val="5105615E"/>
    <w:rsid w:val="510887B6"/>
    <w:rsid w:val="5111870D"/>
    <w:rsid w:val="511435EC"/>
    <w:rsid w:val="5115D356"/>
    <w:rsid w:val="51183FB2"/>
    <w:rsid w:val="511AB93C"/>
    <w:rsid w:val="51259714"/>
    <w:rsid w:val="512CCAAF"/>
    <w:rsid w:val="512D26F3"/>
    <w:rsid w:val="51330CEE"/>
    <w:rsid w:val="51333C7F"/>
    <w:rsid w:val="5134A18E"/>
    <w:rsid w:val="5135E97B"/>
    <w:rsid w:val="51387DEA"/>
    <w:rsid w:val="513AB703"/>
    <w:rsid w:val="51410E20"/>
    <w:rsid w:val="51492C76"/>
    <w:rsid w:val="514AE926"/>
    <w:rsid w:val="514C5AFB"/>
    <w:rsid w:val="51517044"/>
    <w:rsid w:val="51582A3E"/>
    <w:rsid w:val="5159D2E3"/>
    <w:rsid w:val="515E49F7"/>
    <w:rsid w:val="5169E9F9"/>
    <w:rsid w:val="516CA3BD"/>
    <w:rsid w:val="516F3D8F"/>
    <w:rsid w:val="516FB249"/>
    <w:rsid w:val="51823703"/>
    <w:rsid w:val="51861FD5"/>
    <w:rsid w:val="518D303F"/>
    <w:rsid w:val="5190364A"/>
    <w:rsid w:val="5191C678"/>
    <w:rsid w:val="5191FD0D"/>
    <w:rsid w:val="519E82AF"/>
    <w:rsid w:val="51A250AC"/>
    <w:rsid w:val="51B6A8B4"/>
    <w:rsid w:val="51B74997"/>
    <w:rsid w:val="51B792EB"/>
    <w:rsid w:val="51C43CE7"/>
    <w:rsid w:val="51C73BED"/>
    <w:rsid w:val="51CABF87"/>
    <w:rsid w:val="51CD4F45"/>
    <w:rsid w:val="51D1E87F"/>
    <w:rsid w:val="51D56EEE"/>
    <w:rsid w:val="51D6BF43"/>
    <w:rsid w:val="51D6CFFC"/>
    <w:rsid w:val="51D79A09"/>
    <w:rsid w:val="51DE5414"/>
    <w:rsid w:val="51DF7F14"/>
    <w:rsid w:val="51E2CED2"/>
    <w:rsid w:val="51E5A5FB"/>
    <w:rsid w:val="51EEF19A"/>
    <w:rsid w:val="51F51A11"/>
    <w:rsid w:val="51F8E833"/>
    <w:rsid w:val="51F99628"/>
    <w:rsid w:val="51FC5BC4"/>
    <w:rsid w:val="52003B80"/>
    <w:rsid w:val="52045288"/>
    <w:rsid w:val="520D7FF9"/>
    <w:rsid w:val="5213CD17"/>
    <w:rsid w:val="521448C6"/>
    <w:rsid w:val="521458EF"/>
    <w:rsid w:val="52189C8B"/>
    <w:rsid w:val="521BAF2C"/>
    <w:rsid w:val="521C67E5"/>
    <w:rsid w:val="521F44D9"/>
    <w:rsid w:val="521F75C0"/>
    <w:rsid w:val="52272C6B"/>
    <w:rsid w:val="522899BD"/>
    <w:rsid w:val="522BBCD0"/>
    <w:rsid w:val="522F21B4"/>
    <w:rsid w:val="52318DD8"/>
    <w:rsid w:val="52322D72"/>
    <w:rsid w:val="5235FCCD"/>
    <w:rsid w:val="52380DAF"/>
    <w:rsid w:val="523C4954"/>
    <w:rsid w:val="52419CD0"/>
    <w:rsid w:val="52456A0E"/>
    <w:rsid w:val="5245D8FE"/>
    <w:rsid w:val="52493FB2"/>
    <w:rsid w:val="524B35F6"/>
    <w:rsid w:val="524DDFEF"/>
    <w:rsid w:val="525973AB"/>
    <w:rsid w:val="525AF7E5"/>
    <w:rsid w:val="525B1CAE"/>
    <w:rsid w:val="525D8B09"/>
    <w:rsid w:val="52609B94"/>
    <w:rsid w:val="5267A0BF"/>
    <w:rsid w:val="526D7903"/>
    <w:rsid w:val="526F2C9F"/>
    <w:rsid w:val="527538AC"/>
    <w:rsid w:val="527A3A65"/>
    <w:rsid w:val="527B4CCD"/>
    <w:rsid w:val="527FE61F"/>
    <w:rsid w:val="528712D9"/>
    <w:rsid w:val="528B3038"/>
    <w:rsid w:val="528CA3E7"/>
    <w:rsid w:val="52945F3F"/>
    <w:rsid w:val="52988562"/>
    <w:rsid w:val="529C3EA7"/>
    <w:rsid w:val="529C497B"/>
    <w:rsid w:val="529CAE04"/>
    <w:rsid w:val="52A0CA16"/>
    <w:rsid w:val="52A4BD77"/>
    <w:rsid w:val="52A4E537"/>
    <w:rsid w:val="52A756B0"/>
    <w:rsid w:val="52AE232B"/>
    <w:rsid w:val="52B3D6EA"/>
    <w:rsid w:val="52B4D78A"/>
    <w:rsid w:val="52B6167A"/>
    <w:rsid w:val="52B7A591"/>
    <w:rsid w:val="52BE4FE4"/>
    <w:rsid w:val="52D2DA93"/>
    <w:rsid w:val="52D668AA"/>
    <w:rsid w:val="52D77721"/>
    <w:rsid w:val="52DF7A38"/>
    <w:rsid w:val="52E45398"/>
    <w:rsid w:val="52E80656"/>
    <w:rsid w:val="52EED40E"/>
    <w:rsid w:val="52F196AF"/>
    <w:rsid w:val="52FD128C"/>
    <w:rsid w:val="5300CCDC"/>
    <w:rsid w:val="5301BF9E"/>
    <w:rsid w:val="5309444B"/>
    <w:rsid w:val="5309B35A"/>
    <w:rsid w:val="5309C24A"/>
    <w:rsid w:val="530A2581"/>
    <w:rsid w:val="53102E24"/>
    <w:rsid w:val="5312C21F"/>
    <w:rsid w:val="53145A8D"/>
    <w:rsid w:val="5314A612"/>
    <w:rsid w:val="531838A4"/>
    <w:rsid w:val="5319013E"/>
    <w:rsid w:val="5319DA61"/>
    <w:rsid w:val="5324AB1D"/>
    <w:rsid w:val="53258CD6"/>
    <w:rsid w:val="53268B14"/>
    <w:rsid w:val="5328318D"/>
    <w:rsid w:val="5328CEF2"/>
    <w:rsid w:val="5329A583"/>
    <w:rsid w:val="532C44FB"/>
    <w:rsid w:val="5331F8B0"/>
    <w:rsid w:val="5338B4E3"/>
    <w:rsid w:val="533A67A6"/>
    <w:rsid w:val="53416AE9"/>
    <w:rsid w:val="5342E1C8"/>
    <w:rsid w:val="534807CE"/>
    <w:rsid w:val="534F155D"/>
    <w:rsid w:val="535883A9"/>
    <w:rsid w:val="535FBA27"/>
    <w:rsid w:val="536A36CB"/>
    <w:rsid w:val="536B0FDD"/>
    <w:rsid w:val="536FFAED"/>
    <w:rsid w:val="53706F2F"/>
    <w:rsid w:val="53723959"/>
    <w:rsid w:val="5373193D"/>
    <w:rsid w:val="537C4FC5"/>
    <w:rsid w:val="5381F5E9"/>
    <w:rsid w:val="5382DB7A"/>
    <w:rsid w:val="5385329F"/>
    <w:rsid w:val="5387051B"/>
    <w:rsid w:val="53890612"/>
    <w:rsid w:val="5391CDBF"/>
    <w:rsid w:val="5391DA05"/>
    <w:rsid w:val="53928E9A"/>
    <w:rsid w:val="5397382D"/>
    <w:rsid w:val="53981949"/>
    <w:rsid w:val="539BE944"/>
    <w:rsid w:val="539C868D"/>
    <w:rsid w:val="53A3B480"/>
    <w:rsid w:val="53A44877"/>
    <w:rsid w:val="53ABA8E9"/>
    <w:rsid w:val="53B0A3F7"/>
    <w:rsid w:val="53BC44BD"/>
    <w:rsid w:val="53C2B15A"/>
    <w:rsid w:val="53CFE98D"/>
    <w:rsid w:val="53D232DC"/>
    <w:rsid w:val="53D3C69D"/>
    <w:rsid w:val="53D929CB"/>
    <w:rsid w:val="53E00229"/>
    <w:rsid w:val="53E4075A"/>
    <w:rsid w:val="53E44BF2"/>
    <w:rsid w:val="53EB0F9B"/>
    <w:rsid w:val="53ED50A6"/>
    <w:rsid w:val="53EE2658"/>
    <w:rsid w:val="53F7F41A"/>
    <w:rsid w:val="53F94B89"/>
    <w:rsid w:val="53FF5660"/>
    <w:rsid w:val="53FFB745"/>
    <w:rsid w:val="5406D99E"/>
    <w:rsid w:val="540744B3"/>
    <w:rsid w:val="5407637F"/>
    <w:rsid w:val="54184878"/>
    <w:rsid w:val="541E0EA5"/>
    <w:rsid w:val="54214E84"/>
    <w:rsid w:val="542441B5"/>
    <w:rsid w:val="5427335B"/>
    <w:rsid w:val="542F2791"/>
    <w:rsid w:val="542FC35D"/>
    <w:rsid w:val="5439886A"/>
    <w:rsid w:val="5439C5AC"/>
    <w:rsid w:val="543B9CBD"/>
    <w:rsid w:val="543FDEAD"/>
    <w:rsid w:val="54406AF7"/>
    <w:rsid w:val="545914A9"/>
    <w:rsid w:val="545EC608"/>
    <w:rsid w:val="546B06A9"/>
    <w:rsid w:val="546B3F8E"/>
    <w:rsid w:val="546E0AB7"/>
    <w:rsid w:val="5471D9FC"/>
    <w:rsid w:val="5473ADAA"/>
    <w:rsid w:val="5473D086"/>
    <w:rsid w:val="5474E9AF"/>
    <w:rsid w:val="547C1AA0"/>
    <w:rsid w:val="547F51B3"/>
    <w:rsid w:val="548068A4"/>
    <w:rsid w:val="548092B5"/>
    <w:rsid w:val="5488D65A"/>
    <w:rsid w:val="54898C88"/>
    <w:rsid w:val="5499304C"/>
    <w:rsid w:val="5499644E"/>
    <w:rsid w:val="5499CABF"/>
    <w:rsid w:val="549A2D48"/>
    <w:rsid w:val="549D1C0F"/>
    <w:rsid w:val="54AAA037"/>
    <w:rsid w:val="54AD5465"/>
    <w:rsid w:val="54B01C1D"/>
    <w:rsid w:val="54B98C4E"/>
    <w:rsid w:val="54BF0E65"/>
    <w:rsid w:val="54C07265"/>
    <w:rsid w:val="54C15C7B"/>
    <w:rsid w:val="54C2403D"/>
    <w:rsid w:val="54C30AAF"/>
    <w:rsid w:val="54C616D8"/>
    <w:rsid w:val="54CD1613"/>
    <w:rsid w:val="54CD4736"/>
    <w:rsid w:val="54CFC4D1"/>
    <w:rsid w:val="54D0435F"/>
    <w:rsid w:val="54D2144C"/>
    <w:rsid w:val="54D266DC"/>
    <w:rsid w:val="54D581F4"/>
    <w:rsid w:val="54DACBA6"/>
    <w:rsid w:val="54DDEB5B"/>
    <w:rsid w:val="54DEE8D6"/>
    <w:rsid w:val="54E3F673"/>
    <w:rsid w:val="54E6A43D"/>
    <w:rsid w:val="54E89054"/>
    <w:rsid w:val="54E96C63"/>
    <w:rsid w:val="54EA92E4"/>
    <w:rsid w:val="54EB9B67"/>
    <w:rsid w:val="54F51270"/>
    <w:rsid w:val="54F5B49A"/>
    <w:rsid w:val="54FB9B26"/>
    <w:rsid w:val="54FFF952"/>
    <w:rsid w:val="5505F20A"/>
    <w:rsid w:val="5506AF5F"/>
    <w:rsid w:val="55096274"/>
    <w:rsid w:val="55155035"/>
    <w:rsid w:val="55189A49"/>
    <w:rsid w:val="5518DABD"/>
    <w:rsid w:val="5521143A"/>
    <w:rsid w:val="55221BD7"/>
    <w:rsid w:val="5527BAFB"/>
    <w:rsid w:val="5529CEBB"/>
    <w:rsid w:val="552DB068"/>
    <w:rsid w:val="5530B695"/>
    <w:rsid w:val="55391A40"/>
    <w:rsid w:val="553E8D0B"/>
    <w:rsid w:val="553FB207"/>
    <w:rsid w:val="554BB17E"/>
    <w:rsid w:val="554F2890"/>
    <w:rsid w:val="55529E1F"/>
    <w:rsid w:val="55564F6B"/>
    <w:rsid w:val="555BAC0E"/>
    <w:rsid w:val="555D4435"/>
    <w:rsid w:val="55635F6C"/>
    <w:rsid w:val="556873C6"/>
    <w:rsid w:val="556900B4"/>
    <w:rsid w:val="556CEEA6"/>
    <w:rsid w:val="556D5358"/>
    <w:rsid w:val="55707F8B"/>
    <w:rsid w:val="5574E276"/>
    <w:rsid w:val="5576B9EE"/>
    <w:rsid w:val="557CC28D"/>
    <w:rsid w:val="558067D1"/>
    <w:rsid w:val="55846736"/>
    <w:rsid w:val="55858C6B"/>
    <w:rsid w:val="558872A4"/>
    <w:rsid w:val="558F2A70"/>
    <w:rsid w:val="5590A0CF"/>
    <w:rsid w:val="5595524C"/>
    <w:rsid w:val="559992D4"/>
    <w:rsid w:val="559A4CAC"/>
    <w:rsid w:val="55A0E787"/>
    <w:rsid w:val="55A45245"/>
    <w:rsid w:val="55ADD183"/>
    <w:rsid w:val="55AECCA1"/>
    <w:rsid w:val="55B747E2"/>
    <w:rsid w:val="55B83DD2"/>
    <w:rsid w:val="55B8FD0A"/>
    <w:rsid w:val="55BE6E81"/>
    <w:rsid w:val="55C510DA"/>
    <w:rsid w:val="55C73C38"/>
    <w:rsid w:val="55CA44E6"/>
    <w:rsid w:val="55CBD971"/>
    <w:rsid w:val="55CD3B50"/>
    <w:rsid w:val="55CD7CD7"/>
    <w:rsid w:val="55CE41B7"/>
    <w:rsid w:val="55D0C92E"/>
    <w:rsid w:val="55DCA886"/>
    <w:rsid w:val="55E60A75"/>
    <w:rsid w:val="55F39D90"/>
    <w:rsid w:val="55F9B9C8"/>
    <w:rsid w:val="55FA8310"/>
    <w:rsid w:val="5601D260"/>
    <w:rsid w:val="56021165"/>
    <w:rsid w:val="560847C4"/>
    <w:rsid w:val="5608BFB9"/>
    <w:rsid w:val="560AFB3A"/>
    <w:rsid w:val="560CAFCF"/>
    <w:rsid w:val="560E00F8"/>
    <w:rsid w:val="56189D34"/>
    <w:rsid w:val="561F3491"/>
    <w:rsid w:val="561F59DD"/>
    <w:rsid w:val="56281C62"/>
    <w:rsid w:val="562AC719"/>
    <w:rsid w:val="562D14FD"/>
    <w:rsid w:val="5639200F"/>
    <w:rsid w:val="563F4FFF"/>
    <w:rsid w:val="563F8609"/>
    <w:rsid w:val="5647F40C"/>
    <w:rsid w:val="564978B3"/>
    <w:rsid w:val="564BFA84"/>
    <w:rsid w:val="5663365C"/>
    <w:rsid w:val="566B3872"/>
    <w:rsid w:val="566BAA8A"/>
    <w:rsid w:val="5670585B"/>
    <w:rsid w:val="5670A0EF"/>
    <w:rsid w:val="5677BB21"/>
    <w:rsid w:val="567C025A"/>
    <w:rsid w:val="5682B99D"/>
    <w:rsid w:val="56870541"/>
    <w:rsid w:val="568A3800"/>
    <w:rsid w:val="56A294E1"/>
    <w:rsid w:val="56A5B73D"/>
    <w:rsid w:val="56B25A6B"/>
    <w:rsid w:val="56B339B7"/>
    <w:rsid w:val="56B7674E"/>
    <w:rsid w:val="56BDF992"/>
    <w:rsid w:val="56C475E6"/>
    <w:rsid w:val="56C520FE"/>
    <w:rsid w:val="56C57211"/>
    <w:rsid w:val="56CA777B"/>
    <w:rsid w:val="56CD3E9D"/>
    <w:rsid w:val="56CD7234"/>
    <w:rsid w:val="56CFC6F1"/>
    <w:rsid w:val="56D06F1C"/>
    <w:rsid w:val="56D23145"/>
    <w:rsid w:val="56D2BFC7"/>
    <w:rsid w:val="56D7AA10"/>
    <w:rsid w:val="56DBA30F"/>
    <w:rsid w:val="56E9B209"/>
    <w:rsid w:val="56F45AB9"/>
    <w:rsid w:val="56F96F6F"/>
    <w:rsid w:val="56FD84A5"/>
    <w:rsid w:val="570153CC"/>
    <w:rsid w:val="570C4ED9"/>
    <w:rsid w:val="570F1BBF"/>
    <w:rsid w:val="5710E5ED"/>
    <w:rsid w:val="57120725"/>
    <w:rsid w:val="571625AD"/>
    <w:rsid w:val="57166F0D"/>
    <w:rsid w:val="571E3065"/>
    <w:rsid w:val="5724718C"/>
    <w:rsid w:val="573338B0"/>
    <w:rsid w:val="5736435A"/>
    <w:rsid w:val="57379876"/>
    <w:rsid w:val="5737D25E"/>
    <w:rsid w:val="57404C42"/>
    <w:rsid w:val="57420922"/>
    <w:rsid w:val="574323E7"/>
    <w:rsid w:val="57447EC3"/>
    <w:rsid w:val="574F69C9"/>
    <w:rsid w:val="57532BC5"/>
    <w:rsid w:val="575542BD"/>
    <w:rsid w:val="575AA32C"/>
    <w:rsid w:val="575AFC84"/>
    <w:rsid w:val="5767048B"/>
    <w:rsid w:val="5767EFC2"/>
    <w:rsid w:val="57705551"/>
    <w:rsid w:val="577514A5"/>
    <w:rsid w:val="5775FFB3"/>
    <w:rsid w:val="5776350C"/>
    <w:rsid w:val="57787EC9"/>
    <w:rsid w:val="577C1441"/>
    <w:rsid w:val="578AE41C"/>
    <w:rsid w:val="578D8834"/>
    <w:rsid w:val="578E0ADC"/>
    <w:rsid w:val="5790B0F9"/>
    <w:rsid w:val="579AAEDC"/>
    <w:rsid w:val="579EF8FF"/>
    <w:rsid w:val="57A03D52"/>
    <w:rsid w:val="57A32D10"/>
    <w:rsid w:val="57A71B6A"/>
    <w:rsid w:val="57AA640F"/>
    <w:rsid w:val="57AFF885"/>
    <w:rsid w:val="57B07BE3"/>
    <w:rsid w:val="57B1BA5F"/>
    <w:rsid w:val="57B1D5AD"/>
    <w:rsid w:val="57BB8783"/>
    <w:rsid w:val="57C1056D"/>
    <w:rsid w:val="57C3F7C0"/>
    <w:rsid w:val="57D22516"/>
    <w:rsid w:val="57D30BB4"/>
    <w:rsid w:val="57D5F0CC"/>
    <w:rsid w:val="57D9EBCE"/>
    <w:rsid w:val="57DA0D86"/>
    <w:rsid w:val="57DAD710"/>
    <w:rsid w:val="57DCAD66"/>
    <w:rsid w:val="57DDE01A"/>
    <w:rsid w:val="57E859B8"/>
    <w:rsid w:val="57EB50A3"/>
    <w:rsid w:val="57EBA10A"/>
    <w:rsid w:val="57EBD23E"/>
    <w:rsid w:val="57EC0456"/>
    <w:rsid w:val="57F76088"/>
    <w:rsid w:val="58015193"/>
    <w:rsid w:val="5803F696"/>
    <w:rsid w:val="58073803"/>
    <w:rsid w:val="580CDAC5"/>
    <w:rsid w:val="58138CAA"/>
    <w:rsid w:val="581492E4"/>
    <w:rsid w:val="581AB720"/>
    <w:rsid w:val="581E4FDA"/>
    <w:rsid w:val="5821E9BB"/>
    <w:rsid w:val="58230DEA"/>
    <w:rsid w:val="582A88E1"/>
    <w:rsid w:val="582AC0F2"/>
    <w:rsid w:val="58321AF3"/>
    <w:rsid w:val="58330D45"/>
    <w:rsid w:val="5834C3A5"/>
    <w:rsid w:val="5835B45B"/>
    <w:rsid w:val="5837BC39"/>
    <w:rsid w:val="583B22C2"/>
    <w:rsid w:val="583F8948"/>
    <w:rsid w:val="58456AC1"/>
    <w:rsid w:val="5848BB6D"/>
    <w:rsid w:val="584C82FE"/>
    <w:rsid w:val="58533A29"/>
    <w:rsid w:val="585B5039"/>
    <w:rsid w:val="585CB26D"/>
    <w:rsid w:val="5861F32C"/>
    <w:rsid w:val="586559BE"/>
    <w:rsid w:val="586A7B8E"/>
    <w:rsid w:val="586B9B12"/>
    <w:rsid w:val="586E7AB4"/>
    <w:rsid w:val="587325B4"/>
    <w:rsid w:val="587B5562"/>
    <w:rsid w:val="587E4FF8"/>
    <w:rsid w:val="58834B95"/>
    <w:rsid w:val="5885DEAA"/>
    <w:rsid w:val="588BDB5E"/>
    <w:rsid w:val="58952E86"/>
    <w:rsid w:val="58A1D515"/>
    <w:rsid w:val="58A61A39"/>
    <w:rsid w:val="58A69F13"/>
    <w:rsid w:val="58AAAA02"/>
    <w:rsid w:val="58AF32D9"/>
    <w:rsid w:val="58B091CF"/>
    <w:rsid w:val="58B55CC1"/>
    <w:rsid w:val="58B5F80F"/>
    <w:rsid w:val="58B6BE0D"/>
    <w:rsid w:val="58B6D0B7"/>
    <w:rsid w:val="58BD4884"/>
    <w:rsid w:val="58BE1D0C"/>
    <w:rsid w:val="58BFA4B5"/>
    <w:rsid w:val="58C1010F"/>
    <w:rsid w:val="58C1791A"/>
    <w:rsid w:val="58C3A520"/>
    <w:rsid w:val="58C5CF6F"/>
    <w:rsid w:val="58CA9CD9"/>
    <w:rsid w:val="58CBEACB"/>
    <w:rsid w:val="58DA4060"/>
    <w:rsid w:val="58DB11CE"/>
    <w:rsid w:val="58E31295"/>
    <w:rsid w:val="58E3ADF2"/>
    <w:rsid w:val="58E8EA4D"/>
    <w:rsid w:val="58EFAAF2"/>
    <w:rsid w:val="58F00437"/>
    <w:rsid w:val="58F20284"/>
    <w:rsid w:val="58F93F6D"/>
    <w:rsid w:val="590C9857"/>
    <w:rsid w:val="590E9128"/>
    <w:rsid w:val="59102443"/>
    <w:rsid w:val="5911045D"/>
    <w:rsid w:val="5915A0F1"/>
    <w:rsid w:val="5917EFF1"/>
    <w:rsid w:val="591F3B68"/>
    <w:rsid w:val="592070C6"/>
    <w:rsid w:val="5933FEFB"/>
    <w:rsid w:val="5936D7F5"/>
    <w:rsid w:val="5939A8BE"/>
    <w:rsid w:val="593B188B"/>
    <w:rsid w:val="593E8503"/>
    <w:rsid w:val="594AC377"/>
    <w:rsid w:val="595825D4"/>
    <w:rsid w:val="596398CD"/>
    <w:rsid w:val="596762F2"/>
    <w:rsid w:val="596AD987"/>
    <w:rsid w:val="59765BED"/>
    <w:rsid w:val="59789EA4"/>
    <w:rsid w:val="597AAE14"/>
    <w:rsid w:val="597C63BB"/>
    <w:rsid w:val="5982C492"/>
    <w:rsid w:val="5987CEBB"/>
    <w:rsid w:val="5990F74B"/>
    <w:rsid w:val="599DC6C9"/>
    <w:rsid w:val="59A14991"/>
    <w:rsid w:val="59A3AE97"/>
    <w:rsid w:val="59A60B10"/>
    <w:rsid w:val="59A7D078"/>
    <w:rsid w:val="59AADAEA"/>
    <w:rsid w:val="59AC71AA"/>
    <w:rsid w:val="59B0AFB7"/>
    <w:rsid w:val="59B2B74A"/>
    <w:rsid w:val="59B493DA"/>
    <w:rsid w:val="59BC6D07"/>
    <w:rsid w:val="59BE3533"/>
    <w:rsid w:val="59C1658D"/>
    <w:rsid w:val="59C1C9C7"/>
    <w:rsid w:val="59C1F47A"/>
    <w:rsid w:val="59C28FAC"/>
    <w:rsid w:val="59C3984C"/>
    <w:rsid w:val="59DF7E1B"/>
    <w:rsid w:val="59DFFA25"/>
    <w:rsid w:val="59E3E9FC"/>
    <w:rsid w:val="59EC7500"/>
    <w:rsid w:val="59F4BB62"/>
    <w:rsid w:val="59F701A1"/>
    <w:rsid w:val="59F94577"/>
    <w:rsid w:val="59FE30AA"/>
    <w:rsid w:val="5A0CD10E"/>
    <w:rsid w:val="5A1021E1"/>
    <w:rsid w:val="5A16B3F7"/>
    <w:rsid w:val="5A1FA99C"/>
    <w:rsid w:val="5A2DC97E"/>
    <w:rsid w:val="5A2F88F0"/>
    <w:rsid w:val="5A33C6B9"/>
    <w:rsid w:val="5A3C1CD4"/>
    <w:rsid w:val="5A3E0A14"/>
    <w:rsid w:val="5A40F38F"/>
    <w:rsid w:val="5A41D5E3"/>
    <w:rsid w:val="5A45A80E"/>
    <w:rsid w:val="5A464EF6"/>
    <w:rsid w:val="5A47FCDB"/>
    <w:rsid w:val="5A48E785"/>
    <w:rsid w:val="5A4BA625"/>
    <w:rsid w:val="5A4BC754"/>
    <w:rsid w:val="5A4EB1C8"/>
    <w:rsid w:val="5A52CD24"/>
    <w:rsid w:val="5A588D51"/>
    <w:rsid w:val="5A607AD3"/>
    <w:rsid w:val="5A67AFDF"/>
    <w:rsid w:val="5A67F859"/>
    <w:rsid w:val="5A69BABC"/>
    <w:rsid w:val="5A7515D3"/>
    <w:rsid w:val="5A77DB38"/>
    <w:rsid w:val="5A7AD4AC"/>
    <w:rsid w:val="5A80A009"/>
    <w:rsid w:val="5A8857E7"/>
    <w:rsid w:val="5A8961EB"/>
    <w:rsid w:val="5A8ECE3F"/>
    <w:rsid w:val="5A92D402"/>
    <w:rsid w:val="5A975A3B"/>
    <w:rsid w:val="5A9B9399"/>
    <w:rsid w:val="5A9ED23E"/>
    <w:rsid w:val="5AA01CE3"/>
    <w:rsid w:val="5AA08628"/>
    <w:rsid w:val="5AA1C4E8"/>
    <w:rsid w:val="5AA55563"/>
    <w:rsid w:val="5AA56FA7"/>
    <w:rsid w:val="5AA643A5"/>
    <w:rsid w:val="5AAD9D88"/>
    <w:rsid w:val="5AB636E2"/>
    <w:rsid w:val="5ABDDF60"/>
    <w:rsid w:val="5AC0128D"/>
    <w:rsid w:val="5AC080DD"/>
    <w:rsid w:val="5AC2DEF5"/>
    <w:rsid w:val="5AC32027"/>
    <w:rsid w:val="5AC6D3A6"/>
    <w:rsid w:val="5AC6DB6C"/>
    <w:rsid w:val="5AC90E4D"/>
    <w:rsid w:val="5ACD992C"/>
    <w:rsid w:val="5AD69CD5"/>
    <w:rsid w:val="5AD779F6"/>
    <w:rsid w:val="5ADAA129"/>
    <w:rsid w:val="5AE7BA1D"/>
    <w:rsid w:val="5AF8CEDA"/>
    <w:rsid w:val="5AFF7750"/>
    <w:rsid w:val="5B0248DD"/>
    <w:rsid w:val="5B08D489"/>
    <w:rsid w:val="5B0E71FD"/>
    <w:rsid w:val="5B0F5FCA"/>
    <w:rsid w:val="5B120DB4"/>
    <w:rsid w:val="5B1E2EDF"/>
    <w:rsid w:val="5B2104C6"/>
    <w:rsid w:val="5B221D93"/>
    <w:rsid w:val="5B27B895"/>
    <w:rsid w:val="5B29541D"/>
    <w:rsid w:val="5B2A9051"/>
    <w:rsid w:val="5B2D51DC"/>
    <w:rsid w:val="5B2E75AC"/>
    <w:rsid w:val="5B2F2E06"/>
    <w:rsid w:val="5B31E718"/>
    <w:rsid w:val="5B34EBB1"/>
    <w:rsid w:val="5B35D225"/>
    <w:rsid w:val="5B40B4D0"/>
    <w:rsid w:val="5B4495A2"/>
    <w:rsid w:val="5B454187"/>
    <w:rsid w:val="5B45A413"/>
    <w:rsid w:val="5B48D048"/>
    <w:rsid w:val="5B4D3BA4"/>
    <w:rsid w:val="5B4DF13A"/>
    <w:rsid w:val="5B587BE5"/>
    <w:rsid w:val="5B5B4A43"/>
    <w:rsid w:val="5B5CC494"/>
    <w:rsid w:val="5B6335C8"/>
    <w:rsid w:val="5B63748E"/>
    <w:rsid w:val="5B666510"/>
    <w:rsid w:val="5B66B1D0"/>
    <w:rsid w:val="5B66F698"/>
    <w:rsid w:val="5B6997D8"/>
    <w:rsid w:val="5B6F3637"/>
    <w:rsid w:val="5B7706B3"/>
    <w:rsid w:val="5B793C08"/>
    <w:rsid w:val="5B7B7562"/>
    <w:rsid w:val="5B80D55C"/>
    <w:rsid w:val="5B840300"/>
    <w:rsid w:val="5B88DA21"/>
    <w:rsid w:val="5B8A1936"/>
    <w:rsid w:val="5B8E2977"/>
    <w:rsid w:val="5B9752C9"/>
    <w:rsid w:val="5B97ECCD"/>
    <w:rsid w:val="5B9BCBB6"/>
    <w:rsid w:val="5B9C007C"/>
    <w:rsid w:val="5BA388FF"/>
    <w:rsid w:val="5BAA61BB"/>
    <w:rsid w:val="5BB27AB8"/>
    <w:rsid w:val="5BB2E872"/>
    <w:rsid w:val="5BB542D5"/>
    <w:rsid w:val="5BBB38A0"/>
    <w:rsid w:val="5BC23EE4"/>
    <w:rsid w:val="5BC69946"/>
    <w:rsid w:val="5BCBFFF5"/>
    <w:rsid w:val="5BCCF9DB"/>
    <w:rsid w:val="5BCF8326"/>
    <w:rsid w:val="5BDB3EAF"/>
    <w:rsid w:val="5BE1C9DC"/>
    <w:rsid w:val="5BE54F19"/>
    <w:rsid w:val="5BEEA7EA"/>
    <w:rsid w:val="5BF37E09"/>
    <w:rsid w:val="5BF4651A"/>
    <w:rsid w:val="5BF79FF7"/>
    <w:rsid w:val="5BFB0095"/>
    <w:rsid w:val="5BFCF668"/>
    <w:rsid w:val="5C000ED1"/>
    <w:rsid w:val="5C0441CE"/>
    <w:rsid w:val="5C0696F9"/>
    <w:rsid w:val="5C099CE8"/>
    <w:rsid w:val="5C0F6DF0"/>
    <w:rsid w:val="5C1A0F3A"/>
    <w:rsid w:val="5C1BF7AB"/>
    <w:rsid w:val="5C1DC597"/>
    <w:rsid w:val="5C2589AF"/>
    <w:rsid w:val="5C28F855"/>
    <w:rsid w:val="5C2B1ACF"/>
    <w:rsid w:val="5C3316D3"/>
    <w:rsid w:val="5C3393E6"/>
    <w:rsid w:val="5C34A8DA"/>
    <w:rsid w:val="5C3753D9"/>
    <w:rsid w:val="5C3B9118"/>
    <w:rsid w:val="5C4263E7"/>
    <w:rsid w:val="5C4561DD"/>
    <w:rsid w:val="5C4AD15D"/>
    <w:rsid w:val="5C56C4ED"/>
    <w:rsid w:val="5C5D910D"/>
    <w:rsid w:val="5C623969"/>
    <w:rsid w:val="5C6562F7"/>
    <w:rsid w:val="5C6C7CA1"/>
    <w:rsid w:val="5C71549C"/>
    <w:rsid w:val="5C846EFB"/>
    <w:rsid w:val="5C86A18E"/>
    <w:rsid w:val="5C89DDF5"/>
    <w:rsid w:val="5C907B6A"/>
    <w:rsid w:val="5C9897D9"/>
    <w:rsid w:val="5C9AEF6C"/>
    <w:rsid w:val="5C9B247F"/>
    <w:rsid w:val="5C9D768A"/>
    <w:rsid w:val="5C9F3DE9"/>
    <w:rsid w:val="5CA0E738"/>
    <w:rsid w:val="5CA1D928"/>
    <w:rsid w:val="5CA31F56"/>
    <w:rsid w:val="5CA62FBA"/>
    <w:rsid w:val="5CA7BAFC"/>
    <w:rsid w:val="5CAD8507"/>
    <w:rsid w:val="5CB2E1F9"/>
    <w:rsid w:val="5CB651E3"/>
    <w:rsid w:val="5CB810A7"/>
    <w:rsid w:val="5CBC3376"/>
    <w:rsid w:val="5CBC424E"/>
    <w:rsid w:val="5CBCA6F0"/>
    <w:rsid w:val="5CC52EE2"/>
    <w:rsid w:val="5CD18C5B"/>
    <w:rsid w:val="5CD22AD1"/>
    <w:rsid w:val="5CD72ABA"/>
    <w:rsid w:val="5CD7CC51"/>
    <w:rsid w:val="5CDAB592"/>
    <w:rsid w:val="5CDCA1DE"/>
    <w:rsid w:val="5CDCDD1E"/>
    <w:rsid w:val="5CDF53BE"/>
    <w:rsid w:val="5CE09EBA"/>
    <w:rsid w:val="5CE1777A"/>
    <w:rsid w:val="5CE5C82A"/>
    <w:rsid w:val="5CE92B2B"/>
    <w:rsid w:val="5CF1C727"/>
    <w:rsid w:val="5CF6D586"/>
    <w:rsid w:val="5CF7A2F3"/>
    <w:rsid w:val="5CF7CA3C"/>
    <w:rsid w:val="5CF99669"/>
    <w:rsid w:val="5CFBCBB8"/>
    <w:rsid w:val="5CFBECF4"/>
    <w:rsid w:val="5D03920C"/>
    <w:rsid w:val="5D03C01C"/>
    <w:rsid w:val="5D074F2F"/>
    <w:rsid w:val="5D0882EC"/>
    <w:rsid w:val="5D0959FA"/>
    <w:rsid w:val="5D0C94BD"/>
    <w:rsid w:val="5D149BE1"/>
    <w:rsid w:val="5D1949D6"/>
    <w:rsid w:val="5D1A2FD4"/>
    <w:rsid w:val="5D1D1235"/>
    <w:rsid w:val="5D206B97"/>
    <w:rsid w:val="5D20BA99"/>
    <w:rsid w:val="5D23AFEC"/>
    <w:rsid w:val="5D2812D1"/>
    <w:rsid w:val="5D3B178B"/>
    <w:rsid w:val="5D3BEE41"/>
    <w:rsid w:val="5D43A88B"/>
    <w:rsid w:val="5D4549BF"/>
    <w:rsid w:val="5D48E099"/>
    <w:rsid w:val="5D4AB88E"/>
    <w:rsid w:val="5D4D4B9F"/>
    <w:rsid w:val="5D523D10"/>
    <w:rsid w:val="5D555AAB"/>
    <w:rsid w:val="5D599911"/>
    <w:rsid w:val="5D5A49B9"/>
    <w:rsid w:val="5D5DD716"/>
    <w:rsid w:val="5D5F7114"/>
    <w:rsid w:val="5D61B800"/>
    <w:rsid w:val="5D6316A4"/>
    <w:rsid w:val="5D684F59"/>
    <w:rsid w:val="5D68A131"/>
    <w:rsid w:val="5D6AE91E"/>
    <w:rsid w:val="5D6C170F"/>
    <w:rsid w:val="5D6E8F01"/>
    <w:rsid w:val="5D6F1DF8"/>
    <w:rsid w:val="5D75E167"/>
    <w:rsid w:val="5D79C02A"/>
    <w:rsid w:val="5D7AAB75"/>
    <w:rsid w:val="5D8129ED"/>
    <w:rsid w:val="5D819963"/>
    <w:rsid w:val="5D8667CE"/>
    <w:rsid w:val="5D8798D8"/>
    <w:rsid w:val="5D881063"/>
    <w:rsid w:val="5D8F310D"/>
    <w:rsid w:val="5D96BCB3"/>
    <w:rsid w:val="5D98BCD3"/>
    <w:rsid w:val="5D9A7E94"/>
    <w:rsid w:val="5D9E80BE"/>
    <w:rsid w:val="5DA36169"/>
    <w:rsid w:val="5DA3990F"/>
    <w:rsid w:val="5DAB2C94"/>
    <w:rsid w:val="5DABB206"/>
    <w:rsid w:val="5DB00E58"/>
    <w:rsid w:val="5DB17131"/>
    <w:rsid w:val="5DB6A0EB"/>
    <w:rsid w:val="5DC0D98A"/>
    <w:rsid w:val="5DC41C2B"/>
    <w:rsid w:val="5DC96C8F"/>
    <w:rsid w:val="5DCBA4A6"/>
    <w:rsid w:val="5DD1DB9C"/>
    <w:rsid w:val="5DD20A8B"/>
    <w:rsid w:val="5DD401F3"/>
    <w:rsid w:val="5DE0D050"/>
    <w:rsid w:val="5DE35F42"/>
    <w:rsid w:val="5DE387AC"/>
    <w:rsid w:val="5DE6888C"/>
    <w:rsid w:val="5DE7098C"/>
    <w:rsid w:val="5DE787CC"/>
    <w:rsid w:val="5DE7B5A6"/>
    <w:rsid w:val="5DEA4A1C"/>
    <w:rsid w:val="5DFA7B51"/>
    <w:rsid w:val="5DFBEC2B"/>
    <w:rsid w:val="5DFFF427"/>
    <w:rsid w:val="5E030D33"/>
    <w:rsid w:val="5E03260F"/>
    <w:rsid w:val="5E1659BC"/>
    <w:rsid w:val="5E1E511A"/>
    <w:rsid w:val="5E30B3B3"/>
    <w:rsid w:val="5E3374EC"/>
    <w:rsid w:val="5E34D0FD"/>
    <w:rsid w:val="5E38276A"/>
    <w:rsid w:val="5E3B2711"/>
    <w:rsid w:val="5E45160C"/>
    <w:rsid w:val="5E48C805"/>
    <w:rsid w:val="5E48E038"/>
    <w:rsid w:val="5E507018"/>
    <w:rsid w:val="5E551505"/>
    <w:rsid w:val="5E577FAD"/>
    <w:rsid w:val="5E5810D4"/>
    <w:rsid w:val="5E5AB21F"/>
    <w:rsid w:val="5E61E48F"/>
    <w:rsid w:val="5E6810C1"/>
    <w:rsid w:val="5E68FF5F"/>
    <w:rsid w:val="5E6C6AFA"/>
    <w:rsid w:val="5E6F5633"/>
    <w:rsid w:val="5E78AC15"/>
    <w:rsid w:val="5E793C56"/>
    <w:rsid w:val="5E7A2CDA"/>
    <w:rsid w:val="5E7CB3F6"/>
    <w:rsid w:val="5E7D7E2D"/>
    <w:rsid w:val="5E814C64"/>
    <w:rsid w:val="5E8BF332"/>
    <w:rsid w:val="5E8C1C41"/>
    <w:rsid w:val="5E8DD158"/>
    <w:rsid w:val="5E8F1FF3"/>
    <w:rsid w:val="5E96E3B3"/>
    <w:rsid w:val="5E9D97AF"/>
    <w:rsid w:val="5E9E8EB9"/>
    <w:rsid w:val="5EA226FC"/>
    <w:rsid w:val="5EAA32C4"/>
    <w:rsid w:val="5EAB7363"/>
    <w:rsid w:val="5EAEA20D"/>
    <w:rsid w:val="5EB06F65"/>
    <w:rsid w:val="5EB3451B"/>
    <w:rsid w:val="5EB69CA7"/>
    <w:rsid w:val="5EBA5831"/>
    <w:rsid w:val="5EBB1B49"/>
    <w:rsid w:val="5EBB4906"/>
    <w:rsid w:val="5EC34C0A"/>
    <w:rsid w:val="5EC975D9"/>
    <w:rsid w:val="5ECE51CE"/>
    <w:rsid w:val="5ECFB2E9"/>
    <w:rsid w:val="5ED28C0D"/>
    <w:rsid w:val="5ED5542E"/>
    <w:rsid w:val="5EDE768E"/>
    <w:rsid w:val="5EE26BDD"/>
    <w:rsid w:val="5EE27B85"/>
    <w:rsid w:val="5EEC38DE"/>
    <w:rsid w:val="5EEDD82C"/>
    <w:rsid w:val="5EEF21BD"/>
    <w:rsid w:val="5EEF6E3A"/>
    <w:rsid w:val="5F0DB49C"/>
    <w:rsid w:val="5F0E1C9C"/>
    <w:rsid w:val="5F13BAB3"/>
    <w:rsid w:val="5F1D7913"/>
    <w:rsid w:val="5F1E2FDC"/>
    <w:rsid w:val="5F21B6B2"/>
    <w:rsid w:val="5F220A2E"/>
    <w:rsid w:val="5F2288DB"/>
    <w:rsid w:val="5F22E90E"/>
    <w:rsid w:val="5F29F8AC"/>
    <w:rsid w:val="5F2BF188"/>
    <w:rsid w:val="5F2C6499"/>
    <w:rsid w:val="5F355A8C"/>
    <w:rsid w:val="5F3E52C3"/>
    <w:rsid w:val="5F3F0DD2"/>
    <w:rsid w:val="5F41099C"/>
    <w:rsid w:val="5F428705"/>
    <w:rsid w:val="5F4A1F95"/>
    <w:rsid w:val="5F4D0A86"/>
    <w:rsid w:val="5F518817"/>
    <w:rsid w:val="5F53DF20"/>
    <w:rsid w:val="5F55E342"/>
    <w:rsid w:val="5F569C84"/>
    <w:rsid w:val="5F5DF563"/>
    <w:rsid w:val="5F5E197E"/>
    <w:rsid w:val="5F5ECE7C"/>
    <w:rsid w:val="5F63B662"/>
    <w:rsid w:val="5F6A3A94"/>
    <w:rsid w:val="5F6B9D6F"/>
    <w:rsid w:val="5F6D97AD"/>
    <w:rsid w:val="5F6F0F0E"/>
    <w:rsid w:val="5F7124AB"/>
    <w:rsid w:val="5F71BDAC"/>
    <w:rsid w:val="5F7AE7A0"/>
    <w:rsid w:val="5F9746D3"/>
    <w:rsid w:val="5F9CB057"/>
    <w:rsid w:val="5FA0B6A6"/>
    <w:rsid w:val="5FA12C8F"/>
    <w:rsid w:val="5FA7A61D"/>
    <w:rsid w:val="5FA84C96"/>
    <w:rsid w:val="5FA9C511"/>
    <w:rsid w:val="5FAB0D57"/>
    <w:rsid w:val="5FAEFE2B"/>
    <w:rsid w:val="5FAFC05D"/>
    <w:rsid w:val="5FB0D861"/>
    <w:rsid w:val="5FB41627"/>
    <w:rsid w:val="5FB5CD57"/>
    <w:rsid w:val="5FBFFB8C"/>
    <w:rsid w:val="5FCC7BD5"/>
    <w:rsid w:val="5FD0AB35"/>
    <w:rsid w:val="5FD14737"/>
    <w:rsid w:val="5FD43191"/>
    <w:rsid w:val="5FD73483"/>
    <w:rsid w:val="5FD7AA3D"/>
    <w:rsid w:val="5FDF8ED2"/>
    <w:rsid w:val="5FE0830E"/>
    <w:rsid w:val="5FE12FDB"/>
    <w:rsid w:val="5FE5AF61"/>
    <w:rsid w:val="5FF2F125"/>
    <w:rsid w:val="5FF722DB"/>
    <w:rsid w:val="5FFAC9F5"/>
    <w:rsid w:val="5FFE9E18"/>
    <w:rsid w:val="60039E19"/>
    <w:rsid w:val="60058B89"/>
    <w:rsid w:val="6005A640"/>
    <w:rsid w:val="60098EC1"/>
    <w:rsid w:val="60099B68"/>
    <w:rsid w:val="600C68DD"/>
    <w:rsid w:val="600C8C1A"/>
    <w:rsid w:val="6011ED4C"/>
    <w:rsid w:val="60140DDB"/>
    <w:rsid w:val="601699DA"/>
    <w:rsid w:val="6017B1CA"/>
    <w:rsid w:val="601A3A16"/>
    <w:rsid w:val="601B5F35"/>
    <w:rsid w:val="6024F500"/>
    <w:rsid w:val="60295034"/>
    <w:rsid w:val="602C211D"/>
    <w:rsid w:val="602DFD1B"/>
    <w:rsid w:val="6033B68B"/>
    <w:rsid w:val="603B5BA4"/>
    <w:rsid w:val="6046D6F7"/>
    <w:rsid w:val="60475C4E"/>
    <w:rsid w:val="604FCE51"/>
    <w:rsid w:val="6052B66F"/>
    <w:rsid w:val="6054E0E8"/>
    <w:rsid w:val="6057F1F0"/>
    <w:rsid w:val="60583B58"/>
    <w:rsid w:val="6059E698"/>
    <w:rsid w:val="605F3233"/>
    <w:rsid w:val="606047A0"/>
    <w:rsid w:val="6060DB8E"/>
    <w:rsid w:val="6071A8D7"/>
    <w:rsid w:val="60737EA7"/>
    <w:rsid w:val="60799DFE"/>
    <w:rsid w:val="6084DF8E"/>
    <w:rsid w:val="608A2743"/>
    <w:rsid w:val="609293AF"/>
    <w:rsid w:val="609B65B3"/>
    <w:rsid w:val="609BD42E"/>
    <w:rsid w:val="609ECE9A"/>
    <w:rsid w:val="60A57F45"/>
    <w:rsid w:val="60A677CB"/>
    <w:rsid w:val="60A966BE"/>
    <w:rsid w:val="60ABEDAB"/>
    <w:rsid w:val="60AF090A"/>
    <w:rsid w:val="60B075FE"/>
    <w:rsid w:val="60B20DC4"/>
    <w:rsid w:val="60B2F61E"/>
    <w:rsid w:val="60B3D67C"/>
    <w:rsid w:val="60B67708"/>
    <w:rsid w:val="60B85C1D"/>
    <w:rsid w:val="60BFA75C"/>
    <w:rsid w:val="60BFAB94"/>
    <w:rsid w:val="60C19432"/>
    <w:rsid w:val="60C1FB1F"/>
    <w:rsid w:val="60C2BEF1"/>
    <w:rsid w:val="60C3339F"/>
    <w:rsid w:val="60C3ED45"/>
    <w:rsid w:val="60C5E0C3"/>
    <w:rsid w:val="60CB453B"/>
    <w:rsid w:val="60CD55F3"/>
    <w:rsid w:val="60CF47B7"/>
    <w:rsid w:val="60CF8F29"/>
    <w:rsid w:val="60D1B7FE"/>
    <w:rsid w:val="60D2C297"/>
    <w:rsid w:val="60DF9445"/>
    <w:rsid w:val="60E11B4C"/>
    <w:rsid w:val="60E202AC"/>
    <w:rsid w:val="60E6C744"/>
    <w:rsid w:val="60F2BE20"/>
    <w:rsid w:val="60F37C25"/>
    <w:rsid w:val="60F5CEA4"/>
    <w:rsid w:val="60F7C9A3"/>
    <w:rsid w:val="610232D8"/>
    <w:rsid w:val="610A47A9"/>
    <w:rsid w:val="610CEB06"/>
    <w:rsid w:val="611102E8"/>
    <w:rsid w:val="6111B199"/>
    <w:rsid w:val="61141E15"/>
    <w:rsid w:val="611A01AF"/>
    <w:rsid w:val="612353E3"/>
    <w:rsid w:val="6123D021"/>
    <w:rsid w:val="6125BF25"/>
    <w:rsid w:val="6127274C"/>
    <w:rsid w:val="61279092"/>
    <w:rsid w:val="6129B91A"/>
    <w:rsid w:val="612FF331"/>
    <w:rsid w:val="613223C1"/>
    <w:rsid w:val="6133BC92"/>
    <w:rsid w:val="6137458C"/>
    <w:rsid w:val="613CC974"/>
    <w:rsid w:val="613D144B"/>
    <w:rsid w:val="614ACFDF"/>
    <w:rsid w:val="614AD513"/>
    <w:rsid w:val="614EB53C"/>
    <w:rsid w:val="615061C4"/>
    <w:rsid w:val="615092C6"/>
    <w:rsid w:val="615104F9"/>
    <w:rsid w:val="61585F71"/>
    <w:rsid w:val="616BC46F"/>
    <w:rsid w:val="61767F53"/>
    <w:rsid w:val="61782BCC"/>
    <w:rsid w:val="6178BB26"/>
    <w:rsid w:val="617FE7C3"/>
    <w:rsid w:val="61800300"/>
    <w:rsid w:val="6189DADE"/>
    <w:rsid w:val="618A6669"/>
    <w:rsid w:val="618D2B3B"/>
    <w:rsid w:val="61928843"/>
    <w:rsid w:val="61959F2D"/>
    <w:rsid w:val="619859AE"/>
    <w:rsid w:val="619BFB54"/>
    <w:rsid w:val="619C2B02"/>
    <w:rsid w:val="619E9ED9"/>
    <w:rsid w:val="61A103A2"/>
    <w:rsid w:val="61A57D29"/>
    <w:rsid w:val="61AE3B14"/>
    <w:rsid w:val="61AFCC85"/>
    <w:rsid w:val="61B474DD"/>
    <w:rsid w:val="61C294EF"/>
    <w:rsid w:val="61C6F87A"/>
    <w:rsid w:val="61CB7A78"/>
    <w:rsid w:val="61DC3FA3"/>
    <w:rsid w:val="61E315E8"/>
    <w:rsid w:val="61E51C2B"/>
    <w:rsid w:val="61EF25E7"/>
    <w:rsid w:val="61F20B0B"/>
    <w:rsid w:val="61F21457"/>
    <w:rsid w:val="61FA544B"/>
    <w:rsid w:val="6200A58A"/>
    <w:rsid w:val="62019A5C"/>
    <w:rsid w:val="6204D841"/>
    <w:rsid w:val="62095798"/>
    <w:rsid w:val="6210BD93"/>
    <w:rsid w:val="62111D32"/>
    <w:rsid w:val="62148738"/>
    <w:rsid w:val="62161F27"/>
    <w:rsid w:val="621B5FE3"/>
    <w:rsid w:val="62285CE0"/>
    <w:rsid w:val="622C81C3"/>
    <w:rsid w:val="6231AC13"/>
    <w:rsid w:val="62326FEC"/>
    <w:rsid w:val="6239C070"/>
    <w:rsid w:val="62402002"/>
    <w:rsid w:val="6241E153"/>
    <w:rsid w:val="624540D8"/>
    <w:rsid w:val="62482F3E"/>
    <w:rsid w:val="624F61FE"/>
    <w:rsid w:val="6258586B"/>
    <w:rsid w:val="62645E6A"/>
    <w:rsid w:val="626C60AE"/>
    <w:rsid w:val="62722255"/>
    <w:rsid w:val="627513A5"/>
    <w:rsid w:val="6275E5F9"/>
    <w:rsid w:val="6282E4F9"/>
    <w:rsid w:val="6283D164"/>
    <w:rsid w:val="6285900D"/>
    <w:rsid w:val="6285C45A"/>
    <w:rsid w:val="628BCE89"/>
    <w:rsid w:val="6295D362"/>
    <w:rsid w:val="629BCC4F"/>
    <w:rsid w:val="629DD6E6"/>
    <w:rsid w:val="629FBE22"/>
    <w:rsid w:val="62A33D2D"/>
    <w:rsid w:val="62A39F9D"/>
    <w:rsid w:val="62A6324B"/>
    <w:rsid w:val="62A6EAE1"/>
    <w:rsid w:val="62AB4773"/>
    <w:rsid w:val="62AC759C"/>
    <w:rsid w:val="62AFC45C"/>
    <w:rsid w:val="62B05B5D"/>
    <w:rsid w:val="62BB2089"/>
    <w:rsid w:val="62BCA443"/>
    <w:rsid w:val="62BF5E81"/>
    <w:rsid w:val="62C2CA71"/>
    <w:rsid w:val="62CA40A1"/>
    <w:rsid w:val="62CA6319"/>
    <w:rsid w:val="62D01B65"/>
    <w:rsid w:val="62D3711B"/>
    <w:rsid w:val="62D8E004"/>
    <w:rsid w:val="62DF3CA6"/>
    <w:rsid w:val="62DFB197"/>
    <w:rsid w:val="62E0216E"/>
    <w:rsid w:val="62F41657"/>
    <w:rsid w:val="62F5879C"/>
    <w:rsid w:val="62F5E67F"/>
    <w:rsid w:val="62F89FCE"/>
    <w:rsid w:val="6300E36B"/>
    <w:rsid w:val="6302443E"/>
    <w:rsid w:val="630772F1"/>
    <w:rsid w:val="63116611"/>
    <w:rsid w:val="6326F1EC"/>
    <w:rsid w:val="63285F87"/>
    <w:rsid w:val="63288283"/>
    <w:rsid w:val="632DA006"/>
    <w:rsid w:val="633065C0"/>
    <w:rsid w:val="6331C0B7"/>
    <w:rsid w:val="63371A1F"/>
    <w:rsid w:val="6339B955"/>
    <w:rsid w:val="633A30E8"/>
    <w:rsid w:val="633F71D0"/>
    <w:rsid w:val="63417D8E"/>
    <w:rsid w:val="634518FE"/>
    <w:rsid w:val="634AE8BD"/>
    <w:rsid w:val="635AD66B"/>
    <w:rsid w:val="635E371B"/>
    <w:rsid w:val="6366C0C6"/>
    <w:rsid w:val="6368C7B1"/>
    <w:rsid w:val="636C49C1"/>
    <w:rsid w:val="636CF229"/>
    <w:rsid w:val="636D17A7"/>
    <w:rsid w:val="636E370C"/>
    <w:rsid w:val="636E6066"/>
    <w:rsid w:val="6370D471"/>
    <w:rsid w:val="6374037A"/>
    <w:rsid w:val="6374BA99"/>
    <w:rsid w:val="637D199D"/>
    <w:rsid w:val="637D4240"/>
    <w:rsid w:val="637E6D14"/>
    <w:rsid w:val="637FF229"/>
    <w:rsid w:val="63800EA9"/>
    <w:rsid w:val="6385606A"/>
    <w:rsid w:val="6388EF52"/>
    <w:rsid w:val="638B7D23"/>
    <w:rsid w:val="638BC13B"/>
    <w:rsid w:val="638C5C02"/>
    <w:rsid w:val="638D753D"/>
    <w:rsid w:val="63955108"/>
    <w:rsid w:val="639667B3"/>
    <w:rsid w:val="63A158A4"/>
    <w:rsid w:val="63A554D1"/>
    <w:rsid w:val="63A5F613"/>
    <w:rsid w:val="63A85008"/>
    <w:rsid w:val="63A98ADF"/>
    <w:rsid w:val="63B889CE"/>
    <w:rsid w:val="63BA2AF3"/>
    <w:rsid w:val="63BC3106"/>
    <w:rsid w:val="63C21A7F"/>
    <w:rsid w:val="63C24521"/>
    <w:rsid w:val="63C4D4B3"/>
    <w:rsid w:val="63C8DD4E"/>
    <w:rsid w:val="63CA5CAA"/>
    <w:rsid w:val="63D3C9C3"/>
    <w:rsid w:val="63D75CE9"/>
    <w:rsid w:val="63DA4D55"/>
    <w:rsid w:val="63DA90E1"/>
    <w:rsid w:val="63E7955C"/>
    <w:rsid w:val="63E7F0AD"/>
    <w:rsid w:val="63ED3CC8"/>
    <w:rsid w:val="63EFDBD8"/>
    <w:rsid w:val="63F10C52"/>
    <w:rsid w:val="63F1F228"/>
    <w:rsid w:val="63F3CAEF"/>
    <w:rsid w:val="63FD0DC8"/>
    <w:rsid w:val="63FE97DB"/>
    <w:rsid w:val="64009545"/>
    <w:rsid w:val="6400D447"/>
    <w:rsid w:val="64033667"/>
    <w:rsid w:val="640A69E4"/>
    <w:rsid w:val="64112E5D"/>
    <w:rsid w:val="6412EFD6"/>
    <w:rsid w:val="64150922"/>
    <w:rsid w:val="641A3F13"/>
    <w:rsid w:val="641C6DE1"/>
    <w:rsid w:val="641E45D1"/>
    <w:rsid w:val="6426D7D9"/>
    <w:rsid w:val="64278BC8"/>
    <w:rsid w:val="6429A0E6"/>
    <w:rsid w:val="6440B91F"/>
    <w:rsid w:val="6440CC5A"/>
    <w:rsid w:val="64428A97"/>
    <w:rsid w:val="6443F48E"/>
    <w:rsid w:val="6451294F"/>
    <w:rsid w:val="6454D8CE"/>
    <w:rsid w:val="64578490"/>
    <w:rsid w:val="6459EC86"/>
    <w:rsid w:val="645DA2CE"/>
    <w:rsid w:val="645E0985"/>
    <w:rsid w:val="6461DA83"/>
    <w:rsid w:val="6463B03C"/>
    <w:rsid w:val="6463B64A"/>
    <w:rsid w:val="6466D0BA"/>
    <w:rsid w:val="6468204D"/>
    <w:rsid w:val="646E547B"/>
    <w:rsid w:val="6474565A"/>
    <w:rsid w:val="64783F3C"/>
    <w:rsid w:val="647DCD37"/>
    <w:rsid w:val="647E55D7"/>
    <w:rsid w:val="64809778"/>
    <w:rsid w:val="64864A5D"/>
    <w:rsid w:val="648B552E"/>
    <w:rsid w:val="649BA452"/>
    <w:rsid w:val="649BFF8D"/>
    <w:rsid w:val="649CD1CC"/>
    <w:rsid w:val="649DA5ED"/>
    <w:rsid w:val="64A509A7"/>
    <w:rsid w:val="64AD0811"/>
    <w:rsid w:val="64ADA63F"/>
    <w:rsid w:val="64B420FD"/>
    <w:rsid w:val="64BA0582"/>
    <w:rsid w:val="64BBF109"/>
    <w:rsid w:val="64BC25A8"/>
    <w:rsid w:val="64C81961"/>
    <w:rsid w:val="64CE3367"/>
    <w:rsid w:val="64D379B4"/>
    <w:rsid w:val="64D56D3F"/>
    <w:rsid w:val="64DB269F"/>
    <w:rsid w:val="64DBAD3B"/>
    <w:rsid w:val="64E159D0"/>
    <w:rsid w:val="64E22E33"/>
    <w:rsid w:val="64E5D633"/>
    <w:rsid w:val="64E83E33"/>
    <w:rsid w:val="64E9606E"/>
    <w:rsid w:val="64EBF170"/>
    <w:rsid w:val="64F2310B"/>
    <w:rsid w:val="64F23CFA"/>
    <w:rsid w:val="64F3DFC3"/>
    <w:rsid w:val="64FCC78A"/>
    <w:rsid w:val="64FEEDB9"/>
    <w:rsid w:val="64FFD3FD"/>
    <w:rsid w:val="6500721B"/>
    <w:rsid w:val="65034041"/>
    <w:rsid w:val="6503B2E3"/>
    <w:rsid w:val="650FAE70"/>
    <w:rsid w:val="65132AE3"/>
    <w:rsid w:val="651476A0"/>
    <w:rsid w:val="6514A6EB"/>
    <w:rsid w:val="651B9638"/>
    <w:rsid w:val="651FC36B"/>
    <w:rsid w:val="652033B5"/>
    <w:rsid w:val="65263EF0"/>
    <w:rsid w:val="652701D1"/>
    <w:rsid w:val="653024E3"/>
    <w:rsid w:val="6537FD18"/>
    <w:rsid w:val="6538C530"/>
    <w:rsid w:val="653A4796"/>
    <w:rsid w:val="653B2760"/>
    <w:rsid w:val="6543D575"/>
    <w:rsid w:val="65486EFC"/>
    <w:rsid w:val="654E672E"/>
    <w:rsid w:val="6556879C"/>
    <w:rsid w:val="6556D09C"/>
    <w:rsid w:val="6558475F"/>
    <w:rsid w:val="6558A3F4"/>
    <w:rsid w:val="655F0375"/>
    <w:rsid w:val="65785616"/>
    <w:rsid w:val="657D75EB"/>
    <w:rsid w:val="65823BD6"/>
    <w:rsid w:val="6582D5EC"/>
    <w:rsid w:val="6583B98B"/>
    <w:rsid w:val="658A371B"/>
    <w:rsid w:val="658ED271"/>
    <w:rsid w:val="65920362"/>
    <w:rsid w:val="65945E99"/>
    <w:rsid w:val="659A35A0"/>
    <w:rsid w:val="65A29C15"/>
    <w:rsid w:val="65A30A68"/>
    <w:rsid w:val="65A3D137"/>
    <w:rsid w:val="65B38C30"/>
    <w:rsid w:val="65B3F15E"/>
    <w:rsid w:val="65C1EBCC"/>
    <w:rsid w:val="65C2077F"/>
    <w:rsid w:val="65C27447"/>
    <w:rsid w:val="65CC5A76"/>
    <w:rsid w:val="65CD2AF1"/>
    <w:rsid w:val="65D46F82"/>
    <w:rsid w:val="65D78350"/>
    <w:rsid w:val="65DA54C4"/>
    <w:rsid w:val="65DB73E8"/>
    <w:rsid w:val="65E86331"/>
    <w:rsid w:val="65E88013"/>
    <w:rsid w:val="65E912C3"/>
    <w:rsid w:val="65EA00A9"/>
    <w:rsid w:val="65ED6E9F"/>
    <w:rsid w:val="65ED6EB5"/>
    <w:rsid w:val="65EE900C"/>
    <w:rsid w:val="65F1BD5A"/>
    <w:rsid w:val="65F39DCD"/>
    <w:rsid w:val="65F3E770"/>
    <w:rsid w:val="65F5C478"/>
    <w:rsid w:val="65FC6EFB"/>
    <w:rsid w:val="66019698"/>
    <w:rsid w:val="66047D93"/>
    <w:rsid w:val="66060102"/>
    <w:rsid w:val="6611E0FE"/>
    <w:rsid w:val="661BD3A6"/>
    <w:rsid w:val="661EE647"/>
    <w:rsid w:val="6621FE38"/>
    <w:rsid w:val="6629D03A"/>
    <w:rsid w:val="6636D3FA"/>
    <w:rsid w:val="663787FF"/>
    <w:rsid w:val="663B934F"/>
    <w:rsid w:val="663D45C4"/>
    <w:rsid w:val="664403C1"/>
    <w:rsid w:val="664932DE"/>
    <w:rsid w:val="664C3DFA"/>
    <w:rsid w:val="664E0C68"/>
    <w:rsid w:val="66536A1D"/>
    <w:rsid w:val="6653FE4F"/>
    <w:rsid w:val="66556C72"/>
    <w:rsid w:val="66569C9A"/>
    <w:rsid w:val="6660951B"/>
    <w:rsid w:val="6664DBD9"/>
    <w:rsid w:val="6667205E"/>
    <w:rsid w:val="6670B0B1"/>
    <w:rsid w:val="6672B30A"/>
    <w:rsid w:val="66755427"/>
    <w:rsid w:val="66773CB7"/>
    <w:rsid w:val="667A0A08"/>
    <w:rsid w:val="667A4841"/>
    <w:rsid w:val="667BF02B"/>
    <w:rsid w:val="667FD37C"/>
    <w:rsid w:val="6682548F"/>
    <w:rsid w:val="668A7EB7"/>
    <w:rsid w:val="668CD4AC"/>
    <w:rsid w:val="66906268"/>
    <w:rsid w:val="6692DA8B"/>
    <w:rsid w:val="669F8918"/>
    <w:rsid w:val="66A98C08"/>
    <w:rsid w:val="66AD941E"/>
    <w:rsid w:val="66B5C967"/>
    <w:rsid w:val="66BA4E2E"/>
    <w:rsid w:val="66BBB456"/>
    <w:rsid w:val="66BF4AD1"/>
    <w:rsid w:val="66C5669B"/>
    <w:rsid w:val="66C5DC75"/>
    <w:rsid w:val="66C622C9"/>
    <w:rsid w:val="66C9BA44"/>
    <w:rsid w:val="66CB9275"/>
    <w:rsid w:val="66D278D2"/>
    <w:rsid w:val="66D339BF"/>
    <w:rsid w:val="66D35407"/>
    <w:rsid w:val="66D98887"/>
    <w:rsid w:val="66DE1533"/>
    <w:rsid w:val="66E485AC"/>
    <w:rsid w:val="66E51CDF"/>
    <w:rsid w:val="66EB031A"/>
    <w:rsid w:val="66F119CA"/>
    <w:rsid w:val="66F198B0"/>
    <w:rsid w:val="66F39728"/>
    <w:rsid w:val="66F40875"/>
    <w:rsid w:val="670059BE"/>
    <w:rsid w:val="67014A74"/>
    <w:rsid w:val="6703A062"/>
    <w:rsid w:val="670BAC63"/>
    <w:rsid w:val="670BF097"/>
    <w:rsid w:val="6713360E"/>
    <w:rsid w:val="671437F2"/>
    <w:rsid w:val="6717B843"/>
    <w:rsid w:val="6718EF0A"/>
    <w:rsid w:val="6725A327"/>
    <w:rsid w:val="6726D6DC"/>
    <w:rsid w:val="67270130"/>
    <w:rsid w:val="672E393D"/>
    <w:rsid w:val="672F95A1"/>
    <w:rsid w:val="67305B1C"/>
    <w:rsid w:val="673A3D1C"/>
    <w:rsid w:val="673B96B9"/>
    <w:rsid w:val="673BDC88"/>
    <w:rsid w:val="673DE3A6"/>
    <w:rsid w:val="673EE964"/>
    <w:rsid w:val="673F415E"/>
    <w:rsid w:val="6748CDA3"/>
    <w:rsid w:val="6749EEBA"/>
    <w:rsid w:val="674DE67C"/>
    <w:rsid w:val="6750490D"/>
    <w:rsid w:val="67505838"/>
    <w:rsid w:val="6752CE3A"/>
    <w:rsid w:val="67565736"/>
    <w:rsid w:val="67582AA4"/>
    <w:rsid w:val="675CAFB0"/>
    <w:rsid w:val="675F633C"/>
    <w:rsid w:val="67626E51"/>
    <w:rsid w:val="6772F939"/>
    <w:rsid w:val="67730009"/>
    <w:rsid w:val="677447CC"/>
    <w:rsid w:val="677EFE8E"/>
    <w:rsid w:val="678F3527"/>
    <w:rsid w:val="6799EF30"/>
    <w:rsid w:val="679A1DA2"/>
    <w:rsid w:val="679AB2E1"/>
    <w:rsid w:val="679CD995"/>
    <w:rsid w:val="67A2183E"/>
    <w:rsid w:val="67A46809"/>
    <w:rsid w:val="67A57D9C"/>
    <w:rsid w:val="67AB1874"/>
    <w:rsid w:val="67AD6E56"/>
    <w:rsid w:val="67AFB960"/>
    <w:rsid w:val="67B420D6"/>
    <w:rsid w:val="67B9C491"/>
    <w:rsid w:val="67BDDDC2"/>
    <w:rsid w:val="67C1772E"/>
    <w:rsid w:val="67C1AA0D"/>
    <w:rsid w:val="67C5AA8E"/>
    <w:rsid w:val="67CC9CFA"/>
    <w:rsid w:val="67D1159C"/>
    <w:rsid w:val="67D42152"/>
    <w:rsid w:val="67DA4BC0"/>
    <w:rsid w:val="67DE3F41"/>
    <w:rsid w:val="67EE19C3"/>
    <w:rsid w:val="67F2F0F2"/>
    <w:rsid w:val="67F67895"/>
    <w:rsid w:val="67F7AE56"/>
    <w:rsid w:val="67FBCF19"/>
    <w:rsid w:val="68020286"/>
    <w:rsid w:val="6804216A"/>
    <w:rsid w:val="68070252"/>
    <w:rsid w:val="68123678"/>
    <w:rsid w:val="6812C666"/>
    <w:rsid w:val="6813A8EE"/>
    <w:rsid w:val="681A5ABA"/>
    <w:rsid w:val="681C2040"/>
    <w:rsid w:val="681D0A31"/>
    <w:rsid w:val="681D65B8"/>
    <w:rsid w:val="681EFD1A"/>
    <w:rsid w:val="6824D14E"/>
    <w:rsid w:val="682C5F0F"/>
    <w:rsid w:val="682DD540"/>
    <w:rsid w:val="682EAF6F"/>
    <w:rsid w:val="6831F128"/>
    <w:rsid w:val="6832E8A6"/>
    <w:rsid w:val="6833F830"/>
    <w:rsid w:val="68393D9D"/>
    <w:rsid w:val="683A39F5"/>
    <w:rsid w:val="683B7A8E"/>
    <w:rsid w:val="683ED9E0"/>
    <w:rsid w:val="6849F949"/>
    <w:rsid w:val="684EFE8A"/>
    <w:rsid w:val="6853458A"/>
    <w:rsid w:val="6854C761"/>
    <w:rsid w:val="685A8217"/>
    <w:rsid w:val="685BA49D"/>
    <w:rsid w:val="685E0409"/>
    <w:rsid w:val="686381D6"/>
    <w:rsid w:val="68737B60"/>
    <w:rsid w:val="687D2990"/>
    <w:rsid w:val="687D3517"/>
    <w:rsid w:val="687EF187"/>
    <w:rsid w:val="6884FC4F"/>
    <w:rsid w:val="6889632C"/>
    <w:rsid w:val="688FB777"/>
    <w:rsid w:val="6895AA5B"/>
    <w:rsid w:val="689678F8"/>
    <w:rsid w:val="689D0DCB"/>
    <w:rsid w:val="68A39F1E"/>
    <w:rsid w:val="68A4C145"/>
    <w:rsid w:val="68A8385D"/>
    <w:rsid w:val="68A95B76"/>
    <w:rsid w:val="68ACC4F3"/>
    <w:rsid w:val="68AEFC8A"/>
    <w:rsid w:val="68AF3B10"/>
    <w:rsid w:val="68B0F662"/>
    <w:rsid w:val="68B19900"/>
    <w:rsid w:val="68B51C3D"/>
    <w:rsid w:val="68B74B71"/>
    <w:rsid w:val="68B788EF"/>
    <w:rsid w:val="68BBF352"/>
    <w:rsid w:val="68C1B533"/>
    <w:rsid w:val="68C2A78B"/>
    <w:rsid w:val="68C38B3A"/>
    <w:rsid w:val="68C540CF"/>
    <w:rsid w:val="68C66BC1"/>
    <w:rsid w:val="68C7AFBB"/>
    <w:rsid w:val="68CAE03B"/>
    <w:rsid w:val="68D0DA25"/>
    <w:rsid w:val="68D49363"/>
    <w:rsid w:val="68D77C7B"/>
    <w:rsid w:val="68DD9EAC"/>
    <w:rsid w:val="68DE4D20"/>
    <w:rsid w:val="68DEC477"/>
    <w:rsid w:val="68E1668A"/>
    <w:rsid w:val="68E9DFC9"/>
    <w:rsid w:val="68EB9C81"/>
    <w:rsid w:val="68F18E04"/>
    <w:rsid w:val="68F4830D"/>
    <w:rsid w:val="68F66D5D"/>
    <w:rsid w:val="68FDD26B"/>
    <w:rsid w:val="68FFC25F"/>
    <w:rsid w:val="6905031C"/>
    <w:rsid w:val="690618E8"/>
    <w:rsid w:val="690866CB"/>
    <w:rsid w:val="690FB9D0"/>
    <w:rsid w:val="691589EC"/>
    <w:rsid w:val="6919CC66"/>
    <w:rsid w:val="691A7F49"/>
    <w:rsid w:val="691BD1F3"/>
    <w:rsid w:val="691E5816"/>
    <w:rsid w:val="69206C75"/>
    <w:rsid w:val="6925A9ED"/>
    <w:rsid w:val="69266480"/>
    <w:rsid w:val="692B5472"/>
    <w:rsid w:val="692B9F62"/>
    <w:rsid w:val="692DAE57"/>
    <w:rsid w:val="692E3C65"/>
    <w:rsid w:val="693F1B6E"/>
    <w:rsid w:val="693FAB33"/>
    <w:rsid w:val="694112EB"/>
    <w:rsid w:val="694BA054"/>
    <w:rsid w:val="694E503B"/>
    <w:rsid w:val="6952F221"/>
    <w:rsid w:val="69567215"/>
    <w:rsid w:val="6959D5CE"/>
    <w:rsid w:val="695DD299"/>
    <w:rsid w:val="69617397"/>
    <w:rsid w:val="696992E3"/>
    <w:rsid w:val="696A97B1"/>
    <w:rsid w:val="69701BB7"/>
    <w:rsid w:val="6973E60E"/>
    <w:rsid w:val="69828488"/>
    <w:rsid w:val="69865DA3"/>
    <w:rsid w:val="69868E8F"/>
    <w:rsid w:val="698A90FB"/>
    <w:rsid w:val="69908168"/>
    <w:rsid w:val="699CDB08"/>
    <w:rsid w:val="69A6DFFA"/>
    <w:rsid w:val="69AB142A"/>
    <w:rsid w:val="69AE49D9"/>
    <w:rsid w:val="69AF77FA"/>
    <w:rsid w:val="69AFE6C0"/>
    <w:rsid w:val="69B3A468"/>
    <w:rsid w:val="69B407B9"/>
    <w:rsid w:val="69C27657"/>
    <w:rsid w:val="69C2B7FF"/>
    <w:rsid w:val="69C92726"/>
    <w:rsid w:val="69C9CF97"/>
    <w:rsid w:val="69CD0965"/>
    <w:rsid w:val="69D48D5C"/>
    <w:rsid w:val="69D8D147"/>
    <w:rsid w:val="69DB6EB8"/>
    <w:rsid w:val="69DEDB06"/>
    <w:rsid w:val="69E195CA"/>
    <w:rsid w:val="69E60BC9"/>
    <w:rsid w:val="69EB7023"/>
    <w:rsid w:val="69F12314"/>
    <w:rsid w:val="69F29189"/>
    <w:rsid w:val="69F37C3E"/>
    <w:rsid w:val="69F5F40A"/>
    <w:rsid w:val="69FC8FDB"/>
    <w:rsid w:val="69FD5604"/>
    <w:rsid w:val="6A05730B"/>
    <w:rsid w:val="6A0F3AE3"/>
    <w:rsid w:val="6A152EE4"/>
    <w:rsid w:val="6A154587"/>
    <w:rsid w:val="6A16EAFE"/>
    <w:rsid w:val="6A1CCA52"/>
    <w:rsid w:val="6A1D03F7"/>
    <w:rsid w:val="6A20D9B7"/>
    <w:rsid w:val="6A242FCD"/>
    <w:rsid w:val="6A2C3BA9"/>
    <w:rsid w:val="6A390F76"/>
    <w:rsid w:val="6A3ED619"/>
    <w:rsid w:val="6A55E399"/>
    <w:rsid w:val="6A598EFE"/>
    <w:rsid w:val="6A5BAA66"/>
    <w:rsid w:val="6A661EA1"/>
    <w:rsid w:val="6A69BB0A"/>
    <w:rsid w:val="6A6FE2CF"/>
    <w:rsid w:val="6A7C95BF"/>
    <w:rsid w:val="6A83D0A2"/>
    <w:rsid w:val="6A845E8A"/>
    <w:rsid w:val="6A8CD684"/>
    <w:rsid w:val="6A933A68"/>
    <w:rsid w:val="6A9365C1"/>
    <w:rsid w:val="6A99FA68"/>
    <w:rsid w:val="6A9A3C27"/>
    <w:rsid w:val="6A9EA10F"/>
    <w:rsid w:val="6AA61C05"/>
    <w:rsid w:val="6AA6F379"/>
    <w:rsid w:val="6AA77EE3"/>
    <w:rsid w:val="6AAAEA5E"/>
    <w:rsid w:val="6AABAA1F"/>
    <w:rsid w:val="6AB47384"/>
    <w:rsid w:val="6ABBA47E"/>
    <w:rsid w:val="6ABF566E"/>
    <w:rsid w:val="6AC39E4B"/>
    <w:rsid w:val="6AC42A2C"/>
    <w:rsid w:val="6ACA9F1D"/>
    <w:rsid w:val="6AD0E320"/>
    <w:rsid w:val="6AD53BD6"/>
    <w:rsid w:val="6AD76B21"/>
    <w:rsid w:val="6ADF7A16"/>
    <w:rsid w:val="6AE15525"/>
    <w:rsid w:val="6AE41EE6"/>
    <w:rsid w:val="6AE75DAA"/>
    <w:rsid w:val="6AEF8D9B"/>
    <w:rsid w:val="6AFB11C6"/>
    <w:rsid w:val="6AFB5E2F"/>
    <w:rsid w:val="6AFCC55C"/>
    <w:rsid w:val="6AFEF7A9"/>
    <w:rsid w:val="6B03BD42"/>
    <w:rsid w:val="6B07C905"/>
    <w:rsid w:val="6B0BB2CB"/>
    <w:rsid w:val="6B1042DE"/>
    <w:rsid w:val="6B12FB18"/>
    <w:rsid w:val="6B17A5BC"/>
    <w:rsid w:val="6B1AF3A4"/>
    <w:rsid w:val="6B1CFFAD"/>
    <w:rsid w:val="6B22EB63"/>
    <w:rsid w:val="6B248C04"/>
    <w:rsid w:val="6B2B36E4"/>
    <w:rsid w:val="6B338303"/>
    <w:rsid w:val="6B35F421"/>
    <w:rsid w:val="6B3A0183"/>
    <w:rsid w:val="6B3C225D"/>
    <w:rsid w:val="6B3CD80D"/>
    <w:rsid w:val="6B3E1CBF"/>
    <w:rsid w:val="6B49512A"/>
    <w:rsid w:val="6B4B332B"/>
    <w:rsid w:val="6B4DBB26"/>
    <w:rsid w:val="6B50F63B"/>
    <w:rsid w:val="6B532BB1"/>
    <w:rsid w:val="6B55F07D"/>
    <w:rsid w:val="6B62E011"/>
    <w:rsid w:val="6B6B017A"/>
    <w:rsid w:val="6B6C4649"/>
    <w:rsid w:val="6B6D82C1"/>
    <w:rsid w:val="6B73A24F"/>
    <w:rsid w:val="6B7E80D0"/>
    <w:rsid w:val="6B8A0C5E"/>
    <w:rsid w:val="6B8DC057"/>
    <w:rsid w:val="6B8DCBB5"/>
    <w:rsid w:val="6B9565DE"/>
    <w:rsid w:val="6B98F166"/>
    <w:rsid w:val="6B9ADDAD"/>
    <w:rsid w:val="6B9BB9DE"/>
    <w:rsid w:val="6B9E8B2F"/>
    <w:rsid w:val="6BA3808D"/>
    <w:rsid w:val="6BA3B049"/>
    <w:rsid w:val="6BA576F3"/>
    <w:rsid w:val="6BB00719"/>
    <w:rsid w:val="6BB03572"/>
    <w:rsid w:val="6BB86CA9"/>
    <w:rsid w:val="6BCAEEC9"/>
    <w:rsid w:val="6BD05044"/>
    <w:rsid w:val="6BD19BB7"/>
    <w:rsid w:val="6BD1C687"/>
    <w:rsid w:val="6BD45DC7"/>
    <w:rsid w:val="6BD4E6A6"/>
    <w:rsid w:val="6BD7ED89"/>
    <w:rsid w:val="6BD8862F"/>
    <w:rsid w:val="6BD968C2"/>
    <w:rsid w:val="6BDC5310"/>
    <w:rsid w:val="6BDCB35C"/>
    <w:rsid w:val="6BE01F43"/>
    <w:rsid w:val="6BE073D9"/>
    <w:rsid w:val="6BE0DEFD"/>
    <w:rsid w:val="6BE1BF5B"/>
    <w:rsid w:val="6BE5DE10"/>
    <w:rsid w:val="6BF587A8"/>
    <w:rsid w:val="6C084DBF"/>
    <w:rsid w:val="6C096084"/>
    <w:rsid w:val="6C15F054"/>
    <w:rsid w:val="6C1A0879"/>
    <w:rsid w:val="6C30D402"/>
    <w:rsid w:val="6C327C9C"/>
    <w:rsid w:val="6C394C6E"/>
    <w:rsid w:val="6C3D0058"/>
    <w:rsid w:val="6C468F2C"/>
    <w:rsid w:val="6C51CC75"/>
    <w:rsid w:val="6C53B2F4"/>
    <w:rsid w:val="6C53CE02"/>
    <w:rsid w:val="6C5D2C53"/>
    <w:rsid w:val="6C67D8AE"/>
    <w:rsid w:val="6C6BEFFB"/>
    <w:rsid w:val="6C6C6DF5"/>
    <w:rsid w:val="6C716FAB"/>
    <w:rsid w:val="6C764E39"/>
    <w:rsid w:val="6C78E43C"/>
    <w:rsid w:val="6C790DC5"/>
    <w:rsid w:val="6C7DEFED"/>
    <w:rsid w:val="6C8104AC"/>
    <w:rsid w:val="6C9351E7"/>
    <w:rsid w:val="6C944E7D"/>
    <w:rsid w:val="6C9615FA"/>
    <w:rsid w:val="6C97B4B4"/>
    <w:rsid w:val="6C9FCEBC"/>
    <w:rsid w:val="6CA3F2D0"/>
    <w:rsid w:val="6CA4A759"/>
    <w:rsid w:val="6CA539C1"/>
    <w:rsid w:val="6CB1C68E"/>
    <w:rsid w:val="6CB26AF9"/>
    <w:rsid w:val="6CB3C54B"/>
    <w:rsid w:val="6CB5EA91"/>
    <w:rsid w:val="6CB608E6"/>
    <w:rsid w:val="6CB8D49C"/>
    <w:rsid w:val="6CBC2153"/>
    <w:rsid w:val="6CC27F6A"/>
    <w:rsid w:val="6CC9109C"/>
    <w:rsid w:val="6CCA162C"/>
    <w:rsid w:val="6CD78EC4"/>
    <w:rsid w:val="6CDF4509"/>
    <w:rsid w:val="6CE380E1"/>
    <w:rsid w:val="6CEFA80A"/>
    <w:rsid w:val="6CF173EE"/>
    <w:rsid w:val="6CF58259"/>
    <w:rsid w:val="6CF71BF7"/>
    <w:rsid w:val="6D00AD16"/>
    <w:rsid w:val="6D06E3F9"/>
    <w:rsid w:val="6D100676"/>
    <w:rsid w:val="6D1CA624"/>
    <w:rsid w:val="6D1DD734"/>
    <w:rsid w:val="6D23F2B4"/>
    <w:rsid w:val="6D26E798"/>
    <w:rsid w:val="6D2B6690"/>
    <w:rsid w:val="6D311AB6"/>
    <w:rsid w:val="6D364BFF"/>
    <w:rsid w:val="6D374F29"/>
    <w:rsid w:val="6D3A4431"/>
    <w:rsid w:val="6D3C2626"/>
    <w:rsid w:val="6D42DE28"/>
    <w:rsid w:val="6D4A3FC5"/>
    <w:rsid w:val="6D4D1037"/>
    <w:rsid w:val="6D578F79"/>
    <w:rsid w:val="6D5C29BF"/>
    <w:rsid w:val="6D5DA3C7"/>
    <w:rsid w:val="6D62F682"/>
    <w:rsid w:val="6D62FCEF"/>
    <w:rsid w:val="6D65C7FC"/>
    <w:rsid w:val="6D6685B5"/>
    <w:rsid w:val="6D77E5E9"/>
    <w:rsid w:val="6D77E6F8"/>
    <w:rsid w:val="6D7AC534"/>
    <w:rsid w:val="6D7B305D"/>
    <w:rsid w:val="6D806CCE"/>
    <w:rsid w:val="6D816320"/>
    <w:rsid w:val="6D81A704"/>
    <w:rsid w:val="6D87F669"/>
    <w:rsid w:val="6D886001"/>
    <w:rsid w:val="6D9696A3"/>
    <w:rsid w:val="6D9788A6"/>
    <w:rsid w:val="6D9DE56A"/>
    <w:rsid w:val="6DA44D4D"/>
    <w:rsid w:val="6DA6777D"/>
    <w:rsid w:val="6DB321D6"/>
    <w:rsid w:val="6DB64742"/>
    <w:rsid w:val="6DB6A107"/>
    <w:rsid w:val="6DB88A72"/>
    <w:rsid w:val="6DBB689F"/>
    <w:rsid w:val="6DC2B925"/>
    <w:rsid w:val="6DC7D491"/>
    <w:rsid w:val="6DCB1DD1"/>
    <w:rsid w:val="6DCB49BB"/>
    <w:rsid w:val="6DCB7281"/>
    <w:rsid w:val="6DCE49E7"/>
    <w:rsid w:val="6DD79973"/>
    <w:rsid w:val="6DDAEF2A"/>
    <w:rsid w:val="6DDDF733"/>
    <w:rsid w:val="6DE0933E"/>
    <w:rsid w:val="6DE26D75"/>
    <w:rsid w:val="6DEB3BB1"/>
    <w:rsid w:val="6DF1C86E"/>
    <w:rsid w:val="6DF512AA"/>
    <w:rsid w:val="6E002F77"/>
    <w:rsid w:val="6E03F47F"/>
    <w:rsid w:val="6E05FE0C"/>
    <w:rsid w:val="6E0A00E0"/>
    <w:rsid w:val="6E1EB854"/>
    <w:rsid w:val="6E1ED9C4"/>
    <w:rsid w:val="6E1F31E5"/>
    <w:rsid w:val="6E20DB22"/>
    <w:rsid w:val="6E251455"/>
    <w:rsid w:val="6E2648B7"/>
    <w:rsid w:val="6E27B0FD"/>
    <w:rsid w:val="6E41F0F9"/>
    <w:rsid w:val="6E42C1C7"/>
    <w:rsid w:val="6E4C138B"/>
    <w:rsid w:val="6E4CD722"/>
    <w:rsid w:val="6E500778"/>
    <w:rsid w:val="6E52A827"/>
    <w:rsid w:val="6E546C46"/>
    <w:rsid w:val="6E68CCC0"/>
    <w:rsid w:val="6E69DA1A"/>
    <w:rsid w:val="6E6A03E8"/>
    <w:rsid w:val="6E6E0EB8"/>
    <w:rsid w:val="6E7E7822"/>
    <w:rsid w:val="6E80856F"/>
    <w:rsid w:val="6E8B423B"/>
    <w:rsid w:val="6E90EC92"/>
    <w:rsid w:val="6E91B41E"/>
    <w:rsid w:val="6E92D893"/>
    <w:rsid w:val="6E943253"/>
    <w:rsid w:val="6E94B9E9"/>
    <w:rsid w:val="6E962309"/>
    <w:rsid w:val="6E9F88C8"/>
    <w:rsid w:val="6EA54F64"/>
    <w:rsid w:val="6EA58092"/>
    <w:rsid w:val="6EA990E2"/>
    <w:rsid w:val="6EAFEF1E"/>
    <w:rsid w:val="6EB469F0"/>
    <w:rsid w:val="6EB73301"/>
    <w:rsid w:val="6EB9DB53"/>
    <w:rsid w:val="6EBB0896"/>
    <w:rsid w:val="6EC0630A"/>
    <w:rsid w:val="6EC2CC9E"/>
    <w:rsid w:val="6EC68515"/>
    <w:rsid w:val="6ECAB59D"/>
    <w:rsid w:val="6ECBFEE7"/>
    <w:rsid w:val="6ECDCB95"/>
    <w:rsid w:val="6ECDD017"/>
    <w:rsid w:val="6ED5888E"/>
    <w:rsid w:val="6ED72890"/>
    <w:rsid w:val="6ED8BC86"/>
    <w:rsid w:val="6EDA9251"/>
    <w:rsid w:val="6EDAA4FE"/>
    <w:rsid w:val="6EDBF82E"/>
    <w:rsid w:val="6EE13EE1"/>
    <w:rsid w:val="6EE2EAE2"/>
    <w:rsid w:val="6EE383D1"/>
    <w:rsid w:val="6EE45F1E"/>
    <w:rsid w:val="6EE8BFFF"/>
    <w:rsid w:val="6EE99A76"/>
    <w:rsid w:val="6EEB7D5D"/>
    <w:rsid w:val="6EEFC384"/>
    <w:rsid w:val="6EF7573F"/>
    <w:rsid w:val="6EF96FD7"/>
    <w:rsid w:val="6F04B35B"/>
    <w:rsid w:val="6F0A1C7F"/>
    <w:rsid w:val="6F166371"/>
    <w:rsid w:val="6F168527"/>
    <w:rsid w:val="6F16EC1C"/>
    <w:rsid w:val="6F1BF0E5"/>
    <w:rsid w:val="6F1DD15B"/>
    <w:rsid w:val="6F24E62F"/>
    <w:rsid w:val="6F25FF12"/>
    <w:rsid w:val="6F2BA082"/>
    <w:rsid w:val="6F3479C2"/>
    <w:rsid w:val="6F357B0C"/>
    <w:rsid w:val="6F37E681"/>
    <w:rsid w:val="6F41BAC3"/>
    <w:rsid w:val="6F485094"/>
    <w:rsid w:val="6F4A90A7"/>
    <w:rsid w:val="6F50FD24"/>
    <w:rsid w:val="6F542C60"/>
    <w:rsid w:val="6F5547EF"/>
    <w:rsid w:val="6F567143"/>
    <w:rsid w:val="6F5B1748"/>
    <w:rsid w:val="6F5C1484"/>
    <w:rsid w:val="6F5D09CF"/>
    <w:rsid w:val="6F5F68E5"/>
    <w:rsid w:val="6F61894C"/>
    <w:rsid w:val="6F628BAB"/>
    <w:rsid w:val="6F672F9F"/>
    <w:rsid w:val="6F6A52D8"/>
    <w:rsid w:val="6F74B3CE"/>
    <w:rsid w:val="6F74DB06"/>
    <w:rsid w:val="6F753B53"/>
    <w:rsid w:val="6F784669"/>
    <w:rsid w:val="6F7A21B8"/>
    <w:rsid w:val="6F84FD74"/>
    <w:rsid w:val="6F898486"/>
    <w:rsid w:val="6F8BAE05"/>
    <w:rsid w:val="6F8CF1DD"/>
    <w:rsid w:val="6F8D6A4E"/>
    <w:rsid w:val="6F9ACD52"/>
    <w:rsid w:val="6F9D1E74"/>
    <w:rsid w:val="6F9D7BB4"/>
    <w:rsid w:val="6FA301CF"/>
    <w:rsid w:val="6FA31C85"/>
    <w:rsid w:val="6FA67413"/>
    <w:rsid w:val="6FAA9774"/>
    <w:rsid w:val="6FB30EFA"/>
    <w:rsid w:val="6FB70FCC"/>
    <w:rsid w:val="6FB962D4"/>
    <w:rsid w:val="6FBF0C17"/>
    <w:rsid w:val="6FC3779F"/>
    <w:rsid w:val="6FC8A8D7"/>
    <w:rsid w:val="6FC9EC4C"/>
    <w:rsid w:val="6FCE8B43"/>
    <w:rsid w:val="6FCF965C"/>
    <w:rsid w:val="6FD11574"/>
    <w:rsid w:val="6FD23515"/>
    <w:rsid w:val="6FDA743E"/>
    <w:rsid w:val="6FDDD69F"/>
    <w:rsid w:val="6FDE0CDC"/>
    <w:rsid w:val="6FE7E7AD"/>
    <w:rsid w:val="6FEAFC35"/>
    <w:rsid w:val="6FEDBFDC"/>
    <w:rsid w:val="6FEFAFF7"/>
    <w:rsid w:val="6FF026FB"/>
    <w:rsid w:val="6FF25346"/>
    <w:rsid w:val="6FF4BE0A"/>
    <w:rsid w:val="6FF4FF44"/>
    <w:rsid w:val="6FF56739"/>
    <w:rsid w:val="6FFAF9B0"/>
    <w:rsid w:val="6FFD2E63"/>
    <w:rsid w:val="70060C5B"/>
    <w:rsid w:val="7006DE7A"/>
    <w:rsid w:val="7009915D"/>
    <w:rsid w:val="700F4E94"/>
    <w:rsid w:val="70151859"/>
    <w:rsid w:val="701671C0"/>
    <w:rsid w:val="7026002D"/>
    <w:rsid w:val="70277A33"/>
    <w:rsid w:val="702ACF60"/>
    <w:rsid w:val="703272AD"/>
    <w:rsid w:val="70386CBA"/>
    <w:rsid w:val="70438955"/>
    <w:rsid w:val="7046779E"/>
    <w:rsid w:val="704693CE"/>
    <w:rsid w:val="704A4C90"/>
    <w:rsid w:val="7057CD53"/>
    <w:rsid w:val="705A53C1"/>
    <w:rsid w:val="705C931D"/>
    <w:rsid w:val="705E1DE9"/>
    <w:rsid w:val="705F0428"/>
    <w:rsid w:val="7060091D"/>
    <w:rsid w:val="70602E34"/>
    <w:rsid w:val="70633DC1"/>
    <w:rsid w:val="70643964"/>
    <w:rsid w:val="706E52B4"/>
    <w:rsid w:val="706F94D8"/>
    <w:rsid w:val="70714C6A"/>
    <w:rsid w:val="7075663C"/>
    <w:rsid w:val="707A2333"/>
    <w:rsid w:val="707B5D1C"/>
    <w:rsid w:val="707CE2E2"/>
    <w:rsid w:val="708BBFA1"/>
    <w:rsid w:val="709183FE"/>
    <w:rsid w:val="709C5A02"/>
    <w:rsid w:val="709CA635"/>
    <w:rsid w:val="709D6907"/>
    <w:rsid w:val="709E2C7E"/>
    <w:rsid w:val="70A06C94"/>
    <w:rsid w:val="70A52725"/>
    <w:rsid w:val="70A5E723"/>
    <w:rsid w:val="70A8DA83"/>
    <w:rsid w:val="70AE2AAA"/>
    <w:rsid w:val="70B5A925"/>
    <w:rsid w:val="70B8964C"/>
    <w:rsid w:val="70B8CBC0"/>
    <w:rsid w:val="70BA0798"/>
    <w:rsid w:val="70C00B6C"/>
    <w:rsid w:val="70C4772A"/>
    <w:rsid w:val="70C4A2AE"/>
    <w:rsid w:val="70C6B195"/>
    <w:rsid w:val="70C84A55"/>
    <w:rsid w:val="70CA96E1"/>
    <w:rsid w:val="70CB7D39"/>
    <w:rsid w:val="70D8FF94"/>
    <w:rsid w:val="70D9328A"/>
    <w:rsid w:val="70DB6428"/>
    <w:rsid w:val="70DEC888"/>
    <w:rsid w:val="70E2A7DE"/>
    <w:rsid w:val="70E3B6D6"/>
    <w:rsid w:val="70E465A9"/>
    <w:rsid w:val="70EA05F0"/>
    <w:rsid w:val="70EB3A42"/>
    <w:rsid w:val="70EB5AF8"/>
    <w:rsid w:val="70EF03F2"/>
    <w:rsid w:val="70EFDF4D"/>
    <w:rsid w:val="70F4A7F7"/>
    <w:rsid w:val="70F6F901"/>
    <w:rsid w:val="70F6FB1C"/>
    <w:rsid w:val="70F7C8C8"/>
    <w:rsid w:val="70FDB414"/>
    <w:rsid w:val="70FE2082"/>
    <w:rsid w:val="7100F878"/>
    <w:rsid w:val="71088475"/>
    <w:rsid w:val="7118BE2A"/>
    <w:rsid w:val="711E815A"/>
    <w:rsid w:val="7125F0A9"/>
    <w:rsid w:val="7126F474"/>
    <w:rsid w:val="712707C8"/>
    <w:rsid w:val="7128B9F9"/>
    <w:rsid w:val="7135156E"/>
    <w:rsid w:val="71352395"/>
    <w:rsid w:val="7137E9DE"/>
    <w:rsid w:val="71422B0F"/>
    <w:rsid w:val="71472EC7"/>
    <w:rsid w:val="7148F0FF"/>
    <w:rsid w:val="71490A1E"/>
    <w:rsid w:val="7151AE8C"/>
    <w:rsid w:val="7152CD07"/>
    <w:rsid w:val="7154967E"/>
    <w:rsid w:val="715699DA"/>
    <w:rsid w:val="715A9BBD"/>
    <w:rsid w:val="7164E333"/>
    <w:rsid w:val="71651CB4"/>
    <w:rsid w:val="716EB75F"/>
    <w:rsid w:val="71716001"/>
    <w:rsid w:val="717393D7"/>
    <w:rsid w:val="717470CE"/>
    <w:rsid w:val="71766419"/>
    <w:rsid w:val="717AF81F"/>
    <w:rsid w:val="7189A156"/>
    <w:rsid w:val="718C741D"/>
    <w:rsid w:val="718CB227"/>
    <w:rsid w:val="71911147"/>
    <w:rsid w:val="71977836"/>
    <w:rsid w:val="71A487E8"/>
    <w:rsid w:val="71A5C27A"/>
    <w:rsid w:val="71ACA093"/>
    <w:rsid w:val="71AD1221"/>
    <w:rsid w:val="71ADEA46"/>
    <w:rsid w:val="71AEE81A"/>
    <w:rsid w:val="71B06352"/>
    <w:rsid w:val="71BAAAF8"/>
    <w:rsid w:val="71C39410"/>
    <w:rsid w:val="71D29E46"/>
    <w:rsid w:val="71D67693"/>
    <w:rsid w:val="71DFC334"/>
    <w:rsid w:val="71E347FE"/>
    <w:rsid w:val="71EEFFE7"/>
    <w:rsid w:val="71EF7431"/>
    <w:rsid w:val="71F03026"/>
    <w:rsid w:val="71F522DF"/>
    <w:rsid w:val="71F85BEF"/>
    <w:rsid w:val="71FE4EBD"/>
    <w:rsid w:val="71FEE492"/>
    <w:rsid w:val="720C9EB7"/>
    <w:rsid w:val="721508A8"/>
    <w:rsid w:val="72169D94"/>
    <w:rsid w:val="72189740"/>
    <w:rsid w:val="721A2ABD"/>
    <w:rsid w:val="721B4BBF"/>
    <w:rsid w:val="721E46F8"/>
    <w:rsid w:val="722B1448"/>
    <w:rsid w:val="722E82AE"/>
    <w:rsid w:val="72344AA1"/>
    <w:rsid w:val="723461CB"/>
    <w:rsid w:val="723A1709"/>
    <w:rsid w:val="723F631A"/>
    <w:rsid w:val="7241CD5A"/>
    <w:rsid w:val="72499D24"/>
    <w:rsid w:val="724CE988"/>
    <w:rsid w:val="724D6331"/>
    <w:rsid w:val="724D78B4"/>
    <w:rsid w:val="725AC209"/>
    <w:rsid w:val="725EE730"/>
    <w:rsid w:val="72641E41"/>
    <w:rsid w:val="726751D1"/>
    <w:rsid w:val="726AAF3E"/>
    <w:rsid w:val="726BE955"/>
    <w:rsid w:val="726E0891"/>
    <w:rsid w:val="7270519C"/>
    <w:rsid w:val="72733A46"/>
    <w:rsid w:val="72749E5A"/>
    <w:rsid w:val="72780997"/>
    <w:rsid w:val="727A83E0"/>
    <w:rsid w:val="727E8E04"/>
    <w:rsid w:val="7285A551"/>
    <w:rsid w:val="728EF8D7"/>
    <w:rsid w:val="728F2639"/>
    <w:rsid w:val="728FE69A"/>
    <w:rsid w:val="72924CE1"/>
    <w:rsid w:val="729346A0"/>
    <w:rsid w:val="729FFC69"/>
    <w:rsid w:val="72A69BBF"/>
    <w:rsid w:val="72A7EB92"/>
    <w:rsid w:val="72AA959F"/>
    <w:rsid w:val="72AC3FFF"/>
    <w:rsid w:val="72AEC545"/>
    <w:rsid w:val="72B1E5BF"/>
    <w:rsid w:val="72B3389C"/>
    <w:rsid w:val="72B4B9C3"/>
    <w:rsid w:val="72B549E4"/>
    <w:rsid w:val="72B7BFD7"/>
    <w:rsid w:val="72BB1B4D"/>
    <w:rsid w:val="72BB580A"/>
    <w:rsid w:val="72C02569"/>
    <w:rsid w:val="72C10E31"/>
    <w:rsid w:val="72C33790"/>
    <w:rsid w:val="72C5EF9A"/>
    <w:rsid w:val="72C947F3"/>
    <w:rsid w:val="72CE69E6"/>
    <w:rsid w:val="72D2D5EA"/>
    <w:rsid w:val="72D4058A"/>
    <w:rsid w:val="72D5A3FE"/>
    <w:rsid w:val="72E0D8B1"/>
    <w:rsid w:val="72E8300A"/>
    <w:rsid w:val="72E95DDC"/>
    <w:rsid w:val="72FA7DF4"/>
    <w:rsid w:val="73030E2D"/>
    <w:rsid w:val="7311DB25"/>
    <w:rsid w:val="7313E290"/>
    <w:rsid w:val="731A0EAB"/>
    <w:rsid w:val="731DF9CB"/>
    <w:rsid w:val="7320FBE2"/>
    <w:rsid w:val="73254F5C"/>
    <w:rsid w:val="73259C88"/>
    <w:rsid w:val="7328C3D7"/>
    <w:rsid w:val="73293C33"/>
    <w:rsid w:val="733354B4"/>
    <w:rsid w:val="733B611D"/>
    <w:rsid w:val="733D8E43"/>
    <w:rsid w:val="73420752"/>
    <w:rsid w:val="7344C508"/>
    <w:rsid w:val="7346F304"/>
    <w:rsid w:val="73548531"/>
    <w:rsid w:val="735BE283"/>
    <w:rsid w:val="736174D9"/>
    <w:rsid w:val="7362F9BB"/>
    <w:rsid w:val="7365860A"/>
    <w:rsid w:val="7367DB3D"/>
    <w:rsid w:val="73685BCF"/>
    <w:rsid w:val="7369DDC0"/>
    <w:rsid w:val="736D4A78"/>
    <w:rsid w:val="736DB1F7"/>
    <w:rsid w:val="73717E6B"/>
    <w:rsid w:val="737422EE"/>
    <w:rsid w:val="7387FDA2"/>
    <w:rsid w:val="73928970"/>
    <w:rsid w:val="7392E524"/>
    <w:rsid w:val="739450E4"/>
    <w:rsid w:val="73949A1E"/>
    <w:rsid w:val="7395A921"/>
    <w:rsid w:val="739A7D26"/>
    <w:rsid w:val="739EB94B"/>
    <w:rsid w:val="739F8B89"/>
    <w:rsid w:val="73A4D7C6"/>
    <w:rsid w:val="73AA0AD0"/>
    <w:rsid w:val="73AE6AB7"/>
    <w:rsid w:val="73AF2D2A"/>
    <w:rsid w:val="73AF78BE"/>
    <w:rsid w:val="73B76843"/>
    <w:rsid w:val="73B83B15"/>
    <w:rsid w:val="73B8C988"/>
    <w:rsid w:val="73C663CF"/>
    <w:rsid w:val="73C6BEBE"/>
    <w:rsid w:val="73C6D065"/>
    <w:rsid w:val="73D44448"/>
    <w:rsid w:val="73E143FA"/>
    <w:rsid w:val="73E57BED"/>
    <w:rsid w:val="73E99262"/>
    <w:rsid w:val="73FD54CC"/>
    <w:rsid w:val="73FDCBD0"/>
    <w:rsid w:val="73FEA347"/>
    <w:rsid w:val="74177DE9"/>
    <w:rsid w:val="741AC879"/>
    <w:rsid w:val="741CEE1F"/>
    <w:rsid w:val="74200214"/>
    <w:rsid w:val="74262437"/>
    <w:rsid w:val="742CF0D4"/>
    <w:rsid w:val="742FD4CE"/>
    <w:rsid w:val="74314166"/>
    <w:rsid w:val="74354AE1"/>
    <w:rsid w:val="74363249"/>
    <w:rsid w:val="743B685E"/>
    <w:rsid w:val="743C93E5"/>
    <w:rsid w:val="74495F17"/>
    <w:rsid w:val="7449C61E"/>
    <w:rsid w:val="744D42A2"/>
    <w:rsid w:val="7451F4B5"/>
    <w:rsid w:val="7458E216"/>
    <w:rsid w:val="745C05DA"/>
    <w:rsid w:val="745F8413"/>
    <w:rsid w:val="7461BA1C"/>
    <w:rsid w:val="7465FF88"/>
    <w:rsid w:val="74674A3C"/>
    <w:rsid w:val="746BB4D2"/>
    <w:rsid w:val="746BE677"/>
    <w:rsid w:val="746C2849"/>
    <w:rsid w:val="746F7A3F"/>
    <w:rsid w:val="747B4AD7"/>
    <w:rsid w:val="74857651"/>
    <w:rsid w:val="7487E13F"/>
    <w:rsid w:val="748D887B"/>
    <w:rsid w:val="7494ADCB"/>
    <w:rsid w:val="749E329D"/>
    <w:rsid w:val="74A5587B"/>
    <w:rsid w:val="74A83C8C"/>
    <w:rsid w:val="74AB0DB2"/>
    <w:rsid w:val="74B1758B"/>
    <w:rsid w:val="74B4138C"/>
    <w:rsid w:val="74BAF79F"/>
    <w:rsid w:val="74CF81F6"/>
    <w:rsid w:val="74D0192C"/>
    <w:rsid w:val="74D1EB58"/>
    <w:rsid w:val="74D2EA45"/>
    <w:rsid w:val="74D5C5CD"/>
    <w:rsid w:val="74DF15FA"/>
    <w:rsid w:val="74DF3664"/>
    <w:rsid w:val="74E7E955"/>
    <w:rsid w:val="74F24C9F"/>
    <w:rsid w:val="74F6595D"/>
    <w:rsid w:val="74F81E2D"/>
    <w:rsid w:val="74FD4A5D"/>
    <w:rsid w:val="74FEBA57"/>
    <w:rsid w:val="75028E23"/>
    <w:rsid w:val="750B3496"/>
    <w:rsid w:val="75120389"/>
    <w:rsid w:val="75188C76"/>
    <w:rsid w:val="751FFCE6"/>
    <w:rsid w:val="75210A31"/>
    <w:rsid w:val="7521B7B7"/>
    <w:rsid w:val="7530E28B"/>
    <w:rsid w:val="75370CDD"/>
    <w:rsid w:val="75382099"/>
    <w:rsid w:val="753E2427"/>
    <w:rsid w:val="753EB0AA"/>
    <w:rsid w:val="7540FA10"/>
    <w:rsid w:val="7542CBA0"/>
    <w:rsid w:val="754799FC"/>
    <w:rsid w:val="75484CDB"/>
    <w:rsid w:val="754E0ADC"/>
    <w:rsid w:val="754EB498"/>
    <w:rsid w:val="7554D314"/>
    <w:rsid w:val="75596523"/>
    <w:rsid w:val="755B33D5"/>
    <w:rsid w:val="756B96BB"/>
    <w:rsid w:val="756D47B3"/>
    <w:rsid w:val="756D6A73"/>
    <w:rsid w:val="756F8901"/>
    <w:rsid w:val="75736618"/>
    <w:rsid w:val="7575D868"/>
    <w:rsid w:val="7578A26E"/>
    <w:rsid w:val="7579E731"/>
    <w:rsid w:val="757C253C"/>
    <w:rsid w:val="757C4753"/>
    <w:rsid w:val="757C7CCC"/>
    <w:rsid w:val="757D5963"/>
    <w:rsid w:val="75829957"/>
    <w:rsid w:val="7585C899"/>
    <w:rsid w:val="75869015"/>
    <w:rsid w:val="7587F993"/>
    <w:rsid w:val="75884EA0"/>
    <w:rsid w:val="75945213"/>
    <w:rsid w:val="7598B559"/>
    <w:rsid w:val="759B03BF"/>
    <w:rsid w:val="759F9836"/>
    <w:rsid w:val="75A20ECD"/>
    <w:rsid w:val="75A891F9"/>
    <w:rsid w:val="75ACF93D"/>
    <w:rsid w:val="75B12957"/>
    <w:rsid w:val="75B4CC8C"/>
    <w:rsid w:val="75BB7A16"/>
    <w:rsid w:val="75BD8486"/>
    <w:rsid w:val="75C3450E"/>
    <w:rsid w:val="75CCEBC6"/>
    <w:rsid w:val="75D965DE"/>
    <w:rsid w:val="75DA24D6"/>
    <w:rsid w:val="75DD5A5A"/>
    <w:rsid w:val="75DFC546"/>
    <w:rsid w:val="75E273C7"/>
    <w:rsid w:val="75E4233E"/>
    <w:rsid w:val="75E55C71"/>
    <w:rsid w:val="75E5C6DE"/>
    <w:rsid w:val="75E6801D"/>
    <w:rsid w:val="75E7A414"/>
    <w:rsid w:val="75EAAAE0"/>
    <w:rsid w:val="75EAC0A1"/>
    <w:rsid w:val="75F7D44F"/>
    <w:rsid w:val="75FA0EE4"/>
    <w:rsid w:val="75FBA510"/>
    <w:rsid w:val="75FFB3A4"/>
    <w:rsid w:val="76048130"/>
    <w:rsid w:val="7604F5C6"/>
    <w:rsid w:val="760896EF"/>
    <w:rsid w:val="760A5509"/>
    <w:rsid w:val="76104BB4"/>
    <w:rsid w:val="761496F0"/>
    <w:rsid w:val="7615E9DF"/>
    <w:rsid w:val="7616DCE1"/>
    <w:rsid w:val="76186D82"/>
    <w:rsid w:val="761DCD23"/>
    <w:rsid w:val="761E2717"/>
    <w:rsid w:val="76213807"/>
    <w:rsid w:val="76225022"/>
    <w:rsid w:val="7622B081"/>
    <w:rsid w:val="76291EE6"/>
    <w:rsid w:val="762E6215"/>
    <w:rsid w:val="762EEC3E"/>
    <w:rsid w:val="7641DCA3"/>
    <w:rsid w:val="7641E94C"/>
    <w:rsid w:val="76459BFC"/>
    <w:rsid w:val="764C8CC5"/>
    <w:rsid w:val="7654FE1A"/>
    <w:rsid w:val="7656528F"/>
    <w:rsid w:val="7658352C"/>
    <w:rsid w:val="765EBCDC"/>
    <w:rsid w:val="766017C0"/>
    <w:rsid w:val="766723C1"/>
    <w:rsid w:val="766755CF"/>
    <w:rsid w:val="766A8F76"/>
    <w:rsid w:val="766D9D61"/>
    <w:rsid w:val="76779BA1"/>
    <w:rsid w:val="767B6FD5"/>
    <w:rsid w:val="767B9251"/>
    <w:rsid w:val="7686F123"/>
    <w:rsid w:val="769FC69D"/>
    <w:rsid w:val="76A069D7"/>
    <w:rsid w:val="76A38C60"/>
    <w:rsid w:val="76A4BC0D"/>
    <w:rsid w:val="76AAB8B6"/>
    <w:rsid w:val="76ABD5FE"/>
    <w:rsid w:val="76ABDABA"/>
    <w:rsid w:val="76B2A268"/>
    <w:rsid w:val="76B6DB92"/>
    <w:rsid w:val="76B84E02"/>
    <w:rsid w:val="76B95DA7"/>
    <w:rsid w:val="76BB74C4"/>
    <w:rsid w:val="76BD28DC"/>
    <w:rsid w:val="76BD814A"/>
    <w:rsid w:val="76C448F4"/>
    <w:rsid w:val="76C4C6BE"/>
    <w:rsid w:val="76D453E2"/>
    <w:rsid w:val="76D90365"/>
    <w:rsid w:val="76D95BA4"/>
    <w:rsid w:val="76E2A977"/>
    <w:rsid w:val="76E33A48"/>
    <w:rsid w:val="76EAABEC"/>
    <w:rsid w:val="76EE2B2B"/>
    <w:rsid w:val="76EE9176"/>
    <w:rsid w:val="76F28A8C"/>
    <w:rsid w:val="76F2D337"/>
    <w:rsid w:val="770664E3"/>
    <w:rsid w:val="77078113"/>
    <w:rsid w:val="77089E95"/>
    <w:rsid w:val="7708BBCB"/>
    <w:rsid w:val="770AC54F"/>
    <w:rsid w:val="770ACE49"/>
    <w:rsid w:val="770E2A0E"/>
    <w:rsid w:val="770ED57E"/>
    <w:rsid w:val="7719E5A8"/>
    <w:rsid w:val="771C326F"/>
    <w:rsid w:val="771C64F5"/>
    <w:rsid w:val="7723FDB6"/>
    <w:rsid w:val="7726E9FE"/>
    <w:rsid w:val="772CA4AA"/>
    <w:rsid w:val="772ECA2C"/>
    <w:rsid w:val="7736B776"/>
    <w:rsid w:val="7738A2B7"/>
    <w:rsid w:val="773A29D6"/>
    <w:rsid w:val="773BBA83"/>
    <w:rsid w:val="77459736"/>
    <w:rsid w:val="7745F7EC"/>
    <w:rsid w:val="77541E7E"/>
    <w:rsid w:val="775800AA"/>
    <w:rsid w:val="775B7CE7"/>
    <w:rsid w:val="775C31DD"/>
    <w:rsid w:val="7762DA2B"/>
    <w:rsid w:val="7764B06F"/>
    <w:rsid w:val="77697AEF"/>
    <w:rsid w:val="776CDBA1"/>
    <w:rsid w:val="776D275F"/>
    <w:rsid w:val="7770FA24"/>
    <w:rsid w:val="77735FEE"/>
    <w:rsid w:val="77754578"/>
    <w:rsid w:val="777B3F20"/>
    <w:rsid w:val="777B97EE"/>
    <w:rsid w:val="777E5AAA"/>
    <w:rsid w:val="7780637C"/>
    <w:rsid w:val="778189F9"/>
    <w:rsid w:val="778404F9"/>
    <w:rsid w:val="778698AA"/>
    <w:rsid w:val="7787868A"/>
    <w:rsid w:val="778A14D3"/>
    <w:rsid w:val="778B0021"/>
    <w:rsid w:val="778BDF0A"/>
    <w:rsid w:val="778FF33C"/>
    <w:rsid w:val="7790115F"/>
    <w:rsid w:val="7792D26D"/>
    <w:rsid w:val="7799B2E9"/>
    <w:rsid w:val="779CC726"/>
    <w:rsid w:val="77A04796"/>
    <w:rsid w:val="77A18871"/>
    <w:rsid w:val="77AA896E"/>
    <w:rsid w:val="77AB1714"/>
    <w:rsid w:val="77B08319"/>
    <w:rsid w:val="77B52E7F"/>
    <w:rsid w:val="77B8D690"/>
    <w:rsid w:val="77B90D1A"/>
    <w:rsid w:val="77BD0D88"/>
    <w:rsid w:val="77C14DEB"/>
    <w:rsid w:val="77C3669D"/>
    <w:rsid w:val="77C4B903"/>
    <w:rsid w:val="77C90B1A"/>
    <w:rsid w:val="77DF5B8B"/>
    <w:rsid w:val="77F9C402"/>
    <w:rsid w:val="77FD090E"/>
    <w:rsid w:val="77FED747"/>
    <w:rsid w:val="7804441A"/>
    <w:rsid w:val="78078261"/>
    <w:rsid w:val="780F9F66"/>
    <w:rsid w:val="781D76B0"/>
    <w:rsid w:val="7822ABC8"/>
    <w:rsid w:val="7822D9C8"/>
    <w:rsid w:val="78235C40"/>
    <w:rsid w:val="7825BC27"/>
    <w:rsid w:val="78374463"/>
    <w:rsid w:val="783BD4A0"/>
    <w:rsid w:val="7844F2B3"/>
    <w:rsid w:val="7847894A"/>
    <w:rsid w:val="785109A6"/>
    <w:rsid w:val="7853394E"/>
    <w:rsid w:val="78538800"/>
    <w:rsid w:val="78583878"/>
    <w:rsid w:val="78626CA5"/>
    <w:rsid w:val="78659691"/>
    <w:rsid w:val="7869080C"/>
    <w:rsid w:val="786EC5D6"/>
    <w:rsid w:val="78703860"/>
    <w:rsid w:val="7871B3E8"/>
    <w:rsid w:val="7875D648"/>
    <w:rsid w:val="78804846"/>
    <w:rsid w:val="788337B6"/>
    <w:rsid w:val="78969AEA"/>
    <w:rsid w:val="78979B8A"/>
    <w:rsid w:val="78995AE2"/>
    <w:rsid w:val="789A953A"/>
    <w:rsid w:val="789FE718"/>
    <w:rsid w:val="78AB4AA3"/>
    <w:rsid w:val="78AEFC05"/>
    <w:rsid w:val="78B35BA6"/>
    <w:rsid w:val="78B62047"/>
    <w:rsid w:val="78B9683D"/>
    <w:rsid w:val="78BAA01F"/>
    <w:rsid w:val="78BC7CDB"/>
    <w:rsid w:val="78BEE75B"/>
    <w:rsid w:val="78BFCF3A"/>
    <w:rsid w:val="78C0D95B"/>
    <w:rsid w:val="78C0DDFF"/>
    <w:rsid w:val="78C15074"/>
    <w:rsid w:val="78C2FB5D"/>
    <w:rsid w:val="78C86AFE"/>
    <w:rsid w:val="78D051C3"/>
    <w:rsid w:val="78D0E3D6"/>
    <w:rsid w:val="78D43AB3"/>
    <w:rsid w:val="78D585F4"/>
    <w:rsid w:val="78D9E2A4"/>
    <w:rsid w:val="78DEA1B3"/>
    <w:rsid w:val="78DFE88D"/>
    <w:rsid w:val="78E48AA7"/>
    <w:rsid w:val="78E505CA"/>
    <w:rsid w:val="78E54512"/>
    <w:rsid w:val="78E7613B"/>
    <w:rsid w:val="78EA275D"/>
    <w:rsid w:val="78EC1A9F"/>
    <w:rsid w:val="78EEED1E"/>
    <w:rsid w:val="78EF81C7"/>
    <w:rsid w:val="78F4235D"/>
    <w:rsid w:val="78F489F5"/>
    <w:rsid w:val="78F7E470"/>
    <w:rsid w:val="78FB5EF6"/>
    <w:rsid w:val="7903840B"/>
    <w:rsid w:val="79070AD9"/>
    <w:rsid w:val="790A24FD"/>
    <w:rsid w:val="790BE078"/>
    <w:rsid w:val="790D72E0"/>
    <w:rsid w:val="79140B95"/>
    <w:rsid w:val="7917873E"/>
    <w:rsid w:val="791D3C33"/>
    <w:rsid w:val="791D9994"/>
    <w:rsid w:val="791EBD31"/>
    <w:rsid w:val="792A0248"/>
    <w:rsid w:val="792EA60A"/>
    <w:rsid w:val="79314914"/>
    <w:rsid w:val="7932248F"/>
    <w:rsid w:val="793D2752"/>
    <w:rsid w:val="793DCB82"/>
    <w:rsid w:val="793E191E"/>
    <w:rsid w:val="79420BB3"/>
    <w:rsid w:val="794C8508"/>
    <w:rsid w:val="7951C558"/>
    <w:rsid w:val="79539F4D"/>
    <w:rsid w:val="7956C15C"/>
    <w:rsid w:val="79586EBA"/>
    <w:rsid w:val="795E662B"/>
    <w:rsid w:val="795E84C6"/>
    <w:rsid w:val="79620894"/>
    <w:rsid w:val="7966E84D"/>
    <w:rsid w:val="79675F2F"/>
    <w:rsid w:val="7969B137"/>
    <w:rsid w:val="797118F1"/>
    <w:rsid w:val="79752826"/>
    <w:rsid w:val="797555FA"/>
    <w:rsid w:val="79811F02"/>
    <w:rsid w:val="7982F1ED"/>
    <w:rsid w:val="7983AE64"/>
    <w:rsid w:val="7986D151"/>
    <w:rsid w:val="7987AFC9"/>
    <w:rsid w:val="7989FF13"/>
    <w:rsid w:val="798EA2CB"/>
    <w:rsid w:val="7990A703"/>
    <w:rsid w:val="7994CE82"/>
    <w:rsid w:val="7996071C"/>
    <w:rsid w:val="79A0A709"/>
    <w:rsid w:val="79A388E3"/>
    <w:rsid w:val="79A4AD5C"/>
    <w:rsid w:val="79A56BD8"/>
    <w:rsid w:val="79A78B44"/>
    <w:rsid w:val="79B12383"/>
    <w:rsid w:val="79B371F0"/>
    <w:rsid w:val="79B5695C"/>
    <w:rsid w:val="79B7069D"/>
    <w:rsid w:val="79B80EC9"/>
    <w:rsid w:val="79BA10EB"/>
    <w:rsid w:val="79C812FB"/>
    <w:rsid w:val="79C8411E"/>
    <w:rsid w:val="79C9A701"/>
    <w:rsid w:val="79CBB6AA"/>
    <w:rsid w:val="79CC631A"/>
    <w:rsid w:val="79CE518D"/>
    <w:rsid w:val="79D0AF20"/>
    <w:rsid w:val="79D55A66"/>
    <w:rsid w:val="79D98F29"/>
    <w:rsid w:val="79DD0785"/>
    <w:rsid w:val="79DD353B"/>
    <w:rsid w:val="79DD7FFC"/>
    <w:rsid w:val="79E39A01"/>
    <w:rsid w:val="79ED7B31"/>
    <w:rsid w:val="79F10409"/>
    <w:rsid w:val="79F680BE"/>
    <w:rsid w:val="79F76AEE"/>
    <w:rsid w:val="79F7F056"/>
    <w:rsid w:val="79FB3892"/>
    <w:rsid w:val="79FD8219"/>
    <w:rsid w:val="7A054900"/>
    <w:rsid w:val="7A093F44"/>
    <w:rsid w:val="7A0FBF91"/>
    <w:rsid w:val="7A1DA963"/>
    <w:rsid w:val="7A1DF893"/>
    <w:rsid w:val="7A1F7BE2"/>
    <w:rsid w:val="7A20FC91"/>
    <w:rsid w:val="7A2400CE"/>
    <w:rsid w:val="7A2912EF"/>
    <w:rsid w:val="7A2D5452"/>
    <w:rsid w:val="7A329C86"/>
    <w:rsid w:val="7A32FFC8"/>
    <w:rsid w:val="7A3A188D"/>
    <w:rsid w:val="7A44CC54"/>
    <w:rsid w:val="7A4DB562"/>
    <w:rsid w:val="7A4E2C55"/>
    <w:rsid w:val="7A4E9170"/>
    <w:rsid w:val="7A4EC90F"/>
    <w:rsid w:val="7A502B2B"/>
    <w:rsid w:val="7A515203"/>
    <w:rsid w:val="7A5913DF"/>
    <w:rsid w:val="7A5A6489"/>
    <w:rsid w:val="7A5C0D24"/>
    <w:rsid w:val="7A613F2A"/>
    <w:rsid w:val="7A644429"/>
    <w:rsid w:val="7A6BC8AB"/>
    <w:rsid w:val="7A6D2755"/>
    <w:rsid w:val="7A6DB9E9"/>
    <w:rsid w:val="7A7159AE"/>
    <w:rsid w:val="7A749F04"/>
    <w:rsid w:val="7A758ED4"/>
    <w:rsid w:val="7A7B97EA"/>
    <w:rsid w:val="7A7F9434"/>
    <w:rsid w:val="7A83BF79"/>
    <w:rsid w:val="7A8DF8EA"/>
    <w:rsid w:val="7A90C945"/>
    <w:rsid w:val="7A9112D3"/>
    <w:rsid w:val="7A9CF67D"/>
    <w:rsid w:val="7A9E54BF"/>
    <w:rsid w:val="7AAE100F"/>
    <w:rsid w:val="7AB18B7F"/>
    <w:rsid w:val="7AB59CEE"/>
    <w:rsid w:val="7AB6C1FF"/>
    <w:rsid w:val="7ABB86B9"/>
    <w:rsid w:val="7ABC44DF"/>
    <w:rsid w:val="7ABED6EA"/>
    <w:rsid w:val="7AC10E4C"/>
    <w:rsid w:val="7AC51F83"/>
    <w:rsid w:val="7AC720C4"/>
    <w:rsid w:val="7AC9D6E0"/>
    <w:rsid w:val="7AD3D8A5"/>
    <w:rsid w:val="7AD431F3"/>
    <w:rsid w:val="7ADCAA17"/>
    <w:rsid w:val="7ADFC2E1"/>
    <w:rsid w:val="7AE93A72"/>
    <w:rsid w:val="7AE9CB0A"/>
    <w:rsid w:val="7AEB1A08"/>
    <w:rsid w:val="7AEF369F"/>
    <w:rsid w:val="7AEF786E"/>
    <w:rsid w:val="7AF28037"/>
    <w:rsid w:val="7AF4692A"/>
    <w:rsid w:val="7AF8D5F7"/>
    <w:rsid w:val="7AF96AB8"/>
    <w:rsid w:val="7B004E50"/>
    <w:rsid w:val="7B01C28E"/>
    <w:rsid w:val="7B03211F"/>
    <w:rsid w:val="7B087F82"/>
    <w:rsid w:val="7B0DBFC6"/>
    <w:rsid w:val="7B0E317A"/>
    <w:rsid w:val="7B10A3FE"/>
    <w:rsid w:val="7B18A9DE"/>
    <w:rsid w:val="7B1B5319"/>
    <w:rsid w:val="7B1BC782"/>
    <w:rsid w:val="7B246BE1"/>
    <w:rsid w:val="7B282B55"/>
    <w:rsid w:val="7B2C4230"/>
    <w:rsid w:val="7B2D52D7"/>
    <w:rsid w:val="7B307F69"/>
    <w:rsid w:val="7B34913B"/>
    <w:rsid w:val="7B379171"/>
    <w:rsid w:val="7B3F58EE"/>
    <w:rsid w:val="7B405C4D"/>
    <w:rsid w:val="7B43A603"/>
    <w:rsid w:val="7B4F0C6A"/>
    <w:rsid w:val="7B599F70"/>
    <w:rsid w:val="7B59DE8C"/>
    <w:rsid w:val="7B6589E4"/>
    <w:rsid w:val="7B67FE9A"/>
    <w:rsid w:val="7B6C844F"/>
    <w:rsid w:val="7B6DDD3F"/>
    <w:rsid w:val="7B6DF871"/>
    <w:rsid w:val="7B70CBA3"/>
    <w:rsid w:val="7B746180"/>
    <w:rsid w:val="7B76FAEA"/>
    <w:rsid w:val="7B782898"/>
    <w:rsid w:val="7B7FBFAC"/>
    <w:rsid w:val="7B808BF5"/>
    <w:rsid w:val="7B81692F"/>
    <w:rsid w:val="7B817C7F"/>
    <w:rsid w:val="7B890F7C"/>
    <w:rsid w:val="7B8F27B4"/>
    <w:rsid w:val="7B8FC91B"/>
    <w:rsid w:val="7B90D97D"/>
    <w:rsid w:val="7B9DFB7F"/>
    <w:rsid w:val="7BA08F01"/>
    <w:rsid w:val="7BA7096B"/>
    <w:rsid w:val="7BA713CB"/>
    <w:rsid w:val="7BAA4E1C"/>
    <w:rsid w:val="7BAA836F"/>
    <w:rsid w:val="7BACD2EA"/>
    <w:rsid w:val="7BAD800C"/>
    <w:rsid w:val="7BAFA431"/>
    <w:rsid w:val="7BB0F448"/>
    <w:rsid w:val="7BB470FD"/>
    <w:rsid w:val="7BBA9441"/>
    <w:rsid w:val="7BBC913E"/>
    <w:rsid w:val="7BCF61FA"/>
    <w:rsid w:val="7BCF8986"/>
    <w:rsid w:val="7BCFCD73"/>
    <w:rsid w:val="7BD62261"/>
    <w:rsid w:val="7BDC19C7"/>
    <w:rsid w:val="7BDC533C"/>
    <w:rsid w:val="7BE03A9A"/>
    <w:rsid w:val="7BE8F631"/>
    <w:rsid w:val="7BE9F08E"/>
    <w:rsid w:val="7BE9F38B"/>
    <w:rsid w:val="7BF4574E"/>
    <w:rsid w:val="7BF55264"/>
    <w:rsid w:val="7BF5F424"/>
    <w:rsid w:val="7BF7D838"/>
    <w:rsid w:val="7BF8037F"/>
    <w:rsid w:val="7BFD61A5"/>
    <w:rsid w:val="7BFF1CDB"/>
    <w:rsid w:val="7C02BFA2"/>
    <w:rsid w:val="7C0CAB32"/>
    <w:rsid w:val="7C126ADC"/>
    <w:rsid w:val="7C12B80E"/>
    <w:rsid w:val="7C183D22"/>
    <w:rsid w:val="7C1A8CA6"/>
    <w:rsid w:val="7C1BE75E"/>
    <w:rsid w:val="7C20793C"/>
    <w:rsid w:val="7C23353A"/>
    <w:rsid w:val="7C26B254"/>
    <w:rsid w:val="7C26D4A3"/>
    <w:rsid w:val="7C305D05"/>
    <w:rsid w:val="7C329338"/>
    <w:rsid w:val="7C34AC0D"/>
    <w:rsid w:val="7C354BE3"/>
    <w:rsid w:val="7C37DD7E"/>
    <w:rsid w:val="7C39CB08"/>
    <w:rsid w:val="7C3BBF81"/>
    <w:rsid w:val="7C457732"/>
    <w:rsid w:val="7C45B44D"/>
    <w:rsid w:val="7C49B75D"/>
    <w:rsid w:val="7C4B0908"/>
    <w:rsid w:val="7C4CD333"/>
    <w:rsid w:val="7C4E176E"/>
    <w:rsid w:val="7C4F1487"/>
    <w:rsid w:val="7C5D34DA"/>
    <w:rsid w:val="7C66C57E"/>
    <w:rsid w:val="7C6908F3"/>
    <w:rsid w:val="7C75734B"/>
    <w:rsid w:val="7C7779D5"/>
    <w:rsid w:val="7C821BB9"/>
    <w:rsid w:val="7C8693C8"/>
    <w:rsid w:val="7C90C5F2"/>
    <w:rsid w:val="7C952AAC"/>
    <w:rsid w:val="7CA7FF1D"/>
    <w:rsid w:val="7CB26217"/>
    <w:rsid w:val="7CB981B1"/>
    <w:rsid w:val="7CC1F1AC"/>
    <w:rsid w:val="7CC248B9"/>
    <w:rsid w:val="7CC8C916"/>
    <w:rsid w:val="7CC948D6"/>
    <w:rsid w:val="7CD50117"/>
    <w:rsid w:val="7CE91011"/>
    <w:rsid w:val="7CEF5EB9"/>
    <w:rsid w:val="7CEFBA64"/>
    <w:rsid w:val="7CF7A34F"/>
    <w:rsid w:val="7CFBC098"/>
    <w:rsid w:val="7D04DA15"/>
    <w:rsid w:val="7D08DE39"/>
    <w:rsid w:val="7D0B4250"/>
    <w:rsid w:val="7D115C42"/>
    <w:rsid w:val="7D15584E"/>
    <w:rsid w:val="7D161D50"/>
    <w:rsid w:val="7D171379"/>
    <w:rsid w:val="7D20B7C3"/>
    <w:rsid w:val="7D245881"/>
    <w:rsid w:val="7D2BD553"/>
    <w:rsid w:val="7D2CE4B1"/>
    <w:rsid w:val="7D38F16F"/>
    <w:rsid w:val="7D3CAC3C"/>
    <w:rsid w:val="7D40B057"/>
    <w:rsid w:val="7D459470"/>
    <w:rsid w:val="7D473D4F"/>
    <w:rsid w:val="7D4CDA15"/>
    <w:rsid w:val="7D4CFBB6"/>
    <w:rsid w:val="7D58C8E0"/>
    <w:rsid w:val="7D5F5808"/>
    <w:rsid w:val="7D65774B"/>
    <w:rsid w:val="7D66C223"/>
    <w:rsid w:val="7D69D0E0"/>
    <w:rsid w:val="7D6A9E6F"/>
    <w:rsid w:val="7D6B43E2"/>
    <w:rsid w:val="7D6D774E"/>
    <w:rsid w:val="7D6DD704"/>
    <w:rsid w:val="7D71D98C"/>
    <w:rsid w:val="7D745443"/>
    <w:rsid w:val="7D782268"/>
    <w:rsid w:val="7D7980C7"/>
    <w:rsid w:val="7D7C383B"/>
    <w:rsid w:val="7D88AE80"/>
    <w:rsid w:val="7D8A8C4B"/>
    <w:rsid w:val="7D8A8FA1"/>
    <w:rsid w:val="7D8BAF47"/>
    <w:rsid w:val="7D92E165"/>
    <w:rsid w:val="7D932D66"/>
    <w:rsid w:val="7D936468"/>
    <w:rsid w:val="7D9567C2"/>
    <w:rsid w:val="7D96C1DF"/>
    <w:rsid w:val="7D9C021F"/>
    <w:rsid w:val="7DA00465"/>
    <w:rsid w:val="7DA09393"/>
    <w:rsid w:val="7DAA3BB3"/>
    <w:rsid w:val="7DAACD5B"/>
    <w:rsid w:val="7DABC6DF"/>
    <w:rsid w:val="7DB7E77B"/>
    <w:rsid w:val="7DB8E8E0"/>
    <w:rsid w:val="7DC35C40"/>
    <w:rsid w:val="7DC45DFC"/>
    <w:rsid w:val="7DCE654D"/>
    <w:rsid w:val="7DDA99FF"/>
    <w:rsid w:val="7DE623F9"/>
    <w:rsid w:val="7DEC3D58"/>
    <w:rsid w:val="7DEE5C1B"/>
    <w:rsid w:val="7DFEB88B"/>
    <w:rsid w:val="7E0AEFBD"/>
    <w:rsid w:val="7E11BD42"/>
    <w:rsid w:val="7E11CCCA"/>
    <w:rsid w:val="7E149287"/>
    <w:rsid w:val="7E158C74"/>
    <w:rsid w:val="7E275679"/>
    <w:rsid w:val="7E2C90B3"/>
    <w:rsid w:val="7E2CAA11"/>
    <w:rsid w:val="7E2EE096"/>
    <w:rsid w:val="7E2EE10B"/>
    <w:rsid w:val="7E33B133"/>
    <w:rsid w:val="7E36F6ED"/>
    <w:rsid w:val="7E37B290"/>
    <w:rsid w:val="7E37EA91"/>
    <w:rsid w:val="7E3945F8"/>
    <w:rsid w:val="7E3C7738"/>
    <w:rsid w:val="7E3DB937"/>
    <w:rsid w:val="7E3FB181"/>
    <w:rsid w:val="7E408575"/>
    <w:rsid w:val="7E43ADCE"/>
    <w:rsid w:val="7E452F2C"/>
    <w:rsid w:val="7E49A397"/>
    <w:rsid w:val="7E4BAE7B"/>
    <w:rsid w:val="7E4D463B"/>
    <w:rsid w:val="7E511911"/>
    <w:rsid w:val="7E514AA5"/>
    <w:rsid w:val="7E5354D2"/>
    <w:rsid w:val="7E5741D0"/>
    <w:rsid w:val="7E5864C8"/>
    <w:rsid w:val="7E5CBA2E"/>
    <w:rsid w:val="7E5CC5E1"/>
    <w:rsid w:val="7E603818"/>
    <w:rsid w:val="7E6138BF"/>
    <w:rsid w:val="7E62563F"/>
    <w:rsid w:val="7E643E2F"/>
    <w:rsid w:val="7E6764BA"/>
    <w:rsid w:val="7E694FC1"/>
    <w:rsid w:val="7E72AB30"/>
    <w:rsid w:val="7E760057"/>
    <w:rsid w:val="7E7A4F65"/>
    <w:rsid w:val="7E7E9271"/>
    <w:rsid w:val="7E8521E8"/>
    <w:rsid w:val="7E939B2C"/>
    <w:rsid w:val="7E980E0E"/>
    <w:rsid w:val="7E9A6E19"/>
    <w:rsid w:val="7EA0640A"/>
    <w:rsid w:val="7EA999FF"/>
    <w:rsid w:val="7EAA4168"/>
    <w:rsid w:val="7EAE92E9"/>
    <w:rsid w:val="7EAEC941"/>
    <w:rsid w:val="7EB1C73C"/>
    <w:rsid w:val="7EB6742F"/>
    <w:rsid w:val="7EB72CCC"/>
    <w:rsid w:val="7EC2FF0F"/>
    <w:rsid w:val="7EC4FF78"/>
    <w:rsid w:val="7ECFA378"/>
    <w:rsid w:val="7ECFC215"/>
    <w:rsid w:val="7ED70522"/>
    <w:rsid w:val="7EDB4908"/>
    <w:rsid w:val="7EDB4A4A"/>
    <w:rsid w:val="7EDE5101"/>
    <w:rsid w:val="7EE453D8"/>
    <w:rsid w:val="7EE5D4AF"/>
    <w:rsid w:val="7EE712F3"/>
    <w:rsid w:val="7EEAF6D2"/>
    <w:rsid w:val="7EECE080"/>
    <w:rsid w:val="7EF1AD57"/>
    <w:rsid w:val="7EF2C787"/>
    <w:rsid w:val="7EF38D15"/>
    <w:rsid w:val="7EF55072"/>
    <w:rsid w:val="7EF705D8"/>
    <w:rsid w:val="7EFF08BF"/>
    <w:rsid w:val="7F020471"/>
    <w:rsid w:val="7F066A1E"/>
    <w:rsid w:val="7F072E49"/>
    <w:rsid w:val="7F0E8C75"/>
    <w:rsid w:val="7F1015BA"/>
    <w:rsid w:val="7F1A8304"/>
    <w:rsid w:val="7F1B4910"/>
    <w:rsid w:val="7F1F2B78"/>
    <w:rsid w:val="7F1FC384"/>
    <w:rsid w:val="7F22BD21"/>
    <w:rsid w:val="7F23C6E7"/>
    <w:rsid w:val="7F290823"/>
    <w:rsid w:val="7F2F3CAB"/>
    <w:rsid w:val="7F318E81"/>
    <w:rsid w:val="7F33874A"/>
    <w:rsid w:val="7F3570A0"/>
    <w:rsid w:val="7F359A2D"/>
    <w:rsid w:val="7F3CDADF"/>
    <w:rsid w:val="7F3F0562"/>
    <w:rsid w:val="7F46042D"/>
    <w:rsid w:val="7F464A6D"/>
    <w:rsid w:val="7F499447"/>
    <w:rsid w:val="7F4F2602"/>
    <w:rsid w:val="7F4FE931"/>
    <w:rsid w:val="7F57C328"/>
    <w:rsid w:val="7F588F4F"/>
    <w:rsid w:val="7F5D042F"/>
    <w:rsid w:val="7F5FCF5B"/>
    <w:rsid w:val="7F6023F6"/>
    <w:rsid w:val="7F602767"/>
    <w:rsid w:val="7F64A731"/>
    <w:rsid w:val="7F6A5AFE"/>
    <w:rsid w:val="7F782ED5"/>
    <w:rsid w:val="7F789888"/>
    <w:rsid w:val="7F7AB171"/>
    <w:rsid w:val="7F8045F4"/>
    <w:rsid w:val="7F806BAD"/>
    <w:rsid w:val="7F816ABB"/>
    <w:rsid w:val="7F845DFF"/>
    <w:rsid w:val="7F849799"/>
    <w:rsid w:val="7F8716A2"/>
    <w:rsid w:val="7F871A25"/>
    <w:rsid w:val="7F9191EF"/>
    <w:rsid w:val="7F949E59"/>
    <w:rsid w:val="7F94F6A1"/>
    <w:rsid w:val="7F9C6452"/>
    <w:rsid w:val="7F9C6466"/>
    <w:rsid w:val="7F9D9B3D"/>
    <w:rsid w:val="7FAB1F4D"/>
    <w:rsid w:val="7FAE4914"/>
    <w:rsid w:val="7FAF7721"/>
    <w:rsid w:val="7FB44BE4"/>
    <w:rsid w:val="7FB58A67"/>
    <w:rsid w:val="7FB67F1B"/>
    <w:rsid w:val="7FB6B5E2"/>
    <w:rsid w:val="7FBB5C97"/>
    <w:rsid w:val="7FC2F372"/>
    <w:rsid w:val="7FC8FBB5"/>
    <w:rsid w:val="7FC95F56"/>
    <w:rsid w:val="7FD057EF"/>
    <w:rsid w:val="7FD31BCD"/>
    <w:rsid w:val="7FD33CBB"/>
    <w:rsid w:val="7FDB0B14"/>
    <w:rsid w:val="7FE26DC7"/>
    <w:rsid w:val="7FE80CE4"/>
    <w:rsid w:val="7FEB0130"/>
    <w:rsid w:val="7FEEDBFB"/>
    <w:rsid w:val="7FF0078F"/>
    <w:rsid w:val="7FF24B64"/>
    <w:rsid w:val="7FF28CE3"/>
    <w:rsid w:val="7FF99D32"/>
    <w:rsid w:val="7FFC243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C4AB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D9C"/>
  </w:style>
  <w:style w:type="paragraph" w:styleId="Heading1">
    <w:name w:val="heading 1"/>
    <w:basedOn w:val="Normal"/>
    <w:next w:val="Normal"/>
    <w:link w:val="Heading1Char"/>
    <w:uiPriority w:val="9"/>
    <w:qFormat/>
    <w:rsid w:val="00570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0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70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70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70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5DA"/>
    <w:rPr>
      <w:rFonts w:eastAsiaTheme="majorEastAsia" w:cstheme="majorBidi"/>
      <w:color w:val="272727" w:themeColor="text1" w:themeTint="D8"/>
    </w:rPr>
  </w:style>
  <w:style w:type="paragraph" w:styleId="Title">
    <w:name w:val="Title"/>
    <w:basedOn w:val="Normal"/>
    <w:next w:val="Normal"/>
    <w:link w:val="TitleChar"/>
    <w:uiPriority w:val="10"/>
    <w:qFormat/>
    <w:rsid w:val="00570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5DA"/>
    <w:pPr>
      <w:spacing w:before="160"/>
      <w:jc w:val="center"/>
    </w:pPr>
    <w:rPr>
      <w:i/>
      <w:iCs/>
      <w:color w:val="404040" w:themeColor="text1" w:themeTint="BF"/>
    </w:rPr>
  </w:style>
  <w:style w:type="character" w:customStyle="1" w:styleId="QuoteChar">
    <w:name w:val="Quote Char"/>
    <w:basedOn w:val="DefaultParagraphFont"/>
    <w:link w:val="Quote"/>
    <w:uiPriority w:val="29"/>
    <w:rsid w:val="005705DA"/>
    <w:rPr>
      <w:i/>
      <w:iCs/>
      <w:color w:val="404040" w:themeColor="text1" w:themeTint="BF"/>
    </w:rPr>
  </w:style>
  <w:style w:type="paragraph" w:styleId="ListParagraph">
    <w:name w:val="List Paragraph"/>
    <w:aliases w:val="3,Bullet 1,Bullet Points,Colorful List - Accent 11,Dot pt,F5 List Paragraph,Indicator Text,Issue Action POC,List Paragraph Char Char Char,List Paragraph2,MAIN CONTENT,Normal numbered,Numbered Para 1,POCG Table Text,Bullet layer,Bulle,列出段落"/>
    <w:basedOn w:val="Normal"/>
    <w:link w:val="ListParagraphChar"/>
    <w:uiPriority w:val="34"/>
    <w:qFormat/>
    <w:rsid w:val="005705DA"/>
    <w:pPr>
      <w:ind w:left="720"/>
      <w:contextualSpacing/>
    </w:pPr>
  </w:style>
  <w:style w:type="character" w:styleId="IntenseEmphasis">
    <w:name w:val="Intense Emphasis"/>
    <w:basedOn w:val="DefaultParagraphFont"/>
    <w:uiPriority w:val="21"/>
    <w:qFormat/>
    <w:rsid w:val="005705DA"/>
    <w:rPr>
      <w:i/>
      <w:iCs/>
      <w:color w:val="0F4761" w:themeColor="accent1" w:themeShade="BF"/>
    </w:rPr>
  </w:style>
  <w:style w:type="paragraph" w:styleId="IntenseQuote">
    <w:name w:val="Intense Quote"/>
    <w:basedOn w:val="Normal"/>
    <w:next w:val="Normal"/>
    <w:link w:val="IntenseQuoteChar"/>
    <w:uiPriority w:val="30"/>
    <w:qFormat/>
    <w:rsid w:val="00570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5DA"/>
    <w:rPr>
      <w:i/>
      <w:iCs/>
      <w:color w:val="0F4761" w:themeColor="accent1" w:themeShade="BF"/>
    </w:rPr>
  </w:style>
  <w:style w:type="character" w:styleId="IntenseReference">
    <w:name w:val="Intense Reference"/>
    <w:basedOn w:val="DefaultParagraphFont"/>
    <w:uiPriority w:val="32"/>
    <w:qFormat/>
    <w:rsid w:val="005705DA"/>
    <w:rPr>
      <w:b/>
      <w:bCs/>
      <w:smallCaps/>
      <w:color w:val="0F4761" w:themeColor="accent1" w:themeShade="BF"/>
      <w:spacing w:val="5"/>
    </w:rPr>
  </w:style>
  <w:style w:type="character" w:customStyle="1" w:styleId="Marker">
    <w:name w:val="Marker"/>
    <w:basedOn w:val="DefaultParagraphFont"/>
    <w:rsid w:val="005354D2"/>
    <w:rPr>
      <w:color w:val="0000FF"/>
      <w:shd w:val="clear" w:color="auto" w:fill="auto"/>
    </w:rPr>
  </w:style>
  <w:style w:type="paragraph" w:styleId="Header">
    <w:name w:val="header"/>
    <w:basedOn w:val="Normal"/>
    <w:link w:val="HeaderChar"/>
    <w:uiPriority w:val="99"/>
    <w:unhideWhenUsed/>
    <w:rsid w:val="00535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4D2"/>
  </w:style>
  <w:style w:type="paragraph" w:styleId="Footer">
    <w:name w:val="footer"/>
    <w:basedOn w:val="Normal"/>
    <w:link w:val="FooterChar"/>
    <w:uiPriority w:val="99"/>
    <w:unhideWhenUsed/>
    <w:rsid w:val="00535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4D2"/>
  </w:style>
  <w:style w:type="paragraph" w:customStyle="1" w:styleId="Pagedecouverture">
    <w:name w:val="Page de couverture"/>
    <w:basedOn w:val="Normal"/>
    <w:next w:val="Normal"/>
    <w:rsid w:val="005354D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354D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354D2"/>
    <w:rPr>
      <w:rFonts w:ascii="Times New Roman" w:hAnsi="Times New Roman" w:cs="Times New Roman"/>
    </w:rPr>
  </w:style>
  <w:style w:type="paragraph" w:customStyle="1" w:styleId="FooterSensitivity">
    <w:name w:val="Footer Sensitivity"/>
    <w:basedOn w:val="Normal"/>
    <w:link w:val="FooterSensitivityChar"/>
    <w:rsid w:val="005354D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354D2"/>
    <w:rPr>
      <w:rFonts w:ascii="Times New Roman" w:hAnsi="Times New Roman" w:cs="Times New Roman"/>
      <w:b/>
      <w:sz w:val="32"/>
    </w:rPr>
  </w:style>
  <w:style w:type="paragraph" w:customStyle="1" w:styleId="HeaderCoverPage">
    <w:name w:val="Header Cover Page"/>
    <w:basedOn w:val="Normal"/>
    <w:link w:val="HeaderCoverPageChar"/>
    <w:rsid w:val="005354D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354D2"/>
    <w:rPr>
      <w:rFonts w:ascii="Times New Roman" w:hAnsi="Times New Roman" w:cs="Times New Roman"/>
    </w:rPr>
  </w:style>
  <w:style w:type="paragraph" w:customStyle="1" w:styleId="HeaderSensitivity">
    <w:name w:val="Header Sensitivity"/>
    <w:basedOn w:val="Normal"/>
    <w:link w:val="HeaderSensitivityChar"/>
    <w:rsid w:val="005354D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354D2"/>
    <w:rPr>
      <w:rFonts w:ascii="Times New Roman" w:hAnsi="Times New Roman" w:cs="Times New Roman"/>
      <w:b/>
      <w:sz w:val="32"/>
    </w:rPr>
  </w:style>
  <w:style w:type="paragraph" w:customStyle="1" w:styleId="HeaderSensitivityRight">
    <w:name w:val="Header Sensitivity Right"/>
    <w:basedOn w:val="Normal"/>
    <w:link w:val="HeaderSensitivityRightChar"/>
    <w:rsid w:val="00F101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354D2"/>
    <w:rPr>
      <w:rFonts w:ascii="Times New Roman" w:hAnsi="Times New Roman" w:cs="Times New Roman"/>
      <w:sz w:val="2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ußnotentext Char,o"/>
    <w:basedOn w:val="Normal"/>
    <w:link w:val="FootnoteTextChar"/>
    <w:uiPriority w:val="99"/>
    <w:unhideWhenUsed/>
    <w:qFormat/>
    <w:rsid w:val="00D363D9"/>
    <w:pPr>
      <w:spacing w:after="0" w:line="240" w:lineRule="auto"/>
    </w:pPr>
    <w:rPr>
      <w:kern w:val="0"/>
      <w:sz w:val="20"/>
      <w:szCs w:val="20"/>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qFormat/>
    <w:rsid w:val="00D363D9"/>
    <w:rPr>
      <w:kern w:val="0"/>
      <w:sz w:val="20"/>
      <w:szCs w:val="20"/>
      <w:lang w:val="ro-RO"/>
      <w14:ligatures w14:val="none"/>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Re,R"/>
    <w:basedOn w:val="DefaultParagraphFont"/>
    <w:link w:val="FootnotesymbolCarZchn"/>
    <w:uiPriority w:val="99"/>
    <w:unhideWhenUsed/>
    <w:qFormat/>
    <w:rsid w:val="00D363D9"/>
    <w:rPr>
      <w:vertAlign w:val="superscript"/>
    </w:rPr>
  </w:style>
  <w:style w:type="character" w:styleId="CommentReference">
    <w:name w:val="annotation reference"/>
    <w:basedOn w:val="DefaultParagraphFont"/>
    <w:unhideWhenUsed/>
    <w:rsid w:val="00D363D9"/>
    <w:rPr>
      <w:sz w:val="16"/>
      <w:szCs w:val="16"/>
    </w:rPr>
  </w:style>
  <w:style w:type="paragraph" w:styleId="CommentText">
    <w:name w:val="annotation text"/>
    <w:basedOn w:val="Normal"/>
    <w:link w:val="CommentTextChar"/>
    <w:unhideWhenUsed/>
    <w:rsid w:val="00D363D9"/>
    <w:pPr>
      <w:spacing w:line="240" w:lineRule="auto"/>
    </w:pPr>
    <w:rPr>
      <w:kern w:val="0"/>
      <w:sz w:val="20"/>
      <w:szCs w:val="20"/>
      <w14:ligatures w14:val="none"/>
    </w:rPr>
  </w:style>
  <w:style w:type="character" w:customStyle="1" w:styleId="CommentTextChar">
    <w:name w:val="Comment Text Char"/>
    <w:basedOn w:val="DefaultParagraphFont"/>
    <w:link w:val="CommentText"/>
    <w:rsid w:val="00D363D9"/>
    <w:rPr>
      <w:kern w:val="0"/>
      <w:sz w:val="20"/>
      <w:szCs w:val="20"/>
      <w:lang w:val="ro-RO"/>
      <w14:ligatures w14:val="none"/>
    </w:rPr>
  </w:style>
  <w:style w:type="character" w:styleId="Hyperlink">
    <w:name w:val="Hyperlink"/>
    <w:basedOn w:val="DefaultParagraphFont"/>
    <w:uiPriority w:val="99"/>
    <w:unhideWhenUsed/>
    <w:rsid w:val="00D363D9"/>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363D9"/>
    <w:pPr>
      <w:spacing w:line="240" w:lineRule="exact"/>
      <w:jc w:val="both"/>
    </w:pPr>
    <w:rPr>
      <w:vertAlign w:val="superscript"/>
    </w:rPr>
  </w:style>
  <w:style w:type="table" w:styleId="TableGrid">
    <w:name w:val="Table Grid"/>
    <w:basedOn w:val="TableNormal"/>
    <w:uiPriority w:val="39"/>
    <w:rsid w:val="00D363D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Bullet 1 Char,Bullet Points Char,Colorful List - Accent 11 Char,Dot pt Char,F5 List Paragraph Char,Indicator Text Char,Issue Action POC Char,List Paragraph Char Char Char Char,List Paragraph2 Char,MAIN CONTENT Char,Bulle Char"/>
    <w:link w:val="ListParagraph"/>
    <w:uiPriority w:val="34"/>
    <w:qFormat/>
    <w:locked/>
    <w:rsid w:val="00D363D9"/>
  </w:style>
  <w:style w:type="paragraph" w:customStyle="1" w:styleId="ecl-paragraph">
    <w:name w:val="ecl-paragraph"/>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cf01">
    <w:name w:val="cf01"/>
    <w:basedOn w:val="DefaultParagraphFont"/>
    <w:rsid w:val="00E36A23"/>
    <w:rPr>
      <w:rFonts w:ascii="Segoe UI" w:hAnsi="Segoe UI" w:cs="Segoe UI" w:hint="default"/>
      <w:sz w:val="18"/>
      <w:szCs w:val="18"/>
    </w:rPr>
  </w:style>
  <w:style w:type="paragraph" w:customStyle="1" w:styleId="pf0">
    <w:name w:val="pf0"/>
    <w:basedOn w:val="Normal"/>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NormalWeb">
    <w:name w:val="Normal (Web)"/>
    <w:basedOn w:val="Normal"/>
    <w:uiPriority w:val="99"/>
    <w:unhideWhenUsed/>
    <w:rsid w:val="00E36A2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633898"/>
  </w:style>
  <w:style w:type="paragraph" w:customStyle="1" w:styleId="paragraph">
    <w:name w:val="paragraph"/>
    <w:basedOn w:val="Normal"/>
    <w:rsid w:val="0063389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1">
    <w:name w:val="Unresolved Mention1"/>
    <w:basedOn w:val="DefaultParagraphFont"/>
    <w:uiPriority w:val="99"/>
    <w:semiHidden/>
    <w:unhideWhenUsed/>
    <w:rsid w:val="00CA2BB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434BA"/>
    <w:rPr>
      <w:b/>
      <w:bCs/>
      <w:kern w:val="2"/>
      <w14:ligatures w14:val="standardContextual"/>
    </w:rPr>
  </w:style>
  <w:style w:type="character" w:customStyle="1" w:styleId="CommentSubjectChar">
    <w:name w:val="Comment Subject Char"/>
    <w:basedOn w:val="CommentTextChar"/>
    <w:link w:val="CommentSubject"/>
    <w:uiPriority w:val="99"/>
    <w:semiHidden/>
    <w:rsid w:val="001434BA"/>
    <w:rPr>
      <w:b/>
      <w:bCs/>
      <w:kern w:val="0"/>
      <w:sz w:val="20"/>
      <w:szCs w:val="20"/>
      <w:lang w:val="ro-RO"/>
      <w14:ligatures w14:val="none"/>
    </w:rPr>
  </w:style>
  <w:style w:type="paragraph" w:styleId="Revision">
    <w:name w:val="Revision"/>
    <w:hidden/>
    <w:uiPriority w:val="99"/>
    <w:semiHidden/>
    <w:rsid w:val="00BB60B4"/>
    <w:pPr>
      <w:spacing w:after="0" w:line="240" w:lineRule="auto"/>
    </w:pPr>
  </w:style>
  <w:style w:type="character" w:customStyle="1" w:styleId="eop">
    <w:name w:val="eop"/>
    <w:basedOn w:val="DefaultParagraphFont"/>
    <w:rsid w:val="00261024"/>
  </w:style>
  <w:style w:type="character" w:customStyle="1" w:styleId="Mention1">
    <w:name w:val="Mention1"/>
    <w:basedOn w:val="DefaultParagraphFont"/>
    <w:uiPriority w:val="99"/>
    <w:unhideWhenUsed/>
    <w:rsid w:val="00CE07CC"/>
    <w:rPr>
      <w:color w:val="2B579A"/>
      <w:shd w:val="clear" w:color="auto" w:fill="E1DFDD"/>
    </w:rPr>
  </w:style>
  <w:style w:type="paragraph" w:customStyle="1" w:styleId="fn1">
    <w:name w:val="fn1"/>
    <w:basedOn w:val="Normal"/>
    <w:next w:val="FootnoteText"/>
    <w:uiPriority w:val="1"/>
    <w:unhideWhenUsed/>
    <w:qFormat/>
    <w:rsid w:val="00091AF0"/>
    <w:pPr>
      <w:spacing w:after="0" w:line="240" w:lineRule="auto"/>
    </w:pPr>
    <w:rPr>
      <w:kern w:val="0"/>
      <w:sz w:val="20"/>
      <w:szCs w:val="2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rsid w:val="00091AF0"/>
    <w:pPr>
      <w:spacing w:line="240" w:lineRule="exact"/>
    </w:pPr>
    <w:rPr>
      <w:sz w:val="22"/>
      <w:szCs w:val="22"/>
      <w:vertAlign w:val="superscript"/>
    </w:rPr>
  </w:style>
  <w:style w:type="character" w:styleId="FollowedHyperlink">
    <w:name w:val="FollowedHyperlink"/>
    <w:basedOn w:val="DefaultParagraphFont"/>
    <w:uiPriority w:val="99"/>
    <w:semiHidden/>
    <w:unhideWhenUsed/>
    <w:rsid w:val="00EB4BBA"/>
    <w:rPr>
      <w:color w:val="96607D" w:themeColor="followedHyperlink"/>
      <w:u w:val="single"/>
    </w:rPr>
  </w:style>
  <w:style w:type="character" w:customStyle="1" w:styleId="superscript">
    <w:name w:val="superscript"/>
    <w:basedOn w:val="DefaultParagraphFont"/>
    <w:rsid w:val="004455A7"/>
  </w:style>
  <w:style w:type="paragraph" w:customStyle="1" w:styleId="Disclaimer">
    <w:name w:val="Disclaimer"/>
    <w:basedOn w:val="Normal"/>
    <w:rsid w:val="00F101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01C8"/>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01C8"/>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01C8"/>
    <w:pPr>
      <w:spacing w:after="0" w:line="276" w:lineRule="auto"/>
      <w:ind w:left="5103"/>
    </w:pPr>
    <w:rPr>
      <w:rFonts w:ascii="Times New Roman" w:hAnsi="Times New Roman" w:cs="Times New Roman"/>
      <w:i/>
      <w:kern w:val="0"/>
      <w:sz w:val="28"/>
      <w:szCs w:val="22"/>
      <w14:ligatures w14:val="none"/>
    </w:rPr>
  </w:style>
  <w:style w:type="paragraph" w:styleId="BalloonText">
    <w:name w:val="Balloon Text"/>
    <w:basedOn w:val="Normal"/>
    <w:link w:val="BalloonTextChar"/>
    <w:uiPriority w:val="99"/>
    <w:semiHidden/>
    <w:unhideWhenUsed/>
    <w:rsid w:val="00FD405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D405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86457">
      <w:bodyDiv w:val="1"/>
      <w:marLeft w:val="0"/>
      <w:marRight w:val="0"/>
      <w:marTop w:val="0"/>
      <w:marBottom w:val="0"/>
      <w:divBdr>
        <w:top w:val="none" w:sz="0" w:space="0" w:color="auto"/>
        <w:left w:val="none" w:sz="0" w:space="0" w:color="auto"/>
        <w:bottom w:val="none" w:sz="0" w:space="0" w:color="auto"/>
        <w:right w:val="none" w:sz="0" w:space="0" w:color="auto"/>
      </w:divBdr>
    </w:div>
    <w:div w:id="73745074">
      <w:bodyDiv w:val="1"/>
      <w:marLeft w:val="0"/>
      <w:marRight w:val="0"/>
      <w:marTop w:val="0"/>
      <w:marBottom w:val="0"/>
      <w:divBdr>
        <w:top w:val="none" w:sz="0" w:space="0" w:color="auto"/>
        <w:left w:val="none" w:sz="0" w:space="0" w:color="auto"/>
        <w:bottom w:val="none" w:sz="0" w:space="0" w:color="auto"/>
        <w:right w:val="none" w:sz="0" w:space="0" w:color="auto"/>
      </w:divBdr>
      <w:divsChild>
        <w:div w:id="56369130">
          <w:marLeft w:val="0"/>
          <w:marRight w:val="0"/>
          <w:marTop w:val="0"/>
          <w:marBottom w:val="0"/>
          <w:divBdr>
            <w:top w:val="none" w:sz="0" w:space="0" w:color="auto"/>
            <w:left w:val="none" w:sz="0" w:space="0" w:color="auto"/>
            <w:bottom w:val="none" w:sz="0" w:space="0" w:color="auto"/>
            <w:right w:val="none" w:sz="0" w:space="0" w:color="auto"/>
          </w:divBdr>
        </w:div>
        <w:div w:id="420881840">
          <w:marLeft w:val="0"/>
          <w:marRight w:val="0"/>
          <w:marTop w:val="0"/>
          <w:marBottom w:val="0"/>
          <w:divBdr>
            <w:top w:val="none" w:sz="0" w:space="0" w:color="auto"/>
            <w:left w:val="none" w:sz="0" w:space="0" w:color="auto"/>
            <w:bottom w:val="none" w:sz="0" w:space="0" w:color="auto"/>
            <w:right w:val="none" w:sz="0" w:space="0" w:color="auto"/>
          </w:divBdr>
        </w:div>
        <w:div w:id="483860982">
          <w:marLeft w:val="0"/>
          <w:marRight w:val="0"/>
          <w:marTop w:val="0"/>
          <w:marBottom w:val="0"/>
          <w:divBdr>
            <w:top w:val="none" w:sz="0" w:space="0" w:color="auto"/>
            <w:left w:val="none" w:sz="0" w:space="0" w:color="auto"/>
            <w:bottom w:val="none" w:sz="0" w:space="0" w:color="auto"/>
            <w:right w:val="none" w:sz="0" w:space="0" w:color="auto"/>
          </w:divBdr>
        </w:div>
        <w:div w:id="762146059">
          <w:marLeft w:val="0"/>
          <w:marRight w:val="0"/>
          <w:marTop w:val="0"/>
          <w:marBottom w:val="0"/>
          <w:divBdr>
            <w:top w:val="none" w:sz="0" w:space="0" w:color="auto"/>
            <w:left w:val="none" w:sz="0" w:space="0" w:color="auto"/>
            <w:bottom w:val="none" w:sz="0" w:space="0" w:color="auto"/>
            <w:right w:val="none" w:sz="0" w:space="0" w:color="auto"/>
          </w:divBdr>
        </w:div>
        <w:div w:id="857694741">
          <w:marLeft w:val="0"/>
          <w:marRight w:val="0"/>
          <w:marTop w:val="0"/>
          <w:marBottom w:val="0"/>
          <w:divBdr>
            <w:top w:val="none" w:sz="0" w:space="0" w:color="auto"/>
            <w:left w:val="none" w:sz="0" w:space="0" w:color="auto"/>
            <w:bottom w:val="none" w:sz="0" w:space="0" w:color="auto"/>
            <w:right w:val="none" w:sz="0" w:space="0" w:color="auto"/>
          </w:divBdr>
        </w:div>
        <w:div w:id="989210711">
          <w:marLeft w:val="0"/>
          <w:marRight w:val="0"/>
          <w:marTop w:val="0"/>
          <w:marBottom w:val="0"/>
          <w:divBdr>
            <w:top w:val="none" w:sz="0" w:space="0" w:color="auto"/>
            <w:left w:val="none" w:sz="0" w:space="0" w:color="auto"/>
            <w:bottom w:val="none" w:sz="0" w:space="0" w:color="auto"/>
            <w:right w:val="none" w:sz="0" w:space="0" w:color="auto"/>
          </w:divBdr>
        </w:div>
        <w:div w:id="1022705964">
          <w:marLeft w:val="0"/>
          <w:marRight w:val="0"/>
          <w:marTop w:val="0"/>
          <w:marBottom w:val="0"/>
          <w:divBdr>
            <w:top w:val="none" w:sz="0" w:space="0" w:color="auto"/>
            <w:left w:val="none" w:sz="0" w:space="0" w:color="auto"/>
            <w:bottom w:val="none" w:sz="0" w:space="0" w:color="auto"/>
            <w:right w:val="none" w:sz="0" w:space="0" w:color="auto"/>
          </w:divBdr>
        </w:div>
        <w:div w:id="1080327076">
          <w:marLeft w:val="0"/>
          <w:marRight w:val="0"/>
          <w:marTop w:val="0"/>
          <w:marBottom w:val="0"/>
          <w:divBdr>
            <w:top w:val="none" w:sz="0" w:space="0" w:color="auto"/>
            <w:left w:val="none" w:sz="0" w:space="0" w:color="auto"/>
            <w:bottom w:val="none" w:sz="0" w:space="0" w:color="auto"/>
            <w:right w:val="none" w:sz="0" w:space="0" w:color="auto"/>
          </w:divBdr>
        </w:div>
        <w:div w:id="1381318874">
          <w:marLeft w:val="0"/>
          <w:marRight w:val="0"/>
          <w:marTop w:val="0"/>
          <w:marBottom w:val="0"/>
          <w:divBdr>
            <w:top w:val="none" w:sz="0" w:space="0" w:color="auto"/>
            <w:left w:val="none" w:sz="0" w:space="0" w:color="auto"/>
            <w:bottom w:val="none" w:sz="0" w:space="0" w:color="auto"/>
            <w:right w:val="none" w:sz="0" w:space="0" w:color="auto"/>
          </w:divBdr>
        </w:div>
        <w:div w:id="1449814942">
          <w:marLeft w:val="0"/>
          <w:marRight w:val="0"/>
          <w:marTop w:val="0"/>
          <w:marBottom w:val="0"/>
          <w:divBdr>
            <w:top w:val="none" w:sz="0" w:space="0" w:color="auto"/>
            <w:left w:val="none" w:sz="0" w:space="0" w:color="auto"/>
            <w:bottom w:val="none" w:sz="0" w:space="0" w:color="auto"/>
            <w:right w:val="none" w:sz="0" w:space="0" w:color="auto"/>
          </w:divBdr>
        </w:div>
        <w:div w:id="1471288536">
          <w:marLeft w:val="0"/>
          <w:marRight w:val="0"/>
          <w:marTop w:val="0"/>
          <w:marBottom w:val="0"/>
          <w:divBdr>
            <w:top w:val="none" w:sz="0" w:space="0" w:color="auto"/>
            <w:left w:val="none" w:sz="0" w:space="0" w:color="auto"/>
            <w:bottom w:val="none" w:sz="0" w:space="0" w:color="auto"/>
            <w:right w:val="none" w:sz="0" w:space="0" w:color="auto"/>
          </w:divBdr>
        </w:div>
        <w:div w:id="1528525605">
          <w:marLeft w:val="0"/>
          <w:marRight w:val="0"/>
          <w:marTop w:val="0"/>
          <w:marBottom w:val="0"/>
          <w:divBdr>
            <w:top w:val="none" w:sz="0" w:space="0" w:color="auto"/>
            <w:left w:val="none" w:sz="0" w:space="0" w:color="auto"/>
            <w:bottom w:val="none" w:sz="0" w:space="0" w:color="auto"/>
            <w:right w:val="none" w:sz="0" w:space="0" w:color="auto"/>
          </w:divBdr>
        </w:div>
        <w:div w:id="1571844570">
          <w:marLeft w:val="0"/>
          <w:marRight w:val="0"/>
          <w:marTop w:val="0"/>
          <w:marBottom w:val="0"/>
          <w:divBdr>
            <w:top w:val="none" w:sz="0" w:space="0" w:color="auto"/>
            <w:left w:val="none" w:sz="0" w:space="0" w:color="auto"/>
            <w:bottom w:val="none" w:sz="0" w:space="0" w:color="auto"/>
            <w:right w:val="none" w:sz="0" w:space="0" w:color="auto"/>
          </w:divBdr>
        </w:div>
        <w:div w:id="1580024062">
          <w:marLeft w:val="0"/>
          <w:marRight w:val="0"/>
          <w:marTop w:val="0"/>
          <w:marBottom w:val="0"/>
          <w:divBdr>
            <w:top w:val="none" w:sz="0" w:space="0" w:color="auto"/>
            <w:left w:val="none" w:sz="0" w:space="0" w:color="auto"/>
            <w:bottom w:val="none" w:sz="0" w:space="0" w:color="auto"/>
            <w:right w:val="none" w:sz="0" w:space="0" w:color="auto"/>
          </w:divBdr>
        </w:div>
        <w:div w:id="1747261135">
          <w:marLeft w:val="0"/>
          <w:marRight w:val="0"/>
          <w:marTop w:val="0"/>
          <w:marBottom w:val="0"/>
          <w:divBdr>
            <w:top w:val="none" w:sz="0" w:space="0" w:color="auto"/>
            <w:left w:val="none" w:sz="0" w:space="0" w:color="auto"/>
            <w:bottom w:val="none" w:sz="0" w:space="0" w:color="auto"/>
            <w:right w:val="none" w:sz="0" w:space="0" w:color="auto"/>
          </w:divBdr>
        </w:div>
        <w:div w:id="1775707291">
          <w:marLeft w:val="0"/>
          <w:marRight w:val="0"/>
          <w:marTop w:val="0"/>
          <w:marBottom w:val="0"/>
          <w:divBdr>
            <w:top w:val="none" w:sz="0" w:space="0" w:color="auto"/>
            <w:left w:val="none" w:sz="0" w:space="0" w:color="auto"/>
            <w:bottom w:val="none" w:sz="0" w:space="0" w:color="auto"/>
            <w:right w:val="none" w:sz="0" w:space="0" w:color="auto"/>
          </w:divBdr>
        </w:div>
        <w:div w:id="1826973918">
          <w:marLeft w:val="0"/>
          <w:marRight w:val="0"/>
          <w:marTop w:val="0"/>
          <w:marBottom w:val="0"/>
          <w:divBdr>
            <w:top w:val="none" w:sz="0" w:space="0" w:color="auto"/>
            <w:left w:val="none" w:sz="0" w:space="0" w:color="auto"/>
            <w:bottom w:val="none" w:sz="0" w:space="0" w:color="auto"/>
            <w:right w:val="none" w:sz="0" w:space="0" w:color="auto"/>
          </w:divBdr>
        </w:div>
        <w:div w:id="1847136804">
          <w:marLeft w:val="0"/>
          <w:marRight w:val="0"/>
          <w:marTop w:val="0"/>
          <w:marBottom w:val="0"/>
          <w:divBdr>
            <w:top w:val="none" w:sz="0" w:space="0" w:color="auto"/>
            <w:left w:val="none" w:sz="0" w:space="0" w:color="auto"/>
            <w:bottom w:val="none" w:sz="0" w:space="0" w:color="auto"/>
            <w:right w:val="none" w:sz="0" w:space="0" w:color="auto"/>
          </w:divBdr>
        </w:div>
        <w:div w:id="1968386903">
          <w:marLeft w:val="0"/>
          <w:marRight w:val="0"/>
          <w:marTop w:val="0"/>
          <w:marBottom w:val="0"/>
          <w:divBdr>
            <w:top w:val="none" w:sz="0" w:space="0" w:color="auto"/>
            <w:left w:val="none" w:sz="0" w:space="0" w:color="auto"/>
            <w:bottom w:val="none" w:sz="0" w:space="0" w:color="auto"/>
            <w:right w:val="none" w:sz="0" w:space="0" w:color="auto"/>
          </w:divBdr>
        </w:div>
        <w:div w:id="2063943761">
          <w:marLeft w:val="0"/>
          <w:marRight w:val="0"/>
          <w:marTop w:val="0"/>
          <w:marBottom w:val="0"/>
          <w:divBdr>
            <w:top w:val="none" w:sz="0" w:space="0" w:color="auto"/>
            <w:left w:val="none" w:sz="0" w:space="0" w:color="auto"/>
            <w:bottom w:val="none" w:sz="0" w:space="0" w:color="auto"/>
            <w:right w:val="none" w:sz="0" w:space="0" w:color="auto"/>
          </w:divBdr>
        </w:div>
        <w:div w:id="2091661093">
          <w:marLeft w:val="0"/>
          <w:marRight w:val="0"/>
          <w:marTop w:val="0"/>
          <w:marBottom w:val="0"/>
          <w:divBdr>
            <w:top w:val="none" w:sz="0" w:space="0" w:color="auto"/>
            <w:left w:val="none" w:sz="0" w:space="0" w:color="auto"/>
            <w:bottom w:val="none" w:sz="0" w:space="0" w:color="auto"/>
            <w:right w:val="none" w:sz="0" w:space="0" w:color="auto"/>
          </w:divBdr>
        </w:div>
        <w:div w:id="2128966448">
          <w:marLeft w:val="0"/>
          <w:marRight w:val="0"/>
          <w:marTop w:val="0"/>
          <w:marBottom w:val="0"/>
          <w:divBdr>
            <w:top w:val="none" w:sz="0" w:space="0" w:color="auto"/>
            <w:left w:val="none" w:sz="0" w:space="0" w:color="auto"/>
            <w:bottom w:val="none" w:sz="0" w:space="0" w:color="auto"/>
            <w:right w:val="none" w:sz="0" w:space="0" w:color="auto"/>
          </w:divBdr>
        </w:div>
      </w:divsChild>
    </w:div>
    <w:div w:id="104927467">
      <w:bodyDiv w:val="1"/>
      <w:marLeft w:val="0"/>
      <w:marRight w:val="0"/>
      <w:marTop w:val="0"/>
      <w:marBottom w:val="0"/>
      <w:divBdr>
        <w:top w:val="none" w:sz="0" w:space="0" w:color="auto"/>
        <w:left w:val="none" w:sz="0" w:space="0" w:color="auto"/>
        <w:bottom w:val="none" w:sz="0" w:space="0" w:color="auto"/>
        <w:right w:val="none" w:sz="0" w:space="0" w:color="auto"/>
      </w:divBdr>
    </w:div>
    <w:div w:id="118570786">
      <w:bodyDiv w:val="1"/>
      <w:marLeft w:val="0"/>
      <w:marRight w:val="0"/>
      <w:marTop w:val="0"/>
      <w:marBottom w:val="0"/>
      <w:divBdr>
        <w:top w:val="none" w:sz="0" w:space="0" w:color="auto"/>
        <w:left w:val="none" w:sz="0" w:space="0" w:color="auto"/>
        <w:bottom w:val="none" w:sz="0" w:space="0" w:color="auto"/>
        <w:right w:val="none" w:sz="0" w:space="0" w:color="auto"/>
      </w:divBdr>
    </w:div>
    <w:div w:id="144975024">
      <w:bodyDiv w:val="1"/>
      <w:marLeft w:val="0"/>
      <w:marRight w:val="0"/>
      <w:marTop w:val="0"/>
      <w:marBottom w:val="0"/>
      <w:divBdr>
        <w:top w:val="none" w:sz="0" w:space="0" w:color="auto"/>
        <w:left w:val="none" w:sz="0" w:space="0" w:color="auto"/>
        <w:bottom w:val="none" w:sz="0" w:space="0" w:color="auto"/>
        <w:right w:val="none" w:sz="0" w:space="0" w:color="auto"/>
      </w:divBdr>
    </w:div>
    <w:div w:id="171648487">
      <w:bodyDiv w:val="1"/>
      <w:marLeft w:val="0"/>
      <w:marRight w:val="0"/>
      <w:marTop w:val="0"/>
      <w:marBottom w:val="0"/>
      <w:divBdr>
        <w:top w:val="none" w:sz="0" w:space="0" w:color="auto"/>
        <w:left w:val="none" w:sz="0" w:space="0" w:color="auto"/>
        <w:bottom w:val="none" w:sz="0" w:space="0" w:color="auto"/>
        <w:right w:val="none" w:sz="0" w:space="0" w:color="auto"/>
      </w:divBdr>
      <w:divsChild>
        <w:div w:id="37516421">
          <w:marLeft w:val="0"/>
          <w:marRight w:val="0"/>
          <w:marTop w:val="0"/>
          <w:marBottom w:val="0"/>
          <w:divBdr>
            <w:top w:val="none" w:sz="0" w:space="0" w:color="auto"/>
            <w:left w:val="none" w:sz="0" w:space="0" w:color="auto"/>
            <w:bottom w:val="none" w:sz="0" w:space="0" w:color="auto"/>
            <w:right w:val="none" w:sz="0" w:space="0" w:color="auto"/>
          </w:divBdr>
          <w:divsChild>
            <w:div w:id="435491785">
              <w:marLeft w:val="0"/>
              <w:marRight w:val="0"/>
              <w:marTop w:val="0"/>
              <w:marBottom w:val="0"/>
              <w:divBdr>
                <w:top w:val="none" w:sz="0" w:space="0" w:color="auto"/>
                <w:left w:val="none" w:sz="0" w:space="0" w:color="auto"/>
                <w:bottom w:val="none" w:sz="0" w:space="0" w:color="auto"/>
                <w:right w:val="none" w:sz="0" w:space="0" w:color="auto"/>
              </w:divBdr>
            </w:div>
          </w:divsChild>
        </w:div>
        <w:div w:id="527373550">
          <w:marLeft w:val="0"/>
          <w:marRight w:val="0"/>
          <w:marTop w:val="0"/>
          <w:marBottom w:val="0"/>
          <w:divBdr>
            <w:top w:val="none" w:sz="0" w:space="0" w:color="auto"/>
            <w:left w:val="none" w:sz="0" w:space="0" w:color="auto"/>
            <w:bottom w:val="none" w:sz="0" w:space="0" w:color="auto"/>
            <w:right w:val="none" w:sz="0" w:space="0" w:color="auto"/>
          </w:divBdr>
          <w:divsChild>
            <w:div w:id="651252909">
              <w:marLeft w:val="0"/>
              <w:marRight w:val="0"/>
              <w:marTop w:val="0"/>
              <w:marBottom w:val="0"/>
              <w:divBdr>
                <w:top w:val="none" w:sz="0" w:space="0" w:color="auto"/>
                <w:left w:val="none" w:sz="0" w:space="0" w:color="auto"/>
                <w:bottom w:val="none" w:sz="0" w:space="0" w:color="auto"/>
                <w:right w:val="none" w:sz="0" w:space="0" w:color="auto"/>
              </w:divBdr>
            </w:div>
          </w:divsChild>
        </w:div>
        <w:div w:id="565605054">
          <w:marLeft w:val="0"/>
          <w:marRight w:val="0"/>
          <w:marTop w:val="0"/>
          <w:marBottom w:val="0"/>
          <w:divBdr>
            <w:top w:val="none" w:sz="0" w:space="0" w:color="auto"/>
            <w:left w:val="none" w:sz="0" w:space="0" w:color="auto"/>
            <w:bottom w:val="none" w:sz="0" w:space="0" w:color="auto"/>
            <w:right w:val="none" w:sz="0" w:space="0" w:color="auto"/>
          </w:divBdr>
          <w:divsChild>
            <w:div w:id="1807426843">
              <w:marLeft w:val="0"/>
              <w:marRight w:val="0"/>
              <w:marTop w:val="0"/>
              <w:marBottom w:val="0"/>
              <w:divBdr>
                <w:top w:val="none" w:sz="0" w:space="0" w:color="auto"/>
                <w:left w:val="none" w:sz="0" w:space="0" w:color="auto"/>
                <w:bottom w:val="none" w:sz="0" w:space="0" w:color="auto"/>
                <w:right w:val="none" w:sz="0" w:space="0" w:color="auto"/>
              </w:divBdr>
            </w:div>
          </w:divsChild>
        </w:div>
        <w:div w:id="611589672">
          <w:marLeft w:val="0"/>
          <w:marRight w:val="0"/>
          <w:marTop w:val="0"/>
          <w:marBottom w:val="0"/>
          <w:divBdr>
            <w:top w:val="none" w:sz="0" w:space="0" w:color="auto"/>
            <w:left w:val="none" w:sz="0" w:space="0" w:color="auto"/>
            <w:bottom w:val="none" w:sz="0" w:space="0" w:color="auto"/>
            <w:right w:val="none" w:sz="0" w:space="0" w:color="auto"/>
          </w:divBdr>
          <w:divsChild>
            <w:div w:id="1907959264">
              <w:marLeft w:val="0"/>
              <w:marRight w:val="0"/>
              <w:marTop w:val="0"/>
              <w:marBottom w:val="0"/>
              <w:divBdr>
                <w:top w:val="none" w:sz="0" w:space="0" w:color="auto"/>
                <w:left w:val="none" w:sz="0" w:space="0" w:color="auto"/>
                <w:bottom w:val="none" w:sz="0" w:space="0" w:color="auto"/>
                <w:right w:val="none" w:sz="0" w:space="0" w:color="auto"/>
              </w:divBdr>
            </w:div>
          </w:divsChild>
        </w:div>
        <w:div w:id="857694211">
          <w:marLeft w:val="0"/>
          <w:marRight w:val="0"/>
          <w:marTop w:val="0"/>
          <w:marBottom w:val="0"/>
          <w:divBdr>
            <w:top w:val="none" w:sz="0" w:space="0" w:color="auto"/>
            <w:left w:val="none" w:sz="0" w:space="0" w:color="auto"/>
            <w:bottom w:val="none" w:sz="0" w:space="0" w:color="auto"/>
            <w:right w:val="none" w:sz="0" w:space="0" w:color="auto"/>
          </w:divBdr>
          <w:divsChild>
            <w:div w:id="2066874916">
              <w:marLeft w:val="0"/>
              <w:marRight w:val="0"/>
              <w:marTop w:val="0"/>
              <w:marBottom w:val="0"/>
              <w:divBdr>
                <w:top w:val="none" w:sz="0" w:space="0" w:color="auto"/>
                <w:left w:val="none" w:sz="0" w:space="0" w:color="auto"/>
                <w:bottom w:val="none" w:sz="0" w:space="0" w:color="auto"/>
                <w:right w:val="none" w:sz="0" w:space="0" w:color="auto"/>
              </w:divBdr>
            </w:div>
          </w:divsChild>
        </w:div>
        <w:div w:id="1349675752">
          <w:marLeft w:val="0"/>
          <w:marRight w:val="0"/>
          <w:marTop w:val="0"/>
          <w:marBottom w:val="0"/>
          <w:divBdr>
            <w:top w:val="none" w:sz="0" w:space="0" w:color="auto"/>
            <w:left w:val="none" w:sz="0" w:space="0" w:color="auto"/>
            <w:bottom w:val="none" w:sz="0" w:space="0" w:color="auto"/>
            <w:right w:val="none" w:sz="0" w:space="0" w:color="auto"/>
          </w:divBdr>
          <w:divsChild>
            <w:div w:id="1686400226">
              <w:marLeft w:val="0"/>
              <w:marRight w:val="0"/>
              <w:marTop w:val="0"/>
              <w:marBottom w:val="0"/>
              <w:divBdr>
                <w:top w:val="none" w:sz="0" w:space="0" w:color="auto"/>
                <w:left w:val="none" w:sz="0" w:space="0" w:color="auto"/>
                <w:bottom w:val="none" w:sz="0" w:space="0" w:color="auto"/>
                <w:right w:val="none" w:sz="0" w:space="0" w:color="auto"/>
              </w:divBdr>
            </w:div>
          </w:divsChild>
        </w:div>
        <w:div w:id="1543900264">
          <w:marLeft w:val="0"/>
          <w:marRight w:val="0"/>
          <w:marTop w:val="0"/>
          <w:marBottom w:val="0"/>
          <w:divBdr>
            <w:top w:val="none" w:sz="0" w:space="0" w:color="auto"/>
            <w:left w:val="none" w:sz="0" w:space="0" w:color="auto"/>
            <w:bottom w:val="none" w:sz="0" w:space="0" w:color="auto"/>
            <w:right w:val="none" w:sz="0" w:space="0" w:color="auto"/>
          </w:divBdr>
          <w:divsChild>
            <w:div w:id="1815027780">
              <w:marLeft w:val="0"/>
              <w:marRight w:val="0"/>
              <w:marTop w:val="0"/>
              <w:marBottom w:val="0"/>
              <w:divBdr>
                <w:top w:val="none" w:sz="0" w:space="0" w:color="auto"/>
                <w:left w:val="none" w:sz="0" w:space="0" w:color="auto"/>
                <w:bottom w:val="none" w:sz="0" w:space="0" w:color="auto"/>
                <w:right w:val="none" w:sz="0" w:space="0" w:color="auto"/>
              </w:divBdr>
            </w:div>
          </w:divsChild>
        </w:div>
        <w:div w:id="2109151695">
          <w:marLeft w:val="0"/>
          <w:marRight w:val="0"/>
          <w:marTop w:val="0"/>
          <w:marBottom w:val="0"/>
          <w:divBdr>
            <w:top w:val="none" w:sz="0" w:space="0" w:color="auto"/>
            <w:left w:val="none" w:sz="0" w:space="0" w:color="auto"/>
            <w:bottom w:val="none" w:sz="0" w:space="0" w:color="auto"/>
            <w:right w:val="none" w:sz="0" w:space="0" w:color="auto"/>
          </w:divBdr>
          <w:divsChild>
            <w:div w:id="7482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8031">
      <w:bodyDiv w:val="1"/>
      <w:marLeft w:val="0"/>
      <w:marRight w:val="0"/>
      <w:marTop w:val="0"/>
      <w:marBottom w:val="0"/>
      <w:divBdr>
        <w:top w:val="none" w:sz="0" w:space="0" w:color="auto"/>
        <w:left w:val="none" w:sz="0" w:space="0" w:color="auto"/>
        <w:bottom w:val="none" w:sz="0" w:space="0" w:color="auto"/>
        <w:right w:val="none" w:sz="0" w:space="0" w:color="auto"/>
      </w:divBdr>
    </w:div>
    <w:div w:id="205260015">
      <w:bodyDiv w:val="1"/>
      <w:marLeft w:val="0"/>
      <w:marRight w:val="0"/>
      <w:marTop w:val="0"/>
      <w:marBottom w:val="0"/>
      <w:divBdr>
        <w:top w:val="none" w:sz="0" w:space="0" w:color="auto"/>
        <w:left w:val="none" w:sz="0" w:space="0" w:color="auto"/>
        <w:bottom w:val="none" w:sz="0" w:space="0" w:color="auto"/>
        <w:right w:val="none" w:sz="0" w:space="0" w:color="auto"/>
      </w:divBdr>
    </w:div>
    <w:div w:id="209659347">
      <w:bodyDiv w:val="1"/>
      <w:marLeft w:val="0"/>
      <w:marRight w:val="0"/>
      <w:marTop w:val="0"/>
      <w:marBottom w:val="0"/>
      <w:divBdr>
        <w:top w:val="none" w:sz="0" w:space="0" w:color="auto"/>
        <w:left w:val="none" w:sz="0" w:space="0" w:color="auto"/>
        <w:bottom w:val="none" w:sz="0" w:space="0" w:color="auto"/>
        <w:right w:val="none" w:sz="0" w:space="0" w:color="auto"/>
      </w:divBdr>
    </w:div>
    <w:div w:id="226502638">
      <w:bodyDiv w:val="1"/>
      <w:marLeft w:val="0"/>
      <w:marRight w:val="0"/>
      <w:marTop w:val="0"/>
      <w:marBottom w:val="0"/>
      <w:divBdr>
        <w:top w:val="none" w:sz="0" w:space="0" w:color="auto"/>
        <w:left w:val="none" w:sz="0" w:space="0" w:color="auto"/>
        <w:bottom w:val="none" w:sz="0" w:space="0" w:color="auto"/>
        <w:right w:val="none" w:sz="0" w:space="0" w:color="auto"/>
      </w:divBdr>
      <w:divsChild>
        <w:div w:id="5641719">
          <w:marLeft w:val="0"/>
          <w:marRight w:val="0"/>
          <w:marTop w:val="0"/>
          <w:marBottom w:val="0"/>
          <w:divBdr>
            <w:top w:val="none" w:sz="0" w:space="0" w:color="auto"/>
            <w:left w:val="none" w:sz="0" w:space="0" w:color="auto"/>
            <w:bottom w:val="none" w:sz="0" w:space="0" w:color="auto"/>
            <w:right w:val="none" w:sz="0" w:space="0" w:color="auto"/>
          </w:divBdr>
        </w:div>
        <w:div w:id="284235451">
          <w:marLeft w:val="0"/>
          <w:marRight w:val="0"/>
          <w:marTop w:val="0"/>
          <w:marBottom w:val="0"/>
          <w:divBdr>
            <w:top w:val="none" w:sz="0" w:space="0" w:color="auto"/>
            <w:left w:val="none" w:sz="0" w:space="0" w:color="auto"/>
            <w:bottom w:val="none" w:sz="0" w:space="0" w:color="auto"/>
            <w:right w:val="none" w:sz="0" w:space="0" w:color="auto"/>
          </w:divBdr>
        </w:div>
        <w:div w:id="336199985">
          <w:marLeft w:val="0"/>
          <w:marRight w:val="0"/>
          <w:marTop w:val="0"/>
          <w:marBottom w:val="0"/>
          <w:divBdr>
            <w:top w:val="none" w:sz="0" w:space="0" w:color="auto"/>
            <w:left w:val="none" w:sz="0" w:space="0" w:color="auto"/>
            <w:bottom w:val="none" w:sz="0" w:space="0" w:color="auto"/>
            <w:right w:val="none" w:sz="0" w:space="0" w:color="auto"/>
          </w:divBdr>
        </w:div>
        <w:div w:id="418598152">
          <w:marLeft w:val="0"/>
          <w:marRight w:val="0"/>
          <w:marTop w:val="0"/>
          <w:marBottom w:val="0"/>
          <w:divBdr>
            <w:top w:val="none" w:sz="0" w:space="0" w:color="auto"/>
            <w:left w:val="none" w:sz="0" w:space="0" w:color="auto"/>
            <w:bottom w:val="none" w:sz="0" w:space="0" w:color="auto"/>
            <w:right w:val="none" w:sz="0" w:space="0" w:color="auto"/>
          </w:divBdr>
        </w:div>
        <w:div w:id="470706763">
          <w:marLeft w:val="0"/>
          <w:marRight w:val="0"/>
          <w:marTop w:val="0"/>
          <w:marBottom w:val="0"/>
          <w:divBdr>
            <w:top w:val="none" w:sz="0" w:space="0" w:color="auto"/>
            <w:left w:val="none" w:sz="0" w:space="0" w:color="auto"/>
            <w:bottom w:val="none" w:sz="0" w:space="0" w:color="auto"/>
            <w:right w:val="none" w:sz="0" w:space="0" w:color="auto"/>
          </w:divBdr>
        </w:div>
        <w:div w:id="497042722">
          <w:marLeft w:val="0"/>
          <w:marRight w:val="0"/>
          <w:marTop w:val="0"/>
          <w:marBottom w:val="0"/>
          <w:divBdr>
            <w:top w:val="none" w:sz="0" w:space="0" w:color="auto"/>
            <w:left w:val="none" w:sz="0" w:space="0" w:color="auto"/>
            <w:bottom w:val="none" w:sz="0" w:space="0" w:color="auto"/>
            <w:right w:val="none" w:sz="0" w:space="0" w:color="auto"/>
          </w:divBdr>
        </w:div>
        <w:div w:id="572817227">
          <w:marLeft w:val="0"/>
          <w:marRight w:val="0"/>
          <w:marTop w:val="0"/>
          <w:marBottom w:val="0"/>
          <w:divBdr>
            <w:top w:val="none" w:sz="0" w:space="0" w:color="auto"/>
            <w:left w:val="none" w:sz="0" w:space="0" w:color="auto"/>
            <w:bottom w:val="none" w:sz="0" w:space="0" w:color="auto"/>
            <w:right w:val="none" w:sz="0" w:space="0" w:color="auto"/>
          </w:divBdr>
        </w:div>
        <w:div w:id="762720889">
          <w:marLeft w:val="0"/>
          <w:marRight w:val="0"/>
          <w:marTop w:val="0"/>
          <w:marBottom w:val="0"/>
          <w:divBdr>
            <w:top w:val="none" w:sz="0" w:space="0" w:color="auto"/>
            <w:left w:val="none" w:sz="0" w:space="0" w:color="auto"/>
            <w:bottom w:val="none" w:sz="0" w:space="0" w:color="auto"/>
            <w:right w:val="none" w:sz="0" w:space="0" w:color="auto"/>
          </w:divBdr>
        </w:div>
        <w:div w:id="805975279">
          <w:marLeft w:val="0"/>
          <w:marRight w:val="0"/>
          <w:marTop w:val="0"/>
          <w:marBottom w:val="0"/>
          <w:divBdr>
            <w:top w:val="none" w:sz="0" w:space="0" w:color="auto"/>
            <w:left w:val="none" w:sz="0" w:space="0" w:color="auto"/>
            <w:bottom w:val="none" w:sz="0" w:space="0" w:color="auto"/>
            <w:right w:val="none" w:sz="0" w:space="0" w:color="auto"/>
          </w:divBdr>
        </w:div>
        <w:div w:id="915750877">
          <w:marLeft w:val="0"/>
          <w:marRight w:val="0"/>
          <w:marTop w:val="0"/>
          <w:marBottom w:val="0"/>
          <w:divBdr>
            <w:top w:val="none" w:sz="0" w:space="0" w:color="auto"/>
            <w:left w:val="none" w:sz="0" w:space="0" w:color="auto"/>
            <w:bottom w:val="none" w:sz="0" w:space="0" w:color="auto"/>
            <w:right w:val="none" w:sz="0" w:space="0" w:color="auto"/>
          </w:divBdr>
        </w:div>
        <w:div w:id="1030178878">
          <w:marLeft w:val="0"/>
          <w:marRight w:val="0"/>
          <w:marTop w:val="0"/>
          <w:marBottom w:val="0"/>
          <w:divBdr>
            <w:top w:val="none" w:sz="0" w:space="0" w:color="auto"/>
            <w:left w:val="none" w:sz="0" w:space="0" w:color="auto"/>
            <w:bottom w:val="none" w:sz="0" w:space="0" w:color="auto"/>
            <w:right w:val="none" w:sz="0" w:space="0" w:color="auto"/>
          </w:divBdr>
        </w:div>
        <w:div w:id="1052772282">
          <w:marLeft w:val="0"/>
          <w:marRight w:val="0"/>
          <w:marTop w:val="0"/>
          <w:marBottom w:val="0"/>
          <w:divBdr>
            <w:top w:val="none" w:sz="0" w:space="0" w:color="auto"/>
            <w:left w:val="none" w:sz="0" w:space="0" w:color="auto"/>
            <w:bottom w:val="none" w:sz="0" w:space="0" w:color="auto"/>
            <w:right w:val="none" w:sz="0" w:space="0" w:color="auto"/>
          </w:divBdr>
        </w:div>
        <w:div w:id="1105225122">
          <w:marLeft w:val="0"/>
          <w:marRight w:val="0"/>
          <w:marTop w:val="0"/>
          <w:marBottom w:val="0"/>
          <w:divBdr>
            <w:top w:val="none" w:sz="0" w:space="0" w:color="auto"/>
            <w:left w:val="none" w:sz="0" w:space="0" w:color="auto"/>
            <w:bottom w:val="none" w:sz="0" w:space="0" w:color="auto"/>
            <w:right w:val="none" w:sz="0" w:space="0" w:color="auto"/>
          </w:divBdr>
        </w:div>
        <w:div w:id="1248419640">
          <w:marLeft w:val="0"/>
          <w:marRight w:val="0"/>
          <w:marTop w:val="0"/>
          <w:marBottom w:val="0"/>
          <w:divBdr>
            <w:top w:val="none" w:sz="0" w:space="0" w:color="auto"/>
            <w:left w:val="none" w:sz="0" w:space="0" w:color="auto"/>
            <w:bottom w:val="none" w:sz="0" w:space="0" w:color="auto"/>
            <w:right w:val="none" w:sz="0" w:space="0" w:color="auto"/>
          </w:divBdr>
        </w:div>
        <w:div w:id="1456413609">
          <w:marLeft w:val="0"/>
          <w:marRight w:val="0"/>
          <w:marTop w:val="0"/>
          <w:marBottom w:val="0"/>
          <w:divBdr>
            <w:top w:val="none" w:sz="0" w:space="0" w:color="auto"/>
            <w:left w:val="none" w:sz="0" w:space="0" w:color="auto"/>
            <w:bottom w:val="none" w:sz="0" w:space="0" w:color="auto"/>
            <w:right w:val="none" w:sz="0" w:space="0" w:color="auto"/>
          </w:divBdr>
        </w:div>
        <w:div w:id="1560702644">
          <w:marLeft w:val="0"/>
          <w:marRight w:val="0"/>
          <w:marTop w:val="0"/>
          <w:marBottom w:val="0"/>
          <w:divBdr>
            <w:top w:val="none" w:sz="0" w:space="0" w:color="auto"/>
            <w:left w:val="none" w:sz="0" w:space="0" w:color="auto"/>
            <w:bottom w:val="none" w:sz="0" w:space="0" w:color="auto"/>
            <w:right w:val="none" w:sz="0" w:space="0" w:color="auto"/>
          </w:divBdr>
        </w:div>
        <w:div w:id="1566456115">
          <w:marLeft w:val="0"/>
          <w:marRight w:val="0"/>
          <w:marTop w:val="0"/>
          <w:marBottom w:val="0"/>
          <w:divBdr>
            <w:top w:val="none" w:sz="0" w:space="0" w:color="auto"/>
            <w:left w:val="none" w:sz="0" w:space="0" w:color="auto"/>
            <w:bottom w:val="none" w:sz="0" w:space="0" w:color="auto"/>
            <w:right w:val="none" w:sz="0" w:space="0" w:color="auto"/>
          </w:divBdr>
        </w:div>
        <w:div w:id="1736005227">
          <w:marLeft w:val="0"/>
          <w:marRight w:val="0"/>
          <w:marTop w:val="0"/>
          <w:marBottom w:val="0"/>
          <w:divBdr>
            <w:top w:val="none" w:sz="0" w:space="0" w:color="auto"/>
            <w:left w:val="none" w:sz="0" w:space="0" w:color="auto"/>
            <w:bottom w:val="none" w:sz="0" w:space="0" w:color="auto"/>
            <w:right w:val="none" w:sz="0" w:space="0" w:color="auto"/>
          </w:divBdr>
        </w:div>
        <w:div w:id="1803645034">
          <w:marLeft w:val="0"/>
          <w:marRight w:val="0"/>
          <w:marTop w:val="0"/>
          <w:marBottom w:val="0"/>
          <w:divBdr>
            <w:top w:val="none" w:sz="0" w:space="0" w:color="auto"/>
            <w:left w:val="none" w:sz="0" w:space="0" w:color="auto"/>
            <w:bottom w:val="none" w:sz="0" w:space="0" w:color="auto"/>
            <w:right w:val="none" w:sz="0" w:space="0" w:color="auto"/>
          </w:divBdr>
        </w:div>
        <w:div w:id="1820030379">
          <w:marLeft w:val="0"/>
          <w:marRight w:val="0"/>
          <w:marTop w:val="0"/>
          <w:marBottom w:val="0"/>
          <w:divBdr>
            <w:top w:val="none" w:sz="0" w:space="0" w:color="auto"/>
            <w:left w:val="none" w:sz="0" w:space="0" w:color="auto"/>
            <w:bottom w:val="none" w:sz="0" w:space="0" w:color="auto"/>
            <w:right w:val="none" w:sz="0" w:space="0" w:color="auto"/>
          </w:divBdr>
        </w:div>
        <w:div w:id="1848248243">
          <w:marLeft w:val="0"/>
          <w:marRight w:val="0"/>
          <w:marTop w:val="0"/>
          <w:marBottom w:val="0"/>
          <w:divBdr>
            <w:top w:val="none" w:sz="0" w:space="0" w:color="auto"/>
            <w:left w:val="none" w:sz="0" w:space="0" w:color="auto"/>
            <w:bottom w:val="none" w:sz="0" w:space="0" w:color="auto"/>
            <w:right w:val="none" w:sz="0" w:space="0" w:color="auto"/>
          </w:divBdr>
        </w:div>
        <w:div w:id="1949923525">
          <w:marLeft w:val="0"/>
          <w:marRight w:val="0"/>
          <w:marTop w:val="0"/>
          <w:marBottom w:val="0"/>
          <w:divBdr>
            <w:top w:val="none" w:sz="0" w:space="0" w:color="auto"/>
            <w:left w:val="none" w:sz="0" w:space="0" w:color="auto"/>
            <w:bottom w:val="none" w:sz="0" w:space="0" w:color="auto"/>
            <w:right w:val="none" w:sz="0" w:space="0" w:color="auto"/>
          </w:divBdr>
        </w:div>
      </w:divsChild>
    </w:div>
    <w:div w:id="272447053">
      <w:bodyDiv w:val="1"/>
      <w:marLeft w:val="0"/>
      <w:marRight w:val="0"/>
      <w:marTop w:val="0"/>
      <w:marBottom w:val="0"/>
      <w:divBdr>
        <w:top w:val="none" w:sz="0" w:space="0" w:color="auto"/>
        <w:left w:val="none" w:sz="0" w:space="0" w:color="auto"/>
        <w:bottom w:val="none" w:sz="0" w:space="0" w:color="auto"/>
        <w:right w:val="none" w:sz="0" w:space="0" w:color="auto"/>
      </w:divBdr>
      <w:divsChild>
        <w:div w:id="258877679">
          <w:marLeft w:val="0"/>
          <w:marRight w:val="0"/>
          <w:marTop w:val="0"/>
          <w:marBottom w:val="0"/>
          <w:divBdr>
            <w:top w:val="none" w:sz="0" w:space="0" w:color="auto"/>
            <w:left w:val="none" w:sz="0" w:space="0" w:color="auto"/>
            <w:bottom w:val="none" w:sz="0" w:space="0" w:color="auto"/>
            <w:right w:val="none" w:sz="0" w:space="0" w:color="auto"/>
          </w:divBdr>
          <w:divsChild>
            <w:div w:id="826946437">
              <w:marLeft w:val="0"/>
              <w:marRight w:val="0"/>
              <w:marTop w:val="0"/>
              <w:marBottom w:val="0"/>
              <w:divBdr>
                <w:top w:val="none" w:sz="0" w:space="0" w:color="auto"/>
                <w:left w:val="none" w:sz="0" w:space="0" w:color="auto"/>
                <w:bottom w:val="none" w:sz="0" w:space="0" w:color="auto"/>
                <w:right w:val="none" w:sz="0" w:space="0" w:color="auto"/>
              </w:divBdr>
            </w:div>
          </w:divsChild>
        </w:div>
        <w:div w:id="414664607">
          <w:marLeft w:val="0"/>
          <w:marRight w:val="0"/>
          <w:marTop w:val="0"/>
          <w:marBottom w:val="0"/>
          <w:divBdr>
            <w:top w:val="none" w:sz="0" w:space="0" w:color="auto"/>
            <w:left w:val="none" w:sz="0" w:space="0" w:color="auto"/>
            <w:bottom w:val="none" w:sz="0" w:space="0" w:color="auto"/>
            <w:right w:val="none" w:sz="0" w:space="0" w:color="auto"/>
          </w:divBdr>
          <w:divsChild>
            <w:div w:id="358548387">
              <w:marLeft w:val="0"/>
              <w:marRight w:val="0"/>
              <w:marTop w:val="0"/>
              <w:marBottom w:val="0"/>
              <w:divBdr>
                <w:top w:val="none" w:sz="0" w:space="0" w:color="auto"/>
                <w:left w:val="none" w:sz="0" w:space="0" w:color="auto"/>
                <w:bottom w:val="none" w:sz="0" w:space="0" w:color="auto"/>
                <w:right w:val="none" w:sz="0" w:space="0" w:color="auto"/>
              </w:divBdr>
            </w:div>
          </w:divsChild>
        </w:div>
        <w:div w:id="419253271">
          <w:marLeft w:val="0"/>
          <w:marRight w:val="0"/>
          <w:marTop w:val="0"/>
          <w:marBottom w:val="0"/>
          <w:divBdr>
            <w:top w:val="none" w:sz="0" w:space="0" w:color="auto"/>
            <w:left w:val="none" w:sz="0" w:space="0" w:color="auto"/>
            <w:bottom w:val="none" w:sz="0" w:space="0" w:color="auto"/>
            <w:right w:val="none" w:sz="0" w:space="0" w:color="auto"/>
          </w:divBdr>
          <w:divsChild>
            <w:div w:id="1991012841">
              <w:marLeft w:val="0"/>
              <w:marRight w:val="0"/>
              <w:marTop w:val="0"/>
              <w:marBottom w:val="0"/>
              <w:divBdr>
                <w:top w:val="none" w:sz="0" w:space="0" w:color="auto"/>
                <w:left w:val="none" w:sz="0" w:space="0" w:color="auto"/>
                <w:bottom w:val="none" w:sz="0" w:space="0" w:color="auto"/>
                <w:right w:val="none" w:sz="0" w:space="0" w:color="auto"/>
              </w:divBdr>
            </w:div>
          </w:divsChild>
        </w:div>
        <w:div w:id="873230274">
          <w:marLeft w:val="0"/>
          <w:marRight w:val="0"/>
          <w:marTop w:val="0"/>
          <w:marBottom w:val="0"/>
          <w:divBdr>
            <w:top w:val="none" w:sz="0" w:space="0" w:color="auto"/>
            <w:left w:val="none" w:sz="0" w:space="0" w:color="auto"/>
            <w:bottom w:val="none" w:sz="0" w:space="0" w:color="auto"/>
            <w:right w:val="none" w:sz="0" w:space="0" w:color="auto"/>
          </w:divBdr>
          <w:divsChild>
            <w:div w:id="922490956">
              <w:marLeft w:val="0"/>
              <w:marRight w:val="0"/>
              <w:marTop w:val="0"/>
              <w:marBottom w:val="0"/>
              <w:divBdr>
                <w:top w:val="none" w:sz="0" w:space="0" w:color="auto"/>
                <w:left w:val="none" w:sz="0" w:space="0" w:color="auto"/>
                <w:bottom w:val="none" w:sz="0" w:space="0" w:color="auto"/>
                <w:right w:val="none" w:sz="0" w:space="0" w:color="auto"/>
              </w:divBdr>
            </w:div>
          </w:divsChild>
        </w:div>
        <w:div w:id="962619719">
          <w:marLeft w:val="0"/>
          <w:marRight w:val="0"/>
          <w:marTop w:val="0"/>
          <w:marBottom w:val="0"/>
          <w:divBdr>
            <w:top w:val="none" w:sz="0" w:space="0" w:color="auto"/>
            <w:left w:val="none" w:sz="0" w:space="0" w:color="auto"/>
            <w:bottom w:val="none" w:sz="0" w:space="0" w:color="auto"/>
            <w:right w:val="none" w:sz="0" w:space="0" w:color="auto"/>
          </w:divBdr>
          <w:divsChild>
            <w:div w:id="1677271004">
              <w:marLeft w:val="0"/>
              <w:marRight w:val="0"/>
              <w:marTop w:val="0"/>
              <w:marBottom w:val="0"/>
              <w:divBdr>
                <w:top w:val="none" w:sz="0" w:space="0" w:color="auto"/>
                <w:left w:val="none" w:sz="0" w:space="0" w:color="auto"/>
                <w:bottom w:val="none" w:sz="0" w:space="0" w:color="auto"/>
                <w:right w:val="none" w:sz="0" w:space="0" w:color="auto"/>
              </w:divBdr>
            </w:div>
          </w:divsChild>
        </w:div>
        <w:div w:id="1575160784">
          <w:marLeft w:val="0"/>
          <w:marRight w:val="0"/>
          <w:marTop w:val="0"/>
          <w:marBottom w:val="0"/>
          <w:divBdr>
            <w:top w:val="none" w:sz="0" w:space="0" w:color="auto"/>
            <w:left w:val="none" w:sz="0" w:space="0" w:color="auto"/>
            <w:bottom w:val="none" w:sz="0" w:space="0" w:color="auto"/>
            <w:right w:val="none" w:sz="0" w:space="0" w:color="auto"/>
          </w:divBdr>
          <w:divsChild>
            <w:div w:id="446891534">
              <w:marLeft w:val="0"/>
              <w:marRight w:val="0"/>
              <w:marTop w:val="0"/>
              <w:marBottom w:val="0"/>
              <w:divBdr>
                <w:top w:val="none" w:sz="0" w:space="0" w:color="auto"/>
                <w:left w:val="none" w:sz="0" w:space="0" w:color="auto"/>
                <w:bottom w:val="none" w:sz="0" w:space="0" w:color="auto"/>
                <w:right w:val="none" w:sz="0" w:space="0" w:color="auto"/>
              </w:divBdr>
            </w:div>
          </w:divsChild>
        </w:div>
        <w:div w:id="1622688582">
          <w:marLeft w:val="0"/>
          <w:marRight w:val="0"/>
          <w:marTop w:val="0"/>
          <w:marBottom w:val="0"/>
          <w:divBdr>
            <w:top w:val="none" w:sz="0" w:space="0" w:color="auto"/>
            <w:left w:val="none" w:sz="0" w:space="0" w:color="auto"/>
            <w:bottom w:val="none" w:sz="0" w:space="0" w:color="auto"/>
            <w:right w:val="none" w:sz="0" w:space="0" w:color="auto"/>
          </w:divBdr>
          <w:divsChild>
            <w:div w:id="45182366">
              <w:marLeft w:val="0"/>
              <w:marRight w:val="0"/>
              <w:marTop w:val="0"/>
              <w:marBottom w:val="0"/>
              <w:divBdr>
                <w:top w:val="none" w:sz="0" w:space="0" w:color="auto"/>
                <w:left w:val="none" w:sz="0" w:space="0" w:color="auto"/>
                <w:bottom w:val="none" w:sz="0" w:space="0" w:color="auto"/>
                <w:right w:val="none" w:sz="0" w:space="0" w:color="auto"/>
              </w:divBdr>
            </w:div>
          </w:divsChild>
        </w:div>
        <w:div w:id="1854538015">
          <w:marLeft w:val="0"/>
          <w:marRight w:val="0"/>
          <w:marTop w:val="0"/>
          <w:marBottom w:val="0"/>
          <w:divBdr>
            <w:top w:val="none" w:sz="0" w:space="0" w:color="auto"/>
            <w:left w:val="none" w:sz="0" w:space="0" w:color="auto"/>
            <w:bottom w:val="none" w:sz="0" w:space="0" w:color="auto"/>
            <w:right w:val="none" w:sz="0" w:space="0" w:color="auto"/>
          </w:divBdr>
          <w:divsChild>
            <w:div w:id="10888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7919">
      <w:bodyDiv w:val="1"/>
      <w:marLeft w:val="0"/>
      <w:marRight w:val="0"/>
      <w:marTop w:val="0"/>
      <w:marBottom w:val="0"/>
      <w:divBdr>
        <w:top w:val="none" w:sz="0" w:space="0" w:color="auto"/>
        <w:left w:val="none" w:sz="0" w:space="0" w:color="auto"/>
        <w:bottom w:val="none" w:sz="0" w:space="0" w:color="auto"/>
        <w:right w:val="none" w:sz="0" w:space="0" w:color="auto"/>
      </w:divBdr>
    </w:div>
    <w:div w:id="331950790">
      <w:bodyDiv w:val="1"/>
      <w:marLeft w:val="0"/>
      <w:marRight w:val="0"/>
      <w:marTop w:val="0"/>
      <w:marBottom w:val="0"/>
      <w:divBdr>
        <w:top w:val="none" w:sz="0" w:space="0" w:color="auto"/>
        <w:left w:val="none" w:sz="0" w:space="0" w:color="auto"/>
        <w:bottom w:val="none" w:sz="0" w:space="0" w:color="auto"/>
        <w:right w:val="none" w:sz="0" w:space="0" w:color="auto"/>
      </w:divBdr>
    </w:div>
    <w:div w:id="345250842">
      <w:bodyDiv w:val="1"/>
      <w:marLeft w:val="0"/>
      <w:marRight w:val="0"/>
      <w:marTop w:val="0"/>
      <w:marBottom w:val="0"/>
      <w:divBdr>
        <w:top w:val="none" w:sz="0" w:space="0" w:color="auto"/>
        <w:left w:val="none" w:sz="0" w:space="0" w:color="auto"/>
        <w:bottom w:val="none" w:sz="0" w:space="0" w:color="auto"/>
        <w:right w:val="none" w:sz="0" w:space="0" w:color="auto"/>
      </w:divBdr>
    </w:div>
    <w:div w:id="406222358">
      <w:bodyDiv w:val="1"/>
      <w:marLeft w:val="0"/>
      <w:marRight w:val="0"/>
      <w:marTop w:val="0"/>
      <w:marBottom w:val="0"/>
      <w:divBdr>
        <w:top w:val="none" w:sz="0" w:space="0" w:color="auto"/>
        <w:left w:val="none" w:sz="0" w:space="0" w:color="auto"/>
        <w:bottom w:val="none" w:sz="0" w:space="0" w:color="auto"/>
        <w:right w:val="none" w:sz="0" w:space="0" w:color="auto"/>
      </w:divBdr>
    </w:div>
    <w:div w:id="470707391">
      <w:bodyDiv w:val="1"/>
      <w:marLeft w:val="0"/>
      <w:marRight w:val="0"/>
      <w:marTop w:val="0"/>
      <w:marBottom w:val="0"/>
      <w:divBdr>
        <w:top w:val="none" w:sz="0" w:space="0" w:color="auto"/>
        <w:left w:val="none" w:sz="0" w:space="0" w:color="auto"/>
        <w:bottom w:val="none" w:sz="0" w:space="0" w:color="auto"/>
        <w:right w:val="none" w:sz="0" w:space="0" w:color="auto"/>
      </w:divBdr>
    </w:div>
    <w:div w:id="536115780">
      <w:bodyDiv w:val="1"/>
      <w:marLeft w:val="0"/>
      <w:marRight w:val="0"/>
      <w:marTop w:val="0"/>
      <w:marBottom w:val="0"/>
      <w:divBdr>
        <w:top w:val="none" w:sz="0" w:space="0" w:color="auto"/>
        <w:left w:val="none" w:sz="0" w:space="0" w:color="auto"/>
        <w:bottom w:val="none" w:sz="0" w:space="0" w:color="auto"/>
        <w:right w:val="none" w:sz="0" w:space="0" w:color="auto"/>
      </w:divBdr>
      <w:divsChild>
        <w:div w:id="35471832">
          <w:marLeft w:val="0"/>
          <w:marRight w:val="0"/>
          <w:marTop w:val="0"/>
          <w:marBottom w:val="0"/>
          <w:divBdr>
            <w:top w:val="none" w:sz="0" w:space="0" w:color="auto"/>
            <w:left w:val="none" w:sz="0" w:space="0" w:color="auto"/>
            <w:bottom w:val="none" w:sz="0" w:space="0" w:color="auto"/>
            <w:right w:val="none" w:sz="0" w:space="0" w:color="auto"/>
          </w:divBdr>
        </w:div>
        <w:div w:id="1355763110">
          <w:marLeft w:val="0"/>
          <w:marRight w:val="0"/>
          <w:marTop w:val="0"/>
          <w:marBottom w:val="0"/>
          <w:divBdr>
            <w:top w:val="none" w:sz="0" w:space="0" w:color="auto"/>
            <w:left w:val="none" w:sz="0" w:space="0" w:color="auto"/>
            <w:bottom w:val="none" w:sz="0" w:space="0" w:color="auto"/>
            <w:right w:val="none" w:sz="0" w:space="0" w:color="auto"/>
          </w:divBdr>
        </w:div>
      </w:divsChild>
    </w:div>
    <w:div w:id="543718557">
      <w:bodyDiv w:val="1"/>
      <w:marLeft w:val="0"/>
      <w:marRight w:val="0"/>
      <w:marTop w:val="0"/>
      <w:marBottom w:val="0"/>
      <w:divBdr>
        <w:top w:val="none" w:sz="0" w:space="0" w:color="auto"/>
        <w:left w:val="none" w:sz="0" w:space="0" w:color="auto"/>
        <w:bottom w:val="none" w:sz="0" w:space="0" w:color="auto"/>
        <w:right w:val="none" w:sz="0" w:space="0" w:color="auto"/>
      </w:divBdr>
    </w:div>
    <w:div w:id="558325644">
      <w:bodyDiv w:val="1"/>
      <w:marLeft w:val="0"/>
      <w:marRight w:val="0"/>
      <w:marTop w:val="0"/>
      <w:marBottom w:val="0"/>
      <w:divBdr>
        <w:top w:val="none" w:sz="0" w:space="0" w:color="auto"/>
        <w:left w:val="none" w:sz="0" w:space="0" w:color="auto"/>
        <w:bottom w:val="none" w:sz="0" w:space="0" w:color="auto"/>
        <w:right w:val="none" w:sz="0" w:space="0" w:color="auto"/>
      </w:divBdr>
    </w:div>
    <w:div w:id="571308564">
      <w:bodyDiv w:val="1"/>
      <w:marLeft w:val="0"/>
      <w:marRight w:val="0"/>
      <w:marTop w:val="0"/>
      <w:marBottom w:val="0"/>
      <w:divBdr>
        <w:top w:val="none" w:sz="0" w:space="0" w:color="auto"/>
        <w:left w:val="none" w:sz="0" w:space="0" w:color="auto"/>
        <w:bottom w:val="none" w:sz="0" w:space="0" w:color="auto"/>
        <w:right w:val="none" w:sz="0" w:space="0" w:color="auto"/>
      </w:divBdr>
    </w:div>
    <w:div w:id="668337100">
      <w:bodyDiv w:val="1"/>
      <w:marLeft w:val="0"/>
      <w:marRight w:val="0"/>
      <w:marTop w:val="0"/>
      <w:marBottom w:val="0"/>
      <w:divBdr>
        <w:top w:val="none" w:sz="0" w:space="0" w:color="auto"/>
        <w:left w:val="none" w:sz="0" w:space="0" w:color="auto"/>
        <w:bottom w:val="none" w:sz="0" w:space="0" w:color="auto"/>
        <w:right w:val="none" w:sz="0" w:space="0" w:color="auto"/>
      </w:divBdr>
    </w:div>
    <w:div w:id="691609009">
      <w:bodyDiv w:val="1"/>
      <w:marLeft w:val="0"/>
      <w:marRight w:val="0"/>
      <w:marTop w:val="0"/>
      <w:marBottom w:val="0"/>
      <w:divBdr>
        <w:top w:val="none" w:sz="0" w:space="0" w:color="auto"/>
        <w:left w:val="none" w:sz="0" w:space="0" w:color="auto"/>
        <w:bottom w:val="none" w:sz="0" w:space="0" w:color="auto"/>
        <w:right w:val="none" w:sz="0" w:space="0" w:color="auto"/>
      </w:divBdr>
    </w:div>
    <w:div w:id="733814877">
      <w:bodyDiv w:val="1"/>
      <w:marLeft w:val="0"/>
      <w:marRight w:val="0"/>
      <w:marTop w:val="0"/>
      <w:marBottom w:val="0"/>
      <w:divBdr>
        <w:top w:val="none" w:sz="0" w:space="0" w:color="auto"/>
        <w:left w:val="none" w:sz="0" w:space="0" w:color="auto"/>
        <w:bottom w:val="none" w:sz="0" w:space="0" w:color="auto"/>
        <w:right w:val="none" w:sz="0" w:space="0" w:color="auto"/>
      </w:divBdr>
    </w:div>
    <w:div w:id="775976960">
      <w:bodyDiv w:val="1"/>
      <w:marLeft w:val="0"/>
      <w:marRight w:val="0"/>
      <w:marTop w:val="0"/>
      <w:marBottom w:val="0"/>
      <w:divBdr>
        <w:top w:val="none" w:sz="0" w:space="0" w:color="auto"/>
        <w:left w:val="none" w:sz="0" w:space="0" w:color="auto"/>
        <w:bottom w:val="none" w:sz="0" w:space="0" w:color="auto"/>
        <w:right w:val="none" w:sz="0" w:space="0" w:color="auto"/>
      </w:divBdr>
    </w:div>
    <w:div w:id="793986536">
      <w:bodyDiv w:val="1"/>
      <w:marLeft w:val="0"/>
      <w:marRight w:val="0"/>
      <w:marTop w:val="0"/>
      <w:marBottom w:val="0"/>
      <w:divBdr>
        <w:top w:val="none" w:sz="0" w:space="0" w:color="auto"/>
        <w:left w:val="none" w:sz="0" w:space="0" w:color="auto"/>
        <w:bottom w:val="none" w:sz="0" w:space="0" w:color="auto"/>
        <w:right w:val="none" w:sz="0" w:space="0" w:color="auto"/>
      </w:divBdr>
      <w:divsChild>
        <w:div w:id="754057729">
          <w:marLeft w:val="0"/>
          <w:marRight w:val="0"/>
          <w:marTop w:val="0"/>
          <w:marBottom w:val="0"/>
          <w:divBdr>
            <w:top w:val="none" w:sz="0" w:space="0" w:color="auto"/>
            <w:left w:val="none" w:sz="0" w:space="0" w:color="auto"/>
            <w:bottom w:val="none" w:sz="0" w:space="0" w:color="auto"/>
            <w:right w:val="none" w:sz="0" w:space="0" w:color="auto"/>
          </w:divBdr>
        </w:div>
        <w:div w:id="2037269703">
          <w:marLeft w:val="0"/>
          <w:marRight w:val="0"/>
          <w:marTop w:val="0"/>
          <w:marBottom w:val="0"/>
          <w:divBdr>
            <w:top w:val="none" w:sz="0" w:space="0" w:color="auto"/>
            <w:left w:val="none" w:sz="0" w:space="0" w:color="auto"/>
            <w:bottom w:val="none" w:sz="0" w:space="0" w:color="auto"/>
            <w:right w:val="none" w:sz="0" w:space="0" w:color="auto"/>
          </w:divBdr>
        </w:div>
      </w:divsChild>
    </w:div>
    <w:div w:id="804077976">
      <w:bodyDiv w:val="1"/>
      <w:marLeft w:val="0"/>
      <w:marRight w:val="0"/>
      <w:marTop w:val="0"/>
      <w:marBottom w:val="0"/>
      <w:divBdr>
        <w:top w:val="none" w:sz="0" w:space="0" w:color="auto"/>
        <w:left w:val="none" w:sz="0" w:space="0" w:color="auto"/>
        <w:bottom w:val="none" w:sz="0" w:space="0" w:color="auto"/>
        <w:right w:val="none" w:sz="0" w:space="0" w:color="auto"/>
      </w:divBdr>
    </w:div>
    <w:div w:id="805777990">
      <w:bodyDiv w:val="1"/>
      <w:marLeft w:val="0"/>
      <w:marRight w:val="0"/>
      <w:marTop w:val="0"/>
      <w:marBottom w:val="0"/>
      <w:divBdr>
        <w:top w:val="none" w:sz="0" w:space="0" w:color="auto"/>
        <w:left w:val="none" w:sz="0" w:space="0" w:color="auto"/>
        <w:bottom w:val="none" w:sz="0" w:space="0" w:color="auto"/>
        <w:right w:val="none" w:sz="0" w:space="0" w:color="auto"/>
      </w:divBdr>
    </w:div>
    <w:div w:id="838695178">
      <w:bodyDiv w:val="1"/>
      <w:marLeft w:val="0"/>
      <w:marRight w:val="0"/>
      <w:marTop w:val="0"/>
      <w:marBottom w:val="0"/>
      <w:divBdr>
        <w:top w:val="none" w:sz="0" w:space="0" w:color="auto"/>
        <w:left w:val="none" w:sz="0" w:space="0" w:color="auto"/>
        <w:bottom w:val="none" w:sz="0" w:space="0" w:color="auto"/>
        <w:right w:val="none" w:sz="0" w:space="0" w:color="auto"/>
      </w:divBdr>
      <w:divsChild>
        <w:div w:id="481239710">
          <w:marLeft w:val="0"/>
          <w:marRight w:val="0"/>
          <w:marTop w:val="0"/>
          <w:marBottom w:val="0"/>
          <w:divBdr>
            <w:top w:val="none" w:sz="0" w:space="0" w:color="auto"/>
            <w:left w:val="none" w:sz="0" w:space="0" w:color="auto"/>
            <w:bottom w:val="none" w:sz="0" w:space="0" w:color="auto"/>
            <w:right w:val="none" w:sz="0" w:space="0" w:color="auto"/>
          </w:divBdr>
          <w:divsChild>
            <w:div w:id="1229725222">
              <w:marLeft w:val="0"/>
              <w:marRight w:val="0"/>
              <w:marTop w:val="0"/>
              <w:marBottom w:val="0"/>
              <w:divBdr>
                <w:top w:val="none" w:sz="0" w:space="0" w:color="auto"/>
                <w:left w:val="none" w:sz="0" w:space="0" w:color="auto"/>
                <w:bottom w:val="none" w:sz="0" w:space="0" w:color="auto"/>
                <w:right w:val="none" w:sz="0" w:space="0" w:color="auto"/>
              </w:divBdr>
            </w:div>
          </w:divsChild>
        </w:div>
        <w:div w:id="898443932">
          <w:marLeft w:val="0"/>
          <w:marRight w:val="0"/>
          <w:marTop w:val="0"/>
          <w:marBottom w:val="0"/>
          <w:divBdr>
            <w:top w:val="none" w:sz="0" w:space="0" w:color="auto"/>
            <w:left w:val="none" w:sz="0" w:space="0" w:color="auto"/>
            <w:bottom w:val="none" w:sz="0" w:space="0" w:color="auto"/>
            <w:right w:val="none" w:sz="0" w:space="0" w:color="auto"/>
          </w:divBdr>
          <w:divsChild>
            <w:div w:id="614825087">
              <w:marLeft w:val="0"/>
              <w:marRight w:val="0"/>
              <w:marTop w:val="0"/>
              <w:marBottom w:val="0"/>
              <w:divBdr>
                <w:top w:val="none" w:sz="0" w:space="0" w:color="auto"/>
                <w:left w:val="none" w:sz="0" w:space="0" w:color="auto"/>
                <w:bottom w:val="none" w:sz="0" w:space="0" w:color="auto"/>
                <w:right w:val="none" w:sz="0" w:space="0" w:color="auto"/>
              </w:divBdr>
            </w:div>
          </w:divsChild>
        </w:div>
        <w:div w:id="900750900">
          <w:marLeft w:val="0"/>
          <w:marRight w:val="0"/>
          <w:marTop w:val="0"/>
          <w:marBottom w:val="0"/>
          <w:divBdr>
            <w:top w:val="none" w:sz="0" w:space="0" w:color="auto"/>
            <w:left w:val="none" w:sz="0" w:space="0" w:color="auto"/>
            <w:bottom w:val="none" w:sz="0" w:space="0" w:color="auto"/>
            <w:right w:val="none" w:sz="0" w:space="0" w:color="auto"/>
          </w:divBdr>
          <w:divsChild>
            <w:div w:id="1173059700">
              <w:marLeft w:val="0"/>
              <w:marRight w:val="0"/>
              <w:marTop w:val="0"/>
              <w:marBottom w:val="0"/>
              <w:divBdr>
                <w:top w:val="none" w:sz="0" w:space="0" w:color="auto"/>
                <w:left w:val="none" w:sz="0" w:space="0" w:color="auto"/>
                <w:bottom w:val="none" w:sz="0" w:space="0" w:color="auto"/>
                <w:right w:val="none" w:sz="0" w:space="0" w:color="auto"/>
              </w:divBdr>
            </w:div>
          </w:divsChild>
        </w:div>
        <w:div w:id="976297039">
          <w:marLeft w:val="0"/>
          <w:marRight w:val="0"/>
          <w:marTop w:val="0"/>
          <w:marBottom w:val="0"/>
          <w:divBdr>
            <w:top w:val="none" w:sz="0" w:space="0" w:color="auto"/>
            <w:left w:val="none" w:sz="0" w:space="0" w:color="auto"/>
            <w:bottom w:val="none" w:sz="0" w:space="0" w:color="auto"/>
            <w:right w:val="none" w:sz="0" w:space="0" w:color="auto"/>
          </w:divBdr>
          <w:divsChild>
            <w:div w:id="1515535155">
              <w:marLeft w:val="0"/>
              <w:marRight w:val="0"/>
              <w:marTop w:val="0"/>
              <w:marBottom w:val="0"/>
              <w:divBdr>
                <w:top w:val="none" w:sz="0" w:space="0" w:color="auto"/>
                <w:left w:val="none" w:sz="0" w:space="0" w:color="auto"/>
                <w:bottom w:val="none" w:sz="0" w:space="0" w:color="auto"/>
                <w:right w:val="none" w:sz="0" w:space="0" w:color="auto"/>
              </w:divBdr>
            </w:div>
          </w:divsChild>
        </w:div>
        <w:div w:id="1037970224">
          <w:marLeft w:val="0"/>
          <w:marRight w:val="0"/>
          <w:marTop w:val="0"/>
          <w:marBottom w:val="0"/>
          <w:divBdr>
            <w:top w:val="none" w:sz="0" w:space="0" w:color="auto"/>
            <w:left w:val="none" w:sz="0" w:space="0" w:color="auto"/>
            <w:bottom w:val="none" w:sz="0" w:space="0" w:color="auto"/>
            <w:right w:val="none" w:sz="0" w:space="0" w:color="auto"/>
          </w:divBdr>
          <w:divsChild>
            <w:div w:id="390036053">
              <w:marLeft w:val="0"/>
              <w:marRight w:val="0"/>
              <w:marTop w:val="0"/>
              <w:marBottom w:val="0"/>
              <w:divBdr>
                <w:top w:val="none" w:sz="0" w:space="0" w:color="auto"/>
                <w:left w:val="none" w:sz="0" w:space="0" w:color="auto"/>
                <w:bottom w:val="none" w:sz="0" w:space="0" w:color="auto"/>
                <w:right w:val="none" w:sz="0" w:space="0" w:color="auto"/>
              </w:divBdr>
            </w:div>
          </w:divsChild>
        </w:div>
        <w:div w:id="1249541868">
          <w:marLeft w:val="0"/>
          <w:marRight w:val="0"/>
          <w:marTop w:val="0"/>
          <w:marBottom w:val="0"/>
          <w:divBdr>
            <w:top w:val="none" w:sz="0" w:space="0" w:color="auto"/>
            <w:left w:val="none" w:sz="0" w:space="0" w:color="auto"/>
            <w:bottom w:val="none" w:sz="0" w:space="0" w:color="auto"/>
            <w:right w:val="none" w:sz="0" w:space="0" w:color="auto"/>
          </w:divBdr>
          <w:divsChild>
            <w:div w:id="1775054159">
              <w:marLeft w:val="0"/>
              <w:marRight w:val="0"/>
              <w:marTop w:val="0"/>
              <w:marBottom w:val="0"/>
              <w:divBdr>
                <w:top w:val="none" w:sz="0" w:space="0" w:color="auto"/>
                <w:left w:val="none" w:sz="0" w:space="0" w:color="auto"/>
                <w:bottom w:val="none" w:sz="0" w:space="0" w:color="auto"/>
                <w:right w:val="none" w:sz="0" w:space="0" w:color="auto"/>
              </w:divBdr>
            </w:div>
          </w:divsChild>
        </w:div>
        <w:div w:id="2003660063">
          <w:marLeft w:val="0"/>
          <w:marRight w:val="0"/>
          <w:marTop w:val="0"/>
          <w:marBottom w:val="0"/>
          <w:divBdr>
            <w:top w:val="none" w:sz="0" w:space="0" w:color="auto"/>
            <w:left w:val="none" w:sz="0" w:space="0" w:color="auto"/>
            <w:bottom w:val="none" w:sz="0" w:space="0" w:color="auto"/>
            <w:right w:val="none" w:sz="0" w:space="0" w:color="auto"/>
          </w:divBdr>
          <w:divsChild>
            <w:div w:id="47652672">
              <w:marLeft w:val="0"/>
              <w:marRight w:val="0"/>
              <w:marTop w:val="0"/>
              <w:marBottom w:val="0"/>
              <w:divBdr>
                <w:top w:val="none" w:sz="0" w:space="0" w:color="auto"/>
                <w:left w:val="none" w:sz="0" w:space="0" w:color="auto"/>
                <w:bottom w:val="none" w:sz="0" w:space="0" w:color="auto"/>
                <w:right w:val="none" w:sz="0" w:space="0" w:color="auto"/>
              </w:divBdr>
            </w:div>
          </w:divsChild>
        </w:div>
        <w:div w:id="2127456966">
          <w:marLeft w:val="0"/>
          <w:marRight w:val="0"/>
          <w:marTop w:val="0"/>
          <w:marBottom w:val="0"/>
          <w:divBdr>
            <w:top w:val="none" w:sz="0" w:space="0" w:color="auto"/>
            <w:left w:val="none" w:sz="0" w:space="0" w:color="auto"/>
            <w:bottom w:val="none" w:sz="0" w:space="0" w:color="auto"/>
            <w:right w:val="none" w:sz="0" w:space="0" w:color="auto"/>
          </w:divBdr>
          <w:divsChild>
            <w:div w:id="14300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0235">
      <w:bodyDiv w:val="1"/>
      <w:marLeft w:val="0"/>
      <w:marRight w:val="0"/>
      <w:marTop w:val="0"/>
      <w:marBottom w:val="0"/>
      <w:divBdr>
        <w:top w:val="none" w:sz="0" w:space="0" w:color="auto"/>
        <w:left w:val="none" w:sz="0" w:space="0" w:color="auto"/>
        <w:bottom w:val="none" w:sz="0" w:space="0" w:color="auto"/>
        <w:right w:val="none" w:sz="0" w:space="0" w:color="auto"/>
      </w:divBdr>
      <w:divsChild>
        <w:div w:id="46227368">
          <w:marLeft w:val="0"/>
          <w:marRight w:val="0"/>
          <w:marTop w:val="0"/>
          <w:marBottom w:val="0"/>
          <w:divBdr>
            <w:top w:val="none" w:sz="0" w:space="0" w:color="auto"/>
            <w:left w:val="none" w:sz="0" w:space="0" w:color="auto"/>
            <w:bottom w:val="none" w:sz="0" w:space="0" w:color="auto"/>
            <w:right w:val="none" w:sz="0" w:space="0" w:color="auto"/>
          </w:divBdr>
          <w:divsChild>
            <w:div w:id="1645506308">
              <w:marLeft w:val="0"/>
              <w:marRight w:val="0"/>
              <w:marTop w:val="0"/>
              <w:marBottom w:val="0"/>
              <w:divBdr>
                <w:top w:val="none" w:sz="0" w:space="0" w:color="auto"/>
                <w:left w:val="none" w:sz="0" w:space="0" w:color="auto"/>
                <w:bottom w:val="none" w:sz="0" w:space="0" w:color="auto"/>
                <w:right w:val="none" w:sz="0" w:space="0" w:color="auto"/>
              </w:divBdr>
            </w:div>
          </w:divsChild>
        </w:div>
        <w:div w:id="106895176">
          <w:marLeft w:val="0"/>
          <w:marRight w:val="0"/>
          <w:marTop w:val="0"/>
          <w:marBottom w:val="0"/>
          <w:divBdr>
            <w:top w:val="none" w:sz="0" w:space="0" w:color="auto"/>
            <w:left w:val="none" w:sz="0" w:space="0" w:color="auto"/>
            <w:bottom w:val="none" w:sz="0" w:space="0" w:color="auto"/>
            <w:right w:val="none" w:sz="0" w:space="0" w:color="auto"/>
          </w:divBdr>
          <w:divsChild>
            <w:div w:id="1312365593">
              <w:marLeft w:val="0"/>
              <w:marRight w:val="0"/>
              <w:marTop w:val="0"/>
              <w:marBottom w:val="0"/>
              <w:divBdr>
                <w:top w:val="none" w:sz="0" w:space="0" w:color="auto"/>
                <w:left w:val="none" w:sz="0" w:space="0" w:color="auto"/>
                <w:bottom w:val="none" w:sz="0" w:space="0" w:color="auto"/>
                <w:right w:val="none" w:sz="0" w:space="0" w:color="auto"/>
              </w:divBdr>
            </w:div>
          </w:divsChild>
        </w:div>
        <w:div w:id="110981037">
          <w:marLeft w:val="0"/>
          <w:marRight w:val="0"/>
          <w:marTop w:val="0"/>
          <w:marBottom w:val="0"/>
          <w:divBdr>
            <w:top w:val="none" w:sz="0" w:space="0" w:color="auto"/>
            <w:left w:val="none" w:sz="0" w:space="0" w:color="auto"/>
            <w:bottom w:val="none" w:sz="0" w:space="0" w:color="auto"/>
            <w:right w:val="none" w:sz="0" w:space="0" w:color="auto"/>
          </w:divBdr>
          <w:divsChild>
            <w:div w:id="36323359">
              <w:marLeft w:val="0"/>
              <w:marRight w:val="0"/>
              <w:marTop w:val="0"/>
              <w:marBottom w:val="0"/>
              <w:divBdr>
                <w:top w:val="none" w:sz="0" w:space="0" w:color="auto"/>
                <w:left w:val="none" w:sz="0" w:space="0" w:color="auto"/>
                <w:bottom w:val="none" w:sz="0" w:space="0" w:color="auto"/>
                <w:right w:val="none" w:sz="0" w:space="0" w:color="auto"/>
              </w:divBdr>
            </w:div>
          </w:divsChild>
        </w:div>
        <w:div w:id="249587388">
          <w:marLeft w:val="0"/>
          <w:marRight w:val="0"/>
          <w:marTop w:val="0"/>
          <w:marBottom w:val="0"/>
          <w:divBdr>
            <w:top w:val="none" w:sz="0" w:space="0" w:color="auto"/>
            <w:left w:val="none" w:sz="0" w:space="0" w:color="auto"/>
            <w:bottom w:val="none" w:sz="0" w:space="0" w:color="auto"/>
            <w:right w:val="none" w:sz="0" w:space="0" w:color="auto"/>
          </w:divBdr>
          <w:divsChild>
            <w:div w:id="957181496">
              <w:marLeft w:val="0"/>
              <w:marRight w:val="0"/>
              <w:marTop w:val="0"/>
              <w:marBottom w:val="0"/>
              <w:divBdr>
                <w:top w:val="none" w:sz="0" w:space="0" w:color="auto"/>
                <w:left w:val="none" w:sz="0" w:space="0" w:color="auto"/>
                <w:bottom w:val="none" w:sz="0" w:space="0" w:color="auto"/>
                <w:right w:val="none" w:sz="0" w:space="0" w:color="auto"/>
              </w:divBdr>
            </w:div>
          </w:divsChild>
        </w:div>
        <w:div w:id="298338478">
          <w:marLeft w:val="0"/>
          <w:marRight w:val="0"/>
          <w:marTop w:val="0"/>
          <w:marBottom w:val="0"/>
          <w:divBdr>
            <w:top w:val="none" w:sz="0" w:space="0" w:color="auto"/>
            <w:left w:val="none" w:sz="0" w:space="0" w:color="auto"/>
            <w:bottom w:val="none" w:sz="0" w:space="0" w:color="auto"/>
            <w:right w:val="none" w:sz="0" w:space="0" w:color="auto"/>
          </w:divBdr>
          <w:divsChild>
            <w:div w:id="1479878906">
              <w:marLeft w:val="0"/>
              <w:marRight w:val="0"/>
              <w:marTop w:val="0"/>
              <w:marBottom w:val="0"/>
              <w:divBdr>
                <w:top w:val="none" w:sz="0" w:space="0" w:color="auto"/>
                <w:left w:val="none" w:sz="0" w:space="0" w:color="auto"/>
                <w:bottom w:val="none" w:sz="0" w:space="0" w:color="auto"/>
                <w:right w:val="none" w:sz="0" w:space="0" w:color="auto"/>
              </w:divBdr>
            </w:div>
          </w:divsChild>
        </w:div>
        <w:div w:id="338893316">
          <w:marLeft w:val="0"/>
          <w:marRight w:val="0"/>
          <w:marTop w:val="0"/>
          <w:marBottom w:val="0"/>
          <w:divBdr>
            <w:top w:val="none" w:sz="0" w:space="0" w:color="auto"/>
            <w:left w:val="none" w:sz="0" w:space="0" w:color="auto"/>
            <w:bottom w:val="none" w:sz="0" w:space="0" w:color="auto"/>
            <w:right w:val="none" w:sz="0" w:space="0" w:color="auto"/>
          </w:divBdr>
          <w:divsChild>
            <w:div w:id="1608657566">
              <w:marLeft w:val="0"/>
              <w:marRight w:val="0"/>
              <w:marTop w:val="0"/>
              <w:marBottom w:val="0"/>
              <w:divBdr>
                <w:top w:val="none" w:sz="0" w:space="0" w:color="auto"/>
                <w:left w:val="none" w:sz="0" w:space="0" w:color="auto"/>
                <w:bottom w:val="none" w:sz="0" w:space="0" w:color="auto"/>
                <w:right w:val="none" w:sz="0" w:space="0" w:color="auto"/>
              </w:divBdr>
            </w:div>
          </w:divsChild>
        </w:div>
        <w:div w:id="359356587">
          <w:marLeft w:val="0"/>
          <w:marRight w:val="0"/>
          <w:marTop w:val="0"/>
          <w:marBottom w:val="0"/>
          <w:divBdr>
            <w:top w:val="none" w:sz="0" w:space="0" w:color="auto"/>
            <w:left w:val="none" w:sz="0" w:space="0" w:color="auto"/>
            <w:bottom w:val="none" w:sz="0" w:space="0" w:color="auto"/>
            <w:right w:val="none" w:sz="0" w:space="0" w:color="auto"/>
          </w:divBdr>
          <w:divsChild>
            <w:div w:id="1445226360">
              <w:marLeft w:val="0"/>
              <w:marRight w:val="0"/>
              <w:marTop w:val="0"/>
              <w:marBottom w:val="0"/>
              <w:divBdr>
                <w:top w:val="none" w:sz="0" w:space="0" w:color="auto"/>
                <w:left w:val="none" w:sz="0" w:space="0" w:color="auto"/>
                <w:bottom w:val="none" w:sz="0" w:space="0" w:color="auto"/>
                <w:right w:val="none" w:sz="0" w:space="0" w:color="auto"/>
              </w:divBdr>
            </w:div>
          </w:divsChild>
        </w:div>
        <w:div w:id="392581598">
          <w:marLeft w:val="0"/>
          <w:marRight w:val="0"/>
          <w:marTop w:val="0"/>
          <w:marBottom w:val="0"/>
          <w:divBdr>
            <w:top w:val="none" w:sz="0" w:space="0" w:color="auto"/>
            <w:left w:val="none" w:sz="0" w:space="0" w:color="auto"/>
            <w:bottom w:val="none" w:sz="0" w:space="0" w:color="auto"/>
            <w:right w:val="none" w:sz="0" w:space="0" w:color="auto"/>
          </w:divBdr>
          <w:divsChild>
            <w:div w:id="324433192">
              <w:marLeft w:val="0"/>
              <w:marRight w:val="0"/>
              <w:marTop w:val="0"/>
              <w:marBottom w:val="0"/>
              <w:divBdr>
                <w:top w:val="none" w:sz="0" w:space="0" w:color="auto"/>
                <w:left w:val="none" w:sz="0" w:space="0" w:color="auto"/>
                <w:bottom w:val="none" w:sz="0" w:space="0" w:color="auto"/>
                <w:right w:val="none" w:sz="0" w:space="0" w:color="auto"/>
              </w:divBdr>
            </w:div>
          </w:divsChild>
        </w:div>
        <w:div w:id="417289640">
          <w:marLeft w:val="0"/>
          <w:marRight w:val="0"/>
          <w:marTop w:val="0"/>
          <w:marBottom w:val="0"/>
          <w:divBdr>
            <w:top w:val="none" w:sz="0" w:space="0" w:color="auto"/>
            <w:left w:val="none" w:sz="0" w:space="0" w:color="auto"/>
            <w:bottom w:val="none" w:sz="0" w:space="0" w:color="auto"/>
            <w:right w:val="none" w:sz="0" w:space="0" w:color="auto"/>
          </w:divBdr>
          <w:divsChild>
            <w:div w:id="497384320">
              <w:marLeft w:val="0"/>
              <w:marRight w:val="0"/>
              <w:marTop w:val="0"/>
              <w:marBottom w:val="0"/>
              <w:divBdr>
                <w:top w:val="none" w:sz="0" w:space="0" w:color="auto"/>
                <w:left w:val="none" w:sz="0" w:space="0" w:color="auto"/>
                <w:bottom w:val="none" w:sz="0" w:space="0" w:color="auto"/>
                <w:right w:val="none" w:sz="0" w:space="0" w:color="auto"/>
              </w:divBdr>
            </w:div>
          </w:divsChild>
        </w:div>
        <w:div w:id="533426065">
          <w:marLeft w:val="0"/>
          <w:marRight w:val="0"/>
          <w:marTop w:val="0"/>
          <w:marBottom w:val="0"/>
          <w:divBdr>
            <w:top w:val="none" w:sz="0" w:space="0" w:color="auto"/>
            <w:left w:val="none" w:sz="0" w:space="0" w:color="auto"/>
            <w:bottom w:val="none" w:sz="0" w:space="0" w:color="auto"/>
            <w:right w:val="none" w:sz="0" w:space="0" w:color="auto"/>
          </w:divBdr>
          <w:divsChild>
            <w:div w:id="998580944">
              <w:marLeft w:val="0"/>
              <w:marRight w:val="0"/>
              <w:marTop w:val="0"/>
              <w:marBottom w:val="0"/>
              <w:divBdr>
                <w:top w:val="none" w:sz="0" w:space="0" w:color="auto"/>
                <w:left w:val="none" w:sz="0" w:space="0" w:color="auto"/>
                <w:bottom w:val="none" w:sz="0" w:space="0" w:color="auto"/>
                <w:right w:val="none" w:sz="0" w:space="0" w:color="auto"/>
              </w:divBdr>
            </w:div>
          </w:divsChild>
        </w:div>
        <w:div w:id="545606119">
          <w:marLeft w:val="0"/>
          <w:marRight w:val="0"/>
          <w:marTop w:val="0"/>
          <w:marBottom w:val="0"/>
          <w:divBdr>
            <w:top w:val="none" w:sz="0" w:space="0" w:color="auto"/>
            <w:left w:val="none" w:sz="0" w:space="0" w:color="auto"/>
            <w:bottom w:val="none" w:sz="0" w:space="0" w:color="auto"/>
            <w:right w:val="none" w:sz="0" w:space="0" w:color="auto"/>
          </w:divBdr>
          <w:divsChild>
            <w:div w:id="870800338">
              <w:marLeft w:val="0"/>
              <w:marRight w:val="0"/>
              <w:marTop w:val="0"/>
              <w:marBottom w:val="0"/>
              <w:divBdr>
                <w:top w:val="none" w:sz="0" w:space="0" w:color="auto"/>
                <w:left w:val="none" w:sz="0" w:space="0" w:color="auto"/>
                <w:bottom w:val="none" w:sz="0" w:space="0" w:color="auto"/>
                <w:right w:val="none" w:sz="0" w:space="0" w:color="auto"/>
              </w:divBdr>
            </w:div>
          </w:divsChild>
        </w:div>
        <w:div w:id="557397948">
          <w:marLeft w:val="0"/>
          <w:marRight w:val="0"/>
          <w:marTop w:val="0"/>
          <w:marBottom w:val="0"/>
          <w:divBdr>
            <w:top w:val="none" w:sz="0" w:space="0" w:color="auto"/>
            <w:left w:val="none" w:sz="0" w:space="0" w:color="auto"/>
            <w:bottom w:val="none" w:sz="0" w:space="0" w:color="auto"/>
            <w:right w:val="none" w:sz="0" w:space="0" w:color="auto"/>
          </w:divBdr>
          <w:divsChild>
            <w:div w:id="1800494641">
              <w:marLeft w:val="0"/>
              <w:marRight w:val="0"/>
              <w:marTop w:val="0"/>
              <w:marBottom w:val="0"/>
              <w:divBdr>
                <w:top w:val="none" w:sz="0" w:space="0" w:color="auto"/>
                <w:left w:val="none" w:sz="0" w:space="0" w:color="auto"/>
                <w:bottom w:val="none" w:sz="0" w:space="0" w:color="auto"/>
                <w:right w:val="none" w:sz="0" w:space="0" w:color="auto"/>
              </w:divBdr>
            </w:div>
          </w:divsChild>
        </w:div>
        <w:div w:id="633295301">
          <w:marLeft w:val="0"/>
          <w:marRight w:val="0"/>
          <w:marTop w:val="0"/>
          <w:marBottom w:val="0"/>
          <w:divBdr>
            <w:top w:val="none" w:sz="0" w:space="0" w:color="auto"/>
            <w:left w:val="none" w:sz="0" w:space="0" w:color="auto"/>
            <w:bottom w:val="none" w:sz="0" w:space="0" w:color="auto"/>
            <w:right w:val="none" w:sz="0" w:space="0" w:color="auto"/>
          </w:divBdr>
          <w:divsChild>
            <w:div w:id="1090928178">
              <w:marLeft w:val="0"/>
              <w:marRight w:val="0"/>
              <w:marTop w:val="0"/>
              <w:marBottom w:val="0"/>
              <w:divBdr>
                <w:top w:val="none" w:sz="0" w:space="0" w:color="auto"/>
                <w:left w:val="none" w:sz="0" w:space="0" w:color="auto"/>
                <w:bottom w:val="none" w:sz="0" w:space="0" w:color="auto"/>
                <w:right w:val="none" w:sz="0" w:space="0" w:color="auto"/>
              </w:divBdr>
            </w:div>
          </w:divsChild>
        </w:div>
        <w:div w:id="785075409">
          <w:marLeft w:val="0"/>
          <w:marRight w:val="0"/>
          <w:marTop w:val="0"/>
          <w:marBottom w:val="0"/>
          <w:divBdr>
            <w:top w:val="none" w:sz="0" w:space="0" w:color="auto"/>
            <w:left w:val="none" w:sz="0" w:space="0" w:color="auto"/>
            <w:bottom w:val="none" w:sz="0" w:space="0" w:color="auto"/>
            <w:right w:val="none" w:sz="0" w:space="0" w:color="auto"/>
          </w:divBdr>
          <w:divsChild>
            <w:div w:id="1338577956">
              <w:marLeft w:val="0"/>
              <w:marRight w:val="0"/>
              <w:marTop w:val="0"/>
              <w:marBottom w:val="0"/>
              <w:divBdr>
                <w:top w:val="none" w:sz="0" w:space="0" w:color="auto"/>
                <w:left w:val="none" w:sz="0" w:space="0" w:color="auto"/>
                <w:bottom w:val="none" w:sz="0" w:space="0" w:color="auto"/>
                <w:right w:val="none" w:sz="0" w:space="0" w:color="auto"/>
              </w:divBdr>
            </w:div>
          </w:divsChild>
        </w:div>
        <w:div w:id="827476638">
          <w:marLeft w:val="0"/>
          <w:marRight w:val="0"/>
          <w:marTop w:val="0"/>
          <w:marBottom w:val="0"/>
          <w:divBdr>
            <w:top w:val="none" w:sz="0" w:space="0" w:color="auto"/>
            <w:left w:val="none" w:sz="0" w:space="0" w:color="auto"/>
            <w:bottom w:val="none" w:sz="0" w:space="0" w:color="auto"/>
            <w:right w:val="none" w:sz="0" w:space="0" w:color="auto"/>
          </w:divBdr>
          <w:divsChild>
            <w:div w:id="1737194763">
              <w:marLeft w:val="0"/>
              <w:marRight w:val="0"/>
              <w:marTop w:val="0"/>
              <w:marBottom w:val="0"/>
              <w:divBdr>
                <w:top w:val="none" w:sz="0" w:space="0" w:color="auto"/>
                <w:left w:val="none" w:sz="0" w:space="0" w:color="auto"/>
                <w:bottom w:val="none" w:sz="0" w:space="0" w:color="auto"/>
                <w:right w:val="none" w:sz="0" w:space="0" w:color="auto"/>
              </w:divBdr>
            </w:div>
          </w:divsChild>
        </w:div>
        <w:div w:id="903641793">
          <w:marLeft w:val="0"/>
          <w:marRight w:val="0"/>
          <w:marTop w:val="0"/>
          <w:marBottom w:val="0"/>
          <w:divBdr>
            <w:top w:val="none" w:sz="0" w:space="0" w:color="auto"/>
            <w:left w:val="none" w:sz="0" w:space="0" w:color="auto"/>
            <w:bottom w:val="none" w:sz="0" w:space="0" w:color="auto"/>
            <w:right w:val="none" w:sz="0" w:space="0" w:color="auto"/>
          </w:divBdr>
          <w:divsChild>
            <w:div w:id="1391612658">
              <w:marLeft w:val="0"/>
              <w:marRight w:val="0"/>
              <w:marTop w:val="0"/>
              <w:marBottom w:val="0"/>
              <w:divBdr>
                <w:top w:val="none" w:sz="0" w:space="0" w:color="auto"/>
                <w:left w:val="none" w:sz="0" w:space="0" w:color="auto"/>
                <w:bottom w:val="none" w:sz="0" w:space="0" w:color="auto"/>
                <w:right w:val="none" w:sz="0" w:space="0" w:color="auto"/>
              </w:divBdr>
            </w:div>
          </w:divsChild>
        </w:div>
        <w:div w:id="1008094220">
          <w:marLeft w:val="0"/>
          <w:marRight w:val="0"/>
          <w:marTop w:val="0"/>
          <w:marBottom w:val="0"/>
          <w:divBdr>
            <w:top w:val="none" w:sz="0" w:space="0" w:color="auto"/>
            <w:left w:val="none" w:sz="0" w:space="0" w:color="auto"/>
            <w:bottom w:val="none" w:sz="0" w:space="0" w:color="auto"/>
            <w:right w:val="none" w:sz="0" w:space="0" w:color="auto"/>
          </w:divBdr>
          <w:divsChild>
            <w:div w:id="1918664120">
              <w:marLeft w:val="0"/>
              <w:marRight w:val="0"/>
              <w:marTop w:val="0"/>
              <w:marBottom w:val="0"/>
              <w:divBdr>
                <w:top w:val="none" w:sz="0" w:space="0" w:color="auto"/>
                <w:left w:val="none" w:sz="0" w:space="0" w:color="auto"/>
                <w:bottom w:val="none" w:sz="0" w:space="0" w:color="auto"/>
                <w:right w:val="none" w:sz="0" w:space="0" w:color="auto"/>
              </w:divBdr>
            </w:div>
          </w:divsChild>
        </w:div>
        <w:div w:id="1161700302">
          <w:marLeft w:val="0"/>
          <w:marRight w:val="0"/>
          <w:marTop w:val="0"/>
          <w:marBottom w:val="0"/>
          <w:divBdr>
            <w:top w:val="none" w:sz="0" w:space="0" w:color="auto"/>
            <w:left w:val="none" w:sz="0" w:space="0" w:color="auto"/>
            <w:bottom w:val="none" w:sz="0" w:space="0" w:color="auto"/>
            <w:right w:val="none" w:sz="0" w:space="0" w:color="auto"/>
          </w:divBdr>
          <w:divsChild>
            <w:div w:id="1096511751">
              <w:marLeft w:val="0"/>
              <w:marRight w:val="0"/>
              <w:marTop w:val="0"/>
              <w:marBottom w:val="0"/>
              <w:divBdr>
                <w:top w:val="none" w:sz="0" w:space="0" w:color="auto"/>
                <w:left w:val="none" w:sz="0" w:space="0" w:color="auto"/>
                <w:bottom w:val="none" w:sz="0" w:space="0" w:color="auto"/>
                <w:right w:val="none" w:sz="0" w:space="0" w:color="auto"/>
              </w:divBdr>
            </w:div>
          </w:divsChild>
        </w:div>
        <w:div w:id="1166632219">
          <w:marLeft w:val="0"/>
          <w:marRight w:val="0"/>
          <w:marTop w:val="0"/>
          <w:marBottom w:val="0"/>
          <w:divBdr>
            <w:top w:val="none" w:sz="0" w:space="0" w:color="auto"/>
            <w:left w:val="none" w:sz="0" w:space="0" w:color="auto"/>
            <w:bottom w:val="none" w:sz="0" w:space="0" w:color="auto"/>
            <w:right w:val="none" w:sz="0" w:space="0" w:color="auto"/>
          </w:divBdr>
          <w:divsChild>
            <w:div w:id="2067415917">
              <w:marLeft w:val="0"/>
              <w:marRight w:val="0"/>
              <w:marTop w:val="0"/>
              <w:marBottom w:val="0"/>
              <w:divBdr>
                <w:top w:val="none" w:sz="0" w:space="0" w:color="auto"/>
                <w:left w:val="none" w:sz="0" w:space="0" w:color="auto"/>
                <w:bottom w:val="none" w:sz="0" w:space="0" w:color="auto"/>
                <w:right w:val="none" w:sz="0" w:space="0" w:color="auto"/>
              </w:divBdr>
            </w:div>
          </w:divsChild>
        </w:div>
        <w:div w:id="1190291398">
          <w:marLeft w:val="0"/>
          <w:marRight w:val="0"/>
          <w:marTop w:val="0"/>
          <w:marBottom w:val="0"/>
          <w:divBdr>
            <w:top w:val="none" w:sz="0" w:space="0" w:color="auto"/>
            <w:left w:val="none" w:sz="0" w:space="0" w:color="auto"/>
            <w:bottom w:val="none" w:sz="0" w:space="0" w:color="auto"/>
            <w:right w:val="none" w:sz="0" w:space="0" w:color="auto"/>
          </w:divBdr>
          <w:divsChild>
            <w:div w:id="1290238866">
              <w:marLeft w:val="0"/>
              <w:marRight w:val="0"/>
              <w:marTop w:val="0"/>
              <w:marBottom w:val="0"/>
              <w:divBdr>
                <w:top w:val="none" w:sz="0" w:space="0" w:color="auto"/>
                <w:left w:val="none" w:sz="0" w:space="0" w:color="auto"/>
                <w:bottom w:val="none" w:sz="0" w:space="0" w:color="auto"/>
                <w:right w:val="none" w:sz="0" w:space="0" w:color="auto"/>
              </w:divBdr>
            </w:div>
          </w:divsChild>
        </w:div>
        <w:div w:id="1296369833">
          <w:marLeft w:val="0"/>
          <w:marRight w:val="0"/>
          <w:marTop w:val="0"/>
          <w:marBottom w:val="0"/>
          <w:divBdr>
            <w:top w:val="none" w:sz="0" w:space="0" w:color="auto"/>
            <w:left w:val="none" w:sz="0" w:space="0" w:color="auto"/>
            <w:bottom w:val="none" w:sz="0" w:space="0" w:color="auto"/>
            <w:right w:val="none" w:sz="0" w:space="0" w:color="auto"/>
          </w:divBdr>
          <w:divsChild>
            <w:div w:id="1246114314">
              <w:marLeft w:val="0"/>
              <w:marRight w:val="0"/>
              <w:marTop w:val="0"/>
              <w:marBottom w:val="0"/>
              <w:divBdr>
                <w:top w:val="none" w:sz="0" w:space="0" w:color="auto"/>
                <w:left w:val="none" w:sz="0" w:space="0" w:color="auto"/>
                <w:bottom w:val="none" w:sz="0" w:space="0" w:color="auto"/>
                <w:right w:val="none" w:sz="0" w:space="0" w:color="auto"/>
              </w:divBdr>
            </w:div>
          </w:divsChild>
        </w:div>
        <w:div w:id="1550261204">
          <w:marLeft w:val="0"/>
          <w:marRight w:val="0"/>
          <w:marTop w:val="0"/>
          <w:marBottom w:val="0"/>
          <w:divBdr>
            <w:top w:val="none" w:sz="0" w:space="0" w:color="auto"/>
            <w:left w:val="none" w:sz="0" w:space="0" w:color="auto"/>
            <w:bottom w:val="none" w:sz="0" w:space="0" w:color="auto"/>
            <w:right w:val="none" w:sz="0" w:space="0" w:color="auto"/>
          </w:divBdr>
          <w:divsChild>
            <w:div w:id="1761026620">
              <w:marLeft w:val="0"/>
              <w:marRight w:val="0"/>
              <w:marTop w:val="0"/>
              <w:marBottom w:val="0"/>
              <w:divBdr>
                <w:top w:val="none" w:sz="0" w:space="0" w:color="auto"/>
                <w:left w:val="none" w:sz="0" w:space="0" w:color="auto"/>
                <w:bottom w:val="none" w:sz="0" w:space="0" w:color="auto"/>
                <w:right w:val="none" w:sz="0" w:space="0" w:color="auto"/>
              </w:divBdr>
            </w:div>
          </w:divsChild>
        </w:div>
        <w:div w:id="1636135596">
          <w:marLeft w:val="0"/>
          <w:marRight w:val="0"/>
          <w:marTop w:val="0"/>
          <w:marBottom w:val="0"/>
          <w:divBdr>
            <w:top w:val="none" w:sz="0" w:space="0" w:color="auto"/>
            <w:left w:val="none" w:sz="0" w:space="0" w:color="auto"/>
            <w:bottom w:val="none" w:sz="0" w:space="0" w:color="auto"/>
            <w:right w:val="none" w:sz="0" w:space="0" w:color="auto"/>
          </w:divBdr>
          <w:divsChild>
            <w:div w:id="249395014">
              <w:marLeft w:val="0"/>
              <w:marRight w:val="0"/>
              <w:marTop w:val="0"/>
              <w:marBottom w:val="0"/>
              <w:divBdr>
                <w:top w:val="none" w:sz="0" w:space="0" w:color="auto"/>
                <w:left w:val="none" w:sz="0" w:space="0" w:color="auto"/>
                <w:bottom w:val="none" w:sz="0" w:space="0" w:color="auto"/>
                <w:right w:val="none" w:sz="0" w:space="0" w:color="auto"/>
              </w:divBdr>
            </w:div>
          </w:divsChild>
        </w:div>
        <w:div w:id="1660301591">
          <w:marLeft w:val="0"/>
          <w:marRight w:val="0"/>
          <w:marTop w:val="0"/>
          <w:marBottom w:val="0"/>
          <w:divBdr>
            <w:top w:val="none" w:sz="0" w:space="0" w:color="auto"/>
            <w:left w:val="none" w:sz="0" w:space="0" w:color="auto"/>
            <w:bottom w:val="none" w:sz="0" w:space="0" w:color="auto"/>
            <w:right w:val="none" w:sz="0" w:space="0" w:color="auto"/>
          </w:divBdr>
          <w:divsChild>
            <w:div w:id="1404569670">
              <w:marLeft w:val="0"/>
              <w:marRight w:val="0"/>
              <w:marTop w:val="0"/>
              <w:marBottom w:val="0"/>
              <w:divBdr>
                <w:top w:val="none" w:sz="0" w:space="0" w:color="auto"/>
                <w:left w:val="none" w:sz="0" w:space="0" w:color="auto"/>
                <w:bottom w:val="none" w:sz="0" w:space="0" w:color="auto"/>
                <w:right w:val="none" w:sz="0" w:space="0" w:color="auto"/>
              </w:divBdr>
            </w:div>
          </w:divsChild>
        </w:div>
        <w:div w:id="1672950284">
          <w:marLeft w:val="0"/>
          <w:marRight w:val="0"/>
          <w:marTop w:val="0"/>
          <w:marBottom w:val="0"/>
          <w:divBdr>
            <w:top w:val="none" w:sz="0" w:space="0" w:color="auto"/>
            <w:left w:val="none" w:sz="0" w:space="0" w:color="auto"/>
            <w:bottom w:val="none" w:sz="0" w:space="0" w:color="auto"/>
            <w:right w:val="none" w:sz="0" w:space="0" w:color="auto"/>
          </w:divBdr>
          <w:divsChild>
            <w:div w:id="425155359">
              <w:marLeft w:val="0"/>
              <w:marRight w:val="0"/>
              <w:marTop w:val="0"/>
              <w:marBottom w:val="0"/>
              <w:divBdr>
                <w:top w:val="none" w:sz="0" w:space="0" w:color="auto"/>
                <w:left w:val="none" w:sz="0" w:space="0" w:color="auto"/>
                <w:bottom w:val="none" w:sz="0" w:space="0" w:color="auto"/>
                <w:right w:val="none" w:sz="0" w:space="0" w:color="auto"/>
              </w:divBdr>
            </w:div>
          </w:divsChild>
        </w:div>
        <w:div w:id="1868054598">
          <w:marLeft w:val="0"/>
          <w:marRight w:val="0"/>
          <w:marTop w:val="0"/>
          <w:marBottom w:val="0"/>
          <w:divBdr>
            <w:top w:val="none" w:sz="0" w:space="0" w:color="auto"/>
            <w:left w:val="none" w:sz="0" w:space="0" w:color="auto"/>
            <w:bottom w:val="none" w:sz="0" w:space="0" w:color="auto"/>
            <w:right w:val="none" w:sz="0" w:space="0" w:color="auto"/>
          </w:divBdr>
          <w:divsChild>
            <w:div w:id="1023747514">
              <w:marLeft w:val="0"/>
              <w:marRight w:val="0"/>
              <w:marTop w:val="0"/>
              <w:marBottom w:val="0"/>
              <w:divBdr>
                <w:top w:val="none" w:sz="0" w:space="0" w:color="auto"/>
                <w:left w:val="none" w:sz="0" w:space="0" w:color="auto"/>
                <w:bottom w:val="none" w:sz="0" w:space="0" w:color="auto"/>
                <w:right w:val="none" w:sz="0" w:space="0" w:color="auto"/>
              </w:divBdr>
            </w:div>
          </w:divsChild>
        </w:div>
        <w:div w:id="1923221430">
          <w:marLeft w:val="0"/>
          <w:marRight w:val="0"/>
          <w:marTop w:val="0"/>
          <w:marBottom w:val="0"/>
          <w:divBdr>
            <w:top w:val="none" w:sz="0" w:space="0" w:color="auto"/>
            <w:left w:val="none" w:sz="0" w:space="0" w:color="auto"/>
            <w:bottom w:val="none" w:sz="0" w:space="0" w:color="auto"/>
            <w:right w:val="none" w:sz="0" w:space="0" w:color="auto"/>
          </w:divBdr>
          <w:divsChild>
            <w:div w:id="774443793">
              <w:marLeft w:val="0"/>
              <w:marRight w:val="0"/>
              <w:marTop w:val="0"/>
              <w:marBottom w:val="0"/>
              <w:divBdr>
                <w:top w:val="none" w:sz="0" w:space="0" w:color="auto"/>
                <w:left w:val="none" w:sz="0" w:space="0" w:color="auto"/>
                <w:bottom w:val="none" w:sz="0" w:space="0" w:color="auto"/>
                <w:right w:val="none" w:sz="0" w:space="0" w:color="auto"/>
              </w:divBdr>
            </w:div>
          </w:divsChild>
        </w:div>
        <w:div w:id="1947612960">
          <w:marLeft w:val="0"/>
          <w:marRight w:val="0"/>
          <w:marTop w:val="0"/>
          <w:marBottom w:val="0"/>
          <w:divBdr>
            <w:top w:val="none" w:sz="0" w:space="0" w:color="auto"/>
            <w:left w:val="none" w:sz="0" w:space="0" w:color="auto"/>
            <w:bottom w:val="none" w:sz="0" w:space="0" w:color="auto"/>
            <w:right w:val="none" w:sz="0" w:space="0" w:color="auto"/>
          </w:divBdr>
          <w:divsChild>
            <w:div w:id="1268931246">
              <w:marLeft w:val="0"/>
              <w:marRight w:val="0"/>
              <w:marTop w:val="0"/>
              <w:marBottom w:val="0"/>
              <w:divBdr>
                <w:top w:val="none" w:sz="0" w:space="0" w:color="auto"/>
                <w:left w:val="none" w:sz="0" w:space="0" w:color="auto"/>
                <w:bottom w:val="none" w:sz="0" w:space="0" w:color="auto"/>
                <w:right w:val="none" w:sz="0" w:space="0" w:color="auto"/>
              </w:divBdr>
            </w:div>
          </w:divsChild>
        </w:div>
        <w:div w:id="1947613807">
          <w:marLeft w:val="0"/>
          <w:marRight w:val="0"/>
          <w:marTop w:val="0"/>
          <w:marBottom w:val="0"/>
          <w:divBdr>
            <w:top w:val="none" w:sz="0" w:space="0" w:color="auto"/>
            <w:left w:val="none" w:sz="0" w:space="0" w:color="auto"/>
            <w:bottom w:val="none" w:sz="0" w:space="0" w:color="auto"/>
            <w:right w:val="none" w:sz="0" w:space="0" w:color="auto"/>
          </w:divBdr>
          <w:divsChild>
            <w:div w:id="482967540">
              <w:marLeft w:val="0"/>
              <w:marRight w:val="0"/>
              <w:marTop w:val="0"/>
              <w:marBottom w:val="0"/>
              <w:divBdr>
                <w:top w:val="none" w:sz="0" w:space="0" w:color="auto"/>
                <w:left w:val="none" w:sz="0" w:space="0" w:color="auto"/>
                <w:bottom w:val="none" w:sz="0" w:space="0" w:color="auto"/>
                <w:right w:val="none" w:sz="0" w:space="0" w:color="auto"/>
              </w:divBdr>
            </w:div>
          </w:divsChild>
        </w:div>
        <w:div w:id="2004312674">
          <w:marLeft w:val="0"/>
          <w:marRight w:val="0"/>
          <w:marTop w:val="0"/>
          <w:marBottom w:val="0"/>
          <w:divBdr>
            <w:top w:val="none" w:sz="0" w:space="0" w:color="auto"/>
            <w:left w:val="none" w:sz="0" w:space="0" w:color="auto"/>
            <w:bottom w:val="none" w:sz="0" w:space="0" w:color="auto"/>
            <w:right w:val="none" w:sz="0" w:space="0" w:color="auto"/>
          </w:divBdr>
          <w:divsChild>
            <w:div w:id="1373459435">
              <w:marLeft w:val="0"/>
              <w:marRight w:val="0"/>
              <w:marTop w:val="0"/>
              <w:marBottom w:val="0"/>
              <w:divBdr>
                <w:top w:val="none" w:sz="0" w:space="0" w:color="auto"/>
                <w:left w:val="none" w:sz="0" w:space="0" w:color="auto"/>
                <w:bottom w:val="none" w:sz="0" w:space="0" w:color="auto"/>
                <w:right w:val="none" w:sz="0" w:space="0" w:color="auto"/>
              </w:divBdr>
            </w:div>
          </w:divsChild>
        </w:div>
        <w:div w:id="2066103030">
          <w:marLeft w:val="0"/>
          <w:marRight w:val="0"/>
          <w:marTop w:val="0"/>
          <w:marBottom w:val="0"/>
          <w:divBdr>
            <w:top w:val="none" w:sz="0" w:space="0" w:color="auto"/>
            <w:left w:val="none" w:sz="0" w:space="0" w:color="auto"/>
            <w:bottom w:val="none" w:sz="0" w:space="0" w:color="auto"/>
            <w:right w:val="none" w:sz="0" w:space="0" w:color="auto"/>
          </w:divBdr>
          <w:divsChild>
            <w:div w:id="681706870">
              <w:marLeft w:val="0"/>
              <w:marRight w:val="0"/>
              <w:marTop w:val="0"/>
              <w:marBottom w:val="0"/>
              <w:divBdr>
                <w:top w:val="none" w:sz="0" w:space="0" w:color="auto"/>
                <w:left w:val="none" w:sz="0" w:space="0" w:color="auto"/>
                <w:bottom w:val="none" w:sz="0" w:space="0" w:color="auto"/>
                <w:right w:val="none" w:sz="0" w:space="0" w:color="auto"/>
              </w:divBdr>
            </w:div>
          </w:divsChild>
        </w:div>
        <w:div w:id="2080712739">
          <w:marLeft w:val="0"/>
          <w:marRight w:val="0"/>
          <w:marTop w:val="0"/>
          <w:marBottom w:val="0"/>
          <w:divBdr>
            <w:top w:val="none" w:sz="0" w:space="0" w:color="auto"/>
            <w:left w:val="none" w:sz="0" w:space="0" w:color="auto"/>
            <w:bottom w:val="none" w:sz="0" w:space="0" w:color="auto"/>
            <w:right w:val="none" w:sz="0" w:space="0" w:color="auto"/>
          </w:divBdr>
          <w:divsChild>
            <w:div w:id="8928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6273">
      <w:bodyDiv w:val="1"/>
      <w:marLeft w:val="0"/>
      <w:marRight w:val="0"/>
      <w:marTop w:val="0"/>
      <w:marBottom w:val="0"/>
      <w:divBdr>
        <w:top w:val="none" w:sz="0" w:space="0" w:color="auto"/>
        <w:left w:val="none" w:sz="0" w:space="0" w:color="auto"/>
        <w:bottom w:val="none" w:sz="0" w:space="0" w:color="auto"/>
        <w:right w:val="none" w:sz="0" w:space="0" w:color="auto"/>
      </w:divBdr>
      <w:divsChild>
        <w:div w:id="13457508">
          <w:marLeft w:val="0"/>
          <w:marRight w:val="0"/>
          <w:marTop w:val="0"/>
          <w:marBottom w:val="0"/>
          <w:divBdr>
            <w:top w:val="none" w:sz="0" w:space="0" w:color="auto"/>
            <w:left w:val="none" w:sz="0" w:space="0" w:color="auto"/>
            <w:bottom w:val="none" w:sz="0" w:space="0" w:color="auto"/>
            <w:right w:val="none" w:sz="0" w:space="0" w:color="auto"/>
          </w:divBdr>
          <w:divsChild>
            <w:div w:id="536816166">
              <w:marLeft w:val="0"/>
              <w:marRight w:val="0"/>
              <w:marTop w:val="0"/>
              <w:marBottom w:val="0"/>
              <w:divBdr>
                <w:top w:val="none" w:sz="0" w:space="0" w:color="auto"/>
                <w:left w:val="none" w:sz="0" w:space="0" w:color="auto"/>
                <w:bottom w:val="none" w:sz="0" w:space="0" w:color="auto"/>
                <w:right w:val="none" w:sz="0" w:space="0" w:color="auto"/>
              </w:divBdr>
            </w:div>
          </w:divsChild>
        </w:div>
        <w:div w:id="264927963">
          <w:marLeft w:val="0"/>
          <w:marRight w:val="0"/>
          <w:marTop w:val="0"/>
          <w:marBottom w:val="0"/>
          <w:divBdr>
            <w:top w:val="none" w:sz="0" w:space="0" w:color="auto"/>
            <w:left w:val="none" w:sz="0" w:space="0" w:color="auto"/>
            <w:bottom w:val="none" w:sz="0" w:space="0" w:color="auto"/>
            <w:right w:val="none" w:sz="0" w:space="0" w:color="auto"/>
          </w:divBdr>
          <w:divsChild>
            <w:div w:id="24798325">
              <w:marLeft w:val="0"/>
              <w:marRight w:val="0"/>
              <w:marTop w:val="0"/>
              <w:marBottom w:val="0"/>
              <w:divBdr>
                <w:top w:val="none" w:sz="0" w:space="0" w:color="auto"/>
                <w:left w:val="none" w:sz="0" w:space="0" w:color="auto"/>
                <w:bottom w:val="none" w:sz="0" w:space="0" w:color="auto"/>
                <w:right w:val="none" w:sz="0" w:space="0" w:color="auto"/>
              </w:divBdr>
            </w:div>
          </w:divsChild>
        </w:div>
        <w:div w:id="379482979">
          <w:marLeft w:val="0"/>
          <w:marRight w:val="0"/>
          <w:marTop w:val="0"/>
          <w:marBottom w:val="0"/>
          <w:divBdr>
            <w:top w:val="none" w:sz="0" w:space="0" w:color="auto"/>
            <w:left w:val="none" w:sz="0" w:space="0" w:color="auto"/>
            <w:bottom w:val="none" w:sz="0" w:space="0" w:color="auto"/>
            <w:right w:val="none" w:sz="0" w:space="0" w:color="auto"/>
          </w:divBdr>
          <w:divsChild>
            <w:div w:id="464153902">
              <w:marLeft w:val="0"/>
              <w:marRight w:val="0"/>
              <w:marTop w:val="0"/>
              <w:marBottom w:val="0"/>
              <w:divBdr>
                <w:top w:val="none" w:sz="0" w:space="0" w:color="auto"/>
                <w:left w:val="none" w:sz="0" w:space="0" w:color="auto"/>
                <w:bottom w:val="none" w:sz="0" w:space="0" w:color="auto"/>
                <w:right w:val="none" w:sz="0" w:space="0" w:color="auto"/>
              </w:divBdr>
            </w:div>
          </w:divsChild>
        </w:div>
        <w:div w:id="710570402">
          <w:marLeft w:val="0"/>
          <w:marRight w:val="0"/>
          <w:marTop w:val="0"/>
          <w:marBottom w:val="0"/>
          <w:divBdr>
            <w:top w:val="none" w:sz="0" w:space="0" w:color="auto"/>
            <w:left w:val="none" w:sz="0" w:space="0" w:color="auto"/>
            <w:bottom w:val="none" w:sz="0" w:space="0" w:color="auto"/>
            <w:right w:val="none" w:sz="0" w:space="0" w:color="auto"/>
          </w:divBdr>
          <w:divsChild>
            <w:div w:id="792748717">
              <w:marLeft w:val="0"/>
              <w:marRight w:val="0"/>
              <w:marTop w:val="0"/>
              <w:marBottom w:val="0"/>
              <w:divBdr>
                <w:top w:val="none" w:sz="0" w:space="0" w:color="auto"/>
                <w:left w:val="none" w:sz="0" w:space="0" w:color="auto"/>
                <w:bottom w:val="none" w:sz="0" w:space="0" w:color="auto"/>
                <w:right w:val="none" w:sz="0" w:space="0" w:color="auto"/>
              </w:divBdr>
            </w:div>
          </w:divsChild>
        </w:div>
        <w:div w:id="861168732">
          <w:marLeft w:val="0"/>
          <w:marRight w:val="0"/>
          <w:marTop w:val="0"/>
          <w:marBottom w:val="0"/>
          <w:divBdr>
            <w:top w:val="none" w:sz="0" w:space="0" w:color="auto"/>
            <w:left w:val="none" w:sz="0" w:space="0" w:color="auto"/>
            <w:bottom w:val="none" w:sz="0" w:space="0" w:color="auto"/>
            <w:right w:val="none" w:sz="0" w:space="0" w:color="auto"/>
          </w:divBdr>
          <w:divsChild>
            <w:div w:id="676275687">
              <w:marLeft w:val="0"/>
              <w:marRight w:val="0"/>
              <w:marTop w:val="0"/>
              <w:marBottom w:val="0"/>
              <w:divBdr>
                <w:top w:val="none" w:sz="0" w:space="0" w:color="auto"/>
                <w:left w:val="none" w:sz="0" w:space="0" w:color="auto"/>
                <w:bottom w:val="none" w:sz="0" w:space="0" w:color="auto"/>
                <w:right w:val="none" w:sz="0" w:space="0" w:color="auto"/>
              </w:divBdr>
            </w:div>
          </w:divsChild>
        </w:div>
        <w:div w:id="1471677538">
          <w:marLeft w:val="0"/>
          <w:marRight w:val="0"/>
          <w:marTop w:val="0"/>
          <w:marBottom w:val="0"/>
          <w:divBdr>
            <w:top w:val="none" w:sz="0" w:space="0" w:color="auto"/>
            <w:left w:val="none" w:sz="0" w:space="0" w:color="auto"/>
            <w:bottom w:val="none" w:sz="0" w:space="0" w:color="auto"/>
            <w:right w:val="none" w:sz="0" w:space="0" w:color="auto"/>
          </w:divBdr>
          <w:divsChild>
            <w:div w:id="550965411">
              <w:marLeft w:val="0"/>
              <w:marRight w:val="0"/>
              <w:marTop w:val="0"/>
              <w:marBottom w:val="0"/>
              <w:divBdr>
                <w:top w:val="none" w:sz="0" w:space="0" w:color="auto"/>
                <w:left w:val="none" w:sz="0" w:space="0" w:color="auto"/>
                <w:bottom w:val="none" w:sz="0" w:space="0" w:color="auto"/>
                <w:right w:val="none" w:sz="0" w:space="0" w:color="auto"/>
              </w:divBdr>
            </w:div>
          </w:divsChild>
        </w:div>
        <w:div w:id="1613902876">
          <w:marLeft w:val="0"/>
          <w:marRight w:val="0"/>
          <w:marTop w:val="0"/>
          <w:marBottom w:val="0"/>
          <w:divBdr>
            <w:top w:val="none" w:sz="0" w:space="0" w:color="auto"/>
            <w:left w:val="none" w:sz="0" w:space="0" w:color="auto"/>
            <w:bottom w:val="none" w:sz="0" w:space="0" w:color="auto"/>
            <w:right w:val="none" w:sz="0" w:space="0" w:color="auto"/>
          </w:divBdr>
          <w:divsChild>
            <w:div w:id="1205406103">
              <w:marLeft w:val="0"/>
              <w:marRight w:val="0"/>
              <w:marTop w:val="0"/>
              <w:marBottom w:val="0"/>
              <w:divBdr>
                <w:top w:val="none" w:sz="0" w:space="0" w:color="auto"/>
                <w:left w:val="none" w:sz="0" w:space="0" w:color="auto"/>
                <w:bottom w:val="none" w:sz="0" w:space="0" w:color="auto"/>
                <w:right w:val="none" w:sz="0" w:space="0" w:color="auto"/>
              </w:divBdr>
            </w:div>
          </w:divsChild>
        </w:div>
        <w:div w:id="1781143705">
          <w:marLeft w:val="0"/>
          <w:marRight w:val="0"/>
          <w:marTop w:val="0"/>
          <w:marBottom w:val="0"/>
          <w:divBdr>
            <w:top w:val="none" w:sz="0" w:space="0" w:color="auto"/>
            <w:left w:val="none" w:sz="0" w:space="0" w:color="auto"/>
            <w:bottom w:val="none" w:sz="0" w:space="0" w:color="auto"/>
            <w:right w:val="none" w:sz="0" w:space="0" w:color="auto"/>
          </w:divBdr>
          <w:divsChild>
            <w:div w:id="10489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8165">
      <w:bodyDiv w:val="1"/>
      <w:marLeft w:val="0"/>
      <w:marRight w:val="0"/>
      <w:marTop w:val="0"/>
      <w:marBottom w:val="0"/>
      <w:divBdr>
        <w:top w:val="none" w:sz="0" w:space="0" w:color="auto"/>
        <w:left w:val="none" w:sz="0" w:space="0" w:color="auto"/>
        <w:bottom w:val="none" w:sz="0" w:space="0" w:color="auto"/>
        <w:right w:val="none" w:sz="0" w:space="0" w:color="auto"/>
      </w:divBdr>
      <w:divsChild>
        <w:div w:id="425614854">
          <w:marLeft w:val="0"/>
          <w:marRight w:val="0"/>
          <w:marTop w:val="0"/>
          <w:marBottom w:val="0"/>
          <w:divBdr>
            <w:top w:val="none" w:sz="0" w:space="0" w:color="auto"/>
            <w:left w:val="none" w:sz="0" w:space="0" w:color="auto"/>
            <w:bottom w:val="none" w:sz="0" w:space="0" w:color="auto"/>
            <w:right w:val="none" w:sz="0" w:space="0" w:color="auto"/>
          </w:divBdr>
          <w:divsChild>
            <w:div w:id="906768695">
              <w:marLeft w:val="0"/>
              <w:marRight w:val="0"/>
              <w:marTop w:val="0"/>
              <w:marBottom w:val="0"/>
              <w:divBdr>
                <w:top w:val="none" w:sz="0" w:space="0" w:color="auto"/>
                <w:left w:val="none" w:sz="0" w:space="0" w:color="auto"/>
                <w:bottom w:val="none" w:sz="0" w:space="0" w:color="auto"/>
                <w:right w:val="none" w:sz="0" w:space="0" w:color="auto"/>
              </w:divBdr>
              <w:divsChild>
                <w:div w:id="11242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29028">
      <w:bodyDiv w:val="1"/>
      <w:marLeft w:val="0"/>
      <w:marRight w:val="0"/>
      <w:marTop w:val="0"/>
      <w:marBottom w:val="0"/>
      <w:divBdr>
        <w:top w:val="none" w:sz="0" w:space="0" w:color="auto"/>
        <w:left w:val="none" w:sz="0" w:space="0" w:color="auto"/>
        <w:bottom w:val="none" w:sz="0" w:space="0" w:color="auto"/>
        <w:right w:val="none" w:sz="0" w:space="0" w:color="auto"/>
      </w:divBdr>
    </w:div>
    <w:div w:id="1045108148">
      <w:bodyDiv w:val="1"/>
      <w:marLeft w:val="0"/>
      <w:marRight w:val="0"/>
      <w:marTop w:val="0"/>
      <w:marBottom w:val="0"/>
      <w:divBdr>
        <w:top w:val="none" w:sz="0" w:space="0" w:color="auto"/>
        <w:left w:val="none" w:sz="0" w:space="0" w:color="auto"/>
        <w:bottom w:val="none" w:sz="0" w:space="0" w:color="auto"/>
        <w:right w:val="none" w:sz="0" w:space="0" w:color="auto"/>
      </w:divBdr>
    </w:div>
    <w:div w:id="1074281194">
      <w:bodyDiv w:val="1"/>
      <w:marLeft w:val="0"/>
      <w:marRight w:val="0"/>
      <w:marTop w:val="0"/>
      <w:marBottom w:val="0"/>
      <w:divBdr>
        <w:top w:val="none" w:sz="0" w:space="0" w:color="auto"/>
        <w:left w:val="none" w:sz="0" w:space="0" w:color="auto"/>
        <w:bottom w:val="none" w:sz="0" w:space="0" w:color="auto"/>
        <w:right w:val="none" w:sz="0" w:space="0" w:color="auto"/>
      </w:divBdr>
    </w:div>
    <w:div w:id="1084494495">
      <w:bodyDiv w:val="1"/>
      <w:marLeft w:val="0"/>
      <w:marRight w:val="0"/>
      <w:marTop w:val="0"/>
      <w:marBottom w:val="0"/>
      <w:divBdr>
        <w:top w:val="none" w:sz="0" w:space="0" w:color="auto"/>
        <w:left w:val="none" w:sz="0" w:space="0" w:color="auto"/>
        <w:bottom w:val="none" w:sz="0" w:space="0" w:color="auto"/>
        <w:right w:val="none" w:sz="0" w:space="0" w:color="auto"/>
      </w:divBdr>
    </w:div>
    <w:div w:id="1091462311">
      <w:bodyDiv w:val="1"/>
      <w:marLeft w:val="0"/>
      <w:marRight w:val="0"/>
      <w:marTop w:val="0"/>
      <w:marBottom w:val="0"/>
      <w:divBdr>
        <w:top w:val="none" w:sz="0" w:space="0" w:color="auto"/>
        <w:left w:val="none" w:sz="0" w:space="0" w:color="auto"/>
        <w:bottom w:val="none" w:sz="0" w:space="0" w:color="auto"/>
        <w:right w:val="none" w:sz="0" w:space="0" w:color="auto"/>
      </w:divBdr>
    </w:div>
    <w:div w:id="1109545369">
      <w:bodyDiv w:val="1"/>
      <w:marLeft w:val="0"/>
      <w:marRight w:val="0"/>
      <w:marTop w:val="0"/>
      <w:marBottom w:val="0"/>
      <w:divBdr>
        <w:top w:val="none" w:sz="0" w:space="0" w:color="auto"/>
        <w:left w:val="none" w:sz="0" w:space="0" w:color="auto"/>
        <w:bottom w:val="none" w:sz="0" w:space="0" w:color="auto"/>
        <w:right w:val="none" w:sz="0" w:space="0" w:color="auto"/>
      </w:divBdr>
    </w:div>
    <w:div w:id="1115054093">
      <w:bodyDiv w:val="1"/>
      <w:marLeft w:val="0"/>
      <w:marRight w:val="0"/>
      <w:marTop w:val="0"/>
      <w:marBottom w:val="0"/>
      <w:divBdr>
        <w:top w:val="none" w:sz="0" w:space="0" w:color="auto"/>
        <w:left w:val="none" w:sz="0" w:space="0" w:color="auto"/>
        <w:bottom w:val="none" w:sz="0" w:space="0" w:color="auto"/>
        <w:right w:val="none" w:sz="0" w:space="0" w:color="auto"/>
      </w:divBdr>
    </w:div>
    <w:div w:id="1150556783">
      <w:bodyDiv w:val="1"/>
      <w:marLeft w:val="0"/>
      <w:marRight w:val="0"/>
      <w:marTop w:val="0"/>
      <w:marBottom w:val="0"/>
      <w:divBdr>
        <w:top w:val="none" w:sz="0" w:space="0" w:color="auto"/>
        <w:left w:val="none" w:sz="0" w:space="0" w:color="auto"/>
        <w:bottom w:val="none" w:sz="0" w:space="0" w:color="auto"/>
        <w:right w:val="none" w:sz="0" w:space="0" w:color="auto"/>
      </w:divBdr>
    </w:div>
    <w:div w:id="1161002442">
      <w:bodyDiv w:val="1"/>
      <w:marLeft w:val="0"/>
      <w:marRight w:val="0"/>
      <w:marTop w:val="0"/>
      <w:marBottom w:val="0"/>
      <w:divBdr>
        <w:top w:val="none" w:sz="0" w:space="0" w:color="auto"/>
        <w:left w:val="none" w:sz="0" w:space="0" w:color="auto"/>
        <w:bottom w:val="none" w:sz="0" w:space="0" w:color="auto"/>
        <w:right w:val="none" w:sz="0" w:space="0" w:color="auto"/>
      </w:divBdr>
    </w:div>
    <w:div w:id="1190340489">
      <w:bodyDiv w:val="1"/>
      <w:marLeft w:val="0"/>
      <w:marRight w:val="0"/>
      <w:marTop w:val="0"/>
      <w:marBottom w:val="0"/>
      <w:divBdr>
        <w:top w:val="none" w:sz="0" w:space="0" w:color="auto"/>
        <w:left w:val="none" w:sz="0" w:space="0" w:color="auto"/>
        <w:bottom w:val="none" w:sz="0" w:space="0" w:color="auto"/>
        <w:right w:val="none" w:sz="0" w:space="0" w:color="auto"/>
      </w:divBdr>
    </w:div>
    <w:div w:id="1200820840">
      <w:bodyDiv w:val="1"/>
      <w:marLeft w:val="0"/>
      <w:marRight w:val="0"/>
      <w:marTop w:val="0"/>
      <w:marBottom w:val="0"/>
      <w:divBdr>
        <w:top w:val="none" w:sz="0" w:space="0" w:color="auto"/>
        <w:left w:val="none" w:sz="0" w:space="0" w:color="auto"/>
        <w:bottom w:val="none" w:sz="0" w:space="0" w:color="auto"/>
        <w:right w:val="none" w:sz="0" w:space="0" w:color="auto"/>
      </w:divBdr>
    </w:div>
    <w:div w:id="1202206814">
      <w:bodyDiv w:val="1"/>
      <w:marLeft w:val="0"/>
      <w:marRight w:val="0"/>
      <w:marTop w:val="0"/>
      <w:marBottom w:val="0"/>
      <w:divBdr>
        <w:top w:val="none" w:sz="0" w:space="0" w:color="auto"/>
        <w:left w:val="none" w:sz="0" w:space="0" w:color="auto"/>
        <w:bottom w:val="none" w:sz="0" w:space="0" w:color="auto"/>
        <w:right w:val="none" w:sz="0" w:space="0" w:color="auto"/>
      </w:divBdr>
    </w:div>
    <w:div w:id="1242177621">
      <w:bodyDiv w:val="1"/>
      <w:marLeft w:val="0"/>
      <w:marRight w:val="0"/>
      <w:marTop w:val="0"/>
      <w:marBottom w:val="0"/>
      <w:divBdr>
        <w:top w:val="none" w:sz="0" w:space="0" w:color="auto"/>
        <w:left w:val="none" w:sz="0" w:space="0" w:color="auto"/>
        <w:bottom w:val="none" w:sz="0" w:space="0" w:color="auto"/>
        <w:right w:val="none" w:sz="0" w:space="0" w:color="auto"/>
      </w:divBdr>
    </w:div>
    <w:div w:id="1266696666">
      <w:bodyDiv w:val="1"/>
      <w:marLeft w:val="0"/>
      <w:marRight w:val="0"/>
      <w:marTop w:val="0"/>
      <w:marBottom w:val="0"/>
      <w:divBdr>
        <w:top w:val="none" w:sz="0" w:space="0" w:color="auto"/>
        <w:left w:val="none" w:sz="0" w:space="0" w:color="auto"/>
        <w:bottom w:val="none" w:sz="0" w:space="0" w:color="auto"/>
        <w:right w:val="none" w:sz="0" w:space="0" w:color="auto"/>
      </w:divBdr>
    </w:div>
    <w:div w:id="1280264056">
      <w:bodyDiv w:val="1"/>
      <w:marLeft w:val="0"/>
      <w:marRight w:val="0"/>
      <w:marTop w:val="0"/>
      <w:marBottom w:val="0"/>
      <w:divBdr>
        <w:top w:val="none" w:sz="0" w:space="0" w:color="auto"/>
        <w:left w:val="none" w:sz="0" w:space="0" w:color="auto"/>
        <w:bottom w:val="none" w:sz="0" w:space="0" w:color="auto"/>
        <w:right w:val="none" w:sz="0" w:space="0" w:color="auto"/>
      </w:divBdr>
    </w:div>
    <w:div w:id="1285115575">
      <w:bodyDiv w:val="1"/>
      <w:marLeft w:val="0"/>
      <w:marRight w:val="0"/>
      <w:marTop w:val="0"/>
      <w:marBottom w:val="0"/>
      <w:divBdr>
        <w:top w:val="none" w:sz="0" w:space="0" w:color="auto"/>
        <w:left w:val="none" w:sz="0" w:space="0" w:color="auto"/>
        <w:bottom w:val="none" w:sz="0" w:space="0" w:color="auto"/>
        <w:right w:val="none" w:sz="0" w:space="0" w:color="auto"/>
      </w:divBdr>
    </w:div>
    <w:div w:id="1303459030">
      <w:bodyDiv w:val="1"/>
      <w:marLeft w:val="0"/>
      <w:marRight w:val="0"/>
      <w:marTop w:val="0"/>
      <w:marBottom w:val="0"/>
      <w:divBdr>
        <w:top w:val="none" w:sz="0" w:space="0" w:color="auto"/>
        <w:left w:val="none" w:sz="0" w:space="0" w:color="auto"/>
        <w:bottom w:val="none" w:sz="0" w:space="0" w:color="auto"/>
        <w:right w:val="none" w:sz="0" w:space="0" w:color="auto"/>
      </w:divBdr>
    </w:div>
    <w:div w:id="1349988836">
      <w:bodyDiv w:val="1"/>
      <w:marLeft w:val="0"/>
      <w:marRight w:val="0"/>
      <w:marTop w:val="0"/>
      <w:marBottom w:val="0"/>
      <w:divBdr>
        <w:top w:val="none" w:sz="0" w:space="0" w:color="auto"/>
        <w:left w:val="none" w:sz="0" w:space="0" w:color="auto"/>
        <w:bottom w:val="none" w:sz="0" w:space="0" w:color="auto"/>
        <w:right w:val="none" w:sz="0" w:space="0" w:color="auto"/>
      </w:divBdr>
    </w:div>
    <w:div w:id="1360817729">
      <w:bodyDiv w:val="1"/>
      <w:marLeft w:val="0"/>
      <w:marRight w:val="0"/>
      <w:marTop w:val="0"/>
      <w:marBottom w:val="0"/>
      <w:divBdr>
        <w:top w:val="none" w:sz="0" w:space="0" w:color="auto"/>
        <w:left w:val="none" w:sz="0" w:space="0" w:color="auto"/>
        <w:bottom w:val="none" w:sz="0" w:space="0" w:color="auto"/>
        <w:right w:val="none" w:sz="0" w:space="0" w:color="auto"/>
      </w:divBdr>
    </w:div>
    <w:div w:id="1361593209">
      <w:bodyDiv w:val="1"/>
      <w:marLeft w:val="0"/>
      <w:marRight w:val="0"/>
      <w:marTop w:val="0"/>
      <w:marBottom w:val="0"/>
      <w:divBdr>
        <w:top w:val="none" w:sz="0" w:space="0" w:color="auto"/>
        <w:left w:val="none" w:sz="0" w:space="0" w:color="auto"/>
        <w:bottom w:val="none" w:sz="0" w:space="0" w:color="auto"/>
        <w:right w:val="none" w:sz="0" w:space="0" w:color="auto"/>
      </w:divBdr>
    </w:div>
    <w:div w:id="1426728027">
      <w:bodyDiv w:val="1"/>
      <w:marLeft w:val="0"/>
      <w:marRight w:val="0"/>
      <w:marTop w:val="0"/>
      <w:marBottom w:val="0"/>
      <w:divBdr>
        <w:top w:val="none" w:sz="0" w:space="0" w:color="auto"/>
        <w:left w:val="none" w:sz="0" w:space="0" w:color="auto"/>
        <w:bottom w:val="none" w:sz="0" w:space="0" w:color="auto"/>
        <w:right w:val="none" w:sz="0" w:space="0" w:color="auto"/>
      </w:divBdr>
    </w:div>
    <w:div w:id="1474441250">
      <w:bodyDiv w:val="1"/>
      <w:marLeft w:val="0"/>
      <w:marRight w:val="0"/>
      <w:marTop w:val="0"/>
      <w:marBottom w:val="0"/>
      <w:divBdr>
        <w:top w:val="none" w:sz="0" w:space="0" w:color="auto"/>
        <w:left w:val="none" w:sz="0" w:space="0" w:color="auto"/>
        <w:bottom w:val="none" w:sz="0" w:space="0" w:color="auto"/>
        <w:right w:val="none" w:sz="0" w:space="0" w:color="auto"/>
      </w:divBdr>
    </w:div>
    <w:div w:id="1508211335">
      <w:bodyDiv w:val="1"/>
      <w:marLeft w:val="0"/>
      <w:marRight w:val="0"/>
      <w:marTop w:val="0"/>
      <w:marBottom w:val="0"/>
      <w:divBdr>
        <w:top w:val="none" w:sz="0" w:space="0" w:color="auto"/>
        <w:left w:val="none" w:sz="0" w:space="0" w:color="auto"/>
        <w:bottom w:val="none" w:sz="0" w:space="0" w:color="auto"/>
        <w:right w:val="none" w:sz="0" w:space="0" w:color="auto"/>
      </w:divBdr>
    </w:div>
    <w:div w:id="1521166136">
      <w:bodyDiv w:val="1"/>
      <w:marLeft w:val="0"/>
      <w:marRight w:val="0"/>
      <w:marTop w:val="0"/>
      <w:marBottom w:val="0"/>
      <w:divBdr>
        <w:top w:val="none" w:sz="0" w:space="0" w:color="auto"/>
        <w:left w:val="none" w:sz="0" w:space="0" w:color="auto"/>
        <w:bottom w:val="none" w:sz="0" w:space="0" w:color="auto"/>
        <w:right w:val="none" w:sz="0" w:space="0" w:color="auto"/>
      </w:divBdr>
    </w:div>
    <w:div w:id="1534151142">
      <w:bodyDiv w:val="1"/>
      <w:marLeft w:val="0"/>
      <w:marRight w:val="0"/>
      <w:marTop w:val="0"/>
      <w:marBottom w:val="0"/>
      <w:divBdr>
        <w:top w:val="none" w:sz="0" w:space="0" w:color="auto"/>
        <w:left w:val="none" w:sz="0" w:space="0" w:color="auto"/>
        <w:bottom w:val="none" w:sz="0" w:space="0" w:color="auto"/>
        <w:right w:val="none" w:sz="0" w:space="0" w:color="auto"/>
      </w:divBdr>
    </w:div>
    <w:div w:id="1567687931">
      <w:bodyDiv w:val="1"/>
      <w:marLeft w:val="0"/>
      <w:marRight w:val="0"/>
      <w:marTop w:val="0"/>
      <w:marBottom w:val="0"/>
      <w:divBdr>
        <w:top w:val="none" w:sz="0" w:space="0" w:color="auto"/>
        <w:left w:val="none" w:sz="0" w:space="0" w:color="auto"/>
        <w:bottom w:val="none" w:sz="0" w:space="0" w:color="auto"/>
        <w:right w:val="none" w:sz="0" w:space="0" w:color="auto"/>
      </w:divBdr>
    </w:div>
    <w:div w:id="1568682335">
      <w:bodyDiv w:val="1"/>
      <w:marLeft w:val="0"/>
      <w:marRight w:val="0"/>
      <w:marTop w:val="0"/>
      <w:marBottom w:val="0"/>
      <w:divBdr>
        <w:top w:val="none" w:sz="0" w:space="0" w:color="auto"/>
        <w:left w:val="none" w:sz="0" w:space="0" w:color="auto"/>
        <w:bottom w:val="none" w:sz="0" w:space="0" w:color="auto"/>
        <w:right w:val="none" w:sz="0" w:space="0" w:color="auto"/>
      </w:divBdr>
    </w:div>
    <w:div w:id="1578054776">
      <w:bodyDiv w:val="1"/>
      <w:marLeft w:val="0"/>
      <w:marRight w:val="0"/>
      <w:marTop w:val="0"/>
      <w:marBottom w:val="0"/>
      <w:divBdr>
        <w:top w:val="none" w:sz="0" w:space="0" w:color="auto"/>
        <w:left w:val="none" w:sz="0" w:space="0" w:color="auto"/>
        <w:bottom w:val="none" w:sz="0" w:space="0" w:color="auto"/>
        <w:right w:val="none" w:sz="0" w:space="0" w:color="auto"/>
      </w:divBdr>
      <w:divsChild>
        <w:div w:id="15818173">
          <w:marLeft w:val="0"/>
          <w:marRight w:val="0"/>
          <w:marTop w:val="0"/>
          <w:marBottom w:val="0"/>
          <w:divBdr>
            <w:top w:val="none" w:sz="0" w:space="0" w:color="auto"/>
            <w:left w:val="none" w:sz="0" w:space="0" w:color="auto"/>
            <w:bottom w:val="none" w:sz="0" w:space="0" w:color="auto"/>
            <w:right w:val="none" w:sz="0" w:space="0" w:color="auto"/>
          </w:divBdr>
          <w:divsChild>
            <w:div w:id="754519434">
              <w:marLeft w:val="0"/>
              <w:marRight w:val="0"/>
              <w:marTop w:val="0"/>
              <w:marBottom w:val="0"/>
              <w:divBdr>
                <w:top w:val="none" w:sz="0" w:space="0" w:color="auto"/>
                <w:left w:val="none" w:sz="0" w:space="0" w:color="auto"/>
                <w:bottom w:val="none" w:sz="0" w:space="0" w:color="auto"/>
                <w:right w:val="none" w:sz="0" w:space="0" w:color="auto"/>
              </w:divBdr>
            </w:div>
          </w:divsChild>
        </w:div>
        <w:div w:id="181087411">
          <w:marLeft w:val="0"/>
          <w:marRight w:val="0"/>
          <w:marTop w:val="0"/>
          <w:marBottom w:val="0"/>
          <w:divBdr>
            <w:top w:val="none" w:sz="0" w:space="0" w:color="auto"/>
            <w:left w:val="none" w:sz="0" w:space="0" w:color="auto"/>
            <w:bottom w:val="none" w:sz="0" w:space="0" w:color="auto"/>
            <w:right w:val="none" w:sz="0" w:space="0" w:color="auto"/>
          </w:divBdr>
          <w:divsChild>
            <w:div w:id="2131431258">
              <w:marLeft w:val="0"/>
              <w:marRight w:val="0"/>
              <w:marTop w:val="0"/>
              <w:marBottom w:val="0"/>
              <w:divBdr>
                <w:top w:val="none" w:sz="0" w:space="0" w:color="auto"/>
                <w:left w:val="none" w:sz="0" w:space="0" w:color="auto"/>
                <w:bottom w:val="none" w:sz="0" w:space="0" w:color="auto"/>
                <w:right w:val="none" w:sz="0" w:space="0" w:color="auto"/>
              </w:divBdr>
            </w:div>
          </w:divsChild>
        </w:div>
        <w:div w:id="214587602">
          <w:marLeft w:val="0"/>
          <w:marRight w:val="0"/>
          <w:marTop w:val="0"/>
          <w:marBottom w:val="0"/>
          <w:divBdr>
            <w:top w:val="none" w:sz="0" w:space="0" w:color="auto"/>
            <w:left w:val="none" w:sz="0" w:space="0" w:color="auto"/>
            <w:bottom w:val="none" w:sz="0" w:space="0" w:color="auto"/>
            <w:right w:val="none" w:sz="0" w:space="0" w:color="auto"/>
          </w:divBdr>
          <w:divsChild>
            <w:div w:id="1351299800">
              <w:marLeft w:val="0"/>
              <w:marRight w:val="0"/>
              <w:marTop w:val="0"/>
              <w:marBottom w:val="0"/>
              <w:divBdr>
                <w:top w:val="none" w:sz="0" w:space="0" w:color="auto"/>
                <w:left w:val="none" w:sz="0" w:space="0" w:color="auto"/>
                <w:bottom w:val="none" w:sz="0" w:space="0" w:color="auto"/>
                <w:right w:val="none" w:sz="0" w:space="0" w:color="auto"/>
              </w:divBdr>
            </w:div>
          </w:divsChild>
        </w:div>
        <w:div w:id="220019508">
          <w:marLeft w:val="0"/>
          <w:marRight w:val="0"/>
          <w:marTop w:val="0"/>
          <w:marBottom w:val="0"/>
          <w:divBdr>
            <w:top w:val="none" w:sz="0" w:space="0" w:color="auto"/>
            <w:left w:val="none" w:sz="0" w:space="0" w:color="auto"/>
            <w:bottom w:val="none" w:sz="0" w:space="0" w:color="auto"/>
            <w:right w:val="none" w:sz="0" w:space="0" w:color="auto"/>
          </w:divBdr>
          <w:divsChild>
            <w:div w:id="1157526540">
              <w:marLeft w:val="0"/>
              <w:marRight w:val="0"/>
              <w:marTop w:val="0"/>
              <w:marBottom w:val="0"/>
              <w:divBdr>
                <w:top w:val="none" w:sz="0" w:space="0" w:color="auto"/>
                <w:left w:val="none" w:sz="0" w:space="0" w:color="auto"/>
                <w:bottom w:val="none" w:sz="0" w:space="0" w:color="auto"/>
                <w:right w:val="none" w:sz="0" w:space="0" w:color="auto"/>
              </w:divBdr>
            </w:div>
          </w:divsChild>
        </w:div>
        <w:div w:id="279268219">
          <w:marLeft w:val="0"/>
          <w:marRight w:val="0"/>
          <w:marTop w:val="0"/>
          <w:marBottom w:val="0"/>
          <w:divBdr>
            <w:top w:val="none" w:sz="0" w:space="0" w:color="auto"/>
            <w:left w:val="none" w:sz="0" w:space="0" w:color="auto"/>
            <w:bottom w:val="none" w:sz="0" w:space="0" w:color="auto"/>
            <w:right w:val="none" w:sz="0" w:space="0" w:color="auto"/>
          </w:divBdr>
          <w:divsChild>
            <w:div w:id="1277326655">
              <w:marLeft w:val="0"/>
              <w:marRight w:val="0"/>
              <w:marTop w:val="0"/>
              <w:marBottom w:val="0"/>
              <w:divBdr>
                <w:top w:val="none" w:sz="0" w:space="0" w:color="auto"/>
                <w:left w:val="none" w:sz="0" w:space="0" w:color="auto"/>
                <w:bottom w:val="none" w:sz="0" w:space="0" w:color="auto"/>
                <w:right w:val="none" w:sz="0" w:space="0" w:color="auto"/>
              </w:divBdr>
            </w:div>
          </w:divsChild>
        </w:div>
        <w:div w:id="533544885">
          <w:marLeft w:val="0"/>
          <w:marRight w:val="0"/>
          <w:marTop w:val="0"/>
          <w:marBottom w:val="0"/>
          <w:divBdr>
            <w:top w:val="none" w:sz="0" w:space="0" w:color="auto"/>
            <w:left w:val="none" w:sz="0" w:space="0" w:color="auto"/>
            <w:bottom w:val="none" w:sz="0" w:space="0" w:color="auto"/>
            <w:right w:val="none" w:sz="0" w:space="0" w:color="auto"/>
          </w:divBdr>
          <w:divsChild>
            <w:div w:id="415786649">
              <w:marLeft w:val="0"/>
              <w:marRight w:val="0"/>
              <w:marTop w:val="0"/>
              <w:marBottom w:val="0"/>
              <w:divBdr>
                <w:top w:val="none" w:sz="0" w:space="0" w:color="auto"/>
                <w:left w:val="none" w:sz="0" w:space="0" w:color="auto"/>
                <w:bottom w:val="none" w:sz="0" w:space="0" w:color="auto"/>
                <w:right w:val="none" w:sz="0" w:space="0" w:color="auto"/>
              </w:divBdr>
            </w:div>
          </w:divsChild>
        </w:div>
        <w:div w:id="606617554">
          <w:marLeft w:val="0"/>
          <w:marRight w:val="0"/>
          <w:marTop w:val="0"/>
          <w:marBottom w:val="0"/>
          <w:divBdr>
            <w:top w:val="none" w:sz="0" w:space="0" w:color="auto"/>
            <w:left w:val="none" w:sz="0" w:space="0" w:color="auto"/>
            <w:bottom w:val="none" w:sz="0" w:space="0" w:color="auto"/>
            <w:right w:val="none" w:sz="0" w:space="0" w:color="auto"/>
          </w:divBdr>
          <w:divsChild>
            <w:div w:id="2136411835">
              <w:marLeft w:val="0"/>
              <w:marRight w:val="0"/>
              <w:marTop w:val="0"/>
              <w:marBottom w:val="0"/>
              <w:divBdr>
                <w:top w:val="none" w:sz="0" w:space="0" w:color="auto"/>
                <w:left w:val="none" w:sz="0" w:space="0" w:color="auto"/>
                <w:bottom w:val="none" w:sz="0" w:space="0" w:color="auto"/>
                <w:right w:val="none" w:sz="0" w:space="0" w:color="auto"/>
              </w:divBdr>
            </w:div>
          </w:divsChild>
        </w:div>
        <w:div w:id="635525218">
          <w:marLeft w:val="0"/>
          <w:marRight w:val="0"/>
          <w:marTop w:val="0"/>
          <w:marBottom w:val="0"/>
          <w:divBdr>
            <w:top w:val="none" w:sz="0" w:space="0" w:color="auto"/>
            <w:left w:val="none" w:sz="0" w:space="0" w:color="auto"/>
            <w:bottom w:val="none" w:sz="0" w:space="0" w:color="auto"/>
            <w:right w:val="none" w:sz="0" w:space="0" w:color="auto"/>
          </w:divBdr>
          <w:divsChild>
            <w:div w:id="1615674310">
              <w:marLeft w:val="0"/>
              <w:marRight w:val="0"/>
              <w:marTop w:val="0"/>
              <w:marBottom w:val="0"/>
              <w:divBdr>
                <w:top w:val="none" w:sz="0" w:space="0" w:color="auto"/>
                <w:left w:val="none" w:sz="0" w:space="0" w:color="auto"/>
                <w:bottom w:val="none" w:sz="0" w:space="0" w:color="auto"/>
                <w:right w:val="none" w:sz="0" w:space="0" w:color="auto"/>
              </w:divBdr>
            </w:div>
          </w:divsChild>
        </w:div>
        <w:div w:id="637345941">
          <w:marLeft w:val="0"/>
          <w:marRight w:val="0"/>
          <w:marTop w:val="0"/>
          <w:marBottom w:val="0"/>
          <w:divBdr>
            <w:top w:val="none" w:sz="0" w:space="0" w:color="auto"/>
            <w:left w:val="none" w:sz="0" w:space="0" w:color="auto"/>
            <w:bottom w:val="none" w:sz="0" w:space="0" w:color="auto"/>
            <w:right w:val="none" w:sz="0" w:space="0" w:color="auto"/>
          </w:divBdr>
          <w:divsChild>
            <w:div w:id="106195396">
              <w:marLeft w:val="0"/>
              <w:marRight w:val="0"/>
              <w:marTop w:val="0"/>
              <w:marBottom w:val="0"/>
              <w:divBdr>
                <w:top w:val="none" w:sz="0" w:space="0" w:color="auto"/>
                <w:left w:val="none" w:sz="0" w:space="0" w:color="auto"/>
                <w:bottom w:val="none" w:sz="0" w:space="0" w:color="auto"/>
                <w:right w:val="none" w:sz="0" w:space="0" w:color="auto"/>
              </w:divBdr>
            </w:div>
          </w:divsChild>
        </w:div>
        <w:div w:id="648099539">
          <w:marLeft w:val="0"/>
          <w:marRight w:val="0"/>
          <w:marTop w:val="0"/>
          <w:marBottom w:val="0"/>
          <w:divBdr>
            <w:top w:val="none" w:sz="0" w:space="0" w:color="auto"/>
            <w:left w:val="none" w:sz="0" w:space="0" w:color="auto"/>
            <w:bottom w:val="none" w:sz="0" w:space="0" w:color="auto"/>
            <w:right w:val="none" w:sz="0" w:space="0" w:color="auto"/>
          </w:divBdr>
          <w:divsChild>
            <w:div w:id="413285041">
              <w:marLeft w:val="0"/>
              <w:marRight w:val="0"/>
              <w:marTop w:val="0"/>
              <w:marBottom w:val="0"/>
              <w:divBdr>
                <w:top w:val="none" w:sz="0" w:space="0" w:color="auto"/>
                <w:left w:val="none" w:sz="0" w:space="0" w:color="auto"/>
                <w:bottom w:val="none" w:sz="0" w:space="0" w:color="auto"/>
                <w:right w:val="none" w:sz="0" w:space="0" w:color="auto"/>
              </w:divBdr>
            </w:div>
          </w:divsChild>
        </w:div>
        <w:div w:id="668171781">
          <w:marLeft w:val="0"/>
          <w:marRight w:val="0"/>
          <w:marTop w:val="0"/>
          <w:marBottom w:val="0"/>
          <w:divBdr>
            <w:top w:val="none" w:sz="0" w:space="0" w:color="auto"/>
            <w:left w:val="none" w:sz="0" w:space="0" w:color="auto"/>
            <w:bottom w:val="none" w:sz="0" w:space="0" w:color="auto"/>
            <w:right w:val="none" w:sz="0" w:space="0" w:color="auto"/>
          </w:divBdr>
          <w:divsChild>
            <w:div w:id="1565987392">
              <w:marLeft w:val="0"/>
              <w:marRight w:val="0"/>
              <w:marTop w:val="0"/>
              <w:marBottom w:val="0"/>
              <w:divBdr>
                <w:top w:val="none" w:sz="0" w:space="0" w:color="auto"/>
                <w:left w:val="none" w:sz="0" w:space="0" w:color="auto"/>
                <w:bottom w:val="none" w:sz="0" w:space="0" w:color="auto"/>
                <w:right w:val="none" w:sz="0" w:space="0" w:color="auto"/>
              </w:divBdr>
            </w:div>
          </w:divsChild>
        </w:div>
        <w:div w:id="718169151">
          <w:marLeft w:val="0"/>
          <w:marRight w:val="0"/>
          <w:marTop w:val="0"/>
          <w:marBottom w:val="0"/>
          <w:divBdr>
            <w:top w:val="none" w:sz="0" w:space="0" w:color="auto"/>
            <w:left w:val="none" w:sz="0" w:space="0" w:color="auto"/>
            <w:bottom w:val="none" w:sz="0" w:space="0" w:color="auto"/>
            <w:right w:val="none" w:sz="0" w:space="0" w:color="auto"/>
          </w:divBdr>
          <w:divsChild>
            <w:div w:id="127478421">
              <w:marLeft w:val="0"/>
              <w:marRight w:val="0"/>
              <w:marTop w:val="0"/>
              <w:marBottom w:val="0"/>
              <w:divBdr>
                <w:top w:val="none" w:sz="0" w:space="0" w:color="auto"/>
                <w:left w:val="none" w:sz="0" w:space="0" w:color="auto"/>
                <w:bottom w:val="none" w:sz="0" w:space="0" w:color="auto"/>
                <w:right w:val="none" w:sz="0" w:space="0" w:color="auto"/>
              </w:divBdr>
            </w:div>
          </w:divsChild>
        </w:div>
        <w:div w:id="802503042">
          <w:marLeft w:val="0"/>
          <w:marRight w:val="0"/>
          <w:marTop w:val="0"/>
          <w:marBottom w:val="0"/>
          <w:divBdr>
            <w:top w:val="none" w:sz="0" w:space="0" w:color="auto"/>
            <w:left w:val="none" w:sz="0" w:space="0" w:color="auto"/>
            <w:bottom w:val="none" w:sz="0" w:space="0" w:color="auto"/>
            <w:right w:val="none" w:sz="0" w:space="0" w:color="auto"/>
          </w:divBdr>
          <w:divsChild>
            <w:div w:id="59795468">
              <w:marLeft w:val="0"/>
              <w:marRight w:val="0"/>
              <w:marTop w:val="0"/>
              <w:marBottom w:val="0"/>
              <w:divBdr>
                <w:top w:val="none" w:sz="0" w:space="0" w:color="auto"/>
                <w:left w:val="none" w:sz="0" w:space="0" w:color="auto"/>
                <w:bottom w:val="none" w:sz="0" w:space="0" w:color="auto"/>
                <w:right w:val="none" w:sz="0" w:space="0" w:color="auto"/>
              </w:divBdr>
            </w:div>
          </w:divsChild>
        </w:div>
        <w:div w:id="904922519">
          <w:marLeft w:val="0"/>
          <w:marRight w:val="0"/>
          <w:marTop w:val="0"/>
          <w:marBottom w:val="0"/>
          <w:divBdr>
            <w:top w:val="none" w:sz="0" w:space="0" w:color="auto"/>
            <w:left w:val="none" w:sz="0" w:space="0" w:color="auto"/>
            <w:bottom w:val="none" w:sz="0" w:space="0" w:color="auto"/>
            <w:right w:val="none" w:sz="0" w:space="0" w:color="auto"/>
          </w:divBdr>
          <w:divsChild>
            <w:div w:id="712078012">
              <w:marLeft w:val="0"/>
              <w:marRight w:val="0"/>
              <w:marTop w:val="0"/>
              <w:marBottom w:val="0"/>
              <w:divBdr>
                <w:top w:val="none" w:sz="0" w:space="0" w:color="auto"/>
                <w:left w:val="none" w:sz="0" w:space="0" w:color="auto"/>
                <w:bottom w:val="none" w:sz="0" w:space="0" w:color="auto"/>
                <w:right w:val="none" w:sz="0" w:space="0" w:color="auto"/>
              </w:divBdr>
            </w:div>
          </w:divsChild>
        </w:div>
        <w:div w:id="911280237">
          <w:marLeft w:val="0"/>
          <w:marRight w:val="0"/>
          <w:marTop w:val="0"/>
          <w:marBottom w:val="0"/>
          <w:divBdr>
            <w:top w:val="none" w:sz="0" w:space="0" w:color="auto"/>
            <w:left w:val="none" w:sz="0" w:space="0" w:color="auto"/>
            <w:bottom w:val="none" w:sz="0" w:space="0" w:color="auto"/>
            <w:right w:val="none" w:sz="0" w:space="0" w:color="auto"/>
          </w:divBdr>
          <w:divsChild>
            <w:div w:id="561908101">
              <w:marLeft w:val="0"/>
              <w:marRight w:val="0"/>
              <w:marTop w:val="0"/>
              <w:marBottom w:val="0"/>
              <w:divBdr>
                <w:top w:val="none" w:sz="0" w:space="0" w:color="auto"/>
                <w:left w:val="none" w:sz="0" w:space="0" w:color="auto"/>
                <w:bottom w:val="none" w:sz="0" w:space="0" w:color="auto"/>
                <w:right w:val="none" w:sz="0" w:space="0" w:color="auto"/>
              </w:divBdr>
            </w:div>
          </w:divsChild>
        </w:div>
        <w:div w:id="934702818">
          <w:marLeft w:val="0"/>
          <w:marRight w:val="0"/>
          <w:marTop w:val="0"/>
          <w:marBottom w:val="0"/>
          <w:divBdr>
            <w:top w:val="none" w:sz="0" w:space="0" w:color="auto"/>
            <w:left w:val="none" w:sz="0" w:space="0" w:color="auto"/>
            <w:bottom w:val="none" w:sz="0" w:space="0" w:color="auto"/>
            <w:right w:val="none" w:sz="0" w:space="0" w:color="auto"/>
          </w:divBdr>
          <w:divsChild>
            <w:div w:id="1602880390">
              <w:marLeft w:val="0"/>
              <w:marRight w:val="0"/>
              <w:marTop w:val="0"/>
              <w:marBottom w:val="0"/>
              <w:divBdr>
                <w:top w:val="none" w:sz="0" w:space="0" w:color="auto"/>
                <w:left w:val="none" w:sz="0" w:space="0" w:color="auto"/>
                <w:bottom w:val="none" w:sz="0" w:space="0" w:color="auto"/>
                <w:right w:val="none" w:sz="0" w:space="0" w:color="auto"/>
              </w:divBdr>
            </w:div>
          </w:divsChild>
        </w:div>
        <w:div w:id="971060822">
          <w:marLeft w:val="0"/>
          <w:marRight w:val="0"/>
          <w:marTop w:val="0"/>
          <w:marBottom w:val="0"/>
          <w:divBdr>
            <w:top w:val="none" w:sz="0" w:space="0" w:color="auto"/>
            <w:left w:val="none" w:sz="0" w:space="0" w:color="auto"/>
            <w:bottom w:val="none" w:sz="0" w:space="0" w:color="auto"/>
            <w:right w:val="none" w:sz="0" w:space="0" w:color="auto"/>
          </w:divBdr>
          <w:divsChild>
            <w:div w:id="1687636778">
              <w:marLeft w:val="0"/>
              <w:marRight w:val="0"/>
              <w:marTop w:val="0"/>
              <w:marBottom w:val="0"/>
              <w:divBdr>
                <w:top w:val="none" w:sz="0" w:space="0" w:color="auto"/>
                <w:left w:val="none" w:sz="0" w:space="0" w:color="auto"/>
                <w:bottom w:val="none" w:sz="0" w:space="0" w:color="auto"/>
                <w:right w:val="none" w:sz="0" w:space="0" w:color="auto"/>
              </w:divBdr>
            </w:div>
          </w:divsChild>
        </w:div>
        <w:div w:id="995375339">
          <w:marLeft w:val="0"/>
          <w:marRight w:val="0"/>
          <w:marTop w:val="0"/>
          <w:marBottom w:val="0"/>
          <w:divBdr>
            <w:top w:val="none" w:sz="0" w:space="0" w:color="auto"/>
            <w:left w:val="none" w:sz="0" w:space="0" w:color="auto"/>
            <w:bottom w:val="none" w:sz="0" w:space="0" w:color="auto"/>
            <w:right w:val="none" w:sz="0" w:space="0" w:color="auto"/>
          </w:divBdr>
          <w:divsChild>
            <w:div w:id="1321543814">
              <w:marLeft w:val="0"/>
              <w:marRight w:val="0"/>
              <w:marTop w:val="0"/>
              <w:marBottom w:val="0"/>
              <w:divBdr>
                <w:top w:val="none" w:sz="0" w:space="0" w:color="auto"/>
                <w:left w:val="none" w:sz="0" w:space="0" w:color="auto"/>
                <w:bottom w:val="none" w:sz="0" w:space="0" w:color="auto"/>
                <w:right w:val="none" w:sz="0" w:space="0" w:color="auto"/>
              </w:divBdr>
            </w:div>
          </w:divsChild>
        </w:div>
        <w:div w:id="1035816308">
          <w:marLeft w:val="0"/>
          <w:marRight w:val="0"/>
          <w:marTop w:val="0"/>
          <w:marBottom w:val="0"/>
          <w:divBdr>
            <w:top w:val="none" w:sz="0" w:space="0" w:color="auto"/>
            <w:left w:val="none" w:sz="0" w:space="0" w:color="auto"/>
            <w:bottom w:val="none" w:sz="0" w:space="0" w:color="auto"/>
            <w:right w:val="none" w:sz="0" w:space="0" w:color="auto"/>
          </w:divBdr>
          <w:divsChild>
            <w:div w:id="1081028706">
              <w:marLeft w:val="0"/>
              <w:marRight w:val="0"/>
              <w:marTop w:val="0"/>
              <w:marBottom w:val="0"/>
              <w:divBdr>
                <w:top w:val="none" w:sz="0" w:space="0" w:color="auto"/>
                <w:left w:val="none" w:sz="0" w:space="0" w:color="auto"/>
                <w:bottom w:val="none" w:sz="0" w:space="0" w:color="auto"/>
                <w:right w:val="none" w:sz="0" w:space="0" w:color="auto"/>
              </w:divBdr>
            </w:div>
          </w:divsChild>
        </w:div>
        <w:div w:id="1172330963">
          <w:marLeft w:val="0"/>
          <w:marRight w:val="0"/>
          <w:marTop w:val="0"/>
          <w:marBottom w:val="0"/>
          <w:divBdr>
            <w:top w:val="none" w:sz="0" w:space="0" w:color="auto"/>
            <w:left w:val="none" w:sz="0" w:space="0" w:color="auto"/>
            <w:bottom w:val="none" w:sz="0" w:space="0" w:color="auto"/>
            <w:right w:val="none" w:sz="0" w:space="0" w:color="auto"/>
          </w:divBdr>
          <w:divsChild>
            <w:div w:id="1303001911">
              <w:marLeft w:val="0"/>
              <w:marRight w:val="0"/>
              <w:marTop w:val="0"/>
              <w:marBottom w:val="0"/>
              <w:divBdr>
                <w:top w:val="none" w:sz="0" w:space="0" w:color="auto"/>
                <w:left w:val="none" w:sz="0" w:space="0" w:color="auto"/>
                <w:bottom w:val="none" w:sz="0" w:space="0" w:color="auto"/>
                <w:right w:val="none" w:sz="0" w:space="0" w:color="auto"/>
              </w:divBdr>
            </w:div>
          </w:divsChild>
        </w:div>
        <w:div w:id="1246496266">
          <w:marLeft w:val="0"/>
          <w:marRight w:val="0"/>
          <w:marTop w:val="0"/>
          <w:marBottom w:val="0"/>
          <w:divBdr>
            <w:top w:val="none" w:sz="0" w:space="0" w:color="auto"/>
            <w:left w:val="none" w:sz="0" w:space="0" w:color="auto"/>
            <w:bottom w:val="none" w:sz="0" w:space="0" w:color="auto"/>
            <w:right w:val="none" w:sz="0" w:space="0" w:color="auto"/>
          </w:divBdr>
          <w:divsChild>
            <w:div w:id="390159545">
              <w:marLeft w:val="0"/>
              <w:marRight w:val="0"/>
              <w:marTop w:val="0"/>
              <w:marBottom w:val="0"/>
              <w:divBdr>
                <w:top w:val="none" w:sz="0" w:space="0" w:color="auto"/>
                <w:left w:val="none" w:sz="0" w:space="0" w:color="auto"/>
                <w:bottom w:val="none" w:sz="0" w:space="0" w:color="auto"/>
                <w:right w:val="none" w:sz="0" w:space="0" w:color="auto"/>
              </w:divBdr>
            </w:div>
          </w:divsChild>
        </w:div>
        <w:div w:id="1351298999">
          <w:marLeft w:val="0"/>
          <w:marRight w:val="0"/>
          <w:marTop w:val="0"/>
          <w:marBottom w:val="0"/>
          <w:divBdr>
            <w:top w:val="none" w:sz="0" w:space="0" w:color="auto"/>
            <w:left w:val="none" w:sz="0" w:space="0" w:color="auto"/>
            <w:bottom w:val="none" w:sz="0" w:space="0" w:color="auto"/>
            <w:right w:val="none" w:sz="0" w:space="0" w:color="auto"/>
          </w:divBdr>
          <w:divsChild>
            <w:div w:id="32385843">
              <w:marLeft w:val="0"/>
              <w:marRight w:val="0"/>
              <w:marTop w:val="0"/>
              <w:marBottom w:val="0"/>
              <w:divBdr>
                <w:top w:val="none" w:sz="0" w:space="0" w:color="auto"/>
                <w:left w:val="none" w:sz="0" w:space="0" w:color="auto"/>
                <w:bottom w:val="none" w:sz="0" w:space="0" w:color="auto"/>
                <w:right w:val="none" w:sz="0" w:space="0" w:color="auto"/>
              </w:divBdr>
            </w:div>
          </w:divsChild>
        </w:div>
        <w:div w:id="1352729949">
          <w:marLeft w:val="0"/>
          <w:marRight w:val="0"/>
          <w:marTop w:val="0"/>
          <w:marBottom w:val="0"/>
          <w:divBdr>
            <w:top w:val="none" w:sz="0" w:space="0" w:color="auto"/>
            <w:left w:val="none" w:sz="0" w:space="0" w:color="auto"/>
            <w:bottom w:val="none" w:sz="0" w:space="0" w:color="auto"/>
            <w:right w:val="none" w:sz="0" w:space="0" w:color="auto"/>
          </w:divBdr>
          <w:divsChild>
            <w:div w:id="2043091064">
              <w:marLeft w:val="0"/>
              <w:marRight w:val="0"/>
              <w:marTop w:val="0"/>
              <w:marBottom w:val="0"/>
              <w:divBdr>
                <w:top w:val="none" w:sz="0" w:space="0" w:color="auto"/>
                <w:left w:val="none" w:sz="0" w:space="0" w:color="auto"/>
                <w:bottom w:val="none" w:sz="0" w:space="0" w:color="auto"/>
                <w:right w:val="none" w:sz="0" w:space="0" w:color="auto"/>
              </w:divBdr>
            </w:div>
          </w:divsChild>
        </w:div>
        <w:div w:id="1365518978">
          <w:marLeft w:val="0"/>
          <w:marRight w:val="0"/>
          <w:marTop w:val="0"/>
          <w:marBottom w:val="0"/>
          <w:divBdr>
            <w:top w:val="none" w:sz="0" w:space="0" w:color="auto"/>
            <w:left w:val="none" w:sz="0" w:space="0" w:color="auto"/>
            <w:bottom w:val="none" w:sz="0" w:space="0" w:color="auto"/>
            <w:right w:val="none" w:sz="0" w:space="0" w:color="auto"/>
          </w:divBdr>
          <w:divsChild>
            <w:div w:id="182550082">
              <w:marLeft w:val="0"/>
              <w:marRight w:val="0"/>
              <w:marTop w:val="0"/>
              <w:marBottom w:val="0"/>
              <w:divBdr>
                <w:top w:val="none" w:sz="0" w:space="0" w:color="auto"/>
                <w:left w:val="none" w:sz="0" w:space="0" w:color="auto"/>
                <w:bottom w:val="none" w:sz="0" w:space="0" w:color="auto"/>
                <w:right w:val="none" w:sz="0" w:space="0" w:color="auto"/>
              </w:divBdr>
            </w:div>
          </w:divsChild>
        </w:div>
        <w:div w:id="1387218572">
          <w:marLeft w:val="0"/>
          <w:marRight w:val="0"/>
          <w:marTop w:val="0"/>
          <w:marBottom w:val="0"/>
          <w:divBdr>
            <w:top w:val="none" w:sz="0" w:space="0" w:color="auto"/>
            <w:left w:val="none" w:sz="0" w:space="0" w:color="auto"/>
            <w:bottom w:val="none" w:sz="0" w:space="0" w:color="auto"/>
            <w:right w:val="none" w:sz="0" w:space="0" w:color="auto"/>
          </w:divBdr>
          <w:divsChild>
            <w:div w:id="1513303856">
              <w:marLeft w:val="0"/>
              <w:marRight w:val="0"/>
              <w:marTop w:val="0"/>
              <w:marBottom w:val="0"/>
              <w:divBdr>
                <w:top w:val="none" w:sz="0" w:space="0" w:color="auto"/>
                <w:left w:val="none" w:sz="0" w:space="0" w:color="auto"/>
                <w:bottom w:val="none" w:sz="0" w:space="0" w:color="auto"/>
                <w:right w:val="none" w:sz="0" w:space="0" w:color="auto"/>
              </w:divBdr>
            </w:div>
          </w:divsChild>
        </w:div>
        <w:div w:id="1417940907">
          <w:marLeft w:val="0"/>
          <w:marRight w:val="0"/>
          <w:marTop w:val="0"/>
          <w:marBottom w:val="0"/>
          <w:divBdr>
            <w:top w:val="none" w:sz="0" w:space="0" w:color="auto"/>
            <w:left w:val="none" w:sz="0" w:space="0" w:color="auto"/>
            <w:bottom w:val="none" w:sz="0" w:space="0" w:color="auto"/>
            <w:right w:val="none" w:sz="0" w:space="0" w:color="auto"/>
          </w:divBdr>
          <w:divsChild>
            <w:div w:id="170603692">
              <w:marLeft w:val="0"/>
              <w:marRight w:val="0"/>
              <w:marTop w:val="0"/>
              <w:marBottom w:val="0"/>
              <w:divBdr>
                <w:top w:val="none" w:sz="0" w:space="0" w:color="auto"/>
                <w:left w:val="none" w:sz="0" w:space="0" w:color="auto"/>
                <w:bottom w:val="none" w:sz="0" w:space="0" w:color="auto"/>
                <w:right w:val="none" w:sz="0" w:space="0" w:color="auto"/>
              </w:divBdr>
            </w:div>
          </w:divsChild>
        </w:div>
        <w:div w:id="1465734714">
          <w:marLeft w:val="0"/>
          <w:marRight w:val="0"/>
          <w:marTop w:val="0"/>
          <w:marBottom w:val="0"/>
          <w:divBdr>
            <w:top w:val="none" w:sz="0" w:space="0" w:color="auto"/>
            <w:left w:val="none" w:sz="0" w:space="0" w:color="auto"/>
            <w:bottom w:val="none" w:sz="0" w:space="0" w:color="auto"/>
            <w:right w:val="none" w:sz="0" w:space="0" w:color="auto"/>
          </w:divBdr>
          <w:divsChild>
            <w:div w:id="1048187917">
              <w:marLeft w:val="0"/>
              <w:marRight w:val="0"/>
              <w:marTop w:val="0"/>
              <w:marBottom w:val="0"/>
              <w:divBdr>
                <w:top w:val="none" w:sz="0" w:space="0" w:color="auto"/>
                <w:left w:val="none" w:sz="0" w:space="0" w:color="auto"/>
                <w:bottom w:val="none" w:sz="0" w:space="0" w:color="auto"/>
                <w:right w:val="none" w:sz="0" w:space="0" w:color="auto"/>
              </w:divBdr>
            </w:div>
          </w:divsChild>
        </w:div>
        <w:div w:id="1493132920">
          <w:marLeft w:val="0"/>
          <w:marRight w:val="0"/>
          <w:marTop w:val="0"/>
          <w:marBottom w:val="0"/>
          <w:divBdr>
            <w:top w:val="none" w:sz="0" w:space="0" w:color="auto"/>
            <w:left w:val="none" w:sz="0" w:space="0" w:color="auto"/>
            <w:bottom w:val="none" w:sz="0" w:space="0" w:color="auto"/>
            <w:right w:val="none" w:sz="0" w:space="0" w:color="auto"/>
          </w:divBdr>
          <w:divsChild>
            <w:div w:id="1190296163">
              <w:marLeft w:val="0"/>
              <w:marRight w:val="0"/>
              <w:marTop w:val="0"/>
              <w:marBottom w:val="0"/>
              <w:divBdr>
                <w:top w:val="none" w:sz="0" w:space="0" w:color="auto"/>
                <w:left w:val="none" w:sz="0" w:space="0" w:color="auto"/>
                <w:bottom w:val="none" w:sz="0" w:space="0" w:color="auto"/>
                <w:right w:val="none" w:sz="0" w:space="0" w:color="auto"/>
              </w:divBdr>
            </w:div>
          </w:divsChild>
        </w:div>
        <w:div w:id="1631978080">
          <w:marLeft w:val="0"/>
          <w:marRight w:val="0"/>
          <w:marTop w:val="0"/>
          <w:marBottom w:val="0"/>
          <w:divBdr>
            <w:top w:val="none" w:sz="0" w:space="0" w:color="auto"/>
            <w:left w:val="none" w:sz="0" w:space="0" w:color="auto"/>
            <w:bottom w:val="none" w:sz="0" w:space="0" w:color="auto"/>
            <w:right w:val="none" w:sz="0" w:space="0" w:color="auto"/>
          </w:divBdr>
          <w:divsChild>
            <w:div w:id="241988582">
              <w:marLeft w:val="0"/>
              <w:marRight w:val="0"/>
              <w:marTop w:val="0"/>
              <w:marBottom w:val="0"/>
              <w:divBdr>
                <w:top w:val="none" w:sz="0" w:space="0" w:color="auto"/>
                <w:left w:val="none" w:sz="0" w:space="0" w:color="auto"/>
                <w:bottom w:val="none" w:sz="0" w:space="0" w:color="auto"/>
                <w:right w:val="none" w:sz="0" w:space="0" w:color="auto"/>
              </w:divBdr>
            </w:div>
          </w:divsChild>
        </w:div>
        <w:div w:id="1853454398">
          <w:marLeft w:val="0"/>
          <w:marRight w:val="0"/>
          <w:marTop w:val="0"/>
          <w:marBottom w:val="0"/>
          <w:divBdr>
            <w:top w:val="none" w:sz="0" w:space="0" w:color="auto"/>
            <w:left w:val="none" w:sz="0" w:space="0" w:color="auto"/>
            <w:bottom w:val="none" w:sz="0" w:space="0" w:color="auto"/>
            <w:right w:val="none" w:sz="0" w:space="0" w:color="auto"/>
          </w:divBdr>
          <w:divsChild>
            <w:div w:id="896475658">
              <w:marLeft w:val="0"/>
              <w:marRight w:val="0"/>
              <w:marTop w:val="0"/>
              <w:marBottom w:val="0"/>
              <w:divBdr>
                <w:top w:val="none" w:sz="0" w:space="0" w:color="auto"/>
                <w:left w:val="none" w:sz="0" w:space="0" w:color="auto"/>
                <w:bottom w:val="none" w:sz="0" w:space="0" w:color="auto"/>
                <w:right w:val="none" w:sz="0" w:space="0" w:color="auto"/>
              </w:divBdr>
            </w:div>
          </w:divsChild>
        </w:div>
        <w:div w:id="2066222815">
          <w:marLeft w:val="0"/>
          <w:marRight w:val="0"/>
          <w:marTop w:val="0"/>
          <w:marBottom w:val="0"/>
          <w:divBdr>
            <w:top w:val="none" w:sz="0" w:space="0" w:color="auto"/>
            <w:left w:val="none" w:sz="0" w:space="0" w:color="auto"/>
            <w:bottom w:val="none" w:sz="0" w:space="0" w:color="auto"/>
            <w:right w:val="none" w:sz="0" w:space="0" w:color="auto"/>
          </w:divBdr>
          <w:divsChild>
            <w:div w:id="431171193">
              <w:marLeft w:val="0"/>
              <w:marRight w:val="0"/>
              <w:marTop w:val="0"/>
              <w:marBottom w:val="0"/>
              <w:divBdr>
                <w:top w:val="none" w:sz="0" w:space="0" w:color="auto"/>
                <w:left w:val="none" w:sz="0" w:space="0" w:color="auto"/>
                <w:bottom w:val="none" w:sz="0" w:space="0" w:color="auto"/>
                <w:right w:val="none" w:sz="0" w:space="0" w:color="auto"/>
              </w:divBdr>
            </w:div>
          </w:divsChild>
        </w:div>
        <w:div w:id="2085292972">
          <w:marLeft w:val="0"/>
          <w:marRight w:val="0"/>
          <w:marTop w:val="0"/>
          <w:marBottom w:val="0"/>
          <w:divBdr>
            <w:top w:val="none" w:sz="0" w:space="0" w:color="auto"/>
            <w:left w:val="none" w:sz="0" w:space="0" w:color="auto"/>
            <w:bottom w:val="none" w:sz="0" w:space="0" w:color="auto"/>
            <w:right w:val="none" w:sz="0" w:space="0" w:color="auto"/>
          </w:divBdr>
          <w:divsChild>
            <w:div w:id="11089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5395">
      <w:bodyDiv w:val="1"/>
      <w:marLeft w:val="0"/>
      <w:marRight w:val="0"/>
      <w:marTop w:val="0"/>
      <w:marBottom w:val="0"/>
      <w:divBdr>
        <w:top w:val="none" w:sz="0" w:space="0" w:color="auto"/>
        <w:left w:val="none" w:sz="0" w:space="0" w:color="auto"/>
        <w:bottom w:val="none" w:sz="0" w:space="0" w:color="auto"/>
        <w:right w:val="none" w:sz="0" w:space="0" w:color="auto"/>
      </w:divBdr>
    </w:div>
    <w:div w:id="1610892501">
      <w:bodyDiv w:val="1"/>
      <w:marLeft w:val="0"/>
      <w:marRight w:val="0"/>
      <w:marTop w:val="0"/>
      <w:marBottom w:val="0"/>
      <w:divBdr>
        <w:top w:val="none" w:sz="0" w:space="0" w:color="auto"/>
        <w:left w:val="none" w:sz="0" w:space="0" w:color="auto"/>
        <w:bottom w:val="none" w:sz="0" w:space="0" w:color="auto"/>
        <w:right w:val="none" w:sz="0" w:space="0" w:color="auto"/>
      </w:divBdr>
    </w:div>
    <w:div w:id="1636985804">
      <w:bodyDiv w:val="1"/>
      <w:marLeft w:val="0"/>
      <w:marRight w:val="0"/>
      <w:marTop w:val="0"/>
      <w:marBottom w:val="0"/>
      <w:divBdr>
        <w:top w:val="none" w:sz="0" w:space="0" w:color="auto"/>
        <w:left w:val="none" w:sz="0" w:space="0" w:color="auto"/>
        <w:bottom w:val="none" w:sz="0" w:space="0" w:color="auto"/>
        <w:right w:val="none" w:sz="0" w:space="0" w:color="auto"/>
      </w:divBdr>
    </w:div>
    <w:div w:id="1657025738">
      <w:bodyDiv w:val="1"/>
      <w:marLeft w:val="0"/>
      <w:marRight w:val="0"/>
      <w:marTop w:val="0"/>
      <w:marBottom w:val="0"/>
      <w:divBdr>
        <w:top w:val="none" w:sz="0" w:space="0" w:color="auto"/>
        <w:left w:val="none" w:sz="0" w:space="0" w:color="auto"/>
        <w:bottom w:val="none" w:sz="0" w:space="0" w:color="auto"/>
        <w:right w:val="none" w:sz="0" w:space="0" w:color="auto"/>
      </w:divBdr>
    </w:div>
    <w:div w:id="1686208297">
      <w:bodyDiv w:val="1"/>
      <w:marLeft w:val="0"/>
      <w:marRight w:val="0"/>
      <w:marTop w:val="0"/>
      <w:marBottom w:val="0"/>
      <w:divBdr>
        <w:top w:val="none" w:sz="0" w:space="0" w:color="auto"/>
        <w:left w:val="none" w:sz="0" w:space="0" w:color="auto"/>
        <w:bottom w:val="none" w:sz="0" w:space="0" w:color="auto"/>
        <w:right w:val="none" w:sz="0" w:space="0" w:color="auto"/>
      </w:divBdr>
    </w:div>
    <w:div w:id="1754739039">
      <w:bodyDiv w:val="1"/>
      <w:marLeft w:val="0"/>
      <w:marRight w:val="0"/>
      <w:marTop w:val="0"/>
      <w:marBottom w:val="0"/>
      <w:divBdr>
        <w:top w:val="none" w:sz="0" w:space="0" w:color="auto"/>
        <w:left w:val="none" w:sz="0" w:space="0" w:color="auto"/>
        <w:bottom w:val="none" w:sz="0" w:space="0" w:color="auto"/>
        <w:right w:val="none" w:sz="0" w:space="0" w:color="auto"/>
      </w:divBdr>
      <w:divsChild>
        <w:div w:id="10106933">
          <w:marLeft w:val="0"/>
          <w:marRight w:val="0"/>
          <w:marTop w:val="0"/>
          <w:marBottom w:val="0"/>
          <w:divBdr>
            <w:top w:val="none" w:sz="0" w:space="0" w:color="auto"/>
            <w:left w:val="none" w:sz="0" w:space="0" w:color="auto"/>
            <w:bottom w:val="none" w:sz="0" w:space="0" w:color="auto"/>
            <w:right w:val="none" w:sz="0" w:space="0" w:color="auto"/>
          </w:divBdr>
          <w:divsChild>
            <w:div w:id="1115826819">
              <w:marLeft w:val="0"/>
              <w:marRight w:val="0"/>
              <w:marTop w:val="0"/>
              <w:marBottom w:val="0"/>
              <w:divBdr>
                <w:top w:val="none" w:sz="0" w:space="0" w:color="auto"/>
                <w:left w:val="none" w:sz="0" w:space="0" w:color="auto"/>
                <w:bottom w:val="none" w:sz="0" w:space="0" w:color="auto"/>
                <w:right w:val="none" w:sz="0" w:space="0" w:color="auto"/>
              </w:divBdr>
            </w:div>
          </w:divsChild>
        </w:div>
        <w:div w:id="41904710">
          <w:marLeft w:val="0"/>
          <w:marRight w:val="0"/>
          <w:marTop w:val="0"/>
          <w:marBottom w:val="0"/>
          <w:divBdr>
            <w:top w:val="none" w:sz="0" w:space="0" w:color="auto"/>
            <w:left w:val="none" w:sz="0" w:space="0" w:color="auto"/>
            <w:bottom w:val="none" w:sz="0" w:space="0" w:color="auto"/>
            <w:right w:val="none" w:sz="0" w:space="0" w:color="auto"/>
          </w:divBdr>
          <w:divsChild>
            <w:div w:id="1583874185">
              <w:marLeft w:val="0"/>
              <w:marRight w:val="0"/>
              <w:marTop w:val="0"/>
              <w:marBottom w:val="0"/>
              <w:divBdr>
                <w:top w:val="none" w:sz="0" w:space="0" w:color="auto"/>
                <w:left w:val="none" w:sz="0" w:space="0" w:color="auto"/>
                <w:bottom w:val="none" w:sz="0" w:space="0" w:color="auto"/>
                <w:right w:val="none" w:sz="0" w:space="0" w:color="auto"/>
              </w:divBdr>
            </w:div>
          </w:divsChild>
        </w:div>
        <w:div w:id="48844874">
          <w:marLeft w:val="0"/>
          <w:marRight w:val="0"/>
          <w:marTop w:val="0"/>
          <w:marBottom w:val="0"/>
          <w:divBdr>
            <w:top w:val="none" w:sz="0" w:space="0" w:color="auto"/>
            <w:left w:val="none" w:sz="0" w:space="0" w:color="auto"/>
            <w:bottom w:val="none" w:sz="0" w:space="0" w:color="auto"/>
            <w:right w:val="none" w:sz="0" w:space="0" w:color="auto"/>
          </w:divBdr>
          <w:divsChild>
            <w:div w:id="1956056485">
              <w:marLeft w:val="0"/>
              <w:marRight w:val="0"/>
              <w:marTop w:val="0"/>
              <w:marBottom w:val="0"/>
              <w:divBdr>
                <w:top w:val="none" w:sz="0" w:space="0" w:color="auto"/>
                <w:left w:val="none" w:sz="0" w:space="0" w:color="auto"/>
                <w:bottom w:val="none" w:sz="0" w:space="0" w:color="auto"/>
                <w:right w:val="none" w:sz="0" w:space="0" w:color="auto"/>
              </w:divBdr>
            </w:div>
          </w:divsChild>
        </w:div>
        <w:div w:id="134227899">
          <w:marLeft w:val="0"/>
          <w:marRight w:val="0"/>
          <w:marTop w:val="0"/>
          <w:marBottom w:val="0"/>
          <w:divBdr>
            <w:top w:val="none" w:sz="0" w:space="0" w:color="auto"/>
            <w:left w:val="none" w:sz="0" w:space="0" w:color="auto"/>
            <w:bottom w:val="none" w:sz="0" w:space="0" w:color="auto"/>
            <w:right w:val="none" w:sz="0" w:space="0" w:color="auto"/>
          </w:divBdr>
          <w:divsChild>
            <w:div w:id="64644016">
              <w:marLeft w:val="0"/>
              <w:marRight w:val="0"/>
              <w:marTop w:val="0"/>
              <w:marBottom w:val="0"/>
              <w:divBdr>
                <w:top w:val="none" w:sz="0" w:space="0" w:color="auto"/>
                <w:left w:val="none" w:sz="0" w:space="0" w:color="auto"/>
                <w:bottom w:val="none" w:sz="0" w:space="0" w:color="auto"/>
                <w:right w:val="none" w:sz="0" w:space="0" w:color="auto"/>
              </w:divBdr>
            </w:div>
          </w:divsChild>
        </w:div>
        <w:div w:id="146437235">
          <w:marLeft w:val="0"/>
          <w:marRight w:val="0"/>
          <w:marTop w:val="0"/>
          <w:marBottom w:val="0"/>
          <w:divBdr>
            <w:top w:val="none" w:sz="0" w:space="0" w:color="auto"/>
            <w:left w:val="none" w:sz="0" w:space="0" w:color="auto"/>
            <w:bottom w:val="none" w:sz="0" w:space="0" w:color="auto"/>
            <w:right w:val="none" w:sz="0" w:space="0" w:color="auto"/>
          </w:divBdr>
          <w:divsChild>
            <w:div w:id="1712344603">
              <w:marLeft w:val="0"/>
              <w:marRight w:val="0"/>
              <w:marTop w:val="0"/>
              <w:marBottom w:val="0"/>
              <w:divBdr>
                <w:top w:val="none" w:sz="0" w:space="0" w:color="auto"/>
                <w:left w:val="none" w:sz="0" w:space="0" w:color="auto"/>
                <w:bottom w:val="none" w:sz="0" w:space="0" w:color="auto"/>
                <w:right w:val="none" w:sz="0" w:space="0" w:color="auto"/>
              </w:divBdr>
            </w:div>
          </w:divsChild>
        </w:div>
        <w:div w:id="158083785">
          <w:marLeft w:val="0"/>
          <w:marRight w:val="0"/>
          <w:marTop w:val="0"/>
          <w:marBottom w:val="0"/>
          <w:divBdr>
            <w:top w:val="none" w:sz="0" w:space="0" w:color="auto"/>
            <w:left w:val="none" w:sz="0" w:space="0" w:color="auto"/>
            <w:bottom w:val="none" w:sz="0" w:space="0" w:color="auto"/>
            <w:right w:val="none" w:sz="0" w:space="0" w:color="auto"/>
          </w:divBdr>
          <w:divsChild>
            <w:div w:id="2000186326">
              <w:marLeft w:val="0"/>
              <w:marRight w:val="0"/>
              <w:marTop w:val="0"/>
              <w:marBottom w:val="0"/>
              <w:divBdr>
                <w:top w:val="none" w:sz="0" w:space="0" w:color="auto"/>
                <w:left w:val="none" w:sz="0" w:space="0" w:color="auto"/>
                <w:bottom w:val="none" w:sz="0" w:space="0" w:color="auto"/>
                <w:right w:val="none" w:sz="0" w:space="0" w:color="auto"/>
              </w:divBdr>
            </w:div>
          </w:divsChild>
        </w:div>
        <w:div w:id="285503763">
          <w:marLeft w:val="0"/>
          <w:marRight w:val="0"/>
          <w:marTop w:val="0"/>
          <w:marBottom w:val="0"/>
          <w:divBdr>
            <w:top w:val="none" w:sz="0" w:space="0" w:color="auto"/>
            <w:left w:val="none" w:sz="0" w:space="0" w:color="auto"/>
            <w:bottom w:val="none" w:sz="0" w:space="0" w:color="auto"/>
            <w:right w:val="none" w:sz="0" w:space="0" w:color="auto"/>
          </w:divBdr>
          <w:divsChild>
            <w:div w:id="1998534627">
              <w:marLeft w:val="0"/>
              <w:marRight w:val="0"/>
              <w:marTop w:val="0"/>
              <w:marBottom w:val="0"/>
              <w:divBdr>
                <w:top w:val="none" w:sz="0" w:space="0" w:color="auto"/>
                <w:left w:val="none" w:sz="0" w:space="0" w:color="auto"/>
                <w:bottom w:val="none" w:sz="0" w:space="0" w:color="auto"/>
                <w:right w:val="none" w:sz="0" w:space="0" w:color="auto"/>
              </w:divBdr>
            </w:div>
          </w:divsChild>
        </w:div>
        <w:div w:id="303240011">
          <w:marLeft w:val="0"/>
          <w:marRight w:val="0"/>
          <w:marTop w:val="0"/>
          <w:marBottom w:val="0"/>
          <w:divBdr>
            <w:top w:val="none" w:sz="0" w:space="0" w:color="auto"/>
            <w:left w:val="none" w:sz="0" w:space="0" w:color="auto"/>
            <w:bottom w:val="none" w:sz="0" w:space="0" w:color="auto"/>
            <w:right w:val="none" w:sz="0" w:space="0" w:color="auto"/>
          </w:divBdr>
          <w:divsChild>
            <w:div w:id="1044990515">
              <w:marLeft w:val="0"/>
              <w:marRight w:val="0"/>
              <w:marTop w:val="0"/>
              <w:marBottom w:val="0"/>
              <w:divBdr>
                <w:top w:val="none" w:sz="0" w:space="0" w:color="auto"/>
                <w:left w:val="none" w:sz="0" w:space="0" w:color="auto"/>
                <w:bottom w:val="none" w:sz="0" w:space="0" w:color="auto"/>
                <w:right w:val="none" w:sz="0" w:space="0" w:color="auto"/>
              </w:divBdr>
            </w:div>
          </w:divsChild>
        </w:div>
        <w:div w:id="323976493">
          <w:marLeft w:val="0"/>
          <w:marRight w:val="0"/>
          <w:marTop w:val="0"/>
          <w:marBottom w:val="0"/>
          <w:divBdr>
            <w:top w:val="none" w:sz="0" w:space="0" w:color="auto"/>
            <w:left w:val="none" w:sz="0" w:space="0" w:color="auto"/>
            <w:bottom w:val="none" w:sz="0" w:space="0" w:color="auto"/>
            <w:right w:val="none" w:sz="0" w:space="0" w:color="auto"/>
          </w:divBdr>
          <w:divsChild>
            <w:div w:id="1619144708">
              <w:marLeft w:val="0"/>
              <w:marRight w:val="0"/>
              <w:marTop w:val="0"/>
              <w:marBottom w:val="0"/>
              <w:divBdr>
                <w:top w:val="none" w:sz="0" w:space="0" w:color="auto"/>
                <w:left w:val="none" w:sz="0" w:space="0" w:color="auto"/>
                <w:bottom w:val="none" w:sz="0" w:space="0" w:color="auto"/>
                <w:right w:val="none" w:sz="0" w:space="0" w:color="auto"/>
              </w:divBdr>
            </w:div>
          </w:divsChild>
        </w:div>
        <w:div w:id="359478899">
          <w:marLeft w:val="0"/>
          <w:marRight w:val="0"/>
          <w:marTop w:val="0"/>
          <w:marBottom w:val="0"/>
          <w:divBdr>
            <w:top w:val="none" w:sz="0" w:space="0" w:color="auto"/>
            <w:left w:val="none" w:sz="0" w:space="0" w:color="auto"/>
            <w:bottom w:val="none" w:sz="0" w:space="0" w:color="auto"/>
            <w:right w:val="none" w:sz="0" w:space="0" w:color="auto"/>
          </w:divBdr>
          <w:divsChild>
            <w:div w:id="903101188">
              <w:marLeft w:val="0"/>
              <w:marRight w:val="0"/>
              <w:marTop w:val="0"/>
              <w:marBottom w:val="0"/>
              <w:divBdr>
                <w:top w:val="none" w:sz="0" w:space="0" w:color="auto"/>
                <w:left w:val="none" w:sz="0" w:space="0" w:color="auto"/>
                <w:bottom w:val="none" w:sz="0" w:space="0" w:color="auto"/>
                <w:right w:val="none" w:sz="0" w:space="0" w:color="auto"/>
              </w:divBdr>
            </w:div>
          </w:divsChild>
        </w:div>
        <w:div w:id="594217814">
          <w:marLeft w:val="0"/>
          <w:marRight w:val="0"/>
          <w:marTop w:val="0"/>
          <w:marBottom w:val="0"/>
          <w:divBdr>
            <w:top w:val="none" w:sz="0" w:space="0" w:color="auto"/>
            <w:left w:val="none" w:sz="0" w:space="0" w:color="auto"/>
            <w:bottom w:val="none" w:sz="0" w:space="0" w:color="auto"/>
            <w:right w:val="none" w:sz="0" w:space="0" w:color="auto"/>
          </w:divBdr>
          <w:divsChild>
            <w:div w:id="693850322">
              <w:marLeft w:val="0"/>
              <w:marRight w:val="0"/>
              <w:marTop w:val="0"/>
              <w:marBottom w:val="0"/>
              <w:divBdr>
                <w:top w:val="none" w:sz="0" w:space="0" w:color="auto"/>
                <w:left w:val="none" w:sz="0" w:space="0" w:color="auto"/>
                <w:bottom w:val="none" w:sz="0" w:space="0" w:color="auto"/>
                <w:right w:val="none" w:sz="0" w:space="0" w:color="auto"/>
              </w:divBdr>
            </w:div>
          </w:divsChild>
        </w:div>
        <w:div w:id="627472955">
          <w:marLeft w:val="0"/>
          <w:marRight w:val="0"/>
          <w:marTop w:val="0"/>
          <w:marBottom w:val="0"/>
          <w:divBdr>
            <w:top w:val="none" w:sz="0" w:space="0" w:color="auto"/>
            <w:left w:val="none" w:sz="0" w:space="0" w:color="auto"/>
            <w:bottom w:val="none" w:sz="0" w:space="0" w:color="auto"/>
            <w:right w:val="none" w:sz="0" w:space="0" w:color="auto"/>
          </w:divBdr>
          <w:divsChild>
            <w:div w:id="153188034">
              <w:marLeft w:val="0"/>
              <w:marRight w:val="0"/>
              <w:marTop w:val="0"/>
              <w:marBottom w:val="0"/>
              <w:divBdr>
                <w:top w:val="none" w:sz="0" w:space="0" w:color="auto"/>
                <w:left w:val="none" w:sz="0" w:space="0" w:color="auto"/>
                <w:bottom w:val="none" w:sz="0" w:space="0" w:color="auto"/>
                <w:right w:val="none" w:sz="0" w:space="0" w:color="auto"/>
              </w:divBdr>
            </w:div>
          </w:divsChild>
        </w:div>
        <w:div w:id="653098514">
          <w:marLeft w:val="0"/>
          <w:marRight w:val="0"/>
          <w:marTop w:val="0"/>
          <w:marBottom w:val="0"/>
          <w:divBdr>
            <w:top w:val="none" w:sz="0" w:space="0" w:color="auto"/>
            <w:left w:val="none" w:sz="0" w:space="0" w:color="auto"/>
            <w:bottom w:val="none" w:sz="0" w:space="0" w:color="auto"/>
            <w:right w:val="none" w:sz="0" w:space="0" w:color="auto"/>
          </w:divBdr>
          <w:divsChild>
            <w:div w:id="769356595">
              <w:marLeft w:val="0"/>
              <w:marRight w:val="0"/>
              <w:marTop w:val="0"/>
              <w:marBottom w:val="0"/>
              <w:divBdr>
                <w:top w:val="none" w:sz="0" w:space="0" w:color="auto"/>
                <w:left w:val="none" w:sz="0" w:space="0" w:color="auto"/>
                <w:bottom w:val="none" w:sz="0" w:space="0" w:color="auto"/>
                <w:right w:val="none" w:sz="0" w:space="0" w:color="auto"/>
              </w:divBdr>
            </w:div>
          </w:divsChild>
        </w:div>
        <w:div w:id="746657775">
          <w:marLeft w:val="0"/>
          <w:marRight w:val="0"/>
          <w:marTop w:val="0"/>
          <w:marBottom w:val="0"/>
          <w:divBdr>
            <w:top w:val="none" w:sz="0" w:space="0" w:color="auto"/>
            <w:left w:val="none" w:sz="0" w:space="0" w:color="auto"/>
            <w:bottom w:val="none" w:sz="0" w:space="0" w:color="auto"/>
            <w:right w:val="none" w:sz="0" w:space="0" w:color="auto"/>
          </w:divBdr>
          <w:divsChild>
            <w:div w:id="576135838">
              <w:marLeft w:val="0"/>
              <w:marRight w:val="0"/>
              <w:marTop w:val="0"/>
              <w:marBottom w:val="0"/>
              <w:divBdr>
                <w:top w:val="none" w:sz="0" w:space="0" w:color="auto"/>
                <w:left w:val="none" w:sz="0" w:space="0" w:color="auto"/>
                <w:bottom w:val="none" w:sz="0" w:space="0" w:color="auto"/>
                <w:right w:val="none" w:sz="0" w:space="0" w:color="auto"/>
              </w:divBdr>
            </w:div>
          </w:divsChild>
        </w:div>
        <w:div w:id="784273748">
          <w:marLeft w:val="0"/>
          <w:marRight w:val="0"/>
          <w:marTop w:val="0"/>
          <w:marBottom w:val="0"/>
          <w:divBdr>
            <w:top w:val="none" w:sz="0" w:space="0" w:color="auto"/>
            <w:left w:val="none" w:sz="0" w:space="0" w:color="auto"/>
            <w:bottom w:val="none" w:sz="0" w:space="0" w:color="auto"/>
            <w:right w:val="none" w:sz="0" w:space="0" w:color="auto"/>
          </w:divBdr>
          <w:divsChild>
            <w:div w:id="1358966131">
              <w:marLeft w:val="0"/>
              <w:marRight w:val="0"/>
              <w:marTop w:val="0"/>
              <w:marBottom w:val="0"/>
              <w:divBdr>
                <w:top w:val="none" w:sz="0" w:space="0" w:color="auto"/>
                <w:left w:val="none" w:sz="0" w:space="0" w:color="auto"/>
                <w:bottom w:val="none" w:sz="0" w:space="0" w:color="auto"/>
                <w:right w:val="none" w:sz="0" w:space="0" w:color="auto"/>
              </w:divBdr>
            </w:div>
          </w:divsChild>
        </w:div>
        <w:div w:id="824854208">
          <w:marLeft w:val="0"/>
          <w:marRight w:val="0"/>
          <w:marTop w:val="0"/>
          <w:marBottom w:val="0"/>
          <w:divBdr>
            <w:top w:val="none" w:sz="0" w:space="0" w:color="auto"/>
            <w:left w:val="none" w:sz="0" w:space="0" w:color="auto"/>
            <w:bottom w:val="none" w:sz="0" w:space="0" w:color="auto"/>
            <w:right w:val="none" w:sz="0" w:space="0" w:color="auto"/>
          </w:divBdr>
          <w:divsChild>
            <w:div w:id="1712652930">
              <w:marLeft w:val="0"/>
              <w:marRight w:val="0"/>
              <w:marTop w:val="0"/>
              <w:marBottom w:val="0"/>
              <w:divBdr>
                <w:top w:val="none" w:sz="0" w:space="0" w:color="auto"/>
                <w:left w:val="none" w:sz="0" w:space="0" w:color="auto"/>
                <w:bottom w:val="none" w:sz="0" w:space="0" w:color="auto"/>
                <w:right w:val="none" w:sz="0" w:space="0" w:color="auto"/>
              </w:divBdr>
            </w:div>
          </w:divsChild>
        </w:div>
        <w:div w:id="840774943">
          <w:marLeft w:val="0"/>
          <w:marRight w:val="0"/>
          <w:marTop w:val="0"/>
          <w:marBottom w:val="0"/>
          <w:divBdr>
            <w:top w:val="none" w:sz="0" w:space="0" w:color="auto"/>
            <w:left w:val="none" w:sz="0" w:space="0" w:color="auto"/>
            <w:bottom w:val="none" w:sz="0" w:space="0" w:color="auto"/>
            <w:right w:val="none" w:sz="0" w:space="0" w:color="auto"/>
          </w:divBdr>
          <w:divsChild>
            <w:div w:id="1682851306">
              <w:marLeft w:val="0"/>
              <w:marRight w:val="0"/>
              <w:marTop w:val="0"/>
              <w:marBottom w:val="0"/>
              <w:divBdr>
                <w:top w:val="none" w:sz="0" w:space="0" w:color="auto"/>
                <w:left w:val="none" w:sz="0" w:space="0" w:color="auto"/>
                <w:bottom w:val="none" w:sz="0" w:space="0" w:color="auto"/>
                <w:right w:val="none" w:sz="0" w:space="0" w:color="auto"/>
              </w:divBdr>
            </w:div>
          </w:divsChild>
        </w:div>
        <w:div w:id="1166894985">
          <w:marLeft w:val="0"/>
          <w:marRight w:val="0"/>
          <w:marTop w:val="0"/>
          <w:marBottom w:val="0"/>
          <w:divBdr>
            <w:top w:val="none" w:sz="0" w:space="0" w:color="auto"/>
            <w:left w:val="none" w:sz="0" w:space="0" w:color="auto"/>
            <w:bottom w:val="none" w:sz="0" w:space="0" w:color="auto"/>
            <w:right w:val="none" w:sz="0" w:space="0" w:color="auto"/>
          </w:divBdr>
          <w:divsChild>
            <w:div w:id="37172266">
              <w:marLeft w:val="0"/>
              <w:marRight w:val="0"/>
              <w:marTop w:val="0"/>
              <w:marBottom w:val="0"/>
              <w:divBdr>
                <w:top w:val="none" w:sz="0" w:space="0" w:color="auto"/>
                <w:left w:val="none" w:sz="0" w:space="0" w:color="auto"/>
                <w:bottom w:val="none" w:sz="0" w:space="0" w:color="auto"/>
                <w:right w:val="none" w:sz="0" w:space="0" w:color="auto"/>
              </w:divBdr>
            </w:div>
          </w:divsChild>
        </w:div>
        <w:div w:id="1229418871">
          <w:marLeft w:val="0"/>
          <w:marRight w:val="0"/>
          <w:marTop w:val="0"/>
          <w:marBottom w:val="0"/>
          <w:divBdr>
            <w:top w:val="none" w:sz="0" w:space="0" w:color="auto"/>
            <w:left w:val="none" w:sz="0" w:space="0" w:color="auto"/>
            <w:bottom w:val="none" w:sz="0" w:space="0" w:color="auto"/>
            <w:right w:val="none" w:sz="0" w:space="0" w:color="auto"/>
          </w:divBdr>
          <w:divsChild>
            <w:div w:id="1966764822">
              <w:marLeft w:val="0"/>
              <w:marRight w:val="0"/>
              <w:marTop w:val="0"/>
              <w:marBottom w:val="0"/>
              <w:divBdr>
                <w:top w:val="none" w:sz="0" w:space="0" w:color="auto"/>
                <w:left w:val="none" w:sz="0" w:space="0" w:color="auto"/>
                <w:bottom w:val="none" w:sz="0" w:space="0" w:color="auto"/>
                <w:right w:val="none" w:sz="0" w:space="0" w:color="auto"/>
              </w:divBdr>
            </w:div>
          </w:divsChild>
        </w:div>
        <w:div w:id="1323464757">
          <w:marLeft w:val="0"/>
          <w:marRight w:val="0"/>
          <w:marTop w:val="0"/>
          <w:marBottom w:val="0"/>
          <w:divBdr>
            <w:top w:val="none" w:sz="0" w:space="0" w:color="auto"/>
            <w:left w:val="none" w:sz="0" w:space="0" w:color="auto"/>
            <w:bottom w:val="none" w:sz="0" w:space="0" w:color="auto"/>
            <w:right w:val="none" w:sz="0" w:space="0" w:color="auto"/>
          </w:divBdr>
          <w:divsChild>
            <w:div w:id="1955405972">
              <w:marLeft w:val="0"/>
              <w:marRight w:val="0"/>
              <w:marTop w:val="0"/>
              <w:marBottom w:val="0"/>
              <w:divBdr>
                <w:top w:val="none" w:sz="0" w:space="0" w:color="auto"/>
                <w:left w:val="none" w:sz="0" w:space="0" w:color="auto"/>
                <w:bottom w:val="none" w:sz="0" w:space="0" w:color="auto"/>
                <w:right w:val="none" w:sz="0" w:space="0" w:color="auto"/>
              </w:divBdr>
            </w:div>
          </w:divsChild>
        </w:div>
        <w:div w:id="1387948498">
          <w:marLeft w:val="0"/>
          <w:marRight w:val="0"/>
          <w:marTop w:val="0"/>
          <w:marBottom w:val="0"/>
          <w:divBdr>
            <w:top w:val="none" w:sz="0" w:space="0" w:color="auto"/>
            <w:left w:val="none" w:sz="0" w:space="0" w:color="auto"/>
            <w:bottom w:val="none" w:sz="0" w:space="0" w:color="auto"/>
            <w:right w:val="none" w:sz="0" w:space="0" w:color="auto"/>
          </w:divBdr>
          <w:divsChild>
            <w:div w:id="916668713">
              <w:marLeft w:val="0"/>
              <w:marRight w:val="0"/>
              <w:marTop w:val="0"/>
              <w:marBottom w:val="0"/>
              <w:divBdr>
                <w:top w:val="none" w:sz="0" w:space="0" w:color="auto"/>
                <w:left w:val="none" w:sz="0" w:space="0" w:color="auto"/>
                <w:bottom w:val="none" w:sz="0" w:space="0" w:color="auto"/>
                <w:right w:val="none" w:sz="0" w:space="0" w:color="auto"/>
              </w:divBdr>
            </w:div>
          </w:divsChild>
        </w:div>
        <w:div w:id="1450933834">
          <w:marLeft w:val="0"/>
          <w:marRight w:val="0"/>
          <w:marTop w:val="0"/>
          <w:marBottom w:val="0"/>
          <w:divBdr>
            <w:top w:val="none" w:sz="0" w:space="0" w:color="auto"/>
            <w:left w:val="none" w:sz="0" w:space="0" w:color="auto"/>
            <w:bottom w:val="none" w:sz="0" w:space="0" w:color="auto"/>
            <w:right w:val="none" w:sz="0" w:space="0" w:color="auto"/>
          </w:divBdr>
          <w:divsChild>
            <w:div w:id="1093472376">
              <w:marLeft w:val="0"/>
              <w:marRight w:val="0"/>
              <w:marTop w:val="0"/>
              <w:marBottom w:val="0"/>
              <w:divBdr>
                <w:top w:val="none" w:sz="0" w:space="0" w:color="auto"/>
                <w:left w:val="none" w:sz="0" w:space="0" w:color="auto"/>
                <w:bottom w:val="none" w:sz="0" w:space="0" w:color="auto"/>
                <w:right w:val="none" w:sz="0" w:space="0" w:color="auto"/>
              </w:divBdr>
            </w:div>
          </w:divsChild>
        </w:div>
        <w:div w:id="1613200838">
          <w:marLeft w:val="0"/>
          <w:marRight w:val="0"/>
          <w:marTop w:val="0"/>
          <w:marBottom w:val="0"/>
          <w:divBdr>
            <w:top w:val="none" w:sz="0" w:space="0" w:color="auto"/>
            <w:left w:val="none" w:sz="0" w:space="0" w:color="auto"/>
            <w:bottom w:val="none" w:sz="0" w:space="0" w:color="auto"/>
            <w:right w:val="none" w:sz="0" w:space="0" w:color="auto"/>
          </w:divBdr>
          <w:divsChild>
            <w:div w:id="396830051">
              <w:marLeft w:val="0"/>
              <w:marRight w:val="0"/>
              <w:marTop w:val="0"/>
              <w:marBottom w:val="0"/>
              <w:divBdr>
                <w:top w:val="none" w:sz="0" w:space="0" w:color="auto"/>
                <w:left w:val="none" w:sz="0" w:space="0" w:color="auto"/>
                <w:bottom w:val="none" w:sz="0" w:space="0" w:color="auto"/>
                <w:right w:val="none" w:sz="0" w:space="0" w:color="auto"/>
              </w:divBdr>
            </w:div>
          </w:divsChild>
        </w:div>
        <w:div w:id="1613824407">
          <w:marLeft w:val="0"/>
          <w:marRight w:val="0"/>
          <w:marTop w:val="0"/>
          <w:marBottom w:val="0"/>
          <w:divBdr>
            <w:top w:val="none" w:sz="0" w:space="0" w:color="auto"/>
            <w:left w:val="none" w:sz="0" w:space="0" w:color="auto"/>
            <w:bottom w:val="none" w:sz="0" w:space="0" w:color="auto"/>
            <w:right w:val="none" w:sz="0" w:space="0" w:color="auto"/>
          </w:divBdr>
          <w:divsChild>
            <w:div w:id="611788241">
              <w:marLeft w:val="0"/>
              <w:marRight w:val="0"/>
              <w:marTop w:val="0"/>
              <w:marBottom w:val="0"/>
              <w:divBdr>
                <w:top w:val="none" w:sz="0" w:space="0" w:color="auto"/>
                <w:left w:val="none" w:sz="0" w:space="0" w:color="auto"/>
                <w:bottom w:val="none" w:sz="0" w:space="0" w:color="auto"/>
                <w:right w:val="none" w:sz="0" w:space="0" w:color="auto"/>
              </w:divBdr>
            </w:div>
          </w:divsChild>
        </w:div>
        <w:div w:id="1654993289">
          <w:marLeft w:val="0"/>
          <w:marRight w:val="0"/>
          <w:marTop w:val="0"/>
          <w:marBottom w:val="0"/>
          <w:divBdr>
            <w:top w:val="none" w:sz="0" w:space="0" w:color="auto"/>
            <w:left w:val="none" w:sz="0" w:space="0" w:color="auto"/>
            <w:bottom w:val="none" w:sz="0" w:space="0" w:color="auto"/>
            <w:right w:val="none" w:sz="0" w:space="0" w:color="auto"/>
          </w:divBdr>
          <w:divsChild>
            <w:div w:id="2132674763">
              <w:marLeft w:val="0"/>
              <w:marRight w:val="0"/>
              <w:marTop w:val="0"/>
              <w:marBottom w:val="0"/>
              <w:divBdr>
                <w:top w:val="none" w:sz="0" w:space="0" w:color="auto"/>
                <w:left w:val="none" w:sz="0" w:space="0" w:color="auto"/>
                <w:bottom w:val="none" w:sz="0" w:space="0" w:color="auto"/>
                <w:right w:val="none" w:sz="0" w:space="0" w:color="auto"/>
              </w:divBdr>
            </w:div>
          </w:divsChild>
        </w:div>
        <w:div w:id="1688024614">
          <w:marLeft w:val="0"/>
          <w:marRight w:val="0"/>
          <w:marTop w:val="0"/>
          <w:marBottom w:val="0"/>
          <w:divBdr>
            <w:top w:val="none" w:sz="0" w:space="0" w:color="auto"/>
            <w:left w:val="none" w:sz="0" w:space="0" w:color="auto"/>
            <w:bottom w:val="none" w:sz="0" w:space="0" w:color="auto"/>
            <w:right w:val="none" w:sz="0" w:space="0" w:color="auto"/>
          </w:divBdr>
          <w:divsChild>
            <w:div w:id="1341666570">
              <w:marLeft w:val="0"/>
              <w:marRight w:val="0"/>
              <w:marTop w:val="0"/>
              <w:marBottom w:val="0"/>
              <w:divBdr>
                <w:top w:val="none" w:sz="0" w:space="0" w:color="auto"/>
                <w:left w:val="none" w:sz="0" w:space="0" w:color="auto"/>
                <w:bottom w:val="none" w:sz="0" w:space="0" w:color="auto"/>
                <w:right w:val="none" w:sz="0" w:space="0" w:color="auto"/>
              </w:divBdr>
            </w:div>
          </w:divsChild>
        </w:div>
        <w:div w:id="1748456702">
          <w:marLeft w:val="0"/>
          <w:marRight w:val="0"/>
          <w:marTop w:val="0"/>
          <w:marBottom w:val="0"/>
          <w:divBdr>
            <w:top w:val="none" w:sz="0" w:space="0" w:color="auto"/>
            <w:left w:val="none" w:sz="0" w:space="0" w:color="auto"/>
            <w:bottom w:val="none" w:sz="0" w:space="0" w:color="auto"/>
            <w:right w:val="none" w:sz="0" w:space="0" w:color="auto"/>
          </w:divBdr>
          <w:divsChild>
            <w:div w:id="704721960">
              <w:marLeft w:val="0"/>
              <w:marRight w:val="0"/>
              <w:marTop w:val="0"/>
              <w:marBottom w:val="0"/>
              <w:divBdr>
                <w:top w:val="none" w:sz="0" w:space="0" w:color="auto"/>
                <w:left w:val="none" w:sz="0" w:space="0" w:color="auto"/>
                <w:bottom w:val="none" w:sz="0" w:space="0" w:color="auto"/>
                <w:right w:val="none" w:sz="0" w:space="0" w:color="auto"/>
              </w:divBdr>
            </w:div>
          </w:divsChild>
        </w:div>
        <w:div w:id="1785270021">
          <w:marLeft w:val="0"/>
          <w:marRight w:val="0"/>
          <w:marTop w:val="0"/>
          <w:marBottom w:val="0"/>
          <w:divBdr>
            <w:top w:val="none" w:sz="0" w:space="0" w:color="auto"/>
            <w:left w:val="none" w:sz="0" w:space="0" w:color="auto"/>
            <w:bottom w:val="none" w:sz="0" w:space="0" w:color="auto"/>
            <w:right w:val="none" w:sz="0" w:space="0" w:color="auto"/>
          </w:divBdr>
          <w:divsChild>
            <w:div w:id="1794861573">
              <w:marLeft w:val="0"/>
              <w:marRight w:val="0"/>
              <w:marTop w:val="0"/>
              <w:marBottom w:val="0"/>
              <w:divBdr>
                <w:top w:val="none" w:sz="0" w:space="0" w:color="auto"/>
                <w:left w:val="none" w:sz="0" w:space="0" w:color="auto"/>
                <w:bottom w:val="none" w:sz="0" w:space="0" w:color="auto"/>
                <w:right w:val="none" w:sz="0" w:space="0" w:color="auto"/>
              </w:divBdr>
            </w:div>
          </w:divsChild>
        </w:div>
        <w:div w:id="1902213221">
          <w:marLeft w:val="0"/>
          <w:marRight w:val="0"/>
          <w:marTop w:val="0"/>
          <w:marBottom w:val="0"/>
          <w:divBdr>
            <w:top w:val="none" w:sz="0" w:space="0" w:color="auto"/>
            <w:left w:val="none" w:sz="0" w:space="0" w:color="auto"/>
            <w:bottom w:val="none" w:sz="0" w:space="0" w:color="auto"/>
            <w:right w:val="none" w:sz="0" w:space="0" w:color="auto"/>
          </w:divBdr>
          <w:divsChild>
            <w:div w:id="12921788">
              <w:marLeft w:val="0"/>
              <w:marRight w:val="0"/>
              <w:marTop w:val="0"/>
              <w:marBottom w:val="0"/>
              <w:divBdr>
                <w:top w:val="none" w:sz="0" w:space="0" w:color="auto"/>
                <w:left w:val="none" w:sz="0" w:space="0" w:color="auto"/>
                <w:bottom w:val="none" w:sz="0" w:space="0" w:color="auto"/>
                <w:right w:val="none" w:sz="0" w:space="0" w:color="auto"/>
              </w:divBdr>
            </w:div>
          </w:divsChild>
        </w:div>
        <w:div w:id="2029522387">
          <w:marLeft w:val="0"/>
          <w:marRight w:val="0"/>
          <w:marTop w:val="0"/>
          <w:marBottom w:val="0"/>
          <w:divBdr>
            <w:top w:val="none" w:sz="0" w:space="0" w:color="auto"/>
            <w:left w:val="none" w:sz="0" w:space="0" w:color="auto"/>
            <w:bottom w:val="none" w:sz="0" w:space="0" w:color="auto"/>
            <w:right w:val="none" w:sz="0" w:space="0" w:color="auto"/>
          </w:divBdr>
          <w:divsChild>
            <w:div w:id="1601600083">
              <w:marLeft w:val="0"/>
              <w:marRight w:val="0"/>
              <w:marTop w:val="0"/>
              <w:marBottom w:val="0"/>
              <w:divBdr>
                <w:top w:val="none" w:sz="0" w:space="0" w:color="auto"/>
                <w:left w:val="none" w:sz="0" w:space="0" w:color="auto"/>
                <w:bottom w:val="none" w:sz="0" w:space="0" w:color="auto"/>
                <w:right w:val="none" w:sz="0" w:space="0" w:color="auto"/>
              </w:divBdr>
            </w:div>
          </w:divsChild>
        </w:div>
        <w:div w:id="2039819030">
          <w:marLeft w:val="0"/>
          <w:marRight w:val="0"/>
          <w:marTop w:val="0"/>
          <w:marBottom w:val="0"/>
          <w:divBdr>
            <w:top w:val="none" w:sz="0" w:space="0" w:color="auto"/>
            <w:left w:val="none" w:sz="0" w:space="0" w:color="auto"/>
            <w:bottom w:val="none" w:sz="0" w:space="0" w:color="auto"/>
            <w:right w:val="none" w:sz="0" w:space="0" w:color="auto"/>
          </w:divBdr>
          <w:divsChild>
            <w:div w:id="1218250058">
              <w:marLeft w:val="0"/>
              <w:marRight w:val="0"/>
              <w:marTop w:val="0"/>
              <w:marBottom w:val="0"/>
              <w:divBdr>
                <w:top w:val="none" w:sz="0" w:space="0" w:color="auto"/>
                <w:left w:val="none" w:sz="0" w:space="0" w:color="auto"/>
                <w:bottom w:val="none" w:sz="0" w:space="0" w:color="auto"/>
                <w:right w:val="none" w:sz="0" w:space="0" w:color="auto"/>
              </w:divBdr>
            </w:div>
          </w:divsChild>
        </w:div>
        <w:div w:id="2095010646">
          <w:marLeft w:val="0"/>
          <w:marRight w:val="0"/>
          <w:marTop w:val="0"/>
          <w:marBottom w:val="0"/>
          <w:divBdr>
            <w:top w:val="none" w:sz="0" w:space="0" w:color="auto"/>
            <w:left w:val="none" w:sz="0" w:space="0" w:color="auto"/>
            <w:bottom w:val="none" w:sz="0" w:space="0" w:color="auto"/>
            <w:right w:val="none" w:sz="0" w:space="0" w:color="auto"/>
          </w:divBdr>
          <w:divsChild>
            <w:div w:id="12678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68409">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sChild>
        <w:div w:id="55706338">
          <w:marLeft w:val="0"/>
          <w:marRight w:val="0"/>
          <w:marTop w:val="0"/>
          <w:marBottom w:val="0"/>
          <w:divBdr>
            <w:top w:val="none" w:sz="0" w:space="0" w:color="auto"/>
            <w:left w:val="none" w:sz="0" w:space="0" w:color="auto"/>
            <w:bottom w:val="none" w:sz="0" w:space="0" w:color="auto"/>
            <w:right w:val="none" w:sz="0" w:space="0" w:color="auto"/>
          </w:divBdr>
          <w:divsChild>
            <w:div w:id="220942121">
              <w:marLeft w:val="0"/>
              <w:marRight w:val="0"/>
              <w:marTop w:val="0"/>
              <w:marBottom w:val="0"/>
              <w:divBdr>
                <w:top w:val="none" w:sz="0" w:space="0" w:color="auto"/>
                <w:left w:val="none" w:sz="0" w:space="0" w:color="auto"/>
                <w:bottom w:val="none" w:sz="0" w:space="0" w:color="auto"/>
                <w:right w:val="none" w:sz="0" w:space="0" w:color="auto"/>
              </w:divBdr>
            </w:div>
          </w:divsChild>
        </w:div>
        <w:div w:id="141235168">
          <w:marLeft w:val="0"/>
          <w:marRight w:val="0"/>
          <w:marTop w:val="0"/>
          <w:marBottom w:val="0"/>
          <w:divBdr>
            <w:top w:val="none" w:sz="0" w:space="0" w:color="auto"/>
            <w:left w:val="none" w:sz="0" w:space="0" w:color="auto"/>
            <w:bottom w:val="none" w:sz="0" w:space="0" w:color="auto"/>
            <w:right w:val="none" w:sz="0" w:space="0" w:color="auto"/>
          </w:divBdr>
          <w:divsChild>
            <w:div w:id="1000158622">
              <w:marLeft w:val="0"/>
              <w:marRight w:val="0"/>
              <w:marTop w:val="0"/>
              <w:marBottom w:val="0"/>
              <w:divBdr>
                <w:top w:val="none" w:sz="0" w:space="0" w:color="auto"/>
                <w:left w:val="none" w:sz="0" w:space="0" w:color="auto"/>
                <w:bottom w:val="none" w:sz="0" w:space="0" w:color="auto"/>
                <w:right w:val="none" w:sz="0" w:space="0" w:color="auto"/>
              </w:divBdr>
            </w:div>
          </w:divsChild>
        </w:div>
        <w:div w:id="159542173">
          <w:marLeft w:val="0"/>
          <w:marRight w:val="0"/>
          <w:marTop w:val="0"/>
          <w:marBottom w:val="0"/>
          <w:divBdr>
            <w:top w:val="none" w:sz="0" w:space="0" w:color="auto"/>
            <w:left w:val="none" w:sz="0" w:space="0" w:color="auto"/>
            <w:bottom w:val="none" w:sz="0" w:space="0" w:color="auto"/>
            <w:right w:val="none" w:sz="0" w:space="0" w:color="auto"/>
          </w:divBdr>
          <w:divsChild>
            <w:div w:id="190189909">
              <w:marLeft w:val="0"/>
              <w:marRight w:val="0"/>
              <w:marTop w:val="0"/>
              <w:marBottom w:val="0"/>
              <w:divBdr>
                <w:top w:val="none" w:sz="0" w:space="0" w:color="auto"/>
                <w:left w:val="none" w:sz="0" w:space="0" w:color="auto"/>
                <w:bottom w:val="none" w:sz="0" w:space="0" w:color="auto"/>
                <w:right w:val="none" w:sz="0" w:space="0" w:color="auto"/>
              </w:divBdr>
            </w:div>
          </w:divsChild>
        </w:div>
        <w:div w:id="231737657">
          <w:marLeft w:val="0"/>
          <w:marRight w:val="0"/>
          <w:marTop w:val="0"/>
          <w:marBottom w:val="0"/>
          <w:divBdr>
            <w:top w:val="none" w:sz="0" w:space="0" w:color="auto"/>
            <w:left w:val="none" w:sz="0" w:space="0" w:color="auto"/>
            <w:bottom w:val="none" w:sz="0" w:space="0" w:color="auto"/>
            <w:right w:val="none" w:sz="0" w:space="0" w:color="auto"/>
          </w:divBdr>
          <w:divsChild>
            <w:div w:id="1101685350">
              <w:marLeft w:val="0"/>
              <w:marRight w:val="0"/>
              <w:marTop w:val="0"/>
              <w:marBottom w:val="0"/>
              <w:divBdr>
                <w:top w:val="none" w:sz="0" w:space="0" w:color="auto"/>
                <w:left w:val="none" w:sz="0" w:space="0" w:color="auto"/>
                <w:bottom w:val="none" w:sz="0" w:space="0" w:color="auto"/>
                <w:right w:val="none" w:sz="0" w:space="0" w:color="auto"/>
              </w:divBdr>
            </w:div>
          </w:divsChild>
        </w:div>
        <w:div w:id="239603221">
          <w:marLeft w:val="0"/>
          <w:marRight w:val="0"/>
          <w:marTop w:val="0"/>
          <w:marBottom w:val="0"/>
          <w:divBdr>
            <w:top w:val="none" w:sz="0" w:space="0" w:color="auto"/>
            <w:left w:val="none" w:sz="0" w:space="0" w:color="auto"/>
            <w:bottom w:val="none" w:sz="0" w:space="0" w:color="auto"/>
            <w:right w:val="none" w:sz="0" w:space="0" w:color="auto"/>
          </w:divBdr>
          <w:divsChild>
            <w:div w:id="1589538290">
              <w:marLeft w:val="0"/>
              <w:marRight w:val="0"/>
              <w:marTop w:val="0"/>
              <w:marBottom w:val="0"/>
              <w:divBdr>
                <w:top w:val="none" w:sz="0" w:space="0" w:color="auto"/>
                <w:left w:val="none" w:sz="0" w:space="0" w:color="auto"/>
                <w:bottom w:val="none" w:sz="0" w:space="0" w:color="auto"/>
                <w:right w:val="none" w:sz="0" w:space="0" w:color="auto"/>
              </w:divBdr>
            </w:div>
          </w:divsChild>
        </w:div>
        <w:div w:id="245657154">
          <w:marLeft w:val="0"/>
          <w:marRight w:val="0"/>
          <w:marTop w:val="0"/>
          <w:marBottom w:val="0"/>
          <w:divBdr>
            <w:top w:val="none" w:sz="0" w:space="0" w:color="auto"/>
            <w:left w:val="none" w:sz="0" w:space="0" w:color="auto"/>
            <w:bottom w:val="none" w:sz="0" w:space="0" w:color="auto"/>
            <w:right w:val="none" w:sz="0" w:space="0" w:color="auto"/>
          </w:divBdr>
          <w:divsChild>
            <w:div w:id="1898785318">
              <w:marLeft w:val="0"/>
              <w:marRight w:val="0"/>
              <w:marTop w:val="0"/>
              <w:marBottom w:val="0"/>
              <w:divBdr>
                <w:top w:val="none" w:sz="0" w:space="0" w:color="auto"/>
                <w:left w:val="none" w:sz="0" w:space="0" w:color="auto"/>
                <w:bottom w:val="none" w:sz="0" w:space="0" w:color="auto"/>
                <w:right w:val="none" w:sz="0" w:space="0" w:color="auto"/>
              </w:divBdr>
            </w:div>
          </w:divsChild>
        </w:div>
        <w:div w:id="381759632">
          <w:marLeft w:val="0"/>
          <w:marRight w:val="0"/>
          <w:marTop w:val="0"/>
          <w:marBottom w:val="0"/>
          <w:divBdr>
            <w:top w:val="none" w:sz="0" w:space="0" w:color="auto"/>
            <w:left w:val="none" w:sz="0" w:space="0" w:color="auto"/>
            <w:bottom w:val="none" w:sz="0" w:space="0" w:color="auto"/>
            <w:right w:val="none" w:sz="0" w:space="0" w:color="auto"/>
          </w:divBdr>
          <w:divsChild>
            <w:div w:id="441801755">
              <w:marLeft w:val="0"/>
              <w:marRight w:val="0"/>
              <w:marTop w:val="0"/>
              <w:marBottom w:val="0"/>
              <w:divBdr>
                <w:top w:val="none" w:sz="0" w:space="0" w:color="auto"/>
                <w:left w:val="none" w:sz="0" w:space="0" w:color="auto"/>
                <w:bottom w:val="none" w:sz="0" w:space="0" w:color="auto"/>
                <w:right w:val="none" w:sz="0" w:space="0" w:color="auto"/>
              </w:divBdr>
            </w:div>
          </w:divsChild>
        </w:div>
        <w:div w:id="454569500">
          <w:marLeft w:val="0"/>
          <w:marRight w:val="0"/>
          <w:marTop w:val="0"/>
          <w:marBottom w:val="0"/>
          <w:divBdr>
            <w:top w:val="none" w:sz="0" w:space="0" w:color="auto"/>
            <w:left w:val="none" w:sz="0" w:space="0" w:color="auto"/>
            <w:bottom w:val="none" w:sz="0" w:space="0" w:color="auto"/>
            <w:right w:val="none" w:sz="0" w:space="0" w:color="auto"/>
          </w:divBdr>
          <w:divsChild>
            <w:div w:id="1488354614">
              <w:marLeft w:val="0"/>
              <w:marRight w:val="0"/>
              <w:marTop w:val="0"/>
              <w:marBottom w:val="0"/>
              <w:divBdr>
                <w:top w:val="none" w:sz="0" w:space="0" w:color="auto"/>
                <w:left w:val="none" w:sz="0" w:space="0" w:color="auto"/>
                <w:bottom w:val="none" w:sz="0" w:space="0" w:color="auto"/>
                <w:right w:val="none" w:sz="0" w:space="0" w:color="auto"/>
              </w:divBdr>
            </w:div>
          </w:divsChild>
        </w:div>
        <w:div w:id="487408380">
          <w:marLeft w:val="0"/>
          <w:marRight w:val="0"/>
          <w:marTop w:val="0"/>
          <w:marBottom w:val="0"/>
          <w:divBdr>
            <w:top w:val="none" w:sz="0" w:space="0" w:color="auto"/>
            <w:left w:val="none" w:sz="0" w:space="0" w:color="auto"/>
            <w:bottom w:val="none" w:sz="0" w:space="0" w:color="auto"/>
            <w:right w:val="none" w:sz="0" w:space="0" w:color="auto"/>
          </w:divBdr>
          <w:divsChild>
            <w:div w:id="1420784909">
              <w:marLeft w:val="0"/>
              <w:marRight w:val="0"/>
              <w:marTop w:val="0"/>
              <w:marBottom w:val="0"/>
              <w:divBdr>
                <w:top w:val="none" w:sz="0" w:space="0" w:color="auto"/>
                <w:left w:val="none" w:sz="0" w:space="0" w:color="auto"/>
                <w:bottom w:val="none" w:sz="0" w:space="0" w:color="auto"/>
                <w:right w:val="none" w:sz="0" w:space="0" w:color="auto"/>
              </w:divBdr>
            </w:div>
          </w:divsChild>
        </w:div>
        <w:div w:id="542596725">
          <w:marLeft w:val="0"/>
          <w:marRight w:val="0"/>
          <w:marTop w:val="0"/>
          <w:marBottom w:val="0"/>
          <w:divBdr>
            <w:top w:val="none" w:sz="0" w:space="0" w:color="auto"/>
            <w:left w:val="none" w:sz="0" w:space="0" w:color="auto"/>
            <w:bottom w:val="none" w:sz="0" w:space="0" w:color="auto"/>
            <w:right w:val="none" w:sz="0" w:space="0" w:color="auto"/>
          </w:divBdr>
          <w:divsChild>
            <w:div w:id="406878174">
              <w:marLeft w:val="0"/>
              <w:marRight w:val="0"/>
              <w:marTop w:val="0"/>
              <w:marBottom w:val="0"/>
              <w:divBdr>
                <w:top w:val="none" w:sz="0" w:space="0" w:color="auto"/>
                <w:left w:val="none" w:sz="0" w:space="0" w:color="auto"/>
                <w:bottom w:val="none" w:sz="0" w:space="0" w:color="auto"/>
                <w:right w:val="none" w:sz="0" w:space="0" w:color="auto"/>
              </w:divBdr>
            </w:div>
          </w:divsChild>
        </w:div>
        <w:div w:id="583422093">
          <w:marLeft w:val="0"/>
          <w:marRight w:val="0"/>
          <w:marTop w:val="0"/>
          <w:marBottom w:val="0"/>
          <w:divBdr>
            <w:top w:val="none" w:sz="0" w:space="0" w:color="auto"/>
            <w:left w:val="none" w:sz="0" w:space="0" w:color="auto"/>
            <w:bottom w:val="none" w:sz="0" w:space="0" w:color="auto"/>
            <w:right w:val="none" w:sz="0" w:space="0" w:color="auto"/>
          </w:divBdr>
          <w:divsChild>
            <w:div w:id="1912158897">
              <w:marLeft w:val="0"/>
              <w:marRight w:val="0"/>
              <w:marTop w:val="0"/>
              <w:marBottom w:val="0"/>
              <w:divBdr>
                <w:top w:val="none" w:sz="0" w:space="0" w:color="auto"/>
                <w:left w:val="none" w:sz="0" w:space="0" w:color="auto"/>
                <w:bottom w:val="none" w:sz="0" w:space="0" w:color="auto"/>
                <w:right w:val="none" w:sz="0" w:space="0" w:color="auto"/>
              </w:divBdr>
            </w:div>
          </w:divsChild>
        </w:div>
        <w:div w:id="747654456">
          <w:marLeft w:val="0"/>
          <w:marRight w:val="0"/>
          <w:marTop w:val="0"/>
          <w:marBottom w:val="0"/>
          <w:divBdr>
            <w:top w:val="none" w:sz="0" w:space="0" w:color="auto"/>
            <w:left w:val="none" w:sz="0" w:space="0" w:color="auto"/>
            <w:bottom w:val="none" w:sz="0" w:space="0" w:color="auto"/>
            <w:right w:val="none" w:sz="0" w:space="0" w:color="auto"/>
          </w:divBdr>
          <w:divsChild>
            <w:div w:id="347295380">
              <w:marLeft w:val="0"/>
              <w:marRight w:val="0"/>
              <w:marTop w:val="0"/>
              <w:marBottom w:val="0"/>
              <w:divBdr>
                <w:top w:val="none" w:sz="0" w:space="0" w:color="auto"/>
                <w:left w:val="none" w:sz="0" w:space="0" w:color="auto"/>
                <w:bottom w:val="none" w:sz="0" w:space="0" w:color="auto"/>
                <w:right w:val="none" w:sz="0" w:space="0" w:color="auto"/>
              </w:divBdr>
            </w:div>
          </w:divsChild>
        </w:div>
        <w:div w:id="786890793">
          <w:marLeft w:val="0"/>
          <w:marRight w:val="0"/>
          <w:marTop w:val="0"/>
          <w:marBottom w:val="0"/>
          <w:divBdr>
            <w:top w:val="none" w:sz="0" w:space="0" w:color="auto"/>
            <w:left w:val="none" w:sz="0" w:space="0" w:color="auto"/>
            <w:bottom w:val="none" w:sz="0" w:space="0" w:color="auto"/>
            <w:right w:val="none" w:sz="0" w:space="0" w:color="auto"/>
          </w:divBdr>
          <w:divsChild>
            <w:div w:id="1519734013">
              <w:marLeft w:val="0"/>
              <w:marRight w:val="0"/>
              <w:marTop w:val="0"/>
              <w:marBottom w:val="0"/>
              <w:divBdr>
                <w:top w:val="none" w:sz="0" w:space="0" w:color="auto"/>
                <w:left w:val="none" w:sz="0" w:space="0" w:color="auto"/>
                <w:bottom w:val="none" w:sz="0" w:space="0" w:color="auto"/>
                <w:right w:val="none" w:sz="0" w:space="0" w:color="auto"/>
              </w:divBdr>
            </w:div>
          </w:divsChild>
        </w:div>
        <w:div w:id="806512899">
          <w:marLeft w:val="0"/>
          <w:marRight w:val="0"/>
          <w:marTop w:val="0"/>
          <w:marBottom w:val="0"/>
          <w:divBdr>
            <w:top w:val="none" w:sz="0" w:space="0" w:color="auto"/>
            <w:left w:val="none" w:sz="0" w:space="0" w:color="auto"/>
            <w:bottom w:val="none" w:sz="0" w:space="0" w:color="auto"/>
            <w:right w:val="none" w:sz="0" w:space="0" w:color="auto"/>
          </w:divBdr>
          <w:divsChild>
            <w:div w:id="825438252">
              <w:marLeft w:val="0"/>
              <w:marRight w:val="0"/>
              <w:marTop w:val="0"/>
              <w:marBottom w:val="0"/>
              <w:divBdr>
                <w:top w:val="none" w:sz="0" w:space="0" w:color="auto"/>
                <w:left w:val="none" w:sz="0" w:space="0" w:color="auto"/>
                <w:bottom w:val="none" w:sz="0" w:space="0" w:color="auto"/>
                <w:right w:val="none" w:sz="0" w:space="0" w:color="auto"/>
              </w:divBdr>
            </w:div>
          </w:divsChild>
        </w:div>
        <w:div w:id="816071617">
          <w:marLeft w:val="0"/>
          <w:marRight w:val="0"/>
          <w:marTop w:val="0"/>
          <w:marBottom w:val="0"/>
          <w:divBdr>
            <w:top w:val="none" w:sz="0" w:space="0" w:color="auto"/>
            <w:left w:val="none" w:sz="0" w:space="0" w:color="auto"/>
            <w:bottom w:val="none" w:sz="0" w:space="0" w:color="auto"/>
            <w:right w:val="none" w:sz="0" w:space="0" w:color="auto"/>
          </w:divBdr>
          <w:divsChild>
            <w:div w:id="10574188">
              <w:marLeft w:val="0"/>
              <w:marRight w:val="0"/>
              <w:marTop w:val="0"/>
              <w:marBottom w:val="0"/>
              <w:divBdr>
                <w:top w:val="none" w:sz="0" w:space="0" w:color="auto"/>
                <w:left w:val="none" w:sz="0" w:space="0" w:color="auto"/>
                <w:bottom w:val="none" w:sz="0" w:space="0" w:color="auto"/>
                <w:right w:val="none" w:sz="0" w:space="0" w:color="auto"/>
              </w:divBdr>
            </w:div>
          </w:divsChild>
        </w:div>
        <w:div w:id="990520499">
          <w:marLeft w:val="0"/>
          <w:marRight w:val="0"/>
          <w:marTop w:val="0"/>
          <w:marBottom w:val="0"/>
          <w:divBdr>
            <w:top w:val="none" w:sz="0" w:space="0" w:color="auto"/>
            <w:left w:val="none" w:sz="0" w:space="0" w:color="auto"/>
            <w:bottom w:val="none" w:sz="0" w:space="0" w:color="auto"/>
            <w:right w:val="none" w:sz="0" w:space="0" w:color="auto"/>
          </w:divBdr>
          <w:divsChild>
            <w:div w:id="1628274285">
              <w:marLeft w:val="0"/>
              <w:marRight w:val="0"/>
              <w:marTop w:val="0"/>
              <w:marBottom w:val="0"/>
              <w:divBdr>
                <w:top w:val="none" w:sz="0" w:space="0" w:color="auto"/>
                <w:left w:val="none" w:sz="0" w:space="0" w:color="auto"/>
                <w:bottom w:val="none" w:sz="0" w:space="0" w:color="auto"/>
                <w:right w:val="none" w:sz="0" w:space="0" w:color="auto"/>
              </w:divBdr>
            </w:div>
          </w:divsChild>
        </w:div>
        <w:div w:id="997268171">
          <w:marLeft w:val="0"/>
          <w:marRight w:val="0"/>
          <w:marTop w:val="0"/>
          <w:marBottom w:val="0"/>
          <w:divBdr>
            <w:top w:val="none" w:sz="0" w:space="0" w:color="auto"/>
            <w:left w:val="none" w:sz="0" w:space="0" w:color="auto"/>
            <w:bottom w:val="none" w:sz="0" w:space="0" w:color="auto"/>
            <w:right w:val="none" w:sz="0" w:space="0" w:color="auto"/>
          </w:divBdr>
          <w:divsChild>
            <w:div w:id="1818495759">
              <w:marLeft w:val="0"/>
              <w:marRight w:val="0"/>
              <w:marTop w:val="0"/>
              <w:marBottom w:val="0"/>
              <w:divBdr>
                <w:top w:val="none" w:sz="0" w:space="0" w:color="auto"/>
                <w:left w:val="none" w:sz="0" w:space="0" w:color="auto"/>
                <w:bottom w:val="none" w:sz="0" w:space="0" w:color="auto"/>
                <w:right w:val="none" w:sz="0" w:space="0" w:color="auto"/>
              </w:divBdr>
            </w:div>
          </w:divsChild>
        </w:div>
        <w:div w:id="1021126485">
          <w:marLeft w:val="0"/>
          <w:marRight w:val="0"/>
          <w:marTop w:val="0"/>
          <w:marBottom w:val="0"/>
          <w:divBdr>
            <w:top w:val="none" w:sz="0" w:space="0" w:color="auto"/>
            <w:left w:val="none" w:sz="0" w:space="0" w:color="auto"/>
            <w:bottom w:val="none" w:sz="0" w:space="0" w:color="auto"/>
            <w:right w:val="none" w:sz="0" w:space="0" w:color="auto"/>
          </w:divBdr>
          <w:divsChild>
            <w:div w:id="1188056841">
              <w:marLeft w:val="0"/>
              <w:marRight w:val="0"/>
              <w:marTop w:val="0"/>
              <w:marBottom w:val="0"/>
              <w:divBdr>
                <w:top w:val="none" w:sz="0" w:space="0" w:color="auto"/>
                <w:left w:val="none" w:sz="0" w:space="0" w:color="auto"/>
                <w:bottom w:val="none" w:sz="0" w:space="0" w:color="auto"/>
                <w:right w:val="none" w:sz="0" w:space="0" w:color="auto"/>
              </w:divBdr>
            </w:div>
          </w:divsChild>
        </w:div>
        <w:div w:id="1067725459">
          <w:marLeft w:val="0"/>
          <w:marRight w:val="0"/>
          <w:marTop w:val="0"/>
          <w:marBottom w:val="0"/>
          <w:divBdr>
            <w:top w:val="none" w:sz="0" w:space="0" w:color="auto"/>
            <w:left w:val="none" w:sz="0" w:space="0" w:color="auto"/>
            <w:bottom w:val="none" w:sz="0" w:space="0" w:color="auto"/>
            <w:right w:val="none" w:sz="0" w:space="0" w:color="auto"/>
          </w:divBdr>
          <w:divsChild>
            <w:div w:id="1531264613">
              <w:marLeft w:val="0"/>
              <w:marRight w:val="0"/>
              <w:marTop w:val="0"/>
              <w:marBottom w:val="0"/>
              <w:divBdr>
                <w:top w:val="none" w:sz="0" w:space="0" w:color="auto"/>
                <w:left w:val="none" w:sz="0" w:space="0" w:color="auto"/>
                <w:bottom w:val="none" w:sz="0" w:space="0" w:color="auto"/>
                <w:right w:val="none" w:sz="0" w:space="0" w:color="auto"/>
              </w:divBdr>
            </w:div>
          </w:divsChild>
        </w:div>
        <w:div w:id="1132557012">
          <w:marLeft w:val="0"/>
          <w:marRight w:val="0"/>
          <w:marTop w:val="0"/>
          <w:marBottom w:val="0"/>
          <w:divBdr>
            <w:top w:val="none" w:sz="0" w:space="0" w:color="auto"/>
            <w:left w:val="none" w:sz="0" w:space="0" w:color="auto"/>
            <w:bottom w:val="none" w:sz="0" w:space="0" w:color="auto"/>
            <w:right w:val="none" w:sz="0" w:space="0" w:color="auto"/>
          </w:divBdr>
          <w:divsChild>
            <w:div w:id="1943562145">
              <w:marLeft w:val="0"/>
              <w:marRight w:val="0"/>
              <w:marTop w:val="0"/>
              <w:marBottom w:val="0"/>
              <w:divBdr>
                <w:top w:val="none" w:sz="0" w:space="0" w:color="auto"/>
                <w:left w:val="none" w:sz="0" w:space="0" w:color="auto"/>
                <w:bottom w:val="none" w:sz="0" w:space="0" w:color="auto"/>
                <w:right w:val="none" w:sz="0" w:space="0" w:color="auto"/>
              </w:divBdr>
            </w:div>
          </w:divsChild>
        </w:div>
        <w:div w:id="1140226750">
          <w:marLeft w:val="0"/>
          <w:marRight w:val="0"/>
          <w:marTop w:val="0"/>
          <w:marBottom w:val="0"/>
          <w:divBdr>
            <w:top w:val="none" w:sz="0" w:space="0" w:color="auto"/>
            <w:left w:val="none" w:sz="0" w:space="0" w:color="auto"/>
            <w:bottom w:val="none" w:sz="0" w:space="0" w:color="auto"/>
            <w:right w:val="none" w:sz="0" w:space="0" w:color="auto"/>
          </w:divBdr>
          <w:divsChild>
            <w:div w:id="1181041163">
              <w:marLeft w:val="0"/>
              <w:marRight w:val="0"/>
              <w:marTop w:val="0"/>
              <w:marBottom w:val="0"/>
              <w:divBdr>
                <w:top w:val="none" w:sz="0" w:space="0" w:color="auto"/>
                <w:left w:val="none" w:sz="0" w:space="0" w:color="auto"/>
                <w:bottom w:val="none" w:sz="0" w:space="0" w:color="auto"/>
                <w:right w:val="none" w:sz="0" w:space="0" w:color="auto"/>
              </w:divBdr>
            </w:div>
          </w:divsChild>
        </w:div>
        <w:div w:id="1179658101">
          <w:marLeft w:val="0"/>
          <w:marRight w:val="0"/>
          <w:marTop w:val="0"/>
          <w:marBottom w:val="0"/>
          <w:divBdr>
            <w:top w:val="none" w:sz="0" w:space="0" w:color="auto"/>
            <w:left w:val="none" w:sz="0" w:space="0" w:color="auto"/>
            <w:bottom w:val="none" w:sz="0" w:space="0" w:color="auto"/>
            <w:right w:val="none" w:sz="0" w:space="0" w:color="auto"/>
          </w:divBdr>
          <w:divsChild>
            <w:div w:id="1609854518">
              <w:marLeft w:val="0"/>
              <w:marRight w:val="0"/>
              <w:marTop w:val="0"/>
              <w:marBottom w:val="0"/>
              <w:divBdr>
                <w:top w:val="none" w:sz="0" w:space="0" w:color="auto"/>
                <w:left w:val="none" w:sz="0" w:space="0" w:color="auto"/>
                <w:bottom w:val="none" w:sz="0" w:space="0" w:color="auto"/>
                <w:right w:val="none" w:sz="0" w:space="0" w:color="auto"/>
              </w:divBdr>
            </w:div>
          </w:divsChild>
        </w:div>
        <w:div w:id="1260941187">
          <w:marLeft w:val="0"/>
          <w:marRight w:val="0"/>
          <w:marTop w:val="0"/>
          <w:marBottom w:val="0"/>
          <w:divBdr>
            <w:top w:val="none" w:sz="0" w:space="0" w:color="auto"/>
            <w:left w:val="none" w:sz="0" w:space="0" w:color="auto"/>
            <w:bottom w:val="none" w:sz="0" w:space="0" w:color="auto"/>
            <w:right w:val="none" w:sz="0" w:space="0" w:color="auto"/>
          </w:divBdr>
          <w:divsChild>
            <w:div w:id="1041250970">
              <w:marLeft w:val="0"/>
              <w:marRight w:val="0"/>
              <w:marTop w:val="0"/>
              <w:marBottom w:val="0"/>
              <w:divBdr>
                <w:top w:val="none" w:sz="0" w:space="0" w:color="auto"/>
                <w:left w:val="none" w:sz="0" w:space="0" w:color="auto"/>
                <w:bottom w:val="none" w:sz="0" w:space="0" w:color="auto"/>
                <w:right w:val="none" w:sz="0" w:space="0" w:color="auto"/>
              </w:divBdr>
            </w:div>
          </w:divsChild>
        </w:div>
        <w:div w:id="1357459170">
          <w:marLeft w:val="0"/>
          <w:marRight w:val="0"/>
          <w:marTop w:val="0"/>
          <w:marBottom w:val="0"/>
          <w:divBdr>
            <w:top w:val="none" w:sz="0" w:space="0" w:color="auto"/>
            <w:left w:val="none" w:sz="0" w:space="0" w:color="auto"/>
            <w:bottom w:val="none" w:sz="0" w:space="0" w:color="auto"/>
            <w:right w:val="none" w:sz="0" w:space="0" w:color="auto"/>
          </w:divBdr>
          <w:divsChild>
            <w:div w:id="2125031503">
              <w:marLeft w:val="0"/>
              <w:marRight w:val="0"/>
              <w:marTop w:val="0"/>
              <w:marBottom w:val="0"/>
              <w:divBdr>
                <w:top w:val="none" w:sz="0" w:space="0" w:color="auto"/>
                <w:left w:val="none" w:sz="0" w:space="0" w:color="auto"/>
                <w:bottom w:val="none" w:sz="0" w:space="0" w:color="auto"/>
                <w:right w:val="none" w:sz="0" w:space="0" w:color="auto"/>
              </w:divBdr>
            </w:div>
          </w:divsChild>
        </w:div>
        <w:div w:id="1404330329">
          <w:marLeft w:val="0"/>
          <w:marRight w:val="0"/>
          <w:marTop w:val="0"/>
          <w:marBottom w:val="0"/>
          <w:divBdr>
            <w:top w:val="none" w:sz="0" w:space="0" w:color="auto"/>
            <w:left w:val="none" w:sz="0" w:space="0" w:color="auto"/>
            <w:bottom w:val="none" w:sz="0" w:space="0" w:color="auto"/>
            <w:right w:val="none" w:sz="0" w:space="0" w:color="auto"/>
          </w:divBdr>
          <w:divsChild>
            <w:div w:id="1230729536">
              <w:marLeft w:val="0"/>
              <w:marRight w:val="0"/>
              <w:marTop w:val="0"/>
              <w:marBottom w:val="0"/>
              <w:divBdr>
                <w:top w:val="none" w:sz="0" w:space="0" w:color="auto"/>
                <w:left w:val="none" w:sz="0" w:space="0" w:color="auto"/>
                <w:bottom w:val="none" w:sz="0" w:space="0" w:color="auto"/>
                <w:right w:val="none" w:sz="0" w:space="0" w:color="auto"/>
              </w:divBdr>
            </w:div>
          </w:divsChild>
        </w:div>
        <w:div w:id="1660618866">
          <w:marLeft w:val="0"/>
          <w:marRight w:val="0"/>
          <w:marTop w:val="0"/>
          <w:marBottom w:val="0"/>
          <w:divBdr>
            <w:top w:val="none" w:sz="0" w:space="0" w:color="auto"/>
            <w:left w:val="none" w:sz="0" w:space="0" w:color="auto"/>
            <w:bottom w:val="none" w:sz="0" w:space="0" w:color="auto"/>
            <w:right w:val="none" w:sz="0" w:space="0" w:color="auto"/>
          </w:divBdr>
          <w:divsChild>
            <w:div w:id="1477331886">
              <w:marLeft w:val="0"/>
              <w:marRight w:val="0"/>
              <w:marTop w:val="0"/>
              <w:marBottom w:val="0"/>
              <w:divBdr>
                <w:top w:val="none" w:sz="0" w:space="0" w:color="auto"/>
                <w:left w:val="none" w:sz="0" w:space="0" w:color="auto"/>
                <w:bottom w:val="none" w:sz="0" w:space="0" w:color="auto"/>
                <w:right w:val="none" w:sz="0" w:space="0" w:color="auto"/>
              </w:divBdr>
            </w:div>
          </w:divsChild>
        </w:div>
        <w:div w:id="1720082634">
          <w:marLeft w:val="0"/>
          <w:marRight w:val="0"/>
          <w:marTop w:val="0"/>
          <w:marBottom w:val="0"/>
          <w:divBdr>
            <w:top w:val="none" w:sz="0" w:space="0" w:color="auto"/>
            <w:left w:val="none" w:sz="0" w:space="0" w:color="auto"/>
            <w:bottom w:val="none" w:sz="0" w:space="0" w:color="auto"/>
            <w:right w:val="none" w:sz="0" w:space="0" w:color="auto"/>
          </w:divBdr>
          <w:divsChild>
            <w:div w:id="666444515">
              <w:marLeft w:val="0"/>
              <w:marRight w:val="0"/>
              <w:marTop w:val="0"/>
              <w:marBottom w:val="0"/>
              <w:divBdr>
                <w:top w:val="none" w:sz="0" w:space="0" w:color="auto"/>
                <w:left w:val="none" w:sz="0" w:space="0" w:color="auto"/>
                <w:bottom w:val="none" w:sz="0" w:space="0" w:color="auto"/>
                <w:right w:val="none" w:sz="0" w:space="0" w:color="auto"/>
              </w:divBdr>
            </w:div>
          </w:divsChild>
        </w:div>
        <w:div w:id="1734035568">
          <w:marLeft w:val="0"/>
          <w:marRight w:val="0"/>
          <w:marTop w:val="0"/>
          <w:marBottom w:val="0"/>
          <w:divBdr>
            <w:top w:val="none" w:sz="0" w:space="0" w:color="auto"/>
            <w:left w:val="none" w:sz="0" w:space="0" w:color="auto"/>
            <w:bottom w:val="none" w:sz="0" w:space="0" w:color="auto"/>
            <w:right w:val="none" w:sz="0" w:space="0" w:color="auto"/>
          </w:divBdr>
          <w:divsChild>
            <w:div w:id="246883146">
              <w:marLeft w:val="0"/>
              <w:marRight w:val="0"/>
              <w:marTop w:val="0"/>
              <w:marBottom w:val="0"/>
              <w:divBdr>
                <w:top w:val="none" w:sz="0" w:space="0" w:color="auto"/>
                <w:left w:val="none" w:sz="0" w:space="0" w:color="auto"/>
                <w:bottom w:val="none" w:sz="0" w:space="0" w:color="auto"/>
                <w:right w:val="none" w:sz="0" w:space="0" w:color="auto"/>
              </w:divBdr>
            </w:div>
          </w:divsChild>
        </w:div>
        <w:div w:id="1809055924">
          <w:marLeft w:val="0"/>
          <w:marRight w:val="0"/>
          <w:marTop w:val="0"/>
          <w:marBottom w:val="0"/>
          <w:divBdr>
            <w:top w:val="none" w:sz="0" w:space="0" w:color="auto"/>
            <w:left w:val="none" w:sz="0" w:space="0" w:color="auto"/>
            <w:bottom w:val="none" w:sz="0" w:space="0" w:color="auto"/>
            <w:right w:val="none" w:sz="0" w:space="0" w:color="auto"/>
          </w:divBdr>
          <w:divsChild>
            <w:div w:id="4064713">
              <w:marLeft w:val="0"/>
              <w:marRight w:val="0"/>
              <w:marTop w:val="0"/>
              <w:marBottom w:val="0"/>
              <w:divBdr>
                <w:top w:val="none" w:sz="0" w:space="0" w:color="auto"/>
                <w:left w:val="none" w:sz="0" w:space="0" w:color="auto"/>
                <w:bottom w:val="none" w:sz="0" w:space="0" w:color="auto"/>
                <w:right w:val="none" w:sz="0" w:space="0" w:color="auto"/>
              </w:divBdr>
            </w:div>
          </w:divsChild>
        </w:div>
        <w:div w:id="1903102509">
          <w:marLeft w:val="0"/>
          <w:marRight w:val="0"/>
          <w:marTop w:val="0"/>
          <w:marBottom w:val="0"/>
          <w:divBdr>
            <w:top w:val="none" w:sz="0" w:space="0" w:color="auto"/>
            <w:left w:val="none" w:sz="0" w:space="0" w:color="auto"/>
            <w:bottom w:val="none" w:sz="0" w:space="0" w:color="auto"/>
            <w:right w:val="none" w:sz="0" w:space="0" w:color="auto"/>
          </w:divBdr>
          <w:divsChild>
            <w:div w:id="1221867410">
              <w:marLeft w:val="0"/>
              <w:marRight w:val="0"/>
              <w:marTop w:val="0"/>
              <w:marBottom w:val="0"/>
              <w:divBdr>
                <w:top w:val="none" w:sz="0" w:space="0" w:color="auto"/>
                <w:left w:val="none" w:sz="0" w:space="0" w:color="auto"/>
                <w:bottom w:val="none" w:sz="0" w:space="0" w:color="auto"/>
                <w:right w:val="none" w:sz="0" w:space="0" w:color="auto"/>
              </w:divBdr>
            </w:div>
          </w:divsChild>
        </w:div>
        <w:div w:id="1938057593">
          <w:marLeft w:val="0"/>
          <w:marRight w:val="0"/>
          <w:marTop w:val="0"/>
          <w:marBottom w:val="0"/>
          <w:divBdr>
            <w:top w:val="none" w:sz="0" w:space="0" w:color="auto"/>
            <w:left w:val="none" w:sz="0" w:space="0" w:color="auto"/>
            <w:bottom w:val="none" w:sz="0" w:space="0" w:color="auto"/>
            <w:right w:val="none" w:sz="0" w:space="0" w:color="auto"/>
          </w:divBdr>
          <w:divsChild>
            <w:div w:id="1154376721">
              <w:marLeft w:val="0"/>
              <w:marRight w:val="0"/>
              <w:marTop w:val="0"/>
              <w:marBottom w:val="0"/>
              <w:divBdr>
                <w:top w:val="none" w:sz="0" w:space="0" w:color="auto"/>
                <w:left w:val="none" w:sz="0" w:space="0" w:color="auto"/>
                <w:bottom w:val="none" w:sz="0" w:space="0" w:color="auto"/>
                <w:right w:val="none" w:sz="0" w:space="0" w:color="auto"/>
              </w:divBdr>
            </w:div>
          </w:divsChild>
        </w:div>
        <w:div w:id="2060741027">
          <w:marLeft w:val="0"/>
          <w:marRight w:val="0"/>
          <w:marTop w:val="0"/>
          <w:marBottom w:val="0"/>
          <w:divBdr>
            <w:top w:val="none" w:sz="0" w:space="0" w:color="auto"/>
            <w:left w:val="none" w:sz="0" w:space="0" w:color="auto"/>
            <w:bottom w:val="none" w:sz="0" w:space="0" w:color="auto"/>
            <w:right w:val="none" w:sz="0" w:space="0" w:color="auto"/>
          </w:divBdr>
          <w:divsChild>
            <w:div w:id="3172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51467">
      <w:bodyDiv w:val="1"/>
      <w:marLeft w:val="0"/>
      <w:marRight w:val="0"/>
      <w:marTop w:val="0"/>
      <w:marBottom w:val="0"/>
      <w:divBdr>
        <w:top w:val="none" w:sz="0" w:space="0" w:color="auto"/>
        <w:left w:val="none" w:sz="0" w:space="0" w:color="auto"/>
        <w:bottom w:val="none" w:sz="0" w:space="0" w:color="auto"/>
        <w:right w:val="none" w:sz="0" w:space="0" w:color="auto"/>
      </w:divBdr>
    </w:div>
    <w:div w:id="1896894477">
      <w:bodyDiv w:val="1"/>
      <w:marLeft w:val="0"/>
      <w:marRight w:val="0"/>
      <w:marTop w:val="0"/>
      <w:marBottom w:val="0"/>
      <w:divBdr>
        <w:top w:val="none" w:sz="0" w:space="0" w:color="auto"/>
        <w:left w:val="none" w:sz="0" w:space="0" w:color="auto"/>
        <w:bottom w:val="none" w:sz="0" w:space="0" w:color="auto"/>
        <w:right w:val="none" w:sz="0" w:space="0" w:color="auto"/>
      </w:divBdr>
    </w:div>
    <w:div w:id="1919704614">
      <w:bodyDiv w:val="1"/>
      <w:marLeft w:val="0"/>
      <w:marRight w:val="0"/>
      <w:marTop w:val="0"/>
      <w:marBottom w:val="0"/>
      <w:divBdr>
        <w:top w:val="none" w:sz="0" w:space="0" w:color="auto"/>
        <w:left w:val="none" w:sz="0" w:space="0" w:color="auto"/>
        <w:bottom w:val="none" w:sz="0" w:space="0" w:color="auto"/>
        <w:right w:val="none" w:sz="0" w:space="0" w:color="auto"/>
      </w:divBdr>
    </w:div>
    <w:div w:id="1929851073">
      <w:bodyDiv w:val="1"/>
      <w:marLeft w:val="0"/>
      <w:marRight w:val="0"/>
      <w:marTop w:val="0"/>
      <w:marBottom w:val="0"/>
      <w:divBdr>
        <w:top w:val="none" w:sz="0" w:space="0" w:color="auto"/>
        <w:left w:val="none" w:sz="0" w:space="0" w:color="auto"/>
        <w:bottom w:val="none" w:sz="0" w:space="0" w:color="auto"/>
        <w:right w:val="none" w:sz="0" w:space="0" w:color="auto"/>
      </w:divBdr>
    </w:div>
    <w:div w:id="1933467374">
      <w:bodyDiv w:val="1"/>
      <w:marLeft w:val="0"/>
      <w:marRight w:val="0"/>
      <w:marTop w:val="0"/>
      <w:marBottom w:val="0"/>
      <w:divBdr>
        <w:top w:val="none" w:sz="0" w:space="0" w:color="auto"/>
        <w:left w:val="none" w:sz="0" w:space="0" w:color="auto"/>
        <w:bottom w:val="none" w:sz="0" w:space="0" w:color="auto"/>
        <w:right w:val="none" w:sz="0" w:space="0" w:color="auto"/>
      </w:divBdr>
    </w:div>
    <w:div w:id="1937519864">
      <w:bodyDiv w:val="1"/>
      <w:marLeft w:val="0"/>
      <w:marRight w:val="0"/>
      <w:marTop w:val="0"/>
      <w:marBottom w:val="0"/>
      <w:divBdr>
        <w:top w:val="none" w:sz="0" w:space="0" w:color="auto"/>
        <w:left w:val="none" w:sz="0" w:space="0" w:color="auto"/>
        <w:bottom w:val="none" w:sz="0" w:space="0" w:color="auto"/>
        <w:right w:val="none" w:sz="0" w:space="0" w:color="auto"/>
      </w:divBdr>
    </w:div>
    <w:div w:id="1946306728">
      <w:bodyDiv w:val="1"/>
      <w:marLeft w:val="0"/>
      <w:marRight w:val="0"/>
      <w:marTop w:val="0"/>
      <w:marBottom w:val="0"/>
      <w:divBdr>
        <w:top w:val="none" w:sz="0" w:space="0" w:color="auto"/>
        <w:left w:val="none" w:sz="0" w:space="0" w:color="auto"/>
        <w:bottom w:val="none" w:sz="0" w:space="0" w:color="auto"/>
        <w:right w:val="none" w:sz="0" w:space="0" w:color="auto"/>
      </w:divBdr>
    </w:div>
    <w:div w:id="1968046316">
      <w:bodyDiv w:val="1"/>
      <w:marLeft w:val="0"/>
      <w:marRight w:val="0"/>
      <w:marTop w:val="0"/>
      <w:marBottom w:val="0"/>
      <w:divBdr>
        <w:top w:val="none" w:sz="0" w:space="0" w:color="auto"/>
        <w:left w:val="none" w:sz="0" w:space="0" w:color="auto"/>
        <w:bottom w:val="none" w:sz="0" w:space="0" w:color="auto"/>
        <w:right w:val="none" w:sz="0" w:space="0" w:color="auto"/>
      </w:divBdr>
    </w:div>
    <w:div w:id="1979144796">
      <w:bodyDiv w:val="1"/>
      <w:marLeft w:val="0"/>
      <w:marRight w:val="0"/>
      <w:marTop w:val="0"/>
      <w:marBottom w:val="0"/>
      <w:divBdr>
        <w:top w:val="none" w:sz="0" w:space="0" w:color="auto"/>
        <w:left w:val="none" w:sz="0" w:space="0" w:color="auto"/>
        <w:bottom w:val="none" w:sz="0" w:space="0" w:color="auto"/>
        <w:right w:val="none" w:sz="0" w:space="0" w:color="auto"/>
      </w:divBdr>
    </w:div>
    <w:div w:id="2017614192">
      <w:bodyDiv w:val="1"/>
      <w:marLeft w:val="0"/>
      <w:marRight w:val="0"/>
      <w:marTop w:val="0"/>
      <w:marBottom w:val="0"/>
      <w:divBdr>
        <w:top w:val="none" w:sz="0" w:space="0" w:color="auto"/>
        <w:left w:val="none" w:sz="0" w:space="0" w:color="auto"/>
        <w:bottom w:val="none" w:sz="0" w:space="0" w:color="auto"/>
        <w:right w:val="none" w:sz="0" w:space="0" w:color="auto"/>
      </w:divBdr>
      <w:divsChild>
        <w:div w:id="6520173">
          <w:marLeft w:val="0"/>
          <w:marRight w:val="0"/>
          <w:marTop w:val="0"/>
          <w:marBottom w:val="0"/>
          <w:divBdr>
            <w:top w:val="none" w:sz="0" w:space="0" w:color="auto"/>
            <w:left w:val="none" w:sz="0" w:space="0" w:color="auto"/>
            <w:bottom w:val="none" w:sz="0" w:space="0" w:color="auto"/>
            <w:right w:val="none" w:sz="0" w:space="0" w:color="auto"/>
          </w:divBdr>
          <w:divsChild>
            <w:div w:id="1333990628">
              <w:marLeft w:val="0"/>
              <w:marRight w:val="0"/>
              <w:marTop w:val="0"/>
              <w:marBottom w:val="0"/>
              <w:divBdr>
                <w:top w:val="none" w:sz="0" w:space="0" w:color="auto"/>
                <w:left w:val="none" w:sz="0" w:space="0" w:color="auto"/>
                <w:bottom w:val="none" w:sz="0" w:space="0" w:color="auto"/>
                <w:right w:val="none" w:sz="0" w:space="0" w:color="auto"/>
              </w:divBdr>
            </w:div>
          </w:divsChild>
        </w:div>
        <w:div w:id="52319895">
          <w:marLeft w:val="0"/>
          <w:marRight w:val="0"/>
          <w:marTop w:val="0"/>
          <w:marBottom w:val="0"/>
          <w:divBdr>
            <w:top w:val="none" w:sz="0" w:space="0" w:color="auto"/>
            <w:left w:val="none" w:sz="0" w:space="0" w:color="auto"/>
            <w:bottom w:val="none" w:sz="0" w:space="0" w:color="auto"/>
            <w:right w:val="none" w:sz="0" w:space="0" w:color="auto"/>
          </w:divBdr>
          <w:divsChild>
            <w:div w:id="1189372198">
              <w:marLeft w:val="0"/>
              <w:marRight w:val="0"/>
              <w:marTop w:val="0"/>
              <w:marBottom w:val="0"/>
              <w:divBdr>
                <w:top w:val="none" w:sz="0" w:space="0" w:color="auto"/>
                <w:left w:val="none" w:sz="0" w:space="0" w:color="auto"/>
                <w:bottom w:val="none" w:sz="0" w:space="0" w:color="auto"/>
                <w:right w:val="none" w:sz="0" w:space="0" w:color="auto"/>
              </w:divBdr>
            </w:div>
          </w:divsChild>
        </w:div>
        <w:div w:id="85226854">
          <w:marLeft w:val="0"/>
          <w:marRight w:val="0"/>
          <w:marTop w:val="0"/>
          <w:marBottom w:val="0"/>
          <w:divBdr>
            <w:top w:val="none" w:sz="0" w:space="0" w:color="auto"/>
            <w:left w:val="none" w:sz="0" w:space="0" w:color="auto"/>
            <w:bottom w:val="none" w:sz="0" w:space="0" w:color="auto"/>
            <w:right w:val="none" w:sz="0" w:space="0" w:color="auto"/>
          </w:divBdr>
          <w:divsChild>
            <w:div w:id="2015762157">
              <w:marLeft w:val="0"/>
              <w:marRight w:val="0"/>
              <w:marTop w:val="0"/>
              <w:marBottom w:val="0"/>
              <w:divBdr>
                <w:top w:val="none" w:sz="0" w:space="0" w:color="auto"/>
                <w:left w:val="none" w:sz="0" w:space="0" w:color="auto"/>
                <w:bottom w:val="none" w:sz="0" w:space="0" w:color="auto"/>
                <w:right w:val="none" w:sz="0" w:space="0" w:color="auto"/>
              </w:divBdr>
            </w:div>
          </w:divsChild>
        </w:div>
        <w:div w:id="85418718">
          <w:marLeft w:val="0"/>
          <w:marRight w:val="0"/>
          <w:marTop w:val="0"/>
          <w:marBottom w:val="0"/>
          <w:divBdr>
            <w:top w:val="none" w:sz="0" w:space="0" w:color="auto"/>
            <w:left w:val="none" w:sz="0" w:space="0" w:color="auto"/>
            <w:bottom w:val="none" w:sz="0" w:space="0" w:color="auto"/>
            <w:right w:val="none" w:sz="0" w:space="0" w:color="auto"/>
          </w:divBdr>
          <w:divsChild>
            <w:div w:id="1484812459">
              <w:marLeft w:val="0"/>
              <w:marRight w:val="0"/>
              <w:marTop w:val="0"/>
              <w:marBottom w:val="0"/>
              <w:divBdr>
                <w:top w:val="none" w:sz="0" w:space="0" w:color="auto"/>
                <w:left w:val="none" w:sz="0" w:space="0" w:color="auto"/>
                <w:bottom w:val="none" w:sz="0" w:space="0" w:color="auto"/>
                <w:right w:val="none" w:sz="0" w:space="0" w:color="auto"/>
              </w:divBdr>
            </w:div>
          </w:divsChild>
        </w:div>
        <w:div w:id="122968771">
          <w:marLeft w:val="0"/>
          <w:marRight w:val="0"/>
          <w:marTop w:val="0"/>
          <w:marBottom w:val="0"/>
          <w:divBdr>
            <w:top w:val="none" w:sz="0" w:space="0" w:color="auto"/>
            <w:left w:val="none" w:sz="0" w:space="0" w:color="auto"/>
            <w:bottom w:val="none" w:sz="0" w:space="0" w:color="auto"/>
            <w:right w:val="none" w:sz="0" w:space="0" w:color="auto"/>
          </w:divBdr>
          <w:divsChild>
            <w:div w:id="2052456782">
              <w:marLeft w:val="0"/>
              <w:marRight w:val="0"/>
              <w:marTop w:val="0"/>
              <w:marBottom w:val="0"/>
              <w:divBdr>
                <w:top w:val="none" w:sz="0" w:space="0" w:color="auto"/>
                <w:left w:val="none" w:sz="0" w:space="0" w:color="auto"/>
                <w:bottom w:val="none" w:sz="0" w:space="0" w:color="auto"/>
                <w:right w:val="none" w:sz="0" w:space="0" w:color="auto"/>
              </w:divBdr>
            </w:div>
          </w:divsChild>
        </w:div>
        <w:div w:id="126433233">
          <w:marLeft w:val="0"/>
          <w:marRight w:val="0"/>
          <w:marTop w:val="0"/>
          <w:marBottom w:val="0"/>
          <w:divBdr>
            <w:top w:val="none" w:sz="0" w:space="0" w:color="auto"/>
            <w:left w:val="none" w:sz="0" w:space="0" w:color="auto"/>
            <w:bottom w:val="none" w:sz="0" w:space="0" w:color="auto"/>
            <w:right w:val="none" w:sz="0" w:space="0" w:color="auto"/>
          </w:divBdr>
          <w:divsChild>
            <w:div w:id="1397165657">
              <w:marLeft w:val="0"/>
              <w:marRight w:val="0"/>
              <w:marTop w:val="0"/>
              <w:marBottom w:val="0"/>
              <w:divBdr>
                <w:top w:val="none" w:sz="0" w:space="0" w:color="auto"/>
                <w:left w:val="none" w:sz="0" w:space="0" w:color="auto"/>
                <w:bottom w:val="none" w:sz="0" w:space="0" w:color="auto"/>
                <w:right w:val="none" w:sz="0" w:space="0" w:color="auto"/>
              </w:divBdr>
            </w:div>
          </w:divsChild>
        </w:div>
        <w:div w:id="136456573">
          <w:marLeft w:val="0"/>
          <w:marRight w:val="0"/>
          <w:marTop w:val="0"/>
          <w:marBottom w:val="0"/>
          <w:divBdr>
            <w:top w:val="none" w:sz="0" w:space="0" w:color="auto"/>
            <w:left w:val="none" w:sz="0" w:space="0" w:color="auto"/>
            <w:bottom w:val="none" w:sz="0" w:space="0" w:color="auto"/>
            <w:right w:val="none" w:sz="0" w:space="0" w:color="auto"/>
          </w:divBdr>
          <w:divsChild>
            <w:div w:id="271328802">
              <w:marLeft w:val="0"/>
              <w:marRight w:val="0"/>
              <w:marTop w:val="0"/>
              <w:marBottom w:val="0"/>
              <w:divBdr>
                <w:top w:val="none" w:sz="0" w:space="0" w:color="auto"/>
                <w:left w:val="none" w:sz="0" w:space="0" w:color="auto"/>
                <w:bottom w:val="none" w:sz="0" w:space="0" w:color="auto"/>
                <w:right w:val="none" w:sz="0" w:space="0" w:color="auto"/>
              </w:divBdr>
            </w:div>
          </w:divsChild>
        </w:div>
        <w:div w:id="224337863">
          <w:marLeft w:val="0"/>
          <w:marRight w:val="0"/>
          <w:marTop w:val="0"/>
          <w:marBottom w:val="0"/>
          <w:divBdr>
            <w:top w:val="none" w:sz="0" w:space="0" w:color="auto"/>
            <w:left w:val="none" w:sz="0" w:space="0" w:color="auto"/>
            <w:bottom w:val="none" w:sz="0" w:space="0" w:color="auto"/>
            <w:right w:val="none" w:sz="0" w:space="0" w:color="auto"/>
          </w:divBdr>
          <w:divsChild>
            <w:div w:id="52701984">
              <w:marLeft w:val="0"/>
              <w:marRight w:val="0"/>
              <w:marTop w:val="0"/>
              <w:marBottom w:val="0"/>
              <w:divBdr>
                <w:top w:val="none" w:sz="0" w:space="0" w:color="auto"/>
                <w:left w:val="none" w:sz="0" w:space="0" w:color="auto"/>
                <w:bottom w:val="none" w:sz="0" w:space="0" w:color="auto"/>
                <w:right w:val="none" w:sz="0" w:space="0" w:color="auto"/>
              </w:divBdr>
            </w:div>
          </w:divsChild>
        </w:div>
        <w:div w:id="249513025">
          <w:marLeft w:val="0"/>
          <w:marRight w:val="0"/>
          <w:marTop w:val="0"/>
          <w:marBottom w:val="0"/>
          <w:divBdr>
            <w:top w:val="none" w:sz="0" w:space="0" w:color="auto"/>
            <w:left w:val="none" w:sz="0" w:space="0" w:color="auto"/>
            <w:bottom w:val="none" w:sz="0" w:space="0" w:color="auto"/>
            <w:right w:val="none" w:sz="0" w:space="0" w:color="auto"/>
          </w:divBdr>
          <w:divsChild>
            <w:div w:id="2085948931">
              <w:marLeft w:val="0"/>
              <w:marRight w:val="0"/>
              <w:marTop w:val="0"/>
              <w:marBottom w:val="0"/>
              <w:divBdr>
                <w:top w:val="none" w:sz="0" w:space="0" w:color="auto"/>
                <w:left w:val="none" w:sz="0" w:space="0" w:color="auto"/>
                <w:bottom w:val="none" w:sz="0" w:space="0" w:color="auto"/>
                <w:right w:val="none" w:sz="0" w:space="0" w:color="auto"/>
              </w:divBdr>
            </w:div>
          </w:divsChild>
        </w:div>
        <w:div w:id="320423919">
          <w:marLeft w:val="0"/>
          <w:marRight w:val="0"/>
          <w:marTop w:val="0"/>
          <w:marBottom w:val="0"/>
          <w:divBdr>
            <w:top w:val="none" w:sz="0" w:space="0" w:color="auto"/>
            <w:left w:val="none" w:sz="0" w:space="0" w:color="auto"/>
            <w:bottom w:val="none" w:sz="0" w:space="0" w:color="auto"/>
            <w:right w:val="none" w:sz="0" w:space="0" w:color="auto"/>
          </w:divBdr>
          <w:divsChild>
            <w:div w:id="1727872151">
              <w:marLeft w:val="0"/>
              <w:marRight w:val="0"/>
              <w:marTop w:val="0"/>
              <w:marBottom w:val="0"/>
              <w:divBdr>
                <w:top w:val="none" w:sz="0" w:space="0" w:color="auto"/>
                <w:left w:val="none" w:sz="0" w:space="0" w:color="auto"/>
                <w:bottom w:val="none" w:sz="0" w:space="0" w:color="auto"/>
                <w:right w:val="none" w:sz="0" w:space="0" w:color="auto"/>
              </w:divBdr>
            </w:div>
          </w:divsChild>
        </w:div>
        <w:div w:id="455299854">
          <w:marLeft w:val="0"/>
          <w:marRight w:val="0"/>
          <w:marTop w:val="0"/>
          <w:marBottom w:val="0"/>
          <w:divBdr>
            <w:top w:val="none" w:sz="0" w:space="0" w:color="auto"/>
            <w:left w:val="none" w:sz="0" w:space="0" w:color="auto"/>
            <w:bottom w:val="none" w:sz="0" w:space="0" w:color="auto"/>
            <w:right w:val="none" w:sz="0" w:space="0" w:color="auto"/>
          </w:divBdr>
          <w:divsChild>
            <w:div w:id="739325446">
              <w:marLeft w:val="0"/>
              <w:marRight w:val="0"/>
              <w:marTop w:val="0"/>
              <w:marBottom w:val="0"/>
              <w:divBdr>
                <w:top w:val="none" w:sz="0" w:space="0" w:color="auto"/>
                <w:left w:val="none" w:sz="0" w:space="0" w:color="auto"/>
                <w:bottom w:val="none" w:sz="0" w:space="0" w:color="auto"/>
                <w:right w:val="none" w:sz="0" w:space="0" w:color="auto"/>
              </w:divBdr>
            </w:div>
          </w:divsChild>
        </w:div>
        <w:div w:id="655181551">
          <w:marLeft w:val="0"/>
          <w:marRight w:val="0"/>
          <w:marTop w:val="0"/>
          <w:marBottom w:val="0"/>
          <w:divBdr>
            <w:top w:val="none" w:sz="0" w:space="0" w:color="auto"/>
            <w:left w:val="none" w:sz="0" w:space="0" w:color="auto"/>
            <w:bottom w:val="none" w:sz="0" w:space="0" w:color="auto"/>
            <w:right w:val="none" w:sz="0" w:space="0" w:color="auto"/>
          </w:divBdr>
          <w:divsChild>
            <w:div w:id="1683824626">
              <w:marLeft w:val="0"/>
              <w:marRight w:val="0"/>
              <w:marTop w:val="0"/>
              <w:marBottom w:val="0"/>
              <w:divBdr>
                <w:top w:val="none" w:sz="0" w:space="0" w:color="auto"/>
                <w:left w:val="none" w:sz="0" w:space="0" w:color="auto"/>
                <w:bottom w:val="none" w:sz="0" w:space="0" w:color="auto"/>
                <w:right w:val="none" w:sz="0" w:space="0" w:color="auto"/>
              </w:divBdr>
            </w:div>
          </w:divsChild>
        </w:div>
        <w:div w:id="691954317">
          <w:marLeft w:val="0"/>
          <w:marRight w:val="0"/>
          <w:marTop w:val="0"/>
          <w:marBottom w:val="0"/>
          <w:divBdr>
            <w:top w:val="none" w:sz="0" w:space="0" w:color="auto"/>
            <w:left w:val="none" w:sz="0" w:space="0" w:color="auto"/>
            <w:bottom w:val="none" w:sz="0" w:space="0" w:color="auto"/>
            <w:right w:val="none" w:sz="0" w:space="0" w:color="auto"/>
          </w:divBdr>
          <w:divsChild>
            <w:div w:id="1852183714">
              <w:marLeft w:val="0"/>
              <w:marRight w:val="0"/>
              <w:marTop w:val="0"/>
              <w:marBottom w:val="0"/>
              <w:divBdr>
                <w:top w:val="none" w:sz="0" w:space="0" w:color="auto"/>
                <w:left w:val="none" w:sz="0" w:space="0" w:color="auto"/>
                <w:bottom w:val="none" w:sz="0" w:space="0" w:color="auto"/>
                <w:right w:val="none" w:sz="0" w:space="0" w:color="auto"/>
              </w:divBdr>
            </w:div>
          </w:divsChild>
        </w:div>
        <w:div w:id="755051965">
          <w:marLeft w:val="0"/>
          <w:marRight w:val="0"/>
          <w:marTop w:val="0"/>
          <w:marBottom w:val="0"/>
          <w:divBdr>
            <w:top w:val="none" w:sz="0" w:space="0" w:color="auto"/>
            <w:left w:val="none" w:sz="0" w:space="0" w:color="auto"/>
            <w:bottom w:val="none" w:sz="0" w:space="0" w:color="auto"/>
            <w:right w:val="none" w:sz="0" w:space="0" w:color="auto"/>
          </w:divBdr>
          <w:divsChild>
            <w:div w:id="1850102904">
              <w:marLeft w:val="0"/>
              <w:marRight w:val="0"/>
              <w:marTop w:val="0"/>
              <w:marBottom w:val="0"/>
              <w:divBdr>
                <w:top w:val="none" w:sz="0" w:space="0" w:color="auto"/>
                <w:left w:val="none" w:sz="0" w:space="0" w:color="auto"/>
                <w:bottom w:val="none" w:sz="0" w:space="0" w:color="auto"/>
                <w:right w:val="none" w:sz="0" w:space="0" w:color="auto"/>
              </w:divBdr>
            </w:div>
          </w:divsChild>
        </w:div>
        <w:div w:id="847017447">
          <w:marLeft w:val="0"/>
          <w:marRight w:val="0"/>
          <w:marTop w:val="0"/>
          <w:marBottom w:val="0"/>
          <w:divBdr>
            <w:top w:val="none" w:sz="0" w:space="0" w:color="auto"/>
            <w:left w:val="none" w:sz="0" w:space="0" w:color="auto"/>
            <w:bottom w:val="none" w:sz="0" w:space="0" w:color="auto"/>
            <w:right w:val="none" w:sz="0" w:space="0" w:color="auto"/>
          </w:divBdr>
          <w:divsChild>
            <w:div w:id="572352517">
              <w:marLeft w:val="0"/>
              <w:marRight w:val="0"/>
              <w:marTop w:val="0"/>
              <w:marBottom w:val="0"/>
              <w:divBdr>
                <w:top w:val="none" w:sz="0" w:space="0" w:color="auto"/>
                <w:left w:val="none" w:sz="0" w:space="0" w:color="auto"/>
                <w:bottom w:val="none" w:sz="0" w:space="0" w:color="auto"/>
                <w:right w:val="none" w:sz="0" w:space="0" w:color="auto"/>
              </w:divBdr>
            </w:div>
          </w:divsChild>
        </w:div>
        <w:div w:id="848954586">
          <w:marLeft w:val="0"/>
          <w:marRight w:val="0"/>
          <w:marTop w:val="0"/>
          <w:marBottom w:val="0"/>
          <w:divBdr>
            <w:top w:val="none" w:sz="0" w:space="0" w:color="auto"/>
            <w:left w:val="none" w:sz="0" w:space="0" w:color="auto"/>
            <w:bottom w:val="none" w:sz="0" w:space="0" w:color="auto"/>
            <w:right w:val="none" w:sz="0" w:space="0" w:color="auto"/>
          </w:divBdr>
          <w:divsChild>
            <w:div w:id="12418902">
              <w:marLeft w:val="0"/>
              <w:marRight w:val="0"/>
              <w:marTop w:val="0"/>
              <w:marBottom w:val="0"/>
              <w:divBdr>
                <w:top w:val="none" w:sz="0" w:space="0" w:color="auto"/>
                <w:left w:val="none" w:sz="0" w:space="0" w:color="auto"/>
                <w:bottom w:val="none" w:sz="0" w:space="0" w:color="auto"/>
                <w:right w:val="none" w:sz="0" w:space="0" w:color="auto"/>
              </w:divBdr>
            </w:div>
          </w:divsChild>
        </w:div>
        <w:div w:id="906111606">
          <w:marLeft w:val="0"/>
          <w:marRight w:val="0"/>
          <w:marTop w:val="0"/>
          <w:marBottom w:val="0"/>
          <w:divBdr>
            <w:top w:val="none" w:sz="0" w:space="0" w:color="auto"/>
            <w:left w:val="none" w:sz="0" w:space="0" w:color="auto"/>
            <w:bottom w:val="none" w:sz="0" w:space="0" w:color="auto"/>
            <w:right w:val="none" w:sz="0" w:space="0" w:color="auto"/>
          </w:divBdr>
          <w:divsChild>
            <w:div w:id="213473728">
              <w:marLeft w:val="0"/>
              <w:marRight w:val="0"/>
              <w:marTop w:val="0"/>
              <w:marBottom w:val="0"/>
              <w:divBdr>
                <w:top w:val="none" w:sz="0" w:space="0" w:color="auto"/>
                <w:left w:val="none" w:sz="0" w:space="0" w:color="auto"/>
                <w:bottom w:val="none" w:sz="0" w:space="0" w:color="auto"/>
                <w:right w:val="none" w:sz="0" w:space="0" w:color="auto"/>
              </w:divBdr>
            </w:div>
          </w:divsChild>
        </w:div>
        <w:div w:id="949432927">
          <w:marLeft w:val="0"/>
          <w:marRight w:val="0"/>
          <w:marTop w:val="0"/>
          <w:marBottom w:val="0"/>
          <w:divBdr>
            <w:top w:val="none" w:sz="0" w:space="0" w:color="auto"/>
            <w:left w:val="none" w:sz="0" w:space="0" w:color="auto"/>
            <w:bottom w:val="none" w:sz="0" w:space="0" w:color="auto"/>
            <w:right w:val="none" w:sz="0" w:space="0" w:color="auto"/>
          </w:divBdr>
          <w:divsChild>
            <w:div w:id="691809394">
              <w:marLeft w:val="0"/>
              <w:marRight w:val="0"/>
              <w:marTop w:val="0"/>
              <w:marBottom w:val="0"/>
              <w:divBdr>
                <w:top w:val="none" w:sz="0" w:space="0" w:color="auto"/>
                <w:left w:val="none" w:sz="0" w:space="0" w:color="auto"/>
                <w:bottom w:val="none" w:sz="0" w:space="0" w:color="auto"/>
                <w:right w:val="none" w:sz="0" w:space="0" w:color="auto"/>
              </w:divBdr>
            </w:div>
          </w:divsChild>
        </w:div>
        <w:div w:id="973603107">
          <w:marLeft w:val="0"/>
          <w:marRight w:val="0"/>
          <w:marTop w:val="0"/>
          <w:marBottom w:val="0"/>
          <w:divBdr>
            <w:top w:val="none" w:sz="0" w:space="0" w:color="auto"/>
            <w:left w:val="none" w:sz="0" w:space="0" w:color="auto"/>
            <w:bottom w:val="none" w:sz="0" w:space="0" w:color="auto"/>
            <w:right w:val="none" w:sz="0" w:space="0" w:color="auto"/>
          </w:divBdr>
          <w:divsChild>
            <w:div w:id="27994436">
              <w:marLeft w:val="0"/>
              <w:marRight w:val="0"/>
              <w:marTop w:val="0"/>
              <w:marBottom w:val="0"/>
              <w:divBdr>
                <w:top w:val="none" w:sz="0" w:space="0" w:color="auto"/>
                <w:left w:val="none" w:sz="0" w:space="0" w:color="auto"/>
                <w:bottom w:val="none" w:sz="0" w:space="0" w:color="auto"/>
                <w:right w:val="none" w:sz="0" w:space="0" w:color="auto"/>
              </w:divBdr>
            </w:div>
          </w:divsChild>
        </w:div>
        <w:div w:id="1001203803">
          <w:marLeft w:val="0"/>
          <w:marRight w:val="0"/>
          <w:marTop w:val="0"/>
          <w:marBottom w:val="0"/>
          <w:divBdr>
            <w:top w:val="none" w:sz="0" w:space="0" w:color="auto"/>
            <w:left w:val="none" w:sz="0" w:space="0" w:color="auto"/>
            <w:bottom w:val="none" w:sz="0" w:space="0" w:color="auto"/>
            <w:right w:val="none" w:sz="0" w:space="0" w:color="auto"/>
          </w:divBdr>
          <w:divsChild>
            <w:div w:id="1157837979">
              <w:marLeft w:val="0"/>
              <w:marRight w:val="0"/>
              <w:marTop w:val="0"/>
              <w:marBottom w:val="0"/>
              <w:divBdr>
                <w:top w:val="none" w:sz="0" w:space="0" w:color="auto"/>
                <w:left w:val="none" w:sz="0" w:space="0" w:color="auto"/>
                <w:bottom w:val="none" w:sz="0" w:space="0" w:color="auto"/>
                <w:right w:val="none" w:sz="0" w:space="0" w:color="auto"/>
              </w:divBdr>
            </w:div>
          </w:divsChild>
        </w:div>
        <w:div w:id="1035736531">
          <w:marLeft w:val="0"/>
          <w:marRight w:val="0"/>
          <w:marTop w:val="0"/>
          <w:marBottom w:val="0"/>
          <w:divBdr>
            <w:top w:val="none" w:sz="0" w:space="0" w:color="auto"/>
            <w:left w:val="none" w:sz="0" w:space="0" w:color="auto"/>
            <w:bottom w:val="none" w:sz="0" w:space="0" w:color="auto"/>
            <w:right w:val="none" w:sz="0" w:space="0" w:color="auto"/>
          </w:divBdr>
          <w:divsChild>
            <w:div w:id="196355963">
              <w:marLeft w:val="0"/>
              <w:marRight w:val="0"/>
              <w:marTop w:val="0"/>
              <w:marBottom w:val="0"/>
              <w:divBdr>
                <w:top w:val="none" w:sz="0" w:space="0" w:color="auto"/>
                <w:left w:val="none" w:sz="0" w:space="0" w:color="auto"/>
                <w:bottom w:val="none" w:sz="0" w:space="0" w:color="auto"/>
                <w:right w:val="none" w:sz="0" w:space="0" w:color="auto"/>
              </w:divBdr>
            </w:div>
          </w:divsChild>
        </w:div>
        <w:div w:id="1110080180">
          <w:marLeft w:val="0"/>
          <w:marRight w:val="0"/>
          <w:marTop w:val="0"/>
          <w:marBottom w:val="0"/>
          <w:divBdr>
            <w:top w:val="none" w:sz="0" w:space="0" w:color="auto"/>
            <w:left w:val="none" w:sz="0" w:space="0" w:color="auto"/>
            <w:bottom w:val="none" w:sz="0" w:space="0" w:color="auto"/>
            <w:right w:val="none" w:sz="0" w:space="0" w:color="auto"/>
          </w:divBdr>
          <w:divsChild>
            <w:div w:id="1969386015">
              <w:marLeft w:val="0"/>
              <w:marRight w:val="0"/>
              <w:marTop w:val="0"/>
              <w:marBottom w:val="0"/>
              <w:divBdr>
                <w:top w:val="none" w:sz="0" w:space="0" w:color="auto"/>
                <w:left w:val="none" w:sz="0" w:space="0" w:color="auto"/>
                <w:bottom w:val="none" w:sz="0" w:space="0" w:color="auto"/>
                <w:right w:val="none" w:sz="0" w:space="0" w:color="auto"/>
              </w:divBdr>
            </w:div>
          </w:divsChild>
        </w:div>
        <w:div w:id="1113331138">
          <w:marLeft w:val="0"/>
          <w:marRight w:val="0"/>
          <w:marTop w:val="0"/>
          <w:marBottom w:val="0"/>
          <w:divBdr>
            <w:top w:val="none" w:sz="0" w:space="0" w:color="auto"/>
            <w:left w:val="none" w:sz="0" w:space="0" w:color="auto"/>
            <w:bottom w:val="none" w:sz="0" w:space="0" w:color="auto"/>
            <w:right w:val="none" w:sz="0" w:space="0" w:color="auto"/>
          </w:divBdr>
          <w:divsChild>
            <w:div w:id="1255019393">
              <w:marLeft w:val="0"/>
              <w:marRight w:val="0"/>
              <w:marTop w:val="0"/>
              <w:marBottom w:val="0"/>
              <w:divBdr>
                <w:top w:val="none" w:sz="0" w:space="0" w:color="auto"/>
                <w:left w:val="none" w:sz="0" w:space="0" w:color="auto"/>
                <w:bottom w:val="none" w:sz="0" w:space="0" w:color="auto"/>
                <w:right w:val="none" w:sz="0" w:space="0" w:color="auto"/>
              </w:divBdr>
            </w:div>
          </w:divsChild>
        </w:div>
        <w:div w:id="1812290082">
          <w:marLeft w:val="0"/>
          <w:marRight w:val="0"/>
          <w:marTop w:val="0"/>
          <w:marBottom w:val="0"/>
          <w:divBdr>
            <w:top w:val="none" w:sz="0" w:space="0" w:color="auto"/>
            <w:left w:val="none" w:sz="0" w:space="0" w:color="auto"/>
            <w:bottom w:val="none" w:sz="0" w:space="0" w:color="auto"/>
            <w:right w:val="none" w:sz="0" w:space="0" w:color="auto"/>
          </w:divBdr>
          <w:divsChild>
            <w:div w:id="891884401">
              <w:marLeft w:val="0"/>
              <w:marRight w:val="0"/>
              <w:marTop w:val="0"/>
              <w:marBottom w:val="0"/>
              <w:divBdr>
                <w:top w:val="none" w:sz="0" w:space="0" w:color="auto"/>
                <w:left w:val="none" w:sz="0" w:space="0" w:color="auto"/>
                <w:bottom w:val="none" w:sz="0" w:space="0" w:color="auto"/>
                <w:right w:val="none" w:sz="0" w:space="0" w:color="auto"/>
              </w:divBdr>
            </w:div>
          </w:divsChild>
        </w:div>
        <w:div w:id="1812944772">
          <w:marLeft w:val="0"/>
          <w:marRight w:val="0"/>
          <w:marTop w:val="0"/>
          <w:marBottom w:val="0"/>
          <w:divBdr>
            <w:top w:val="none" w:sz="0" w:space="0" w:color="auto"/>
            <w:left w:val="none" w:sz="0" w:space="0" w:color="auto"/>
            <w:bottom w:val="none" w:sz="0" w:space="0" w:color="auto"/>
            <w:right w:val="none" w:sz="0" w:space="0" w:color="auto"/>
          </w:divBdr>
          <w:divsChild>
            <w:div w:id="486671830">
              <w:marLeft w:val="0"/>
              <w:marRight w:val="0"/>
              <w:marTop w:val="0"/>
              <w:marBottom w:val="0"/>
              <w:divBdr>
                <w:top w:val="none" w:sz="0" w:space="0" w:color="auto"/>
                <w:left w:val="none" w:sz="0" w:space="0" w:color="auto"/>
                <w:bottom w:val="none" w:sz="0" w:space="0" w:color="auto"/>
                <w:right w:val="none" w:sz="0" w:space="0" w:color="auto"/>
              </w:divBdr>
            </w:div>
          </w:divsChild>
        </w:div>
        <w:div w:id="1844474388">
          <w:marLeft w:val="0"/>
          <w:marRight w:val="0"/>
          <w:marTop w:val="0"/>
          <w:marBottom w:val="0"/>
          <w:divBdr>
            <w:top w:val="none" w:sz="0" w:space="0" w:color="auto"/>
            <w:left w:val="none" w:sz="0" w:space="0" w:color="auto"/>
            <w:bottom w:val="none" w:sz="0" w:space="0" w:color="auto"/>
            <w:right w:val="none" w:sz="0" w:space="0" w:color="auto"/>
          </w:divBdr>
          <w:divsChild>
            <w:div w:id="552887843">
              <w:marLeft w:val="0"/>
              <w:marRight w:val="0"/>
              <w:marTop w:val="0"/>
              <w:marBottom w:val="0"/>
              <w:divBdr>
                <w:top w:val="none" w:sz="0" w:space="0" w:color="auto"/>
                <w:left w:val="none" w:sz="0" w:space="0" w:color="auto"/>
                <w:bottom w:val="none" w:sz="0" w:space="0" w:color="auto"/>
                <w:right w:val="none" w:sz="0" w:space="0" w:color="auto"/>
              </w:divBdr>
            </w:div>
          </w:divsChild>
        </w:div>
        <w:div w:id="1858226645">
          <w:marLeft w:val="0"/>
          <w:marRight w:val="0"/>
          <w:marTop w:val="0"/>
          <w:marBottom w:val="0"/>
          <w:divBdr>
            <w:top w:val="none" w:sz="0" w:space="0" w:color="auto"/>
            <w:left w:val="none" w:sz="0" w:space="0" w:color="auto"/>
            <w:bottom w:val="none" w:sz="0" w:space="0" w:color="auto"/>
            <w:right w:val="none" w:sz="0" w:space="0" w:color="auto"/>
          </w:divBdr>
          <w:divsChild>
            <w:div w:id="1228418968">
              <w:marLeft w:val="0"/>
              <w:marRight w:val="0"/>
              <w:marTop w:val="0"/>
              <w:marBottom w:val="0"/>
              <w:divBdr>
                <w:top w:val="none" w:sz="0" w:space="0" w:color="auto"/>
                <w:left w:val="none" w:sz="0" w:space="0" w:color="auto"/>
                <w:bottom w:val="none" w:sz="0" w:space="0" w:color="auto"/>
                <w:right w:val="none" w:sz="0" w:space="0" w:color="auto"/>
              </w:divBdr>
            </w:div>
          </w:divsChild>
        </w:div>
        <w:div w:id="1986200805">
          <w:marLeft w:val="0"/>
          <w:marRight w:val="0"/>
          <w:marTop w:val="0"/>
          <w:marBottom w:val="0"/>
          <w:divBdr>
            <w:top w:val="none" w:sz="0" w:space="0" w:color="auto"/>
            <w:left w:val="none" w:sz="0" w:space="0" w:color="auto"/>
            <w:bottom w:val="none" w:sz="0" w:space="0" w:color="auto"/>
            <w:right w:val="none" w:sz="0" w:space="0" w:color="auto"/>
          </w:divBdr>
          <w:divsChild>
            <w:div w:id="767580803">
              <w:marLeft w:val="0"/>
              <w:marRight w:val="0"/>
              <w:marTop w:val="0"/>
              <w:marBottom w:val="0"/>
              <w:divBdr>
                <w:top w:val="none" w:sz="0" w:space="0" w:color="auto"/>
                <w:left w:val="none" w:sz="0" w:space="0" w:color="auto"/>
                <w:bottom w:val="none" w:sz="0" w:space="0" w:color="auto"/>
                <w:right w:val="none" w:sz="0" w:space="0" w:color="auto"/>
              </w:divBdr>
            </w:div>
          </w:divsChild>
        </w:div>
        <w:div w:id="2002273752">
          <w:marLeft w:val="0"/>
          <w:marRight w:val="0"/>
          <w:marTop w:val="0"/>
          <w:marBottom w:val="0"/>
          <w:divBdr>
            <w:top w:val="none" w:sz="0" w:space="0" w:color="auto"/>
            <w:left w:val="none" w:sz="0" w:space="0" w:color="auto"/>
            <w:bottom w:val="none" w:sz="0" w:space="0" w:color="auto"/>
            <w:right w:val="none" w:sz="0" w:space="0" w:color="auto"/>
          </w:divBdr>
          <w:divsChild>
            <w:div w:id="380062315">
              <w:marLeft w:val="0"/>
              <w:marRight w:val="0"/>
              <w:marTop w:val="0"/>
              <w:marBottom w:val="0"/>
              <w:divBdr>
                <w:top w:val="none" w:sz="0" w:space="0" w:color="auto"/>
                <w:left w:val="none" w:sz="0" w:space="0" w:color="auto"/>
                <w:bottom w:val="none" w:sz="0" w:space="0" w:color="auto"/>
                <w:right w:val="none" w:sz="0" w:space="0" w:color="auto"/>
              </w:divBdr>
            </w:div>
          </w:divsChild>
        </w:div>
        <w:div w:id="2052025749">
          <w:marLeft w:val="0"/>
          <w:marRight w:val="0"/>
          <w:marTop w:val="0"/>
          <w:marBottom w:val="0"/>
          <w:divBdr>
            <w:top w:val="none" w:sz="0" w:space="0" w:color="auto"/>
            <w:left w:val="none" w:sz="0" w:space="0" w:color="auto"/>
            <w:bottom w:val="none" w:sz="0" w:space="0" w:color="auto"/>
            <w:right w:val="none" w:sz="0" w:space="0" w:color="auto"/>
          </w:divBdr>
          <w:divsChild>
            <w:div w:id="1357923206">
              <w:marLeft w:val="0"/>
              <w:marRight w:val="0"/>
              <w:marTop w:val="0"/>
              <w:marBottom w:val="0"/>
              <w:divBdr>
                <w:top w:val="none" w:sz="0" w:space="0" w:color="auto"/>
                <w:left w:val="none" w:sz="0" w:space="0" w:color="auto"/>
                <w:bottom w:val="none" w:sz="0" w:space="0" w:color="auto"/>
                <w:right w:val="none" w:sz="0" w:space="0" w:color="auto"/>
              </w:divBdr>
            </w:div>
          </w:divsChild>
        </w:div>
        <w:div w:id="2087804529">
          <w:marLeft w:val="0"/>
          <w:marRight w:val="0"/>
          <w:marTop w:val="0"/>
          <w:marBottom w:val="0"/>
          <w:divBdr>
            <w:top w:val="none" w:sz="0" w:space="0" w:color="auto"/>
            <w:left w:val="none" w:sz="0" w:space="0" w:color="auto"/>
            <w:bottom w:val="none" w:sz="0" w:space="0" w:color="auto"/>
            <w:right w:val="none" w:sz="0" w:space="0" w:color="auto"/>
          </w:divBdr>
          <w:divsChild>
            <w:div w:id="606960402">
              <w:marLeft w:val="0"/>
              <w:marRight w:val="0"/>
              <w:marTop w:val="0"/>
              <w:marBottom w:val="0"/>
              <w:divBdr>
                <w:top w:val="none" w:sz="0" w:space="0" w:color="auto"/>
                <w:left w:val="none" w:sz="0" w:space="0" w:color="auto"/>
                <w:bottom w:val="none" w:sz="0" w:space="0" w:color="auto"/>
                <w:right w:val="none" w:sz="0" w:space="0" w:color="auto"/>
              </w:divBdr>
            </w:div>
          </w:divsChild>
        </w:div>
        <w:div w:id="2140294206">
          <w:marLeft w:val="0"/>
          <w:marRight w:val="0"/>
          <w:marTop w:val="0"/>
          <w:marBottom w:val="0"/>
          <w:divBdr>
            <w:top w:val="none" w:sz="0" w:space="0" w:color="auto"/>
            <w:left w:val="none" w:sz="0" w:space="0" w:color="auto"/>
            <w:bottom w:val="none" w:sz="0" w:space="0" w:color="auto"/>
            <w:right w:val="none" w:sz="0" w:space="0" w:color="auto"/>
          </w:divBdr>
          <w:divsChild>
            <w:div w:id="13474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50383">
      <w:bodyDiv w:val="1"/>
      <w:marLeft w:val="0"/>
      <w:marRight w:val="0"/>
      <w:marTop w:val="0"/>
      <w:marBottom w:val="0"/>
      <w:divBdr>
        <w:top w:val="none" w:sz="0" w:space="0" w:color="auto"/>
        <w:left w:val="none" w:sz="0" w:space="0" w:color="auto"/>
        <w:bottom w:val="none" w:sz="0" w:space="0" w:color="auto"/>
        <w:right w:val="none" w:sz="0" w:space="0" w:color="auto"/>
      </w:divBdr>
    </w:div>
    <w:div w:id="2042122754">
      <w:bodyDiv w:val="1"/>
      <w:marLeft w:val="0"/>
      <w:marRight w:val="0"/>
      <w:marTop w:val="0"/>
      <w:marBottom w:val="0"/>
      <w:divBdr>
        <w:top w:val="none" w:sz="0" w:space="0" w:color="auto"/>
        <w:left w:val="none" w:sz="0" w:space="0" w:color="auto"/>
        <w:bottom w:val="none" w:sz="0" w:space="0" w:color="auto"/>
        <w:right w:val="none" w:sz="0" w:space="0" w:color="auto"/>
      </w:divBdr>
    </w:div>
    <w:div w:id="2067875356">
      <w:bodyDiv w:val="1"/>
      <w:marLeft w:val="0"/>
      <w:marRight w:val="0"/>
      <w:marTop w:val="0"/>
      <w:marBottom w:val="0"/>
      <w:divBdr>
        <w:top w:val="none" w:sz="0" w:space="0" w:color="auto"/>
        <w:left w:val="none" w:sz="0" w:space="0" w:color="auto"/>
        <w:bottom w:val="none" w:sz="0" w:space="0" w:color="auto"/>
        <w:right w:val="none" w:sz="0" w:space="0" w:color="auto"/>
      </w:divBdr>
    </w:div>
    <w:div w:id="2083866439">
      <w:bodyDiv w:val="1"/>
      <w:marLeft w:val="0"/>
      <w:marRight w:val="0"/>
      <w:marTop w:val="0"/>
      <w:marBottom w:val="0"/>
      <w:divBdr>
        <w:top w:val="none" w:sz="0" w:space="0" w:color="auto"/>
        <w:left w:val="none" w:sz="0" w:space="0" w:color="auto"/>
        <w:bottom w:val="none" w:sz="0" w:space="0" w:color="auto"/>
        <w:right w:val="none" w:sz="0" w:space="0" w:color="auto"/>
      </w:divBdr>
    </w:div>
    <w:div w:id="213347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strategy-and-policy/priorities-2019-2024/economy-works-people/jobs-growth-and-investment/european-pillar-social-rights/european-pillar-social-rights-20-principles_r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nvironment.ec.europa.eu/topics/water/water-framework-directive/implementation-reports_en" TargetMode="External"/><Relationship Id="rId13" Type="http://schemas.openxmlformats.org/officeDocument/2006/relationships/hyperlink" Target="https://foreverpollution.eu/lobbying/" TargetMode="External"/><Relationship Id="rId18" Type="http://schemas.openxmlformats.org/officeDocument/2006/relationships/hyperlink" Target="https://ec.europa.eu/regional_policy/policy/communities-and-networks/cohesion-4-transition_en" TargetMode="External"/><Relationship Id="rId26" Type="http://schemas.openxmlformats.org/officeDocument/2006/relationships/hyperlink" Target="https://www.unwater.org/sites/default/files/2024-07/UN_System-wide_Strategy_for_Water_and_Sanitation_July2024_vs23July2024.pdf" TargetMode="External"/><Relationship Id="rId3" Type="http://schemas.openxmlformats.org/officeDocument/2006/relationships/hyperlink" Target="https://ec.europa.eu/eurostat/statistics-explained/index.php?title=Businesses_in_the_water_supply%2C_sewerage%2C_waste_management_and_remediation_sector&amp;utm_source=chatgpt.com" TargetMode="External"/><Relationship Id="rId21" Type="http://schemas.openxmlformats.org/officeDocument/2006/relationships/hyperlink" Target="https://www.fao.org/fao-who-codexalimentarius/sh-proxy/tr/?lnk=1&amp;url=https%253A%252F%252Fworkspace.fao.org%252Fsites%252Fcodex%252FStandards%252FCXG%2B100-2023%252FCXG_100e.pdf" TargetMode="External"/><Relationship Id="rId7" Type="http://schemas.openxmlformats.org/officeDocument/2006/relationships/hyperlink" Target="https://www.eea.europa.eu/en/analysis/publications/europes-state-of-water-2024" TargetMode="External"/><Relationship Id="rId12" Type="http://schemas.openxmlformats.org/officeDocument/2006/relationships/hyperlink" Target="https://www.norden.org/en/publication/cost-inaction-0" TargetMode="External"/><Relationship Id="rId17" Type="http://schemas.openxmlformats.org/officeDocument/2006/relationships/hyperlink" Target="https://commission.europa.eu/strategy-and-policy/priorities-2019-2024/economy-works-people/jobs-growth-and-investment/european-pillar-social-rights/european-pillar-social-rights-20-principles_ro" TargetMode="External"/><Relationship Id="rId25" Type="http://schemas.openxmlformats.org/officeDocument/2006/relationships/hyperlink" Target="https://docs.un.org/en/UNEP/EA.6/RES.13" TargetMode="External"/><Relationship Id="rId2" Type="http://schemas.openxmlformats.org/officeDocument/2006/relationships/hyperlink" Target="https://link.epo.org/web/publications/studies/en-innovation-in-water-related-technologies.pdf" TargetMode="External"/><Relationship Id="rId16" Type="http://schemas.openxmlformats.org/officeDocument/2006/relationships/hyperlink" Target="https://www.eea.europa.eu/en/analysis/publications/europes-state-of-water-2024" TargetMode="External"/><Relationship Id="rId20" Type="http://schemas.openxmlformats.org/officeDocument/2006/relationships/hyperlink" Target="https://docs.un.org/en/A/RES/79/1" TargetMode="External"/><Relationship Id="rId29" Type="http://schemas.openxmlformats.org/officeDocument/2006/relationships/hyperlink" Target="https://www.eib.org/files/press/CommitmenttoWaterSecuritywithlogos.pdf" TargetMode="External"/><Relationship Id="rId1" Type="http://schemas.openxmlformats.org/officeDocument/2006/relationships/hyperlink" Target="https://ec.europa.eu/regional_policy/information-sources/cohesion-report_en" TargetMode="External"/><Relationship Id="rId6" Type="http://schemas.openxmlformats.org/officeDocument/2006/relationships/hyperlink" Target="http://data.europa.eu/eli/reg/2024/1991/oj" TargetMode="External"/><Relationship Id="rId11" Type="http://schemas.openxmlformats.org/officeDocument/2006/relationships/hyperlink" Target="https://environment.ec.europa.eu/publications/river-basin-management-changing-climate_en" TargetMode="External"/><Relationship Id="rId24" Type="http://schemas.openxmlformats.org/officeDocument/2006/relationships/hyperlink" Target="https://data.consilium.europa.eu/doc/document/ST-7443-2023-INIT/en/pdf" TargetMode="External"/><Relationship Id="rId5" Type="http://schemas.openxmlformats.org/officeDocument/2006/relationships/hyperlink" Target="http://data.europa.eu/eli/dir/2007/60/oj" TargetMode="External"/><Relationship Id="rId15" Type="http://schemas.openxmlformats.org/officeDocument/2006/relationships/hyperlink" Target="https://www.eea.europa.eu/en/analysis/publications/europes-state-of-water-2024" TargetMode="External"/><Relationship Id="rId23" Type="http://schemas.openxmlformats.org/officeDocument/2006/relationships/hyperlink" Target="https://sdgs.un.org/conferences/water2023/action-agenda" TargetMode="External"/><Relationship Id="rId28" Type="http://schemas.openxmlformats.org/officeDocument/2006/relationships/hyperlink" Target="https://www.energy-community.org/legal/treaty.html" TargetMode="External"/><Relationship Id="rId10" Type="http://schemas.openxmlformats.org/officeDocument/2006/relationships/hyperlink" Target="https://environment.ec.europa.eu/document/880573b8-3812-49b9-8ca5-53484338f1f1_en" TargetMode="External"/><Relationship Id="rId19" Type="http://schemas.openxmlformats.org/officeDocument/2006/relationships/hyperlink" Target="http://data.europa.eu/doi/10.2801/438491" TargetMode="External"/><Relationship Id="rId4" Type="http://schemas.openxmlformats.org/officeDocument/2006/relationships/hyperlink" Target="http://data.europa.eu/eli/dir/2000/60/oj" TargetMode="External"/><Relationship Id="rId9" Type="http://schemas.openxmlformats.org/officeDocument/2006/relationships/hyperlink" Target="https://environment.ec.europa.eu/document/659eea3a-8a00-410e-bc2f-f94baf210c9b_en" TargetMode="External"/><Relationship Id="rId14" Type="http://schemas.openxmlformats.org/officeDocument/2006/relationships/hyperlink" Target="https://energy.ec.europa.eu/topics/energy-efficiency/energy-efficiency-targets-directive-and-rules/energy-efficiency-first-principle_en?prefLang=ro" TargetMode="External"/><Relationship Id="rId22" Type="http://schemas.openxmlformats.org/officeDocument/2006/relationships/hyperlink" Target="https://civil-protection-humanitarian-aid.ec.europa.eu/what/humanitarian-aid/climate-change-and-environment_en" TargetMode="External"/><Relationship Id="rId27" Type="http://schemas.openxmlformats.org/officeDocument/2006/relationships/hyperlink" Target="https://commission.europa.eu/strategy-and-policy/priorities-2019-2024/stronger-europe-world/global-gateway_ro" TargetMode="External"/><Relationship Id="rId30" Type="http://schemas.openxmlformats.org/officeDocument/2006/relationships/hyperlink" Target="https://www.cbd.int/gbf/targ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1B673FE53DE948812005833C5F7879" ma:contentTypeVersion="3" ma:contentTypeDescription="Create a new document." ma:contentTypeScope="" ma:versionID="cc104c7e1bf9bb568d4dc6102f431da2">
  <xsd:schema xmlns:xsd="http://www.w3.org/2001/XMLSchema" xmlns:xs="http://www.w3.org/2001/XMLSchema" xmlns:p="http://schemas.microsoft.com/office/2006/metadata/properties" xmlns:ns2="bdc353f2-37e9-4052-891e-6bd848fc7366" targetNamespace="http://schemas.microsoft.com/office/2006/metadata/properties" ma:root="true" ma:fieldsID="b672112b7c59b3e6e9bfa50670350569" ns2:_="">
    <xsd:import namespace="bdc353f2-37e9-4052-891e-6bd848fc736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353f2-37e9-4052-891e-6bd848fc73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83342-D903-4D4E-82D6-3B04A2F0E4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9F21C7-9930-4F8F-A779-C0691C168BE3}">
  <ds:schemaRefs>
    <ds:schemaRef ds:uri="http://schemas.microsoft.com/sharepoint/v3/contenttype/forms"/>
  </ds:schemaRefs>
</ds:datastoreItem>
</file>

<file path=customXml/itemProps3.xml><?xml version="1.0" encoding="utf-8"?>
<ds:datastoreItem xmlns:ds="http://schemas.openxmlformats.org/officeDocument/2006/customXml" ds:itemID="{7CD9EA67-1060-4116-8468-0A18040EA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353f2-37e9-4052-891e-6bd848fc73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F3FE92-D741-47BD-8BE6-128A6F58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13623</Words>
  <Characters>77653</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2025-06-03T13:33:00Z</dcterms:created>
  <dcterms:modified xsi:type="dcterms:W3CDTF">2025-06-24T10:04:00Z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2025-06-01T10:23:17Z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ab3051ef-c7a5-4860-a8b6-b50a2f8e8d7d</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0x010100C41B673FE53DE948812005833C5F7879</vt:lpwstr>
  </property>
</Properties>
</file>