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C3D4F" w14:textId="3B9FB82F" w:rsidR="00E32F72" w:rsidRDefault="009C36D2" w:rsidP="009C36D2">
      <w:pPr>
        <w:pStyle w:val="Pagedecouverture"/>
        <w:rPr>
          <w:noProof/>
        </w:rPr>
      </w:pPr>
      <w:bookmarkStart w:id="0" w:name="LW_BM_COVERPAGE"/>
      <w:r>
        <w:rPr>
          <w:noProof/>
        </w:rPr>
        <w:pict w14:anchorId="1877D6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79C4ABE-CECB-494F-800F-9B9693292C1C" style="width:455.25pt;height:336.75pt">
            <v:imagedata r:id="rId8" o:title=""/>
          </v:shape>
        </w:pict>
      </w:r>
    </w:p>
    <w:bookmarkEnd w:id="0"/>
    <w:p w14:paraId="3C029D55" w14:textId="77777777" w:rsidR="00E32F72" w:rsidRDefault="00E32F72" w:rsidP="00E32F72">
      <w:pPr>
        <w:rPr>
          <w:noProof/>
        </w:rPr>
        <w:sectPr w:rsidR="00E32F72" w:rsidSect="009C36D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2E843A1" w14:textId="77777777" w:rsidR="00E32F72" w:rsidRPr="00C81A9D" w:rsidRDefault="00E32F72" w:rsidP="00E32F72">
      <w:pPr>
        <w:jc w:val="both"/>
        <w:rPr>
          <w:rFonts w:ascii="Times New Roman" w:hAnsi="Times New Roman"/>
          <w:b/>
          <w:noProof/>
          <w:sz w:val="24"/>
          <w:u w:val="single"/>
        </w:rPr>
      </w:pPr>
      <w:bookmarkStart w:id="1" w:name="_GoBack"/>
      <w:bookmarkEnd w:id="1"/>
      <w:r w:rsidRPr="00C81A9D">
        <w:rPr>
          <w:rFonts w:ascii="Times New Roman" w:hAnsi="Times New Roman"/>
          <w:b/>
          <w:noProof/>
          <w:sz w:val="24"/>
          <w:u w:val="single"/>
        </w:rPr>
        <w:lastRenderedPageBreak/>
        <w:t>Introducere</w:t>
      </w:r>
    </w:p>
    <w:p w14:paraId="33776842" w14:textId="4428E50A"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Astfel cum se prevede în Strategia europeană de securitate internă („ProtectEU”)</w:t>
      </w:r>
      <w:r>
        <w:rPr>
          <w:rStyle w:val="FootnoteReference"/>
          <w:noProof/>
          <w:szCs w:val="24"/>
        </w:rPr>
        <w:footnoteReference w:id="1"/>
      </w:r>
      <w:r>
        <w:rPr>
          <w:rFonts w:ascii="Times New Roman" w:hAnsi="Times New Roman"/>
          <w:noProof/>
          <w:sz w:val="24"/>
        </w:rPr>
        <w:t xml:space="preserve">, </w:t>
      </w:r>
      <w:r w:rsidRPr="009828C5">
        <w:rPr>
          <w:rFonts w:ascii="Times New Roman" w:hAnsi="Times New Roman"/>
          <w:b/>
          <w:noProof/>
          <w:sz w:val="24"/>
        </w:rPr>
        <w:t>securitatea reprezintă piatra de temelie a tuturor libertăților noastre</w:t>
      </w:r>
      <w:r>
        <w:rPr>
          <w:rFonts w:ascii="Times New Roman" w:hAnsi="Times New Roman"/>
          <w:noProof/>
          <w:sz w:val="24"/>
        </w:rPr>
        <w:t>. Democrația, statul de drept, drepturile fundamentale, bunăstarea europenilor, competitivitatea și prosperitatea – toate acestea depind de capacitatea noastră de a oferi o garanție de securitate de bază.</w:t>
      </w:r>
    </w:p>
    <w:p w14:paraId="06E76D9E" w14:textId="262A59C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Uniunea Europeană și statele membre au datoria de a se asigura că cetățenii se pot bucura de un </w:t>
      </w:r>
      <w:r w:rsidRPr="009828C5">
        <w:rPr>
          <w:rFonts w:ascii="Times New Roman" w:hAnsi="Times New Roman"/>
          <w:b/>
          <w:noProof/>
          <w:sz w:val="24"/>
        </w:rPr>
        <w:t>nivel ridicat de securitate în viața lor de zi cu zi</w:t>
      </w:r>
      <w:r>
        <w:rPr>
          <w:rFonts w:ascii="Times New Roman" w:hAnsi="Times New Roman"/>
          <w:noProof/>
          <w:sz w:val="24"/>
        </w:rPr>
        <w:t>. În acest scop, autoritățile de aplicare a legii și autoritățile judiciare trebuie să dispună de instrumentele necesare pentru a urmări activitățile ilicite, a identifica autorii, a dezmembra rețelele infracționale și a proteja victimele, asigurând, în cele din urmă, justiția penală, cu respectarea deplină a drepturilor fundamentale.</w:t>
      </w:r>
    </w:p>
    <w:p w14:paraId="7764FE5E"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Terorismul, criminalitatea organizată, frauda online, traficul de droguri, abuzul sexual asupra minorilor, extorcarea sexuală online, programele de tip ransomware și multe alte infracțiuni au ceva în comun: lasă </w:t>
      </w:r>
      <w:r w:rsidRPr="009828C5">
        <w:rPr>
          <w:rFonts w:ascii="Times New Roman" w:hAnsi="Times New Roman"/>
          <w:b/>
          <w:noProof/>
          <w:sz w:val="24"/>
        </w:rPr>
        <w:t>urme digitale</w:t>
      </w:r>
      <w:r>
        <w:rPr>
          <w:rFonts w:ascii="Times New Roman" w:hAnsi="Times New Roman"/>
          <w:noProof/>
          <w:sz w:val="24"/>
        </w:rPr>
        <w:t xml:space="preserve">. Astfel cum observă Europol în Evaluarea amenințării pe care o reprezintă formele grave de criminalitate și criminalitatea organizată (SOCTA) pentru </w:t>
      </w:r>
      <w:r w:rsidRPr="009828C5">
        <w:rPr>
          <w:rFonts w:ascii="Times New Roman" w:hAnsi="Times New Roman"/>
          <w:noProof/>
          <w:sz w:val="24"/>
        </w:rPr>
        <w:t>2025</w:t>
      </w:r>
      <w:r>
        <w:rPr>
          <w:rFonts w:ascii="Times New Roman" w:hAnsi="Times New Roman"/>
          <w:noProof/>
          <w:sz w:val="24"/>
        </w:rPr>
        <w:t>,</w:t>
      </w:r>
      <w:r w:rsidRPr="009828C5">
        <w:rPr>
          <w:rFonts w:ascii="Times New Roman" w:hAnsi="Times New Roman"/>
          <w:b/>
          <w:noProof/>
          <w:sz w:val="24"/>
        </w:rPr>
        <w:t xml:space="preserve"> </w:t>
      </w:r>
      <w:r>
        <w:rPr>
          <w:rFonts w:ascii="Times New Roman" w:hAnsi="Times New Roman"/>
          <w:noProof/>
          <w:sz w:val="24"/>
        </w:rPr>
        <w:t>aproape toate formele grave de criminalitate și criminalitatea organizată au o amprentă digitală</w:t>
      </w:r>
      <w:r>
        <w:rPr>
          <w:rFonts w:ascii="Times New Roman" w:hAnsi="Times New Roman"/>
          <w:noProof/>
          <w:sz w:val="24"/>
          <w:vertAlign w:val="superscript"/>
        </w:rPr>
        <w:footnoteReference w:id="2"/>
      </w:r>
      <w:r>
        <w:rPr>
          <w:rFonts w:ascii="Times New Roman" w:hAnsi="Times New Roman"/>
          <w:noProof/>
          <w:sz w:val="24"/>
        </w:rPr>
        <w:t xml:space="preserve">. </w:t>
      </w:r>
      <w:r w:rsidRPr="009828C5">
        <w:rPr>
          <w:rFonts w:ascii="Times New Roman" w:hAnsi="Times New Roman"/>
          <w:b/>
          <w:noProof/>
          <w:sz w:val="24"/>
        </w:rPr>
        <w:t>În prezent, în aproximativ 85 % din anchetele penale se recurge la probe electronice</w:t>
      </w:r>
      <w:r>
        <w:rPr>
          <w:rFonts w:ascii="Times New Roman" w:hAnsi="Times New Roman"/>
          <w:noProof/>
          <w:sz w:val="24"/>
          <w:vertAlign w:val="superscript"/>
        </w:rPr>
        <w:footnoteReference w:id="3"/>
      </w:r>
      <w:r>
        <w:rPr>
          <w:rFonts w:ascii="Times New Roman" w:hAnsi="Times New Roman"/>
          <w:noProof/>
          <w:sz w:val="24"/>
        </w:rPr>
        <w:t xml:space="preserve">. Cererile de date adresate furnizorilor de servicii s-au triplat între anii </w:t>
      </w:r>
      <w:r w:rsidRPr="009828C5">
        <w:rPr>
          <w:rFonts w:ascii="Times New Roman" w:hAnsi="Times New Roman"/>
          <w:noProof/>
          <w:sz w:val="24"/>
        </w:rPr>
        <w:t>2017</w:t>
      </w:r>
      <w:r>
        <w:rPr>
          <w:rFonts w:ascii="Times New Roman" w:hAnsi="Times New Roman"/>
          <w:noProof/>
          <w:sz w:val="24"/>
        </w:rPr>
        <w:t xml:space="preserve"> și </w:t>
      </w:r>
      <w:r w:rsidRPr="009828C5">
        <w:rPr>
          <w:rFonts w:ascii="Times New Roman" w:hAnsi="Times New Roman"/>
          <w:noProof/>
          <w:sz w:val="24"/>
        </w:rPr>
        <w:t>2022</w:t>
      </w:r>
      <w:r>
        <w:rPr>
          <w:rFonts w:ascii="Times New Roman" w:hAnsi="Times New Roman"/>
          <w:noProof/>
          <w:sz w:val="24"/>
        </w:rPr>
        <w:t>, iar necesitatea acestor date este în continuă creștere</w:t>
      </w:r>
      <w:r>
        <w:rPr>
          <w:rFonts w:ascii="Times New Roman" w:hAnsi="Times New Roman"/>
          <w:noProof/>
          <w:sz w:val="24"/>
          <w:vertAlign w:val="superscript"/>
        </w:rPr>
        <w:footnoteReference w:id="4"/>
      </w:r>
      <w:r>
        <w:rPr>
          <w:rFonts w:ascii="Times New Roman" w:hAnsi="Times New Roman"/>
          <w:noProof/>
          <w:sz w:val="24"/>
        </w:rPr>
        <w:t>.</w:t>
      </w:r>
    </w:p>
    <w:p w14:paraId="787F5049"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Deși recent am văzut exemple remarcabile de autorități de aplicare a legii și autorități judiciare care au reușit să ia măsuri drastice împotriva rețelelor specifice de comunicații utilizate de grupurile infracționale</w:t>
      </w:r>
      <w:r>
        <w:rPr>
          <w:rStyle w:val="FootnoteReference"/>
          <w:noProof/>
        </w:rPr>
        <w:footnoteReference w:id="5"/>
      </w:r>
      <w:r>
        <w:rPr>
          <w:rFonts w:ascii="Times New Roman" w:hAnsi="Times New Roman"/>
          <w:noProof/>
          <w:sz w:val="24"/>
        </w:rPr>
        <w:t>, mult mai multe anchete</w:t>
      </w:r>
      <w:r w:rsidRPr="009828C5">
        <w:rPr>
          <w:rFonts w:ascii="Times New Roman" w:hAnsi="Times New Roman"/>
          <w:b/>
          <w:noProof/>
          <w:sz w:val="24"/>
        </w:rPr>
        <w:t xml:space="preserve"> întârzie sau eșuează din cauza lipsei accesului în timp util la probele digitale</w:t>
      </w:r>
      <w:r>
        <w:rPr>
          <w:rStyle w:val="FootnoteReference"/>
          <w:noProof/>
        </w:rPr>
        <w:footnoteReference w:id="6"/>
      </w:r>
      <w:r w:rsidRPr="009828C5">
        <w:rPr>
          <w:rFonts w:ascii="Times New Roman" w:hAnsi="Times New Roman"/>
          <w:b/>
          <w:noProof/>
          <w:sz w:val="24"/>
        </w:rPr>
        <w:t>.</w:t>
      </w:r>
      <w:r>
        <w:rPr>
          <w:rFonts w:ascii="Times New Roman" w:hAnsi="Times New Roman"/>
          <w:noProof/>
          <w:sz w:val="24"/>
        </w:rPr>
        <w:t xml:space="preserve"> Autoritățile de aplicare a legii și autoritățile judiciare au pierdut teren în fața infractorilor în ultimul deceniu, deoarece infractorii utilizează instrumente și produse oferite de furnizori de servicii care au luat măsuri de prevenire a cooperării în legătură cu solicitări legitime</w:t>
      </w:r>
      <w:r>
        <w:rPr>
          <w:rFonts w:ascii="Times New Roman" w:hAnsi="Times New Roman"/>
          <w:noProof/>
          <w:sz w:val="24"/>
          <w:vertAlign w:val="superscript"/>
        </w:rPr>
        <w:footnoteReference w:id="7"/>
      </w:r>
      <w:r>
        <w:rPr>
          <w:rFonts w:ascii="Times New Roman" w:hAnsi="Times New Roman"/>
          <w:noProof/>
          <w:sz w:val="24"/>
        </w:rPr>
        <w:t>.</w:t>
      </w:r>
    </w:p>
    <w:p w14:paraId="4737EF57" w14:textId="77777777" w:rsidR="00E32F72" w:rsidRPr="00AE5FE8" w:rsidRDefault="00E32F72" w:rsidP="00E32F72">
      <w:pPr>
        <w:jc w:val="both"/>
        <w:rPr>
          <w:rFonts w:ascii="Times New Roman" w:hAnsi="Times New Roman"/>
          <w:noProof/>
          <w:sz w:val="24"/>
        </w:rPr>
      </w:pPr>
      <w:r w:rsidRPr="009828C5">
        <w:rPr>
          <w:rFonts w:ascii="Times New Roman" w:hAnsi="Times New Roman"/>
          <w:b/>
          <w:noProof/>
          <w:sz w:val="24"/>
        </w:rPr>
        <w:t xml:space="preserve">Probele penale critice </w:t>
      </w:r>
      <w:r>
        <w:rPr>
          <w:rFonts w:ascii="Times New Roman" w:hAnsi="Times New Roman"/>
          <w:noProof/>
          <w:sz w:val="24"/>
        </w:rPr>
        <w:t>rămân inaccesibile</w:t>
      </w:r>
      <w:r w:rsidRPr="009828C5">
        <w:rPr>
          <w:rFonts w:ascii="Times New Roman" w:hAnsi="Times New Roman"/>
          <w:b/>
          <w:noProof/>
          <w:sz w:val="24"/>
        </w:rPr>
        <w:t> </w:t>
      </w:r>
      <w:r>
        <w:rPr>
          <w:rFonts w:ascii="Times New Roman" w:hAnsi="Times New Roman"/>
          <w:noProof/>
          <w:sz w:val="24"/>
        </w:rPr>
        <w:t>deoarece</w:t>
      </w:r>
      <w:r>
        <w:rPr>
          <w:rStyle w:val="FootnoteReference"/>
          <w:noProof/>
        </w:rPr>
        <w:footnoteReference w:id="8"/>
      </w:r>
      <w:r>
        <w:rPr>
          <w:rFonts w:ascii="Times New Roman" w:hAnsi="Times New Roman"/>
          <w:noProof/>
          <w:sz w:val="24"/>
        </w:rPr>
        <w:t>:</w:t>
      </w:r>
    </w:p>
    <w:p w14:paraId="47E5A8F5" w14:textId="77777777" w:rsidR="00E32F72" w:rsidRPr="00AE5FE8" w:rsidRDefault="00E32F72" w:rsidP="00E32F72">
      <w:pPr>
        <w:pStyle w:val="ListParagraph"/>
        <w:numPr>
          <w:ilvl w:val="0"/>
          <w:numId w:val="8"/>
        </w:numPr>
        <w:jc w:val="both"/>
        <w:rPr>
          <w:rFonts w:ascii="Times New Roman" w:hAnsi="Times New Roman"/>
          <w:noProof/>
          <w:sz w:val="24"/>
        </w:rPr>
      </w:pPr>
      <w:r w:rsidRPr="009828C5">
        <w:rPr>
          <w:rFonts w:ascii="Times New Roman" w:hAnsi="Times New Roman"/>
          <w:b/>
          <w:noProof/>
          <w:sz w:val="24"/>
        </w:rPr>
        <w:t xml:space="preserve">sunt șterse </w:t>
      </w:r>
      <w:r>
        <w:rPr>
          <w:rFonts w:ascii="Times New Roman" w:hAnsi="Times New Roman"/>
          <w:noProof/>
          <w:sz w:val="24"/>
        </w:rPr>
        <w:t>de către furnizorii de servicii în termen de câteva zile, în concordanță cu obligațiile care le revin în ceea ce privește protecția datelor cu caracter personal și a vieții private sau cu nevoile lor comerciale;</w:t>
      </w:r>
    </w:p>
    <w:p w14:paraId="508F9C5D" w14:textId="77777777" w:rsidR="00E32F72" w:rsidRPr="00E8708D" w:rsidRDefault="00E32F72" w:rsidP="00E32F72">
      <w:pPr>
        <w:pStyle w:val="ListParagraph"/>
        <w:numPr>
          <w:ilvl w:val="0"/>
          <w:numId w:val="8"/>
        </w:numPr>
        <w:jc w:val="both"/>
        <w:rPr>
          <w:rFonts w:ascii="Times New Roman" w:hAnsi="Times New Roman" w:cs="Times New Roman"/>
          <w:noProof/>
          <w:sz w:val="24"/>
          <w:szCs w:val="24"/>
        </w:rPr>
      </w:pPr>
      <w:r w:rsidRPr="009828C5">
        <w:rPr>
          <w:rFonts w:ascii="Times New Roman" w:hAnsi="Times New Roman"/>
          <w:b/>
          <w:noProof/>
          <w:sz w:val="24"/>
        </w:rPr>
        <w:t xml:space="preserve">nu pot fi obținute </w:t>
      </w:r>
      <w:r>
        <w:rPr>
          <w:rFonts w:ascii="Times New Roman" w:hAnsi="Times New Roman"/>
          <w:noProof/>
          <w:sz w:val="24"/>
        </w:rPr>
        <w:t>din cauza conflictelor de legi dintre jurisdicții, deoarece fiecare țară are legi și reglementări diferite în ceea ce privește accesul la date, ceea ce face dificilă obținerea datelor stocate în străinătate;</w:t>
      </w:r>
    </w:p>
    <w:p w14:paraId="306E8210" w14:textId="77777777" w:rsidR="00E32F72" w:rsidRPr="00AE5FE8" w:rsidRDefault="00E32F72" w:rsidP="00E32F72">
      <w:pPr>
        <w:pStyle w:val="ListParagraph"/>
        <w:numPr>
          <w:ilvl w:val="0"/>
          <w:numId w:val="8"/>
        </w:numPr>
        <w:jc w:val="both"/>
        <w:rPr>
          <w:rFonts w:ascii="Times New Roman" w:hAnsi="Times New Roman"/>
          <w:noProof/>
          <w:sz w:val="24"/>
        </w:rPr>
      </w:pPr>
      <w:r w:rsidRPr="009828C5">
        <w:rPr>
          <w:rFonts w:ascii="Times New Roman" w:hAnsi="Times New Roman"/>
          <w:b/>
          <w:noProof/>
          <w:sz w:val="24"/>
        </w:rPr>
        <w:t>nu pot fi extrase</w:t>
      </w:r>
      <w:r>
        <w:rPr>
          <w:rFonts w:ascii="Times New Roman" w:hAnsi="Times New Roman"/>
          <w:noProof/>
          <w:sz w:val="24"/>
        </w:rPr>
        <w:t xml:space="preserve"> </w:t>
      </w:r>
      <w:r w:rsidRPr="009828C5">
        <w:rPr>
          <w:rFonts w:ascii="Times New Roman" w:hAnsi="Times New Roman"/>
          <w:b/>
          <w:noProof/>
          <w:sz w:val="24"/>
        </w:rPr>
        <w:t>de pe dispozitivele confiscate în cadrul anchetelor penale,</w:t>
      </w:r>
      <w:r>
        <w:rPr>
          <w:rFonts w:ascii="Times New Roman" w:hAnsi="Times New Roman"/>
          <w:noProof/>
          <w:sz w:val="24"/>
        </w:rPr>
        <w:t xml:space="preserve"> deoarece efectuarea </w:t>
      </w:r>
      <w:r w:rsidRPr="009828C5">
        <w:rPr>
          <w:rFonts w:ascii="Times New Roman" w:hAnsi="Times New Roman"/>
          <w:b/>
          <w:noProof/>
          <w:sz w:val="24"/>
        </w:rPr>
        <w:t>expertizei criminalistice digitale</w:t>
      </w:r>
      <w:r>
        <w:rPr>
          <w:rFonts w:ascii="Times New Roman" w:hAnsi="Times New Roman"/>
          <w:noProof/>
          <w:sz w:val="24"/>
        </w:rPr>
        <w:t xml:space="preserve"> este dificilă, dacă nu chiar imposibilă;</w:t>
      </w:r>
    </w:p>
    <w:p w14:paraId="1A807755" w14:textId="77777777" w:rsidR="00E32F72" w:rsidRPr="00AE5FE8" w:rsidRDefault="00E32F72" w:rsidP="00E32F72">
      <w:pPr>
        <w:pStyle w:val="ListParagraph"/>
        <w:numPr>
          <w:ilvl w:val="0"/>
          <w:numId w:val="8"/>
        </w:numPr>
        <w:jc w:val="both"/>
        <w:rPr>
          <w:rFonts w:ascii="Times New Roman" w:hAnsi="Times New Roman"/>
          <w:noProof/>
          <w:sz w:val="24"/>
        </w:rPr>
      </w:pPr>
      <w:r w:rsidRPr="009828C5">
        <w:rPr>
          <w:rFonts w:ascii="Times New Roman" w:hAnsi="Times New Roman"/>
          <w:b/>
          <w:noProof/>
          <w:sz w:val="24"/>
        </w:rPr>
        <w:t xml:space="preserve">nu pot fi citite </w:t>
      </w:r>
      <w:r>
        <w:rPr>
          <w:rFonts w:ascii="Times New Roman" w:hAnsi="Times New Roman"/>
          <w:noProof/>
          <w:sz w:val="24"/>
        </w:rPr>
        <w:t>deoarece datele sunt criptate;</w:t>
      </w:r>
    </w:p>
    <w:p w14:paraId="4D6EB159" w14:textId="77777777" w:rsidR="00E32F72" w:rsidRPr="00AE5FE8" w:rsidRDefault="00E32F72" w:rsidP="00E32F72">
      <w:pPr>
        <w:pStyle w:val="ListParagraph"/>
        <w:numPr>
          <w:ilvl w:val="0"/>
          <w:numId w:val="8"/>
        </w:numPr>
        <w:jc w:val="both"/>
        <w:rPr>
          <w:rFonts w:ascii="Times New Roman" w:hAnsi="Times New Roman"/>
          <w:noProof/>
          <w:sz w:val="24"/>
        </w:rPr>
      </w:pPr>
      <w:r w:rsidRPr="009828C5">
        <w:rPr>
          <w:rFonts w:ascii="Times New Roman" w:hAnsi="Times New Roman"/>
          <w:b/>
          <w:noProof/>
          <w:sz w:val="24"/>
        </w:rPr>
        <w:t xml:space="preserve">nu pot fi analizate în mod eficace și legal </w:t>
      </w:r>
      <w:r>
        <w:rPr>
          <w:rFonts w:ascii="Times New Roman" w:hAnsi="Times New Roman"/>
          <w:noProof/>
          <w:sz w:val="24"/>
        </w:rPr>
        <w:t>din cauza lipsei de tehnologii adecvate sau de resurse umane suficiente pentru a filtra și a analiza în mod eficace cantități mari de date confiscate, fără a aduce atingere cadrelor juridice ale UE și ale statelor membre.</w:t>
      </w:r>
    </w:p>
    <w:p w14:paraId="2A968963"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Pentru a răspunde acestor provocări, în </w:t>
      </w:r>
      <w:r w:rsidRPr="009828C5">
        <w:rPr>
          <w:rFonts w:ascii="Times New Roman" w:hAnsi="Times New Roman"/>
          <w:noProof/>
          <w:sz w:val="24"/>
        </w:rPr>
        <w:t>2023</w:t>
      </w:r>
      <w:r>
        <w:rPr>
          <w:rFonts w:ascii="Times New Roman" w:hAnsi="Times New Roman"/>
          <w:noProof/>
          <w:sz w:val="24"/>
        </w:rPr>
        <w:t xml:space="preserve"> a fost înființat un </w:t>
      </w:r>
      <w:r w:rsidRPr="009828C5">
        <w:rPr>
          <w:rFonts w:ascii="Times New Roman" w:hAnsi="Times New Roman"/>
          <w:b/>
          <w:noProof/>
          <w:sz w:val="24"/>
        </w:rPr>
        <w:t>Grup la nivel înalt privind accesul la date pentru asigurarea respectării legii</w:t>
      </w:r>
      <w:r>
        <w:rPr>
          <w:rFonts w:ascii="Times New Roman" w:hAnsi="Times New Roman"/>
          <w:noProof/>
          <w:sz w:val="24"/>
        </w:rPr>
        <w:t xml:space="preserve"> (Grupul la nivel înalt), care a prezentat un set de </w:t>
      </w:r>
      <w:r w:rsidRPr="009828C5">
        <w:rPr>
          <w:rFonts w:ascii="Times New Roman" w:hAnsi="Times New Roman"/>
          <w:noProof/>
          <w:sz w:val="24"/>
        </w:rPr>
        <w:t>42</w:t>
      </w:r>
      <w:r>
        <w:rPr>
          <w:rFonts w:ascii="Times New Roman" w:hAnsi="Times New Roman"/>
          <w:noProof/>
          <w:sz w:val="24"/>
        </w:rPr>
        <w:t xml:space="preserve"> de recomandări în mai și noiembrie </w:t>
      </w:r>
      <w:r w:rsidRPr="009828C5">
        <w:rPr>
          <w:rFonts w:ascii="Times New Roman" w:hAnsi="Times New Roman"/>
          <w:noProof/>
          <w:sz w:val="24"/>
        </w:rPr>
        <w:t>2024</w:t>
      </w:r>
      <w:r>
        <w:rPr>
          <w:rFonts w:ascii="Times New Roman" w:hAnsi="Times New Roman"/>
          <w:noProof/>
          <w:sz w:val="24"/>
        </w:rPr>
        <w:t xml:space="preserve">. </w:t>
      </w:r>
      <w:r w:rsidRPr="009828C5">
        <w:rPr>
          <w:rFonts w:ascii="Times New Roman" w:hAnsi="Times New Roman"/>
          <w:b/>
          <w:noProof/>
          <w:sz w:val="24"/>
        </w:rPr>
        <w:t>Consiliul Justiție și Afaceri Interne</w:t>
      </w:r>
      <w:r>
        <w:rPr>
          <w:rFonts w:ascii="Times New Roman" w:hAnsi="Times New Roman"/>
          <w:noProof/>
          <w:sz w:val="24"/>
        </w:rPr>
        <w:t> </w:t>
      </w:r>
      <w:r w:rsidRPr="009828C5">
        <w:rPr>
          <w:rFonts w:ascii="Times New Roman" w:hAnsi="Times New Roman"/>
          <w:b/>
          <w:noProof/>
          <w:sz w:val="24"/>
        </w:rPr>
        <w:t>al UE</w:t>
      </w:r>
      <w:r>
        <w:rPr>
          <w:rFonts w:ascii="Times New Roman" w:hAnsi="Times New Roman"/>
          <w:noProof/>
          <w:sz w:val="24"/>
        </w:rPr>
        <w:t xml:space="preserve"> a aprobat recomandările Grupului la nivel înalt</w:t>
      </w:r>
      <w:r>
        <w:rPr>
          <w:rFonts w:ascii="Times New Roman" w:hAnsi="Times New Roman"/>
          <w:noProof/>
          <w:sz w:val="24"/>
          <w:vertAlign w:val="superscript"/>
        </w:rPr>
        <w:footnoteReference w:id="9"/>
      </w:r>
      <w:r>
        <w:rPr>
          <w:rFonts w:ascii="Times New Roman" w:hAnsi="Times New Roman"/>
          <w:noProof/>
          <w:sz w:val="24"/>
        </w:rPr>
        <w:t xml:space="preserve"> la </w:t>
      </w:r>
      <w:r w:rsidRPr="009828C5">
        <w:rPr>
          <w:rFonts w:ascii="Times New Roman" w:hAnsi="Times New Roman"/>
          <w:noProof/>
          <w:sz w:val="24"/>
        </w:rPr>
        <w:t>13</w:t>
      </w:r>
      <w:r>
        <w:rPr>
          <w:rFonts w:ascii="Times New Roman" w:hAnsi="Times New Roman"/>
          <w:noProof/>
          <w:sz w:val="24"/>
        </w:rPr>
        <w:t xml:space="preserve"> iunie </w:t>
      </w:r>
      <w:r w:rsidRPr="009828C5">
        <w:rPr>
          <w:rFonts w:ascii="Times New Roman" w:hAnsi="Times New Roman"/>
          <w:noProof/>
          <w:sz w:val="24"/>
        </w:rPr>
        <w:t>2024</w:t>
      </w:r>
      <w:r>
        <w:rPr>
          <w:rFonts w:ascii="Times New Roman" w:hAnsi="Times New Roman"/>
          <w:noProof/>
          <w:sz w:val="24"/>
        </w:rPr>
        <w:t xml:space="preserve"> și, ulterior, în decembrie </w:t>
      </w:r>
      <w:r w:rsidRPr="009828C5">
        <w:rPr>
          <w:rFonts w:ascii="Times New Roman" w:hAnsi="Times New Roman"/>
          <w:noProof/>
          <w:sz w:val="24"/>
        </w:rPr>
        <w:t>2024</w:t>
      </w:r>
      <w:r>
        <w:rPr>
          <w:rFonts w:ascii="Times New Roman" w:hAnsi="Times New Roman"/>
          <w:noProof/>
          <w:sz w:val="24"/>
        </w:rPr>
        <w:t>, a adoptat concluzii prin care invită Comisia să elaboreze o foaie de parcurs. Foaia de parcurs urma să se bazeze pe activitatea Grupului la nivel înalt și pe recomandările acestuia în ceea ce privește punerea în aplicare a unor măsuri care să asigure accesul legal și efectiv la date pentru asigurarea respectării legii</w:t>
      </w:r>
      <w:r>
        <w:rPr>
          <w:rFonts w:ascii="Times New Roman" w:hAnsi="Times New Roman"/>
          <w:noProof/>
          <w:sz w:val="24"/>
          <w:vertAlign w:val="superscript"/>
        </w:rPr>
        <w:footnoteReference w:id="10"/>
      </w:r>
      <w:r>
        <w:rPr>
          <w:rFonts w:ascii="Times New Roman" w:hAnsi="Times New Roman"/>
          <w:noProof/>
          <w:sz w:val="24"/>
        </w:rPr>
        <w:t>. Prezenta comunicare răspunde acestei solicitări.</w:t>
      </w:r>
    </w:p>
    <w:p w14:paraId="6C215D93"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Pe măsură ce digitalizarea devine din ce în ce mai răspândită și le oferă infractorilor o sursă tot mai mare de noi instrumente, este esențial să existe un cadru pentru </w:t>
      </w:r>
      <w:r w:rsidRPr="009828C5">
        <w:rPr>
          <w:rFonts w:ascii="Times New Roman" w:hAnsi="Times New Roman"/>
          <w:b/>
          <w:noProof/>
          <w:sz w:val="24"/>
        </w:rPr>
        <w:t>accesul legal la date</w:t>
      </w:r>
      <w:r>
        <w:rPr>
          <w:rFonts w:ascii="Times New Roman" w:hAnsi="Times New Roman"/>
          <w:noProof/>
          <w:sz w:val="24"/>
        </w:rPr>
        <w:t xml:space="preserve"> cu scopul de a se asigura că infractorii sunt aduși în fața justiției. „Accesul legal” la care se referă prezenta foaie de parcurs reprezintă accesul, în conformitate cu legea, la informațiile digitale de care autoritățile de aplicare a legii au nevoie în scopul prevenirii, investigării, depistării sau urmăririi penale a infracțiunilor sau al executării pedepselor, inclusiv al protejării împotriva amenințărilor la adresa siguranței publice și al prevenirii acestora.</w:t>
      </w:r>
    </w:p>
    <w:p w14:paraId="570FBC99" w14:textId="77777777" w:rsidR="00E32F72" w:rsidRPr="00B03188" w:rsidRDefault="00E32F72" w:rsidP="00E32F72">
      <w:pPr>
        <w:jc w:val="both"/>
        <w:rPr>
          <w:noProof/>
          <w:color w:val="333333"/>
          <w:sz w:val="27"/>
          <w:szCs w:val="27"/>
          <w:shd w:val="clear" w:color="auto" w:fill="FFFFFF"/>
        </w:rPr>
      </w:pPr>
      <w:r>
        <w:rPr>
          <w:rFonts w:ascii="Times New Roman" w:hAnsi="Times New Roman"/>
          <w:noProof/>
          <w:sz w:val="24"/>
        </w:rPr>
        <w:t xml:space="preserve">Pentru a fi legal, accesul la date trebuie să fie </w:t>
      </w:r>
      <w:r w:rsidRPr="009828C5">
        <w:rPr>
          <w:rFonts w:ascii="Times New Roman" w:hAnsi="Times New Roman"/>
          <w:b/>
          <w:noProof/>
          <w:sz w:val="24"/>
        </w:rPr>
        <w:t>necesar și proporțional și să respecte drepturile fundamentale</w:t>
      </w:r>
      <w:r>
        <w:rPr>
          <w:rFonts w:ascii="Times New Roman" w:hAnsi="Times New Roman"/>
          <w:noProof/>
          <w:sz w:val="24"/>
        </w:rPr>
        <w:t xml:space="preserve">, asigurând protecția adecvată a vieții private și a datelor cu caracter personal. Accesul trebuie să se bazeze pe norme </w:t>
      </w:r>
      <w:r w:rsidRPr="009828C5">
        <w:rPr>
          <w:rFonts w:ascii="Times New Roman" w:hAnsi="Times New Roman"/>
          <w:b/>
          <w:noProof/>
          <w:sz w:val="24"/>
        </w:rPr>
        <w:t>clare, precise și accesibile, prevăzute de lege</w:t>
      </w:r>
      <w:r>
        <w:rPr>
          <w:rFonts w:ascii="Times New Roman" w:hAnsi="Times New Roman"/>
          <w:noProof/>
          <w:sz w:val="24"/>
        </w:rPr>
        <w:t xml:space="preserve">, să fie supus unor </w:t>
      </w:r>
      <w:r w:rsidRPr="009828C5">
        <w:rPr>
          <w:rFonts w:ascii="Times New Roman" w:hAnsi="Times New Roman"/>
          <w:b/>
          <w:noProof/>
          <w:sz w:val="24"/>
        </w:rPr>
        <w:t>mecanisme independente de supraveghere</w:t>
      </w:r>
      <w:r>
        <w:rPr>
          <w:rFonts w:ascii="Times New Roman" w:hAnsi="Times New Roman"/>
          <w:noProof/>
          <w:sz w:val="24"/>
        </w:rPr>
        <w:t xml:space="preserve"> și să permită </w:t>
      </w:r>
      <w:r w:rsidRPr="009828C5">
        <w:rPr>
          <w:rFonts w:ascii="Times New Roman" w:hAnsi="Times New Roman"/>
          <w:b/>
          <w:noProof/>
          <w:sz w:val="24"/>
        </w:rPr>
        <w:t>căi de atac eficace</w:t>
      </w:r>
      <w:r>
        <w:rPr>
          <w:rFonts w:ascii="Times New Roman" w:hAnsi="Times New Roman"/>
          <w:noProof/>
          <w:sz w:val="24"/>
        </w:rPr>
        <w:t xml:space="preserve"> pentru persoanele care pot fi afectate de accesul la datele lor.</w:t>
      </w:r>
      <w:r>
        <w:rPr>
          <w:noProof/>
          <w:color w:val="333333"/>
          <w:sz w:val="27"/>
          <w:shd w:val="clear" w:color="auto" w:fill="FFFFFF"/>
        </w:rPr>
        <w:t xml:space="preserve"> </w:t>
      </w:r>
      <w:r>
        <w:rPr>
          <w:rFonts w:ascii="Times New Roman" w:hAnsi="Times New Roman"/>
          <w:noProof/>
          <w:sz w:val="24"/>
        </w:rPr>
        <w:t xml:space="preserve">Asigurarea </w:t>
      </w:r>
      <w:r w:rsidRPr="009828C5">
        <w:rPr>
          <w:rFonts w:ascii="Times New Roman" w:hAnsi="Times New Roman"/>
          <w:b/>
          <w:noProof/>
          <w:sz w:val="24"/>
        </w:rPr>
        <w:t>securității cibernetice</w:t>
      </w:r>
      <w:r>
        <w:rPr>
          <w:rFonts w:ascii="Times New Roman" w:hAnsi="Times New Roman"/>
          <w:noProof/>
          <w:sz w:val="24"/>
        </w:rPr>
        <w:t xml:space="preserve"> a sistemelor digitale împotriva accesului neautorizat este, de asemenea, importantă pentru protecția împotriva amenințărilor la adresa securității cibernetice.</w:t>
      </w:r>
    </w:p>
    <w:p w14:paraId="11C31E83" w14:textId="77777777" w:rsidR="00E32F72" w:rsidRPr="00C81A9D" w:rsidRDefault="00E32F72" w:rsidP="00C81A9D">
      <w:pPr>
        <w:keepNext/>
        <w:numPr>
          <w:ilvl w:val="0"/>
          <w:numId w:val="1"/>
        </w:numPr>
        <w:spacing w:after="120" w:line="240" w:lineRule="auto"/>
        <w:ind w:left="567" w:hanging="567"/>
        <w:jc w:val="both"/>
        <w:rPr>
          <w:rFonts w:ascii="Times New Roman" w:hAnsi="Times New Roman"/>
          <w:b/>
          <w:noProof/>
          <w:sz w:val="24"/>
          <w:u w:val="single"/>
        </w:rPr>
      </w:pPr>
      <w:r w:rsidRPr="00C81A9D">
        <w:rPr>
          <w:rFonts w:ascii="Times New Roman" w:hAnsi="Times New Roman"/>
          <w:b/>
          <w:noProof/>
          <w:sz w:val="24"/>
          <w:u w:val="single"/>
        </w:rPr>
        <w:t>Asigurarea disponibilității probelor digitale: păstrarea datelor</w:t>
      </w:r>
      <w:r>
        <w:rPr>
          <w:rStyle w:val="FootnoteReference"/>
          <w:noProof/>
          <w:szCs w:val="24"/>
        </w:rPr>
        <w:footnoteReference w:id="11"/>
      </w:r>
    </w:p>
    <w:p w14:paraId="057654C5"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 xml:space="preserve">În Spania, o anchetă penală privind dispariția unei tinere a fost soluționată în </w:t>
      </w:r>
      <w:r w:rsidRPr="009828C5">
        <w:rPr>
          <w:rFonts w:ascii="Times New Roman" w:hAnsi="Times New Roman"/>
          <w:noProof/>
          <w:sz w:val="24"/>
        </w:rPr>
        <w:t>2019</w:t>
      </w:r>
      <w:r>
        <w:rPr>
          <w:rFonts w:ascii="Times New Roman" w:hAnsi="Times New Roman"/>
          <w:noProof/>
          <w:sz w:val="24"/>
        </w:rPr>
        <w:t xml:space="preserve"> datorită datelor de localizare stocate de un furnizor de servicii de comunicații în concordanță cu o obligație legală la nivel național. Aceste date au permis anchetatorilor să localizeze femeia dispărută, să stabilească faptul că suspectul de răpire se afla, de asemenea, în zona respectivă și să excludă alți suspecți</w:t>
      </w:r>
      <w:r>
        <w:rPr>
          <w:rStyle w:val="FootnoteReference"/>
          <w:noProof/>
          <w:szCs w:val="24"/>
        </w:rPr>
        <w:footnoteReference w:id="12"/>
      </w:r>
      <w:r>
        <w:rPr>
          <w:rFonts w:ascii="Times New Roman" w:hAnsi="Times New Roman"/>
          <w:noProof/>
          <w:sz w:val="24"/>
        </w:rPr>
        <w:t>. Datele de comunicații care nu se referă la conținut (de exemplu, informațiile privind abonații, datele de localizare și data, ora, durata, expeditorul și destinatarul, precum și dimensiunea comunicării) sunt esențiale în majoritatea anchetelor și urmăririlor penale. Aceste date pot fi decisive pentru identificarea și localizarea victimelor, a persoanelor suspectate și acuzate, făcând lumină în privința unei infracțiuni săvârșite și contribuind inclusiv la excluderea suspecților.</w:t>
      </w:r>
    </w:p>
    <w:p w14:paraId="279EC07E" w14:textId="41C2F226" w:rsidR="00E32F72" w:rsidRPr="00AE5FE8" w:rsidRDefault="00E32F72" w:rsidP="00E32F72">
      <w:pPr>
        <w:jc w:val="both"/>
        <w:rPr>
          <w:rFonts w:ascii="Times New Roman" w:hAnsi="Times New Roman"/>
          <w:noProof/>
          <w:sz w:val="24"/>
        </w:rPr>
      </w:pPr>
      <w:r>
        <w:rPr>
          <w:rFonts w:ascii="Times New Roman" w:hAnsi="Times New Roman"/>
          <w:noProof/>
          <w:sz w:val="24"/>
        </w:rPr>
        <w:t>În concordanță cu legislația UE privind protecția vieții private și a datelor, furnizorii de servicii de comunicații electronice pot stoca date de comunicații care nu se referă la conținut și care trec prin sistemele lor numai atât timp cât acest lucru este necesar în scopuri profesionale specificate, explicite și legitime. Totuși, obligațiile legale le pot impune să păstreze (sau „să stocheze”) aceste date în alte scopuri, de exemplu dacă sunt necesare pentru prevenirea, investigarea, depistarea și urmărirea penală a infracțiunilor.</w:t>
      </w:r>
    </w:p>
    <w:p w14:paraId="104B5AB9"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Întrucât Directiva UE privind păstrarea datelor</w:t>
      </w:r>
      <w:r>
        <w:rPr>
          <w:rFonts w:ascii="Times New Roman" w:hAnsi="Times New Roman" w:cs="Times New Roman"/>
          <w:noProof/>
          <w:sz w:val="24"/>
          <w:szCs w:val="24"/>
          <w:vertAlign w:val="superscript"/>
        </w:rPr>
        <w:footnoteReference w:id="13"/>
      </w:r>
      <w:r>
        <w:rPr>
          <w:rFonts w:ascii="Times New Roman" w:hAnsi="Times New Roman"/>
          <w:noProof/>
          <w:sz w:val="24"/>
        </w:rPr>
        <w:t xml:space="preserve"> a fost invalidată în </w:t>
      </w:r>
      <w:r w:rsidRPr="009828C5">
        <w:rPr>
          <w:rFonts w:ascii="Times New Roman" w:hAnsi="Times New Roman"/>
          <w:noProof/>
          <w:sz w:val="24"/>
        </w:rPr>
        <w:t>2014</w:t>
      </w:r>
      <w:r>
        <w:rPr>
          <w:rStyle w:val="FootnoteReference"/>
          <w:noProof/>
          <w:szCs w:val="24"/>
        </w:rPr>
        <w:footnoteReference w:id="14"/>
      </w:r>
      <w:r>
        <w:rPr>
          <w:rFonts w:ascii="Times New Roman" w:hAnsi="Times New Roman"/>
          <w:noProof/>
          <w:sz w:val="24"/>
        </w:rPr>
        <w:t>, peisajul legislativ al UE în ceea ce privește obligarea furnizorilor de servicii să stocheze date a devenit fragmentat și inegal. Cadrele de păstrare a datelor din statele membre diferă în ceea ce privește tipurile de comunicații electronice pe care furnizorii de servicii trebuie să le păstreze, categoriile de date vizate și perioadele de păstrare necesare</w:t>
      </w:r>
      <w:r>
        <w:rPr>
          <w:rStyle w:val="FootnoteReference"/>
          <w:noProof/>
          <w:szCs w:val="24"/>
        </w:rPr>
        <w:footnoteReference w:id="15"/>
      </w:r>
      <w:r>
        <w:rPr>
          <w:rFonts w:ascii="Times New Roman" w:hAnsi="Times New Roman"/>
          <w:noProof/>
          <w:sz w:val="24"/>
        </w:rPr>
        <w:t>. În plus, unele state membre nu au nicio legislație privind păstrarea datelor. Autoritățile de aplicare a legii și autoritățile judiciare se confruntă cu obstacole juridice și operaționale în calea desfășurării activității lor. Furnizorii de comunicații electronice, în special furnizorii mai mici, se confruntă, de asemenea, cu costuri și obstacole suplimentare atunci când își furnizează serviciile în întreaga UE, deoarece sunt obligați să respecte cerințe legale diferite de la un stat membru la altul.</w:t>
      </w:r>
    </w:p>
    <w:p w14:paraId="35E4207B" w14:textId="4F1BCA90" w:rsidR="00E32F72" w:rsidRPr="00AE5FE8" w:rsidRDefault="00E32F72" w:rsidP="00E32F72">
      <w:pPr>
        <w:spacing w:after="0"/>
        <w:jc w:val="both"/>
        <w:rPr>
          <w:rFonts w:ascii="Times New Roman" w:hAnsi="Times New Roman"/>
          <w:noProof/>
          <w:sz w:val="24"/>
        </w:rPr>
      </w:pPr>
      <w:r>
        <w:rPr>
          <w:rFonts w:ascii="Times New Roman" w:hAnsi="Times New Roman"/>
          <w:noProof/>
          <w:sz w:val="24"/>
        </w:rPr>
        <w:t xml:space="preserve">Prin urmare, Grupul la nivel înalt a recomandat instituirea </w:t>
      </w:r>
      <w:r w:rsidRPr="00C81A9D">
        <w:rPr>
          <w:rFonts w:ascii="Times New Roman" w:hAnsi="Times New Roman"/>
          <w:b/>
          <w:noProof/>
          <w:sz w:val="24"/>
          <w:u w:val="single"/>
        </w:rPr>
        <w:t>unui cadru armonizat la nivelul UE privind păstrarea datelor</w:t>
      </w:r>
      <w:r w:rsidRPr="009828C5">
        <w:rPr>
          <w:rFonts w:ascii="Times New Roman" w:hAnsi="Times New Roman"/>
          <w:b/>
          <w:noProof/>
          <w:sz w:val="24"/>
        </w:rPr>
        <w:t xml:space="preserve"> </w:t>
      </w:r>
      <w:r>
        <w:rPr>
          <w:rFonts w:ascii="Times New Roman" w:hAnsi="Times New Roman"/>
          <w:noProof/>
          <w:sz w:val="24"/>
        </w:rPr>
        <w:t>în vederea asigurării disponibilității probelor digitale necesare pentru investigarea și urmărirea penală a infracțiunilor. Un regim armonizat la nivelul UE ar viza limitarea fragmentării între statele membre în ceea ce privește normele privind păstrarea și garanțiile referitoare la drepturile fundamentale, în special dreptul la viață privată și la protecția datelor, precum și dreptul la apărare, inclusiv dreptul la un proces echitabil. Un astfel de cadru juridic ar asigura astfel și securitatea juridică pentru autoritățile competente, pe de o parte, și pentru furnizorii de servicii, pe de altă parte</w:t>
      </w:r>
      <w:r>
        <w:rPr>
          <w:rStyle w:val="FootnoteReference"/>
          <w:bCs/>
          <w:noProof/>
          <w:szCs w:val="24"/>
        </w:rPr>
        <w:footnoteReference w:id="16"/>
      </w:r>
      <w:r>
        <w:rPr>
          <w:rFonts w:ascii="Times New Roman" w:hAnsi="Times New Roman"/>
          <w:noProof/>
          <w:sz w:val="24"/>
        </w:rPr>
        <w:t>.</w:t>
      </w:r>
    </w:p>
    <w:p w14:paraId="0BBEEE25" w14:textId="77777777" w:rsidR="00E32F72" w:rsidRPr="00AE5FE8" w:rsidRDefault="00E32F72" w:rsidP="00E32F72">
      <w:pPr>
        <w:spacing w:after="0"/>
        <w:jc w:val="both"/>
        <w:rPr>
          <w:noProof/>
        </w:rPr>
      </w:pPr>
    </w:p>
    <w:tbl>
      <w:tblPr>
        <w:tblStyle w:val="TableGrid"/>
        <w:tblW w:w="0" w:type="auto"/>
        <w:tblLook w:val="04A0" w:firstRow="1" w:lastRow="0" w:firstColumn="1" w:lastColumn="0" w:noHBand="0" w:noVBand="1"/>
      </w:tblPr>
      <w:tblGrid>
        <w:gridCol w:w="9016"/>
      </w:tblGrid>
      <w:tr w:rsidR="00E32F72" w:rsidRPr="00B03188" w14:paraId="1C5DF56D" w14:textId="77777777" w:rsidTr="00C81626">
        <w:tc>
          <w:tcPr>
            <w:tcW w:w="9166" w:type="dxa"/>
          </w:tcPr>
          <w:p w14:paraId="36C2C4A7" w14:textId="77777777" w:rsidR="00E32F72" w:rsidRPr="00C81A9D" w:rsidRDefault="00E32F72" w:rsidP="00C81626">
            <w:pPr>
              <w:spacing w:after="120"/>
              <w:rPr>
                <w:rFonts w:ascii="Times New Roman" w:hAnsi="Times New Roman" w:cs="Times New Roman"/>
                <w:b/>
                <w:i/>
                <w:noProof/>
                <w:color w:val="000000"/>
                <w:sz w:val="24"/>
                <w:szCs w:val="24"/>
              </w:rPr>
            </w:pPr>
            <w:r w:rsidRPr="00C81A9D">
              <w:rPr>
                <w:rFonts w:ascii="Times New Roman" w:hAnsi="Times New Roman"/>
                <w:b/>
                <w:i/>
                <w:noProof/>
                <w:color w:val="000000"/>
                <w:sz w:val="24"/>
              </w:rPr>
              <w:t>Acțiune-cheie</w:t>
            </w:r>
          </w:p>
          <w:p w14:paraId="68FF11E2" w14:textId="77777777" w:rsidR="00E32F72" w:rsidRPr="009828C5" w:rsidRDefault="00E32F72" w:rsidP="00E32F72">
            <w:pPr>
              <w:pStyle w:val="ListParagraph"/>
              <w:numPr>
                <w:ilvl w:val="0"/>
                <w:numId w:val="25"/>
              </w:numPr>
              <w:spacing w:after="120"/>
              <w:jc w:val="both"/>
              <w:rPr>
                <w:rFonts w:ascii="Times New Roman" w:eastAsia="Times New Roman" w:hAnsi="Times New Roman" w:cs="Times New Roman"/>
                <w:b/>
                <w:bCs/>
                <w:noProof/>
                <w:sz w:val="24"/>
                <w:szCs w:val="24"/>
              </w:rPr>
            </w:pPr>
            <w:r w:rsidRPr="009828C5">
              <w:rPr>
                <w:rFonts w:ascii="Times New Roman" w:hAnsi="Times New Roman"/>
                <w:b/>
                <w:noProof/>
                <w:sz w:val="24"/>
              </w:rPr>
              <w:t xml:space="preserve">În 2025, </w:t>
            </w:r>
            <w:r w:rsidRPr="00C81A9D">
              <w:rPr>
                <w:rFonts w:ascii="Times New Roman" w:hAnsi="Times New Roman"/>
                <w:b/>
                <w:noProof/>
                <w:sz w:val="24"/>
                <w:u w:val="single"/>
              </w:rPr>
              <w:t>Comisia</w:t>
            </w:r>
            <w:r w:rsidRPr="009828C5">
              <w:rPr>
                <w:rFonts w:ascii="Times New Roman" w:hAnsi="Times New Roman"/>
                <w:b/>
                <w:noProof/>
                <w:sz w:val="24"/>
              </w:rPr>
              <w:t xml:space="preserve"> va elabora o evaluare a impactului în vederea actualizării normelor UE privind păstrarea datelor, după caz.</w:t>
            </w:r>
          </w:p>
        </w:tc>
      </w:tr>
    </w:tbl>
    <w:p w14:paraId="5B9D26C5" w14:textId="77777777" w:rsidR="00E32F72" w:rsidRPr="00AE5FE8" w:rsidRDefault="00E32F72" w:rsidP="00E32F72">
      <w:pPr>
        <w:spacing w:after="0"/>
        <w:jc w:val="both"/>
        <w:rPr>
          <w:rFonts w:ascii="Times New Roman" w:hAnsi="Times New Roman"/>
          <w:noProof/>
          <w:sz w:val="24"/>
        </w:rPr>
      </w:pPr>
    </w:p>
    <w:p w14:paraId="36E53B0B"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Grupul la nivel înalt a identificat necesitatea de a </w:t>
      </w:r>
      <w:r w:rsidRPr="00C81A9D">
        <w:rPr>
          <w:rFonts w:ascii="Times New Roman" w:hAnsi="Times New Roman"/>
          <w:b/>
          <w:noProof/>
          <w:sz w:val="24"/>
          <w:u w:val="single"/>
        </w:rPr>
        <w:t>consolida sinergiile dintre practicienii din domeniul aplicării legii și furnizorii de servicii</w:t>
      </w:r>
      <w:r>
        <w:rPr>
          <w:rStyle w:val="FootnoteReference"/>
          <w:noProof/>
        </w:rPr>
        <w:footnoteReference w:id="17"/>
      </w:r>
      <w:r>
        <w:rPr>
          <w:rFonts w:ascii="Times New Roman" w:hAnsi="Times New Roman"/>
          <w:noProof/>
          <w:sz w:val="24"/>
        </w:rPr>
        <w:t>.</w:t>
      </w:r>
    </w:p>
    <w:p w14:paraId="1316E8EB"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În acest scop, </w:t>
      </w:r>
      <w:r w:rsidRPr="009828C5">
        <w:rPr>
          <w:rFonts w:ascii="Times New Roman" w:hAnsi="Times New Roman"/>
          <w:b/>
          <w:noProof/>
          <w:sz w:val="24"/>
        </w:rPr>
        <w:t>Agenția</w:t>
      </w:r>
      <w:r>
        <w:rPr>
          <w:rFonts w:ascii="Times New Roman" w:hAnsi="Times New Roman"/>
          <w:noProof/>
          <w:sz w:val="24"/>
        </w:rPr>
        <w:t xml:space="preserve"> </w:t>
      </w:r>
      <w:r w:rsidRPr="009828C5">
        <w:rPr>
          <w:rFonts w:ascii="Times New Roman" w:hAnsi="Times New Roman"/>
          <w:b/>
          <w:noProof/>
          <w:sz w:val="24"/>
        </w:rPr>
        <w:t xml:space="preserve">Uniunii Europene pentru Cooperare în Materie de Aplicare a Legii (Europol) și Agenția Uniunii Europene pentru Cooperare în Materie de Justiție Penală (Eurojust) </w:t>
      </w:r>
      <w:r>
        <w:rPr>
          <w:rFonts w:ascii="Times New Roman" w:hAnsi="Times New Roman"/>
          <w:noProof/>
          <w:sz w:val="24"/>
        </w:rPr>
        <w:t>sunt invitate să își continue și să își extindă eforturile</w:t>
      </w:r>
      <w:r w:rsidRPr="009828C5">
        <w:rPr>
          <w:rFonts w:ascii="Times New Roman" w:hAnsi="Times New Roman"/>
          <w:b/>
          <w:noProof/>
          <w:sz w:val="24"/>
        </w:rPr>
        <w:t xml:space="preserve"> pentru a facilita cooperarea și schimbul de informații și de bune practici dintre practicieni și furnizorii de servicii </w:t>
      </w:r>
      <w:r>
        <w:rPr>
          <w:rFonts w:ascii="Times New Roman" w:hAnsi="Times New Roman"/>
          <w:noProof/>
          <w:sz w:val="24"/>
        </w:rPr>
        <w:t xml:space="preserve">prin intermediul </w:t>
      </w:r>
      <w:r w:rsidRPr="009828C5">
        <w:rPr>
          <w:rFonts w:ascii="Times New Roman" w:hAnsi="Times New Roman"/>
          <w:b/>
          <w:noProof/>
          <w:sz w:val="24"/>
        </w:rPr>
        <w:t>proiectului SIRIUS</w:t>
      </w:r>
      <w:r>
        <w:rPr>
          <w:rStyle w:val="FootnoteReference"/>
          <w:noProof/>
        </w:rPr>
        <w:footnoteReference w:id="18"/>
      </w:r>
      <w:r>
        <w:rPr>
          <w:rFonts w:ascii="Times New Roman" w:hAnsi="Times New Roman"/>
          <w:noProof/>
          <w:sz w:val="24"/>
        </w:rPr>
        <w:t xml:space="preserve">, cu sprijinul continuu al Comisiei. Proiectul SIRIUS a devenit cea mai importantă sursă de informații </w:t>
      </w:r>
      <w:r w:rsidRPr="009828C5">
        <w:rPr>
          <w:rFonts w:ascii="Times New Roman" w:hAnsi="Times New Roman"/>
          <w:b/>
          <w:noProof/>
          <w:sz w:val="24"/>
        </w:rPr>
        <w:t>pentru sprijinirea practicienilor din domeniul aplicării legii și a autorităților judiciare din UE și din afara acesteia în ceea ce privește accesarea probelor electronice</w:t>
      </w:r>
      <w:r>
        <w:rPr>
          <w:rFonts w:ascii="Times New Roman" w:hAnsi="Times New Roman"/>
          <w:noProof/>
          <w:sz w:val="24"/>
        </w:rPr>
        <w:t xml:space="preserve"> </w:t>
      </w:r>
      <w:r w:rsidRPr="009828C5">
        <w:rPr>
          <w:rFonts w:ascii="Times New Roman" w:hAnsi="Times New Roman"/>
          <w:b/>
          <w:noProof/>
          <w:sz w:val="24"/>
        </w:rPr>
        <w:t>stocate de furnizorii de servicii online</w:t>
      </w:r>
      <w:r>
        <w:rPr>
          <w:rFonts w:ascii="Times New Roman" w:hAnsi="Times New Roman"/>
          <w:noProof/>
          <w:sz w:val="24"/>
        </w:rPr>
        <w:t xml:space="preserve"> cu sediul în țări terțe. Platforma SIRIUS are peste </w:t>
      </w:r>
      <w:r w:rsidRPr="009828C5">
        <w:rPr>
          <w:rFonts w:ascii="Times New Roman" w:hAnsi="Times New Roman"/>
          <w:noProof/>
          <w:sz w:val="24"/>
        </w:rPr>
        <w:t>8</w:t>
      </w:r>
      <w:r>
        <w:rPr>
          <w:rFonts w:ascii="Times New Roman" w:hAnsi="Times New Roman"/>
          <w:noProof/>
          <w:sz w:val="24"/>
        </w:rPr>
        <w:t> </w:t>
      </w:r>
      <w:r w:rsidRPr="009828C5">
        <w:rPr>
          <w:rFonts w:ascii="Times New Roman" w:hAnsi="Times New Roman"/>
          <w:noProof/>
          <w:sz w:val="24"/>
        </w:rPr>
        <w:t>000</w:t>
      </w:r>
      <w:r>
        <w:rPr>
          <w:rFonts w:ascii="Times New Roman" w:hAnsi="Times New Roman"/>
          <w:noProof/>
          <w:sz w:val="24"/>
        </w:rPr>
        <w:t xml:space="preserve"> de membri din comunitățile de aplicare a legii și judiciare, reprezentând </w:t>
      </w:r>
      <w:r w:rsidRPr="009828C5">
        <w:rPr>
          <w:rFonts w:ascii="Times New Roman" w:hAnsi="Times New Roman"/>
          <w:noProof/>
          <w:sz w:val="24"/>
        </w:rPr>
        <w:t>47</w:t>
      </w:r>
      <w:r>
        <w:rPr>
          <w:rFonts w:ascii="Times New Roman" w:hAnsi="Times New Roman"/>
          <w:noProof/>
          <w:sz w:val="24"/>
        </w:rPr>
        <w:t xml:space="preserve"> de țări din întreaga lume, și a sprijinit în mod direct aproape </w:t>
      </w:r>
      <w:r w:rsidRPr="009828C5">
        <w:rPr>
          <w:rFonts w:ascii="Times New Roman" w:hAnsi="Times New Roman"/>
          <w:noProof/>
          <w:sz w:val="24"/>
        </w:rPr>
        <w:t>70</w:t>
      </w:r>
      <w:r>
        <w:rPr>
          <w:rFonts w:ascii="Times New Roman" w:hAnsi="Times New Roman"/>
          <w:noProof/>
          <w:sz w:val="24"/>
        </w:rPr>
        <w:t xml:space="preserve"> de operațiuni polițienești.</w:t>
      </w:r>
    </w:p>
    <w:p w14:paraId="70F243A1" w14:textId="77777777" w:rsidR="00E32F72" w:rsidRPr="00AE5FE8" w:rsidRDefault="00E32F72" w:rsidP="00E32F72">
      <w:pPr>
        <w:jc w:val="both"/>
        <w:rPr>
          <w:rFonts w:ascii="Times New Roman" w:hAnsi="Times New Roman"/>
          <w:noProof/>
          <w:color w:val="000000" w:themeColor="text1"/>
          <w:sz w:val="24"/>
        </w:rPr>
      </w:pPr>
      <w:r>
        <w:rPr>
          <w:rFonts w:ascii="Times New Roman" w:hAnsi="Times New Roman"/>
          <w:noProof/>
          <w:sz w:val="24"/>
        </w:rPr>
        <w:t>În același scop, Europol și Eurojust</w:t>
      </w:r>
      <w:r w:rsidRPr="009828C5">
        <w:rPr>
          <w:rFonts w:ascii="Times New Roman" w:hAnsi="Times New Roman"/>
          <w:b/>
          <w:noProof/>
          <w:sz w:val="24"/>
        </w:rPr>
        <w:t xml:space="preserve"> </w:t>
      </w:r>
      <w:r>
        <w:rPr>
          <w:rFonts w:ascii="Times New Roman" w:hAnsi="Times New Roman"/>
          <w:noProof/>
          <w:sz w:val="24"/>
        </w:rPr>
        <w:t xml:space="preserve">ar trebui să utilizeze </w:t>
      </w:r>
      <w:r>
        <w:rPr>
          <w:rFonts w:ascii="Times New Roman" w:hAnsi="Times New Roman"/>
          <w:noProof/>
          <w:color w:val="000000" w:themeColor="text1"/>
          <w:sz w:val="24"/>
        </w:rPr>
        <w:t>proiectul SIRIUS pentru a elabora, în cooperare cu</w:t>
      </w:r>
      <w:r w:rsidRPr="009828C5">
        <w:rPr>
          <w:rFonts w:ascii="Times New Roman" w:hAnsi="Times New Roman"/>
          <w:b/>
          <w:noProof/>
          <w:color w:val="000000" w:themeColor="text1"/>
          <w:sz w:val="24"/>
        </w:rPr>
        <w:t xml:space="preserve"> sectorul privat, un catalog de date pe care serviciile de comunicații electronice le prelucrează în mod legitim în scopuri profesionale</w:t>
      </w:r>
      <w:r>
        <w:rPr>
          <w:rFonts w:ascii="Times New Roman" w:hAnsi="Times New Roman"/>
          <w:noProof/>
          <w:color w:val="000000" w:themeColor="text1"/>
          <w:sz w:val="24"/>
        </w:rPr>
        <w:t xml:space="preserve">. Catalogul va ajuta </w:t>
      </w:r>
      <w:r>
        <w:rPr>
          <w:rFonts w:ascii="Times New Roman" w:hAnsi="Times New Roman"/>
          <w:noProof/>
          <w:sz w:val="24"/>
        </w:rPr>
        <w:t xml:space="preserve">autoritățile competente să identifice </w:t>
      </w:r>
      <w:r>
        <w:rPr>
          <w:rFonts w:ascii="Times New Roman" w:hAnsi="Times New Roman"/>
          <w:noProof/>
          <w:color w:val="000000" w:themeColor="text1"/>
          <w:sz w:val="24"/>
        </w:rPr>
        <w:t>datele care pot fi disponibile pentru cererile lor de acces legal</w:t>
      </w:r>
      <w:r>
        <w:rPr>
          <w:rFonts w:ascii="Times New Roman" w:hAnsi="Times New Roman"/>
          <w:noProof/>
          <w:sz w:val="24"/>
        </w:rPr>
        <w:t>, să identifice furnizorii de servicii relevanți și să direcționeze mai bine cererile de acces legal</w:t>
      </w:r>
      <w:r>
        <w:rPr>
          <w:rFonts w:ascii="Times New Roman" w:hAnsi="Times New Roman"/>
          <w:noProof/>
          <w:color w:val="000000" w:themeColor="text1"/>
          <w:sz w:val="24"/>
        </w:rPr>
        <w:t>, economisind astfel timp și costuri atât pentru autoritățile publice, cât și pentru furnizorii de servicii.</w:t>
      </w:r>
    </w:p>
    <w:tbl>
      <w:tblPr>
        <w:tblStyle w:val="TableGrid"/>
        <w:tblW w:w="0" w:type="auto"/>
        <w:tblLook w:val="04A0" w:firstRow="1" w:lastRow="0" w:firstColumn="1" w:lastColumn="0" w:noHBand="0" w:noVBand="1"/>
      </w:tblPr>
      <w:tblGrid>
        <w:gridCol w:w="9016"/>
      </w:tblGrid>
      <w:tr w:rsidR="00E32F72" w:rsidRPr="00B03188" w14:paraId="53834F17" w14:textId="77777777" w:rsidTr="00C81626">
        <w:tc>
          <w:tcPr>
            <w:tcW w:w="9166" w:type="dxa"/>
          </w:tcPr>
          <w:p w14:paraId="1919638A" w14:textId="77777777" w:rsidR="00E32F72" w:rsidRPr="00C81A9D" w:rsidRDefault="00E32F72" w:rsidP="00C81626">
            <w:pPr>
              <w:spacing w:after="120"/>
              <w:rPr>
                <w:rFonts w:ascii="Times New Roman" w:hAnsi="Times New Roman"/>
                <w:b/>
                <w:i/>
                <w:noProof/>
                <w:sz w:val="24"/>
              </w:rPr>
            </w:pPr>
            <w:r w:rsidRPr="00C81A9D">
              <w:rPr>
                <w:rFonts w:ascii="Times New Roman" w:hAnsi="Times New Roman"/>
                <w:b/>
                <w:i/>
                <w:noProof/>
                <w:color w:val="000000"/>
                <w:sz w:val="24"/>
              </w:rPr>
              <w:t>A</w:t>
            </w:r>
            <w:r w:rsidRPr="00C81A9D">
              <w:rPr>
                <w:rFonts w:ascii="Times New Roman" w:hAnsi="Times New Roman"/>
                <w:b/>
                <w:i/>
                <w:noProof/>
                <w:sz w:val="24"/>
              </w:rPr>
              <w:t>cțiuni-cheie</w:t>
            </w:r>
          </w:p>
          <w:p w14:paraId="7E0C55E8" w14:textId="77777777" w:rsidR="00E32F72" w:rsidRPr="00B03188" w:rsidRDefault="00E32F72" w:rsidP="00E32F72">
            <w:pPr>
              <w:pStyle w:val="ListParagraph"/>
              <w:numPr>
                <w:ilvl w:val="0"/>
                <w:numId w:val="23"/>
              </w:numPr>
              <w:spacing w:after="120"/>
              <w:jc w:val="both"/>
              <w:rPr>
                <w:rFonts w:ascii="Times New Roman" w:hAnsi="Times New Roman" w:cs="Times New Roman"/>
                <w:bCs/>
                <w:iCs/>
                <w:noProof/>
                <w:color w:val="000000"/>
                <w:sz w:val="24"/>
                <w:szCs w:val="24"/>
              </w:rPr>
            </w:pPr>
            <w:r w:rsidRPr="009828C5">
              <w:rPr>
                <w:rFonts w:ascii="Times New Roman" w:hAnsi="Times New Roman"/>
                <w:b/>
                <w:noProof/>
                <w:sz w:val="24"/>
              </w:rPr>
              <w:t xml:space="preserve">Cu sprijinul continuu al Comisiei, </w:t>
            </w:r>
            <w:r w:rsidRPr="00C81A9D">
              <w:rPr>
                <w:rFonts w:ascii="Times New Roman" w:hAnsi="Times New Roman"/>
                <w:b/>
                <w:noProof/>
                <w:sz w:val="24"/>
                <w:u w:val="single"/>
              </w:rPr>
              <w:t>Europol și Eurojust</w:t>
            </w:r>
            <w:r w:rsidRPr="009828C5">
              <w:rPr>
                <w:rFonts w:ascii="Times New Roman" w:hAnsi="Times New Roman"/>
                <w:b/>
                <w:noProof/>
                <w:sz w:val="24"/>
              </w:rPr>
              <w:t xml:space="preserve"> sunt invitate să se bazeze pe proiectul SIRIUS pentru a raționaliza cooperarea cu furnizorii de servicii de comunicații electronice.</w:t>
            </w:r>
          </w:p>
          <w:p w14:paraId="3A48AF00" w14:textId="77777777" w:rsidR="00E32F72" w:rsidRPr="00B03188" w:rsidRDefault="00E32F72" w:rsidP="00C81626">
            <w:pPr>
              <w:pStyle w:val="ListParagraph"/>
              <w:spacing w:after="120"/>
              <w:jc w:val="both"/>
              <w:rPr>
                <w:rFonts w:ascii="Times New Roman" w:hAnsi="Times New Roman" w:cs="Times New Roman"/>
                <w:bCs/>
                <w:iCs/>
                <w:noProof/>
                <w:color w:val="000000"/>
                <w:sz w:val="24"/>
                <w:szCs w:val="24"/>
              </w:rPr>
            </w:pPr>
          </w:p>
          <w:p w14:paraId="116E6773" w14:textId="77777777" w:rsidR="00E32F72" w:rsidRPr="00B03188" w:rsidRDefault="00E32F72" w:rsidP="00E32F72">
            <w:pPr>
              <w:pStyle w:val="ListParagraph"/>
              <w:numPr>
                <w:ilvl w:val="0"/>
                <w:numId w:val="23"/>
              </w:numPr>
              <w:spacing w:after="120"/>
              <w:jc w:val="both"/>
              <w:rPr>
                <w:rFonts w:ascii="Times New Roman" w:eastAsia="Times New Roman" w:hAnsi="Times New Roman" w:cs="Times New Roman"/>
                <w:noProof/>
                <w:color w:val="000000" w:themeColor="text1"/>
                <w:sz w:val="24"/>
                <w:szCs w:val="24"/>
              </w:rPr>
            </w:pPr>
            <w:r w:rsidRPr="00C81A9D">
              <w:rPr>
                <w:rFonts w:ascii="Times New Roman" w:hAnsi="Times New Roman"/>
                <w:b/>
                <w:noProof/>
                <w:color w:val="000000" w:themeColor="text1"/>
                <w:sz w:val="24"/>
                <w:u w:val="single"/>
              </w:rPr>
              <w:t>Europol și Eurojust</w:t>
            </w:r>
            <w:r w:rsidRPr="009828C5">
              <w:rPr>
                <w:rFonts w:ascii="Times New Roman" w:hAnsi="Times New Roman"/>
                <w:b/>
                <w:noProof/>
                <w:color w:val="000000" w:themeColor="text1"/>
                <w:sz w:val="24"/>
              </w:rPr>
              <w:t xml:space="preserve"> sunt invitate să e</w:t>
            </w:r>
            <w:r w:rsidRPr="009828C5">
              <w:rPr>
                <w:rFonts w:ascii="Times New Roman" w:hAnsi="Times New Roman"/>
                <w:b/>
                <w:noProof/>
                <w:sz w:val="24"/>
              </w:rPr>
              <w:t>laboreze, în cooperare cu sectorul privat, un catalog al datelor pe care furnizorii de comunicații electronice le prelucrează în scopuri profesionale (începând cu T4 2025).</w:t>
            </w:r>
          </w:p>
        </w:tc>
      </w:tr>
    </w:tbl>
    <w:p w14:paraId="6F7DF48D" w14:textId="77777777" w:rsidR="00E32F72" w:rsidRPr="00AE5FE8" w:rsidRDefault="00E32F72" w:rsidP="00E32F72">
      <w:pPr>
        <w:spacing w:after="0"/>
        <w:jc w:val="both"/>
        <w:rPr>
          <w:rFonts w:ascii="Times New Roman" w:hAnsi="Times New Roman"/>
          <w:noProof/>
          <w:sz w:val="24"/>
        </w:rPr>
      </w:pPr>
    </w:p>
    <w:p w14:paraId="4E1BC533" w14:textId="77777777" w:rsidR="00E32F72" w:rsidRPr="00C81A9D" w:rsidRDefault="00E32F72" w:rsidP="00E32F72">
      <w:pPr>
        <w:spacing w:after="120" w:line="240" w:lineRule="auto"/>
        <w:jc w:val="both"/>
        <w:rPr>
          <w:rFonts w:ascii="Times New Roman" w:hAnsi="Times New Roman"/>
          <w:b/>
          <w:noProof/>
          <w:sz w:val="24"/>
          <w:u w:val="single"/>
        </w:rPr>
      </w:pPr>
      <w:r w:rsidRPr="00C81A9D">
        <w:rPr>
          <w:rFonts w:ascii="Times New Roman" w:hAnsi="Times New Roman"/>
          <w:b/>
          <w:noProof/>
          <w:sz w:val="24"/>
          <w:u w:val="single"/>
        </w:rPr>
        <w:t>II. Obținerea de probe în toate sistemele și jurisdicțiile: interceptarea legală</w:t>
      </w:r>
    </w:p>
    <w:p w14:paraId="1A6918A9" w14:textId="31326F81" w:rsidR="00E32F72" w:rsidRPr="00AE5FE8" w:rsidRDefault="00E32F72" w:rsidP="00E32F72">
      <w:pPr>
        <w:jc w:val="both"/>
        <w:rPr>
          <w:rFonts w:ascii="Times New Roman" w:hAnsi="Times New Roman"/>
          <w:noProof/>
          <w:sz w:val="24"/>
        </w:rPr>
      </w:pPr>
      <w:r>
        <w:rPr>
          <w:rFonts w:ascii="Times New Roman" w:hAnsi="Times New Roman"/>
          <w:noProof/>
          <w:sz w:val="24"/>
        </w:rPr>
        <w:t xml:space="preserve">Accesul legal la datele comunicațiilor în timp real este esențial pentru combaterea infracționalității online și offline. În </w:t>
      </w:r>
      <w:r w:rsidRPr="009828C5">
        <w:rPr>
          <w:rFonts w:ascii="Times New Roman" w:hAnsi="Times New Roman"/>
          <w:noProof/>
          <w:sz w:val="24"/>
        </w:rPr>
        <w:t>2020</w:t>
      </w:r>
      <w:r>
        <w:rPr>
          <w:rFonts w:ascii="Times New Roman" w:hAnsi="Times New Roman"/>
          <w:noProof/>
          <w:sz w:val="24"/>
        </w:rPr>
        <w:t>, o echipă comună de anchetă franco-neerlandeză a desființat EncroChat, o rețea de telefonie criptată, utilizată pe scară largă de grupurile infracționale organizate. Această anchetă comună a implicat interceptarea, în timp real, a milioane de mesaje între infractorii care intenționau să săvârșească infracțiuni grave, partajarea acestor mesaje cu alte autorități și analizarea lor. Datorită informațiilor obținute, autoritățile de aplicare a legii din întreaga Europă și din alte părți ale lumii au perturbat activitățile infracționale, printre care atacuri violente, corupție, tentative de omor și trafic de droguri pe scară largă. Anumite mesaje au indicat planuri de săvârșire a unor infracțiuni violente iminente și au permis autorităților de aplicare a legii să le prevină</w:t>
      </w:r>
      <w:r>
        <w:rPr>
          <w:rStyle w:val="FootnoteReference"/>
          <w:noProof/>
        </w:rPr>
        <w:footnoteReference w:id="19"/>
      </w:r>
      <w:r>
        <w:rPr>
          <w:rFonts w:ascii="Times New Roman" w:hAnsi="Times New Roman"/>
          <w:noProof/>
          <w:sz w:val="24"/>
        </w:rPr>
        <w:t>. Ordinul european de anchetă (OEA) a facilitat schimbul eficient de astfel de probe</w:t>
      </w:r>
      <w:r>
        <w:rPr>
          <w:rFonts w:ascii="Times New Roman" w:hAnsi="Times New Roman"/>
          <w:noProof/>
          <w:sz w:val="24"/>
          <w:vertAlign w:val="superscript"/>
        </w:rPr>
        <w:footnoteReference w:id="20"/>
      </w:r>
      <w:r>
        <w:rPr>
          <w:rFonts w:ascii="Times New Roman" w:hAnsi="Times New Roman"/>
          <w:noProof/>
          <w:sz w:val="24"/>
        </w:rPr>
        <w:t>.</w:t>
      </w:r>
    </w:p>
    <w:p w14:paraId="4CE3CAC9"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Cazul EncroChat demonstrează că accesul în timp real la datele referitoare la conținutul comunicațiilor constituie un instrument esențial pentru investigarea și urmărirea penală eficace a grupurilor infracționale organizate. Totuși, acest caz rămâne una dintre puținele povești de succes: Grupul la nivel înalt a remarcat că eficacitatea interceptării legale</w:t>
      </w:r>
      <w:r>
        <w:rPr>
          <w:rStyle w:val="FootnoteReference"/>
          <w:noProof/>
        </w:rPr>
        <w:footnoteReference w:id="21"/>
      </w:r>
      <w:r>
        <w:rPr>
          <w:rFonts w:ascii="Times New Roman" w:hAnsi="Times New Roman"/>
          <w:noProof/>
          <w:sz w:val="24"/>
        </w:rPr>
        <w:t xml:space="preserve"> a scăzut drastic, deoarece comunicarea a trecut de la apelurile telefonice și mesajele text clasice la serviciile de mesagerie „over the top” (OTT) furnizate prin intermediul aplicațiilor. În prezent, aproximativ </w:t>
      </w:r>
      <w:r w:rsidRPr="009828C5">
        <w:rPr>
          <w:rFonts w:ascii="Times New Roman" w:hAnsi="Times New Roman"/>
          <w:noProof/>
          <w:sz w:val="24"/>
        </w:rPr>
        <w:t>97</w:t>
      </w:r>
      <w:r>
        <w:rPr>
          <w:rFonts w:ascii="Times New Roman" w:hAnsi="Times New Roman"/>
          <w:noProof/>
          <w:sz w:val="24"/>
        </w:rPr>
        <w:t xml:space="preserve"> % din toate mesajele mobile sunt trimise prin intermediul aplicațiilor de mesagerie, în timp ce mesajele text și MMS clasice reprezintă doar aproximativ </w:t>
      </w:r>
      <w:r w:rsidRPr="009828C5">
        <w:rPr>
          <w:rFonts w:ascii="Times New Roman" w:hAnsi="Times New Roman"/>
          <w:noProof/>
          <w:sz w:val="24"/>
        </w:rPr>
        <w:t>3</w:t>
      </w:r>
      <w:r>
        <w:rPr>
          <w:rFonts w:ascii="Times New Roman" w:hAnsi="Times New Roman"/>
          <w:noProof/>
          <w:sz w:val="24"/>
        </w:rPr>
        <w:t> % din</w:t>
      </w:r>
      <w:r>
        <w:rPr>
          <w:noProof/>
        </w:rPr>
        <w:t xml:space="preserve"> </w:t>
      </w:r>
      <w:r>
        <w:rPr>
          <w:rFonts w:ascii="Times New Roman" w:hAnsi="Times New Roman"/>
          <w:noProof/>
          <w:sz w:val="24"/>
        </w:rPr>
        <w:t>mesaje</w:t>
      </w:r>
      <w:r>
        <w:rPr>
          <w:rStyle w:val="FootnoteReference"/>
          <w:rFonts w:eastAsia="Times New Roman"/>
          <w:noProof/>
          <w:szCs w:val="24"/>
        </w:rPr>
        <w:footnoteReference w:id="22"/>
      </w:r>
      <w:r>
        <w:rPr>
          <w:rFonts w:ascii="Times New Roman" w:hAnsi="Times New Roman"/>
          <w:noProof/>
          <w:sz w:val="24"/>
        </w:rPr>
        <w:t xml:space="preserve">. Grupul la nivel înalt a remarcat, de asemenea, că, începând din </w:t>
      </w:r>
      <w:r w:rsidRPr="009828C5">
        <w:rPr>
          <w:rFonts w:ascii="Times New Roman" w:hAnsi="Times New Roman"/>
          <w:noProof/>
          <w:sz w:val="24"/>
        </w:rPr>
        <w:t>2020</w:t>
      </w:r>
      <w:r>
        <w:rPr>
          <w:rFonts w:ascii="Times New Roman" w:hAnsi="Times New Roman"/>
          <w:noProof/>
          <w:sz w:val="24"/>
        </w:rPr>
        <w:t>, în urma perturbării unora dintre principalele rețele de comunicații utilizate de grupurile infracționale, multe dintre acestea au decis să revină la servicii regulate de mesagerie OTT, criptate de la un capăt la altul</w:t>
      </w:r>
      <w:r>
        <w:rPr>
          <w:rStyle w:val="FootnoteReference"/>
          <w:noProof/>
        </w:rPr>
        <w:footnoteReference w:id="23"/>
      </w:r>
      <w:r>
        <w:rPr>
          <w:rFonts w:ascii="Times New Roman" w:hAnsi="Times New Roman"/>
          <w:noProof/>
          <w:sz w:val="24"/>
        </w:rPr>
        <w:t>.</w:t>
      </w:r>
    </w:p>
    <w:p w14:paraId="59E74E1F" w14:textId="16C04F4C" w:rsidR="00E32F72" w:rsidRPr="00B03188" w:rsidRDefault="00E32F72" w:rsidP="00E32F72">
      <w:pPr>
        <w:jc w:val="both"/>
        <w:rPr>
          <w:rFonts w:ascii="Times New Roman" w:eastAsia="Times New Roman" w:hAnsi="Times New Roman" w:cs="Times New Roman"/>
          <w:noProof/>
          <w:sz w:val="24"/>
          <w:szCs w:val="24"/>
        </w:rPr>
      </w:pPr>
      <w:r>
        <w:rPr>
          <w:rFonts w:ascii="Times New Roman" w:hAnsi="Times New Roman"/>
          <w:noProof/>
          <w:sz w:val="24"/>
        </w:rPr>
        <w:t>Normele naționale care impun obligații pentru interceptarea legală sunt fragmentate în UE</w:t>
      </w:r>
      <w:r>
        <w:rPr>
          <w:rStyle w:val="FootnoteReference"/>
          <w:rFonts w:eastAsia="Times New Roman"/>
          <w:noProof/>
          <w:szCs w:val="24"/>
        </w:rPr>
        <w:footnoteReference w:id="24"/>
      </w:r>
      <w:r>
        <w:rPr>
          <w:rFonts w:ascii="Times New Roman" w:hAnsi="Times New Roman"/>
          <w:noProof/>
          <w:sz w:val="24"/>
        </w:rPr>
        <w:t>. Grupul la nivel înalt a remarcat că, deși unele state membre impun obligații similare pentru toate tipurile de servicii de comunicații electronice, inclusiv pentru cele OTT, unele state membre exclud serviciile OTT. În plus, adesea, furnizorii de servicii nu sunt stabiliți în statul membru al autorității solicitante, ceea ce poate cauza probleme complexe de jurisdicție, conflicte de legi și provocări în materie de asigurare a respectării legii</w:t>
      </w:r>
      <w:r>
        <w:rPr>
          <w:rStyle w:val="FootnoteReference"/>
          <w:rFonts w:eastAsia="Times New Roman"/>
          <w:noProof/>
          <w:szCs w:val="24"/>
        </w:rPr>
        <w:footnoteReference w:id="25"/>
      </w:r>
      <w:r>
        <w:rPr>
          <w:rFonts w:ascii="Times New Roman" w:hAnsi="Times New Roman"/>
          <w:noProof/>
          <w:sz w:val="24"/>
        </w:rPr>
        <w:t>.</w:t>
      </w:r>
      <w:r w:rsidR="00E65930">
        <w:rPr>
          <w:rFonts w:ascii="Times New Roman" w:hAnsi="Times New Roman"/>
          <w:noProof/>
          <w:sz w:val="24"/>
        </w:rPr>
        <w:t xml:space="preserve"> </w:t>
      </w:r>
      <w:r>
        <w:rPr>
          <w:rFonts w:ascii="Times New Roman" w:hAnsi="Times New Roman"/>
          <w:noProof/>
          <w:sz w:val="24"/>
        </w:rPr>
        <w:t xml:space="preserve">Prin urmare, conținutul unor astfel de servicii de mesagerie este practic inaccesibil. </w:t>
      </w:r>
    </w:p>
    <w:p w14:paraId="19ACD195"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Ordinul european de anchetă și alte instrumente de cooperare pot contribui la depășirea provocării generate de interceptarea transfrontalieră în anumite părți ale UE. Totuși, autoritățile statelor membre se confruntă în continuare cu dificultăți atunci când le utilizează: aceste instrumente nu pot sprijini interceptarea în cazul în care serviciul este furnizat fie din state membre care nu participă la instrumentul în cauză, fie dintr-o țară terță. Prin urmare, Grupul la nivel înalt a recomandat o serie de măsuri pentru a se asigura că o gamă largă de furnizori, inclusiv furnizorii OTT, răspund la cererile de interceptare legală</w:t>
      </w:r>
      <w:r>
        <w:rPr>
          <w:rFonts w:ascii="Times New Roman" w:hAnsi="Times New Roman"/>
          <w:noProof/>
          <w:sz w:val="24"/>
          <w:vertAlign w:val="superscript"/>
        </w:rPr>
        <w:footnoteReference w:id="26"/>
      </w:r>
      <w:r>
        <w:rPr>
          <w:rFonts w:ascii="Times New Roman" w:hAnsi="Times New Roman"/>
          <w:noProof/>
          <w:sz w:val="24"/>
        </w:rPr>
        <w:t>.</w:t>
      </w:r>
    </w:p>
    <w:p w14:paraId="15F0FE33"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În replică, </w:t>
      </w:r>
      <w:r w:rsidRPr="00C81A9D">
        <w:rPr>
          <w:rFonts w:ascii="Times New Roman" w:hAnsi="Times New Roman"/>
          <w:b/>
          <w:noProof/>
          <w:sz w:val="24"/>
          <w:u w:val="single"/>
        </w:rPr>
        <w:t>Comisia va propune modalități de îmbunătățire a măsurilor de consolidare a cooperării transfrontaliere în materie de interceptare</w:t>
      </w:r>
      <w:r w:rsidRPr="009828C5">
        <w:rPr>
          <w:rFonts w:ascii="Times New Roman" w:hAnsi="Times New Roman"/>
          <w:b/>
          <w:noProof/>
          <w:sz w:val="24"/>
        </w:rPr>
        <w:t xml:space="preserve"> </w:t>
      </w:r>
      <w:r>
        <w:rPr>
          <w:rFonts w:ascii="Times New Roman" w:hAnsi="Times New Roman"/>
          <w:noProof/>
          <w:sz w:val="24"/>
        </w:rPr>
        <w:t>atât între autorități, cât și între autorități și furnizorii de servicii. În urma recomandărilor Grupului la nivel înalt, Comisia se va concentra în primul rând pe îmbunătățirea instrumentelor existente, în special a ordinului european de anchetă, și pe cooperarea voluntară (în cazul în care nu există conflicte de legi cu țări terțe sau acestea au fost soluționate). În cele din urmă, statele membre ar trebui să poată impune obligații legale de interceptare tuturor furnizorilor de comunicații care propun servicii la nivel național, astfel cum se prevede în legislația națională, indiferent dacă sunt servicii de telecomunicații clasice sau bazate pe internet și indiferent de locul în care se află.</w:t>
      </w:r>
    </w:p>
    <w:p w14:paraId="59549F6D"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În plus, unele state membre nu dispun de capacitățile de rețea necesare pentru schimbul de date în cadrul cooperării transfrontaliere. Prin urmare, </w:t>
      </w:r>
      <w:r w:rsidRPr="00C81A9D">
        <w:rPr>
          <w:rFonts w:ascii="Times New Roman" w:hAnsi="Times New Roman"/>
          <w:b/>
          <w:noProof/>
          <w:sz w:val="24"/>
          <w:u w:val="single"/>
        </w:rPr>
        <w:t>Comisia va identifica nevoile statelor membre</w:t>
      </w:r>
      <w:r>
        <w:rPr>
          <w:rFonts w:ascii="Times New Roman" w:hAnsi="Times New Roman"/>
          <w:noProof/>
          <w:sz w:val="24"/>
        </w:rPr>
        <w:t xml:space="preserve"> și va sprijini instalarea de rețele securizate cu o lățime de bandă suficientă între statele membre relevante, care să permită transferul unor cantități mari de date în timp real. </w:t>
      </w:r>
      <w:bookmarkStart w:id="2" w:name="_Hlk201526712"/>
      <w:r>
        <w:rPr>
          <w:rFonts w:ascii="Times New Roman" w:hAnsi="Times New Roman"/>
          <w:noProof/>
          <w:sz w:val="24"/>
        </w:rPr>
        <w:t>Această inițiativă ar putea fi finanțată din programele UE</w:t>
      </w:r>
      <w:bookmarkEnd w:id="2"/>
      <w:r>
        <w:rPr>
          <w:rFonts w:ascii="Times New Roman" w:hAnsi="Times New Roman"/>
          <w:noProof/>
          <w:sz w:val="24"/>
        </w:rPr>
        <w:t>.</w:t>
      </w:r>
    </w:p>
    <w:tbl>
      <w:tblPr>
        <w:tblStyle w:val="TableGrid"/>
        <w:tblW w:w="0" w:type="auto"/>
        <w:tblLook w:val="04A0" w:firstRow="1" w:lastRow="0" w:firstColumn="1" w:lastColumn="0" w:noHBand="0" w:noVBand="1"/>
      </w:tblPr>
      <w:tblGrid>
        <w:gridCol w:w="9016"/>
      </w:tblGrid>
      <w:tr w:rsidR="00E32F72" w:rsidRPr="00B03188" w14:paraId="5619B86E" w14:textId="77777777" w:rsidTr="00C81626">
        <w:tc>
          <w:tcPr>
            <w:tcW w:w="9166" w:type="dxa"/>
          </w:tcPr>
          <w:p w14:paraId="1E74FB95" w14:textId="77777777" w:rsidR="00E32F72" w:rsidRPr="00C81A9D" w:rsidRDefault="00E32F72" w:rsidP="00C81626">
            <w:pPr>
              <w:spacing w:after="120"/>
              <w:rPr>
                <w:rFonts w:ascii="Times New Roman" w:hAnsi="Times New Roman" w:cs="Times New Roman"/>
                <w:b/>
                <w:i/>
                <w:noProof/>
                <w:color w:val="000000"/>
                <w:sz w:val="24"/>
                <w:szCs w:val="24"/>
              </w:rPr>
            </w:pPr>
            <w:r w:rsidRPr="00C81A9D">
              <w:rPr>
                <w:rFonts w:ascii="Times New Roman" w:hAnsi="Times New Roman"/>
                <w:b/>
                <w:i/>
                <w:noProof/>
                <w:color w:val="000000"/>
                <w:sz w:val="24"/>
              </w:rPr>
              <w:t>Acțiuni-cheie</w:t>
            </w:r>
          </w:p>
          <w:p w14:paraId="08E43496" w14:textId="77777777" w:rsidR="00E32F72" w:rsidRPr="009828C5" w:rsidRDefault="00E32F72" w:rsidP="00C81626">
            <w:pPr>
              <w:spacing w:after="120"/>
              <w:jc w:val="both"/>
              <w:rPr>
                <w:rFonts w:ascii="Times New Roman" w:eastAsia="Times New Roman" w:hAnsi="Times New Roman" w:cs="Times New Roman"/>
                <w:b/>
                <w:noProof/>
                <w:sz w:val="24"/>
                <w:szCs w:val="24"/>
              </w:rPr>
            </w:pPr>
            <w:r w:rsidRPr="00C81A9D">
              <w:rPr>
                <w:rFonts w:ascii="Times New Roman" w:hAnsi="Times New Roman"/>
                <w:b/>
                <w:noProof/>
                <w:sz w:val="24"/>
                <w:u w:val="single"/>
              </w:rPr>
              <w:t>Comisia</w:t>
            </w:r>
            <w:r w:rsidRPr="009828C5">
              <w:rPr>
                <w:rFonts w:ascii="Times New Roman" w:hAnsi="Times New Roman"/>
                <w:b/>
                <w:noProof/>
                <w:sz w:val="24"/>
              </w:rPr>
              <w:t xml:space="preserve"> urmează:</w:t>
            </w:r>
          </w:p>
          <w:p w14:paraId="35C20D79" w14:textId="77777777" w:rsidR="00E32F72" w:rsidRPr="009828C5" w:rsidRDefault="00E32F72" w:rsidP="00E32F72">
            <w:pPr>
              <w:pStyle w:val="ListParagraph"/>
              <w:numPr>
                <w:ilvl w:val="0"/>
                <w:numId w:val="19"/>
              </w:numPr>
              <w:spacing w:after="120"/>
              <w:jc w:val="both"/>
              <w:rPr>
                <w:rFonts w:ascii="Times New Roman" w:eastAsia="Times New Roman" w:hAnsi="Times New Roman" w:cs="Times New Roman"/>
                <w:b/>
                <w:noProof/>
                <w:sz w:val="24"/>
                <w:szCs w:val="24"/>
              </w:rPr>
            </w:pPr>
            <w:r w:rsidRPr="009828C5">
              <w:rPr>
                <w:rFonts w:ascii="Times New Roman" w:hAnsi="Times New Roman"/>
                <w:b/>
                <w:noProof/>
                <w:sz w:val="24"/>
              </w:rPr>
              <w:t>să propună măsuri de îmbunătățire a eficienței cererilor transfrontaliere de interceptare legală prin intermediul instrumentelor existente, inclusiv evaluarea necesității de a consolida în continuare ordinul european de anchetă (până în 2027);</w:t>
            </w:r>
          </w:p>
          <w:p w14:paraId="708BB086" w14:textId="77777777" w:rsidR="00E32F72" w:rsidRPr="009828C5" w:rsidRDefault="00E32F72" w:rsidP="00C81626">
            <w:pPr>
              <w:pStyle w:val="ListParagraph"/>
              <w:spacing w:after="120"/>
              <w:jc w:val="both"/>
              <w:rPr>
                <w:rFonts w:ascii="Times New Roman" w:eastAsia="Times New Roman" w:hAnsi="Times New Roman" w:cs="Times New Roman"/>
                <w:b/>
                <w:noProof/>
                <w:sz w:val="24"/>
                <w:szCs w:val="24"/>
              </w:rPr>
            </w:pPr>
          </w:p>
          <w:p w14:paraId="39FFEF27" w14:textId="0DFA06B6" w:rsidR="00E32F72" w:rsidRPr="009828C5" w:rsidRDefault="00E32F72" w:rsidP="00E32F72">
            <w:pPr>
              <w:pStyle w:val="ListParagraph"/>
              <w:numPr>
                <w:ilvl w:val="0"/>
                <w:numId w:val="19"/>
              </w:numPr>
              <w:spacing w:after="120"/>
              <w:jc w:val="both"/>
              <w:rPr>
                <w:rFonts w:ascii="Times New Roman" w:eastAsia="Times New Roman" w:hAnsi="Times New Roman" w:cs="Times New Roman"/>
                <w:b/>
                <w:bCs/>
                <w:noProof/>
                <w:sz w:val="24"/>
                <w:szCs w:val="24"/>
              </w:rPr>
            </w:pPr>
            <w:r w:rsidRPr="009828C5">
              <w:rPr>
                <w:rFonts w:ascii="Times New Roman" w:hAnsi="Times New Roman"/>
                <w:b/>
                <w:noProof/>
                <w:sz w:val="24"/>
              </w:rPr>
              <w:t>să analizeze măsuri de creare a unor condiții de concurență echitabile pentru toate tipurile de furnizori de comunicații în ceea ce privește asigurarea respectării obligațiilor de interceptare legală;</w:t>
            </w:r>
          </w:p>
          <w:p w14:paraId="2A86895B" w14:textId="77777777" w:rsidR="00E32F72" w:rsidRPr="009828C5" w:rsidRDefault="00E32F72" w:rsidP="00C81626">
            <w:pPr>
              <w:pStyle w:val="ListParagraph"/>
              <w:spacing w:after="120"/>
              <w:jc w:val="both"/>
              <w:rPr>
                <w:rFonts w:ascii="Times New Roman" w:eastAsia="Times New Roman" w:hAnsi="Times New Roman" w:cs="Times New Roman"/>
                <w:b/>
                <w:bCs/>
                <w:noProof/>
                <w:sz w:val="24"/>
                <w:szCs w:val="24"/>
              </w:rPr>
            </w:pPr>
          </w:p>
          <w:p w14:paraId="065027E7" w14:textId="77777777" w:rsidR="00E32F72" w:rsidRPr="009828C5" w:rsidRDefault="00E32F72" w:rsidP="00E32F72">
            <w:pPr>
              <w:pStyle w:val="ListParagraph"/>
              <w:numPr>
                <w:ilvl w:val="0"/>
                <w:numId w:val="19"/>
              </w:numPr>
              <w:spacing w:after="120"/>
              <w:jc w:val="both"/>
              <w:rPr>
                <w:rFonts w:ascii="Times New Roman" w:eastAsia="Times New Roman" w:hAnsi="Times New Roman" w:cs="Times New Roman"/>
                <w:b/>
                <w:bCs/>
                <w:noProof/>
                <w:sz w:val="24"/>
                <w:szCs w:val="24"/>
              </w:rPr>
            </w:pPr>
            <w:r w:rsidRPr="009828C5">
              <w:rPr>
                <w:rFonts w:ascii="Times New Roman" w:hAnsi="Times New Roman"/>
                <w:b/>
                <w:noProof/>
                <w:sz w:val="24"/>
              </w:rPr>
              <w:t>să stabilească cea mai eficientă abordare pentru a soluționa problema furnizorilor de comunicații necooperanți;</w:t>
            </w:r>
          </w:p>
          <w:p w14:paraId="4C17731A" w14:textId="77777777" w:rsidR="00E32F72" w:rsidRPr="009828C5" w:rsidRDefault="00E32F72" w:rsidP="00C81626">
            <w:pPr>
              <w:pStyle w:val="ListParagraph"/>
              <w:spacing w:after="120"/>
              <w:jc w:val="both"/>
              <w:rPr>
                <w:rFonts w:ascii="Times New Roman" w:eastAsia="Times New Roman" w:hAnsi="Times New Roman" w:cs="Times New Roman"/>
                <w:b/>
                <w:bCs/>
                <w:noProof/>
                <w:sz w:val="24"/>
                <w:szCs w:val="24"/>
              </w:rPr>
            </w:pPr>
          </w:p>
          <w:p w14:paraId="3AA79066" w14:textId="77777777" w:rsidR="00E32F72" w:rsidRPr="009828C5" w:rsidRDefault="00E32F72" w:rsidP="00E32F72">
            <w:pPr>
              <w:pStyle w:val="ListParagraph"/>
              <w:numPr>
                <w:ilvl w:val="0"/>
                <w:numId w:val="19"/>
              </w:numPr>
              <w:spacing w:after="120"/>
              <w:jc w:val="both"/>
              <w:rPr>
                <w:rFonts w:ascii="Times New Roman" w:eastAsia="Times New Roman" w:hAnsi="Times New Roman" w:cs="Times New Roman"/>
                <w:b/>
                <w:bCs/>
                <w:noProof/>
                <w:sz w:val="24"/>
                <w:szCs w:val="24"/>
              </w:rPr>
            </w:pPr>
            <w:r w:rsidRPr="009828C5">
              <w:rPr>
                <w:rFonts w:ascii="Times New Roman" w:hAnsi="Times New Roman"/>
                <w:b/>
                <w:noProof/>
                <w:sz w:val="24"/>
              </w:rPr>
              <w:t>să sprijine implementarea capacităților securizate de schimb de informații între statele membre, Europol și alte agenții de securitate (în perioada 2026-2028).</w:t>
            </w:r>
          </w:p>
          <w:p w14:paraId="495B7EBB" w14:textId="77777777" w:rsidR="00E32F72" w:rsidRPr="009828C5" w:rsidRDefault="00E32F72" w:rsidP="00C81626">
            <w:pPr>
              <w:spacing w:after="120"/>
              <w:jc w:val="both"/>
              <w:rPr>
                <w:rFonts w:ascii="Times New Roman" w:eastAsia="Times New Roman" w:hAnsi="Times New Roman" w:cs="Times New Roman"/>
                <w:b/>
                <w:noProof/>
                <w:sz w:val="24"/>
                <w:szCs w:val="24"/>
              </w:rPr>
            </w:pPr>
            <w:r w:rsidRPr="00C81A9D">
              <w:rPr>
                <w:rFonts w:ascii="Times New Roman" w:hAnsi="Times New Roman"/>
                <w:b/>
                <w:noProof/>
                <w:sz w:val="24"/>
                <w:u w:val="single"/>
              </w:rPr>
              <w:t>Statele membre</w:t>
            </w:r>
            <w:r w:rsidRPr="009828C5">
              <w:rPr>
                <w:rFonts w:ascii="Times New Roman" w:hAnsi="Times New Roman"/>
                <w:b/>
                <w:noProof/>
                <w:sz w:val="24"/>
              </w:rPr>
              <w:t xml:space="preserve"> sunt încurajate să pună în aplicare măsuri transfrontaliere de interceptare legală, pe baza mecanismelor existente, cum ar fi ordinul european de anchetă și acordurile bilaterale și multilaterale.</w:t>
            </w:r>
          </w:p>
        </w:tc>
      </w:tr>
    </w:tbl>
    <w:p w14:paraId="33C52E67" w14:textId="77777777" w:rsidR="00E32F72" w:rsidRPr="00AE5FE8" w:rsidRDefault="00E32F72" w:rsidP="00E32F72">
      <w:pPr>
        <w:rPr>
          <w:rFonts w:ascii="Times New Roman" w:hAnsi="Times New Roman"/>
          <w:noProof/>
          <w:sz w:val="24"/>
        </w:rPr>
      </w:pPr>
    </w:p>
    <w:p w14:paraId="2E91E21C" w14:textId="77777777" w:rsidR="00E32F72" w:rsidRPr="00C81A9D" w:rsidRDefault="00E32F72" w:rsidP="00E32F72">
      <w:pPr>
        <w:pStyle w:val="ListParagraph"/>
        <w:numPr>
          <w:ilvl w:val="0"/>
          <w:numId w:val="9"/>
        </w:numPr>
        <w:jc w:val="both"/>
        <w:rPr>
          <w:rFonts w:ascii="Times New Roman" w:hAnsi="Times New Roman"/>
          <w:b/>
          <w:noProof/>
          <w:sz w:val="24"/>
          <w:u w:val="single"/>
        </w:rPr>
      </w:pPr>
      <w:r w:rsidRPr="00C81A9D">
        <w:rPr>
          <w:rFonts w:ascii="Times New Roman" w:hAnsi="Times New Roman"/>
          <w:b/>
          <w:noProof/>
          <w:sz w:val="24"/>
          <w:u w:val="single"/>
        </w:rPr>
        <w:t>Recuperarea probelor din dispozitivele confiscate în cadrul anchetelor: criminalistica digitală</w:t>
      </w:r>
    </w:p>
    <w:p w14:paraId="2D9C2AF5"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Pentru a desfășura anchete penale, autoritățile de aplicare a legii și autoritățile judiciare trebuie să poată accesa, colecta, analiza și păstra probele digitale stocate pe dispozitive electronice. Aceste probe digitale pot, de exemplu, să contribuie la identificarea membrilor grupurilor infracționale organizate sau la excluderea persoanelor ca suspecți</w:t>
      </w:r>
      <w:r>
        <w:rPr>
          <w:rFonts w:ascii="Times New Roman" w:hAnsi="Times New Roman"/>
          <w:noProof/>
          <w:sz w:val="24"/>
          <w:vertAlign w:val="superscript"/>
        </w:rPr>
        <w:footnoteReference w:id="27"/>
      </w:r>
      <w:r>
        <w:rPr>
          <w:rFonts w:ascii="Times New Roman" w:hAnsi="Times New Roman"/>
          <w:noProof/>
          <w:sz w:val="24"/>
        </w:rPr>
        <w:t>.</w:t>
      </w:r>
    </w:p>
    <w:p w14:paraId="5B28CA3A"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Grupul la nivel înalt a discutat o serie de provocări care împiedică accesul la aceste probe digitale. Autoritățile naționale se confruntă cu o lipsă acută de resurse și capacități pentru desfășurarea activității de criminalistică digitală. Acestea se străduiesc să facă față necesității de a dezvolta în permanență noi competențe și instrumente pentru a ține pasul cu noile tehnologii (de exemplu, noi tipuri de dispozitive și sisteme de operare, internetul obiectelor și cloud computing). Cooperarea transfrontalieră dintre statele membre este subminată de lipsa unor capacități comparabile și de absența unor mecanisme de recunoaștere a competențelor și expertizei experților în criminalistică digitală. Soluțiile comerciale existente devin rapid depășite, sunt inaccesibile ca preț și sunt adesea dezvoltate în afara UE. De asemenea, acestea pot fi insuficient adaptate la nevoile autorităților statelor membre sau pot să nu îndeplinească standardele UE privind răspunderea în materie de criminalistică digitală sau alte cerințe legale.</w:t>
      </w:r>
    </w:p>
    <w:p w14:paraId="46E2E903" w14:textId="77777777" w:rsidR="00E32F72" w:rsidRPr="00AE5FE8" w:rsidRDefault="00E32F72" w:rsidP="00E32F72">
      <w:pPr>
        <w:spacing w:before="120"/>
        <w:jc w:val="both"/>
        <w:rPr>
          <w:rFonts w:ascii="Times New Roman" w:hAnsi="Times New Roman"/>
          <w:noProof/>
          <w:sz w:val="24"/>
        </w:rPr>
      </w:pPr>
      <w:r>
        <w:rPr>
          <w:rFonts w:ascii="Times New Roman" w:hAnsi="Times New Roman"/>
          <w:noProof/>
          <w:sz w:val="24"/>
        </w:rPr>
        <w:t xml:space="preserve">Prin urmare, pentru a consolida capacitatea autorităților europene de aplicare a legii de a efectua </w:t>
      </w:r>
      <w:r>
        <w:rPr>
          <w:rFonts w:ascii="Times New Roman" w:hAnsi="Times New Roman"/>
          <w:noProof/>
          <w:color w:val="000000"/>
          <w:sz w:val="24"/>
        </w:rPr>
        <w:t>expertize criminalistice</w:t>
      </w:r>
      <w:r>
        <w:rPr>
          <w:rFonts w:ascii="Times New Roman" w:hAnsi="Times New Roman"/>
          <w:noProof/>
          <w:sz w:val="24"/>
        </w:rPr>
        <w:t xml:space="preserve"> digitale pe dispozitivele confiscate, Grupul la nivel înalt a recomandat acordarea de finanțare specifică pentru proiecte destinate atât cercetării și dezvoltării de instrumente de criminalistică digitală, cât și adoptării </w:t>
      </w:r>
      <w:r>
        <w:rPr>
          <w:rFonts w:ascii="Times New Roman" w:hAnsi="Times New Roman"/>
          <w:noProof/>
          <w:color w:val="000000"/>
          <w:sz w:val="24"/>
        </w:rPr>
        <w:t>acestora</w:t>
      </w:r>
      <w:r>
        <w:rPr>
          <w:rFonts w:ascii="Times New Roman" w:hAnsi="Times New Roman"/>
          <w:noProof/>
          <w:sz w:val="24"/>
        </w:rPr>
        <w:t>. Grupul la nivel înalt a salutat eforturile în curs ale Comisiei de a sprijini aceste proiecte prin finanțare în cadrul anumitor instrumente ale UE (Orizont Europa, programul Europa digitală și Fondul pentru securitate internă) și al instrumentelor corespunzătoare din cadrul următorului buget pe termen lung al UE (cadrul financiar multianual)</w:t>
      </w:r>
      <w:r>
        <w:rPr>
          <w:rFonts w:ascii="Times New Roman" w:hAnsi="Times New Roman"/>
          <w:noProof/>
          <w:color w:val="000000" w:themeColor="text1"/>
          <w:sz w:val="24"/>
        </w:rPr>
        <w:t>.</w:t>
      </w:r>
    </w:p>
    <w:p w14:paraId="0A11FF0C"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Ca răspuns la aceste recomandări</w:t>
      </w:r>
      <w:r>
        <w:rPr>
          <w:rStyle w:val="FootnoteReference"/>
          <w:noProof/>
        </w:rPr>
        <w:footnoteReference w:id="28"/>
      </w:r>
      <w:r>
        <w:rPr>
          <w:rFonts w:ascii="Times New Roman" w:hAnsi="Times New Roman"/>
          <w:noProof/>
          <w:sz w:val="24"/>
        </w:rPr>
        <w:t>,</w:t>
      </w:r>
      <w:r w:rsidRPr="009828C5">
        <w:rPr>
          <w:rFonts w:ascii="Times New Roman" w:hAnsi="Times New Roman"/>
          <w:b/>
          <w:noProof/>
          <w:sz w:val="24"/>
        </w:rPr>
        <w:t xml:space="preserve"> </w:t>
      </w:r>
      <w:r w:rsidRPr="00C81A9D">
        <w:rPr>
          <w:rFonts w:ascii="Times New Roman" w:hAnsi="Times New Roman"/>
          <w:b/>
          <w:noProof/>
          <w:sz w:val="24"/>
          <w:u w:val="single"/>
        </w:rPr>
        <w:t>Comisia, cu sprijinul Europol, va coordona o analiză a lacunelor și a nevoilor în ceea ce privește cercetarea, dezvoltarea, implementarea, întreținerea și adoptarea de soluții tehnice comune pentru criminalistica digitală</w:t>
      </w:r>
      <w:r w:rsidRPr="009828C5">
        <w:rPr>
          <w:rFonts w:ascii="Times New Roman" w:hAnsi="Times New Roman"/>
          <w:b/>
          <w:noProof/>
          <w:sz w:val="24"/>
        </w:rPr>
        <w:t>.</w:t>
      </w:r>
    </w:p>
    <w:p w14:paraId="6F721280"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Utilizarea resurselor trebuie maximizată prin crearea de sinergii între proiectele de criminalistică digitală, inclusiv prin integrarea celor finanțate prin programe ale statelor membre în mecanismele sau rețelele existente. Aceasta ar trebui să includă finanțarea parteneriatelor public-privat pentru a furniza instrumente software pe deplin testate și gata de utilizare, fără costuri de acordare a licențelor</w:t>
      </w:r>
      <w:r>
        <w:rPr>
          <w:rStyle w:val="FootnoteReference"/>
          <w:noProof/>
        </w:rPr>
        <w:footnoteReference w:id="29"/>
      </w:r>
      <w:r>
        <w:rPr>
          <w:rFonts w:ascii="Times New Roman" w:hAnsi="Times New Roman"/>
          <w:noProof/>
          <w:sz w:val="24"/>
        </w:rPr>
        <w:t xml:space="preserve">. </w:t>
      </w:r>
    </w:p>
    <w:p w14:paraId="063C999C"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color w:val="000000" w:themeColor="text1"/>
          <w:sz w:val="24"/>
        </w:rPr>
        <w:t xml:space="preserve">În cadrul mandatului OLAF de a efectua anchete administrative, oficiul a dobândit o experiență semnificativă în materie de procese și instrumente de criminalistică </w:t>
      </w:r>
      <w:r>
        <w:rPr>
          <w:rFonts w:ascii="Times New Roman" w:hAnsi="Times New Roman"/>
          <w:noProof/>
          <w:sz w:val="24"/>
        </w:rPr>
        <w:t>digitală</w:t>
      </w:r>
      <w:r>
        <w:rPr>
          <w:rFonts w:ascii="Times New Roman" w:hAnsi="Times New Roman"/>
          <w:noProof/>
          <w:color w:val="000000" w:themeColor="text1"/>
          <w:sz w:val="24"/>
        </w:rPr>
        <w:t xml:space="preserve"> și poate ajuta autoritățile statelor membre să își consolideze capacitățile prin intermediul Programului antifraudă al Uniunii.</w:t>
      </w:r>
    </w:p>
    <w:p w14:paraId="5DDDB8BB" w14:textId="77777777" w:rsidR="00E32F72" w:rsidRPr="00B03188" w:rsidRDefault="00E32F72" w:rsidP="00E32F72">
      <w:pPr>
        <w:jc w:val="both"/>
        <w:rPr>
          <w:rFonts w:ascii="Times New Roman" w:hAnsi="Times New Roman" w:cs="Times New Roman"/>
          <w:noProof/>
          <w:sz w:val="24"/>
          <w:szCs w:val="24"/>
        </w:rPr>
      </w:pPr>
      <w:r w:rsidRPr="009828C5">
        <w:rPr>
          <w:rFonts w:ascii="Times New Roman" w:hAnsi="Times New Roman"/>
          <w:b/>
          <w:noProof/>
          <w:sz w:val="24"/>
        </w:rPr>
        <w:t>Registrul de instrumente al Europol</w:t>
      </w:r>
      <w:r>
        <w:rPr>
          <w:rFonts w:ascii="Times New Roman" w:hAnsi="Times New Roman"/>
          <w:noProof/>
          <w:sz w:val="24"/>
        </w:rPr>
        <w:t xml:space="preserve"> este o platformă online securizată, aflată exclusiv la dispoziția autorităților de aplicare a legii, pentru partajarea gratuită și necomercială a software-ului dezvoltat de Europol, de agențiile europene de aplicare a legii și de mediul academic. Autoritățile naționale de anchetă au utilizat pe scară largă instrumentele registrului pentru a sprijini activitățile desfășurate în domeniul criminalității grave și organizate, care include traficul de persoane, criminalitatea informatică și abuzul sexual online asupra minorilor. Acest registru ar trebui să rămână canalul privilegiat de distribuție pentru instrumentele digitale de anchetă dezvoltate de proiectele UE, precum și de statele membre, care vor fi încurajate să partajeze instrumentele de criminalistică digitală cu sursă deschisă dezvoltate la nivel național în cadrul mecanismelor sau rețelelor existente. </w:t>
      </w:r>
      <w:r w:rsidRPr="00C81A9D">
        <w:rPr>
          <w:rFonts w:ascii="Times New Roman" w:hAnsi="Times New Roman"/>
          <w:b/>
          <w:noProof/>
          <w:sz w:val="24"/>
          <w:u w:val="single"/>
        </w:rPr>
        <w:t>Europol își poate</w:t>
      </w:r>
      <w:r w:rsidRPr="00C81A9D">
        <w:rPr>
          <w:rFonts w:ascii="Times New Roman" w:hAnsi="Times New Roman"/>
          <w:noProof/>
          <w:sz w:val="24"/>
          <w:u w:val="single"/>
        </w:rPr>
        <w:t xml:space="preserve"> </w:t>
      </w:r>
      <w:r w:rsidRPr="00C81A9D">
        <w:rPr>
          <w:rFonts w:ascii="Times New Roman" w:hAnsi="Times New Roman"/>
          <w:b/>
          <w:noProof/>
          <w:color w:val="000000"/>
          <w:sz w:val="24"/>
          <w:u w:val="single"/>
        </w:rPr>
        <w:t>dezvolta și promova în continuare Registrul de instrumente</w:t>
      </w:r>
      <w:r w:rsidRPr="009828C5">
        <w:rPr>
          <w:rFonts w:ascii="Times New Roman" w:hAnsi="Times New Roman"/>
          <w:b/>
          <w:noProof/>
          <w:color w:val="000000"/>
          <w:sz w:val="24"/>
        </w:rPr>
        <w:t xml:space="preserve"> </w:t>
      </w:r>
      <w:r>
        <w:rPr>
          <w:rFonts w:ascii="Times New Roman" w:hAnsi="Times New Roman"/>
          <w:noProof/>
          <w:color w:val="000000"/>
          <w:sz w:val="24"/>
        </w:rPr>
        <w:t>pentru a pune la dispoziția autorităților de aplicare a legii din UE instrumente de anchetă de încredere, securizate, gratuite, ușor de instalat și scalabile.</w:t>
      </w:r>
    </w:p>
    <w:p w14:paraId="1E04CD94" w14:textId="77777777" w:rsidR="00E32F72" w:rsidRPr="009828C5" w:rsidRDefault="00E32F72" w:rsidP="00E32F72">
      <w:pPr>
        <w:jc w:val="both"/>
        <w:rPr>
          <w:rFonts w:ascii="Times New Roman" w:hAnsi="Times New Roman"/>
          <w:b/>
          <w:noProof/>
          <w:sz w:val="24"/>
        </w:rPr>
      </w:pPr>
      <w:r>
        <w:rPr>
          <w:rFonts w:ascii="Times New Roman" w:hAnsi="Times New Roman"/>
          <w:noProof/>
          <w:sz w:val="24"/>
        </w:rPr>
        <w:t>Comisia va</w:t>
      </w:r>
      <w:r w:rsidRPr="009828C5">
        <w:rPr>
          <w:rFonts w:ascii="Times New Roman" w:hAnsi="Times New Roman"/>
          <w:b/>
          <w:noProof/>
          <w:sz w:val="24"/>
        </w:rPr>
        <w:t xml:space="preserve"> </w:t>
      </w:r>
      <w:r w:rsidRPr="00C81A9D">
        <w:rPr>
          <w:rFonts w:ascii="Times New Roman" w:hAnsi="Times New Roman"/>
          <w:b/>
          <w:noProof/>
          <w:sz w:val="24"/>
          <w:u w:val="single"/>
        </w:rPr>
        <w:t>sprijini, de asemenea, adoptarea de soluții inovatoare de către autoritățile de aplicare a legii din statele membre prin intermediul mecanismelor existente, cum ar fi EMPACT</w:t>
      </w:r>
      <w:r w:rsidRPr="00C81A9D">
        <w:rPr>
          <w:rStyle w:val="FootnoteReference"/>
          <w:noProof/>
          <w:u w:val="single"/>
        </w:rPr>
        <w:footnoteReference w:id="30"/>
      </w:r>
      <w:r w:rsidRPr="00C81A9D">
        <w:rPr>
          <w:rFonts w:ascii="Times New Roman" w:hAnsi="Times New Roman"/>
          <w:b/>
          <w:noProof/>
          <w:sz w:val="24"/>
          <w:u w:val="single"/>
        </w:rPr>
        <w:t>, și prin</w:t>
      </w:r>
      <w:r w:rsidRPr="00C81A9D">
        <w:rPr>
          <w:rFonts w:ascii="Times New Roman" w:hAnsi="Times New Roman"/>
          <w:noProof/>
          <w:sz w:val="24"/>
          <w:u w:val="single"/>
        </w:rPr>
        <w:t xml:space="preserve"> </w:t>
      </w:r>
      <w:r w:rsidRPr="00C81A9D">
        <w:rPr>
          <w:rFonts w:ascii="Times New Roman" w:hAnsi="Times New Roman"/>
          <w:b/>
          <w:noProof/>
          <w:sz w:val="24"/>
          <w:u w:val="single"/>
        </w:rPr>
        <w:t>cereri de propuneri</w:t>
      </w:r>
      <w:r>
        <w:rPr>
          <w:rFonts w:ascii="Times New Roman" w:hAnsi="Times New Roman"/>
          <w:noProof/>
          <w:sz w:val="24"/>
        </w:rPr>
        <w:t xml:space="preserve"> specifice în cadrul Fondului pentru securitate internă.</w:t>
      </w:r>
    </w:p>
    <w:p w14:paraId="394F72F8" w14:textId="77777777" w:rsidR="00E32F72" w:rsidRPr="00AE5FE8" w:rsidRDefault="00E32F72" w:rsidP="00E32F72">
      <w:pPr>
        <w:spacing w:after="120"/>
        <w:jc w:val="both"/>
        <w:rPr>
          <w:rFonts w:ascii="Times New Roman" w:hAnsi="Times New Roman"/>
          <w:noProof/>
          <w:sz w:val="24"/>
        </w:rPr>
      </w:pPr>
      <w:r>
        <w:rPr>
          <w:rFonts w:ascii="Times New Roman" w:hAnsi="Times New Roman"/>
          <w:noProof/>
          <w:sz w:val="24"/>
        </w:rPr>
        <w:t xml:space="preserve">Grupul la nivel înalt a subliniat că </w:t>
      </w:r>
      <w:r w:rsidRPr="009828C5">
        <w:rPr>
          <w:rFonts w:ascii="Times New Roman" w:hAnsi="Times New Roman"/>
          <w:b/>
          <w:noProof/>
          <w:sz w:val="24"/>
        </w:rPr>
        <w:t>licențele pentru instrumentele de criminalistică digitală</w:t>
      </w:r>
      <w:r>
        <w:rPr>
          <w:rFonts w:ascii="Times New Roman" w:hAnsi="Times New Roman"/>
          <w:noProof/>
          <w:sz w:val="24"/>
        </w:rPr>
        <w:t xml:space="preserve"> sunt costisitoare și uneori inaccesibile ca preț pentru unele autorități de aplicare a legii. Instrumentele de criminalistică digitală pot furniza date în formate care nu sunt compatibile cu sistemele utilizate pentru prelucrarea ulterioară a datelor. În plus, încrederea este fundamentală pentru activitățile de criminalistică digitală, care nu ar trebui să se bazeze pe instrumente de tip „cutie neagră” (și anume instrumente care prelucrează date fără ca autoritățile de încredere să poată verifica modul în care funcționează). Partajarea instrumentelor de criminalistică digitală ar trebui să fie sprijinită de sisteme de evaluare și, după caz, de certificarea instrumentelor comerciale la nivelul UE, pentru a se asigura că acestea îndeplinesc standardele în materie de credibilitate și de criminalistică fără a impune sarcini nejustificate. Sprijinul ar trebui acordat, de asemenea, prin sisteme comune de achiziții publice, asigurând cooperarea dintre unitățile operaționale și punctele de contact din cadrul autorităților responsabile de achizițiile publice</w:t>
      </w:r>
      <w:r>
        <w:rPr>
          <w:rStyle w:val="FootnoteReference"/>
          <w:noProof/>
        </w:rPr>
        <w:footnoteReference w:id="31"/>
      </w:r>
      <w:r>
        <w:rPr>
          <w:rFonts w:ascii="Times New Roman" w:hAnsi="Times New Roman"/>
          <w:noProof/>
          <w:sz w:val="24"/>
        </w:rPr>
        <w:t>.</w:t>
      </w:r>
    </w:p>
    <w:p w14:paraId="37FA6385" w14:textId="77777777" w:rsidR="00E32F72" w:rsidRPr="009828C5" w:rsidRDefault="00E32F72" w:rsidP="00E32F72">
      <w:pPr>
        <w:spacing w:after="120"/>
        <w:jc w:val="both"/>
        <w:rPr>
          <w:rFonts w:ascii="Times New Roman" w:hAnsi="Times New Roman"/>
          <w:b/>
          <w:noProof/>
          <w:sz w:val="24"/>
        </w:rPr>
      </w:pPr>
      <w:r>
        <w:rPr>
          <w:rFonts w:ascii="Times New Roman" w:hAnsi="Times New Roman"/>
          <w:noProof/>
          <w:sz w:val="24"/>
        </w:rPr>
        <w:t xml:space="preserve">Prin urmare, </w:t>
      </w:r>
      <w:r w:rsidRPr="00C81A9D">
        <w:rPr>
          <w:rFonts w:ascii="Times New Roman" w:hAnsi="Times New Roman"/>
          <w:b/>
          <w:noProof/>
          <w:sz w:val="24"/>
          <w:u w:val="single"/>
        </w:rPr>
        <w:t>Comisia va sprijini unitățile operaționale ale statelor membre și autoritățile lor responsabile de achizițiile publice să instituie achiziții comune de licențe pentru instrumente de criminalistică digitală, începând cu o etapă-pilot</w:t>
      </w:r>
      <w:r w:rsidRPr="009828C5">
        <w:rPr>
          <w:rFonts w:ascii="Times New Roman" w:hAnsi="Times New Roman"/>
          <w:b/>
          <w:noProof/>
          <w:sz w:val="24"/>
        </w:rPr>
        <w:t>.</w:t>
      </w:r>
    </w:p>
    <w:tbl>
      <w:tblPr>
        <w:tblStyle w:val="TableGrid"/>
        <w:tblW w:w="9060" w:type="dxa"/>
        <w:tblLayout w:type="fixed"/>
        <w:tblLook w:val="06A0" w:firstRow="1" w:lastRow="0" w:firstColumn="1" w:lastColumn="0" w:noHBand="1" w:noVBand="1"/>
      </w:tblPr>
      <w:tblGrid>
        <w:gridCol w:w="9060"/>
      </w:tblGrid>
      <w:tr w:rsidR="00E32F72" w:rsidRPr="00B03188" w14:paraId="59CFAB2A" w14:textId="77777777" w:rsidTr="00C81626">
        <w:trPr>
          <w:trHeight w:val="983"/>
        </w:trPr>
        <w:tc>
          <w:tcPr>
            <w:tcW w:w="9060" w:type="dxa"/>
          </w:tcPr>
          <w:p w14:paraId="1BC8AD7A" w14:textId="77777777" w:rsidR="00E32F72" w:rsidRPr="00C81A9D" w:rsidRDefault="00E32F72" w:rsidP="00C81626">
            <w:pPr>
              <w:spacing w:after="120"/>
              <w:rPr>
                <w:rFonts w:ascii="Times New Roman" w:hAnsi="Times New Roman" w:cs="Times New Roman"/>
                <w:b/>
                <w:i/>
                <w:noProof/>
                <w:color w:val="000000"/>
                <w:sz w:val="24"/>
                <w:szCs w:val="24"/>
              </w:rPr>
            </w:pPr>
            <w:bookmarkStart w:id="3" w:name="_Hlk194324293"/>
            <w:r w:rsidRPr="00C81A9D">
              <w:rPr>
                <w:rFonts w:ascii="Times New Roman" w:hAnsi="Times New Roman"/>
                <w:b/>
                <w:i/>
                <w:noProof/>
                <w:color w:val="000000"/>
                <w:sz w:val="24"/>
              </w:rPr>
              <w:t>A</w:t>
            </w:r>
            <w:r w:rsidRPr="00C81A9D">
              <w:rPr>
                <w:rFonts w:ascii="Times New Roman" w:hAnsi="Times New Roman"/>
                <w:b/>
                <w:i/>
                <w:noProof/>
                <w:sz w:val="24"/>
              </w:rPr>
              <w:t>cțiuni-cheie</w:t>
            </w:r>
          </w:p>
          <w:p w14:paraId="7CB3D1B8" w14:textId="77777777" w:rsidR="00E32F72" w:rsidRPr="009828C5" w:rsidRDefault="00E32F72" w:rsidP="00C81626">
            <w:pPr>
              <w:spacing w:after="120"/>
              <w:rPr>
                <w:rFonts w:ascii="Times New Roman" w:hAnsi="Times New Roman" w:cs="Times New Roman"/>
                <w:b/>
                <w:noProof/>
                <w:color w:val="000000"/>
                <w:sz w:val="24"/>
                <w:szCs w:val="24"/>
              </w:rPr>
            </w:pPr>
            <w:r w:rsidRPr="00C81A9D">
              <w:rPr>
                <w:rFonts w:ascii="Times New Roman" w:hAnsi="Times New Roman"/>
                <w:b/>
                <w:noProof/>
                <w:color w:val="000000"/>
                <w:sz w:val="24"/>
                <w:u w:val="single"/>
              </w:rPr>
              <w:t>Comisia</w:t>
            </w:r>
            <w:r w:rsidRPr="009828C5">
              <w:rPr>
                <w:rFonts w:ascii="Times New Roman" w:hAnsi="Times New Roman"/>
                <w:b/>
                <w:noProof/>
                <w:color w:val="000000"/>
                <w:sz w:val="24"/>
              </w:rPr>
              <w:t>, cu sprijinul Europol, urmează:</w:t>
            </w:r>
          </w:p>
          <w:p w14:paraId="19818D16" w14:textId="77777777" w:rsidR="00E32F72" w:rsidRPr="009828C5" w:rsidRDefault="00E32F72" w:rsidP="00E32F72">
            <w:pPr>
              <w:pStyle w:val="ListParagraph"/>
              <w:numPr>
                <w:ilvl w:val="0"/>
                <w:numId w:val="19"/>
              </w:numPr>
              <w:spacing w:after="120"/>
              <w:jc w:val="both"/>
              <w:rPr>
                <w:rFonts w:ascii="Times New Roman" w:hAnsi="Times New Roman" w:cs="Times New Roman"/>
                <w:b/>
                <w:noProof/>
                <w:sz w:val="24"/>
                <w:szCs w:val="24"/>
              </w:rPr>
            </w:pPr>
            <w:r w:rsidRPr="009828C5">
              <w:rPr>
                <w:rFonts w:ascii="Times New Roman" w:hAnsi="Times New Roman"/>
                <w:b/>
                <w:noProof/>
                <w:color w:val="000000"/>
                <w:sz w:val="24"/>
              </w:rPr>
              <w:t>să coordoneze o analiză a lacunelor și a nevoilor în ceea ce privește cercetarea, dezvoltarea</w:t>
            </w:r>
            <w:r w:rsidRPr="009828C5">
              <w:rPr>
                <w:rFonts w:ascii="Times New Roman" w:hAnsi="Times New Roman"/>
                <w:b/>
                <w:noProof/>
                <w:sz w:val="24"/>
              </w:rPr>
              <w:t>, implementarea, întreținerea și adoptarea unor soluții tehnice comune pentru criminalistica digitală înainte de T2-2026;</w:t>
            </w:r>
          </w:p>
          <w:p w14:paraId="1A0E479B" w14:textId="77777777" w:rsidR="00E32F72" w:rsidRPr="009828C5" w:rsidRDefault="00E32F72" w:rsidP="00C81626">
            <w:pPr>
              <w:pStyle w:val="ListParagraph"/>
              <w:spacing w:after="120"/>
              <w:jc w:val="both"/>
              <w:rPr>
                <w:rFonts w:ascii="Times New Roman" w:hAnsi="Times New Roman" w:cs="Times New Roman"/>
                <w:b/>
                <w:noProof/>
                <w:sz w:val="24"/>
                <w:szCs w:val="24"/>
              </w:rPr>
            </w:pPr>
          </w:p>
          <w:p w14:paraId="30DDCB25" w14:textId="77777777" w:rsidR="00E32F72" w:rsidRPr="009828C5" w:rsidRDefault="00E32F72" w:rsidP="00E32F72">
            <w:pPr>
              <w:pStyle w:val="ListParagraph"/>
              <w:numPr>
                <w:ilvl w:val="0"/>
                <w:numId w:val="19"/>
              </w:numPr>
              <w:spacing w:after="120"/>
              <w:jc w:val="both"/>
              <w:rPr>
                <w:rFonts w:ascii="Times New Roman" w:hAnsi="Times New Roman" w:cs="Times New Roman"/>
                <w:b/>
                <w:noProof/>
                <w:color w:val="000000"/>
                <w:sz w:val="24"/>
                <w:szCs w:val="24"/>
              </w:rPr>
            </w:pPr>
            <w:r w:rsidRPr="009828C5">
              <w:rPr>
                <w:rFonts w:ascii="Times New Roman" w:hAnsi="Times New Roman"/>
                <w:b/>
                <w:noProof/>
                <w:color w:val="000000"/>
                <w:sz w:val="24"/>
              </w:rPr>
              <w:t>să sprijine în continuare dezvoltarea de soluții tehnice pentru criminalistica digitală prin mecanisme adecvate de finanțare și de coordonare;</w:t>
            </w:r>
          </w:p>
          <w:p w14:paraId="47C70902" w14:textId="77777777" w:rsidR="00E32F72" w:rsidRPr="009828C5" w:rsidRDefault="00E32F72" w:rsidP="00C81626">
            <w:pPr>
              <w:pStyle w:val="ListParagraph"/>
              <w:spacing w:after="120"/>
              <w:jc w:val="both"/>
              <w:rPr>
                <w:rFonts w:ascii="Times New Roman" w:hAnsi="Times New Roman" w:cs="Times New Roman"/>
                <w:b/>
                <w:noProof/>
                <w:color w:val="000000"/>
                <w:sz w:val="24"/>
                <w:szCs w:val="24"/>
              </w:rPr>
            </w:pPr>
          </w:p>
          <w:p w14:paraId="39B15EE7" w14:textId="77777777" w:rsidR="00E32F72" w:rsidRPr="009828C5" w:rsidRDefault="00E32F72" w:rsidP="00E32F72">
            <w:pPr>
              <w:pStyle w:val="ListParagraph"/>
              <w:numPr>
                <w:ilvl w:val="0"/>
                <w:numId w:val="19"/>
              </w:numPr>
              <w:spacing w:after="120"/>
              <w:jc w:val="both"/>
              <w:rPr>
                <w:rFonts w:ascii="Times New Roman" w:hAnsi="Times New Roman"/>
                <w:b/>
                <w:noProof/>
                <w:sz w:val="24"/>
              </w:rPr>
            </w:pPr>
            <w:r w:rsidRPr="009828C5">
              <w:rPr>
                <w:rFonts w:ascii="Times New Roman" w:hAnsi="Times New Roman"/>
                <w:b/>
                <w:noProof/>
                <w:sz w:val="24"/>
              </w:rPr>
              <w:t>să sprijine statele membre și autoritățile responsabile de achizițiile publice să instituie achiziții comune de licențe pentru instrumente de criminalistică digitală (înainte de T2-2027), începând cu o etapă-pilot.</w:t>
            </w:r>
          </w:p>
          <w:p w14:paraId="6492A134" w14:textId="125F2774" w:rsidR="00E32F72" w:rsidRPr="009828C5" w:rsidRDefault="00E32F72" w:rsidP="00C81626">
            <w:pPr>
              <w:spacing w:before="240" w:after="120"/>
              <w:jc w:val="both"/>
              <w:rPr>
                <w:rFonts w:ascii="Times New Roman" w:hAnsi="Times New Roman"/>
                <w:b/>
                <w:noProof/>
                <w:color w:val="000000"/>
                <w:sz w:val="24"/>
              </w:rPr>
            </w:pPr>
            <w:r w:rsidRPr="00C81A9D">
              <w:rPr>
                <w:rFonts w:ascii="Times New Roman" w:hAnsi="Times New Roman"/>
                <w:b/>
                <w:noProof/>
                <w:color w:val="000000"/>
                <w:sz w:val="24"/>
                <w:u w:val="single"/>
              </w:rPr>
              <w:t>Europol</w:t>
            </w:r>
            <w:r w:rsidRPr="009828C5">
              <w:rPr>
                <w:rFonts w:ascii="Times New Roman" w:hAnsi="Times New Roman"/>
                <w:b/>
                <w:noProof/>
                <w:color w:val="000000"/>
                <w:sz w:val="24"/>
              </w:rPr>
              <w:t xml:space="preserve"> este invitată să dezvolte și să promoveze în continuare Registrul său de instrumente pentru a permite accesul autorităților de aplicare a legii la instrumente digitale necomerciale (începând cu T3-2025).</w:t>
            </w:r>
          </w:p>
          <w:p w14:paraId="683F2733" w14:textId="77777777" w:rsidR="00E32F72" w:rsidRPr="009828C5" w:rsidRDefault="00E32F72" w:rsidP="00C81626">
            <w:pPr>
              <w:spacing w:before="240" w:after="120"/>
              <w:jc w:val="both"/>
              <w:rPr>
                <w:rFonts w:ascii="Times New Roman" w:hAnsi="Times New Roman"/>
                <w:b/>
                <w:noProof/>
                <w:color w:val="000000"/>
                <w:sz w:val="24"/>
              </w:rPr>
            </w:pPr>
            <w:r w:rsidRPr="00C81A9D">
              <w:rPr>
                <w:rFonts w:ascii="Times New Roman" w:hAnsi="Times New Roman"/>
                <w:b/>
                <w:noProof/>
                <w:color w:val="000000"/>
                <w:sz w:val="24"/>
                <w:u w:val="single"/>
              </w:rPr>
              <w:t>Statele membre</w:t>
            </w:r>
            <w:r w:rsidRPr="009828C5">
              <w:rPr>
                <w:rFonts w:ascii="Times New Roman" w:hAnsi="Times New Roman"/>
                <w:b/>
                <w:noProof/>
                <w:color w:val="000000"/>
                <w:sz w:val="24"/>
              </w:rPr>
              <w:t xml:space="preserve"> sunt invitate să participe, să sprijine și să ghideze dezvoltarea, validarea și adoptarea instrumentelor de criminalistică digitală.</w:t>
            </w:r>
          </w:p>
        </w:tc>
      </w:tr>
    </w:tbl>
    <w:bookmarkEnd w:id="3"/>
    <w:p w14:paraId="0EE649B8" w14:textId="77777777" w:rsidR="00E32F72" w:rsidRPr="00AE5FE8" w:rsidRDefault="00E32F72" w:rsidP="00E32F72">
      <w:pPr>
        <w:spacing w:before="120" w:after="120"/>
        <w:jc w:val="both"/>
        <w:rPr>
          <w:rFonts w:ascii="Times New Roman" w:hAnsi="Times New Roman"/>
          <w:noProof/>
          <w:sz w:val="24"/>
        </w:rPr>
      </w:pPr>
      <w:r>
        <w:rPr>
          <w:rFonts w:ascii="Times New Roman" w:hAnsi="Times New Roman"/>
          <w:noProof/>
          <w:sz w:val="24"/>
        </w:rPr>
        <w:t>Agenția UE pentru Formare în Materie de Aplicare a Legii (CEPOL) oferă formare anchetatorilor din domeniul criminalisticii digitale, inclusiv în ceea ce privește criminalistica mobilă și criminalistica datelor în timp real. În urma recomandării Grupului la nivel înalt</w:t>
      </w:r>
      <w:r>
        <w:rPr>
          <w:rStyle w:val="FootnoteReference"/>
          <w:noProof/>
        </w:rPr>
        <w:footnoteReference w:id="32"/>
      </w:r>
      <w:r>
        <w:rPr>
          <w:rFonts w:ascii="Times New Roman" w:hAnsi="Times New Roman"/>
          <w:noProof/>
          <w:sz w:val="24"/>
        </w:rPr>
        <w:t xml:space="preserve">, </w:t>
      </w:r>
      <w:r w:rsidRPr="009828C5">
        <w:rPr>
          <w:rFonts w:ascii="Times New Roman" w:hAnsi="Times New Roman"/>
          <w:b/>
          <w:noProof/>
          <w:sz w:val="24"/>
        </w:rPr>
        <w:t>Comisia ar trebui să sprijine în continuare crearea de materiale și resurse de formare</w:t>
      </w:r>
      <w:r>
        <w:rPr>
          <w:rFonts w:ascii="Times New Roman" w:hAnsi="Times New Roman"/>
          <w:noProof/>
          <w:sz w:val="24"/>
        </w:rPr>
        <w:t xml:space="preserve"> prin intermediul mecanismelor existente, implicând practicienii și mediul academic</w:t>
      </w:r>
      <w:r>
        <w:rPr>
          <w:rStyle w:val="FootnoteReference"/>
          <w:noProof/>
        </w:rPr>
        <w:footnoteReference w:id="33"/>
      </w:r>
      <w:r>
        <w:rPr>
          <w:rFonts w:ascii="Times New Roman" w:hAnsi="Times New Roman"/>
          <w:noProof/>
          <w:sz w:val="24"/>
        </w:rPr>
        <w:t>. În plus,</w:t>
      </w:r>
      <w:r w:rsidRPr="009828C5">
        <w:rPr>
          <w:rFonts w:ascii="Times New Roman" w:hAnsi="Times New Roman"/>
          <w:b/>
          <w:noProof/>
          <w:sz w:val="24"/>
        </w:rPr>
        <w:t xml:space="preserve"> </w:t>
      </w:r>
      <w:r>
        <w:rPr>
          <w:rFonts w:ascii="Times New Roman" w:hAnsi="Times New Roman"/>
          <w:noProof/>
          <w:sz w:val="24"/>
        </w:rPr>
        <w:t xml:space="preserve">CEPOL și statele membre ar trebui să </w:t>
      </w:r>
      <w:r w:rsidRPr="009828C5">
        <w:rPr>
          <w:rFonts w:ascii="Times New Roman" w:hAnsi="Times New Roman"/>
          <w:b/>
          <w:noProof/>
          <w:sz w:val="24"/>
        </w:rPr>
        <w:t>acorde prioritate furnizării de formare în domeniul criminalisticii digitale.</w:t>
      </w:r>
    </w:p>
    <w:p w14:paraId="33A6DB0E" w14:textId="77777777" w:rsidR="00E32F72" w:rsidRPr="00AE5FE8" w:rsidRDefault="00E32F72" w:rsidP="00E32F72">
      <w:pPr>
        <w:spacing w:after="120"/>
        <w:jc w:val="both"/>
        <w:rPr>
          <w:rFonts w:ascii="Times New Roman" w:hAnsi="Times New Roman"/>
          <w:noProof/>
          <w:sz w:val="24"/>
        </w:rPr>
      </w:pPr>
      <w:r>
        <w:rPr>
          <w:rFonts w:ascii="Times New Roman" w:hAnsi="Times New Roman"/>
          <w:noProof/>
          <w:sz w:val="24"/>
        </w:rPr>
        <w:t>Grupul la nivel înalt a subliniat, de asemenea, că ar putea fi creat un sistem de certificare la nivelul UE pentru experții în criminalistică digitală. Un astfel de sistem ar asigura calitatea activității de criminalistică digitală, ar contribui la îmbunătățirea transparenței procedurilor judiciare și ar spori încrederea dintre autoritățile de aplicare a legii la nivel transfrontalier.</w:t>
      </w:r>
    </w:p>
    <w:p w14:paraId="232E7F4E" w14:textId="77777777" w:rsidR="00E32F72" w:rsidRPr="00AE5FE8" w:rsidRDefault="00E32F72" w:rsidP="00E32F72">
      <w:pPr>
        <w:spacing w:after="120"/>
        <w:jc w:val="both"/>
        <w:rPr>
          <w:rFonts w:ascii="Times New Roman" w:hAnsi="Times New Roman"/>
          <w:noProof/>
          <w:sz w:val="24"/>
        </w:rPr>
      </w:pPr>
      <w:r>
        <w:rPr>
          <w:rFonts w:ascii="Times New Roman" w:hAnsi="Times New Roman"/>
          <w:noProof/>
          <w:sz w:val="24"/>
        </w:rPr>
        <w:t>În concordanță cu recomandările Grupului la nivel înalt</w:t>
      </w:r>
      <w:r>
        <w:rPr>
          <w:rStyle w:val="FootnoteReference"/>
          <w:noProof/>
          <w:szCs w:val="24"/>
        </w:rPr>
        <w:footnoteReference w:id="34"/>
      </w:r>
      <w:r>
        <w:rPr>
          <w:rFonts w:ascii="Times New Roman" w:hAnsi="Times New Roman"/>
          <w:noProof/>
          <w:sz w:val="24"/>
        </w:rPr>
        <w:t>, CEPOL</w:t>
      </w:r>
      <w:r w:rsidRPr="009828C5">
        <w:rPr>
          <w:rFonts w:ascii="Times New Roman" w:hAnsi="Times New Roman"/>
          <w:b/>
          <w:noProof/>
          <w:sz w:val="24"/>
        </w:rPr>
        <w:t xml:space="preserve"> ar putea sprijini practicienii și mediul academic, utilizând pe deplin rețelele și mecanismele existente</w:t>
      </w:r>
      <w:r>
        <w:rPr>
          <w:rStyle w:val="FootnoteReference"/>
          <w:noProof/>
        </w:rPr>
        <w:footnoteReference w:id="35"/>
      </w:r>
      <w:r w:rsidRPr="009828C5">
        <w:rPr>
          <w:rFonts w:ascii="Times New Roman" w:hAnsi="Times New Roman"/>
          <w:b/>
          <w:noProof/>
          <w:sz w:val="24"/>
        </w:rPr>
        <w:t>, să creeze un sistem de certificare la nivelul UE pentru experții în criminalistică digitală</w:t>
      </w:r>
      <w:r>
        <w:rPr>
          <w:rFonts w:ascii="Times New Roman" w:hAnsi="Times New Roman"/>
          <w:noProof/>
          <w:sz w:val="24"/>
        </w:rPr>
        <w:t>.</w:t>
      </w:r>
    </w:p>
    <w:tbl>
      <w:tblPr>
        <w:tblStyle w:val="TableGrid"/>
        <w:tblW w:w="9060" w:type="dxa"/>
        <w:tblLayout w:type="fixed"/>
        <w:tblLook w:val="06A0" w:firstRow="1" w:lastRow="0" w:firstColumn="1" w:lastColumn="0" w:noHBand="1" w:noVBand="1"/>
      </w:tblPr>
      <w:tblGrid>
        <w:gridCol w:w="9060"/>
      </w:tblGrid>
      <w:tr w:rsidR="00E32F72" w:rsidRPr="00B03188" w14:paraId="559C07A0" w14:textId="77777777" w:rsidTr="00C81626">
        <w:trPr>
          <w:trHeight w:val="1441"/>
        </w:trPr>
        <w:tc>
          <w:tcPr>
            <w:tcW w:w="9060" w:type="dxa"/>
          </w:tcPr>
          <w:p w14:paraId="49D6974C" w14:textId="77777777" w:rsidR="00E32F72" w:rsidRPr="00C81A9D" w:rsidRDefault="00E32F72" w:rsidP="00C81626">
            <w:pPr>
              <w:spacing w:after="120"/>
              <w:rPr>
                <w:rFonts w:ascii="Times New Roman" w:hAnsi="Times New Roman"/>
                <w:b/>
                <w:i/>
                <w:noProof/>
                <w:sz w:val="24"/>
              </w:rPr>
            </w:pPr>
            <w:r w:rsidRPr="00C81A9D">
              <w:rPr>
                <w:rFonts w:ascii="Times New Roman" w:hAnsi="Times New Roman"/>
                <w:b/>
                <w:i/>
                <w:noProof/>
                <w:color w:val="000000"/>
                <w:sz w:val="24"/>
              </w:rPr>
              <w:t>A</w:t>
            </w:r>
            <w:r w:rsidRPr="00C81A9D">
              <w:rPr>
                <w:rFonts w:ascii="Times New Roman" w:hAnsi="Times New Roman"/>
                <w:b/>
                <w:i/>
                <w:noProof/>
                <w:sz w:val="24"/>
              </w:rPr>
              <w:t>cțiuni-cheie</w:t>
            </w:r>
          </w:p>
          <w:p w14:paraId="48770EC8" w14:textId="77777777" w:rsidR="00E32F72" w:rsidRPr="009828C5" w:rsidRDefault="00E32F72" w:rsidP="00C81626">
            <w:pPr>
              <w:spacing w:after="120"/>
              <w:rPr>
                <w:rFonts w:ascii="Times New Roman" w:hAnsi="Times New Roman"/>
                <w:b/>
                <w:noProof/>
                <w:sz w:val="24"/>
              </w:rPr>
            </w:pPr>
            <w:r w:rsidRPr="00C81A9D">
              <w:rPr>
                <w:rFonts w:ascii="Times New Roman" w:hAnsi="Times New Roman"/>
                <w:b/>
                <w:noProof/>
                <w:sz w:val="24"/>
                <w:u w:val="single"/>
              </w:rPr>
              <w:t>Comisia</w:t>
            </w:r>
            <w:r w:rsidRPr="009828C5">
              <w:rPr>
                <w:rFonts w:ascii="Times New Roman" w:hAnsi="Times New Roman"/>
                <w:b/>
                <w:noProof/>
                <w:sz w:val="24"/>
              </w:rPr>
              <w:t xml:space="preserve"> urmează:</w:t>
            </w:r>
          </w:p>
          <w:p w14:paraId="1A7EF623" w14:textId="77777777" w:rsidR="00E32F72" w:rsidRPr="009828C5" w:rsidRDefault="00E32F72" w:rsidP="00E32F72">
            <w:pPr>
              <w:pStyle w:val="ListParagraph"/>
              <w:numPr>
                <w:ilvl w:val="0"/>
                <w:numId w:val="19"/>
              </w:numPr>
              <w:spacing w:after="120"/>
              <w:rPr>
                <w:rFonts w:ascii="Times New Roman" w:hAnsi="Times New Roman" w:cs="Times New Roman"/>
                <w:b/>
                <w:iCs/>
                <w:noProof/>
                <w:color w:val="000000"/>
                <w:sz w:val="24"/>
                <w:szCs w:val="24"/>
              </w:rPr>
            </w:pPr>
            <w:r w:rsidRPr="009828C5">
              <w:rPr>
                <w:rFonts w:ascii="Times New Roman" w:hAnsi="Times New Roman"/>
                <w:b/>
                <w:noProof/>
                <w:sz w:val="24"/>
              </w:rPr>
              <w:t>să sprijine în continuare crearea de materiale și resurse de formare.</w:t>
            </w:r>
          </w:p>
          <w:p w14:paraId="13B54A46" w14:textId="77777777" w:rsidR="00E32F72" w:rsidRPr="009828C5" w:rsidRDefault="00E32F72" w:rsidP="00C81626">
            <w:pPr>
              <w:spacing w:after="120"/>
              <w:rPr>
                <w:rFonts w:ascii="Times New Roman" w:hAnsi="Times New Roman" w:cs="Times New Roman"/>
                <w:b/>
                <w:noProof/>
                <w:color w:val="000000"/>
                <w:sz w:val="24"/>
                <w:szCs w:val="24"/>
              </w:rPr>
            </w:pPr>
            <w:r w:rsidRPr="00C81A9D">
              <w:rPr>
                <w:rFonts w:ascii="Times New Roman" w:hAnsi="Times New Roman"/>
                <w:b/>
                <w:noProof/>
                <w:color w:val="000000"/>
                <w:sz w:val="24"/>
                <w:u w:val="single"/>
              </w:rPr>
              <w:t>CEPOL și statele membre</w:t>
            </w:r>
            <w:r w:rsidRPr="009828C5">
              <w:rPr>
                <w:rFonts w:ascii="Times New Roman" w:hAnsi="Times New Roman"/>
                <w:b/>
                <w:noProof/>
                <w:color w:val="000000"/>
                <w:sz w:val="24"/>
              </w:rPr>
              <w:t xml:space="preserve"> sunt încurajate:</w:t>
            </w:r>
          </w:p>
          <w:p w14:paraId="2CEF23B1" w14:textId="77777777" w:rsidR="00E32F72" w:rsidRPr="009828C5" w:rsidRDefault="00E32F72" w:rsidP="00E32F72">
            <w:pPr>
              <w:pStyle w:val="ListParagraph"/>
              <w:numPr>
                <w:ilvl w:val="0"/>
                <w:numId w:val="19"/>
              </w:numPr>
              <w:spacing w:after="120"/>
              <w:jc w:val="both"/>
              <w:rPr>
                <w:rFonts w:ascii="Times New Roman" w:hAnsi="Times New Roman" w:cs="Times New Roman"/>
                <w:b/>
                <w:noProof/>
                <w:sz w:val="24"/>
                <w:szCs w:val="24"/>
              </w:rPr>
            </w:pPr>
            <w:r w:rsidRPr="009828C5">
              <w:rPr>
                <w:rFonts w:ascii="Times New Roman" w:hAnsi="Times New Roman"/>
                <w:b/>
                <w:noProof/>
                <w:sz w:val="24"/>
              </w:rPr>
              <w:t>să acorde prioritate furnizării de formare în domeniul criminalisticii digitale (începând cu T3-2025);</w:t>
            </w:r>
          </w:p>
          <w:p w14:paraId="6D3902FB" w14:textId="77777777" w:rsidR="00E32F72" w:rsidRPr="009828C5" w:rsidRDefault="00E32F72" w:rsidP="00C81626">
            <w:pPr>
              <w:pStyle w:val="ListParagraph"/>
              <w:spacing w:after="120"/>
              <w:jc w:val="both"/>
              <w:rPr>
                <w:rFonts w:ascii="Times New Roman" w:hAnsi="Times New Roman" w:cs="Times New Roman"/>
                <w:b/>
                <w:noProof/>
                <w:sz w:val="24"/>
                <w:szCs w:val="24"/>
              </w:rPr>
            </w:pPr>
          </w:p>
          <w:p w14:paraId="3F34548A" w14:textId="77777777" w:rsidR="00E32F72" w:rsidRPr="009828C5" w:rsidRDefault="00E32F72" w:rsidP="00E32F72">
            <w:pPr>
              <w:pStyle w:val="ListParagraph"/>
              <w:numPr>
                <w:ilvl w:val="0"/>
                <w:numId w:val="19"/>
              </w:numPr>
              <w:spacing w:after="120"/>
              <w:jc w:val="both"/>
              <w:rPr>
                <w:b/>
                <w:noProof/>
                <w:color w:val="000000"/>
              </w:rPr>
            </w:pPr>
            <w:r w:rsidRPr="009828C5">
              <w:rPr>
                <w:rFonts w:ascii="Times New Roman" w:hAnsi="Times New Roman"/>
                <w:b/>
                <w:noProof/>
                <w:sz w:val="24"/>
              </w:rPr>
              <w:t xml:space="preserve">să sprijine dezvoltarea și punerea în aplicare a unui sistem de certificare la nivelul UE pentru experții în criminalistică digitală (care urmează să fie elaborat între T1-2026 și T4-2028). </w:t>
            </w:r>
          </w:p>
        </w:tc>
      </w:tr>
    </w:tbl>
    <w:p w14:paraId="5DDD68A1" w14:textId="77777777" w:rsidR="00E32F72" w:rsidRPr="009828C5" w:rsidRDefault="00E32F72" w:rsidP="00E32F72">
      <w:pPr>
        <w:spacing w:after="0" w:line="240" w:lineRule="auto"/>
        <w:rPr>
          <w:rFonts w:ascii="Times New Roman" w:hAnsi="Times New Roman"/>
          <w:b/>
          <w:noProof/>
          <w:sz w:val="24"/>
        </w:rPr>
      </w:pPr>
    </w:p>
    <w:p w14:paraId="1203CAB9" w14:textId="77777777" w:rsidR="00E32F72" w:rsidRPr="00AE5FE8" w:rsidRDefault="00E32F72" w:rsidP="00E32F72">
      <w:pPr>
        <w:spacing w:after="120"/>
        <w:jc w:val="both"/>
        <w:rPr>
          <w:rFonts w:ascii="Times New Roman" w:hAnsi="Times New Roman"/>
          <w:noProof/>
          <w:sz w:val="24"/>
        </w:rPr>
      </w:pPr>
      <w:r>
        <w:rPr>
          <w:rFonts w:ascii="Times New Roman" w:hAnsi="Times New Roman"/>
          <w:noProof/>
          <w:sz w:val="24"/>
        </w:rPr>
        <w:t>Grupul la nivel înalt a formulat recomandări privind facilitarea schimbului de soluții și de instrumente de criminalistică digitală între statele membre într-un mediu de încredere</w:t>
      </w:r>
      <w:r>
        <w:rPr>
          <w:rStyle w:val="FootnoteReference"/>
          <w:noProof/>
        </w:rPr>
        <w:footnoteReference w:id="36"/>
      </w:r>
      <w:r>
        <w:rPr>
          <w:rFonts w:ascii="Times New Roman" w:hAnsi="Times New Roman"/>
          <w:noProof/>
          <w:sz w:val="24"/>
        </w:rPr>
        <w:t>. Drept urmare,</w:t>
      </w:r>
      <w:r w:rsidRPr="009828C5">
        <w:rPr>
          <w:rFonts w:ascii="Times New Roman" w:hAnsi="Times New Roman"/>
          <w:b/>
          <w:noProof/>
          <w:sz w:val="24"/>
        </w:rPr>
        <w:t xml:space="preserve"> </w:t>
      </w:r>
      <w:r w:rsidRPr="00C81A9D">
        <w:rPr>
          <w:rFonts w:ascii="Times New Roman" w:hAnsi="Times New Roman"/>
          <w:b/>
          <w:noProof/>
          <w:sz w:val="24"/>
          <w:u w:val="single"/>
        </w:rPr>
        <w:t>Europol ar trebui să își dezvolte în continuare rolul de centru de excelență al UE în materie de asigurare a respectării legii pentru expertiza operațională digitală în domeniul criminalisticii digitale</w:t>
      </w:r>
      <w:r w:rsidRPr="00C81A9D">
        <w:rPr>
          <w:rFonts w:ascii="Times New Roman" w:hAnsi="Times New Roman"/>
          <w:noProof/>
          <w:sz w:val="24"/>
          <w:u w:val="single"/>
        </w:rPr>
        <w:t>.</w:t>
      </w:r>
      <w:r>
        <w:rPr>
          <w:rFonts w:ascii="Times New Roman" w:hAnsi="Times New Roman"/>
          <w:noProof/>
          <w:sz w:val="24"/>
        </w:rPr>
        <w:t xml:space="preserve"> Acest demers ar putea include instituirea unui proiect similar SIRIUS</w:t>
      </w:r>
      <w:r>
        <w:rPr>
          <w:rFonts w:ascii="Times New Roman" w:hAnsi="Times New Roman"/>
          <w:noProof/>
          <w:sz w:val="24"/>
          <w:vertAlign w:val="superscript"/>
        </w:rPr>
        <w:footnoteReference w:id="37"/>
      </w:r>
      <w:r>
        <w:rPr>
          <w:rFonts w:ascii="Times New Roman" w:hAnsi="Times New Roman"/>
          <w:noProof/>
          <w:sz w:val="24"/>
        </w:rPr>
        <w:t xml:space="preserve"> pentru a facilita schimbul de cunoștințe, expertiză, soluții tehnice, instrumente de criminalistică digitală și bune practici într-un mediu de încredere. Europol ar trebui, de asemenea, să își intensifice rolul de coordonare în ceea ce privește crearea de cunoștințe în domeniul criminalisticii digitale la nivelul UE, pe baza mecanismelor create în ultimii ani</w:t>
      </w:r>
      <w:r>
        <w:rPr>
          <w:rFonts w:ascii="Times New Roman" w:hAnsi="Times New Roman"/>
          <w:noProof/>
          <w:sz w:val="24"/>
          <w:vertAlign w:val="superscript"/>
        </w:rPr>
        <w:footnoteReference w:id="38"/>
      </w:r>
      <w:r>
        <w:rPr>
          <w:rFonts w:ascii="Times New Roman" w:hAnsi="Times New Roman"/>
          <w:noProof/>
          <w:sz w:val="24"/>
        </w:rPr>
        <w:t>. Europol poate iniția unele dintre aceste acțiuni în cadrul mandatului său actual. Totuși, Europol va avea nevoie de un mandat consolidat și de resurse suplimentare pentru a dezvolta pe deplin aceste acțiuni și pentru a răspunde în mod eficace nevoilor operaționale ale statelor membre.</w:t>
      </w:r>
    </w:p>
    <w:p w14:paraId="3684D3B4" w14:textId="37896EA0" w:rsidR="00E32F72" w:rsidRPr="00AE5FE8" w:rsidRDefault="00E32F72" w:rsidP="00E32F72">
      <w:pPr>
        <w:spacing w:after="120"/>
        <w:jc w:val="both"/>
        <w:rPr>
          <w:rFonts w:ascii="Times New Roman" w:hAnsi="Times New Roman"/>
          <w:noProof/>
          <w:sz w:val="24"/>
        </w:rPr>
      </w:pPr>
      <w:r>
        <w:rPr>
          <w:rFonts w:ascii="Times New Roman" w:hAnsi="Times New Roman"/>
          <w:noProof/>
          <w:sz w:val="24"/>
        </w:rPr>
        <w:t xml:space="preserve">Ca urmare a angajamentului stabilit în Orientările politice pentru Comisia Europeană </w:t>
      </w:r>
      <w:r w:rsidRPr="009828C5">
        <w:rPr>
          <w:rFonts w:ascii="Times New Roman" w:hAnsi="Times New Roman"/>
          <w:noProof/>
          <w:sz w:val="24"/>
        </w:rPr>
        <w:t>2024</w:t>
      </w:r>
      <w:r w:rsidR="009828C5">
        <w:rPr>
          <w:rFonts w:ascii="Times New Roman" w:hAnsi="Times New Roman" w:cs="Times New Roman"/>
          <w:noProof/>
          <w:sz w:val="24"/>
        </w:rPr>
        <w:t>­</w:t>
      </w:r>
      <w:r w:rsidRPr="009828C5">
        <w:rPr>
          <w:rFonts w:ascii="Times New Roman" w:hAnsi="Times New Roman"/>
          <w:noProof/>
          <w:sz w:val="24"/>
        </w:rPr>
        <w:t>2029</w:t>
      </w:r>
      <w:r>
        <w:rPr>
          <w:rFonts w:ascii="Times New Roman" w:hAnsi="Times New Roman"/>
          <w:noProof/>
          <w:sz w:val="24"/>
        </w:rPr>
        <w:t xml:space="preserve"> și astfel cum s-a anunțat în Strategia europeană de securitate internă, </w:t>
      </w:r>
      <w:r w:rsidRPr="00C81A9D">
        <w:rPr>
          <w:rFonts w:ascii="Times New Roman" w:hAnsi="Times New Roman"/>
          <w:b/>
          <w:noProof/>
          <w:sz w:val="24"/>
          <w:u w:val="single"/>
        </w:rPr>
        <w:t>Comisia va propune o revizuire ambițioasă a mandatului Europol</w:t>
      </w:r>
      <w:r>
        <w:rPr>
          <w:rFonts w:ascii="Times New Roman" w:hAnsi="Times New Roman"/>
          <w:noProof/>
          <w:sz w:val="24"/>
        </w:rPr>
        <w:t>. Pentru a pregăti acest lucru, în strânsă cooperare cu statele membre, Comisia va analiza modalitățile de stimulare a expertizei tehnologice și a capacității Europol de a sprijini autoritățile naționale de aplicare a legii în spațiul digital. Consolidarea capacităților Europol în materie de criminalistică digitală, pe baza unui mandat consolidat și cu resurse suplimentare, va fi esențială în acest efort.</w:t>
      </w:r>
    </w:p>
    <w:p w14:paraId="20BA7895" w14:textId="77777777" w:rsidR="00E32F72" w:rsidRPr="00AE5FE8" w:rsidRDefault="00E32F72" w:rsidP="00E32F72">
      <w:pPr>
        <w:spacing w:after="0"/>
        <w:jc w:val="both"/>
        <w:rPr>
          <w:rFonts w:ascii="Times New Roman" w:hAnsi="Times New Roman"/>
          <w:noProof/>
          <w:sz w:val="24"/>
        </w:rPr>
      </w:pPr>
      <w:r>
        <w:rPr>
          <w:rFonts w:ascii="Times New Roman" w:hAnsi="Times New Roman"/>
          <w:noProof/>
          <w:sz w:val="24"/>
        </w:rPr>
        <w:t>Grupul la nivel înalt a recomandat îmbunătățirea accesului la cunoștințe pentru experți prin mecanisme specifice și prin colaborarea experților cu producătorii și dezvoltatorii de instrumente de criminalistică digitală</w:t>
      </w:r>
      <w:r>
        <w:rPr>
          <w:rStyle w:val="FootnoteReference"/>
          <w:noProof/>
        </w:rPr>
        <w:footnoteReference w:id="39"/>
      </w:r>
      <w:r>
        <w:rPr>
          <w:rFonts w:ascii="Times New Roman" w:hAnsi="Times New Roman"/>
          <w:noProof/>
          <w:sz w:val="24"/>
        </w:rPr>
        <w:t xml:space="preserve">. Începând din </w:t>
      </w:r>
      <w:r w:rsidRPr="009828C5">
        <w:rPr>
          <w:rFonts w:ascii="Times New Roman" w:hAnsi="Times New Roman"/>
          <w:noProof/>
          <w:sz w:val="24"/>
        </w:rPr>
        <w:t>2026</w:t>
      </w:r>
      <w:r>
        <w:rPr>
          <w:rFonts w:ascii="Times New Roman" w:hAnsi="Times New Roman"/>
          <w:noProof/>
          <w:sz w:val="24"/>
        </w:rPr>
        <w:t xml:space="preserve">, </w:t>
      </w:r>
      <w:r w:rsidRPr="00C81A9D">
        <w:rPr>
          <w:rFonts w:ascii="Times New Roman" w:hAnsi="Times New Roman"/>
          <w:b/>
          <w:noProof/>
          <w:sz w:val="24"/>
          <w:u w:val="single"/>
        </w:rPr>
        <w:t>Europol, utilizând propriile resurse, ar trebui să încurajeze cooperarea dintre autoritățile naționale relevante și experți pentru a facilita cooperarea dintre sectorul public și cel privat în domeniul criminalisticii digitale</w:t>
      </w:r>
      <w:r>
        <w:rPr>
          <w:rFonts w:ascii="Times New Roman" w:hAnsi="Times New Roman"/>
          <w:noProof/>
          <w:sz w:val="24"/>
        </w:rPr>
        <w:t>. Europol ar trebui să sprijine statele membre să dezvolte instrumente digitale și proceduri comune, care includ stabilirea unor formate de date comune în scopul criminalisticii digitale</w:t>
      </w:r>
      <w:r>
        <w:rPr>
          <w:rStyle w:val="FootnoteReference"/>
          <w:noProof/>
        </w:rPr>
        <w:footnoteReference w:id="40"/>
      </w:r>
      <w:r>
        <w:rPr>
          <w:rFonts w:ascii="Times New Roman" w:hAnsi="Times New Roman"/>
          <w:noProof/>
          <w:sz w:val="24"/>
        </w:rPr>
        <w:t>.</w:t>
      </w:r>
    </w:p>
    <w:p w14:paraId="2CB0BDF4" w14:textId="77777777" w:rsidR="00E32F72" w:rsidRPr="00AE5FE8" w:rsidRDefault="00E32F72" w:rsidP="00E32F72">
      <w:pPr>
        <w:spacing w:after="0"/>
        <w:jc w:val="both"/>
        <w:rPr>
          <w:rFonts w:ascii="Times New Roman" w:hAnsi="Times New Roman"/>
          <w:noProof/>
          <w:sz w:val="24"/>
        </w:rPr>
      </w:pPr>
    </w:p>
    <w:tbl>
      <w:tblPr>
        <w:tblStyle w:val="TableGrid"/>
        <w:tblW w:w="9060" w:type="dxa"/>
        <w:tblLayout w:type="fixed"/>
        <w:tblLook w:val="06A0" w:firstRow="1" w:lastRow="0" w:firstColumn="1" w:lastColumn="0" w:noHBand="1" w:noVBand="1"/>
      </w:tblPr>
      <w:tblGrid>
        <w:gridCol w:w="9060"/>
      </w:tblGrid>
      <w:tr w:rsidR="00E32F72" w:rsidRPr="00B03188" w14:paraId="321B8D03" w14:textId="77777777" w:rsidTr="00C81626">
        <w:trPr>
          <w:trHeight w:val="1442"/>
        </w:trPr>
        <w:tc>
          <w:tcPr>
            <w:tcW w:w="9060" w:type="dxa"/>
          </w:tcPr>
          <w:p w14:paraId="1373FA9B" w14:textId="77777777" w:rsidR="00E32F72" w:rsidRPr="00C81A9D" w:rsidRDefault="00E32F72" w:rsidP="00C81626">
            <w:pPr>
              <w:spacing w:after="120"/>
              <w:rPr>
                <w:rFonts w:ascii="Times New Roman" w:hAnsi="Times New Roman" w:cs="Times New Roman"/>
                <w:b/>
                <w:i/>
                <w:noProof/>
                <w:color w:val="000000"/>
                <w:sz w:val="24"/>
                <w:szCs w:val="24"/>
              </w:rPr>
            </w:pPr>
            <w:r w:rsidRPr="00C81A9D">
              <w:rPr>
                <w:rFonts w:ascii="Times New Roman" w:hAnsi="Times New Roman"/>
                <w:b/>
                <w:i/>
                <w:noProof/>
                <w:color w:val="000000"/>
                <w:sz w:val="24"/>
              </w:rPr>
              <w:t>A</w:t>
            </w:r>
            <w:r w:rsidRPr="00C81A9D">
              <w:rPr>
                <w:rFonts w:ascii="Times New Roman" w:hAnsi="Times New Roman"/>
                <w:b/>
                <w:i/>
                <w:noProof/>
                <w:sz w:val="24"/>
              </w:rPr>
              <w:t>cțiuni-cheie</w:t>
            </w:r>
          </w:p>
          <w:p w14:paraId="6361D24A" w14:textId="77777777" w:rsidR="00E32F72" w:rsidRPr="009828C5" w:rsidRDefault="00E32F72" w:rsidP="00C81626">
            <w:pPr>
              <w:spacing w:after="120"/>
              <w:rPr>
                <w:rFonts w:ascii="Times New Roman" w:hAnsi="Times New Roman" w:cs="Times New Roman"/>
                <w:b/>
                <w:noProof/>
                <w:color w:val="000000"/>
                <w:sz w:val="24"/>
                <w:szCs w:val="24"/>
              </w:rPr>
            </w:pPr>
            <w:r w:rsidRPr="00C81A9D">
              <w:rPr>
                <w:rFonts w:ascii="Times New Roman" w:hAnsi="Times New Roman"/>
                <w:b/>
                <w:noProof/>
                <w:color w:val="000000"/>
                <w:sz w:val="24"/>
                <w:u w:val="single"/>
              </w:rPr>
              <w:t>Europol</w:t>
            </w:r>
            <w:r w:rsidRPr="009828C5">
              <w:rPr>
                <w:rFonts w:ascii="Times New Roman" w:hAnsi="Times New Roman"/>
                <w:b/>
                <w:noProof/>
                <w:color w:val="000000"/>
                <w:sz w:val="24"/>
              </w:rPr>
              <w:t xml:space="preserve"> este invitat:</w:t>
            </w:r>
          </w:p>
          <w:p w14:paraId="3ACD53C0" w14:textId="77777777" w:rsidR="00E32F72" w:rsidRPr="009828C5" w:rsidRDefault="00E32F72" w:rsidP="00E32F72">
            <w:pPr>
              <w:pStyle w:val="ListParagraph"/>
              <w:numPr>
                <w:ilvl w:val="0"/>
                <w:numId w:val="19"/>
              </w:numPr>
              <w:spacing w:after="120"/>
              <w:jc w:val="both"/>
              <w:rPr>
                <w:b/>
                <w:noProof/>
                <w:color w:val="000000"/>
              </w:rPr>
            </w:pPr>
            <w:r w:rsidRPr="009828C5">
              <w:rPr>
                <w:rFonts w:ascii="Times New Roman" w:hAnsi="Times New Roman"/>
                <w:b/>
                <w:noProof/>
                <w:sz w:val="24"/>
              </w:rPr>
              <w:t>să devină un centru de excelență pentru expertiza operațională în domeniul criminalisticii digitale și să își intensifice rolul în coordonarea creării de cunoștințe în acest domeniu la nivelul UE (începând din 2026);</w:t>
            </w:r>
          </w:p>
          <w:p w14:paraId="7212B1AE" w14:textId="77777777" w:rsidR="00E32F72" w:rsidRPr="009828C5" w:rsidRDefault="00E32F72" w:rsidP="00C81626">
            <w:pPr>
              <w:pStyle w:val="ListParagraph"/>
              <w:spacing w:after="120"/>
              <w:jc w:val="both"/>
              <w:rPr>
                <w:b/>
                <w:noProof/>
                <w:color w:val="000000"/>
              </w:rPr>
            </w:pPr>
          </w:p>
          <w:p w14:paraId="5237649C" w14:textId="77777777" w:rsidR="00E32F72" w:rsidRPr="009828C5" w:rsidRDefault="00E32F72" w:rsidP="00E32F72">
            <w:pPr>
              <w:pStyle w:val="ListParagraph"/>
              <w:numPr>
                <w:ilvl w:val="0"/>
                <w:numId w:val="19"/>
              </w:numPr>
              <w:spacing w:after="120"/>
              <w:jc w:val="both"/>
              <w:rPr>
                <w:b/>
                <w:noProof/>
                <w:color w:val="000000"/>
              </w:rPr>
            </w:pPr>
            <w:r w:rsidRPr="009828C5">
              <w:rPr>
                <w:rFonts w:ascii="Times New Roman" w:hAnsi="Times New Roman"/>
                <w:b/>
                <w:noProof/>
                <w:sz w:val="24"/>
              </w:rPr>
              <w:t>să faciliteze cooperarea dintre autoritățile de aplicare a legii și părțile private, inclusiv furnizorii de servicii, în ceea ce privește criminalistica digitală și să contribuie la stabilirea unor formate comune de date în scopul criminalisticii digitale (începând din 2026).</w:t>
            </w:r>
            <w:r w:rsidRPr="009828C5">
              <w:rPr>
                <w:b/>
                <w:noProof/>
                <w:color w:val="000000"/>
              </w:rPr>
              <w:t xml:space="preserve"> </w:t>
            </w:r>
          </w:p>
        </w:tc>
      </w:tr>
    </w:tbl>
    <w:p w14:paraId="65FD8BD9" w14:textId="77777777" w:rsidR="00E32F72" w:rsidRPr="00B03188" w:rsidRDefault="00E32F72" w:rsidP="00E32F72">
      <w:pPr>
        <w:jc w:val="both"/>
        <w:rPr>
          <w:rFonts w:ascii="Times New Roman" w:hAnsi="Times New Roman" w:cs="Times New Roman"/>
          <w:noProof/>
          <w:sz w:val="24"/>
          <w:szCs w:val="24"/>
        </w:rPr>
      </w:pPr>
    </w:p>
    <w:p w14:paraId="4AEAE2EA" w14:textId="77777777" w:rsidR="00E32F72" w:rsidRPr="00C81A9D" w:rsidRDefault="00E32F72" w:rsidP="00E32F72">
      <w:pPr>
        <w:numPr>
          <w:ilvl w:val="0"/>
          <w:numId w:val="9"/>
        </w:numPr>
        <w:spacing w:after="120"/>
        <w:ind w:left="567" w:hanging="567"/>
        <w:jc w:val="both"/>
        <w:rPr>
          <w:rFonts w:ascii="Times New Roman" w:hAnsi="Times New Roman"/>
          <w:b/>
          <w:noProof/>
          <w:sz w:val="24"/>
          <w:u w:val="single"/>
        </w:rPr>
      </w:pPr>
      <w:r w:rsidRPr="00C81A9D">
        <w:rPr>
          <w:rFonts w:ascii="Times New Roman" w:hAnsi="Times New Roman"/>
          <w:b/>
          <w:noProof/>
          <w:sz w:val="24"/>
          <w:u w:val="single"/>
        </w:rPr>
        <w:t>Asigurarea faptului că probele pot fi citite: decriptarea datelor</w:t>
      </w:r>
    </w:p>
    <w:p w14:paraId="3010181B"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Criptarea și alte măsuri de securitate cibernetică joacă un rol important în protejarea sistemelor informatice împotriva spionajului și a perturbărilor și în securizarea comunicațiilor, a vieții private și a datelor cu caracter personal. Între </w:t>
      </w:r>
      <w:r w:rsidRPr="009828C5">
        <w:rPr>
          <w:rFonts w:ascii="Times New Roman" w:hAnsi="Times New Roman"/>
          <w:noProof/>
          <w:sz w:val="24"/>
        </w:rPr>
        <w:t>60</w:t>
      </w:r>
      <w:r>
        <w:rPr>
          <w:rFonts w:ascii="Times New Roman" w:hAnsi="Times New Roman"/>
          <w:noProof/>
          <w:sz w:val="24"/>
        </w:rPr>
        <w:t xml:space="preserve"> % și </w:t>
      </w:r>
      <w:r w:rsidRPr="009828C5">
        <w:rPr>
          <w:rFonts w:ascii="Times New Roman" w:hAnsi="Times New Roman"/>
          <w:noProof/>
          <w:sz w:val="24"/>
        </w:rPr>
        <w:t>80</w:t>
      </w:r>
      <w:r>
        <w:rPr>
          <w:rFonts w:ascii="Times New Roman" w:hAnsi="Times New Roman"/>
          <w:noProof/>
          <w:sz w:val="24"/>
        </w:rPr>
        <w:t> % din aplicațiile de mesagerie sunt criptate de la un capăt la altul, inclusiv cele oferite de furnizorii principali, cum ar fi WhatsApp, Messenger, Signal și iMessage, în timp ce utilizarea mesajelor text și a apelurilor telefonice clasice înregistrează o scădere drastică la nivel mondial</w:t>
      </w:r>
      <w:r>
        <w:rPr>
          <w:rStyle w:val="FootnoteReference"/>
          <w:noProof/>
          <w:szCs w:val="24"/>
        </w:rPr>
        <w:footnoteReference w:id="41"/>
      </w:r>
      <w:r>
        <w:rPr>
          <w:rFonts w:ascii="Times New Roman" w:hAnsi="Times New Roman"/>
          <w:noProof/>
          <w:sz w:val="24"/>
        </w:rPr>
        <w:t>.</w:t>
      </w:r>
    </w:p>
    <w:p w14:paraId="74798944"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Grupul la nivel înalt a remarcat că aceste evoluții au un impact asupra capacității autorităților de aplicare a legii și a autorităților judiciare de a colecta probe în cadrul anchetelor și urmăririlor penale, întrucât interceptarea legală a comunicațiilor devine, în mare parte, inutilizabilă. Grupul la nivel înalt a subliniat că statele membre au expertiză și capacități limitate de a decripta datele în repaus, existând diferențe semnificative în ceea ce privește ratele de succes, care variază de la </w:t>
      </w:r>
      <w:r w:rsidRPr="009828C5">
        <w:rPr>
          <w:rFonts w:ascii="Times New Roman" w:hAnsi="Times New Roman"/>
          <w:noProof/>
          <w:sz w:val="24"/>
        </w:rPr>
        <w:t>15</w:t>
      </w:r>
      <w:r>
        <w:rPr>
          <w:rFonts w:ascii="Times New Roman" w:hAnsi="Times New Roman"/>
          <w:noProof/>
          <w:sz w:val="24"/>
        </w:rPr>
        <w:t>-</w:t>
      </w:r>
      <w:r w:rsidRPr="009828C5">
        <w:rPr>
          <w:rFonts w:ascii="Times New Roman" w:hAnsi="Times New Roman"/>
          <w:noProof/>
          <w:sz w:val="24"/>
        </w:rPr>
        <w:t>20</w:t>
      </w:r>
      <w:r>
        <w:rPr>
          <w:rFonts w:ascii="Times New Roman" w:hAnsi="Times New Roman"/>
          <w:noProof/>
          <w:sz w:val="24"/>
        </w:rPr>
        <w:t xml:space="preserve"> % în unele state membre până la peste </w:t>
      </w:r>
      <w:r w:rsidRPr="009828C5">
        <w:rPr>
          <w:rFonts w:ascii="Times New Roman" w:hAnsi="Times New Roman"/>
          <w:noProof/>
          <w:sz w:val="24"/>
        </w:rPr>
        <w:t>66</w:t>
      </w:r>
      <w:r>
        <w:rPr>
          <w:rFonts w:ascii="Times New Roman" w:hAnsi="Times New Roman"/>
          <w:noProof/>
          <w:sz w:val="24"/>
        </w:rPr>
        <w:t> % în altele.</w:t>
      </w:r>
    </w:p>
    <w:p w14:paraId="7593DE26" w14:textId="77777777" w:rsidR="00E32F72" w:rsidRPr="00B03188" w:rsidRDefault="00E32F72" w:rsidP="00E32F72">
      <w:pPr>
        <w:jc w:val="both"/>
        <w:rPr>
          <w:noProof/>
        </w:rPr>
      </w:pPr>
      <w:r>
        <w:rPr>
          <w:rFonts w:ascii="Times New Roman" w:hAnsi="Times New Roman"/>
          <w:noProof/>
          <w:sz w:val="24"/>
        </w:rPr>
        <w:t>Echipamentele de decriptare sunt costisitoare și foarte specializate, iar hardware-ul consumă multe resurse. Majoritatea departamentelor de criminalistică digitală din cadrul autorităților de aplicare a legii se bazează pe soluții comerciale pentru a accesa datele de pe dispozitive. Aceste soluții sunt adaptate cu dificultate la evoluțiile tehnologice și devin rapid caduce; costul ridicat al licențelor reduce în mod semnificativ numărul de utilizatori autorizați; iar aceste soluții sunt adesea dezvoltate în afara UE și, prin urmare, este posibil să nu răspundă nevoilor autorităților UE sau să nu îndeplinească standardele în materie de criminalistică digitală. Prin urmare, acestea sunt utilizate cu succes doar într-un număr foarte mic de anchete.</w:t>
      </w:r>
    </w:p>
    <w:p w14:paraId="44BE6019"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În plus, utilizarea acestor instrumente are și alte dezavantaje. În cadrul anchetelor pe care le efectuează, autoritățile exploatează adesea vulnerabilitățile pentru a obține acces la cheile de decriptare de pe dispozitive, ceea ce, în unele cazuri, ar putea crea o discrepanță în raport cu obiectivul de politică de a asigura securitatea cibernetică în mod implicit. În plus, accesarea datelor criptate devine din ce în ce mai complexă. Grupul la nivel înalt a remarcat că datele stocate pe anumite tipuri de dispozitive moderne, protejate prin cipuri criptografice sau algoritmi puternici de criptare și parole complexe, nu pot fi accesate de autorități, nici măcar utilizând cele mai puternice platforme de decriptare.</w:t>
      </w:r>
    </w:p>
    <w:p w14:paraId="56798881"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 xml:space="preserve">Dezvoltarea și introducerea </w:t>
      </w:r>
      <w:r w:rsidRPr="009828C5">
        <w:rPr>
          <w:rFonts w:ascii="Times New Roman" w:hAnsi="Times New Roman"/>
          <w:b/>
          <w:noProof/>
          <w:sz w:val="24"/>
        </w:rPr>
        <w:t>criptografiei cuantice sigure</w:t>
      </w:r>
      <w:r>
        <w:rPr>
          <w:rFonts w:ascii="Times New Roman" w:hAnsi="Times New Roman"/>
          <w:noProof/>
          <w:sz w:val="24"/>
        </w:rPr>
        <w:t xml:space="preserve"> reprezintă o necesitate pentru a proteja datele de viitoarele atacuri informatice cuantice care ar face ca tranzacțiile financiare, comunicațiile sensibile și secretele de stat să fie vulnerabile la decriptare și exploatare. Astfel cum se prevede în Recomandarea Comisiei privind o foaie de parcurs coordonată pentru punerea în aplicare a tranziției către </w:t>
      </w:r>
      <w:r w:rsidRPr="009828C5">
        <w:rPr>
          <w:rFonts w:ascii="Times New Roman" w:hAnsi="Times New Roman"/>
          <w:b/>
          <w:noProof/>
          <w:sz w:val="24"/>
        </w:rPr>
        <w:t>criptografia post-cuantică (PQC)</w:t>
      </w:r>
      <w:r w:rsidRPr="009828C5">
        <w:rPr>
          <w:rStyle w:val="FootnoteReference"/>
          <w:b/>
          <w:bCs/>
          <w:noProof/>
          <w:szCs w:val="24"/>
        </w:rPr>
        <w:footnoteReference w:id="42"/>
      </w:r>
      <w:r>
        <w:rPr>
          <w:rFonts w:ascii="Times New Roman" w:hAnsi="Times New Roman"/>
          <w:noProof/>
          <w:sz w:val="24"/>
        </w:rPr>
        <w:t xml:space="preserve"> și în Strategia europeană de securitate internă (ProtectEU), implementarea soluțiilor PQC și dezvoltarea distribuției cuantice a cheilor vor fi esențiale pentru protejarea datelor în noua eră cuantică. Totuși, după cum a subliniat Europol, acest lucru va îngreuna accesul legal la probele digitale în anii următori, iar agențiile de aplicare a legii trebuie să realizeze investiții pentru a ține pasul cu evoluțiile tehnologice rapide</w:t>
      </w:r>
      <w:r>
        <w:rPr>
          <w:rStyle w:val="FootnoteReference"/>
          <w:noProof/>
        </w:rPr>
        <w:footnoteReference w:id="43"/>
      </w:r>
      <w:r>
        <w:rPr>
          <w:rFonts w:ascii="Times New Roman" w:hAnsi="Times New Roman"/>
          <w:noProof/>
          <w:sz w:val="24"/>
        </w:rPr>
        <w:t xml:space="preserve">. </w:t>
      </w:r>
    </w:p>
    <w:p w14:paraId="0F76AC82"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Grupul la nivel înalt</w:t>
      </w:r>
      <w:r>
        <w:rPr>
          <w:rStyle w:val="FootnoteReference"/>
          <w:noProof/>
        </w:rPr>
        <w:footnoteReference w:id="44"/>
      </w:r>
      <w:r>
        <w:rPr>
          <w:rFonts w:ascii="Times New Roman" w:hAnsi="Times New Roman"/>
          <w:noProof/>
          <w:sz w:val="24"/>
        </w:rPr>
        <w:t xml:space="preserve"> a recomandat elaborarea unei foi de parcurs tehnologice pentru a pune în aplicare accesul legal specific începând cu momentul conceperii, atunci când este cazul, asigurând în același timp o securitate și o securitate cibernetică solide și respectând pe deplin obligațiile legale privind accesul legal. În replică, </w:t>
      </w:r>
      <w:r w:rsidRPr="00C81A9D">
        <w:rPr>
          <w:rFonts w:ascii="Times New Roman" w:hAnsi="Times New Roman"/>
          <w:b/>
          <w:noProof/>
          <w:sz w:val="24"/>
          <w:u w:val="single"/>
        </w:rPr>
        <w:t>Comisia încredințează unui grup de experți sarcina de a oferi sprijin în elaborarea unei foi de parcurs tehnologice privind criptarea.</w:t>
      </w:r>
      <w:r w:rsidRPr="009828C5">
        <w:rPr>
          <w:rFonts w:ascii="Times New Roman" w:hAnsi="Times New Roman"/>
          <w:b/>
          <w:noProof/>
          <w:sz w:val="24"/>
        </w:rPr>
        <w:t xml:space="preserve"> </w:t>
      </w:r>
      <w:r>
        <w:rPr>
          <w:rFonts w:ascii="Times New Roman" w:hAnsi="Times New Roman"/>
          <w:noProof/>
          <w:sz w:val="24"/>
        </w:rPr>
        <w:t>Grupul va</w:t>
      </w:r>
      <w:r w:rsidRPr="009828C5">
        <w:rPr>
          <w:rFonts w:ascii="Times New Roman" w:hAnsi="Times New Roman"/>
          <w:b/>
          <w:noProof/>
          <w:sz w:val="24"/>
        </w:rPr>
        <w:t xml:space="preserve"> </w:t>
      </w:r>
      <w:r>
        <w:rPr>
          <w:rFonts w:ascii="Times New Roman" w:hAnsi="Times New Roman"/>
          <w:noProof/>
          <w:sz w:val="24"/>
        </w:rPr>
        <w:t>identifica și va evalua soluțiile tehnologice care ar permite autorităților de aplicare a legii să acceseze date criptate în mod legal, protejând în același timp securitatea cibernetică și drepturile fundamentale. Grupul va cuprinde experți în domeniul asigurării respectării legii, al securității cibernetice, al criptării, al tehnologiilor comunicațiilor, al standardizării și al drepturilor fundamentale. Studiile tehnologice și validarea conceptelor vor sprijini această activitate. Scopul acestei activități este de a identifica:</w:t>
      </w:r>
    </w:p>
    <w:p w14:paraId="56C4C36D" w14:textId="77777777" w:rsidR="00E32F72" w:rsidRPr="00B03188" w:rsidRDefault="00E32F72" w:rsidP="00E32F72">
      <w:pPr>
        <w:pStyle w:val="ListParagraph"/>
        <w:numPr>
          <w:ilvl w:val="0"/>
          <w:numId w:val="11"/>
        </w:numPr>
        <w:spacing w:after="120"/>
        <w:ind w:left="527" w:hanging="357"/>
        <w:contextualSpacing w:val="0"/>
        <w:jc w:val="both"/>
        <w:rPr>
          <w:noProof/>
          <w:sz w:val="23"/>
          <w:szCs w:val="23"/>
        </w:rPr>
      </w:pPr>
      <w:r w:rsidRPr="009828C5">
        <w:rPr>
          <w:rFonts w:ascii="Times New Roman" w:hAnsi="Times New Roman"/>
          <w:b/>
          <w:noProof/>
          <w:sz w:val="24"/>
        </w:rPr>
        <w:t>instrumentele de care autoritățile de aplicare a legii au nevoie în prezent și vor avea nevoie în viitor</w:t>
      </w:r>
      <w:r>
        <w:rPr>
          <w:rFonts w:ascii="Times New Roman" w:hAnsi="Times New Roman"/>
          <w:noProof/>
          <w:sz w:val="24"/>
        </w:rPr>
        <w:t xml:space="preserve"> pentru a găsi, a extrage și a analiza în mod legal date criptate; aceste instrumente trebuie să faciliteze activitățile de criminalistică digitală, de decriptare, de colectare de date la distanță și de evaluare a criminalității;</w:t>
      </w:r>
    </w:p>
    <w:p w14:paraId="558A2262" w14:textId="77777777" w:rsidR="00E32F72" w:rsidRPr="00B03188" w:rsidRDefault="00E32F72" w:rsidP="00E32F72">
      <w:pPr>
        <w:pStyle w:val="ListParagraph"/>
        <w:numPr>
          <w:ilvl w:val="0"/>
          <w:numId w:val="11"/>
        </w:numPr>
        <w:jc w:val="both"/>
        <w:rPr>
          <w:noProof/>
        </w:rPr>
      </w:pPr>
      <w:r w:rsidRPr="009828C5">
        <w:rPr>
          <w:rFonts w:ascii="Times New Roman" w:hAnsi="Times New Roman"/>
          <w:b/>
          <w:noProof/>
          <w:sz w:val="24"/>
        </w:rPr>
        <w:t>tehnologii care asigură faptul că viitoarele tehnologii ale informației și comunicațiilor</w:t>
      </w:r>
      <w:r>
        <w:rPr>
          <w:rFonts w:ascii="Times New Roman" w:hAnsi="Times New Roman"/>
          <w:noProof/>
          <w:sz w:val="24"/>
        </w:rPr>
        <w:t>, cum ar fi a șasea generație de rețele celulare (</w:t>
      </w:r>
      <w:r w:rsidRPr="009828C5">
        <w:rPr>
          <w:rFonts w:ascii="Times New Roman" w:hAnsi="Times New Roman"/>
          <w:noProof/>
          <w:sz w:val="24"/>
        </w:rPr>
        <w:t>6</w:t>
      </w:r>
      <w:r>
        <w:rPr>
          <w:rFonts w:ascii="Times New Roman" w:hAnsi="Times New Roman"/>
          <w:noProof/>
          <w:sz w:val="24"/>
        </w:rPr>
        <w:t>G) și criptarea rezistentă la atacuri cuantice, nu afectează capacitatea autorităților de aplicare a legii de a accesa date în mod legal, asigurând în același timp respectarea drepturilor fundamentale și a securității cibernetice.</w:t>
      </w:r>
    </w:p>
    <w:p w14:paraId="2F55F81F"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În cazul în care nu există instrumente în prezent, se preconizează că foaia de parcurs tehnologică va oferi recomandări cu privire la dezvoltarea acestora și la modalitățile de asigurare a compatibilității cu cadrul juridic al UE și de garantare a securității cibernetice. Rezultatul foii de parcurs tehnologice poate, de asemenea, să stea la baza unor acțiuni specifice de promovare a unei abordări coordonate a standardizării.</w:t>
      </w:r>
    </w:p>
    <w:p w14:paraId="101C9408"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Platforma de decriptare a Europol s-a dovedit a fi esențială în sprijinirea cazurilor penale importante, inclusiv a celor rezultate din cazurile Sky ECC</w:t>
      </w:r>
      <w:r>
        <w:rPr>
          <w:rStyle w:val="FootnoteReference"/>
          <w:noProof/>
          <w:szCs w:val="24"/>
        </w:rPr>
        <w:footnoteReference w:id="45"/>
      </w:r>
      <w:r>
        <w:rPr>
          <w:rFonts w:ascii="Times New Roman" w:hAnsi="Times New Roman"/>
          <w:noProof/>
          <w:sz w:val="24"/>
        </w:rPr>
        <w:t xml:space="preserve"> și EncroChat.</w:t>
      </w:r>
      <w:r w:rsidRPr="009828C5">
        <w:rPr>
          <w:rFonts w:ascii="Times New Roman" w:hAnsi="Times New Roman"/>
          <w:b/>
          <w:noProof/>
          <w:sz w:val="24"/>
        </w:rPr>
        <w:t xml:space="preserve"> </w:t>
      </w:r>
      <w:r>
        <w:rPr>
          <w:rFonts w:ascii="Times New Roman" w:hAnsi="Times New Roman"/>
          <w:noProof/>
          <w:sz w:val="24"/>
        </w:rPr>
        <w:t>Sunt necesare capacități sporite de decriptare, determinate și de investiții suplimentare în inteligența artificială (IA) și în calculul de înaltă performanță, pentru a se asigura că autoritățile de aplicare a legii au capacitatea de a decripta algoritmi din ce în ce mai complecși.</w:t>
      </w:r>
    </w:p>
    <w:p w14:paraId="3367B76C"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Grupul la nivel înalt a formulat o recomandare</w:t>
      </w:r>
      <w:r>
        <w:rPr>
          <w:rStyle w:val="FootnoteReference"/>
          <w:noProof/>
        </w:rPr>
        <w:footnoteReference w:id="46"/>
      </w:r>
      <w:r w:rsidRPr="009828C5">
        <w:rPr>
          <w:rFonts w:ascii="Times New Roman" w:hAnsi="Times New Roman"/>
          <w:b/>
          <w:noProof/>
          <w:sz w:val="24"/>
        </w:rPr>
        <w:t xml:space="preserve"> </w:t>
      </w:r>
      <w:r>
        <w:rPr>
          <w:rFonts w:ascii="Times New Roman" w:hAnsi="Times New Roman"/>
          <w:noProof/>
          <w:sz w:val="24"/>
        </w:rPr>
        <w:t>de creștere a finanțării pentru sprijinirea inovării în ceea ce privește accesul la date. În replică,</w:t>
      </w:r>
      <w:r w:rsidRPr="009828C5">
        <w:rPr>
          <w:rFonts w:ascii="Times New Roman" w:hAnsi="Times New Roman"/>
          <w:b/>
          <w:noProof/>
          <w:sz w:val="24"/>
        </w:rPr>
        <w:t xml:space="preserve"> </w:t>
      </w:r>
      <w:r w:rsidRPr="00C81A9D">
        <w:rPr>
          <w:rFonts w:ascii="Times New Roman" w:hAnsi="Times New Roman"/>
          <w:b/>
          <w:noProof/>
          <w:sz w:val="24"/>
          <w:u w:val="single"/>
        </w:rPr>
        <w:t>Comisia va sprijini cercetarea și dezvoltarea de noi capacități de decriptare</w:t>
      </w:r>
      <w:r>
        <w:rPr>
          <w:rFonts w:ascii="Times New Roman" w:hAnsi="Times New Roman"/>
          <w:noProof/>
          <w:sz w:val="24"/>
        </w:rPr>
        <w:t xml:space="preserve"> pentru a se asigura că Europol este bine dotată după </w:t>
      </w:r>
      <w:r w:rsidRPr="009828C5">
        <w:rPr>
          <w:rFonts w:ascii="Times New Roman" w:hAnsi="Times New Roman"/>
          <w:noProof/>
          <w:sz w:val="24"/>
        </w:rPr>
        <w:t>2030</w:t>
      </w:r>
      <w:r>
        <w:rPr>
          <w:rFonts w:ascii="Times New Roman" w:hAnsi="Times New Roman"/>
          <w:noProof/>
          <w:sz w:val="24"/>
        </w:rPr>
        <w:t xml:space="preserve"> pentru a sprijini statele membre,</w:t>
      </w:r>
      <w:r w:rsidRPr="009828C5">
        <w:rPr>
          <w:rFonts w:ascii="Times New Roman" w:hAnsi="Times New Roman"/>
          <w:b/>
          <w:noProof/>
          <w:sz w:val="24"/>
        </w:rPr>
        <w:t xml:space="preserve"> </w:t>
      </w:r>
      <w:r>
        <w:rPr>
          <w:rFonts w:ascii="Times New Roman" w:hAnsi="Times New Roman"/>
          <w:noProof/>
          <w:sz w:val="24"/>
        </w:rPr>
        <w:t>având în vedere noile evoluții tehnologice și cele mai avansate activități de cercetare în domeniu. Această inițiativă ar putea implica creșterea finanțării pentru sprijinirea cercetării în domeniul decriptării, precum și dezvoltarea și punerea în aplicare a instrumentelor de către statele membre. Statele membre vor fi implicate îndeaproape pentru a-și împărtăși cerințele specifice, cu scopul de a-și consolida capacitățile, competențele și resursele tehnice, pe baza tehnologiilor concepute la nivelul UE și, eventual, pentru a analiza posibilitatea realizării unor achiziții publice comune.</w:t>
      </w:r>
    </w:p>
    <w:tbl>
      <w:tblPr>
        <w:tblStyle w:val="TableGrid"/>
        <w:tblW w:w="0" w:type="auto"/>
        <w:tblLook w:val="04A0" w:firstRow="1" w:lastRow="0" w:firstColumn="1" w:lastColumn="0" w:noHBand="0" w:noVBand="1"/>
      </w:tblPr>
      <w:tblGrid>
        <w:gridCol w:w="9016"/>
      </w:tblGrid>
      <w:tr w:rsidR="00E32F72" w:rsidRPr="00B03188" w14:paraId="6338ACC0" w14:textId="77777777" w:rsidTr="00C81626">
        <w:tc>
          <w:tcPr>
            <w:tcW w:w="9016" w:type="dxa"/>
          </w:tcPr>
          <w:p w14:paraId="2CF46CC6" w14:textId="77777777" w:rsidR="00E32F72" w:rsidRPr="00C81A9D" w:rsidRDefault="00E32F72" w:rsidP="00C81626">
            <w:pPr>
              <w:jc w:val="both"/>
              <w:rPr>
                <w:rFonts w:ascii="Times New Roman" w:hAnsi="Times New Roman"/>
                <w:b/>
                <w:i/>
                <w:noProof/>
                <w:sz w:val="24"/>
              </w:rPr>
            </w:pPr>
            <w:r w:rsidRPr="00C81A9D">
              <w:rPr>
                <w:rFonts w:ascii="Times New Roman" w:hAnsi="Times New Roman"/>
                <w:b/>
                <w:i/>
                <w:noProof/>
                <w:sz w:val="24"/>
              </w:rPr>
              <w:t>Acțiuni-cheie</w:t>
            </w:r>
          </w:p>
          <w:p w14:paraId="37FDA6CC" w14:textId="77777777" w:rsidR="00E32F72" w:rsidRPr="00C81A9D" w:rsidRDefault="00E32F72" w:rsidP="00C81626">
            <w:pPr>
              <w:jc w:val="both"/>
              <w:rPr>
                <w:rFonts w:ascii="Times New Roman" w:hAnsi="Times New Roman"/>
                <w:b/>
                <w:i/>
                <w:noProof/>
                <w:sz w:val="24"/>
              </w:rPr>
            </w:pPr>
          </w:p>
          <w:p w14:paraId="18F4A2CC" w14:textId="77777777" w:rsidR="00E32F72" w:rsidRPr="009828C5" w:rsidRDefault="00E32F72" w:rsidP="00C81626">
            <w:pPr>
              <w:jc w:val="both"/>
              <w:rPr>
                <w:rFonts w:ascii="Times New Roman" w:hAnsi="Times New Roman"/>
                <w:b/>
                <w:noProof/>
                <w:sz w:val="24"/>
              </w:rPr>
            </w:pPr>
            <w:r w:rsidRPr="00C81A9D">
              <w:rPr>
                <w:rFonts w:ascii="Times New Roman" w:hAnsi="Times New Roman"/>
                <w:b/>
                <w:noProof/>
                <w:sz w:val="24"/>
                <w:u w:val="single"/>
              </w:rPr>
              <w:t>Comisia</w:t>
            </w:r>
            <w:r w:rsidRPr="009828C5">
              <w:rPr>
                <w:rFonts w:ascii="Times New Roman" w:hAnsi="Times New Roman"/>
                <w:b/>
                <w:noProof/>
                <w:sz w:val="24"/>
              </w:rPr>
              <w:t xml:space="preserve"> urmează:</w:t>
            </w:r>
          </w:p>
          <w:p w14:paraId="7C1638E8" w14:textId="77777777" w:rsidR="00E32F72" w:rsidRPr="009828C5" w:rsidRDefault="00E32F72" w:rsidP="00C81626">
            <w:pPr>
              <w:jc w:val="both"/>
              <w:rPr>
                <w:rFonts w:ascii="Times New Roman" w:hAnsi="Times New Roman" w:cs="Times New Roman"/>
                <w:b/>
                <w:bCs/>
                <w:noProof/>
                <w:sz w:val="24"/>
                <w:szCs w:val="24"/>
              </w:rPr>
            </w:pPr>
          </w:p>
          <w:p w14:paraId="7B922373" w14:textId="77777777" w:rsidR="00E32F72" w:rsidRPr="009828C5" w:rsidRDefault="00E32F72" w:rsidP="00E32F72">
            <w:pPr>
              <w:pStyle w:val="ListParagraph"/>
              <w:numPr>
                <w:ilvl w:val="0"/>
                <w:numId w:val="19"/>
              </w:numPr>
              <w:jc w:val="both"/>
              <w:rPr>
                <w:rFonts w:ascii="Times New Roman" w:hAnsi="Times New Roman"/>
                <w:b/>
                <w:noProof/>
                <w:sz w:val="24"/>
              </w:rPr>
            </w:pPr>
            <w:r w:rsidRPr="009828C5">
              <w:rPr>
                <w:rFonts w:ascii="Times New Roman" w:hAnsi="Times New Roman"/>
                <w:b/>
                <w:noProof/>
                <w:sz w:val="24"/>
              </w:rPr>
              <w:t>să elaboreze o foaie de parcurs tehnologică privind criptarea (în T2-2026);</w:t>
            </w:r>
          </w:p>
          <w:p w14:paraId="3066E6B1" w14:textId="77777777" w:rsidR="00E32F72" w:rsidRPr="009828C5" w:rsidRDefault="00E32F72" w:rsidP="00C81626">
            <w:pPr>
              <w:jc w:val="both"/>
              <w:rPr>
                <w:rFonts w:ascii="Times New Roman" w:hAnsi="Times New Roman"/>
                <w:b/>
                <w:noProof/>
                <w:sz w:val="24"/>
              </w:rPr>
            </w:pPr>
          </w:p>
          <w:p w14:paraId="76ACEE23" w14:textId="77777777" w:rsidR="00E32F72" w:rsidRPr="00C81A9D" w:rsidRDefault="00E32F72" w:rsidP="00E32F72">
            <w:pPr>
              <w:pStyle w:val="ListParagraph"/>
              <w:numPr>
                <w:ilvl w:val="0"/>
                <w:numId w:val="19"/>
              </w:numPr>
              <w:spacing w:after="120"/>
              <w:ind w:left="714" w:hanging="357"/>
              <w:contextualSpacing w:val="0"/>
              <w:jc w:val="both"/>
              <w:rPr>
                <w:rFonts w:ascii="Times New Roman" w:hAnsi="Times New Roman"/>
                <w:b/>
                <w:i/>
                <w:noProof/>
                <w:sz w:val="24"/>
              </w:rPr>
            </w:pPr>
            <w:r w:rsidRPr="009828C5">
              <w:rPr>
                <w:rFonts w:ascii="Times New Roman" w:hAnsi="Times New Roman"/>
                <w:b/>
                <w:noProof/>
                <w:sz w:val="24"/>
              </w:rPr>
              <w:t>să sprijine cercetarea și dezvoltarea de noi capacități de decriptare pentru a dota Europol cu capacități de decriptare de nouă generație (începând din 2030).</w:t>
            </w:r>
          </w:p>
        </w:tc>
      </w:tr>
    </w:tbl>
    <w:p w14:paraId="10481B4B" w14:textId="77777777" w:rsidR="00E32F72" w:rsidRPr="00AE5FE8" w:rsidRDefault="00E32F72" w:rsidP="00E32F72">
      <w:pPr>
        <w:spacing w:after="0"/>
        <w:jc w:val="both"/>
        <w:rPr>
          <w:rFonts w:ascii="Times New Roman" w:hAnsi="Times New Roman"/>
          <w:noProof/>
          <w:sz w:val="24"/>
        </w:rPr>
      </w:pPr>
    </w:p>
    <w:p w14:paraId="394BC20C" w14:textId="77777777" w:rsidR="00E32F72" w:rsidRPr="00C81A9D" w:rsidRDefault="00E32F72" w:rsidP="00E32F72">
      <w:pPr>
        <w:pStyle w:val="ListParagraph"/>
        <w:numPr>
          <w:ilvl w:val="0"/>
          <w:numId w:val="9"/>
        </w:numPr>
        <w:jc w:val="both"/>
        <w:rPr>
          <w:rFonts w:ascii="Times New Roman" w:hAnsi="Times New Roman"/>
          <w:noProof/>
          <w:sz w:val="24"/>
          <w:u w:val="single"/>
        </w:rPr>
      </w:pPr>
      <w:r w:rsidRPr="00C81A9D">
        <w:rPr>
          <w:rFonts w:ascii="Times New Roman" w:hAnsi="Times New Roman"/>
          <w:b/>
          <w:noProof/>
          <w:sz w:val="24"/>
          <w:u w:val="single"/>
        </w:rPr>
        <w:t>Reconcilierea tehnologiei cu accesul legal: standardizarea</w:t>
      </w:r>
    </w:p>
    <w:p w14:paraId="2A6009DF" w14:textId="77777777" w:rsidR="00E32F72" w:rsidRPr="00AE5FE8" w:rsidDel="002226A8" w:rsidRDefault="00E32F72" w:rsidP="00E32F72">
      <w:pPr>
        <w:jc w:val="both"/>
        <w:rPr>
          <w:rFonts w:ascii="Times New Roman" w:hAnsi="Times New Roman"/>
          <w:noProof/>
          <w:sz w:val="24"/>
        </w:rPr>
      </w:pPr>
      <w:r>
        <w:rPr>
          <w:rFonts w:ascii="Times New Roman" w:hAnsi="Times New Roman"/>
          <w:noProof/>
          <w:sz w:val="24"/>
        </w:rPr>
        <w:t>Standardele sunt esențiale în comunicațiile digitale. Dezvoltate de o gamă largă de actori, în principal de către industrie, acestea asigură interoperabilitatea între sistemele și dispozitivele dezvoltate de furnizorii de tehnologie și facilitează respectarea de către tehnologii a obligațiilor legale, inclusiv în ceea ce privește accesul legal în scopul asigurării respectării legii. Institutul European de Standardizare în Telecomunicații (ETSI) a elaborat mai multe standarde în domeniul interceptării legale și al divulgării legale. Există totuși lacune, cum ar fi în cazul celei de a cincea generații de rețele celulare (</w:t>
      </w:r>
      <w:r w:rsidRPr="009828C5">
        <w:rPr>
          <w:rFonts w:ascii="Times New Roman" w:hAnsi="Times New Roman"/>
          <w:noProof/>
          <w:sz w:val="24"/>
        </w:rPr>
        <w:t>5</w:t>
      </w:r>
      <w:r>
        <w:rPr>
          <w:rFonts w:ascii="Times New Roman" w:hAnsi="Times New Roman"/>
          <w:noProof/>
          <w:sz w:val="24"/>
        </w:rPr>
        <w:t>G), în care neacordarea unei atenții corespunzătoare accesului legal în momentul dezvoltării rețelei a împiedicat autoritățile de aplicare a legii și autoritățile judiciare să aibă acces la probele necesare pentru a identifica și a aduce infractorii în fața instanței</w:t>
      </w:r>
      <w:r>
        <w:rPr>
          <w:rStyle w:val="FootnoteReference"/>
          <w:noProof/>
        </w:rPr>
        <w:footnoteReference w:id="47"/>
      </w:r>
      <w:r>
        <w:rPr>
          <w:rFonts w:ascii="Times New Roman" w:hAnsi="Times New Roman"/>
          <w:noProof/>
          <w:sz w:val="24"/>
        </w:rPr>
        <w:t>.</w:t>
      </w:r>
    </w:p>
    <w:p w14:paraId="41677CBD"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Grupul la nivel înalt a recomandat adoptarea unei abordări prudente în ceea ce privește conceperea de soluții pentru accesul legal la sisteme, abordare potrivit căreia nu ar trebui să i se solicite industriei integrarea unor sisteme care ar putea slăbi criptarea într-un mod generalizat sau sistemic pentru toți utilizatorii unui serviciu. Accesul legal la date trebuie să rămână specific și limitat la comunicări specifice, de la caz la caz.</w:t>
      </w:r>
    </w:p>
    <w:p w14:paraId="3A293880" w14:textId="1A0AD128" w:rsidR="00E32F72" w:rsidRDefault="00E32F72" w:rsidP="00E32F72">
      <w:pPr>
        <w:jc w:val="both"/>
        <w:rPr>
          <w:rFonts w:ascii="Times New Roman" w:hAnsi="Times New Roman" w:cs="Times New Roman"/>
          <w:noProof/>
          <w:sz w:val="24"/>
          <w:szCs w:val="24"/>
        </w:rPr>
      </w:pPr>
      <w:r>
        <w:rPr>
          <w:rFonts w:ascii="Times New Roman" w:hAnsi="Times New Roman"/>
          <w:noProof/>
          <w:sz w:val="24"/>
        </w:rPr>
        <w:t xml:space="preserve">În general, soluțiile ar trebui puse în aplicare pe baza unor standarde clare care să fie elaborate cu contribuții din partea tuturor părților interesate, inclusiv a reprezentanților industriei, a experților în protecția datelor, a vieții private și a securității cibernetice, precum și a practicienilor din domeniul aplicării legii. Totuși, se recomandă prudență în ceea ce privește criptarea, astfel cum a subliniat Grupul la nivel înalt. Pe baza soluțiilor identificate în foaia de parcurs tehnologică, vor fi avute în vedere măsuri specifice de promovare a unei abordări coordonate a standardizării. </w:t>
      </w:r>
    </w:p>
    <w:p w14:paraId="5A69582C"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 xml:space="preserve">Orice standardizare ar trebui să reflecte cerințele legale aplicabile și să se bazeze pe soluții evaluate. Standardizarea trebuie să se asigure că accesul legal nu intră în conflict cu standardele de securitate cibernetică aplicabile, cum ar fi cele elaborate în temeiul Regulamentului privind reziliența cibernetică, sau cu standardele care sprijină punerea în aplicare a Directivei NIS </w:t>
      </w:r>
      <w:r w:rsidRPr="009828C5">
        <w:rPr>
          <w:rFonts w:ascii="Times New Roman" w:hAnsi="Times New Roman"/>
          <w:noProof/>
          <w:sz w:val="24"/>
        </w:rPr>
        <w:t>2</w:t>
      </w:r>
      <w:r>
        <w:rPr>
          <w:rFonts w:ascii="Times New Roman" w:hAnsi="Times New Roman"/>
          <w:noProof/>
          <w:sz w:val="24"/>
        </w:rPr>
        <w:t xml:space="preserve"> și nici nu afectează în alt mod securitatea produselor și a serviciilor.</w:t>
      </w:r>
    </w:p>
    <w:p w14:paraId="16686960"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În ceea ce privește recomandările Grupului la nivel înalt</w:t>
      </w:r>
      <w:r>
        <w:rPr>
          <w:rStyle w:val="FootnoteReference"/>
          <w:noProof/>
        </w:rPr>
        <w:footnoteReference w:id="48"/>
      </w:r>
      <w:r>
        <w:rPr>
          <w:rFonts w:ascii="Times New Roman" w:hAnsi="Times New Roman"/>
          <w:noProof/>
          <w:sz w:val="24"/>
        </w:rPr>
        <w:t xml:space="preserve">, </w:t>
      </w:r>
      <w:r w:rsidRPr="00C81A9D">
        <w:rPr>
          <w:rFonts w:ascii="Times New Roman" w:hAnsi="Times New Roman"/>
          <w:b/>
          <w:noProof/>
          <w:sz w:val="24"/>
          <w:u w:val="single"/>
        </w:rPr>
        <w:t>Comisia va elabora și va raționaliza o abordare a UE privind standardizarea pentru securitatea internă, cu accent pe criminalistica digitală, divulgarea legală și interceptarea legală</w:t>
      </w:r>
      <w:r w:rsidRPr="009828C5">
        <w:rPr>
          <w:rFonts w:ascii="Times New Roman" w:hAnsi="Times New Roman"/>
          <w:b/>
          <w:noProof/>
          <w:sz w:val="24"/>
        </w:rPr>
        <w:t xml:space="preserve">. </w:t>
      </w:r>
      <w:r>
        <w:rPr>
          <w:rFonts w:ascii="Times New Roman" w:hAnsi="Times New Roman"/>
          <w:noProof/>
          <w:sz w:val="24"/>
        </w:rPr>
        <w:t>Această abordare se va</w:t>
      </w:r>
      <w:r w:rsidRPr="009828C5">
        <w:rPr>
          <w:rFonts w:ascii="Times New Roman" w:hAnsi="Times New Roman"/>
          <w:b/>
          <w:noProof/>
          <w:sz w:val="24"/>
        </w:rPr>
        <w:t xml:space="preserve"> </w:t>
      </w:r>
      <w:r>
        <w:rPr>
          <w:rFonts w:ascii="Times New Roman" w:hAnsi="Times New Roman"/>
          <w:noProof/>
          <w:sz w:val="24"/>
        </w:rPr>
        <w:t>baza pe o analiză panoramică continuă efectuată de practicienii din domeniul aplicării legii, în special prin intermediul Grupului de lucru european privind standardizarea în materie de securitate internă, condus de Europol. Această acțiune va spori, de asemenea, resursele și domeniul de aplicare al grupului de lucru și va presupune continuarea colaborării cu alte inițiative în materie de standardizare, în special în ceea ce privește IA și criminalistica digitală. Obiectivul este de a se asigura că preocupările legate de securitate sunt integrate în politica de standardizare. În plus, această inițiativă va include dezvoltarea și organizarea de cursuri de formare privind standardizarea în domeniul securității și acordarea de sprijin financiar prin intermediul Fondului pentru securitate internă experților care participă la forumurile de standardizare relevante. Inițiativa va cuprinde, de asemenea, mecanisme de guvernanță relevante.</w:t>
      </w:r>
    </w:p>
    <w:tbl>
      <w:tblPr>
        <w:tblStyle w:val="TableGrid"/>
        <w:tblW w:w="0" w:type="auto"/>
        <w:tblLook w:val="04A0" w:firstRow="1" w:lastRow="0" w:firstColumn="1" w:lastColumn="0" w:noHBand="0" w:noVBand="1"/>
      </w:tblPr>
      <w:tblGrid>
        <w:gridCol w:w="9016"/>
      </w:tblGrid>
      <w:tr w:rsidR="00E32F72" w:rsidRPr="00B03188" w14:paraId="7195C538" w14:textId="77777777" w:rsidTr="00C81626">
        <w:tc>
          <w:tcPr>
            <w:tcW w:w="9016" w:type="dxa"/>
          </w:tcPr>
          <w:p w14:paraId="3E9F561A" w14:textId="77777777" w:rsidR="00E32F72" w:rsidRPr="00C81A9D" w:rsidRDefault="00E32F72" w:rsidP="00C81626">
            <w:pPr>
              <w:keepNext/>
              <w:jc w:val="both"/>
              <w:rPr>
                <w:rFonts w:ascii="Times New Roman" w:hAnsi="Times New Roman"/>
                <w:b/>
                <w:i/>
                <w:noProof/>
                <w:sz w:val="24"/>
              </w:rPr>
            </w:pPr>
            <w:r w:rsidRPr="00C81A9D">
              <w:rPr>
                <w:rFonts w:ascii="Times New Roman" w:hAnsi="Times New Roman"/>
                <w:b/>
                <w:i/>
                <w:noProof/>
                <w:sz w:val="24"/>
              </w:rPr>
              <w:t>Acțiuni-cheie</w:t>
            </w:r>
          </w:p>
          <w:p w14:paraId="01B6EF34" w14:textId="77777777" w:rsidR="00E32F72" w:rsidRPr="00AE5FE8" w:rsidRDefault="00E32F72" w:rsidP="00C81626">
            <w:pPr>
              <w:jc w:val="both"/>
              <w:rPr>
                <w:rFonts w:ascii="Times New Roman" w:hAnsi="Times New Roman"/>
                <w:noProof/>
                <w:sz w:val="24"/>
              </w:rPr>
            </w:pPr>
          </w:p>
          <w:p w14:paraId="62034381" w14:textId="77777777" w:rsidR="00E32F72" w:rsidRPr="009828C5" w:rsidRDefault="00E32F72" w:rsidP="00E32F72">
            <w:pPr>
              <w:pStyle w:val="ListParagraph"/>
              <w:numPr>
                <w:ilvl w:val="0"/>
                <w:numId w:val="28"/>
              </w:numPr>
              <w:jc w:val="both"/>
              <w:rPr>
                <w:rFonts w:ascii="Times New Roman" w:hAnsi="Times New Roman" w:cs="Times New Roman"/>
                <w:b/>
                <w:bCs/>
                <w:noProof/>
                <w:sz w:val="24"/>
                <w:szCs w:val="24"/>
              </w:rPr>
            </w:pPr>
            <w:r w:rsidRPr="00C81A9D">
              <w:rPr>
                <w:rFonts w:ascii="Times New Roman" w:hAnsi="Times New Roman"/>
                <w:b/>
                <w:noProof/>
                <w:sz w:val="24"/>
                <w:u w:val="single"/>
              </w:rPr>
              <w:t>Comisia</w:t>
            </w:r>
            <w:r w:rsidRPr="009828C5">
              <w:rPr>
                <w:rFonts w:ascii="Times New Roman" w:hAnsi="Times New Roman"/>
                <w:b/>
                <w:noProof/>
                <w:sz w:val="24"/>
              </w:rPr>
              <w:t>, în strânsă cooperare cu Europol, va dezvolta și va raționaliza activitățile de standardizare pentru accesul legal, sprijinite de mecanisme de guvernanță adecvate (între T2-2025 și T2-2027).</w:t>
            </w:r>
          </w:p>
          <w:p w14:paraId="32418CC0" w14:textId="77777777" w:rsidR="00E32F72" w:rsidRPr="009828C5" w:rsidRDefault="00E32F72" w:rsidP="00C81626">
            <w:pPr>
              <w:jc w:val="both"/>
              <w:rPr>
                <w:rFonts w:ascii="Times New Roman" w:hAnsi="Times New Roman" w:cs="Times New Roman"/>
                <w:b/>
                <w:bCs/>
                <w:noProof/>
                <w:sz w:val="24"/>
                <w:szCs w:val="24"/>
              </w:rPr>
            </w:pPr>
          </w:p>
          <w:p w14:paraId="17C166E9" w14:textId="77777777" w:rsidR="00E32F72" w:rsidRPr="00B03188" w:rsidRDefault="00E32F72" w:rsidP="00E32F72">
            <w:pPr>
              <w:pStyle w:val="ListParagraph"/>
              <w:numPr>
                <w:ilvl w:val="0"/>
                <w:numId w:val="28"/>
              </w:numPr>
              <w:spacing w:after="120"/>
              <w:ind w:left="714" w:hanging="357"/>
              <w:contextualSpacing w:val="0"/>
              <w:jc w:val="both"/>
              <w:rPr>
                <w:rFonts w:ascii="Times New Roman" w:hAnsi="Times New Roman" w:cs="Times New Roman"/>
                <w:noProof/>
                <w:sz w:val="24"/>
                <w:szCs w:val="24"/>
              </w:rPr>
            </w:pPr>
            <w:r w:rsidRPr="00C81A9D">
              <w:rPr>
                <w:rFonts w:ascii="Times New Roman" w:hAnsi="Times New Roman"/>
                <w:b/>
                <w:noProof/>
                <w:sz w:val="24"/>
                <w:u w:val="single"/>
              </w:rPr>
              <w:t>Statele membre</w:t>
            </w:r>
            <w:r w:rsidRPr="009828C5">
              <w:rPr>
                <w:rFonts w:ascii="Times New Roman" w:hAnsi="Times New Roman"/>
                <w:b/>
                <w:noProof/>
                <w:sz w:val="24"/>
              </w:rPr>
              <w:t xml:space="preserve"> sunt încurajate să aloce resurse suficiente pentru a se asigura că practicienii din domeniul securității participă la forumurile de standardizare relevante privind accesul legal.</w:t>
            </w:r>
          </w:p>
        </w:tc>
      </w:tr>
    </w:tbl>
    <w:p w14:paraId="19BBE79D" w14:textId="77777777" w:rsidR="00E32F72" w:rsidRPr="009828C5" w:rsidRDefault="00E32F72" w:rsidP="00E32F72">
      <w:pPr>
        <w:rPr>
          <w:rFonts w:ascii="Times New Roman" w:hAnsi="Times New Roman"/>
          <w:b/>
          <w:noProof/>
          <w:sz w:val="24"/>
        </w:rPr>
      </w:pPr>
    </w:p>
    <w:p w14:paraId="58B125A9" w14:textId="77777777" w:rsidR="00E32F72" w:rsidRPr="00C81A9D" w:rsidRDefault="00E32F72" w:rsidP="00E32F72">
      <w:pPr>
        <w:pStyle w:val="ListParagraph"/>
        <w:keepNext/>
        <w:numPr>
          <w:ilvl w:val="0"/>
          <w:numId w:val="9"/>
        </w:numPr>
        <w:jc w:val="both"/>
        <w:rPr>
          <w:rFonts w:ascii="Times New Roman" w:hAnsi="Times New Roman"/>
          <w:noProof/>
          <w:sz w:val="24"/>
          <w:u w:val="single"/>
        </w:rPr>
      </w:pPr>
      <w:r w:rsidRPr="00C81A9D">
        <w:rPr>
          <w:rFonts w:ascii="Times New Roman" w:hAnsi="Times New Roman"/>
          <w:b/>
          <w:noProof/>
          <w:sz w:val="24"/>
          <w:u w:val="single"/>
        </w:rPr>
        <w:t xml:space="preserve">Analizarea probelor în mod eficace și legal: inteligența artificială (IA) </w:t>
      </w:r>
    </w:p>
    <w:p w14:paraId="1EFEA401"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Europol și Eurojust au constatat recent că un număr tot mai mare de anchete conțin volume foarte mari de date</w:t>
      </w:r>
      <w:r>
        <w:rPr>
          <w:rStyle w:val="FootnoteReference"/>
          <w:noProof/>
          <w:szCs w:val="24"/>
        </w:rPr>
        <w:footnoteReference w:id="49"/>
      </w:r>
      <w:r>
        <w:rPr>
          <w:rFonts w:ascii="Times New Roman" w:hAnsi="Times New Roman"/>
          <w:noProof/>
          <w:sz w:val="24"/>
        </w:rPr>
        <w:t xml:space="preserve">. Într-un caz standard de abuz sexual asupra minorilor, anchetele necesită adesea analizarea unui volum de </w:t>
      </w:r>
      <w:r w:rsidRPr="009828C5">
        <w:rPr>
          <w:rFonts w:ascii="Times New Roman" w:hAnsi="Times New Roman"/>
          <w:noProof/>
          <w:sz w:val="24"/>
        </w:rPr>
        <w:t>1</w:t>
      </w:r>
      <w:r>
        <w:rPr>
          <w:rFonts w:ascii="Times New Roman" w:hAnsi="Times New Roman"/>
          <w:noProof/>
          <w:sz w:val="24"/>
        </w:rPr>
        <w:t>-</w:t>
      </w:r>
      <w:r w:rsidRPr="009828C5">
        <w:rPr>
          <w:rFonts w:ascii="Times New Roman" w:hAnsi="Times New Roman"/>
          <w:noProof/>
          <w:sz w:val="24"/>
        </w:rPr>
        <w:t>3</w:t>
      </w:r>
      <w:r>
        <w:rPr>
          <w:rFonts w:ascii="Times New Roman" w:hAnsi="Times New Roman"/>
          <w:noProof/>
          <w:sz w:val="24"/>
        </w:rPr>
        <w:t xml:space="preserve"> terabiți de date, care pot include </w:t>
      </w:r>
      <w:r w:rsidRPr="009828C5">
        <w:rPr>
          <w:rFonts w:ascii="Times New Roman" w:hAnsi="Times New Roman"/>
          <w:noProof/>
          <w:sz w:val="24"/>
        </w:rPr>
        <w:t>1</w:t>
      </w:r>
      <w:r>
        <w:rPr>
          <w:rFonts w:ascii="Times New Roman" w:hAnsi="Times New Roman"/>
          <w:noProof/>
          <w:sz w:val="24"/>
        </w:rPr>
        <w:t>-</w:t>
      </w:r>
      <w:r w:rsidRPr="009828C5">
        <w:rPr>
          <w:rFonts w:ascii="Times New Roman" w:hAnsi="Times New Roman"/>
          <w:noProof/>
          <w:sz w:val="24"/>
        </w:rPr>
        <w:t>10</w:t>
      </w:r>
      <w:r>
        <w:rPr>
          <w:rFonts w:ascii="Times New Roman" w:hAnsi="Times New Roman"/>
          <w:noProof/>
          <w:sz w:val="24"/>
        </w:rPr>
        <w:t xml:space="preserve"> milioane de imagini și mii de ore de înregistrări video</w:t>
      </w:r>
      <w:r>
        <w:rPr>
          <w:rStyle w:val="FootnoteReference"/>
          <w:noProof/>
          <w:szCs w:val="24"/>
        </w:rPr>
        <w:footnoteReference w:id="50"/>
      </w:r>
      <w:r>
        <w:rPr>
          <w:rFonts w:ascii="Times New Roman" w:hAnsi="Times New Roman"/>
          <w:noProof/>
          <w:sz w:val="24"/>
        </w:rPr>
        <w:t xml:space="preserve">. În </w:t>
      </w:r>
      <w:r w:rsidRPr="009828C5">
        <w:rPr>
          <w:rFonts w:ascii="Times New Roman" w:hAnsi="Times New Roman"/>
          <w:noProof/>
          <w:sz w:val="24"/>
        </w:rPr>
        <w:t>2023</w:t>
      </w:r>
      <w:r>
        <w:rPr>
          <w:rFonts w:ascii="Times New Roman" w:hAnsi="Times New Roman"/>
          <w:noProof/>
          <w:sz w:val="24"/>
        </w:rPr>
        <w:t xml:space="preserve">, </w:t>
      </w:r>
      <w:r w:rsidRPr="009828C5">
        <w:rPr>
          <w:rFonts w:ascii="Times New Roman" w:hAnsi="Times New Roman"/>
          <w:noProof/>
          <w:sz w:val="24"/>
        </w:rPr>
        <w:t>1</w:t>
      </w:r>
      <w:r>
        <w:rPr>
          <w:rFonts w:ascii="Times New Roman" w:hAnsi="Times New Roman"/>
          <w:noProof/>
          <w:sz w:val="24"/>
        </w:rPr>
        <w:t> </w:t>
      </w:r>
      <w:r w:rsidRPr="009828C5">
        <w:rPr>
          <w:rFonts w:ascii="Times New Roman" w:hAnsi="Times New Roman"/>
          <w:noProof/>
          <w:sz w:val="24"/>
        </w:rPr>
        <w:t>553</w:t>
      </w:r>
      <w:r>
        <w:rPr>
          <w:rFonts w:ascii="Times New Roman" w:hAnsi="Times New Roman"/>
          <w:noProof/>
          <w:sz w:val="24"/>
        </w:rPr>
        <w:t> </w:t>
      </w:r>
      <w:r w:rsidRPr="009828C5">
        <w:rPr>
          <w:rFonts w:ascii="Times New Roman" w:hAnsi="Times New Roman"/>
          <w:noProof/>
          <w:sz w:val="24"/>
        </w:rPr>
        <w:t>822</w:t>
      </w:r>
      <w:r>
        <w:rPr>
          <w:rFonts w:ascii="Times New Roman" w:hAnsi="Times New Roman"/>
          <w:noProof/>
          <w:sz w:val="24"/>
        </w:rPr>
        <w:t xml:space="preserve"> de fișiere mari au fost schimbate prin intermediul schimbului de fișiere de mari dimensiuni (LFE)</w:t>
      </w:r>
      <w:r>
        <w:rPr>
          <w:rStyle w:val="FootnoteReference"/>
          <w:noProof/>
          <w:szCs w:val="24"/>
        </w:rPr>
        <w:footnoteReference w:id="51"/>
      </w:r>
      <w:r>
        <w:rPr>
          <w:rFonts w:ascii="Times New Roman" w:hAnsi="Times New Roman"/>
          <w:noProof/>
          <w:sz w:val="24"/>
        </w:rPr>
        <w:t xml:space="preserve"> al Europol. În cazul EncroChat, au fost interceptate peste </w:t>
      </w:r>
      <w:r w:rsidRPr="009828C5">
        <w:rPr>
          <w:rFonts w:ascii="Times New Roman" w:hAnsi="Times New Roman"/>
          <w:noProof/>
          <w:sz w:val="24"/>
        </w:rPr>
        <w:t>115</w:t>
      </w:r>
      <w:r>
        <w:rPr>
          <w:rFonts w:ascii="Times New Roman" w:hAnsi="Times New Roman"/>
          <w:noProof/>
          <w:sz w:val="24"/>
        </w:rPr>
        <w:t xml:space="preserve"> milioane de conversații între suspecții de constituire a unui grup infracțional organizat. În lunile care au urmat, prin tehnici și mijloace analitice avansate, cum ar fi învățarea automată, Europol și agențiile de aplicare a legii au fost în măsură să identifice modele, legături și puncte fierbinți, ceea ce a condus la arestarea a </w:t>
      </w:r>
      <w:r w:rsidRPr="009828C5">
        <w:rPr>
          <w:rFonts w:ascii="Times New Roman" w:hAnsi="Times New Roman"/>
          <w:noProof/>
          <w:sz w:val="24"/>
        </w:rPr>
        <w:t>6</w:t>
      </w:r>
      <w:r>
        <w:rPr>
          <w:rFonts w:ascii="Times New Roman" w:hAnsi="Times New Roman"/>
          <w:noProof/>
          <w:sz w:val="24"/>
        </w:rPr>
        <w:t> </w:t>
      </w:r>
      <w:r w:rsidRPr="009828C5">
        <w:rPr>
          <w:rFonts w:ascii="Times New Roman" w:hAnsi="Times New Roman"/>
          <w:noProof/>
          <w:sz w:val="24"/>
        </w:rPr>
        <w:t>558</w:t>
      </w:r>
      <w:r>
        <w:rPr>
          <w:rFonts w:ascii="Times New Roman" w:hAnsi="Times New Roman"/>
          <w:noProof/>
          <w:sz w:val="24"/>
        </w:rPr>
        <w:t xml:space="preserve"> de suspecți. Autoritățile neerlandeze și franceze au comunicat aceste informații omologilor lor din statele membre ale UE și din țările terțe, ceea ce a dus la zădărnicirea a peste </w:t>
      </w:r>
      <w:r w:rsidRPr="009828C5">
        <w:rPr>
          <w:rFonts w:ascii="Times New Roman" w:hAnsi="Times New Roman"/>
          <w:noProof/>
          <w:sz w:val="24"/>
        </w:rPr>
        <w:t>200</w:t>
      </w:r>
      <w:r>
        <w:rPr>
          <w:rFonts w:ascii="Times New Roman" w:hAnsi="Times New Roman"/>
          <w:noProof/>
          <w:sz w:val="24"/>
        </w:rPr>
        <w:t xml:space="preserve"> de comploturi în vederea săvârșirii unui omor numai în Regatul Unit</w:t>
      </w:r>
      <w:r>
        <w:rPr>
          <w:rStyle w:val="FootnoteReference"/>
          <w:noProof/>
          <w:szCs w:val="24"/>
        </w:rPr>
        <w:footnoteReference w:id="52"/>
      </w:r>
      <w:r>
        <w:rPr>
          <w:rFonts w:ascii="Times New Roman" w:hAnsi="Times New Roman"/>
          <w:noProof/>
          <w:sz w:val="24"/>
        </w:rPr>
        <w:t>.</w:t>
      </w:r>
    </w:p>
    <w:p w14:paraId="29E68B83"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Creșterea continuă a volumului de date prelucrate în cursul anchetelor îngreunează stocarea, gestionarea și analizarea eficace a datelor fără o expertiză semnificativă, fără resurse de calcul și fără instrumente specializate. Europol și Eurojust au confirmat că volumul de date poate fi copleșitor pentru anchetatori și poate conduce la termene de prelucrare mai lungi și la probleme legate de capacitatea de stocare. De asemenea, adesea, statele membre nu dispun de mecanismele și infrastructura necesare pentru a gestiona transferul unor volume mari de date către alte state membre și către Europol.</w:t>
      </w:r>
    </w:p>
    <w:p w14:paraId="0C82EF91"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Prin urmare, utilizarea IA este esențială pentru ca autoritățile de aplicare a legii să prevină, să depisteze și să investigheze infracțiunile și, prin urmare, să protejeze societățile noastre în era digitală. Soluțiile bazate pe IA pot îndeplini sarcini simple, cum ar fi traducerea automată sau transformarea vorbirii în text, sau sarcini mai complexe, cum ar fi filtrarea datelor, corelarea probelor din volume uriașe de date sau combaterea utilizării răuvoitoare a IA. Instrumentele bazate pe IA și destinate autorităților de aplicare a legii trebuie să fie exacte, transparente și conforme pe deplin cu cadrul juridic al UE privind IA, protecția datelor și a vieții private, pentru a asigura anchete de încredere și etice, bazate pe date. Inteligența artificială și calculul de înaltă performanță au o importanță capitală pentru obținerea accesului la date criptate și pentru sprijinirea anchetelor și a analizelor criminalistice.</w:t>
      </w:r>
    </w:p>
    <w:p w14:paraId="162D5263"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În urma recomandărilor Grupului la nivel înalt</w:t>
      </w:r>
      <w:r w:rsidRPr="009828C5">
        <w:rPr>
          <w:rFonts w:ascii="Times New Roman" w:hAnsi="Times New Roman"/>
          <w:b/>
          <w:noProof/>
          <w:sz w:val="24"/>
        </w:rPr>
        <w:t xml:space="preserve"> </w:t>
      </w:r>
      <w:r>
        <w:rPr>
          <w:rFonts w:ascii="Times New Roman" w:hAnsi="Times New Roman"/>
          <w:noProof/>
          <w:sz w:val="24"/>
        </w:rPr>
        <w:t>de a crește finanțarea destinată cercetării și dezvoltării de instrumente pentru analiza datelor bazată pe IA și de a stabili rezultate clare</w:t>
      </w:r>
      <w:r>
        <w:rPr>
          <w:rStyle w:val="FootnoteReference"/>
          <w:noProof/>
        </w:rPr>
        <w:footnoteReference w:id="53"/>
      </w:r>
      <w:r>
        <w:rPr>
          <w:rFonts w:ascii="Times New Roman" w:hAnsi="Times New Roman"/>
          <w:noProof/>
          <w:sz w:val="24"/>
        </w:rPr>
        <w:t>,</w:t>
      </w:r>
      <w:r w:rsidRPr="009828C5">
        <w:rPr>
          <w:rFonts w:ascii="Times New Roman" w:hAnsi="Times New Roman"/>
          <w:b/>
          <w:noProof/>
          <w:sz w:val="24"/>
        </w:rPr>
        <w:t xml:space="preserve"> </w:t>
      </w:r>
      <w:r w:rsidRPr="00C81A9D">
        <w:rPr>
          <w:rFonts w:ascii="Times New Roman" w:hAnsi="Times New Roman"/>
          <w:b/>
          <w:noProof/>
          <w:sz w:val="24"/>
          <w:u w:val="single"/>
        </w:rPr>
        <w:t>Comisia va promova dezvoltarea și adoptarea de soluții de IA.</w:t>
      </w:r>
      <w:r>
        <w:rPr>
          <w:rFonts w:ascii="Times New Roman" w:hAnsi="Times New Roman"/>
          <w:noProof/>
          <w:sz w:val="24"/>
        </w:rPr>
        <w:t xml:space="preserve"> Această promovare include investiții specifice în dezvoltarea capacităților esențiale, cum ar fi soluții de identificare a pistelor de investigare din volume foarte mari de date, cu respectarea deplină a principiilor de protecție a datelor și a vieții private, sau îmbunătățiri în ceea ce privește urmărirea tranzacțiilor cu criptomonede. Ar putea fi, de asemenea, posibil să se valorifice oportunitățile de antrenare, testare și evaluare a instrumentelor bazate pe IA într-un spațiu de testare în materie de reglementare a IA, astfel cum se prevede în Regulamentul privind IA</w:t>
      </w:r>
      <w:r>
        <w:rPr>
          <w:rFonts w:ascii="Times New Roman" w:hAnsi="Times New Roman"/>
          <w:noProof/>
          <w:sz w:val="24"/>
          <w:vertAlign w:val="superscript"/>
        </w:rPr>
        <w:footnoteReference w:id="54"/>
      </w:r>
      <w:r>
        <w:rPr>
          <w:rFonts w:ascii="Times New Roman" w:hAnsi="Times New Roman"/>
          <w:noProof/>
          <w:sz w:val="24"/>
        </w:rPr>
        <w:t xml:space="preserve">, cu sprijinul și îndrumarea autorităților de supraveghere competente. În plus, fabricile de IA și viitoarele gigafabrici ar putea sprijini dezvoltarea de instrumente și servicii bazate pe IA pentru asigurarea respectării legii. Comisia ar trebui să faciliteze aceste eforturi, pe baza unei analize a nevoilor realizate împreună cu părțile interesate, inclusiv cu Laboratorul de inovare al Europolului și cu Centrul de inovare pentru securitatea internă al agențiilor UE din domeniul justiției și afacerilor interne. </w:t>
      </w:r>
    </w:p>
    <w:p w14:paraId="63BE6918"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Statele membre pot avea acces la capacități relevante la costuri reduse sau chiar fără costuri, asigurând compatibilitatea cu cerințele Regulamentului privind IA. O abordare cuprinzătoare a IA este esențială și include crearea unor formate standardizate de date pentru schimburile de date și elaborarea de orientări privind utilizarea unor astfel de sisteme în concordanță cu Regulamentul privind IA și cu legislația aplicabilă a UE privind protecția datelor. Această acțiune ar putea fi sprijinită prin finanțare din Fondul pentru securitate internă, programul Europa digitală și Orizont Europa. Acțiunea va implica sprijinirea Europol și a comunității EMPACT pentru a asigura o corelare adecvată cu nevoile operaționale și pentru a promova adoptarea și integrarea de către practicieni.</w:t>
      </w:r>
    </w:p>
    <w:tbl>
      <w:tblPr>
        <w:tblStyle w:val="TableGrid"/>
        <w:tblW w:w="0" w:type="auto"/>
        <w:tblLook w:val="04A0" w:firstRow="1" w:lastRow="0" w:firstColumn="1" w:lastColumn="0" w:noHBand="0" w:noVBand="1"/>
      </w:tblPr>
      <w:tblGrid>
        <w:gridCol w:w="9016"/>
      </w:tblGrid>
      <w:tr w:rsidR="00E32F72" w:rsidRPr="00B03188" w14:paraId="5E078F99" w14:textId="77777777" w:rsidTr="00C81626">
        <w:tc>
          <w:tcPr>
            <w:tcW w:w="9016" w:type="dxa"/>
          </w:tcPr>
          <w:p w14:paraId="1AD2A25A" w14:textId="77777777" w:rsidR="00E32F72" w:rsidRPr="00C81A9D" w:rsidRDefault="00E32F72" w:rsidP="00C81626">
            <w:pPr>
              <w:jc w:val="both"/>
              <w:rPr>
                <w:rFonts w:ascii="Times New Roman" w:hAnsi="Times New Roman"/>
                <w:b/>
                <w:i/>
                <w:noProof/>
                <w:sz w:val="24"/>
              </w:rPr>
            </w:pPr>
            <w:r w:rsidRPr="00C81A9D">
              <w:rPr>
                <w:rFonts w:ascii="Times New Roman" w:hAnsi="Times New Roman"/>
                <w:b/>
                <w:i/>
                <w:noProof/>
                <w:sz w:val="24"/>
              </w:rPr>
              <w:t>Acțiuni-cheie</w:t>
            </w:r>
          </w:p>
          <w:p w14:paraId="1DAB0800" w14:textId="77777777" w:rsidR="00E32F72" w:rsidRPr="00C81A9D" w:rsidRDefault="00E32F72" w:rsidP="00C81626">
            <w:pPr>
              <w:jc w:val="both"/>
              <w:rPr>
                <w:rFonts w:ascii="Times New Roman" w:hAnsi="Times New Roman"/>
                <w:i/>
                <w:noProof/>
                <w:sz w:val="24"/>
              </w:rPr>
            </w:pPr>
          </w:p>
          <w:p w14:paraId="455EAF68" w14:textId="77777777" w:rsidR="00E32F72" w:rsidRPr="009828C5" w:rsidRDefault="00E32F72" w:rsidP="00C81626">
            <w:pPr>
              <w:spacing w:after="120"/>
              <w:jc w:val="both"/>
              <w:rPr>
                <w:rFonts w:ascii="Times New Roman" w:hAnsi="Times New Roman"/>
                <w:b/>
                <w:noProof/>
                <w:sz w:val="24"/>
              </w:rPr>
            </w:pPr>
            <w:r w:rsidRPr="00C81A9D">
              <w:rPr>
                <w:rFonts w:ascii="Times New Roman" w:hAnsi="Times New Roman"/>
                <w:b/>
                <w:noProof/>
                <w:sz w:val="24"/>
                <w:u w:val="single"/>
              </w:rPr>
              <w:t>Comisia</w:t>
            </w:r>
            <w:r w:rsidRPr="009828C5">
              <w:rPr>
                <w:rFonts w:ascii="Times New Roman" w:hAnsi="Times New Roman"/>
                <w:b/>
                <w:noProof/>
                <w:sz w:val="24"/>
              </w:rPr>
              <w:t xml:space="preserve"> urmează:</w:t>
            </w:r>
          </w:p>
          <w:p w14:paraId="5C7C0697" w14:textId="77777777" w:rsidR="00E32F72" w:rsidRPr="009828C5" w:rsidRDefault="00E32F72" w:rsidP="00E32F72">
            <w:pPr>
              <w:pStyle w:val="ListParagraph"/>
              <w:numPr>
                <w:ilvl w:val="0"/>
                <w:numId w:val="27"/>
              </w:numPr>
              <w:jc w:val="both"/>
              <w:rPr>
                <w:rFonts w:ascii="Times New Roman" w:hAnsi="Times New Roman"/>
                <w:b/>
                <w:noProof/>
                <w:sz w:val="24"/>
              </w:rPr>
            </w:pPr>
            <w:r w:rsidRPr="009828C5">
              <w:rPr>
                <w:rFonts w:ascii="Times New Roman" w:hAnsi="Times New Roman"/>
                <w:b/>
                <w:noProof/>
                <w:sz w:val="24"/>
              </w:rPr>
              <w:t>să promoveze crearea și adoptarea de noi soluții de IA și să le îmbunătățească pe cele existente pentru filtrarea și analizarea probelor digitale, inclusiv prin utilizarea deplină a spațiilor de testare în materie de reglementare a IA pentru dezvoltarea, testarea și evaluarea acestora, în concordanță cu Regulamentul privind IA (în perioada 2025-2028);</w:t>
            </w:r>
          </w:p>
          <w:p w14:paraId="1D15B895" w14:textId="77777777" w:rsidR="00E32F72" w:rsidRPr="009828C5" w:rsidRDefault="00E32F72" w:rsidP="00C81626">
            <w:pPr>
              <w:pStyle w:val="ListParagraph"/>
              <w:jc w:val="both"/>
              <w:rPr>
                <w:rFonts w:ascii="Times New Roman" w:hAnsi="Times New Roman"/>
                <w:b/>
                <w:noProof/>
                <w:sz w:val="24"/>
              </w:rPr>
            </w:pPr>
          </w:p>
          <w:p w14:paraId="6556EAEB" w14:textId="77777777" w:rsidR="00E32F72" w:rsidRPr="009828C5" w:rsidRDefault="00E32F72" w:rsidP="00E32F72">
            <w:pPr>
              <w:pStyle w:val="ListParagraph"/>
              <w:numPr>
                <w:ilvl w:val="0"/>
                <w:numId w:val="27"/>
              </w:numPr>
              <w:jc w:val="both"/>
              <w:rPr>
                <w:rFonts w:ascii="Times New Roman" w:hAnsi="Times New Roman"/>
                <w:b/>
                <w:noProof/>
                <w:sz w:val="24"/>
              </w:rPr>
            </w:pPr>
            <w:r w:rsidRPr="009828C5">
              <w:rPr>
                <w:rFonts w:ascii="Times New Roman" w:hAnsi="Times New Roman"/>
                <w:b/>
                <w:noProof/>
                <w:sz w:val="24"/>
              </w:rPr>
              <w:t>să se angajeze într-un dialog cu autoritățile de aplicare a legii și cu alte părți interesate pentru a identifica nevoile acestora, pe baza activității Laboratorului de inovare al Europolului și a Centrului de inovare al agențiilor UE din domeniul justiției și afacerilor interne;</w:t>
            </w:r>
          </w:p>
          <w:p w14:paraId="527F1B74" w14:textId="77777777" w:rsidR="00E32F72" w:rsidRPr="009828C5" w:rsidRDefault="00E32F72" w:rsidP="00C81626">
            <w:pPr>
              <w:pStyle w:val="ListParagraph"/>
              <w:jc w:val="both"/>
              <w:rPr>
                <w:rFonts w:ascii="Times New Roman" w:hAnsi="Times New Roman"/>
                <w:b/>
                <w:noProof/>
                <w:sz w:val="24"/>
              </w:rPr>
            </w:pPr>
          </w:p>
          <w:p w14:paraId="714D020F" w14:textId="77777777" w:rsidR="00E32F72" w:rsidRPr="009828C5" w:rsidRDefault="00E32F72" w:rsidP="00E32F72">
            <w:pPr>
              <w:pStyle w:val="ListParagraph"/>
              <w:numPr>
                <w:ilvl w:val="0"/>
                <w:numId w:val="27"/>
              </w:numPr>
              <w:jc w:val="both"/>
              <w:rPr>
                <w:rFonts w:ascii="Times New Roman" w:hAnsi="Times New Roman"/>
                <w:b/>
                <w:noProof/>
                <w:sz w:val="24"/>
              </w:rPr>
            </w:pPr>
            <w:r w:rsidRPr="009828C5">
              <w:rPr>
                <w:rFonts w:ascii="Times New Roman" w:hAnsi="Times New Roman"/>
                <w:b/>
                <w:noProof/>
                <w:sz w:val="24"/>
              </w:rPr>
              <w:t>să sprijine elaborarea unor orientări clare pentru utilizarea IA în asigurarea respectării legii;</w:t>
            </w:r>
          </w:p>
          <w:p w14:paraId="3255003F" w14:textId="77777777" w:rsidR="00E32F72" w:rsidRPr="009828C5" w:rsidRDefault="00E32F72" w:rsidP="00C81626">
            <w:pPr>
              <w:pStyle w:val="ListParagraph"/>
              <w:jc w:val="both"/>
              <w:rPr>
                <w:rFonts w:ascii="Times New Roman" w:hAnsi="Times New Roman"/>
                <w:b/>
                <w:noProof/>
                <w:sz w:val="24"/>
              </w:rPr>
            </w:pPr>
          </w:p>
          <w:p w14:paraId="01F7420A" w14:textId="77777777" w:rsidR="00E32F72" w:rsidRPr="00AE5FE8" w:rsidRDefault="00E32F72" w:rsidP="00E32F72">
            <w:pPr>
              <w:pStyle w:val="ListParagraph"/>
              <w:numPr>
                <w:ilvl w:val="0"/>
                <w:numId w:val="26"/>
              </w:numPr>
              <w:jc w:val="both"/>
              <w:rPr>
                <w:rFonts w:ascii="Times New Roman" w:hAnsi="Times New Roman"/>
                <w:noProof/>
                <w:sz w:val="24"/>
              </w:rPr>
            </w:pPr>
            <w:r w:rsidRPr="009828C5">
              <w:rPr>
                <w:rFonts w:ascii="Times New Roman" w:hAnsi="Times New Roman"/>
                <w:b/>
                <w:noProof/>
                <w:sz w:val="24"/>
              </w:rPr>
              <w:t>să sprijine proiectele-pilot care vizează dezvoltarea și antrenarea unor soluții de IA solide din punct de vedere juridic și tehnic pentru criminalistica digitală, analiza datelor și alte instrumente de anchetă care să fie utilizate în scopul asigurării respectării legii.</w:t>
            </w:r>
          </w:p>
          <w:p w14:paraId="05AD223F" w14:textId="77777777" w:rsidR="00E32F72" w:rsidRPr="00AE5FE8" w:rsidRDefault="00E32F72" w:rsidP="00C81626">
            <w:pPr>
              <w:pStyle w:val="ListParagraph"/>
              <w:jc w:val="both"/>
              <w:rPr>
                <w:rFonts w:ascii="Times New Roman" w:hAnsi="Times New Roman"/>
                <w:noProof/>
                <w:sz w:val="24"/>
              </w:rPr>
            </w:pPr>
          </w:p>
        </w:tc>
      </w:tr>
    </w:tbl>
    <w:p w14:paraId="631CC0B4" w14:textId="77777777" w:rsidR="00E32F72" w:rsidRPr="00AE5FE8" w:rsidRDefault="00E32F72" w:rsidP="00E32F72">
      <w:pPr>
        <w:jc w:val="both"/>
        <w:rPr>
          <w:rFonts w:ascii="Times New Roman" w:hAnsi="Times New Roman"/>
          <w:noProof/>
          <w:sz w:val="24"/>
        </w:rPr>
      </w:pPr>
    </w:p>
    <w:p w14:paraId="52A52A14" w14:textId="17095EF3" w:rsidR="002C7A60" w:rsidRDefault="002C7A60">
      <w:pPr>
        <w:rPr>
          <w:noProof/>
        </w:rPr>
      </w:pPr>
    </w:p>
    <w:sectPr w:rsidR="002C7A60" w:rsidSect="00E32F72">
      <w:headerReference w:type="even" r:id="rId15"/>
      <w:headerReference w:type="default" r:id="rId16"/>
      <w:footerReference w:type="even" r:id="rId17"/>
      <w:footerReference w:type="default" r:id="rId18"/>
      <w:headerReference w:type="first" r:id="rId19"/>
      <w:footerReference w:type="first" r:id="rId20"/>
      <w:pgSz w:w="11906" w:h="16838"/>
      <w:pgMar w:top="1134"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23CF6" w14:textId="77777777" w:rsidR="00504850" w:rsidRDefault="00504850" w:rsidP="00E32F72">
      <w:pPr>
        <w:spacing w:after="0" w:line="240" w:lineRule="auto"/>
      </w:pPr>
      <w:r>
        <w:separator/>
      </w:r>
    </w:p>
  </w:endnote>
  <w:endnote w:type="continuationSeparator" w:id="0">
    <w:p w14:paraId="62AAB670" w14:textId="77777777" w:rsidR="00504850" w:rsidRDefault="00504850" w:rsidP="00E32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77EE0" w14:textId="0B8AE28C" w:rsidR="009C36D2" w:rsidRPr="009C36D2" w:rsidRDefault="009C36D2" w:rsidP="009C36D2">
    <w:pPr>
      <w:pStyle w:val="FooterCoverPage"/>
      <w:rPr>
        <w:rFonts w:ascii="Arial" w:hAnsi="Arial" w:cs="Arial"/>
        <w:b/>
        <w:sz w:val="48"/>
      </w:rPr>
    </w:pPr>
    <w:r w:rsidRPr="009C36D2">
      <w:rPr>
        <w:rFonts w:ascii="Arial" w:hAnsi="Arial" w:cs="Arial"/>
        <w:b/>
        <w:sz w:val="48"/>
      </w:rPr>
      <w:t>RO</w:t>
    </w:r>
    <w:r w:rsidRPr="009C36D2">
      <w:rPr>
        <w:rFonts w:ascii="Arial" w:hAnsi="Arial" w:cs="Arial"/>
        <w:b/>
        <w:sz w:val="48"/>
      </w:rPr>
      <w:tab/>
    </w:r>
    <w:r w:rsidRPr="009C36D2">
      <w:rPr>
        <w:rFonts w:ascii="Arial" w:hAnsi="Arial" w:cs="Arial"/>
        <w:b/>
        <w:sz w:val="48"/>
      </w:rPr>
      <w:tab/>
    </w:r>
    <w:r w:rsidRPr="009C36D2">
      <w:tab/>
    </w:r>
    <w:r w:rsidRPr="009C36D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854E4" w14:textId="6C322576" w:rsidR="009C36D2" w:rsidRPr="009C36D2" w:rsidRDefault="009C36D2" w:rsidP="009C36D2">
    <w:pPr>
      <w:pStyle w:val="FooterCoverPage"/>
      <w:rPr>
        <w:rFonts w:ascii="Arial" w:hAnsi="Arial" w:cs="Arial"/>
        <w:b/>
        <w:sz w:val="48"/>
      </w:rPr>
    </w:pPr>
    <w:r w:rsidRPr="009C36D2">
      <w:rPr>
        <w:rFonts w:ascii="Arial" w:hAnsi="Arial" w:cs="Arial"/>
        <w:b/>
        <w:sz w:val="48"/>
      </w:rPr>
      <w:t>RO</w:t>
    </w:r>
    <w:r w:rsidRPr="009C36D2">
      <w:rPr>
        <w:rFonts w:ascii="Arial" w:hAnsi="Arial" w:cs="Arial"/>
        <w:b/>
        <w:sz w:val="48"/>
      </w:rPr>
      <w:tab/>
    </w:r>
    <w:r w:rsidRPr="009C36D2">
      <w:rPr>
        <w:rFonts w:ascii="Arial" w:hAnsi="Arial" w:cs="Arial"/>
        <w:b/>
        <w:sz w:val="48"/>
      </w:rPr>
      <w:tab/>
    </w:r>
    <w:r w:rsidRPr="009C36D2">
      <w:tab/>
    </w:r>
    <w:r w:rsidRPr="009C36D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69750" w14:textId="77777777" w:rsidR="009C36D2" w:rsidRPr="009C36D2" w:rsidRDefault="009C36D2" w:rsidP="009C36D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B7F23" w14:textId="77777777" w:rsidR="007F42B5" w:rsidRPr="00B03188" w:rsidRDefault="007F42B5">
    <w:pPr>
      <w:pStyle w:val="Footer"/>
    </w:pPr>
  </w:p>
  <w:p w14:paraId="43992AB2" w14:textId="77777777" w:rsidR="007F42B5" w:rsidRPr="00B03188" w:rsidRDefault="007F42B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B13F7" w14:textId="0CB7B74F" w:rsidR="007F42B5" w:rsidRPr="00B03188" w:rsidRDefault="0079778D" w:rsidP="00DE1A69">
    <w:pPr>
      <w:pStyle w:val="Footer"/>
    </w:pPr>
    <w:r>
      <w:tab/>
    </w:r>
    <w:r>
      <w:fldChar w:fldCharType="begin"/>
    </w:r>
    <w:r>
      <w:instrText xml:space="preserve"> PAGE  \* MERGEFORMAT </w:instrText>
    </w:r>
    <w:r>
      <w:fldChar w:fldCharType="separate"/>
    </w:r>
    <w:r w:rsidR="009C36D2">
      <w:rPr>
        <w:noProof/>
      </w:rPr>
      <w:t>1</w:t>
    </w:r>
    <w:r>
      <w:fldChar w:fldCharType="end"/>
    </w:r>
    <w:r>
      <w:tab/>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6565C" w14:textId="77777777" w:rsidR="007F42B5" w:rsidRPr="00B03188" w:rsidRDefault="007F4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D6418" w14:textId="77777777" w:rsidR="00504850" w:rsidRDefault="00504850" w:rsidP="00E32F72">
      <w:pPr>
        <w:spacing w:after="0" w:line="240" w:lineRule="auto"/>
      </w:pPr>
      <w:r>
        <w:separator/>
      </w:r>
    </w:p>
  </w:footnote>
  <w:footnote w:type="continuationSeparator" w:id="0">
    <w:p w14:paraId="4A41298A" w14:textId="77777777" w:rsidR="00504850" w:rsidRDefault="00504850" w:rsidP="00E32F72">
      <w:pPr>
        <w:spacing w:after="0" w:line="240" w:lineRule="auto"/>
      </w:pPr>
      <w:r>
        <w:continuationSeparator/>
      </w:r>
    </w:p>
  </w:footnote>
  <w:footnote w:id="1">
    <w:p w14:paraId="6119AC07" w14:textId="77777777" w:rsidR="00E32F72" w:rsidRPr="0066229A"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w:t>
      </w:r>
      <w:hyperlink r:id="rId1" w:history="1">
        <w:r w:rsidRPr="00C81A9D">
          <w:rPr>
            <w:rStyle w:val="Hyperlink"/>
            <w:rFonts w:ascii="Times New Roman" w:hAnsi="Times New Roman"/>
          </w:rPr>
          <w:t>EUR-Lex - 52025DC0148 - RO - EUR-Lex</w:t>
        </w:r>
      </w:hyperlink>
      <w:r>
        <w:t>.</w:t>
      </w:r>
    </w:p>
  </w:footnote>
  <w:footnote w:id="2">
    <w:p w14:paraId="30E9854D"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xml:space="preserve"> European Union Serious and Organised Crime Threat Assessment </w:t>
      </w:r>
      <w:r w:rsidRPr="009828C5">
        <w:rPr>
          <w:rFonts w:ascii="Times New Roman" w:hAnsi="Times New Roman"/>
        </w:rPr>
        <w:t>2025</w:t>
      </w:r>
      <w:r>
        <w:rPr>
          <w:rFonts w:ascii="Times New Roman" w:hAnsi="Times New Roman"/>
        </w:rPr>
        <w:t xml:space="preserve"> („Evaluarea amenințării pe care o reprezintă formele grave de criminalitate și criminalitatea organizată în Uniunea Europeană </w:t>
      </w:r>
      <w:r w:rsidRPr="009828C5">
        <w:rPr>
          <w:rFonts w:ascii="Times New Roman" w:hAnsi="Times New Roman"/>
        </w:rPr>
        <w:t>2025</w:t>
      </w:r>
      <w:r>
        <w:rPr>
          <w:rFonts w:ascii="Times New Roman" w:hAnsi="Times New Roman"/>
        </w:rPr>
        <w:t xml:space="preserve">”) </w:t>
      </w:r>
      <w:hyperlink r:id="rId2" w:history="1">
        <w:r w:rsidRPr="00C81A9D">
          <w:rPr>
            <w:rStyle w:val="Hyperlink"/>
            <w:rFonts w:ascii="Times New Roman" w:hAnsi="Times New Roman"/>
          </w:rPr>
          <w:t>EU-SOCTA-2025.pdf</w:t>
        </w:r>
      </w:hyperlink>
      <w:r w:rsidRPr="00C81A9D">
        <w:rPr>
          <w:rStyle w:val="Hyperlink"/>
          <w:rFonts w:ascii="Times New Roman" w:hAnsi="Times New Roman"/>
        </w:rPr>
        <w:t>.</w:t>
      </w:r>
    </w:p>
  </w:footnote>
  <w:footnote w:id="3">
    <w:p w14:paraId="09AB9F03" w14:textId="175FD196" w:rsidR="00E32F72" w:rsidRPr="00B03188" w:rsidRDefault="00E32F72" w:rsidP="00E32F72">
      <w:pPr>
        <w:pStyle w:val="FootnoteText"/>
        <w:jc w:val="both"/>
        <w:rPr>
          <w:rFonts w:ascii="Times New Roman" w:hAnsi="Times New Roman" w:cs="Times New Roman"/>
        </w:rPr>
      </w:pPr>
      <w:r>
        <w:rPr>
          <w:rStyle w:val="FootnoteReference"/>
        </w:rPr>
        <w:footnoteRef/>
      </w:r>
      <w:r>
        <w:rPr>
          <w:rFonts w:ascii="Times New Roman" w:hAnsi="Times New Roman"/>
        </w:rPr>
        <w:t> Evaluarea de impact a Comisiei referitoare la propunerile de regulament și de directivă privind probele electronice</w:t>
      </w:r>
      <w:r w:rsidR="00C81A9D">
        <w:rPr>
          <w:rFonts w:ascii="Times New Roman" w:hAnsi="Times New Roman"/>
        </w:rPr>
        <w:t> </w:t>
      </w:r>
      <w:r>
        <w:rPr>
          <w:rFonts w:ascii="Times New Roman" w:hAnsi="Times New Roman"/>
        </w:rPr>
        <w:t>(</w:t>
      </w:r>
      <w:r w:rsidRPr="009828C5">
        <w:rPr>
          <w:rFonts w:ascii="Times New Roman" w:hAnsi="Times New Roman"/>
        </w:rPr>
        <w:t>17</w:t>
      </w:r>
      <w:r w:rsidR="00C81A9D">
        <w:rPr>
          <w:rFonts w:ascii="Times New Roman" w:hAnsi="Times New Roman"/>
        </w:rPr>
        <w:t> </w:t>
      </w:r>
      <w:r>
        <w:rPr>
          <w:rFonts w:ascii="Times New Roman" w:hAnsi="Times New Roman"/>
        </w:rPr>
        <w:t>aprilie</w:t>
      </w:r>
      <w:r w:rsidR="00C81A9D">
        <w:rPr>
          <w:rFonts w:ascii="Times New Roman" w:hAnsi="Times New Roman"/>
        </w:rPr>
        <w:t> </w:t>
      </w:r>
      <w:r w:rsidRPr="009828C5">
        <w:rPr>
          <w:rFonts w:ascii="Times New Roman" w:hAnsi="Times New Roman"/>
        </w:rPr>
        <w:t>2018</w:t>
      </w:r>
      <w:r>
        <w:rPr>
          <w:rFonts w:ascii="Times New Roman" w:hAnsi="Times New Roman"/>
        </w:rPr>
        <w:t>)</w:t>
      </w:r>
      <w:r w:rsidR="00C81A9D">
        <w:rPr>
          <w:rFonts w:ascii="Times New Roman" w:hAnsi="Times New Roman"/>
        </w:rPr>
        <w:t> </w:t>
      </w:r>
      <w:hyperlink r:id="rId3" w:history="1">
        <w:r w:rsidRPr="00C81A9D">
          <w:rPr>
            <w:rStyle w:val="Hyperlink"/>
            <w:rFonts w:ascii="Times New Roman" w:hAnsi="Times New Roman"/>
          </w:rPr>
          <w:t>https://eur-lex.europa.eu/LexUriServ/LexUriServ.do?uri=SWD:2018:0119:FIN:RO:PDF</w:t>
        </w:r>
      </w:hyperlink>
      <w:r>
        <w:rPr>
          <w:rFonts w:ascii="Times New Roman" w:hAnsi="Times New Roman"/>
        </w:rPr>
        <w:t>.</w:t>
      </w:r>
    </w:p>
  </w:footnote>
  <w:footnote w:id="4">
    <w:p w14:paraId="17FFE6DF" w14:textId="77777777" w:rsidR="00E32F72" w:rsidRPr="00B03188" w:rsidRDefault="00E32F72" w:rsidP="00E32F72">
      <w:pPr>
        <w:pStyle w:val="FootnoteText"/>
        <w:jc w:val="both"/>
        <w:rPr>
          <w:rFonts w:ascii="Times New Roman" w:hAnsi="Times New Roman" w:cs="Times New Roman"/>
        </w:rPr>
      </w:pPr>
      <w:r>
        <w:rPr>
          <w:rStyle w:val="FootnoteReference"/>
        </w:rPr>
        <w:footnoteRef/>
      </w:r>
      <w:r>
        <w:rPr>
          <w:rFonts w:ascii="Times New Roman" w:hAnsi="Times New Roman"/>
        </w:rPr>
        <w:t xml:space="preserve"> Raportul SIRIUS din </w:t>
      </w:r>
      <w:r w:rsidRPr="009828C5">
        <w:rPr>
          <w:rFonts w:ascii="Times New Roman" w:hAnsi="Times New Roman"/>
        </w:rPr>
        <w:t>2023</w:t>
      </w:r>
      <w:r>
        <w:rPr>
          <w:rFonts w:ascii="Times New Roman" w:hAnsi="Times New Roman"/>
        </w:rPr>
        <w:t xml:space="preserve">, </w:t>
      </w:r>
      <w:hyperlink r:id="rId4" w:history="1">
        <w:r w:rsidRPr="00C81A9D">
          <w:rPr>
            <w:rStyle w:val="Hyperlink"/>
            <w:rFonts w:ascii="Times New Roman" w:hAnsi="Times New Roman"/>
          </w:rPr>
          <w:t>https://www.eurojust.europa.eu/sites/default/files/assets/sirius-eueesr-2023.pdf</w:t>
        </w:r>
      </w:hyperlink>
      <w:r>
        <w:rPr>
          <w:rFonts w:ascii="Times New Roman" w:hAnsi="Times New Roman"/>
        </w:rPr>
        <w:t>, p. </w:t>
      </w:r>
      <w:r w:rsidRPr="009828C5">
        <w:rPr>
          <w:rFonts w:ascii="Times New Roman" w:hAnsi="Times New Roman"/>
        </w:rPr>
        <w:t>69</w:t>
      </w:r>
      <w:r>
        <w:rPr>
          <w:rFonts w:ascii="Times New Roman" w:hAnsi="Times New Roman"/>
        </w:rPr>
        <w:t>.</w:t>
      </w:r>
    </w:p>
  </w:footnote>
  <w:footnote w:id="5">
    <w:p w14:paraId="4F48B601"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w:t>
      </w:r>
      <w:hyperlink r:id="rId5" w:history="1">
        <w:r w:rsidRPr="00C81A9D">
          <w:rPr>
            <w:rStyle w:val="Hyperlink"/>
            <w:rFonts w:ascii="Times New Roman" w:hAnsi="Times New Roman"/>
            <w:i/>
            <w:iCs/>
          </w:rPr>
          <w:t>Dismantling encrypted criminal EncroChat communications leads to over 6 500 arrests and close to EUR 900 million seized</w:t>
        </w:r>
        <w:r w:rsidRPr="00C81A9D">
          <w:rPr>
            <w:rStyle w:val="Hyperlink"/>
            <w:rFonts w:ascii="Times New Roman" w:hAnsi="Times New Roman"/>
          </w:rPr>
          <w:t xml:space="preserve"> („Dezmembrarea rețelei EncroChat de comunicații criptate utilizată de grupurile infracționale duce la arestarea a peste 6 500 de persoane și la confiscarea unei sume de aproximativ 900 de milioane EUR”) |</w:t>
        </w:r>
      </w:hyperlink>
      <w:r>
        <w:t>.</w:t>
      </w:r>
      <w:hyperlink r:id="rId6" w:history="1">
        <w:r w:rsidRPr="00C81A9D">
          <w:rPr>
            <w:rStyle w:val="Hyperlink"/>
            <w:rFonts w:ascii="Times New Roman" w:hAnsi="Times New Roman"/>
          </w:rPr>
          <w:t xml:space="preserve"> Europol</w:t>
        </w:r>
      </w:hyperlink>
      <w:r>
        <w:rPr>
          <w:rFonts w:ascii="Times New Roman" w:hAnsi="Times New Roman"/>
        </w:rPr>
        <w:t> </w:t>
      </w:r>
      <w:hyperlink r:id="rId7" w:history="1">
        <w:r w:rsidRPr="00C81A9D">
          <w:rPr>
            <w:rStyle w:val="Hyperlink"/>
            <w:rFonts w:ascii="Times New Roman" w:hAnsi="Times New Roman"/>
          </w:rPr>
          <w:t>joint_ep_ej_third_report_of_the_observatory_function_on_encryption_en.pdf</w:t>
        </w:r>
      </w:hyperlink>
      <w:r>
        <w:rPr>
          <w:rFonts w:ascii="Times New Roman" w:hAnsi="Times New Roman"/>
        </w:rPr>
        <w:t> / </w:t>
      </w:r>
      <w:hyperlink r:id="rId8" w:history="1">
        <w:r w:rsidRPr="00C81A9D">
          <w:rPr>
            <w:rStyle w:val="Hyperlink"/>
            <w:rFonts w:ascii="Times New Roman" w:hAnsi="Times New Roman"/>
            <w:i/>
            <w:iCs/>
          </w:rPr>
          <w:t>Dismantling of an encrypted network sends shockwaves through organised crime groups across Europe</w:t>
        </w:r>
        <w:r w:rsidRPr="00C81A9D">
          <w:rPr>
            <w:rStyle w:val="Hyperlink"/>
            <w:rFonts w:ascii="Times New Roman" w:hAnsi="Times New Roman"/>
          </w:rPr>
          <w:t xml:space="preserve"> („Dezmembrarea unei rețele criptate transmite unde de șoc printre grupurile infracționale organizate din întreaga Europă”) |</w:t>
        </w:r>
      </w:hyperlink>
      <w:r>
        <w:t>.</w:t>
      </w:r>
      <w:hyperlink r:id="rId9" w:history="1">
        <w:r w:rsidRPr="00C81A9D">
          <w:rPr>
            <w:rStyle w:val="Hyperlink"/>
            <w:rFonts w:ascii="Times New Roman" w:hAnsi="Times New Roman"/>
          </w:rPr>
          <w:t> Europol</w:t>
        </w:r>
      </w:hyperlink>
      <w:r w:rsidRPr="00C81A9D">
        <w:rPr>
          <w:rStyle w:val="Hyperlink"/>
          <w:rFonts w:ascii="Times New Roman" w:hAnsi="Times New Roman"/>
        </w:rPr>
        <w:t>.</w:t>
      </w:r>
    </w:p>
  </w:footnote>
  <w:footnote w:id="6">
    <w:p w14:paraId="337B18A9" w14:textId="77777777" w:rsidR="00E32F72" w:rsidRPr="00AE5FE8" w:rsidRDefault="00E32F72" w:rsidP="00E32F72">
      <w:pPr>
        <w:pStyle w:val="FootnoteText"/>
        <w:rPr>
          <w:rFonts w:ascii="Times New Roman" w:hAnsi="Times New Roman"/>
        </w:rPr>
      </w:pPr>
      <w:r>
        <w:rPr>
          <w:rStyle w:val="FootnoteReference"/>
        </w:rPr>
        <w:footnoteRef/>
      </w:r>
      <w:r>
        <w:t> </w:t>
      </w:r>
      <w:r>
        <w:rPr>
          <w:rFonts w:ascii="Times New Roman" w:hAnsi="Times New Roman"/>
        </w:rPr>
        <w:t>Conform celor raportate de</w:t>
      </w:r>
      <w:r>
        <w:t> </w:t>
      </w:r>
      <w:hyperlink r:id="rId10" w:history="1">
        <w:r w:rsidRPr="00C81A9D">
          <w:rPr>
            <w:rStyle w:val="Hyperlink"/>
            <w:rFonts w:ascii="Times New Roman" w:hAnsi="Times New Roman"/>
          </w:rPr>
          <w:t>Grupul la nivel înalt (HLG) privind accesul la date pentru asigurarea eficace a respectării legii – Comisia Europeană</w:t>
        </w:r>
      </w:hyperlink>
      <w:r w:rsidRPr="00C81A9D">
        <w:rPr>
          <w:rStyle w:val="Hyperlink"/>
          <w:rFonts w:ascii="Times New Roman" w:hAnsi="Times New Roman"/>
        </w:rPr>
        <w:t>.</w:t>
      </w:r>
    </w:p>
  </w:footnote>
  <w:footnote w:id="7">
    <w:p w14:paraId="146DCC23" w14:textId="77777777" w:rsidR="00E32F72" w:rsidRPr="00AE5FE8" w:rsidRDefault="00E32F72" w:rsidP="00E32F72">
      <w:pPr>
        <w:pStyle w:val="FootnoteText1"/>
        <w:jc w:val="both"/>
        <w:rPr>
          <w:rFonts w:ascii="Times New Roman" w:hAnsi="Times New Roman"/>
        </w:rPr>
      </w:pPr>
      <w:r>
        <w:rPr>
          <w:rStyle w:val="FootnoteReference"/>
        </w:rPr>
        <w:footnoteRef/>
      </w:r>
      <w:r>
        <w:rPr>
          <w:rFonts w:ascii="Times New Roman" w:hAnsi="Times New Roman"/>
        </w:rPr>
        <w:t xml:space="preserve"> </w:t>
      </w:r>
      <w:hyperlink r:id="rId11" w:history="1">
        <w:r w:rsidRPr="00C81A9D">
          <w:rPr>
            <w:rStyle w:val="Hyperlink"/>
            <w:rFonts w:ascii="Times New Roman" w:hAnsi="Times New Roman"/>
            <w:i/>
            <w:iCs/>
          </w:rPr>
          <w:t>Concluding report of the High-Level Group on access to data for effective law enforcement</w:t>
        </w:r>
        <w:r w:rsidRPr="00C81A9D">
          <w:rPr>
            <w:rStyle w:val="Hyperlink"/>
            <w:rFonts w:ascii="Times New Roman" w:hAnsi="Times New Roman"/>
          </w:rPr>
          <w:t xml:space="preserve"> („Raportul final al Grupului la nivel înalt privind accesul la date pentru asigurarea eficace a respectării legii”)</w:t>
        </w:r>
      </w:hyperlink>
      <w:r>
        <w:rPr>
          <w:rFonts w:ascii="Times New Roman" w:hAnsi="Times New Roman"/>
        </w:rPr>
        <w:t xml:space="preserve"> (</w:t>
      </w:r>
      <w:r w:rsidRPr="009828C5">
        <w:rPr>
          <w:rFonts w:ascii="Times New Roman" w:hAnsi="Times New Roman"/>
        </w:rPr>
        <w:t>15</w:t>
      </w:r>
      <w:r>
        <w:rPr>
          <w:rFonts w:ascii="Times New Roman" w:hAnsi="Times New Roman"/>
        </w:rPr>
        <w:t xml:space="preserve"> noiembrie </w:t>
      </w:r>
      <w:r w:rsidRPr="009828C5">
        <w:rPr>
          <w:rFonts w:ascii="Times New Roman" w:hAnsi="Times New Roman"/>
        </w:rPr>
        <w:t>2024</w:t>
      </w:r>
      <w:r>
        <w:rPr>
          <w:rFonts w:ascii="Times New Roman" w:hAnsi="Times New Roman"/>
        </w:rPr>
        <w:t>).</w:t>
      </w:r>
    </w:p>
  </w:footnote>
  <w:footnote w:id="8">
    <w:p w14:paraId="533D0BCB" w14:textId="77777777" w:rsidR="00E32F72" w:rsidRPr="00B03188" w:rsidRDefault="00E32F72" w:rsidP="00E32F72">
      <w:pPr>
        <w:pStyle w:val="FootnoteText"/>
      </w:pPr>
      <w:r>
        <w:rPr>
          <w:rStyle w:val="FootnoteReference"/>
        </w:rPr>
        <w:footnoteRef/>
      </w:r>
      <w:r>
        <w:t> </w:t>
      </w:r>
      <w:hyperlink r:id="rId12" w:history="1">
        <w:r w:rsidRPr="00C81A9D">
          <w:rPr>
            <w:rStyle w:val="Hyperlink"/>
            <w:rFonts w:ascii="Times New Roman" w:hAnsi="Times New Roman"/>
            <w:i/>
            <w:iCs/>
          </w:rPr>
          <w:t>Common Challenges in Cybercrime</w:t>
        </w:r>
        <w:r w:rsidRPr="00C81A9D">
          <w:rPr>
            <w:rStyle w:val="Hyperlink"/>
            <w:rFonts w:ascii="Times New Roman" w:hAnsi="Times New Roman"/>
          </w:rPr>
          <w:t xml:space="preserve"> („Provocări comune în materie de criminalitate informatică”), Analiză din 2024 efectuată de Europol</w:t>
        </w:r>
      </w:hyperlink>
      <w:r w:rsidRPr="00C81A9D">
        <w:rPr>
          <w:rStyle w:val="Hyperlink"/>
          <w:rFonts w:ascii="Times New Roman" w:hAnsi="Times New Roman"/>
        </w:rPr>
        <w:t xml:space="preserve"> și Eurojust.</w:t>
      </w:r>
    </w:p>
  </w:footnote>
  <w:footnote w:id="9">
    <w:p w14:paraId="67FA439C" w14:textId="77777777" w:rsidR="00E32F72" w:rsidRPr="00B03188" w:rsidRDefault="00E32F72" w:rsidP="00E32F72">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hyperlink r:id="rId13" w:history="1">
        <w:r w:rsidRPr="00C81A9D">
          <w:rPr>
            <w:rStyle w:val="Hyperlink"/>
            <w:rFonts w:ascii="Times New Roman" w:hAnsi="Times New Roman"/>
            <w:i/>
            <w:iCs/>
          </w:rPr>
          <w:t>Recommendations of the High-Level Group on access to data for effective law enforcement</w:t>
        </w:r>
        <w:r w:rsidRPr="00C81A9D">
          <w:rPr>
            <w:rStyle w:val="Hyperlink"/>
            <w:rFonts w:ascii="Times New Roman" w:hAnsi="Times New Roman"/>
          </w:rPr>
          <w:t xml:space="preserve"> („Recomandările Grupului la nivel înalt privind accesul la date pentru asigurarea eficace a respectării legii”)</w:t>
        </w:r>
      </w:hyperlink>
      <w:r w:rsidRPr="00C81A9D">
        <w:rPr>
          <w:rStyle w:val="Hyperlink"/>
          <w:rFonts w:ascii="Times New Roman" w:hAnsi="Times New Roman"/>
        </w:rPr>
        <w:t>.</w:t>
      </w:r>
    </w:p>
  </w:footnote>
  <w:footnote w:id="10">
    <w:p w14:paraId="0700A1D9" w14:textId="77777777" w:rsidR="00E32F72" w:rsidRPr="00B03188" w:rsidRDefault="00E32F72" w:rsidP="00E32F72">
      <w:pPr>
        <w:pStyle w:val="FootnoteText"/>
        <w:jc w:val="both"/>
        <w:rPr>
          <w:rFonts w:ascii="Times New Roman" w:hAnsi="Times New Roman" w:cs="Times New Roman"/>
        </w:rPr>
      </w:pPr>
      <w:r>
        <w:rPr>
          <w:rStyle w:val="FootnoteReference"/>
        </w:rPr>
        <w:footnoteRef/>
      </w:r>
      <w:r>
        <w:rPr>
          <w:rFonts w:ascii="Times New Roman" w:hAnsi="Times New Roman"/>
        </w:rPr>
        <w:t> Concluziile Consiliului privind accesul la date pentru asigurarea eficace a respectării legii (</w:t>
      </w:r>
      <w:r w:rsidRPr="009828C5">
        <w:rPr>
          <w:rFonts w:ascii="Times New Roman" w:hAnsi="Times New Roman"/>
        </w:rPr>
        <w:t>12</w:t>
      </w:r>
      <w:r>
        <w:rPr>
          <w:rFonts w:ascii="Times New Roman" w:hAnsi="Times New Roman"/>
        </w:rPr>
        <w:t xml:space="preserve"> decembrie </w:t>
      </w:r>
      <w:r w:rsidRPr="009828C5">
        <w:rPr>
          <w:rFonts w:ascii="Times New Roman" w:hAnsi="Times New Roman"/>
        </w:rPr>
        <w:t>2024</w:t>
      </w:r>
      <w:r>
        <w:rPr>
          <w:rFonts w:ascii="Times New Roman" w:hAnsi="Times New Roman"/>
        </w:rPr>
        <w:t xml:space="preserve">), </w:t>
      </w:r>
      <w:hyperlink r:id="rId14" w:history="1">
        <w:r w:rsidRPr="00C81A9D">
          <w:rPr>
            <w:rStyle w:val="Hyperlink"/>
            <w:rFonts w:ascii="Times New Roman" w:hAnsi="Times New Roman"/>
          </w:rPr>
          <w:t>https://data.consilium.europa.eu/doc/document/ST-16448-2024-INIT/ro/pdf</w:t>
        </w:r>
      </w:hyperlink>
      <w:r>
        <w:rPr>
          <w:rFonts w:ascii="Times New Roman" w:hAnsi="Times New Roman"/>
        </w:rPr>
        <w:t>; Concluziile Consiliului privind viitoarele priorități pentru consolidarea eforturilor comune de combatere a terorismului ale Uniunii Europene și ale statelor sale membre (</w:t>
      </w:r>
      <w:r w:rsidRPr="009828C5">
        <w:rPr>
          <w:rFonts w:ascii="Times New Roman" w:hAnsi="Times New Roman"/>
        </w:rPr>
        <w:t>12</w:t>
      </w:r>
      <w:r>
        <w:rPr>
          <w:rFonts w:ascii="Times New Roman" w:hAnsi="Times New Roman"/>
        </w:rPr>
        <w:t xml:space="preserve"> decembrie </w:t>
      </w:r>
      <w:r w:rsidRPr="009828C5">
        <w:rPr>
          <w:rFonts w:ascii="Times New Roman" w:hAnsi="Times New Roman"/>
        </w:rPr>
        <w:t>2024</w:t>
      </w:r>
      <w:r>
        <w:rPr>
          <w:rFonts w:ascii="Times New Roman" w:hAnsi="Times New Roman"/>
        </w:rPr>
        <w:t xml:space="preserve">) </w:t>
      </w:r>
      <w:hyperlink r:id="rId15" w:history="1">
        <w:r w:rsidRPr="00C81A9D">
          <w:rPr>
            <w:rStyle w:val="Hyperlink"/>
            <w:rFonts w:ascii="Times New Roman" w:hAnsi="Times New Roman"/>
          </w:rPr>
          <w:t>https://data.consilium.europa.eu/doc/document/ST-16820-2024-INIT/ro/pdf</w:t>
        </w:r>
      </w:hyperlink>
      <w:r w:rsidRPr="00C81A9D">
        <w:rPr>
          <w:rStyle w:val="Hyperlink"/>
          <w:rFonts w:ascii="Times New Roman" w:hAnsi="Times New Roman"/>
        </w:rPr>
        <w:t>.</w:t>
      </w:r>
    </w:p>
  </w:footnote>
  <w:footnote w:id="11">
    <w:p w14:paraId="3E4DC412"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Păstrarea datelor se referă la furnizorii de servicii care păstrează anumite date care nu se referă la conținut și care sunt prelucrate în contextul serviciilor de comunicații pe care le furnizează pentru o anumită perioadă, cu scopul de a permite accesul autorităților competente în cadrul anchetelor penale în temeiul unor garanții adecvate și de a asigura justiția penală.</w:t>
      </w:r>
    </w:p>
  </w:footnote>
  <w:footnote w:id="12">
    <w:p w14:paraId="4867AFE5" w14:textId="77777777" w:rsidR="00E32F72" w:rsidRPr="0066229A"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w:t>
      </w:r>
      <w:hyperlink r:id="rId16" w:history="1">
        <w:r w:rsidRPr="00C81A9D">
          <w:rPr>
            <w:rStyle w:val="Hyperlink"/>
            <w:rFonts w:ascii="Times New Roman" w:hAnsi="Times New Roman"/>
            <w:i/>
            <w:iCs/>
          </w:rPr>
          <w:t>La cobertura del móvil de Diana Quer desmonta la versión del Chicle:</w:t>
        </w:r>
      </w:hyperlink>
      <w:hyperlink r:id="rId17" w:history="1">
        <w:r w:rsidRPr="00C81A9D">
          <w:rPr>
            <w:rStyle w:val="Hyperlink"/>
            <w:rFonts w:ascii="Times New Roman" w:hAnsi="Times New Roman"/>
            <w:i/>
            <w:iCs/>
          </w:rPr>
          <w:t xml:space="preserve"> no la abordó donde él dijo que estaba robando gasolina |</w:t>
        </w:r>
      </w:hyperlink>
      <w:r>
        <w:t>.</w:t>
      </w:r>
      <w:hyperlink r:id="rId18" w:history="1">
        <w:r w:rsidRPr="00C81A9D">
          <w:rPr>
            <w:rStyle w:val="Hyperlink"/>
            <w:rFonts w:ascii="Times New Roman" w:hAnsi="Times New Roman"/>
            <w:i/>
            <w:iCs/>
          </w:rPr>
          <w:t xml:space="preserve"> España</w:t>
        </w:r>
      </w:hyperlink>
      <w:r>
        <w:t>.</w:t>
      </w:r>
    </w:p>
  </w:footnote>
  <w:footnote w:id="13">
    <w:p w14:paraId="4CD3B75D" w14:textId="27563074" w:rsidR="00E32F72" w:rsidRPr="0066229A" w:rsidRDefault="00E32F72" w:rsidP="00E32F72">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hyperlink r:id="rId19" w:history="1">
        <w:r w:rsidRPr="00C81A9D">
          <w:rPr>
            <w:rStyle w:val="Hyperlink"/>
            <w:rFonts w:ascii="Times New Roman" w:hAnsi="Times New Roman"/>
          </w:rPr>
          <w:t>https://eur-lex.europa.eu/eli/dir/2006/24/oj</w:t>
        </w:r>
      </w:hyperlink>
      <w:r>
        <w:rPr>
          <w:rFonts w:ascii="Times New Roman" w:hAnsi="Times New Roman"/>
        </w:rPr>
        <w:t>.</w:t>
      </w:r>
    </w:p>
  </w:footnote>
  <w:footnote w:id="14">
    <w:p w14:paraId="712E3616" w14:textId="77777777" w:rsidR="00E32F72" w:rsidRPr="00B03188" w:rsidDel="00051547" w:rsidRDefault="00E32F72" w:rsidP="00E32F72">
      <w:pPr>
        <w:pStyle w:val="FootnoteText"/>
      </w:pPr>
      <w:r>
        <w:rPr>
          <w:rStyle w:val="FootnoteReference"/>
        </w:rPr>
        <w:footnoteRef/>
      </w:r>
      <w:r>
        <w:t> </w:t>
      </w:r>
      <w:r>
        <w:rPr>
          <w:rFonts w:ascii="Times New Roman" w:hAnsi="Times New Roman"/>
        </w:rPr>
        <w:t xml:space="preserve">Hotărârea Curții (Marea Cameră) din </w:t>
      </w:r>
      <w:r w:rsidRPr="009828C5">
        <w:rPr>
          <w:rFonts w:ascii="Times New Roman" w:hAnsi="Times New Roman"/>
        </w:rPr>
        <w:t>8</w:t>
      </w:r>
      <w:r>
        <w:rPr>
          <w:rFonts w:ascii="Times New Roman" w:hAnsi="Times New Roman"/>
        </w:rPr>
        <w:t xml:space="preserve"> aprilie </w:t>
      </w:r>
      <w:r w:rsidRPr="009828C5">
        <w:rPr>
          <w:rFonts w:ascii="Times New Roman" w:hAnsi="Times New Roman"/>
        </w:rPr>
        <w:t>2014</w:t>
      </w:r>
      <w:r>
        <w:rPr>
          <w:rFonts w:ascii="Times New Roman" w:hAnsi="Times New Roman"/>
        </w:rPr>
        <w:t>. Digital Rights Ireland Ltd împotriva Minister for Communications, Marine and Natural Resources și alții.</w:t>
      </w:r>
    </w:p>
  </w:footnote>
  <w:footnote w:id="15">
    <w:p w14:paraId="14DDD8E4"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Pentru o prezentare generală, a se vedea </w:t>
      </w:r>
      <w:hyperlink r:id="rId20" w:history="1">
        <w:r w:rsidRPr="00C81A9D">
          <w:rPr>
            <w:rStyle w:val="Hyperlink"/>
            <w:rFonts w:ascii="Times New Roman" w:hAnsi="Times New Roman"/>
            <w:i/>
            <w:iCs/>
          </w:rPr>
          <w:t>The effect of Court of Justice of the European Union case-law on national data retention regimes and judicial cooperation in the EU</w:t>
        </w:r>
        <w:r w:rsidRPr="00C81A9D">
          <w:rPr>
            <w:rStyle w:val="Hyperlink"/>
            <w:rFonts w:ascii="Times New Roman" w:hAnsi="Times New Roman"/>
          </w:rPr>
          <w:t xml:space="preserve"> („Efectul jurisprudenței Curții de Justiție a Uniunii Europene asupra regimurilor naționale de păstrare a datelor și asupra cooperării judiciare în UE”) |</w:t>
        </w:r>
      </w:hyperlink>
      <w:r>
        <w:t>.</w:t>
      </w:r>
      <w:hyperlink r:id="rId21" w:history="1">
        <w:r w:rsidRPr="00C81A9D">
          <w:rPr>
            <w:rStyle w:val="Hyperlink"/>
            <w:rFonts w:ascii="Times New Roman" w:hAnsi="Times New Roman"/>
          </w:rPr>
          <w:t xml:space="preserve"> Eurojust |</w:t>
        </w:r>
      </w:hyperlink>
      <w:r>
        <w:t>.</w:t>
      </w:r>
      <w:hyperlink r:id="rId22" w:history="1">
        <w:r w:rsidRPr="00C81A9D">
          <w:rPr>
            <w:rStyle w:val="Hyperlink"/>
            <w:rFonts w:ascii="Times New Roman" w:hAnsi="Times New Roman"/>
          </w:rPr>
          <w:t xml:space="preserve"> Agenția Uniunii Europene pentru Cooperare în Materie de Justiție Penală</w:t>
        </w:r>
      </w:hyperlink>
      <w:r>
        <w:rPr>
          <w:rFonts w:ascii="Times New Roman" w:hAnsi="Times New Roman"/>
        </w:rPr>
        <w:t xml:space="preserve"> și </w:t>
      </w:r>
      <w:hyperlink r:id="rId23" w:history="1">
        <w:r w:rsidRPr="00C81A9D">
          <w:rPr>
            <w:rStyle w:val="Hyperlink"/>
            <w:rFonts w:ascii="Times New Roman" w:hAnsi="Times New Roman"/>
            <w:i/>
            <w:iCs/>
          </w:rPr>
          <w:t>European Commission Study on the retention of electronic communications non-content data for law enforcement purposes</w:t>
        </w:r>
        <w:r w:rsidRPr="00C81A9D">
          <w:rPr>
            <w:rStyle w:val="Hyperlink"/>
            <w:rFonts w:ascii="Times New Roman" w:hAnsi="Times New Roman"/>
          </w:rPr>
          <w:t xml:space="preserve"> („Studiul Comisiei Europene privind păstrarea datelor care nu se referă la conținut din comunicațiile electronice în scopul asigurării respectării legii”)</w:t>
        </w:r>
      </w:hyperlink>
      <w:r w:rsidRPr="00C81A9D">
        <w:rPr>
          <w:rStyle w:val="Hyperlink"/>
        </w:rPr>
        <w:t>.</w:t>
      </w:r>
    </w:p>
  </w:footnote>
  <w:footnote w:id="16">
    <w:p w14:paraId="1DD64FB6" w14:textId="77777777" w:rsidR="00E32F72" w:rsidRPr="00B03188" w:rsidRDefault="00E32F72" w:rsidP="00E32F72">
      <w:pPr>
        <w:pStyle w:val="FootnoteText"/>
        <w:jc w:val="both"/>
      </w:pPr>
      <w:r>
        <w:rPr>
          <w:rStyle w:val="FootnoteReference"/>
        </w:rPr>
        <w:footnoteRef/>
      </w:r>
      <w:r>
        <w:rPr>
          <w:rFonts w:ascii="Times New Roman" w:hAnsi="Times New Roman"/>
        </w:rPr>
        <w:t xml:space="preserve"> Grupul de recomandări </w:t>
      </w:r>
      <w:r w:rsidRPr="009828C5">
        <w:rPr>
          <w:rFonts w:ascii="Times New Roman" w:hAnsi="Times New Roman"/>
        </w:rPr>
        <w:t>6</w:t>
      </w:r>
      <w:r>
        <w:rPr>
          <w:rFonts w:ascii="Times New Roman" w:hAnsi="Times New Roman"/>
        </w:rPr>
        <w:t>, Raportul final al Grupului la nivel înalt.</w:t>
      </w:r>
    </w:p>
  </w:footnote>
  <w:footnote w:id="17">
    <w:p w14:paraId="41BCCB64"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xml:space="preserve"> Grupul de recomandări </w:t>
      </w:r>
      <w:r w:rsidRPr="009828C5">
        <w:rPr>
          <w:rFonts w:ascii="Times New Roman" w:hAnsi="Times New Roman"/>
        </w:rPr>
        <w:t>5</w:t>
      </w:r>
      <w:r>
        <w:rPr>
          <w:rFonts w:ascii="Times New Roman" w:hAnsi="Times New Roman"/>
        </w:rPr>
        <w:t>, Raportul final al Grupului la nivel înalt.</w:t>
      </w:r>
    </w:p>
  </w:footnote>
  <w:footnote w:id="18">
    <w:p w14:paraId="02D37FBE" w14:textId="6B210B39" w:rsidR="00E32F72" w:rsidRPr="00AE5FE8" w:rsidRDefault="00E32F72" w:rsidP="00E32F72">
      <w:pPr>
        <w:pStyle w:val="FootnoteText"/>
        <w:jc w:val="both"/>
      </w:pPr>
      <w:r>
        <w:rPr>
          <w:rStyle w:val="FootnoteReference"/>
        </w:rPr>
        <w:footnoteRef/>
      </w:r>
      <w:r>
        <w:t xml:space="preserve"> </w:t>
      </w:r>
      <w:hyperlink r:id="rId24" w:history="1">
        <w:r w:rsidRPr="00C81A9D">
          <w:rPr>
            <w:rStyle w:val="Hyperlink"/>
            <w:rFonts w:ascii="Times New Roman" w:hAnsi="Times New Roman"/>
          </w:rPr>
          <w:t>Proiectul SIRIUS |</w:t>
        </w:r>
      </w:hyperlink>
      <w:hyperlink r:id="rId25" w:history="1">
        <w:r w:rsidRPr="00C81A9D">
          <w:rPr>
            <w:rStyle w:val="Hyperlink"/>
            <w:rFonts w:ascii="Times New Roman" w:hAnsi="Times New Roman"/>
          </w:rPr>
          <w:t> Europol</w:t>
        </w:r>
      </w:hyperlink>
      <w:r w:rsidRPr="00C81A9D">
        <w:rPr>
          <w:rStyle w:val="Hyperlink"/>
          <w:rFonts w:ascii="Times New Roman" w:hAnsi="Times New Roman"/>
        </w:rPr>
        <w:t>.</w:t>
      </w:r>
    </w:p>
  </w:footnote>
  <w:footnote w:id="19">
    <w:p w14:paraId="06D84949"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xml:space="preserve"> </w:t>
      </w:r>
      <w:hyperlink r:id="rId26" w:history="1">
        <w:r w:rsidRPr="00C81A9D">
          <w:rPr>
            <w:rStyle w:val="Hyperlink"/>
            <w:rFonts w:ascii="Times New Roman" w:hAnsi="Times New Roman"/>
            <w:i/>
            <w:iCs/>
          </w:rPr>
          <w:t>Dismantling of an encrypted network sends shockwaves through organised crime groups across Europe</w:t>
        </w:r>
        <w:r w:rsidRPr="00C81A9D">
          <w:rPr>
            <w:rStyle w:val="Hyperlink"/>
            <w:rFonts w:ascii="Times New Roman" w:hAnsi="Times New Roman"/>
          </w:rPr>
          <w:t xml:space="preserve"> („Dezmembrarea unei rețele criptate transmite unde de șoc printre grupurile infracționale organizate din întreaga Europă”) |</w:t>
        </w:r>
      </w:hyperlink>
      <w:r>
        <w:t>.</w:t>
      </w:r>
      <w:hyperlink r:id="rId27" w:history="1">
        <w:r w:rsidRPr="00C81A9D">
          <w:rPr>
            <w:rStyle w:val="Hyperlink"/>
            <w:rFonts w:ascii="Times New Roman" w:hAnsi="Times New Roman"/>
          </w:rPr>
          <w:t> Europol</w:t>
        </w:r>
      </w:hyperlink>
      <w:r w:rsidRPr="00C81A9D">
        <w:rPr>
          <w:rStyle w:val="Hyperlink"/>
          <w:rFonts w:ascii="Times New Roman" w:hAnsi="Times New Roman"/>
        </w:rPr>
        <w:t>;</w:t>
      </w:r>
      <w:r>
        <w:rPr>
          <w:sz w:val="22"/>
        </w:rPr>
        <w:t xml:space="preserve"> </w:t>
      </w:r>
      <w:hyperlink r:id="rId28" w:history="1">
        <w:r w:rsidRPr="00C81A9D">
          <w:rPr>
            <w:rStyle w:val="Hyperlink"/>
            <w:rFonts w:ascii="Times New Roman" w:hAnsi="Times New Roman"/>
            <w:i/>
            <w:iCs/>
          </w:rPr>
          <w:t>Retour sur l’affaire EncroChat, ou quand les cyber-gendarmes ont hacké la messagerie chiffrée utilisée par la criminalité organisée</w:t>
        </w:r>
      </w:hyperlink>
      <w:r w:rsidRPr="00C81A9D">
        <w:rPr>
          <w:rStyle w:val="Hyperlink"/>
          <w:rFonts w:ascii="Times New Roman" w:hAnsi="Times New Roman"/>
        </w:rPr>
        <w:t>.</w:t>
      </w:r>
    </w:p>
  </w:footnote>
  <w:footnote w:id="20">
    <w:p w14:paraId="32801DE9"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xml:space="preserve"> </w:t>
      </w:r>
      <w:hyperlink r:id="rId29" w:history="1">
        <w:r w:rsidRPr="00C81A9D">
          <w:rPr>
            <w:rStyle w:val="Hyperlink"/>
            <w:rFonts w:ascii="Times New Roman" w:hAnsi="Times New Roman"/>
          </w:rPr>
          <w:t>Ordinul european de anchetă |</w:t>
        </w:r>
      </w:hyperlink>
      <w:hyperlink r:id="rId30" w:history="1">
        <w:r w:rsidRPr="00C81A9D">
          <w:rPr>
            <w:rStyle w:val="Hyperlink"/>
            <w:rFonts w:ascii="Times New Roman" w:hAnsi="Times New Roman"/>
          </w:rPr>
          <w:t xml:space="preserve"> Eurojust |</w:t>
        </w:r>
      </w:hyperlink>
      <w:hyperlink r:id="rId31" w:history="1">
        <w:r w:rsidRPr="00C81A9D">
          <w:rPr>
            <w:rStyle w:val="Hyperlink"/>
            <w:rFonts w:ascii="Times New Roman" w:hAnsi="Times New Roman"/>
          </w:rPr>
          <w:t xml:space="preserve"> Agenția Uniunii Europene pentru Cooperare în Materie de Justiție Penală</w:t>
        </w:r>
      </w:hyperlink>
      <w:r w:rsidRPr="00C81A9D">
        <w:rPr>
          <w:rStyle w:val="Hyperlink"/>
          <w:rFonts w:ascii="Times New Roman" w:hAnsi="Times New Roman"/>
        </w:rPr>
        <w:t>.</w:t>
      </w:r>
    </w:p>
  </w:footnote>
  <w:footnote w:id="21">
    <w:p w14:paraId="78083A70" w14:textId="77777777" w:rsidR="00E32F72" w:rsidRPr="00B03188" w:rsidRDefault="00E32F72" w:rsidP="00E32F72">
      <w:pPr>
        <w:pStyle w:val="FootnoteText"/>
      </w:pPr>
      <w:r>
        <w:rPr>
          <w:rStyle w:val="FootnoteReference"/>
        </w:rPr>
        <w:footnoteRef/>
      </w:r>
      <w:r>
        <w:rPr>
          <w:rFonts w:ascii="Times New Roman" w:hAnsi="Times New Roman"/>
        </w:rPr>
        <w:t> În contextul prezentei comunicări, tehnologiile de interceptare legală care sunt puse în aplicare de către un operator de comunicații pentru a obține acces în timp real la datele comunicațiilor în cadrul anchetelor judiciare, precum și tehnologiile care pot fi implementate în mod autonom de către autoritățile de aplicare a legii.</w:t>
      </w:r>
    </w:p>
  </w:footnote>
  <w:footnote w:id="22">
    <w:p w14:paraId="6EB6E497" w14:textId="77777777" w:rsidR="00E32F72" w:rsidRPr="00B03188" w:rsidRDefault="00E32F72" w:rsidP="00E32F72">
      <w:pPr>
        <w:pStyle w:val="FootnoteText"/>
      </w:pPr>
      <w:r>
        <w:rPr>
          <w:rStyle w:val="FootnoteReference"/>
        </w:rPr>
        <w:footnoteRef/>
      </w:r>
      <w:r>
        <w:t> </w:t>
      </w:r>
      <w:r>
        <w:rPr>
          <w:rFonts w:ascii="Times New Roman" w:hAnsi="Times New Roman"/>
        </w:rPr>
        <w:t>Raportul final al Grupului la nivel înalt, p. </w:t>
      </w:r>
      <w:r w:rsidRPr="009828C5">
        <w:rPr>
          <w:rFonts w:ascii="Times New Roman" w:hAnsi="Times New Roman"/>
        </w:rPr>
        <w:t>38</w:t>
      </w:r>
      <w:r>
        <w:rPr>
          <w:rFonts w:ascii="Times New Roman" w:hAnsi="Times New Roman"/>
        </w:rPr>
        <w:t>.</w:t>
      </w:r>
    </w:p>
  </w:footnote>
  <w:footnote w:id="23">
    <w:p w14:paraId="796C6DDD" w14:textId="77777777" w:rsidR="00E32F72" w:rsidRPr="00B03188" w:rsidRDefault="00E32F72" w:rsidP="00E32F72">
      <w:pPr>
        <w:pStyle w:val="FootnoteText"/>
        <w:rPr>
          <w:rFonts w:ascii="Times New Roman" w:hAnsi="Times New Roman" w:cs="Times New Roman"/>
        </w:rPr>
      </w:pPr>
      <w:r>
        <w:rPr>
          <w:rStyle w:val="FootnoteReference"/>
        </w:rPr>
        <w:footnoteRef/>
      </w:r>
      <w:r>
        <w:t> </w:t>
      </w:r>
      <w:hyperlink r:id="rId32" w:history="1">
        <w:r w:rsidRPr="00C81A9D">
          <w:rPr>
            <w:rStyle w:val="Hyperlink"/>
            <w:rFonts w:ascii="Times New Roman" w:hAnsi="Times New Roman"/>
            <w:i/>
            <w:iCs/>
          </w:rPr>
          <w:t>Internet Organised Crime Threat Assessment</w:t>
        </w:r>
        <w:r w:rsidRPr="00C81A9D">
          <w:rPr>
            <w:rStyle w:val="Hyperlink"/>
            <w:rFonts w:ascii="Times New Roman" w:hAnsi="Times New Roman"/>
          </w:rPr>
          <w:t xml:space="preserve"> („Evaluarea amenințării pe care o reprezintă criminalitatea organizată online”) (IOCTA), 2024</w:t>
        </w:r>
      </w:hyperlink>
      <w:r w:rsidRPr="00C81A9D">
        <w:rPr>
          <w:rStyle w:val="Hyperlink"/>
          <w:rFonts w:ascii="Times New Roman" w:hAnsi="Times New Roman"/>
        </w:rPr>
        <w:t>.</w:t>
      </w:r>
    </w:p>
  </w:footnote>
  <w:footnote w:id="24">
    <w:p w14:paraId="4FBF9E9C"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A se vedea </w:t>
      </w:r>
      <w:hyperlink r:id="rId33" w:history="1">
        <w:r w:rsidRPr="00C81A9D">
          <w:rPr>
            <w:rStyle w:val="Hyperlink"/>
            <w:rFonts w:ascii="Times New Roman" w:hAnsi="Times New Roman"/>
          </w:rPr>
          <w:t>Cartea albă a UE privind infrastructura digitală</w:t>
        </w:r>
      </w:hyperlink>
      <w:r>
        <w:rPr>
          <w:rFonts w:ascii="Times New Roman" w:hAnsi="Times New Roman"/>
        </w:rPr>
        <w:t>, p. </w:t>
      </w:r>
      <w:r w:rsidRPr="009828C5">
        <w:rPr>
          <w:rFonts w:ascii="Times New Roman" w:hAnsi="Times New Roman"/>
        </w:rPr>
        <w:t>14</w:t>
      </w:r>
      <w:r>
        <w:rPr>
          <w:rFonts w:ascii="Times New Roman" w:hAnsi="Times New Roman"/>
        </w:rPr>
        <w:t xml:space="preserve">; </w:t>
      </w:r>
      <w:hyperlink r:id="rId34" w:history="1">
        <w:r w:rsidRPr="00C81A9D">
          <w:rPr>
            <w:rStyle w:val="Hyperlink"/>
            <w:rFonts w:ascii="Times New Roman" w:hAnsi="Times New Roman"/>
          </w:rPr>
          <w:t>Raportul Letta privind piața internă</w:t>
        </w:r>
      </w:hyperlink>
      <w:r>
        <w:rPr>
          <w:rFonts w:ascii="Times New Roman" w:hAnsi="Times New Roman"/>
        </w:rPr>
        <w:t>, p. </w:t>
      </w:r>
      <w:r w:rsidRPr="009828C5">
        <w:rPr>
          <w:rFonts w:ascii="Times New Roman" w:hAnsi="Times New Roman"/>
        </w:rPr>
        <w:t>59</w:t>
      </w:r>
      <w:r>
        <w:rPr>
          <w:rFonts w:ascii="Times New Roman" w:hAnsi="Times New Roman"/>
        </w:rPr>
        <w:t xml:space="preserve">, și </w:t>
      </w:r>
      <w:hyperlink r:id="rId35" w:history="1">
        <w:r w:rsidRPr="00C81A9D">
          <w:rPr>
            <w:rStyle w:val="Hyperlink"/>
            <w:rFonts w:ascii="Times New Roman" w:hAnsi="Times New Roman"/>
          </w:rPr>
          <w:t>Raportul Draghi</w:t>
        </w:r>
      </w:hyperlink>
      <w:r>
        <w:rPr>
          <w:rFonts w:ascii="Times New Roman" w:hAnsi="Times New Roman"/>
        </w:rPr>
        <w:t xml:space="preserve"> privind competitivitatea UE, p. </w:t>
      </w:r>
      <w:r w:rsidRPr="009828C5">
        <w:rPr>
          <w:rFonts w:ascii="Times New Roman" w:hAnsi="Times New Roman"/>
        </w:rPr>
        <w:t>70</w:t>
      </w:r>
      <w:r>
        <w:rPr>
          <w:rFonts w:ascii="Times New Roman" w:hAnsi="Times New Roman"/>
        </w:rPr>
        <w:t xml:space="preserve">, </w:t>
      </w:r>
      <w:r w:rsidRPr="009828C5">
        <w:rPr>
          <w:rFonts w:ascii="Times New Roman" w:hAnsi="Times New Roman"/>
        </w:rPr>
        <w:t>74</w:t>
      </w:r>
      <w:r>
        <w:rPr>
          <w:rFonts w:ascii="Times New Roman" w:hAnsi="Times New Roman"/>
        </w:rPr>
        <w:t xml:space="preserve">, </w:t>
      </w:r>
      <w:r w:rsidRPr="009828C5">
        <w:rPr>
          <w:rFonts w:ascii="Times New Roman" w:hAnsi="Times New Roman"/>
        </w:rPr>
        <w:t>76</w:t>
      </w:r>
      <w:r>
        <w:rPr>
          <w:rFonts w:ascii="Times New Roman" w:hAnsi="Times New Roman"/>
        </w:rPr>
        <w:t>.</w:t>
      </w:r>
    </w:p>
  </w:footnote>
  <w:footnote w:id="25">
    <w:p w14:paraId="0534B319" w14:textId="77777777" w:rsidR="00E32F72" w:rsidRPr="00B03188" w:rsidRDefault="00E32F72" w:rsidP="00E32F72">
      <w:pPr>
        <w:pStyle w:val="FootnoteText"/>
      </w:pPr>
      <w:r>
        <w:rPr>
          <w:rStyle w:val="FootnoteReference"/>
        </w:rPr>
        <w:footnoteRef/>
      </w:r>
      <w:r>
        <w:rPr>
          <w:rFonts w:ascii="Times New Roman" w:hAnsi="Times New Roman"/>
        </w:rPr>
        <w:t> Raportul final al Grupului la nivel înalt, p. </w:t>
      </w:r>
      <w:r w:rsidRPr="009828C5">
        <w:rPr>
          <w:rFonts w:ascii="Times New Roman" w:hAnsi="Times New Roman"/>
        </w:rPr>
        <w:t>41</w:t>
      </w:r>
      <w:r>
        <w:rPr>
          <w:rFonts w:ascii="Times New Roman" w:hAnsi="Times New Roman"/>
        </w:rPr>
        <w:t>.</w:t>
      </w:r>
    </w:p>
  </w:footnote>
  <w:footnote w:id="26">
    <w:p w14:paraId="51C77330" w14:textId="77777777" w:rsidR="00E32F72" w:rsidRPr="00B03188" w:rsidRDefault="00E32F72" w:rsidP="00E32F72">
      <w:pPr>
        <w:pStyle w:val="FootnoteText"/>
        <w:rPr>
          <w:rFonts w:ascii="Times New Roman" w:hAnsi="Times New Roman" w:cs="Times New Roman"/>
        </w:rPr>
      </w:pPr>
      <w:r>
        <w:rPr>
          <w:rStyle w:val="FootnoteReference"/>
        </w:rPr>
        <w:footnoteRef/>
      </w:r>
      <w:r>
        <w:t> </w:t>
      </w:r>
      <w:r>
        <w:rPr>
          <w:rFonts w:ascii="Times New Roman" w:hAnsi="Times New Roman"/>
        </w:rPr>
        <w:t xml:space="preserve">Grupul de recomandări </w:t>
      </w:r>
      <w:r w:rsidRPr="009828C5">
        <w:rPr>
          <w:rFonts w:ascii="Times New Roman" w:hAnsi="Times New Roman"/>
        </w:rPr>
        <w:t>8</w:t>
      </w:r>
      <w:r>
        <w:rPr>
          <w:rFonts w:ascii="Times New Roman" w:hAnsi="Times New Roman"/>
        </w:rPr>
        <w:t>, Raportul final al Grupului la nivel înalt.</w:t>
      </w:r>
    </w:p>
  </w:footnote>
  <w:footnote w:id="27">
    <w:p w14:paraId="6B9ADF9D"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Un caz discutat în cadrul Grupului la nivel înalt se referea la analiza unui dispozitiv care a avut un rol esențial în a dovedi că un suspect nu a fost implicat într-un omor. Raportul final al Grupului la nivel înalt, p. </w:t>
      </w:r>
      <w:r w:rsidRPr="009828C5">
        <w:rPr>
          <w:rFonts w:ascii="Times New Roman" w:hAnsi="Times New Roman"/>
        </w:rPr>
        <w:t>12</w:t>
      </w:r>
      <w:r>
        <w:rPr>
          <w:rFonts w:ascii="Times New Roman" w:hAnsi="Times New Roman"/>
        </w:rPr>
        <w:t>.</w:t>
      </w:r>
    </w:p>
  </w:footnote>
  <w:footnote w:id="28">
    <w:p w14:paraId="2F816872" w14:textId="77777777" w:rsidR="00E32F72" w:rsidRPr="00B03188" w:rsidRDefault="00E32F72" w:rsidP="00E32F72">
      <w:pPr>
        <w:pStyle w:val="FootnoteText"/>
      </w:pPr>
      <w:r>
        <w:rPr>
          <w:rStyle w:val="FootnoteReference"/>
        </w:rPr>
        <w:footnoteRef/>
      </w:r>
      <w:r>
        <w:t> </w:t>
      </w:r>
      <w:r>
        <w:rPr>
          <w:rFonts w:ascii="Times New Roman" w:hAnsi="Times New Roman"/>
        </w:rPr>
        <w:t xml:space="preserve">Grupul de recomandări </w:t>
      </w:r>
      <w:r w:rsidRPr="009828C5">
        <w:rPr>
          <w:rFonts w:ascii="Times New Roman" w:hAnsi="Times New Roman"/>
        </w:rPr>
        <w:t>1</w:t>
      </w:r>
      <w:r>
        <w:rPr>
          <w:rFonts w:ascii="Times New Roman" w:hAnsi="Times New Roman"/>
        </w:rPr>
        <w:t>, Raportul final al Grupului la nivel înalt.</w:t>
      </w:r>
    </w:p>
  </w:footnote>
  <w:footnote w:id="29">
    <w:p w14:paraId="1290B229" w14:textId="77777777" w:rsidR="00E32F72" w:rsidRPr="00B03188" w:rsidRDefault="00E32F72" w:rsidP="00E32F72">
      <w:pPr>
        <w:pStyle w:val="FootnoteText"/>
        <w:jc w:val="both"/>
        <w:rPr>
          <w:rFonts w:ascii="Times New Roman" w:hAnsi="Times New Roman" w:cs="Times New Roman"/>
        </w:rPr>
      </w:pPr>
      <w:r>
        <w:rPr>
          <w:rStyle w:val="FootnoteReference"/>
        </w:rPr>
        <w:footnoteRef/>
      </w:r>
      <w:r>
        <w:t> </w:t>
      </w:r>
      <w:r>
        <w:rPr>
          <w:rFonts w:ascii="Times New Roman" w:hAnsi="Times New Roman"/>
        </w:rPr>
        <w:t>De exemplu, Asociația Europeană pentru Dezvoltarea Tehnologiei de Combatere a Criminalității Informatice (EACTDA) (</w:t>
      </w:r>
      <w:hyperlink r:id="rId36" w:history="1">
        <w:r>
          <w:t>www.eactda.eu</w:t>
        </w:r>
      </w:hyperlink>
      <w:r>
        <w:rPr>
          <w:rFonts w:ascii="Times New Roman" w:hAnsi="Times New Roman"/>
        </w:rPr>
        <w:t xml:space="preserve">) furnizează instrumente software pe deplin testate și gata de utilizare, fără costuri de acordare a licențelor, și acces la codul sursă pentru agențiile UE de aplicare a legii. Pe lângă cele opt instrumente finalizate până în prezent, EACTDA dezvoltă încă </w:t>
      </w:r>
      <w:r w:rsidRPr="009828C5">
        <w:rPr>
          <w:rFonts w:ascii="Times New Roman" w:hAnsi="Times New Roman"/>
        </w:rPr>
        <w:t>16</w:t>
      </w:r>
      <w:r>
        <w:rPr>
          <w:rFonts w:ascii="Times New Roman" w:hAnsi="Times New Roman"/>
        </w:rPr>
        <w:t xml:space="preserve"> instrumente digitale de anchetă, care urmează să fie furnizate până la jumătatea anului </w:t>
      </w:r>
      <w:r w:rsidRPr="009828C5">
        <w:rPr>
          <w:rFonts w:ascii="Times New Roman" w:hAnsi="Times New Roman"/>
        </w:rPr>
        <w:t>2025</w:t>
      </w:r>
      <w:r>
        <w:rPr>
          <w:rFonts w:ascii="Times New Roman" w:hAnsi="Times New Roman"/>
        </w:rPr>
        <w:t>.</w:t>
      </w:r>
    </w:p>
  </w:footnote>
  <w:footnote w:id="30">
    <w:p w14:paraId="540F9314" w14:textId="77777777" w:rsidR="00E32F72" w:rsidRPr="00B03188" w:rsidRDefault="00E32F72" w:rsidP="00E32F72">
      <w:pPr>
        <w:pStyle w:val="FootnoteText"/>
      </w:pPr>
      <w:r>
        <w:rPr>
          <w:rStyle w:val="FootnoteReference"/>
        </w:rPr>
        <w:footnoteRef/>
      </w:r>
      <w:r>
        <w:t> </w:t>
      </w:r>
      <w:r>
        <w:rPr>
          <w:rFonts w:ascii="Times New Roman" w:hAnsi="Times New Roman"/>
        </w:rPr>
        <w:t>EMPACT (Platforma multidisciplinară europeană împotriva amenințărilor infracționale) este o inițiativă în materie de securitate derulată de statele membre ale UE pentru a identifica, a acorda prioritate și a aborda amenințările reprezentate de criminalitatea internațională organizată și gravă.</w:t>
      </w:r>
    </w:p>
  </w:footnote>
  <w:footnote w:id="31">
    <w:p w14:paraId="748A4B57"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Pe baza proiectului iProcureNet (</w:t>
      </w:r>
      <w:hyperlink r:id="rId37" w:history="1">
        <w:r w:rsidRPr="00C81A9D">
          <w:rPr>
            <w:rStyle w:val="Hyperlink"/>
            <w:rFonts w:ascii="Times New Roman" w:hAnsi="Times New Roman"/>
          </w:rPr>
          <w:t>www.iprocurenet.eu/</w:t>
        </w:r>
      </w:hyperlink>
      <w:r>
        <w:rPr>
          <w:rFonts w:ascii="Times New Roman" w:hAnsi="Times New Roman"/>
        </w:rPr>
        <w:t>), finanțat în cadrul programului Orizont Europa pentru cercetare și inovare al UE, care a creat o metodologie pentru achizițiile publice comune în domeniul securității, precum și o rețea de autorități responsabile de achizițiile publice din statele membre.</w:t>
      </w:r>
    </w:p>
  </w:footnote>
  <w:footnote w:id="32">
    <w:p w14:paraId="78794A14" w14:textId="77777777" w:rsidR="00E32F72" w:rsidRPr="00B03188" w:rsidRDefault="00E32F72" w:rsidP="00E32F72">
      <w:pPr>
        <w:pStyle w:val="FootnoteText"/>
      </w:pPr>
      <w:r>
        <w:rPr>
          <w:rStyle w:val="FootnoteReference"/>
        </w:rPr>
        <w:footnoteRef/>
      </w:r>
      <w:r>
        <w:rPr>
          <w:rFonts w:ascii="Times New Roman" w:hAnsi="Times New Roman"/>
        </w:rPr>
        <w:t xml:space="preserve"> Grupul de recomandări </w:t>
      </w:r>
      <w:r w:rsidRPr="009828C5">
        <w:rPr>
          <w:rFonts w:ascii="Times New Roman" w:hAnsi="Times New Roman"/>
        </w:rPr>
        <w:t>3</w:t>
      </w:r>
      <w:r>
        <w:rPr>
          <w:rFonts w:ascii="Times New Roman" w:hAnsi="Times New Roman"/>
        </w:rPr>
        <w:t>, Raportul final al Grupului la nivel înalt.</w:t>
      </w:r>
    </w:p>
  </w:footnote>
  <w:footnote w:id="33">
    <w:p w14:paraId="601BDCAC"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De exemplu, Grupul european de formare și educație în combaterea criminalității informatice – ECTEG (</w:t>
      </w:r>
      <w:hyperlink r:id="rId38" w:history="1">
        <w:r w:rsidRPr="00C81A9D">
          <w:rPr>
            <w:rStyle w:val="Hyperlink"/>
            <w:rFonts w:ascii="Times New Roman" w:hAnsi="Times New Roman"/>
          </w:rPr>
          <w:t>www.ecteg.eu</w:t>
        </w:r>
      </w:hyperlink>
      <w:r>
        <w:rPr>
          <w:rFonts w:ascii="Times New Roman" w:hAnsi="Times New Roman"/>
        </w:rPr>
        <w:t>) este o asociație care lucrează în strânsă cooperare cu Europol și CEPOL, cu scopul de a furniza resurse gratuite de formare autorităților de aplicare a legii în domeniul anchetelor digitale. În prezent, acesta este finanțat din Fondul pentru securitate internă al UE.</w:t>
      </w:r>
    </w:p>
  </w:footnote>
  <w:footnote w:id="34">
    <w:p w14:paraId="27ED929F"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Grupul de recomandări </w:t>
      </w:r>
      <w:r w:rsidRPr="009828C5">
        <w:rPr>
          <w:rFonts w:ascii="Times New Roman" w:hAnsi="Times New Roman"/>
        </w:rPr>
        <w:t>3</w:t>
      </w:r>
      <w:r>
        <w:rPr>
          <w:rFonts w:ascii="Times New Roman" w:hAnsi="Times New Roman"/>
        </w:rPr>
        <w:t>, Raportul final al Grupului la nivel înalt.</w:t>
      </w:r>
    </w:p>
  </w:footnote>
  <w:footnote w:id="35">
    <w:p w14:paraId="601E92F6"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În special ECTEG.</w:t>
      </w:r>
    </w:p>
  </w:footnote>
  <w:footnote w:id="36">
    <w:p w14:paraId="0FF8BFDC"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Grupul de recomandări </w:t>
      </w:r>
      <w:r w:rsidRPr="009828C5">
        <w:rPr>
          <w:rFonts w:ascii="Times New Roman" w:hAnsi="Times New Roman"/>
        </w:rPr>
        <w:t>1</w:t>
      </w:r>
      <w:r>
        <w:rPr>
          <w:rFonts w:ascii="Times New Roman" w:hAnsi="Times New Roman"/>
        </w:rPr>
        <w:t>, Raportul final al Grupului la nivel înalt.</w:t>
      </w:r>
    </w:p>
  </w:footnote>
  <w:footnote w:id="37">
    <w:p w14:paraId="54E52241"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xml:space="preserve"> Proiectul SIRIUS, condus de Europol și Eurojust, sprijină autoritățile de aplicare a legii și autoritățile judiciare din UE prin facilitarea accesului transfrontalier eficient la probele electronice stocate de furnizorii de servicii online. Proiectul oferă instrumente practice, formare și resurse pentru peste </w:t>
      </w:r>
      <w:r w:rsidRPr="009828C5">
        <w:rPr>
          <w:rFonts w:ascii="Times New Roman" w:hAnsi="Times New Roman"/>
        </w:rPr>
        <w:t>9</w:t>
      </w:r>
      <w:r>
        <w:rPr>
          <w:rFonts w:ascii="Times New Roman" w:hAnsi="Times New Roman"/>
        </w:rPr>
        <w:t> </w:t>
      </w:r>
      <w:r w:rsidRPr="009828C5">
        <w:rPr>
          <w:rFonts w:ascii="Times New Roman" w:hAnsi="Times New Roman"/>
        </w:rPr>
        <w:t>000</w:t>
      </w:r>
      <w:r>
        <w:rPr>
          <w:rFonts w:ascii="Times New Roman" w:hAnsi="Times New Roman"/>
        </w:rPr>
        <w:t xml:space="preserve"> de practicieni, încurajează cooperarea dintre furnizorii de servicii online și promovează schimbul de cunoștințe prin intermediul unor evenimente și parteneriate internaționale.</w:t>
      </w:r>
    </w:p>
  </w:footnote>
  <w:footnote w:id="38">
    <w:p w14:paraId="755FEE74" w14:textId="10A60A0E" w:rsidR="00E32F72" w:rsidRPr="00B03188" w:rsidRDefault="00E32F72" w:rsidP="00E32F72">
      <w:pPr>
        <w:pStyle w:val="FootnoteText"/>
        <w:jc w:val="both"/>
        <w:rPr>
          <w:rFonts w:ascii="Times New Roman" w:hAnsi="Times New Roman" w:cs="Times New Roman"/>
        </w:rPr>
      </w:pPr>
      <w:r>
        <w:rPr>
          <w:rStyle w:val="FootnoteReference"/>
        </w:rPr>
        <w:footnoteRef/>
      </w:r>
      <w:r>
        <w:rPr>
          <w:rFonts w:ascii="Times New Roman" w:hAnsi="Times New Roman"/>
        </w:rPr>
        <w:t> Comunități specifice de pe Platforma Europol pentru experți (</w:t>
      </w:r>
      <w:hyperlink r:id="rId39" w:history="1">
        <w:r w:rsidRPr="00C81A9D">
          <w:rPr>
            <w:rStyle w:val="Hyperlink"/>
            <w:rFonts w:ascii="Times New Roman" w:hAnsi="Times New Roman"/>
          </w:rPr>
          <w:t>https://www.europol.europa.eu/operations-services-and-innovation/services-support/information-exchange/europol-platform-for-experts</w:t>
        </w:r>
      </w:hyperlink>
      <w:r>
        <w:rPr>
          <w:rFonts w:ascii="Times New Roman" w:hAnsi="Times New Roman"/>
        </w:rPr>
        <w:t>);</w:t>
      </w:r>
      <w:r w:rsidR="009828C5">
        <w:rPr>
          <w:rFonts w:ascii="Times New Roman" w:hAnsi="Times New Roman"/>
        </w:rPr>
        <w:t> </w:t>
      </w:r>
      <w:r>
        <w:rPr>
          <w:rFonts w:ascii="Times New Roman" w:hAnsi="Times New Roman"/>
        </w:rPr>
        <w:t>Forumul experților criminaliști (</w:t>
      </w:r>
      <w:hyperlink r:id="rId40" w:history="1">
        <w:r w:rsidRPr="00C81A9D">
          <w:rPr>
            <w:rStyle w:val="Hyperlink"/>
            <w:rFonts w:ascii="Times New Roman" w:hAnsi="Times New Roman"/>
          </w:rPr>
          <w:t>https://www.europol.europa.eu/publications-events/events/forensic-experts-forum-2024-conference</w:t>
        </w:r>
      </w:hyperlink>
      <w:r>
        <w:rPr>
          <w:rFonts w:ascii="Times New Roman" w:hAnsi="Times New Roman"/>
        </w:rPr>
        <w:t>); Zilele Europol pentru industrie și cercetare) (</w:t>
      </w:r>
      <w:hyperlink r:id="rId41" w:history="1">
        <w:r w:rsidRPr="00C81A9D">
          <w:rPr>
            <w:rStyle w:val="Hyperlink"/>
            <w:rFonts w:ascii="Times New Roman" w:hAnsi="Times New Roman"/>
          </w:rPr>
          <w:t>https://www.europol.europa.eu/publications-events/events/europol-industry-and-research-days-2025</w:t>
        </w:r>
      </w:hyperlink>
      <w:r>
        <w:rPr>
          <w:rFonts w:ascii="Times New Roman" w:hAnsi="Times New Roman"/>
        </w:rPr>
        <w:t>).</w:t>
      </w:r>
    </w:p>
  </w:footnote>
  <w:footnote w:id="39">
    <w:p w14:paraId="7C4BC5FB"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Grupul de recomandări </w:t>
      </w:r>
      <w:r w:rsidRPr="009828C5">
        <w:rPr>
          <w:rFonts w:ascii="Times New Roman" w:hAnsi="Times New Roman"/>
        </w:rPr>
        <w:t>1</w:t>
      </w:r>
      <w:r>
        <w:rPr>
          <w:rFonts w:ascii="Times New Roman" w:hAnsi="Times New Roman"/>
        </w:rPr>
        <w:t>, Raportul final al Grupului la nivel înalt.</w:t>
      </w:r>
    </w:p>
  </w:footnote>
  <w:footnote w:id="40">
    <w:p w14:paraId="01F7397B" w14:textId="77777777" w:rsidR="00E32F72" w:rsidRPr="00AE5FE8" w:rsidRDefault="00E32F72" w:rsidP="00E32F72">
      <w:pPr>
        <w:pStyle w:val="FootnoteText"/>
        <w:rPr>
          <w:rFonts w:ascii="Times New Roman" w:hAnsi="Times New Roman"/>
        </w:rPr>
      </w:pPr>
      <w:r>
        <w:rPr>
          <w:rStyle w:val="FootnoteReference"/>
        </w:rPr>
        <w:footnoteRef/>
      </w:r>
      <w:r>
        <w:rPr>
          <w:rFonts w:ascii="Times New Roman" w:hAnsi="Times New Roman"/>
        </w:rPr>
        <w:t> Aceste eforturi ar trebui sprijinite de o sursă de finanțare adecvată din partea UE (programe pentru cercetare sau dezvoltare, în funcție de nivelul de maturitate al sistemelor avute în vedere).</w:t>
      </w:r>
    </w:p>
  </w:footnote>
  <w:footnote w:id="41">
    <w:p w14:paraId="0464CA93" w14:textId="77239DCA" w:rsidR="00E32F72" w:rsidRPr="00EB0FA1" w:rsidRDefault="00E32F72" w:rsidP="00E32F72">
      <w:pPr>
        <w:pStyle w:val="FootnoteText"/>
      </w:pPr>
      <w:r>
        <w:rPr>
          <w:rStyle w:val="FootnoteReference"/>
        </w:rPr>
        <w:footnoteRef/>
      </w:r>
      <w:r>
        <w:t> </w:t>
      </w:r>
      <w:r>
        <w:rPr>
          <w:rFonts w:ascii="Times New Roman" w:hAnsi="Times New Roman"/>
        </w:rPr>
        <w:t>Procentul menționat se referă la criptarea de la un capăt la altul în timpul transmisiei.</w:t>
      </w:r>
    </w:p>
  </w:footnote>
  <w:footnote w:id="42">
    <w:p w14:paraId="29BC274C" w14:textId="77777777" w:rsidR="00E32F72" w:rsidRPr="00D45F01" w:rsidRDefault="00E32F72" w:rsidP="00E32F72">
      <w:pPr>
        <w:pStyle w:val="FootnoteText"/>
      </w:pPr>
      <w:r>
        <w:rPr>
          <w:rStyle w:val="FootnoteReference"/>
        </w:rPr>
        <w:footnoteRef/>
      </w:r>
      <w:r>
        <w:t> </w:t>
      </w:r>
      <w:hyperlink r:id="rId42" w:history="1">
        <w:r w:rsidRPr="00C81A9D">
          <w:rPr>
            <w:rStyle w:val="Hyperlink"/>
            <w:rFonts w:ascii="Times New Roman" w:hAnsi="Times New Roman"/>
            <w:i/>
            <w:iCs/>
          </w:rPr>
          <w:t>Recommendation on a Coordinated Implementation Roadmap for the transition to Post-Quantum Cryptography</w:t>
        </w:r>
        <w:r w:rsidRPr="00C81A9D">
          <w:rPr>
            <w:rStyle w:val="Hyperlink"/>
            <w:rFonts w:ascii="Times New Roman" w:hAnsi="Times New Roman"/>
          </w:rPr>
          <w:t xml:space="preserve"> („Recomandare privind o foaie de parcurs coordonată pentru punerea în aplicare a tranziției către criptografia postcuantică”)</w:t>
        </w:r>
      </w:hyperlink>
      <w:r w:rsidRPr="00C81A9D">
        <w:rPr>
          <w:rStyle w:val="Hyperlink"/>
          <w:rFonts w:ascii="Times New Roman" w:hAnsi="Times New Roman"/>
        </w:rPr>
        <w:t xml:space="preserve">. </w:t>
      </w:r>
    </w:p>
  </w:footnote>
  <w:footnote w:id="43">
    <w:p w14:paraId="323C5A6E"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w:t>
      </w:r>
      <w:hyperlink r:id="rId43" w:history="1">
        <w:r w:rsidRPr="00C81A9D">
          <w:rPr>
            <w:rStyle w:val="Hyperlink"/>
            <w:rFonts w:ascii="Times New Roman" w:hAnsi="Times New Roman"/>
            <w:i/>
            <w:iCs/>
          </w:rPr>
          <w:t>The Second Quantum Revolution:</w:t>
        </w:r>
      </w:hyperlink>
      <w:hyperlink r:id="rId44" w:history="1">
        <w:r w:rsidRPr="00C81A9D">
          <w:rPr>
            <w:rStyle w:val="Hyperlink"/>
            <w:rFonts w:ascii="Times New Roman" w:hAnsi="Times New Roman"/>
          </w:rPr>
          <w:t xml:space="preserve"> </w:t>
        </w:r>
        <w:r w:rsidRPr="00C81A9D">
          <w:rPr>
            <w:rStyle w:val="Hyperlink"/>
            <w:rFonts w:ascii="Times New Roman" w:hAnsi="Times New Roman"/>
            <w:i/>
            <w:iCs/>
          </w:rPr>
          <w:t>the impact of quantum computing and quantum technologies on law enforcement</w:t>
        </w:r>
        <w:r w:rsidRPr="00C81A9D">
          <w:rPr>
            <w:rStyle w:val="Hyperlink"/>
            <w:rFonts w:ascii="Times New Roman" w:hAnsi="Times New Roman"/>
          </w:rPr>
          <w:t xml:space="preserve"> („A doua revoluție cuantică: impactul informaticii cuantice și al tehnologiilor cuantice asupra asigurării respectării legii”) |</w:t>
        </w:r>
      </w:hyperlink>
      <w:r>
        <w:t>.</w:t>
      </w:r>
      <w:hyperlink r:id="rId45" w:history="1">
        <w:r w:rsidRPr="00C81A9D">
          <w:rPr>
            <w:rStyle w:val="Hyperlink"/>
            <w:rFonts w:ascii="Times New Roman" w:hAnsi="Times New Roman"/>
          </w:rPr>
          <w:t> Europol</w:t>
        </w:r>
      </w:hyperlink>
      <w:r>
        <w:t>.</w:t>
      </w:r>
    </w:p>
  </w:footnote>
  <w:footnote w:id="44">
    <w:p w14:paraId="5065F1A8" w14:textId="77777777" w:rsidR="00E32F72" w:rsidRPr="00AE5FE8" w:rsidRDefault="00E32F72" w:rsidP="00E32F72">
      <w:pPr>
        <w:pStyle w:val="FootnoteText"/>
      </w:pPr>
      <w:r>
        <w:rPr>
          <w:rStyle w:val="FootnoteReference"/>
        </w:rPr>
        <w:footnoteRef/>
      </w:r>
      <w:r>
        <w:t> </w:t>
      </w:r>
      <w:r>
        <w:rPr>
          <w:rFonts w:ascii="Times New Roman" w:hAnsi="Times New Roman"/>
        </w:rPr>
        <w:t xml:space="preserve">Grupul de recomandări </w:t>
      </w:r>
      <w:r w:rsidRPr="009828C5">
        <w:rPr>
          <w:rFonts w:ascii="Times New Roman" w:hAnsi="Times New Roman"/>
        </w:rPr>
        <w:t>10</w:t>
      </w:r>
      <w:r>
        <w:rPr>
          <w:rFonts w:ascii="Times New Roman" w:hAnsi="Times New Roman"/>
        </w:rPr>
        <w:t>, Raportul final al Grupului la nivel înalt.</w:t>
      </w:r>
    </w:p>
  </w:footnote>
  <w:footnote w:id="45">
    <w:p w14:paraId="71F4AB5C" w14:textId="77777777" w:rsidR="00E32F72" w:rsidRPr="0066229A"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w:t>
      </w:r>
      <w:hyperlink r:id="rId46" w:history="1">
        <w:r w:rsidRPr="00C81A9D">
          <w:rPr>
            <w:rStyle w:val="Hyperlink"/>
            <w:rFonts w:ascii="Times New Roman" w:hAnsi="Times New Roman"/>
            <w:i/>
            <w:iCs/>
          </w:rPr>
          <w:t>New major interventions to block encrypted communications of criminal networks</w:t>
        </w:r>
        <w:r w:rsidRPr="00C81A9D">
          <w:rPr>
            <w:rStyle w:val="Hyperlink"/>
            <w:rFonts w:ascii="Times New Roman" w:hAnsi="Times New Roman"/>
          </w:rPr>
          <w:t xml:space="preserve"> („Noi intervenții majore pentru blocarea comunicațiilor criptate ale rețelelor infracționale”) |</w:t>
        </w:r>
      </w:hyperlink>
      <w:r>
        <w:t>.</w:t>
      </w:r>
      <w:hyperlink r:id="rId47" w:history="1">
        <w:r w:rsidRPr="00C81A9D">
          <w:rPr>
            <w:rStyle w:val="Hyperlink"/>
            <w:rFonts w:ascii="Times New Roman" w:hAnsi="Times New Roman"/>
          </w:rPr>
          <w:t> Europol</w:t>
        </w:r>
      </w:hyperlink>
      <w:r>
        <w:t>.</w:t>
      </w:r>
    </w:p>
  </w:footnote>
  <w:footnote w:id="46">
    <w:p w14:paraId="525ECB2D" w14:textId="77777777" w:rsidR="00E32F72" w:rsidRPr="0066229A" w:rsidRDefault="00E32F72" w:rsidP="00E32F72">
      <w:pPr>
        <w:pStyle w:val="FootnoteText"/>
      </w:pPr>
      <w:r>
        <w:rPr>
          <w:rStyle w:val="FootnoteReference"/>
        </w:rPr>
        <w:footnoteRef/>
      </w:r>
      <w:r>
        <w:t> </w:t>
      </w:r>
      <w:r>
        <w:rPr>
          <w:rFonts w:ascii="Times New Roman" w:hAnsi="Times New Roman"/>
        </w:rPr>
        <w:t xml:space="preserve">Grupul de recomandări </w:t>
      </w:r>
      <w:r w:rsidRPr="009828C5">
        <w:rPr>
          <w:rFonts w:ascii="Times New Roman" w:hAnsi="Times New Roman"/>
        </w:rPr>
        <w:t>10</w:t>
      </w:r>
      <w:r>
        <w:rPr>
          <w:rFonts w:ascii="Times New Roman" w:hAnsi="Times New Roman"/>
        </w:rPr>
        <w:t>, Raportul final al Grupului la nivel înalt.</w:t>
      </w:r>
    </w:p>
  </w:footnote>
  <w:footnote w:id="47">
    <w:p w14:paraId="19A566C6" w14:textId="77777777" w:rsidR="00E32F72" w:rsidRPr="00B03188" w:rsidRDefault="00E32F72" w:rsidP="00E32F72">
      <w:pPr>
        <w:pStyle w:val="FootnoteText"/>
      </w:pPr>
      <w:r>
        <w:rPr>
          <w:rStyle w:val="FootnoteReference"/>
        </w:rPr>
        <w:footnoteRef/>
      </w:r>
      <w:r>
        <w:t> </w:t>
      </w:r>
      <w:r>
        <w:rPr>
          <w:rFonts w:ascii="Times New Roman" w:hAnsi="Times New Roman"/>
        </w:rPr>
        <w:t xml:space="preserve">A se vedea </w:t>
      </w:r>
      <w:hyperlink r:id="rId48" w:history="1">
        <w:r w:rsidRPr="00C81A9D">
          <w:rPr>
            <w:rStyle w:val="Hyperlink"/>
            <w:rFonts w:ascii="Times New Roman" w:hAnsi="Times New Roman"/>
            <w:i/>
            <w:iCs/>
          </w:rPr>
          <w:t>First report on Encryption from the EU Innovation Hub on Internal Security</w:t>
        </w:r>
        <w:r w:rsidRPr="00C81A9D">
          <w:rPr>
            <w:rStyle w:val="Hyperlink"/>
            <w:rFonts w:ascii="Times New Roman" w:hAnsi="Times New Roman"/>
          </w:rPr>
          <w:t xml:space="preserve"> („Primul raport privind criptarea publicat de Centrul european de inovare pentru securitatea internă”)</w:t>
        </w:r>
      </w:hyperlink>
      <w:r>
        <w:rPr>
          <w:rFonts w:ascii="Times New Roman" w:hAnsi="Times New Roman"/>
        </w:rPr>
        <w:t xml:space="preserve">, </w:t>
      </w:r>
      <w:r w:rsidRPr="009828C5">
        <w:rPr>
          <w:rFonts w:ascii="Times New Roman" w:hAnsi="Times New Roman"/>
        </w:rPr>
        <w:t>11</w:t>
      </w:r>
      <w:r>
        <w:rPr>
          <w:rFonts w:ascii="Times New Roman" w:hAnsi="Times New Roman"/>
        </w:rPr>
        <w:t xml:space="preserve"> iunie </w:t>
      </w:r>
      <w:r w:rsidRPr="009828C5">
        <w:rPr>
          <w:rFonts w:ascii="Times New Roman" w:hAnsi="Times New Roman"/>
        </w:rPr>
        <w:t>2024</w:t>
      </w:r>
      <w:r>
        <w:rPr>
          <w:rFonts w:ascii="Times New Roman" w:hAnsi="Times New Roman"/>
        </w:rPr>
        <w:t>.</w:t>
      </w:r>
    </w:p>
  </w:footnote>
  <w:footnote w:id="48">
    <w:p w14:paraId="79648335" w14:textId="77777777" w:rsidR="00E32F72" w:rsidRPr="00B03188" w:rsidRDefault="00E32F72" w:rsidP="00E32F72">
      <w:pPr>
        <w:pStyle w:val="FootnoteText"/>
      </w:pPr>
      <w:r>
        <w:rPr>
          <w:rStyle w:val="FootnoteReference"/>
        </w:rPr>
        <w:footnoteRef/>
      </w:r>
      <w:r>
        <w:rPr>
          <w:rFonts w:ascii="Times New Roman" w:hAnsi="Times New Roman"/>
        </w:rPr>
        <w:t xml:space="preserve"> Grupul de recomandări </w:t>
      </w:r>
      <w:r w:rsidRPr="009828C5">
        <w:rPr>
          <w:rFonts w:ascii="Times New Roman" w:hAnsi="Times New Roman"/>
        </w:rPr>
        <w:t>10</w:t>
      </w:r>
      <w:r>
        <w:rPr>
          <w:rFonts w:ascii="Times New Roman" w:hAnsi="Times New Roman"/>
        </w:rPr>
        <w:t>, Raportul final al Grupului la nivel înalt.</w:t>
      </w:r>
    </w:p>
  </w:footnote>
  <w:footnote w:id="49">
    <w:p w14:paraId="200A7AD2" w14:textId="77777777" w:rsidR="00E32F72" w:rsidRPr="00B03188" w:rsidRDefault="00E32F72" w:rsidP="00E32F72">
      <w:pPr>
        <w:pStyle w:val="FootnoteText"/>
      </w:pPr>
      <w:r>
        <w:rPr>
          <w:rStyle w:val="FootnoteReference"/>
        </w:rPr>
        <w:footnoteRef/>
      </w:r>
      <w:r>
        <w:t> </w:t>
      </w:r>
      <w:hyperlink r:id="rId49" w:history="1">
        <w:r w:rsidRPr="00C81A9D">
          <w:rPr>
            <w:rStyle w:val="Hyperlink"/>
            <w:rFonts w:ascii="Times New Roman" w:hAnsi="Times New Roman"/>
            <w:i/>
            <w:iCs/>
          </w:rPr>
          <w:t>Common Challenges in Cybercrime</w:t>
        </w:r>
        <w:r w:rsidRPr="00C81A9D">
          <w:rPr>
            <w:rStyle w:val="Hyperlink"/>
            <w:rFonts w:ascii="Times New Roman" w:hAnsi="Times New Roman"/>
          </w:rPr>
          <w:t xml:space="preserve"> („Provocări comune în materie de criminalitate informatică”), Analiză din 2024 efectuată de Europol</w:t>
        </w:r>
      </w:hyperlink>
      <w:r w:rsidRPr="00C81A9D">
        <w:rPr>
          <w:rStyle w:val="Hyperlink"/>
          <w:rFonts w:ascii="Times New Roman" w:hAnsi="Times New Roman"/>
        </w:rPr>
        <w:t xml:space="preserve"> și Eurojust.</w:t>
      </w:r>
    </w:p>
  </w:footnote>
  <w:footnote w:id="50">
    <w:p w14:paraId="4D1699CA" w14:textId="77777777" w:rsidR="00E32F72" w:rsidRPr="00B03188" w:rsidRDefault="00E32F72" w:rsidP="00E32F72">
      <w:pPr>
        <w:pStyle w:val="FootnoteText"/>
      </w:pPr>
      <w:r>
        <w:rPr>
          <w:rStyle w:val="FootnoteReference"/>
        </w:rPr>
        <w:footnoteRef/>
      </w:r>
      <w:r>
        <w:t> </w:t>
      </w:r>
      <w:r>
        <w:rPr>
          <w:rFonts w:ascii="Times New Roman" w:hAnsi="Times New Roman"/>
        </w:rPr>
        <w:t>IOCTA Europol.</w:t>
      </w:r>
    </w:p>
  </w:footnote>
  <w:footnote w:id="51">
    <w:p w14:paraId="7716A981" w14:textId="77777777" w:rsidR="00E32F72" w:rsidRPr="00AE5FE8" w:rsidRDefault="00E32F72" w:rsidP="00E32F72">
      <w:pPr>
        <w:pStyle w:val="FootnoteText"/>
      </w:pPr>
      <w:r>
        <w:rPr>
          <w:rStyle w:val="FootnoteReference"/>
        </w:rPr>
        <w:footnoteRef/>
      </w:r>
      <w:r>
        <w:t> </w:t>
      </w:r>
      <w:r>
        <w:rPr>
          <w:rFonts w:ascii="Times New Roman" w:hAnsi="Times New Roman"/>
        </w:rPr>
        <w:t xml:space="preserve">Raportul anual de activitate consolidat al Europol pentru </w:t>
      </w:r>
      <w:r w:rsidRPr="009828C5">
        <w:rPr>
          <w:rFonts w:ascii="Times New Roman" w:hAnsi="Times New Roman"/>
        </w:rPr>
        <w:t>2023</w:t>
      </w:r>
      <w:r>
        <w:rPr>
          <w:rFonts w:ascii="Times New Roman" w:hAnsi="Times New Roman"/>
        </w:rPr>
        <w:t>.</w:t>
      </w:r>
    </w:p>
  </w:footnote>
  <w:footnote w:id="52">
    <w:p w14:paraId="3B71B2E0" w14:textId="77777777" w:rsidR="00E32F72" w:rsidRPr="00AE5FE8" w:rsidRDefault="00E32F72" w:rsidP="00E32F72">
      <w:pPr>
        <w:pStyle w:val="FootnoteText"/>
      </w:pPr>
      <w:r>
        <w:rPr>
          <w:rStyle w:val="FootnoteReference"/>
        </w:rPr>
        <w:footnoteRef/>
      </w:r>
      <w:r>
        <w:t> </w:t>
      </w:r>
      <w:hyperlink r:id="rId50" w:history="1">
        <w:r w:rsidRPr="00C81A9D">
          <w:rPr>
            <w:rStyle w:val="Hyperlink"/>
            <w:rFonts w:ascii="Times New Roman" w:hAnsi="Times New Roman"/>
            <w:i/>
            <w:iCs/>
          </w:rPr>
          <w:t>Retour sur l’affaire EncroChat, ou quand les cyber-gendarmes ont hacké la messagerie chiffrée utilisée par la criminalité organisée</w:t>
        </w:r>
      </w:hyperlink>
      <w:r w:rsidRPr="00C81A9D">
        <w:rPr>
          <w:rStyle w:val="Hyperlink"/>
          <w:rFonts w:ascii="Times New Roman" w:hAnsi="Times New Roman"/>
        </w:rPr>
        <w:t xml:space="preserve">; </w:t>
      </w:r>
      <w:hyperlink r:id="rId51" w:history="1">
        <w:r w:rsidRPr="00C81A9D">
          <w:rPr>
            <w:rStyle w:val="Hyperlink"/>
            <w:rFonts w:ascii="Times New Roman" w:hAnsi="Times New Roman"/>
            <w:i/>
            <w:iCs/>
          </w:rPr>
          <w:t>Dismantling encrypted criminal EncroChat communications leads to over 6 500 arrests and close to EUR 900 million seized</w:t>
        </w:r>
        <w:r w:rsidRPr="00C81A9D">
          <w:rPr>
            <w:rStyle w:val="Hyperlink"/>
            <w:rFonts w:ascii="Times New Roman" w:hAnsi="Times New Roman"/>
          </w:rPr>
          <w:t xml:space="preserve"> („Dezmembrarea rețelei EncroChat de comunicații criptate utilizată de grupurile infracționale duce la arestarea a peste 6 500 de persoane și la confiscarea unei sume de aproximativ 900 de milioane EUR”) |</w:t>
        </w:r>
      </w:hyperlink>
      <w:r>
        <w:t>.</w:t>
      </w:r>
      <w:hyperlink r:id="rId52" w:history="1">
        <w:r w:rsidRPr="00C81A9D">
          <w:rPr>
            <w:rStyle w:val="Hyperlink"/>
            <w:rFonts w:ascii="Times New Roman" w:hAnsi="Times New Roman"/>
          </w:rPr>
          <w:t> Europol</w:t>
        </w:r>
      </w:hyperlink>
      <w:r w:rsidRPr="00C81A9D">
        <w:rPr>
          <w:rFonts w:ascii="Times New Roman" w:hAnsi="Times New Roman"/>
          <w:color w:val="467886" w:themeColor="hyperlink"/>
          <w:u w:val="single"/>
        </w:rPr>
        <w:t>.</w:t>
      </w:r>
      <w:r w:rsidRPr="00C81A9D">
        <w:rPr>
          <w:rStyle w:val="Hyperlink"/>
          <w:rFonts w:ascii="Times New Roman" w:hAnsi="Times New Roman"/>
        </w:rPr>
        <w:t xml:space="preserve"> EncroChat</w:t>
      </w:r>
      <w:r>
        <w:rPr>
          <w:rFonts w:ascii="Times New Roman" w:hAnsi="Times New Roman"/>
        </w:rPr>
        <w:t>.</w:t>
      </w:r>
    </w:p>
  </w:footnote>
  <w:footnote w:id="53">
    <w:p w14:paraId="13E7FC57" w14:textId="77777777" w:rsidR="00E32F72" w:rsidRPr="00B03188" w:rsidRDefault="00E32F72" w:rsidP="00E32F72">
      <w:pPr>
        <w:pStyle w:val="FootnoteText"/>
        <w:rPr>
          <w:rFonts w:ascii="Times New Roman" w:hAnsi="Times New Roman" w:cs="Times New Roman"/>
        </w:rPr>
      </w:pPr>
      <w:r>
        <w:rPr>
          <w:rStyle w:val="FootnoteReference"/>
        </w:rPr>
        <w:footnoteRef/>
      </w:r>
      <w:r>
        <w:t> </w:t>
      </w:r>
      <w:r>
        <w:rPr>
          <w:rFonts w:ascii="Times New Roman" w:hAnsi="Times New Roman"/>
        </w:rPr>
        <w:t xml:space="preserve">Recomandarea </w:t>
      </w:r>
      <w:r w:rsidRPr="009828C5">
        <w:rPr>
          <w:rFonts w:ascii="Times New Roman" w:hAnsi="Times New Roman"/>
        </w:rPr>
        <w:t>4</w:t>
      </w:r>
      <w:r>
        <w:rPr>
          <w:rFonts w:ascii="Times New Roman" w:hAnsi="Times New Roman"/>
        </w:rPr>
        <w:t xml:space="preserve">, </w:t>
      </w:r>
      <w:hyperlink r:id="rId53" w:history="1">
        <w:r w:rsidRPr="00C81A9D">
          <w:rPr>
            <w:rStyle w:val="Hyperlink"/>
            <w:rFonts w:ascii="Times New Roman" w:hAnsi="Times New Roman"/>
          </w:rPr>
          <w:t>Recomandările Grupului la nivel înalt</w:t>
        </w:r>
      </w:hyperlink>
      <w:r>
        <w:rPr>
          <w:rFonts w:ascii="Times New Roman" w:hAnsi="Times New Roman"/>
        </w:rPr>
        <w:t>.</w:t>
      </w:r>
    </w:p>
  </w:footnote>
  <w:footnote w:id="54">
    <w:p w14:paraId="45C85B97" w14:textId="77777777" w:rsidR="00E32F72" w:rsidRPr="00B03188" w:rsidRDefault="00E32F72" w:rsidP="00E32F72">
      <w:pPr>
        <w:pStyle w:val="FootnoteText"/>
      </w:pPr>
      <w:r>
        <w:rPr>
          <w:rStyle w:val="FootnoteReference"/>
        </w:rPr>
        <w:footnoteRef/>
      </w:r>
      <w:r>
        <w:rPr>
          <w:rStyle w:val="FootnoteReference"/>
        </w:rPr>
        <w:t xml:space="preserve"> </w:t>
      </w:r>
      <w:r>
        <w:rPr>
          <w:rFonts w:ascii="Times New Roman" w:hAnsi="Times New Roman"/>
        </w:rPr>
        <w:t xml:space="preserve">A se vedea articolul </w:t>
      </w:r>
      <w:r w:rsidRPr="009828C5">
        <w:rPr>
          <w:rFonts w:ascii="Times New Roman" w:hAnsi="Times New Roman"/>
        </w:rPr>
        <w:t>57</w:t>
      </w:r>
      <w:r>
        <w:rPr>
          <w:rFonts w:ascii="Times New Roman" w:hAnsi="Times New Roman"/>
        </w:rPr>
        <w:t xml:space="preserve"> din Regulamentul privind inteligența artificială.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D8BF6" w14:textId="77777777" w:rsidR="009C36D2" w:rsidRPr="009C36D2" w:rsidRDefault="009C36D2" w:rsidP="009C36D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8304D" w14:textId="77777777" w:rsidR="009C36D2" w:rsidRPr="009C36D2" w:rsidRDefault="009C36D2" w:rsidP="009C36D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FF5D7" w14:textId="77777777" w:rsidR="009C36D2" w:rsidRPr="009C36D2" w:rsidRDefault="009C36D2" w:rsidP="009C36D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59A5B" w14:textId="77777777" w:rsidR="007F42B5" w:rsidRPr="00B03188" w:rsidRDefault="007F42B5">
    <w:pPr>
      <w:pStyle w:val="Header"/>
    </w:pPr>
  </w:p>
  <w:p w14:paraId="131F7319" w14:textId="77777777" w:rsidR="007F42B5" w:rsidRPr="00B03188" w:rsidRDefault="007F42B5"/>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39756" w14:textId="73F9C726" w:rsidR="007F42B5" w:rsidRPr="00B03188" w:rsidRDefault="007F42B5" w:rsidP="00DE1A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6C59B" w14:textId="77777777" w:rsidR="007F42B5" w:rsidRPr="00B03188" w:rsidRDefault="007F42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71FA"/>
    <w:multiLevelType w:val="hybridMultilevel"/>
    <w:tmpl w:val="86608DF0"/>
    <w:lvl w:ilvl="0" w:tplc="F52882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C461EA"/>
    <w:multiLevelType w:val="hybridMultilevel"/>
    <w:tmpl w:val="EB90A41A"/>
    <w:lvl w:ilvl="0" w:tplc="A63E28AE">
      <w:start w:val="1"/>
      <w:numFmt w:val="upp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E0328DB"/>
    <w:multiLevelType w:val="hybridMultilevel"/>
    <w:tmpl w:val="7D5CC46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C84A87"/>
    <w:multiLevelType w:val="hybridMultilevel"/>
    <w:tmpl w:val="74FEA520"/>
    <w:lvl w:ilvl="0" w:tplc="D8F24E5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CB6229"/>
    <w:multiLevelType w:val="hybridMultilevel"/>
    <w:tmpl w:val="2D8E1F68"/>
    <w:lvl w:ilvl="0" w:tplc="55FE49CE">
      <w:start w:val="1"/>
      <w:numFmt w:val="bullet"/>
      <w:lvlText w:val=""/>
      <w:lvlJc w:val="left"/>
      <w:pPr>
        <w:ind w:left="720" w:hanging="360"/>
      </w:pPr>
      <w:rPr>
        <w:rFonts w:ascii="Symbol" w:hAnsi="Symbol"/>
      </w:rPr>
    </w:lvl>
    <w:lvl w:ilvl="1" w:tplc="BCC2EA5A">
      <w:start w:val="1"/>
      <w:numFmt w:val="bullet"/>
      <w:lvlText w:val=""/>
      <w:lvlJc w:val="left"/>
      <w:pPr>
        <w:ind w:left="720" w:hanging="360"/>
      </w:pPr>
      <w:rPr>
        <w:rFonts w:ascii="Symbol" w:hAnsi="Symbol"/>
      </w:rPr>
    </w:lvl>
    <w:lvl w:ilvl="2" w:tplc="1850F852">
      <w:start w:val="1"/>
      <w:numFmt w:val="bullet"/>
      <w:lvlText w:val=""/>
      <w:lvlJc w:val="left"/>
      <w:pPr>
        <w:ind w:left="720" w:hanging="360"/>
      </w:pPr>
      <w:rPr>
        <w:rFonts w:ascii="Symbol" w:hAnsi="Symbol"/>
      </w:rPr>
    </w:lvl>
    <w:lvl w:ilvl="3" w:tplc="1B620776">
      <w:start w:val="1"/>
      <w:numFmt w:val="bullet"/>
      <w:lvlText w:val=""/>
      <w:lvlJc w:val="left"/>
      <w:pPr>
        <w:ind w:left="720" w:hanging="360"/>
      </w:pPr>
      <w:rPr>
        <w:rFonts w:ascii="Symbol" w:hAnsi="Symbol"/>
      </w:rPr>
    </w:lvl>
    <w:lvl w:ilvl="4" w:tplc="7B701826">
      <w:start w:val="1"/>
      <w:numFmt w:val="bullet"/>
      <w:lvlText w:val=""/>
      <w:lvlJc w:val="left"/>
      <w:pPr>
        <w:ind w:left="720" w:hanging="360"/>
      </w:pPr>
      <w:rPr>
        <w:rFonts w:ascii="Symbol" w:hAnsi="Symbol"/>
      </w:rPr>
    </w:lvl>
    <w:lvl w:ilvl="5" w:tplc="CCB6F0CA">
      <w:start w:val="1"/>
      <w:numFmt w:val="bullet"/>
      <w:lvlText w:val=""/>
      <w:lvlJc w:val="left"/>
      <w:pPr>
        <w:ind w:left="720" w:hanging="360"/>
      </w:pPr>
      <w:rPr>
        <w:rFonts w:ascii="Symbol" w:hAnsi="Symbol"/>
      </w:rPr>
    </w:lvl>
    <w:lvl w:ilvl="6" w:tplc="3E2ED6D0">
      <w:start w:val="1"/>
      <w:numFmt w:val="bullet"/>
      <w:lvlText w:val=""/>
      <w:lvlJc w:val="left"/>
      <w:pPr>
        <w:ind w:left="720" w:hanging="360"/>
      </w:pPr>
      <w:rPr>
        <w:rFonts w:ascii="Symbol" w:hAnsi="Symbol"/>
      </w:rPr>
    </w:lvl>
    <w:lvl w:ilvl="7" w:tplc="6D1C6450">
      <w:start w:val="1"/>
      <w:numFmt w:val="bullet"/>
      <w:lvlText w:val=""/>
      <w:lvlJc w:val="left"/>
      <w:pPr>
        <w:ind w:left="720" w:hanging="360"/>
      </w:pPr>
      <w:rPr>
        <w:rFonts w:ascii="Symbol" w:hAnsi="Symbol"/>
      </w:rPr>
    </w:lvl>
    <w:lvl w:ilvl="8" w:tplc="BE50807A">
      <w:start w:val="1"/>
      <w:numFmt w:val="bullet"/>
      <w:lvlText w:val=""/>
      <w:lvlJc w:val="left"/>
      <w:pPr>
        <w:ind w:left="720" w:hanging="360"/>
      </w:pPr>
      <w:rPr>
        <w:rFonts w:ascii="Symbol" w:hAnsi="Symbol"/>
      </w:rPr>
    </w:lvl>
  </w:abstractNum>
  <w:abstractNum w:abstractNumId="5" w15:restartNumberingAfterBreak="0">
    <w:nsid w:val="158E2B45"/>
    <w:multiLevelType w:val="hybridMultilevel"/>
    <w:tmpl w:val="8B96A2D8"/>
    <w:lvl w:ilvl="0" w:tplc="0082D01E">
      <w:start w:val="1"/>
      <w:numFmt w:val="upp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A503453"/>
    <w:multiLevelType w:val="hybridMultilevel"/>
    <w:tmpl w:val="1D0A7FD2"/>
    <w:lvl w:ilvl="0" w:tplc="2EEC82BE">
      <w:start w:val="1"/>
      <w:numFmt w:val="upperRoman"/>
      <w:lvlText w:val="%1."/>
      <w:lvlJc w:val="right"/>
      <w:pPr>
        <w:ind w:left="1020" w:hanging="360"/>
      </w:pPr>
    </w:lvl>
    <w:lvl w:ilvl="1" w:tplc="29B42874">
      <w:start w:val="1"/>
      <w:numFmt w:val="upperRoman"/>
      <w:lvlText w:val="%2."/>
      <w:lvlJc w:val="right"/>
      <w:pPr>
        <w:ind w:left="1020" w:hanging="360"/>
      </w:pPr>
    </w:lvl>
    <w:lvl w:ilvl="2" w:tplc="6A00078C">
      <w:start w:val="1"/>
      <w:numFmt w:val="upperRoman"/>
      <w:lvlText w:val="%3."/>
      <w:lvlJc w:val="right"/>
      <w:pPr>
        <w:ind w:left="1020" w:hanging="360"/>
      </w:pPr>
    </w:lvl>
    <w:lvl w:ilvl="3" w:tplc="D53020AE">
      <w:start w:val="1"/>
      <w:numFmt w:val="upperRoman"/>
      <w:lvlText w:val="%4."/>
      <w:lvlJc w:val="right"/>
      <w:pPr>
        <w:ind w:left="1020" w:hanging="360"/>
      </w:pPr>
    </w:lvl>
    <w:lvl w:ilvl="4" w:tplc="2416EB5C">
      <w:start w:val="1"/>
      <w:numFmt w:val="upperRoman"/>
      <w:lvlText w:val="%5."/>
      <w:lvlJc w:val="right"/>
      <w:pPr>
        <w:ind w:left="1020" w:hanging="360"/>
      </w:pPr>
    </w:lvl>
    <w:lvl w:ilvl="5" w:tplc="B746965C">
      <w:start w:val="1"/>
      <w:numFmt w:val="upperRoman"/>
      <w:lvlText w:val="%6."/>
      <w:lvlJc w:val="right"/>
      <w:pPr>
        <w:ind w:left="1020" w:hanging="360"/>
      </w:pPr>
    </w:lvl>
    <w:lvl w:ilvl="6" w:tplc="BE5ED2D8">
      <w:start w:val="1"/>
      <w:numFmt w:val="upperRoman"/>
      <w:lvlText w:val="%7."/>
      <w:lvlJc w:val="right"/>
      <w:pPr>
        <w:ind w:left="1020" w:hanging="360"/>
      </w:pPr>
    </w:lvl>
    <w:lvl w:ilvl="7" w:tplc="581466A2">
      <w:start w:val="1"/>
      <w:numFmt w:val="upperRoman"/>
      <w:lvlText w:val="%8."/>
      <w:lvlJc w:val="right"/>
      <w:pPr>
        <w:ind w:left="1020" w:hanging="360"/>
      </w:pPr>
    </w:lvl>
    <w:lvl w:ilvl="8" w:tplc="EE40A9A4">
      <w:start w:val="1"/>
      <w:numFmt w:val="upperRoman"/>
      <w:lvlText w:val="%9."/>
      <w:lvlJc w:val="right"/>
      <w:pPr>
        <w:ind w:left="1020" w:hanging="360"/>
      </w:pPr>
    </w:lvl>
  </w:abstractNum>
  <w:abstractNum w:abstractNumId="7" w15:restartNumberingAfterBreak="0">
    <w:nsid w:val="1F1C33C2"/>
    <w:multiLevelType w:val="hybridMultilevel"/>
    <w:tmpl w:val="89D88932"/>
    <w:lvl w:ilvl="0" w:tplc="B5CCF91C">
      <w:start w:val="1"/>
      <w:numFmt w:val="bullet"/>
      <w:lvlText w:val=""/>
      <w:lvlJc w:val="left"/>
      <w:pPr>
        <w:ind w:left="720" w:hanging="360"/>
      </w:pPr>
      <w:rPr>
        <w:rFonts w:ascii="Symbol" w:hAnsi="Symbol"/>
      </w:rPr>
    </w:lvl>
    <w:lvl w:ilvl="1" w:tplc="306C1D2C">
      <w:start w:val="1"/>
      <w:numFmt w:val="bullet"/>
      <w:lvlText w:val=""/>
      <w:lvlJc w:val="left"/>
      <w:pPr>
        <w:ind w:left="720" w:hanging="360"/>
      </w:pPr>
      <w:rPr>
        <w:rFonts w:ascii="Symbol" w:hAnsi="Symbol"/>
      </w:rPr>
    </w:lvl>
    <w:lvl w:ilvl="2" w:tplc="A2307320">
      <w:start w:val="1"/>
      <w:numFmt w:val="bullet"/>
      <w:lvlText w:val=""/>
      <w:lvlJc w:val="left"/>
      <w:pPr>
        <w:ind w:left="720" w:hanging="360"/>
      </w:pPr>
      <w:rPr>
        <w:rFonts w:ascii="Symbol" w:hAnsi="Symbol"/>
      </w:rPr>
    </w:lvl>
    <w:lvl w:ilvl="3" w:tplc="328C750C">
      <w:start w:val="1"/>
      <w:numFmt w:val="bullet"/>
      <w:lvlText w:val=""/>
      <w:lvlJc w:val="left"/>
      <w:pPr>
        <w:ind w:left="720" w:hanging="360"/>
      </w:pPr>
      <w:rPr>
        <w:rFonts w:ascii="Symbol" w:hAnsi="Symbol"/>
      </w:rPr>
    </w:lvl>
    <w:lvl w:ilvl="4" w:tplc="D3947B08">
      <w:start w:val="1"/>
      <w:numFmt w:val="bullet"/>
      <w:lvlText w:val=""/>
      <w:lvlJc w:val="left"/>
      <w:pPr>
        <w:ind w:left="720" w:hanging="360"/>
      </w:pPr>
      <w:rPr>
        <w:rFonts w:ascii="Symbol" w:hAnsi="Symbol"/>
      </w:rPr>
    </w:lvl>
    <w:lvl w:ilvl="5" w:tplc="82149E50">
      <w:start w:val="1"/>
      <w:numFmt w:val="bullet"/>
      <w:lvlText w:val=""/>
      <w:lvlJc w:val="left"/>
      <w:pPr>
        <w:ind w:left="720" w:hanging="360"/>
      </w:pPr>
      <w:rPr>
        <w:rFonts w:ascii="Symbol" w:hAnsi="Symbol"/>
      </w:rPr>
    </w:lvl>
    <w:lvl w:ilvl="6" w:tplc="D9DC4830">
      <w:start w:val="1"/>
      <w:numFmt w:val="bullet"/>
      <w:lvlText w:val=""/>
      <w:lvlJc w:val="left"/>
      <w:pPr>
        <w:ind w:left="720" w:hanging="360"/>
      </w:pPr>
      <w:rPr>
        <w:rFonts w:ascii="Symbol" w:hAnsi="Symbol"/>
      </w:rPr>
    </w:lvl>
    <w:lvl w:ilvl="7" w:tplc="D98A3C90">
      <w:start w:val="1"/>
      <w:numFmt w:val="bullet"/>
      <w:lvlText w:val=""/>
      <w:lvlJc w:val="left"/>
      <w:pPr>
        <w:ind w:left="720" w:hanging="360"/>
      </w:pPr>
      <w:rPr>
        <w:rFonts w:ascii="Symbol" w:hAnsi="Symbol"/>
      </w:rPr>
    </w:lvl>
    <w:lvl w:ilvl="8" w:tplc="BF243EB2">
      <w:start w:val="1"/>
      <w:numFmt w:val="bullet"/>
      <w:lvlText w:val=""/>
      <w:lvlJc w:val="left"/>
      <w:pPr>
        <w:ind w:left="720" w:hanging="360"/>
      </w:pPr>
      <w:rPr>
        <w:rFonts w:ascii="Symbol" w:hAnsi="Symbol"/>
      </w:rPr>
    </w:lvl>
  </w:abstractNum>
  <w:abstractNum w:abstractNumId="8" w15:restartNumberingAfterBreak="0">
    <w:nsid w:val="231B7592"/>
    <w:multiLevelType w:val="multilevel"/>
    <w:tmpl w:val="8526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26F66"/>
    <w:multiLevelType w:val="hybridMultilevel"/>
    <w:tmpl w:val="E95627E2"/>
    <w:lvl w:ilvl="0" w:tplc="F52882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4FE4FBA"/>
    <w:multiLevelType w:val="hybridMultilevel"/>
    <w:tmpl w:val="CB9A72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756C1DE"/>
    <w:multiLevelType w:val="hybridMultilevel"/>
    <w:tmpl w:val="FFFFFFFF"/>
    <w:lvl w:ilvl="0" w:tplc="EACE8D74">
      <w:start w:val="1"/>
      <w:numFmt w:val="bullet"/>
      <w:lvlText w:val=""/>
      <w:lvlJc w:val="left"/>
      <w:pPr>
        <w:ind w:left="1080" w:hanging="360"/>
      </w:pPr>
      <w:rPr>
        <w:rFonts w:ascii="Symbol" w:hAnsi="Symbol" w:hint="default"/>
      </w:rPr>
    </w:lvl>
    <w:lvl w:ilvl="1" w:tplc="1AE2B4D0">
      <w:start w:val="1"/>
      <w:numFmt w:val="bullet"/>
      <w:lvlText w:val="o"/>
      <w:lvlJc w:val="left"/>
      <w:pPr>
        <w:ind w:left="1800" w:hanging="360"/>
      </w:pPr>
      <w:rPr>
        <w:rFonts w:ascii="Courier New" w:hAnsi="Courier New" w:hint="default"/>
      </w:rPr>
    </w:lvl>
    <w:lvl w:ilvl="2" w:tplc="05866982">
      <w:start w:val="1"/>
      <w:numFmt w:val="bullet"/>
      <w:lvlText w:val=""/>
      <w:lvlJc w:val="left"/>
      <w:pPr>
        <w:ind w:left="2520" w:hanging="360"/>
      </w:pPr>
      <w:rPr>
        <w:rFonts w:ascii="Wingdings" w:hAnsi="Wingdings" w:hint="default"/>
      </w:rPr>
    </w:lvl>
    <w:lvl w:ilvl="3" w:tplc="15E658A8">
      <w:start w:val="1"/>
      <w:numFmt w:val="bullet"/>
      <w:lvlText w:val=""/>
      <w:lvlJc w:val="left"/>
      <w:pPr>
        <w:ind w:left="3240" w:hanging="360"/>
      </w:pPr>
      <w:rPr>
        <w:rFonts w:ascii="Symbol" w:hAnsi="Symbol" w:hint="default"/>
      </w:rPr>
    </w:lvl>
    <w:lvl w:ilvl="4" w:tplc="ABFA0702">
      <w:start w:val="1"/>
      <w:numFmt w:val="bullet"/>
      <w:lvlText w:val="o"/>
      <w:lvlJc w:val="left"/>
      <w:pPr>
        <w:ind w:left="3960" w:hanging="360"/>
      </w:pPr>
      <w:rPr>
        <w:rFonts w:ascii="Courier New" w:hAnsi="Courier New" w:hint="default"/>
      </w:rPr>
    </w:lvl>
    <w:lvl w:ilvl="5" w:tplc="38B86978">
      <w:start w:val="1"/>
      <w:numFmt w:val="bullet"/>
      <w:lvlText w:val=""/>
      <w:lvlJc w:val="left"/>
      <w:pPr>
        <w:ind w:left="4680" w:hanging="360"/>
      </w:pPr>
      <w:rPr>
        <w:rFonts w:ascii="Wingdings" w:hAnsi="Wingdings" w:hint="default"/>
      </w:rPr>
    </w:lvl>
    <w:lvl w:ilvl="6" w:tplc="9B20BCCE">
      <w:start w:val="1"/>
      <w:numFmt w:val="bullet"/>
      <w:lvlText w:val=""/>
      <w:lvlJc w:val="left"/>
      <w:pPr>
        <w:ind w:left="5400" w:hanging="360"/>
      </w:pPr>
      <w:rPr>
        <w:rFonts w:ascii="Symbol" w:hAnsi="Symbol" w:hint="default"/>
      </w:rPr>
    </w:lvl>
    <w:lvl w:ilvl="7" w:tplc="D8E2D88E">
      <w:start w:val="1"/>
      <w:numFmt w:val="bullet"/>
      <w:lvlText w:val="o"/>
      <w:lvlJc w:val="left"/>
      <w:pPr>
        <w:ind w:left="6120" w:hanging="360"/>
      </w:pPr>
      <w:rPr>
        <w:rFonts w:ascii="Courier New" w:hAnsi="Courier New" w:hint="default"/>
      </w:rPr>
    </w:lvl>
    <w:lvl w:ilvl="8" w:tplc="80DCDA86">
      <w:start w:val="1"/>
      <w:numFmt w:val="bullet"/>
      <w:lvlText w:val=""/>
      <w:lvlJc w:val="left"/>
      <w:pPr>
        <w:ind w:left="6840" w:hanging="360"/>
      </w:pPr>
      <w:rPr>
        <w:rFonts w:ascii="Wingdings" w:hAnsi="Wingdings" w:hint="default"/>
      </w:rPr>
    </w:lvl>
  </w:abstractNum>
  <w:abstractNum w:abstractNumId="12" w15:restartNumberingAfterBreak="0">
    <w:nsid w:val="28044883"/>
    <w:multiLevelType w:val="multilevel"/>
    <w:tmpl w:val="9980451C"/>
    <w:lvl w:ilvl="0">
      <w:start w:val="1"/>
      <w:numFmt w:val="bullet"/>
      <w:lvlText w:val=""/>
      <w:lvlJc w:val="left"/>
      <w:pPr>
        <w:tabs>
          <w:tab w:val="num" w:pos="950"/>
        </w:tabs>
        <w:ind w:left="950" w:hanging="360"/>
      </w:pPr>
      <w:rPr>
        <w:rFonts w:ascii="Symbol" w:hAnsi="Symbol" w:hint="default"/>
        <w:sz w:val="20"/>
      </w:rPr>
    </w:lvl>
    <w:lvl w:ilvl="1">
      <w:start w:val="1"/>
      <w:numFmt w:val="decimal"/>
      <w:lvlText w:val="%2)"/>
      <w:lvlJc w:val="left"/>
      <w:pPr>
        <w:ind w:left="1670" w:hanging="360"/>
      </w:pPr>
      <w:rPr>
        <w:rFonts w:hint="default"/>
      </w:rPr>
    </w:lvl>
    <w:lvl w:ilvl="2" w:tentative="1">
      <w:start w:val="1"/>
      <w:numFmt w:val="bullet"/>
      <w:lvlText w:val=""/>
      <w:lvlJc w:val="left"/>
      <w:pPr>
        <w:tabs>
          <w:tab w:val="num" w:pos="2390"/>
        </w:tabs>
        <w:ind w:left="2390" w:hanging="360"/>
      </w:pPr>
      <w:rPr>
        <w:rFonts w:ascii="Wingdings" w:hAnsi="Wingdings" w:hint="default"/>
        <w:sz w:val="20"/>
      </w:rPr>
    </w:lvl>
    <w:lvl w:ilvl="3" w:tentative="1">
      <w:start w:val="1"/>
      <w:numFmt w:val="bullet"/>
      <w:lvlText w:val=""/>
      <w:lvlJc w:val="left"/>
      <w:pPr>
        <w:tabs>
          <w:tab w:val="num" w:pos="3110"/>
        </w:tabs>
        <w:ind w:left="3110" w:hanging="360"/>
      </w:pPr>
      <w:rPr>
        <w:rFonts w:ascii="Wingdings" w:hAnsi="Wingdings" w:hint="default"/>
        <w:sz w:val="20"/>
      </w:rPr>
    </w:lvl>
    <w:lvl w:ilvl="4" w:tentative="1">
      <w:start w:val="1"/>
      <w:numFmt w:val="bullet"/>
      <w:lvlText w:val=""/>
      <w:lvlJc w:val="left"/>
      <w:pPr>
        <w:tabs>
          <w:tab w:val="num" w:pos="3830"/>
        </w:tabs>
        <w:ind w:left="3830" w:hanging="360"/>
      </w:pPr>
      <w:rPr>
        <w:rFonts w:ascii="Wingdings" w:hAnsi="Wingdings" w:hint="default"/>
        <w:sz w:val="20"/>
      </w:rPr>
    </w:lvl>
    <w:lvl w:ilvl="5" w:tentative="1">
      <w:start w:val="1"/>
      <w:numFmt w:val="bullet"/>
      <w:lvlText w:val=""/>
      <w:lvlJc w:val="left"/>
      <w:pPr>
        <w:tabs>
          <w:tab w:val="num" w:pos="4550"/>
        </w:tabs>
        <w:ind w:left="4550" w:hanging="360"/>
      </w:pPr>
      <w:rPr>
        <w:rFonts w:ascii="Wingdings" w:hAnsi="Wingdings" w:hint="default"/>
        <w:sz w:val="20"/>
      </w:rPr>
    </w:lvl>
    <w:lvl w:ilvl="6" w:tentative="1">
      <w:start w:val="1"/>
      <w:numFmt w:val="bullet"/>
      <w:lvlText w:val=""/>
      <w:lvlJc w:val="left"/>
      <w:pPr>
        <w:tabs>
          <w:tab w:val="num" w:pos="5270"/>
        </w:tabs>
        <w:ind w:left="5270" w:hanging="360"/>
      </w:pPr>
      <w:rPr>
        <w:rFonts w:ascii="Wingdings" w:hAnsi="Wingdings" w:hint="default"/>
        <w:sz w:val="20"/>
      </w:rPr>
    </w:lvl>
    <w:lvl w:ilvl="7" w:tentative="1">
      <w:start w:val="1"/>
      <w:numFmt w:val="bullet"/>
      <w:lvlText w:val=""/>
      <w:lvlJc w:val="left"/>
      <w:pPr>
        <w:tabs>
          <w:tab w:val="num" w:pos="5990"/>
        </w:tabs>
        <w:ind w:left="5990" w:hanging="360"/>
      </w:pPr>
      <w:rPr>
        <w:rFonts w:ascii="Wingdings" w:hAnsi="Wingdings" w:hint="default"/>
        <w:sz w:val="20"/>
      </w:rPr>
    </w:lvl>
    <w:lvl w:ilvl="8" w:tentative="1">
      <w:start w:val="1"/>
      <w:numFmt w:val="bullet"/>
      <w:lvlText w:val=""/>
      <w:lvlJc w:val="left"/>
      <w:pPr>
        <w:tabs>
          <w:tab w:val="num" w:pos="6710"/>
        </w:tabs>
        <w:ind w:left="6710" w:hanging="360"/>
      </w:pPr>
      <w:rPr>
        <w:rFonts w:ascii="Wingdings" w:hAnsi="Wingdings" w:hint="default"/>
        <w:sz w:val="20"/>
      </w:rPr>
    </w:lvl>
  </w:abstractNum>
  <w:abstractNum w:abstractNumId="13" w15:restartNumberingAfterBreak="0">
    <w:nsid w:val="288F1F5F"/>
    <w:multiLevelType w:val="hybridMultilevel"/>
    <w:tmpl w:val="9244AA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E1F1414"/>
    <w:multiLevelType w:val="hybridMultilevel"/>
    <w:tmpl w:val="EBE68804"/>
    <w:lvl w:ilvl="0" w:tplc="F52882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43F6C37"/>
    <w:multiLevelType w:val="hybridMultilevel"/>
    <w:tmpl w:val="32765D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5790869"/>
    <w:multiLevelType w:val="hybridMultilevel"/>
    <w:tmpl w:val="2744E098"/>
    <w:lvl w:ilvl="0" w:tplc="3E10621C">
      <w:start w:val="26"/>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4BB35248"/>
    <w:multiLevelType w:val="hybridMultilevel"/>
    <w:tmpl w:val="9FA61F70"/>
    <w:lvl w:ilvl="0" w:tplc="F52882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F6F0CC8"/>
    <w:multiLevelType w:val="hybridMultilevel"/>
    <w:tmpl w:val="CD561B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7926F3"/>
    <w:multiLevelType w:val="hybridMultilevel"/>
    <w:tmpl w:val="E44AA43C"/>
    <w:lvl w:ilvl="0" w:tplc="0A12BCC0">
      <w:start w:val="3"/>
      <w:numFmt w:val="upperRoman"/>
      <w:lvlText w:val="%1."/>
      <w:lvlJc w:val="left"/>
      <w:pPr>
        <w:ind w:left="720" w:hanging="72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B940AF4"/>
    <w:multiLevelType w:val="hybridMultilevel"/>
    <w:tmpl w:val="B72A5A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BB15BD0"/>
    <w:multiLevelType w:val="hybridMultilevel"/>
    <w:tmpl w:val="F4BEA036"/>
    <w:lvl w:ilvl="0" w:tplc="18090001">
      <w:start w:val="1"/>
      <w:numFmt w:val="bullet"/>
      <w:lvlText w:val=""/>
      <w:lvlJc w:val="left"/>
      <w:pPr>
        <w:ind w:left="530" w:hanging="360"/>
      </w:pPr>
      <w:rPr>
        <w:rFonts w:ascii="Symbol" w:hAnsi="Symbol" w:hint="default"/>
      </w:rPr>
    </w:lvl>
    <w:lvl w:ilvl="1" w:tplc="18090003" w:tentative="1">
      <w:start w:val="1"/>
      <w:numFmt w:val="bullet"/>
      <w:lvlText w:val="o"/>
      <w:lvlJc w:val="left"/>
      <w:pPr>
        <w:ind w:left="1250" w:hanging="360"/>
      </w:pPr>
      <w:rPr>
        <w:rFonts w:ascii="Courier New" w:hAnsi="Courier New" w:cs="Courier New" w:hint="default"/>
      </w:rPr>
    </w:lvl>
    <w:lvl w:ilvl="2" w:tplc="18090005" w:tentative="1">
      <w:start w:val="1"/>
      <w:numFmt w:val="bullet"/>
      <w:lvlText w:val=""/>
      <w:lvlJc w:val="left"/>
      <w:pPr>
        <w:ind w:left="1970" w:hanging="360"/>
      </w:pPr>
      <w:rPr>
        <w:rFonts w:ascii="Wingdings" w:hAnsi="Wingdings" w:hint="default"/>
      </w:rPr>
    </w:lvl>
    <w:lvl w:ilvl="3" w:tplc="18090001" w:tentative="1">
      <w:start w:val="1"/>
      <w:numFmt w:val="bullet"/>
      <w:lvlText w:val=""/>
      <w:lvlJc w:val="left"/>
      <w:pPr>
        <w:ind w:left="2690" w:hanging="360"/>
      </w:pPr>
      <w:rPr>
        <w:rFonts w:ascii="Symbol" w:hAnsi="Symbol" w:hint="default"/>
      </w:rPr>
    </w:lvl>
    <w:lvl w:ilvl="4" w:tplc="18090003" w:tentative="1">
      <w:start w:val="1"/>
      <w:numFmt w:val="bullet"/>
      <w:lvlText w:val="o"/>
      <w:lvlJc w:val="left"/>
      <w:pPr>
        <w:ind w:left="3410" w:hanging="360"/>
      </w:pPr>
      <w:rPr>
        <w:rFonts w:ascii="Courier New" w:hAnsi="Courier New" w:cs="Courier New" w:hint="default"/>
      </w:rPr>
    </w:lvl>
    <w:lvl w:ilvl="5" w:tplc="18090005" w:tentative="1">
      <w:start w:val="1"/>
      <w:numFmt w:val="bullet"/>
      <w:lvlText w:val=""/>
      <w:lvlJc w:val="left"/>
      <w:pPr>
        <w:ind w:left="4130" w:hanging="360"/>
      </w:pPr>
      <w:rPr>
        <w:rFonts w:ascii="Wingdings" w:hAnsi="Wingdings" w:hint="default"/>
      </w:rPr>
    </w:lvl>
    <w:lvl w:ilvl="6" w:tplc="18090001" w:tentative="1">
      <w:start w:val="1"/>
      <w:numFmt w:val="bullet"/>
      <w:lvlText w:val=""/>
      <w:lvlJc w:val="left"/>
      <w:pPr>
        <w:ind w:left="4850" w:hanging="360"/>
      </w:pPr>
      <w:rPr>
        <w:rFonts w:ascii="Symbol" w:hAnsi="Symbol" w:hint="default"/>
      </w:rPr>
    </w:lvl>
    <w:lvl w:ilvl="7" w:tplc="18090003" w:tentative="1">
      <w:start w:val="1"/>
      <w:numFmt w:val="bullet"/>
      <w:lvlText w:val="o"/>
      <w:lvlJc w:val="left"/>
      <w:pPr>
        <w:ind w:left="5570" w:hanging="360"/>
      </w:pPr>
      <w:rPr>
        <w:rFonts w:ascii="Courier New" w:hAnsi="Courier New" w:cs="Courier New" w:hint="default"/>
      </w:rPr>
    </w:lvl>
    <w:lvl w:ilvl="8" w:tplc="18090005" w:tentative="1">
      <w:start w:val="1"/>
      <w:numFmt w:val="bullet"/>
      <w:lvlText w:val=""/>
      <w:lvlJc w:val="left"/>
      <w:pPr>
        <w:ind w:left="6290" w:hanging="360"/>
      </w:pPr>
      <w:rPr>
        <w:rFonts w:ascii="Wingdings" w:hAnsi="Wingdings" w:hint="default"/>
      </w:rPr>
    </w:lvl>
  </w:abstractNum>
  <w:abstractNum w:abstractNumId="22" w15:restartNumberingAfterBreak="0">
    <w:nsid w:val="5D3C7E89"/>
    <w:multiLevelType w:val="hybridMultilevel"/>
    <w:tmpl w:val="333AA47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610F4AF1"/>
    <w:multiLevelType w:val="hybridMultilevel"/>
    <w:tmpl w:val="8BB670EE"/>
    <w:lvl w:ilvl="0" w:tplc="E84C46CE">
      <w:start w:val="1"/>
      <w:numFmt w:val="upperRoman"/>
      <w:lvlText w:val="%1."/>
      <w:lvlJc w:val="right"/>
      <w:pPr>
        <w:ind w:left="1020" w:hanging="360"/>
      </w:pPr>
    </w:lvl>
    <w:lvl w:ilvl="1" w:tplc="98E61E66">
      <w:start w:val="1"/>
      <w:numFmt w:val="upperRoman"/>
      <w:lvlText w:val="%2."/>
      <w:lvlJc w:val="right"/>
      <w:pPr>
        <w:ind w:left="1020" w:hanging="360"/>
      </w:pPr>
    </w:lvl>
    <w:lvl w:ilvl="2" w:tplc="B6BE19BA">
      <w:start w:val="1"/>
      <w:numFmt w:val="upperRoman"/>
      <w:lvlText w:val="%3."/>
      <w:lvlJc w:val="right"/>
      <w:pPr>
        <w:ind w:left="1020" w:hanging="360"/>
      </w:pPr>
    </w:lvl>
    <w:lvl w:ilvl="3" w:tplc="567092A6">
      <w:start w:val="1"/>
      <w:numFmt w:val="upperRoman"/>
      <w:lvlText w:val="%4."/>
      <w:lvlJc w:val="right"/>
      <w:pPr>
        <w:ind w:left="1020" w:hanging="360"/>
      </w:pPr>
    </w:lvl>
    <w:lvl w:ilvl="4" w:tplc="52B4198C">
      <w:start w:val="1"/>
      <w:numFmt w:val="upperRoman"/>
      <w:lvlText w:val="%5."/>
      <w:lvlJc w:val="right"/>
      <w:pPr>
        <w:ind w:left="1020" w:hanging="360"/>
      </w:pPr>
    </w:lvl>
    <w:lvl w:ilvl="5" w:tplc="7A6C07CE">
      <w:start w:val="1"/>
      <w:numFmt w:val="upperRoman"/>
      <w:lvlText w:val="%6."/>
      <w:lvlJc w:val="right"/>
      <w:pPr>
        <w:ind w:left="1020" w:hanging="360"/>
      </w:pPr>
    </w:lvl>
    <w:lvl w:ilvl="6" w:tplc="B2A88530">
      <w:start w:val="1"/>
      <w:numFmt w:val="upperRoman"/>
      <w:lvlText w:val="%7."/>
      <w:lvlJc w:val="right"/>
      <w:pPr>
        <w:ind w:left="1020" w:hanging="360"/>
      </w:pPr>
    </w:lvl>
    <w:lvl w:ilvl="7" w:tplc="EC806964">
      <w:start w:val="1"/>
      <w:numFmt w:val="upperRoman"/>
      <w:lvlText w:val="%8."/>
      <w:lvlJc w:val="right"/>
      <w:pPr>
        <w:ind w:left="1020" w:hanging="360"/>
      </w:pPr>
    </w:lvl>
    <w:lvl w:ilvl="8" w:tplc="C1567076">
      <w:start w:val="1"/>
      <w:numFmt w:val="upperRoman"/>
      <w:lvlText w:val="%9."/>
      <w:lvlJc w:val="right"/>
      <w:pPr>
        <w:ind w:left="1020" w:hanging="360"/>
      </w:pPr>
    </w:lvl>
  </w:abstractNum>
  <w:abstractNum w:abstractNumId="24" w15:restartNumberingAfterBreak="0">
    <w:nsid w:val="65D32105"/>
    <w:multiLevelType w:val="hybridMultilevel"/>
    <w:tmpl w:val="EF2A9E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CF542C5"/>
    <w:multiLevelType w:val="hybridMultilevel"/>
    <w:tmpl w:val="A04C2E90"/>
    <w:lvl w:ilvl="0" w:tplc="A2809F30">
      <w:start w:val="1"/>
      <w:numFmt w:val="upperRoman"/>
      <w:lvlText w:val="%1."/>
      <w:lvlJc w:val="right"/>
      <w:pPr>
        <w:ind w:left="1020" w:hanging="360"/>
      </w:pPr>
    </w:lvl>
    <w:lvl w:ilvl="1" w:tplc="847C0AAA">
      <w:start w:val="1"/>
      <w:numFmt w:val="upperRoman"/>
      <w:lvlText w:val="%2."/>
      <w:lvlJc w:val="right"/>
      <w:pPr>
        <w:ind w:left="1020" w:hanging="360"/>
      </w:pPr>
    </w:lvl>
    <w:lvl w:ilvl="2" w:tplc="7A849174">
      <w:start w:val="1"/>
      <w:numFmt w:val="upperRoman"/>
      <w:lvlText w:val="%3."/>
      <w:lvlJc w:val="right"/>
      <w:pPr>
        <w:ind w:left="1020" w:hanging="360"/>
      </w:pPr>
    </w:lvl>
    <w:lvl w:ilvl="3" w:tplc="838890AE">
      <w:start w:val="1"/>
      <w:numFmt w:val="upperRoman"/>
      <w:lvlText w:val="%4."/>
      <w:lvlJc w:val="right"/>
      <w:pPr>
        <w:ind w:left="1020" w:hanging="360"/>
      </w:pPr>
    </w:lvl>
    <w:lvl w:ilvl="4" w:tplc="0FBE32BC">
      <w:start w:val="1"/>
      <w:numFmt w:val="upperRoman"/>
      <w:lvlText w:val="%5."/>
      <w:lvlJc w:val="right"/>
      <w:pPr>
        <w:ind w:left="1020" w:hanging="360"/>
      </w:pPr>
    </w:lvl>
    <w:lvl w:ilvl="5" w:tplc="E2CAE834">
      <w:start w:val="1"/>
      <w:numFmt w:val="upperRoman"/>
      <w:lvlText w:val="%6."/>
      <w:lvlJc w:val="right"/>
      <w:pPr>
        <w:ind w:left="1020" w:hanging="360"/>
      </w:pPr>
    </w:lvl>
    <w:lvl w:ilvl="6" w:tplc="CB14656A">
      <w:start w:val="1"/>
      <w:numFmt w:val="upperRoman"/>
      <w:lvlText w:val="%7."/>
      <w:lvlJc w:val="right"/>
      <w:pPr>
        <w:ind w:left="1020" w:hanging="360"/>
      </w:pPr>
    </w:lvl>
    <w:lvl w:ilvl="7" w:tplc="1804BD02">
      <w:start w:val="1"/>
      <w:numFmt w:val="upperRoman"/>
      <w:lvlText w:val="%8."/>
      <w:lvlJc w:val="right"/>
      <w:pPr>
        <w:ind w:left="1020" w:hanging="360"/>
      </w:pPr>
    </w:lvl>
    <w:lvl w:ilvl="8" w:tplc="746EFA16">
      <w:start w:val="1"/>
      <w:numFmt w:val="upperRoman"/>
      <w:lvlText w:val="%9."/>
      <w:lvlJc w:val="right"/>
      <w:pPr>
        <w:ind w:left="1020" w:hanging="360"/>
      </w:pPr>
    </w:lvl>
  </w:abstractNum>
  <w:abstractNum w:abstractNumId="26" w15:restartNumberingAfterBreak="0">
    <w:nsid w:val="726D12AA"/>
    <w:multiLevelType w:val="hybridMultilevel"/>
    <w:tmpl w:val="EC0E92A4"/>
    <w:lvl w:ilvl="0" w:tplc="46EAF5A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3BF432A"/>
    <w:multiLevelType w:val="hybridMultilevel"/>
    <w:tmpl w:val="71D47360"/>
    <w:lvl w:ilvl="0" w:tplc="8752CFDA">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75313843"/>
    <w:multiLevelType w:val="multilevel"/>
    <w:tmpl w:val="28CA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970872"/>
    <w:multiLevelType w:val="hybridMultilevel"/>
    <w:tmpl w:val="00D2C202"/>
    <w:lvl w:ilvl="0" w:tplc="663CA428">
      <w:numFmt w:val="bullet"/>
      <w:lvlText w:val=""/>
      <w:lvlJc w:val="left"/>
      <w:pPr>
        <w:ind w:left="720" w:hanging="360"/>
      </w:pPr>
      <w:rPr>
        <w:rFonts w:ascii="Wingdings" w:eastAsiaTheme="minorHAnsi" w:hAnsi="Wingdings" w:cs="Times New Roman" w:hint="default"/>
        <w:i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22"/>
  </w:num>
  <w:num w:numId="4">
    <w:abstractNumId w:val="11"/>
  </w:num>
  <w:num w:numId="5">
    <w:abstractNumId w:val="2"/>
  </w:num>
  <w:num w:numId="6">
    <w:abstractNumId w:val="18"/>
  </w:num>
  <w:num w:numId="7">
    <w:abstractNumId w:val="10"/>
  </w:num>
  <w:num w:numId="8">
    <w:abstractNumId w:val="15"/>
  </w:num>
  <w:num w:numId="9">
    <w:abstractNumId w:val="19"/>
  </w:num>
  <w:num w:numId="10">
    <w:abstractNumId w:val="8"/>
  </w:num>
  <w:num w:numId="11">
    <w:abstractNumId w:val="21"/>
  </w:num>
  <w:num w:numId="12">
    <w:abstractNumId w:val="5"/>
  </w:num>
  <w:num w:numId="13">
    <w:abstractNumId w:val="25"/>
  </w:num>
  <w:num w:numId="14">
    <w:abstractNumId w:val="23"/>
  </w:num>
  <w:num w:numId="15">
    <w:abstractNumId w:val="6"/>
  </w:num>
  <w:num w:numId="16">
    <w:abstractNumId w:val="4"/>
  </w:num>
  <w:num w:numId="17">
    <w:abstractNumId w:val="7"/>
  </w:num>
  <w:num w:numId="18">
    <w:abstractNumId w:val="28"/>
  </w:num>
  <w:num w:numId="19">
    <w:abstractNumId w:val="17"/>
  </w:num>
  <w:num w:numId="20">
    <w:abstractNumId w:val="16"/>
  </w:num>
  <w:num w:numId="21">
    <w:abstractNumId w:val="13"/>
  </w:num>
  <w:num w:numId="22">
    <w:abstractNumId w:val="27"/>
  </w:num>
  <w:num w:numId="23">
    <w:abstractNumId w:val="26"/>
  </w:num>
  <w:num w:numId="24">
    <w:abstractNumId w:val="20"/>
  </w:num>
  <w:num w:numId="25">
    <w:abstractNumId w:val="3"/>
  </w:num>
  <w:num w:numId="26">
    <w:abstractNumId w:val="0"/>
  </w:num>
  <w:num w:numId="27">
    <w:abstractNumId w:val="14"/>
  </w:num>
  <w:num w:numId="28">
    <w:abstractNumId w:val="9"/>
  </w:num>
  <w:num w:numId="29">
    <w:abstractNumId w:val="24"/>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79C4ABE-CECB-494F-800F-9B9693292C1C"/>
    <w:docVar w:name="LW_COVERPAGE_TYPE" w:val="1"/>
    <w:docVar w:name="LW_CROSSREFERENCE" w:val="&lt;UNUSED&gt;"/>
    <w:docVar w:name="LW_DocType" w:val="NORMAL"/>
    <w:docVar w:name="LW_EMISSION" w:val="24.6.2025"/>
    <w:docVar w:name="LW_EMISSION_ISODATE" w:val="2025-06-2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3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oaie de parcurs privind accesul legal \u537?i efectiv la date pentru autorit\u259?\u539?ile de aplicare a legii"/>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E32F72"/>
    <w:rsid w:val="000029A8"/>
    <w:rsid w:val="00061055"/>
    <w:rsid w:val="000B1BA2"/>
    <w:rsid w:val="000C16C0"/>
    <w:rsid w:val="00110C38"/>
    <w:rsid w:val="00167A12"/>
    <w:rsid w:val="00207A04"/>
    <w:rsid w:val="002565B0"/>
    <w:rsid w:val="002B3E75"/>
    <w:rsid w:val="002C7A60"/>
    <w:rsid w:val="00362E7C"/>
    <w:rsid w:val="003B648B"/>
    <w:rsid w:val="0040080C"/>
    <w:rsid w:val="00422A61"/>
    <w:rsid w:val="00446F32"/>
    <w:rsid w:val="00504850"/>
    <w:rsid w:val="005050C7"/>
    <w:rsid w:val="00726B8D"/>
    <w:rsid w:val="0073400B"/>
    <w:rsid w:val="00783FD7"/>
    <w:rsid w:val="00790A17"/>
    <w:rsid w:val="0079778D"/>
    <w:rsid w:val="007F42B5"/>
    <w:rsid w:val="0080618B"/>
    <w:rsid w:val="00855313"/>
    <w:rsid w:val="00895440"/>
    <w:rsid w:val="00926990"/>
    <w:rsid w:val="00943377"/>
    <w:rsid w:val="009828C5"/>
    <w:rsid w:val="009C36D2"/>
    <w:rsid w:val="00A500FE"/>
    <w:rsid w:val="00A93252"/>
    <w:rsid w:val="00B56A46"/>
    <w:rsid w:val="00BD66DD"/>
    <w:rsid w:val="00C446FB"/>
    <w:rsid w:val="00C66A36"/>
    <w:rsid w:val="00C67FC7"/>
    <w:rsid w:val="00C81A9D"/>
    <w:rsid w:val="00CB70AA"/>
    <w:rsid w:val="00CD5705"/>
    <w:rsid w:val="00CE3DE6"/>
    <w:rsid w:val="00D14812"/>
    <w:rsid w:val="00D31C7E"/>
    <w:rsid w:val="00D434EF"/>
    <w:rsid w:val="00D6679C"/>
    <w:rsid w:val="00E32F72"/>
    <w:rsid w:val="00E65930"/>
    <w:rsid w:val="00E964CB"/>
    <w:rsid w:val="00EF0387"/>
    <w:rsid w:val="00F66ACC"/>
    <w:rsid w:val="00F963F9"/>
    <w:rsid w:val="00FD08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5140084"/>
  <w15:chartTrackingRefBased/>
  <w15:docId w15:val="{20B73C7E-86AC-472C-AF99-CFD92B1BC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2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2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F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F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F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F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F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F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F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F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2F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F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F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F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F72"/>
    <w:rPr>
      <w:rFonts w:eastAsiaTheme="majorEastAsia" w:cstheme="majorBidi"/>
      <w:color w:val="272727" w:themeColor="text1" w:themeTint="D8"/>
    </w:rPr>
  </w:style>
  <w:style w:type="paragraph" w:styleId="Title">
    <w:name w:val="Title"/>
    <w:basedOn w:val="Normal"/>
    <w:next w:val="Normal"/>
    <w:link w:val="TitleChar"/>
    <w:uiPriority w:val="10"/>
    <w:qFormat/>
    <w:rsid w:val="00E32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F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F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F72"/>
    <w:pPr>
      <w:spacing w:before="160"/>
      <w:jc w:val="center"/>
    </w:pPr>
    <w:rPr>
      <w:i/>
      <w:iCs/>
      <w:color w:val="404040" w:themeColor="text1" w:themeTint="BF"/>
    </w:rPr>
  </w:style>
  <w:style w:type="character" w:customStyle="1" w:styleId="QuoteChar">
    <w:name w:val="Quote Char"/>
    <w:basedOn w:val="DefaultParagraphFont"/>
    <w:link w:val="Quote"/>
    <w:uiPriority w:val="29"/>
    <w:rsid w:val="00E32F72"/>
    <w:rPr>
      <w:i/>
      <w:iCs/>
      <w:color w:val="404040" w:themeColor="text1" w:themeTint="BF"/>
    </w:rPr>
  </w:style>
  <w:style w:type="paragraph" w:styleId="ListParagraph">
    <w:name w:val="List Paragraph"/>
    <w:basedOn w:val="Normal"/>
    <w:uiPriority w:val="34"/>
    <w:qFormat/>
    <w:rsid w:val="00E32F72"/>
    <w:pPr>
      <w:ind w:left="720"/>
      <w:contextualSpacing/>
    </w:pPr>
  </w:style>
  <w:style w:type="character" w:styleId="IntenseEmphasis">
    <w:name w:val="Intense Emphasis"/>
    <w:basedOn w:val="DefaultParagraphFont"/>
    <w:uiPriority w:val="21"/>
    <w:qFormat/>
    <w:rsid w:val="00E32F72"/>
    <w:rPr>
      <w:i/>
      <w:iCs/>
      <w:color w:val="0F4761" w:themeColor="accent1" w:themeShade="BF"/>
    </w:rPr>
  </w:style>
  <w:style w:type="paragraph" w:styleId="IntenseQuote">
    <w:name w:val="Intense Quote"/>
    <w:basedOn w:val="Normal"/>
    <w:next w:val="Normal"/>
    <w:link w:val="IntenseQuoteChar"/>
    <w:uiPriority w:val="30"/>
    <w:qFormat/>
    <w:rsid w:val="00E32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F72"/>
    <w:rPr>
      <w:i/>
      <w:iCs/>
      <w:color w:val="0F4761" w:themeColor="accent1" w:themeShade="BF"/>
    </w:rPr>
  </w:style>
  <w:style w:type="character" w:styleId="IntenseReference">
    <w:name w:val="Intense Reference"/>
    <w:basedOn w:val="DefaultParagraphFont"/>
    <w:uiPriority w:val="32"/>
    <w:qFormat/>
    <w:rsid w:val="00E32F72"/>
    <w:rPr>
      <w:b/>
      <w:bCs/>
      <w:smallCaps/>
      <w:color w:val="0F4761" w:themeColor="accent1" w:themeShade="BF"/>
      <w:spacing w:val="5"/>
    </w:rPr>
  </w:style>
  <w:style w:type="character" w:customStyle="1" w:styleId="Marker">
    <w:name w:val="Marker"/>
    <w:basedOn w:val="DefaultParagraphFont"/>
    <w:rsid w:val="00E32F72"/>
    <w:rPr>
      <w:color w:val="0000FF"/>
      <w:shd w:val="clear" w:color="auto" w:fill="auto"/>
    </w:rPr>
  </w:style>
  <w:style w:type="paragraph" w:styleId="Header">
    <w:name w:val="header"/>
    <w:basedOn w:val="Normal"/>
    <w:link w:val="HeaderChar"/>
    <w:uiPriority w:val="99"/>
    <w:unhideWhenUsed/>
    <w:rsid w:val="00E32F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F72"/>
  </w:style>
  <w:style w:type="paragraph" w:styleId="Footer">
    <w:name w:val="footer"/>
    <w:basedOn w:val="Normal"/>
    <w:link w:val="FooterChar"/>
    <w:uiPriority w:val="99"/>
    <w:unhideWhenUsed/>
    <w:rsid w:val="00E32F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2F72"/>
  </w:style>
  <w:style w:type="paragraph" w:customStyle="1" w:styleId="Pagedecouverture">
    <w:name w:val="Page de couverture"/>
    <w:basedOn w:val="Normal"/>
    <w:next w:val="Normal"/>
    <w:rsid w:val="00E32F72"/>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32F7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32F72"/>
    <w:rPr>
      <w:rFonts w:ascii="Times New Roman" w:hAnsi="Times New Roman" w:cs="Times New Roman"/>
      <w:sz w:val="24"/>
    </w:rPr>
  </w:style>
  <w:style w:type="paragraph" w:customStyle="1" w:styleId="FooterSensitivity">
    <w:name w:val="Footer Sensitivity"/>
    <w:basedOn w:val="Normal"/>
    <w:link w:val="FooterSensitivityChar"/>
    <w:rsid w:val="00E32F7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32F72"/>
    <w:rPr>
      <w:rFonts w:ascii="Times New Roman" w:hAnsi="Times New Roman" w:cs="Times New Roman"/>
      <w:b/>
      <w:sz w:val="32"/>
    </w:rPr>
  </w:style>
  <w:style w:type="paragraph" w:customStyle="1" w:styleId="HeaderCoverPage">
    <w:name w:val="Header Cover Page"/>
    <w:basedOn w:val="Normal"/>
    <w:link w:val="HeaderCoverPageChar"/>
    <w:rsid w:val="00E32F7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32F72"/>
    <w:rPr>
      <w:rFonts w:ascii="Times New Roman" w:hAnsi="Times New Roman" w:cs="Times New Roman"/>
      <w:sz w:val="24"/>
    </w:rPr>
  </w:style>
  <w:style w:type="paragraph" w:customStyle="1" w:styleId="HeaderSensitivity">
    <w:name w:val="Header Sensitivity"/>
    <w:basedOn w:val="Normal"/>
    <w:link w:val="HeaderSensitivityChar"/>
    <w:rsid w:val="00E32F7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32F72"/>
    <w:rPr>
      <w:rFonts w:ascii="Times New Roman" w:hAnsi="Times New Roman" w:cs="Times New Roman"/>
      <w:b/>
      <w:sz w:val="32"/>
    </w:rPr>
  </w:style>
  <w:style w:type="paragraph" w:customStyle="1" w:styleId="HeaderSensitivityRight">
    <w:name w:val="Header Sensitivity Right"/>
    <w:basedOn w:val="Normal"/>
    <w:link w:val="HeaderSensitivityRightChar"/>
    <w:rsid w:val="00E32F7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32F72"/>
    <w:rPr>
      <w:rFonts w:ascii="Times New Roman" w:hAnsi="Times New Roman" w:cs="Times New Roman"/>
      <w:sz w:val="28"/>
    </w:rPr>
  </w:style>
  <w:style w:type="table" w:styleId="TableGrid">
    <w:name w:val="Table Grid"/>
    <w:basedOn w:val="TableNormal"/>
    <w:uiPriority w:val="39"/>
    <w:rsid w:val="00E32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
    <w:basedOn w:val="Normal"/>
    <w:link w:val="FootnoteTextChar"/>
    <w:uiPriority w:val="99"/>
    <w:unhideWhenUsed/>
    <w:qFormat/>
    <w:rsid w:val="00E32F72"/>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99"/>
    <w:qFormat/>
    <w:rsid w:val="00E32F72"/>
    <w:rPr>
      <w:sz w:val="20"/>
      <w:szCs w:val="20"/>
      <w:lang w:val="ro-RO"/>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fr,o,FR,FR1"/>
    <w:basedOn w:val="DefaultParagraphFont"/>
    <w:link w:val="BVIfnrChar"/>
    <w:uiPriority w:val="99"/>
    <w:unhideWhenUsed/>
    <w:qFormat/>
    <w:rsid w:val="00E32F72"/>
    <w:rPr>
      <w:vertAlign w:val="superscript"/>
    </w:rPr>
  </w:style>
  <w:style w:type="character" w:styleId="Hyperlink">
    <w:name w:val="Hyperlink"/>
    <w:basedOn w:val="DefaultParagraphFont"/>
    <w:uiPriority w:val="99"/>
    <w:unhideWhenUsed/>
    <w:rsid w:val="00E32F72"/>
    <w:rPr>
      <w:color w:val="467886" w:themeColor="hyperlink"/>
      <w:u w:val="single"/>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rsid w:val="00E32F72"/>
    <w:pPr>
      <w:spacing w:line="240" w:lineRule="exact"/>
    </w:pPr>
    <w:rPr>
      <w:vertAlign w:val="superscript"/>
    </w:rPr>
  </w:style>
  <w:style w:type="character" w:customStyle="1" w:styleId="Hyperlink1">
    <w:name w:val="Hyperlink1"/>
    <w:basedOn w:val="DefaultParagraphFont"/>
    <w:uiPriority w:val="99"/>
    <w:unhideWhenUsed/>
    <w:rsid w:val="00E32F72"/>
    <w:rPr>
      <w:color w:val="0000FF"/>
      <w:u w:val="single"/>
    </w:rPr>
  </w:style>
  <w:style w:type="paragraph" w:customStyle="1" w:styleId="FootnoteText1">
    <w:name w:val="Footnote Text1"/>
    <w:basedOn w:val="Normal"/>
    <w:next w:val="FootnoteText"/>
    <w:uiPriority w:val="99"/>
    <w:unhideWhenUsed/>
    <w:rsid w:val="00E32F72"/>
    <w:pPr>
      <w:spacing w:after="0" w:line="240" w:lineRule="auto"/>
    </w:pPr>
    <w:rPr>
      <w:rFonts w:eastAsia="MS Mincho"/>
      <w:kern w:val="0"/>
      <w:sz w:val="20"/>
      <w:szCs w:val="20"/>
    </w:rPr>
  </w:style>
  <w:style w:type="character" w:customStyle="1" w:styleId="UnresolvedMention">
    <w:name w:val="Unresolved Mention"/>
    <w:basedOn w:val="DefaultParagraphFont"/>
    <w:uiPriority w:val="99"/>
    <w:semiHidden/>
    <w:unhideWhenUsed/>
    <w:rsid w:val="00E32F72"/>
    <w:rPr>
      <w:color w:val="605E5C"/>
      <w:shd w:val="clear" w:color="auto" w:fill="E1DFDD"/>
    </w:rPr>
  </w:style>
  <w:style w:type="paragraph" w:styleId="PlainText">
    <w:name w:val="Plain Text"/>
    <w:basedOn w:val="Normal"/>
    <w:link w:val="PlainTextChar"/>
    <w:uiPriority w:val="99"/>
    <w:unhideWhenUsed/>
    <w:rsid w:val="00E32F72"/>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rsid w:val="00E32F72"/>
    <w:rPr>
      <w:rFonts w:ascii="Calibri" w:eastAsia="Times New Roman" w:hAnsi="Calibri"/>
      <w:szCs w:val="21"/>
      <w:lang w:val="ro-RO"/>
    </w:rPr>
  </w:style>
  <w:style w:type="character" w:styleId="FollowedHyperlink">
    <w:name w:val="FollowedHyperlink"/>
    <w:basedOn w:val="DefaultParagraphFont"/>
    <w:uiPriority w:val="99"/>
    <w:semiHidden/>
    <w:unhideWhenUsed/>
    <w:rsid w:val="00E32F72"/>
    <w:rPr>
      <w:color w:val="96607D" w:themeColor="followedHyperlink"/>
      <w:u w:val="single"/>
    </w:rPr>
  </w:style>
  <w:style w:type="character" w:styleId="CommentReference">
    <w:name w:val="annotation reference"/>
    <w:basedOn w:val="DefaultParagraphFont"/>
    <w:uiPriority w:val="99"/>
    <w:semiHidden/>
    <w:unhideWhenUsed/>
    <w:rsid w:val="00E32F72"/>
    <w:rPr>
      <w:sz w:val="16"/>
      <w:szCs w:val="16"/>
    </w:rPr>
  </w:style>
  <w:style w:type="paragraph" w:styleId="CommentText">
    <w:name w:val="annotation text"/>
    <w:basedOn w:val="Normal"/>
    <w:link w:val="CommentTextChar"/>
    <w:uiPriority w:val="99"/>
    <w:unhideWhenUsed/>
    <w:rsid w:val="00E32F72"/>
    <w:pPr>
      <w:spacing w:line="240" w:lineRule="auto"/>
    </w:pPr>
    <w:rPr>
      <w:sz w:val="20"/>
      <w:szCs w:val="20"/>
    </w:rPr>
  </w:style>
  <w:style w:type="character" w:customStyle="1" w:styleId="CommentTextChar">
    <w:name w:val="Comment Text Char"/>
    <w:basedOn w:val="DefaultParagraphFont"/>
    <w:link w:val="CommentText"/>
    <w:uiPriority w:val="99"/>
    <w:rsid w:val="00E32F72"/>
    <w:rPr>
      <w:sz w:val="20"/>
      <w:szCs w:val="20"/>
      <w:lang w:val="ro-RO"/>
    </w:rPr>
  </w:style>
  <w:style w:type="paragraph" w:styleId="CommentSubject">
    <w:name w:val="annotation subject"/>
    <w:basedOn w:val="CommentText"/>
    <w:next w:val="CommentText"/>
    <w:link w:val="CommentSubjectChar"/>
    <w:uiPriority w:val="99"/>
    <w:semiHidden/>
    <w:unhideWhenUsed/>
    <w:rsid w:val="00E32F72"/>
    <w:rPr>
      <w:b/>
      <w:bCs/>
    </w:rPr>
  </w:style>
  <w:style w:type="character" w:customStyle="1" w:styleId="CommentSubjectChar">
    <w:name w:val="Comment Subject Char"/>
    <w:basedOn w:val="CommentTextChar"/>
    <w:link w:val="CommentSubject"/>
    <w:uiPriority w:val="99"/>
    <w:semiHidden/>
    <w:rsid w:val="00E32F72"/>
    <w:rPr>
      <w:b/>
      <w:bCs/>
      <w:sz w:val="20"/>
      <w:szCs w:val="20"/>
      <w:lang w:val="ro-RO"/>
    </w:rPr>
  </w:style>
  <w:style w:type="paragraph" w:styleId="Revision">
    <w:name w:val="Revision"/>
    <w:hidden/>
    <w:uiPriority w:val="99"/>
    <w:semiHidden/>
    <w:rsid w:val="00E32F72"/>
    <w:pPr>
      <w:spacing w:after="0" w:line="240" w:lineRule="auto"/>
    </w:pPr>
  </w:style>
  <w:style w:type="character" w:customStyle="1" w:styleId="Mention">
    <w:name w:val="Mention"/>
    <w:basedOn w:val="DefaultParagraphFont"/>
    <w:uiPriority w:val="99"/>
    <w:unhideWhenUsed/>
    <w:rsid w:val="00E32F7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home-affairs.ec.europa.eu/document/download/1105a0ef-535c-44a7-a6d4-a8478fce1d29_en?filename=Recommendations%20of%20the%20HLG%20on%20Access%20to%20Data%20for%20Effective%20Law%20Enforcement_en.pdf" TargetMode="External"/><Relationship Id="rId18" Type="http://schemas.openxmlformats.org/officeDocument/2006/relationships/hyperlink" Target="https://www.elmundo.es/espana/2019/11/20/5dd56d1ffdddff901f8b45b6.html" TargetMode="External"/><Relationship Id="rId26" Type="http://schemas.openxmlformats.org/officeDocument/2006/relationships/hyperlink" Target="https://www.europol.europa.eu/media-press/newsroom/news/dismantling-of-encrypted-network-sends-shockwaves-through-organised-crime-groups-across-europe" TargetMode="External"/><Relationship Id="rId39" Type="http://schemas.openxmlformats.org/officeDocument/2006/relationships/hyperlink" Target="https://www.europol.europa.eu/operations-services-and-innovation/services-support/information-exchange/europol-platform-for-experts" TargetMode="External"/><Relationship Id="rId3" Type="http://schemas.openxmlformats.org/officeDocument/2006/relationships/hyperlink" Target="https://eur-lex.europa.eu/LexUriServ/LexUriServ.do?uri=SWD:2018:0119:FIN:RO:PDF" TargetMode="External"/><Relationship Id="rId21" Type="http://schemas.openxmlformats.org/officeDocument/2006/relationships/hyperlink" Target="https://www.eurojust.europa.eu/publication/effect-court-justice-european-union-case-law-national-data-retention-regimes-judicial-cooperation" TargetMode="External"/><Relationship Id="rId34" Type="http://schemas.openxmlformats.org/officeDocument/2006/relationships/hyperlink" Target="https://www.consilium.europa.eu/media/ny3j24sm/much-more-than-a-market-report-by-enrico-letta.pdf" TargetMode="External"/><Relationship Id="rId42" Type="http://schemas.openxmlformats.org/officeDocument/2006/relationships/hyperlink" Target="https://digital-strategy.ec.europa.eu/en/library/recommendation-coordinated-implementation-roadmap-transition-post-quantum-cryptography" TargetMode="External"/><Relationship Id="rId47" Type="http://schemas.openxmlformats.org/officeDocument/2006/relationships/hyperlink" Target="https://www.europol.europa.eu/media-press/newsroom/news/new-major-interventions-to-block-encrypted-communications-of-criminal-networks" TargetMode="External"/><Relationship Id="rId50" Type="http://schemas.openxmlformats.org/officeDocument/2006/relationships/hyperlink" Target="https://www.gendarmerie.interieur.gouv.fr/gendinfo/criminalite-organisee-et-enquetes/2020/retour-sur-l-affaire-encrochat" TargetMode="External"/><Relationship Id="rId7" Type="http://schemas.openxmlformats.org/officeDocument/2006/relationships/hyperlink" Target="https://www.eurojust.europa.eu/sites/default/files/Documents/pdf/joint_ep_ej_third_report_of_the_observatory_function_on_encryption_en.pdf" TargetMode="External"/><Relationship Id="rId12" Type="http://schemas.openxmlformats.org/officeDocument/2006/relationships/hyperlink" Target="https://www.europol.europa.eu/publications-events/publications/common-challenges-in-cybercrime" TargetMode="External"/><Relationship Id="rId17" Type="http://schemas.openxmlformats.org/officeDocument/2006/relationships/hyperlink" Target="https://www.elmundo.es/espana/2019/11/20/5dd56d1ffdddff901f8b45b6.html" TargetMode="External"/><Relationship Id="rId25" Type="http://schemas.openxmlformats.org/officeDocument/2006/relationships/hyperlink" Target="https://www.europol.europa.eu/operations-services-innovation/sirius-project" TargetMode="External"/><Relationship Id="rId33" Type="http://schemas.openxmlformats.org/officeDocument/2006/relationships/hyperlink" Target="file:///C://Users/gomezio/Downloads/White_Paper__Ho_to_master_Europes_digital_infrastructure_needs_CkoePennGJi1hpdkuARxMGuH5s_102533%20(1).pdf" TargetMode="External"/><Relationship Id="rId38" Type="http://schemas.openxmlformats.org/officeDocument/2006/relationships/hyperlink" Target="http://www.ecteg.eu" TargetMode="External"/><Relationship Id="rId46" Type="http://schemas.openxmlformats.org/officeDocument/2006/relationships/hyperlink" Target="https://www.europol.europa.eu/media-press/newsroom/news/new-major-interventions-to-block-encrypted-communications-of-criminal-networks" TargetMode="External"/><Relationship Id="rId2" Type="http://schemas.openxmlformats.org/officeDocument/2006/relationships/hyperlink" Target="https://www.europol.europa.eu/cms/sites/default/files/documents/EU-SOCTA-2025.pdf" TargetMode="External"/><Relationship Id="rId16" Type="http://schemas.openxmlformats.org/officeDocument/2006/relationships/hyperlink" Target="https://www.elmundo.es/espana/2019/11/20/5dd56d1ffdddff901f8b45b6.html" TargetMode="External"/><Relationship Id="rId20" Type="http://schemas.openxmlformats.org/officeDocument/2006/relationships/hyperlink" Target="https://www.eurojust.europa.eu/publication/effect-court-justice-european-union-case-law-national-data-retention-regimes-judicial-cooperation" TargetMode="External"/><Relationship Id="rId29" Type="http://schemas.openxmlformats.org/officeDocument/2006/relationships/hyperlink" Target="https://www.eurojust.europa.eu/judicial-cooperation/instruments/european-investigation-order" TargetMode="External"/><Relationship Id="rId41" Type="http://schemas.openxmlformats.org/officeDocument/2006/relationships/hyperlink" Target="https://www.europol.europa.eu/publications-events/events/europol-industry-and-research-days-2025" TargetMode="External"/><Relationship Id="rId1" Type="http://schemas.openxmlformats.org/officeDocument/2006/relationships/hyperlink" Target="https://eur-lex.europa.eu/legal-content/RO/TXT/?uri=CELEX%3A52025DC0148" TargetMode="External"/><Relationship Id="rId6" Type="http://schemas.openxmlformats.org/officeDocument/2006/relationships/hyperlink" Target="https://www.europol.europa.eu/media-press/newsroom/news/dismantling-encrypted-criminal-encrochat-communications-leads-to-over-6-500-arrests-and-close-to-eur-900-million-seized" TargetMode="External"/><Relationship Id="rId11" Type="http://schemas.openxmlformats.org/officeDocument/2006/relationships/hyperlink" Target="https://home-affairs.ec.europa.eu/document/download/4802e306-c364-4154-835b-e986a9a49281_en?filename=Concluding%20Report%20of%20the%20HLG%20on%20access%20to%20data%20for%20effective%20law%20enforcement_en.pdf" TargetMode="External"/><Relationship Id="rId24" Type="http://schemas.openxmlformats.org/officeDocument/2006/relationships/hyperlink" Target="https://www.europol.europa.eu/operations-services-innovation/sirius-project" TargetMode="External"/><Relationship Id="rId32" Type="http://schemas.openxmlformats.org/officeDocument/2006/relationships/hyperlink" Target="https://www.europol.europa.eu/cms/sites/default/files/documents/Internet%20Organised%20Crime%20Threat%20Assessment%20IOCTA%202024.pdf" TargetMode="External"/><Relationship Id="rId37" Type="http://schemas.openxmlformats.org/officeDocument/2006/relationships/hyperlink" Target="http://www.iprocurenet.eu/" TargetMode="External"/><Relationship Id="rId40" Type="http://schemas.openxmlformats.org/officeDocument/2006/relationships/hyperlink" Target="https://www.europol.europa.eu/publications-events/events/forensic-experts-forum-2024-conference" TargetMode="External"/><Relationship Id="rId45" Type="http://schemas.openxmlformats.org/officeDocument/2006/relationships/hyperlink" Target="https://www.europol.europa.eu/publication-events/main-reports/second-quantum-revolution-impact-of-quantum-computing-and-quantum-technologies-law-enforcement" TargetMode="External"/><Relationship Id="rId53" Type="http://schemas.openxmlformats.org/officeDocument/2006/relationships/hyperlink" Target="https://home-affairs.ec.europa.eu/document/download/1105a0ef-535c-44a7-a6d4-a8478fce1d29_en?filename=Recommendations%20of%20the%20HLG%20on%20Access%20to%20Data%20for%20Effective%20Law%20Enforcement_en.pdf" TargetMode="External"/><Relationship Id="rId5" Type="http://schemas.openxmlformats.org/officeDocument/2006/relationships/hyperlink" Target="https://www.europol.europa.eu/media-press/newsroom/news/dismantling-encrypted-criminal-encrochat-communications-leads-to-over-6-500-arrests-and-close-to-eur-900-million-seized" TargetMode="External"/><Relationship Id="rId15" Type="http://schemas.openxmlformats.org/officeDocument/2006/relationships/hyperlink" Target="https://data.consilium.europa.eu/doc/document/ST-16820-2024-INIT/ro/pdf" TargetMode="External"/><Relationship Id="rId23" Type="http://schemas.openxmlformats.org/officeDocument/2006/relationships/hyperlink" Target="https://op.europa.eu/en/publication-detail/-/publication/081c7f15-39d3-11eb-b27b-01aa75ed71a1" TargetMode="External"/><Relationship Id="rId28" Type="http://schemas.openxmlformats.org/officeDocument/2006/relationships/hyperlink" Target="https://www.gendarmerie.interieur.gouv.fr/gendinfo/criminalite-organisee-et-enquetes/2020/retour-sur-l-affaire-encrochat" TargetMode="External"/><Relationship Id="rId36" Type="http://schemas.openxmlformats.org/officeDocument/2006/relationships/hyperlink" Target="http://www.eactda.eu" TargetMode="External"/><Relationship Id="rId49" Type="http://schemas.openxmlformats.org/officeDocument/2006/relationships/hyperlink" Target="https://www.europol.europa.eu/publications-events/publications/common-challenges-in-cybercrime" TargetMode="External"/><Relationship Id="rId10" Type="http://schemas.openxmlformats.org/officeDocument/2006/relationships/hyperlink" Target="https://home-affairs.ec.europa.eu/networks/high-level-group-hlg-access-data-effective-law-enforcement_en" TargetMode="External"/><Relationship Id="rId19" Type="http://schemas.openxmlformats.org/officeDocument/2006/relationships/hyperlink" Target="https://eur-lex.europa.eu/eli/dir/2006/24/oj" TargetMode="External"/><Relationship Id="rId31" Type="http://schemas.openxmlformats.org/officeDocument/2006/relationships/hyperlink" Target="https://www.eurojust.europa.eu/judicial-cooperation/instruments/european-investigation-order" TargetMode="External"/><Relationship Id="rId44" Type="http://schemas.openxmlformats.org/officeDocument/2006/relationships/hyperlink" Target="https://www.europol.europa.eu/publication-events/main-reports/second-quantum-revolution-impact-of-quantum-computing-and-quantum-technologies-law-enforcement" TargetMode="External"/><Relationship Id="rId52" Type="http://schemas.openxmlformats.org/officeDocument/2006/relationships/hyperlink" Target="https://www.europol.europa.eu/media-press/newsroom/news/dismantling-encrypted-criminal-encrochat-communications-leads-to-over-6-500-arrests-and-close-to-eur-900-million-seized" TargetMode="External"/><Relationship Id="rId4" Type="http://schemas.openxmlformats.org/officeDocument/2006/relationships/hyperlink" Target="https://www.eurojust.europa.eu/sites/default/files/assets/sirius-eueesr-2023.pdf" TargetMode="External"/><Relationship Id="rId9" Type="http://schemas.openxmlformats.org/officeDocument/2006/relationships/hyperlink" Target="https://www.europol.europa.eu/media-press/newsroom/news/dismantling-of-encrypted-network-sends-shockwaves-through-organised-crime-groups-across-europe" TargetMode="External"/><Relationship Id="rId14" Type="http://schemas.openxmlformats.org/officeDocument/2006/relationships/hyperlink" Target="https://data.consilium.europa.eu/doc/document/ST-16448-2024-INIT/ro/pdf" TargetMode="External"/><Relationship Id="rId22" Type="http://schemas.openxmlformats.org/officeDocument/2006/relationships/hyperlink" Target="https://www.eurojust.europa.eu/publication/effect-court-justice-european-union-case-law-national-data-retention-regimes-judicial-cooperation" TargetMode="External"/><Relationship Id="rId27" Type="http://schemas.openxmlformats.org/officeDocument/2006/relationships/hyperlink" Target="https://www.europol.europa.eu/media-press/newsroom/news/dismantling-of-encrypted-network-sends-shockwaves-through-organised-crime-groups-across-europe" TargetMode="External"/><Relationship Id="rId30" Type="http://schemas.openxmlformats.org/officeDocument/2006/relationships/hyperlink" Target="https://www.eurojust.europa.eu/judicial-cooperation/instruments/european-investigation-order" TargetMode="External"/><Relationship Id="rId35"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43" Type="http://schemas.openxmlformats.org/officeDocument/2006/relationships/hyperlink" Target="https://www.europol.europa.eu/publication-events/main-reports/second-quantum-revolution-impact-of-quantum-computing-and-quantum-technologies-law-enforcement" TargetMode="External"/><Relationship Id="rId48" Type="http://schemas.openxmlformats.org/officeDocument/2006/relationships/hyperlink" Target="https://www.europol.europa.eu/cms/sites/default/files/documents/EU_Innovation_Hub_First%20Report%20on%20Encryption.pdf" TargetMode="External"/><Relationship Id="rId8" Type="http://schemas.openxmlformats.org/officeDocument/2006/relationships/hyperlink" Target="https://www.europol.europa.eu/media-press/newsroom/news/dismantling-of-encrypted-network-sends-shockwaves-through-organised-crime-groups-across-europe" TargetMode="External"/><Relationship Id="rId51" Type="http://schemas.openxmlformats.org/officeDocument/2006/relationships/hyperlink" Target="https://www.europol.europa.eu/media-press/newsroom/news/dismantling-encrypted-criminal-encrochat-communications-leads-to-over-6-500-arrests-and-close-to-eur-900-million-seiz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7F977-443A-43FE-9619-FA06C393B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14</Pages>
  <Words>6741</Words>
  <Characters>38425</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2025-06-24T08:13:00Z</dcterms:created>
  <dcterms:modified xsi:type="dcterms:W3CDTF">2025-09-01T14:13:00Z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9.1, Build 20240808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2025-06-23T15:40:34Z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0aa7c3cd-3cf1-412a-ba39-8fd15376b7a7</vt:lpwstr>
  </property>
  <property fmtid="{D5CDD505-2E9C-101B-9397-08002B2CF9AE}" pid="15" name="MSIP_Label_6bd9ddd1-4d20-43f6-abfa-fc3c07406f94_ContentBits">
    <vt:lpwstr>0</vt:lpwstr>
  </property>
</Properties>
</file>