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8517CC" w14:textId="1D076DF9" w:rsidR="008827EC" w:rsidRPr="00352176" w:rsidRDefault="003627E8" w:rsidP="003627E8">
      <w:pPr>
        <w:pStyle w:val="Pagedecouverture"/>
        <w:rPr>
          <w:noProof/>
        </w:rPr>
      </w:pPr>
      <w:bookmarkStart w:id="0" w:name="LW_BM_COVERPAGE"/>
      <w:r>
        <w:rPr>
          <w:noProof/>
        </w:rPr>
        <w:pict w14:anchorId="3381C7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9B3D827-E685-4493-A4A7-3F8DEF0BE4F7" style="width:455.15pt;height:324.8pt">
            <v:imagedata r:id="rId11" o:title=""/>
          </v:shape>
        </w:pict>
      </w:r>
    </w:p>
    <w:bookmarkEnd w:id="0"/>
    <w:p w14:paraId="0C8DC685" w14:textId="77777777" w:rsidR="000415EE" w:rsidRPr="00352176" w:rsidRDefault="000415EE" w:rsidP="00BE0EE2">
      <w:pPr>
        <w:spacing w:line="276" w:lineRule="auto"/>
        <w:rPr>
          <w:noProof/>
        </w:rPr>
        <w:sectPr w:rsidR="000415EE" w:rsidRPr="00352176" w:rsidSect="003627E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6E08E4C" w14:textId="77777777" w:rsidR="00CE7F15" w:rsidRPr="00352176" w:rsidRDefault="00CE7F15" w:rsidP="00BE0EE2">
      <w:pPr>
        <w:pStyle w:val="Heading2"/>
        <w:numPr>
          <w:ilvl w:val="0"/>
          <w:numId w:val="19"/>
        </w:numPr>
        <w:spacing w:after="240" w:line="276" w:lineRule="auto"/>
        <w:ind w:left="425" w:hanging="357"/>
        <w:rPr>
          <w:rFonts w:ascii="Times New Roman" w:eastAsia="Arial Unicode MS" w:hAnsi="Times New Roman" w:cs="Arial Unicode MS"/>
          <w:b/>
          <w:smallCaps/>
          <w:noProof/>
          <w:color w:val="000000"/>
          <w:kern w:val="0"/>
          <w:bdr w:val="nil"/>
          <w14:ligatures w14:val="none"/>
        </w:rPr>
      </w:pPr>
      <w:bookmarkStart w:id="1" w:name="_GoBack"/>
      <w:bookmarkEnd w:id="1"/>
      <w:r>
        <w:rPr>
          <w:rFonts w:ascii="Times New Roman" w:hAnsi="Times New Roman"/>
          <w:b/>
          <w:smallCaps/>
          <w:noProof/>
          <w:color w:val="000000"/>
          <w:bdr w:val="nil"/>
        </w:rPr>
        <w:lastRenderedPageBreak/>
        <w:t>Introduction</w:t>
      </w:r>
    </w:p>
    <w:p w14:paraId="203DF179" w14:textId="0438385B" w:rsidR="00846E5F" w:rsidRPr="00352176" w:rsidRDefault="00383FD5" w:rsidP="00BE0EE2">
      <w:pPr>
        <w:spacing w:after="0" w:line="276" w:lineRule="auto"/>
        <w:jc w:val="both"/>
        <w:rPr>
          <w:rFonts w:ascii="Times New Roman" w:hAnsi="Times New Roman" w:cs="Times New Roman"/>
          <w:noProof/>
          <w:sz w:val="24"/>
          <w:szCs w:val="24"/>
        </w:rPr>
      </w:pPr>
      <w:r>
        <w:rPr>
          <w:rFonts w:ascii="Times New Roman" w:hAnsi="Times New Roman"/>
          <w:noProof/>
          <w:sz w:val="24"/>
        </w:rPr>
        <w:t>En réponse à l’agression menée par la Russie contre l’Ukraine en février 2022 et conformément à la déclaration de Versailles des chefs d’État ou de gouvernement, la Commission a lancé le plan REPowerEU</w:t>
      </w:r>
      <w:r>
        <w:rPr>
          <w:rFonts w:ascii="Times New Roman" w:hAnsi="Times New Roman" w:cs="Times New Roman"/>
          <w:noProof/>
          <w:sz w:val="24"/>
          <w:szCs w:val="24"/>
          <w:vertAlign w:val="superscript"/>
        </w:rPr>
        <w:footnoteReference w:id="2"/>
      </w:r>
      <w:r>
        <w:rPr>
          <w:rFonts w:ascii="Times New Roman" w:hAnsi="Times New Roman"/>
          <w:noProof/>
          <w:sz w:val="24"/>
        </w:rPr>
        <w:t xml:space="preserve"> en mai 2022. Ce plan appelait à mettre fin à la dépendance de l’Europe à l’égard de l’énergie russe en améliorant l’efficacité énergétique, en accélérant le déploiement des énergies renouvelables et en diversifiant les approvisionnements. Depuis lors, le déploiement d’efforts supplémentaires dans le domaine des énergies renouvelables et la réalisation d’économies d’énergie ont permis de réduire les importations de gaz de plus de 60 milliards de m³ par an entre 2022 et 2024</w:t>
      </w:r>
      <w:r>
        <w:rPr>
          <w:rStyle w:val="FootnoteReference"/>
          <w:rFonts w:ascii="Times New Roman" w:hAnsi="Times New Roman" w:cs="Times New Roman"/>
          <w:noProof/>
          <w:sz w:val="24"/>
          <w:szCs w:val="24"/>
        </w:rPr>
        <w:footnoteReference w:id="3"/>
      </w:r>
      <w:r>
        <w:rPr>
          <w:rFonts w:ascii="Times New Roman" w:hAnsi="Times New Roman"/>
          <w:noProof/>
          <w:sz w:val="24"/>
        </w:rPr>
        <w:t>, ce qui contribue à l’abandon progressif du gaz russe.</w:t>
      </w:r>
    </w:p>
    <w:p w14:paraId="1463A09D" w14:textId="77777777" w:rsidR="00796352" w:rsidRPr="00324FED" w:rsidRDefault="00796352" w:rsidP="00BE0EE2">
      <w:pPr>
        <w:spacing w:after="0" w:line="276" w:lineRule="auto"/>
        <w:jc w:val="both"/>
        <w:rPr>
          <w:rFonts w:ascii="Times New Roman" w:hAnsi="Times New Roman" w:cs="Times New Roman"/>
          <w:noProof/>
          <w:sz w:val="24"/>
          <w:szCs w:val="24"/>
          <w:lang w:val="fr-BE"/>
        </w:rPr>
      </w:pPr>
    </w:p>
    <w:p w14:paraId="5C3C1D35" w14:textId="48E23E9A" w:rsidR="00B005CD" w:rsidRPr="00352176" w:rsidRDefault="00F61306" w:rsidP="00BE0EE2">
      <w:pPr>
        <w:spacing w:after="0" w:line="276" w:lineRule="auto"/>
        <w:jc w:val="both"/>
        <w:rPr>
          <w:rFonts w:ascii="Times New Roman" w:hAnsi="Times New Roman" w:cs="Times New Roman"/>
          <w:noProof/>
          <w:sz w:val="24"/>
          <w:szCs w:val="24"/>
        </w:rPr>
      </w:pPr>
      <w:r>
        <w:rPr>
          <w:rFonts w:ascii="Times New Roman" w:hAnsi="Times New Roman"/>
          <w:noProof/>
          <w:sz w:val="24"/>
        </w:rPr>
        <w:t>Malgré ces efforts, l’UE a encore importé 52 milliards de m³ de gaz russe en 2024, [32 milliards de m³ par gazoduc et 20 milliards de m³ sous forme de gaz naturel liquéfié (GNL), ce qui correspond à environ 19 % des importations totales de gaz de l’Union], ainsi que 13 millions de tonnes de pétrole brut et plus de 2 800 tonnes d’uranium</w:t>
      </w:r>
      <w:r>
        <w:rPr>
          <w:rStyle w:val="FootnoteReference"/>
          <w:rFonts w:ascii="Times New Roman" w:hAnsi="Times New Roman" w:cs="Times New Roman"/>
          <w:noProof/>
          <w:sz w:val="24"/>
          <w:szCs w:val="24"/>
          <w:lang w:val="en-GB"/>
        </w:rPr>
        <w:footnoteReference w:id="4"/>
      </w:r>
      <w:r>
        <w:rPr>
          <w:rFonts w:ascii="Times New Roman" w:hAnsi="Times New Roman"/>
          <w:noProof/>
          <w:sz w:val="24"/>
        </w:rPr>
        <w:t xml:space="preserve"> sous forme enrichie ou sous forme de combustible. Dix États membres ont importé du gaz russe en 2024, trois États membres</w:t>
      </w:r>
      <w:r>
        <w:rPr>
          <w:rStyle w:val="FootnoteReference"/>
          <w:rFonts w:ascii="Times New Roman" w:hAnsi="Times New Roman" w:cs="Times New Roman"/>
          <w:noProof/>
          <w:sz w:val="24"/>
          <w:szCs w:val="24"/>
          <w:lang w:val="en-GB"/>
        </w:rPr>
        <w:footnoteReference w:id="5"/>
      </w:r>
      <w:r>
        <w:rPr>
          <w:rFonts w:ascii="Times New Roman" w:hAnsi="Times New Roman"/>
          <w:noProof/>
          <w:sz w:val="24"/>
        </w:rPr>
        <w:t xml:space="preserve"> ont continué à importer du pétrole russe et sept États membres ont importé de l’uranium enrichi d’origine russe ou recouru à des services d’enrichissement de l’uranium fournis en Russie.</w:t>
      </w:r>
    </w:p>
    <w:p w14:paraId="0C2061BE" w14:textId="77777777" w:rsidR="00B005CD" w:rsidRPr="00324FED" w:rsidRDefault="00B005CD" w:rsidP="00BE0EE2">
      <w:pPr>
        <w:spacing w:after="0" w:line="276" w:lineRule="auto"/>
        <w:jc w:val="both"/>
        <w:rPr>
          <w:rFonts w:ascii="Times New Roman" w:hAnsi="Times New Roman" w:cs="Times New Roman"/>
          <w:noProof/>
          <w:sz w:val="24"/>
          <w:szCs w:val="24"/>
          <w:lang w:val="fr-BE"/>
        </w:rPr>
      </w:pPr>
    </w:p>
    <w:p w14:paraId="27D47659" w14:textId="7DDC7BA3" w:rsidR="00133283" w:rsidRPr="00352176" w:rsidRDefault="009045BA" w:rsidP="00BE0EE2">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La dépendance à l’égard des importations d’énergie russe entraîne des risques graves pour la sécurité et l’économie de l’Union et de ses États membres, étant donné que la Russie n’a cessé d’utiliser l’approvisionnement énergétique existant comme arme pour menacer la stabilité et la prospérité de l’Union. </w:t>
      </w:r>
    </w:p>
    <w:p w14:paraId="45DA2B41" w14:textId="77777777" w:rsidR="00133283" w:rsidRPr="00324FED" w:rsidRDefault="00133283" w:rsidP="00BE0EE2">
      <w:pPr>
        <w:spacing w:after="0" w:line="276" w:lineRule="auto"/>
        <w:jc w:val="both"/>
        <w:rPr>
          <w:rFonts w:ascii="Times New Roman" w:hAnsi="Times New Roman" w:cs="Times New Roman"/>
          <w:noProof/>
          <w:sz w:val="24"/>
          <w:szCs w:val="24"/>
          <w:lang w:val="fr-BE"/>
        </w:rPr>
      </w:pPr>
    </w:p>
    <w:p w14:paraId="47EBB50F" w14:textId="0E10D246" w:rsidR="00D9449A" w:rsidRPr="00352176" w:rsidRDefault="001F730D" w:rsidP="00D9449A">
      <w:pPr>
        <w:spacing w:after="0" w:line="276" w:lineRule="auto"/>
        <w:jc w:val="both"/>
        <w:rPr>
          <w:rFonts w:ascii="Times New Roman" w:hAnsi="Times New Roman" w:cs="Times New Roman"/>
          <w:noProof/>
          <w:sz w:val="24"/>
          <w:szCs w:val="24"/>
        </w:rPr>
      </w:pPr>
      <w:r>
        <w:rPr>
          <w:rFonts w:ascii="Times New Roman" w:hAnsi="Times New Roman"/>
          <w:noProof/>
          <w:sz w:val="24"/>
        </w:rPr>
        <w:t>La présente feuille de route expose la stratégie de l’UE visant à supprimer progressivement les importations d’énergie restantes en provenance de Russie. Elle définit également une vision commune de l’Europe qui collabore de manière solidaire afin de garantir des approvisionnements énergétiques de substitution et abordables pour tous les États membres, tout en engageant une action commune pour réduire les recettes russes, qui alimentent sa machine de guerre et mettent en péril la stabilité du continent</w:t>
      </w:r>
      <w:r>
        <w:rPr>
          <w:rStyle w:val="FootnoteReference"/>
          <w:rFonts w:ascii="Times New Roman" w:hAnsi="Times New Roman" w:cs="Times New Roman"/>
          <w:noProof/>
          <w:sz w:val="24"/>
          <w:szCs w:val="24"/>
        </w:rPr>
        <w:footnoteReference w:id="6"/>
      </w:r>
      <w:r>
        <w:rPr>
          <w:rFonts w:ascii="Times New Roman" w:hAnsi="Times New Roman"/>
          <w:noProof/>
          <w:sz w:val="24"/>
        </w:rPr>
        <w:t xml:space="preserve">. La réduction de la dépendance à l’égard des combustibles fossiles renforcera encore la sécurité et la souveraineté énergétiques de l’UE, conformément à l’objectif de neutralité climatique de l’Union. </w:t>
      </w:r>
    </w:p>
    <w:p w14:paraId="04DAA2F0" w14:textId="0B64201E" w:rsidR="00A81EFA" w:rsidRPr="00352176" w:rsidRDefault="00A81EFA" w:rsidP="00D9449A">
      <w:pPr>
        <w:spacing w:after="0" w:line="276" w:lineRule="auto"/>
        <w:jc w:val="both"/>
        <w:rPr>
          <w:rFonts w:ascii="Times New Roman" w:hAnsi="Times New Roman" w:cs="Times New Roman"/>
          <w:noProof/>
          <w:sz w:val="24"/>
          <w:szCs w:val="24"/>
        </w:rPr>
      </w:pPr>
    </w:p>
    <w:p w14:paraId="4F976A58" w14:textId="68237EAA" w:rsidR="00AB636B" w:rsidRPr="00352176" w:rsidRDefault="00CA26B5" w:rsidP="00BE0EE2">
      <w:pPr>
        <w:spacing w:after="0" w:line="276" w:lineRule="auto"/>
        <w:jc w:val="both"/>
        <w:rPr>
          <w:rFonts w:ascii="Times New Roman" w:hAnsi="Times New Roman" w:cs="Times New Roman"/>
          <w:noProof/>
          <w:sz w:val="24"/>
          <w:szCs w:val="24"/>
        </w:rPr>
      </w:pPr>
      <w:r>
        <w:rPr>
          <w:rFonts w:ascii="Times New Roman" w:hAnsi="Times New Roman"/>
          <w:noProof/>
          <w:sz w:val="24"/>
        </w:rPr>
        <w:t>La présente feuille de route s’inscrit dans notre stratégie visant à stimuler la compétitivité et la résilience de l’UE et à accélérer la transition vers une énergie propre. Avec l’adoption de la boussole pour la compétitivité le 29 janvier 2025, la Commission a défini une trajectoire globale et ambitieuse pour permettre à l’Europe de regagner son avance industrielle. Le pacte pour une industrie propre, le plan d’action pour une énergie abordable et la stratégie pour une union de la préparation renforcent encore cet engagement. Ces initiatives reconnaissent l’incidence négative des importations d’énergie russe sur la sécurité économique et la compétitivité de l’Europe.</w:t>
      </w:r>
    </w:p>
    <w:p w14:paraId="52559B4F" w14:textId="77777777" w:rsidR="00D9449A" w:rsidRPr="00324FED" w:rsidRDefault="00D9449A" w:rsidP="00210B4E">
      <w:pPr>
        <w:spacing w:after="0" w:line="276" w:lineRule="auto"/>
        <w:jc w:val="both"/>
        <w:rPr>
          <w:rFonts w:ascii="Times New Roman" w:hAnsi="Times New Roman" w:cs="Times New Roman"/>
          <w:noProof/>
          <w:sz w:val="24"/>
          <w:szCs w:val="24"/>
          <w:lang w:val="fr-BE"/>
        </w:rPr>
      </w:pPr>
    </w:p>
    <w:p w14:paraId="39D5C024" w14:textId="42613B1D" w:rsidR="005528B6" w:rsidRPr="00352176" w:rsidRDefault="006B1850" w:rsidP="00BE0EE2">
      <w:pPr>
        <w:spacing w:after="0" w:line="276" w:lineRule="auto"/>
        <w:jc w:val="both"/>
        <w:rPr>
          <w:rFonts w:ascii="Times New Roman" w:hAnsi="Times New Roman" w:cs="Times New Roman"/>
          <w:noProof/>
          <w:sz w:val="24"/>
          <w:szCs w:val="24"/>
        </w:rPr>
      </w:pPr>
      <w:r>
        <w:rPr>
          <w:rFonts w:ascii="Times New Roman" w:hAnsi="Times New Roman"/>
          <w:noProof/>
          <w:sz w:val="24"/>
        </w:rPr>
        <w:t>Conjugué au déploiement accéléré des énergies renouvelables</w:t>
      </w:r>
      <w:r>
        <w:rPr>
          <w:rStyle w:val="FootnoteReference"/>
          <w:rFonts w:ascii="Times New Roman" w:hAnsi="Times New Roman" w:cs="Times New Roman"/>
          <w:noProof/>
          <w:sz w:val="24"/>
          <w:szCs w:val="24"/>
        </w:rPr>
        <w:footnoteReference w:id="7"/>
      </w:r>
      <w:r>
        <w:rPr>
          <w:rFonts w:ascii="Times New Roman" w:hAnsi="Times New Roman"/>
          <w:noProof/>
          <w:sz w:val="24"/>
        </w:rPr>
        <w:t>, y compris les gaz renouvelables, ainsi qu’à une électrification et une efficacité énergétique accrues et à davantage de sources d’approvisionnement de substitution, l’abandon progressif des combustibles russes contribuera à la réalisation des objectifs du pacte pour une industrie propre et du plan d’action pour une énergie abordable. La présente feuille de route est sans préjudice d’éventuelles futures sanctions de l’UE.</w:t>
      </w:r>
    </w:p>
    <w:p w14:paraId="57B9AAA5" w14:textId="77777777" w:rsidR="003E3C30" w:rsidRPr="00352176" w:rsidRDefault="003E3C30" w:rsidP="00BE0EE2">
      <w:pPr>
        <w:spacing w:after="0" w:line="276" w:lineRule="auto"/>
        <w:jc w:val="both"/>
        <w:rPr>
          <w:rFonts w:ascii="Times New Roman" w:hAnsi="Times New Roman" w:cs="Times New Roman"/>
          <w:noProof/>
          <w:sz w:val="24"/>
          <w:szCs w:val="24"/>
        </w:rPr>
      </w:pPr>
    </w:p>
    <w:p w14:paraId="7B9EE05A" w14:textId="78EF8D04" w:rsidR="00F20C24" w:rsidRPr="00352176" w:rsidRDefault="00F20C24" w:rsidP="00BE0EE2">
      <w:pPr>
        <w:pStyle w:val="Heading3"/>
        <w:spacing w:line="276" w:lineRule="auto"/>
        <w:rPr>
          <w:rFonts w:ascii="Times New Roman" w:hAnsi="Times New Roman" w:cs="Times New Roman"/>
          <w:b/>
          <w:bCs/>
          <w:noProof/>
          <w:sz w:val="24"/>
          <w:szCs w:val="24"/>
        </w:rPr>
      </w:pPr>
      <w:r>
        <w:rPr>
          <w:rFonts w:ascii="Times New Roman" w:hAnsi="Times New Roman"/>
          <w:b/>
          <w:noProof/>
          <w:color w:val="auto"/>
          <w:sz w:val="24"/>
        </w:rPr>
        <w:t>Actions entreprises pour réduire la dépendance à l’égard de l’énergie russe</w:t>
      </w:r>
    </w:p>
    <w:p w14:paraId="5EC52B2A" w14:textId="77777777" w:rsidR="003E3C30" w:rsidRPr="00352176" w:rsidRDefault="003E3C30" w:rsidP="00BE0EE2">
      <w:pPr>
        <w:spacing w:after="0" w:line="276" w:lineRule="auto"/>
        <w:contextualSpacing/>
        <w:jc w:val="both"/>
        <w:rPr>
          <w:rFonts w:ascii="Times New Roman" w:hAnsi="Times New Roman" w:cs="Times New Roman"/>
          <w:noProof/>
          <w:sz w:val="24"/>
          <w:szCs w:val="24"/>
        </w:rPr>
      </w:pPr>
    </w:p>
    <w:p w14:paraId="2016A524" w14:textId="087B24F0" w:rsidR="00F74BD1" w:rsidRDefault="00CE7F15" w:rsidP="00BE0EE2">
      <w:pPr>
        <w:spacing w:after="0" w:line="276" w:lineRule="auto"/>
        <w:jc w:val="both"/>
        <w:rPr>
          <w:rFonts w:ascii="Times New Roman" w:hAnsi="Times New Roman" w:cs="Times New Roman"/>
          <w:noProof/>
          <w:sz w:val="24"/>
          <w:szCs w:val="24"/>
        </w:rPr>
      </w:pPr>
      <w:r>
        <w:rPr>
          <w:rFonts w:ascii="Times New Roman" w:hAnsi="Times New Roman"/>
          <w:noProof/>
          <w:sz w:val="24"/>
        </w:rPr>
        <w:t>L’UE a déjà considérablement réduit ses dépendances et ses importations d’énergie en provenance de Russie, grâce à seize trains de sanctions</w:t>
      </w:r>
      <w:r>
        <w:rPr>
          <w:rStyle w:val="FootnoteReference"/>
          <w:rFonts w:ascii="Times New Roman" w:hAnsi="Times New Roman" w:cs="Times New Roman"/>
          <w:noProof/>
          <w:sz w:val="24"/>
          <w:szCs w:val="24"/>
        </w:rPr>
        <w:footnoteReference w:id="8"/>
      </w:r>
      <w:r>
        <w:rPr>
          <w:rFonts w:ascii="Times New Roman" w:hAnsi="Times New Roman"/>
          <w:noProof/>
          <w:sz w:val="24"/>
        </w:rPr>
        <w:t>. Les sanctions ont effectivement interdit les importations de charbon et de pétrole russes vers l’UE et le rechargement dans les ports de l’UE de GNL en provenance de Russie. Il convient d’accorder une attention particulière à la question du contournement des sanctions de l’UE en matière de pétrole par l’utilisation de «flottes fantômes».</w:t>
      </w:r>
    </w:p>
    <w:p w14:paraId="633D4639" w14:textId="77777777" w:rsidR="00D81658" w:rsidRPr="00352176" w:rsidRDefault="00D81658" w:rsidP="00BE0EE2">
      <w:pPr>
        <w:spacing w:after="0" w:line="276" w:lineRule="auto"/>
        <w:contextualSpacing/>
        <w:jc w:val="both"/>
        <w:rPr>
          <w:rFonts w:ascii="Times New Roman" w:hAnsi="Times New Roman" w:cs="Times New Roman"/>
          <w:noProof/>
          <w:sz w:val="24"/>
          <w:szCs w:val="24"/>
        </w:rPr>
      </w:pPr>
    </w:p>
    <w:p w14:paraId="520DB859" w14:textId="30655DEE" w:rsidR="003E3C30" w:rsidRPr="00352176" w:rsidRDefault="00390833" w:rsidP="00BE0EE2">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La mise en œuvre du plan REPowerEU a également contribué de manière significative à la réduction de la demande de gaz</w:t>
      </w:r>
      <w:r>
        <w:rPr>
          <w:rStyle w:val="FootnoteReference"/>
          <w:rFonts w:ascii="Times New Roman" w:hAnsi="Times New Roman" w:cs="Times New Roman"/>
          <w:noProof/>
          <w:sz w:val="24"/>
          <w:szCs w:val="24"/>
          <w:lang w:val="en-US"/>
        </w:rPr>
        <w:footnoteReference w:id="9"/>
      </w:r>
      <w:r>
        <w:rPr>
          <w:rFonts w:ascii="Times New Roman" w:hAnsi="Times New Roman"/>
          <w:noProof/>
          <w:sz w:val="24"/>
        </w:rPr>
        <w:t xml:space="preserve">. </w:t>
      </w:r>
      <w:bookmarkStart w:id="2" w:name="_Hlk191419301"/>
      <w:r>
        <w:rPr>
          <w:rFonts w:ascii="Times New Roman" w:hAnsi="Times New Roman"/>
          <w:noProof/>
          <w:sz w:val="24"/>
        </w:rPr>
        <w:t>La mise en œuvre intégrale de la transition énergétique et le récent plan d’action pour une énergie abordable devraient permettre de remplacer jusqu’à 100 milliards de m³ de gaz naturel d’ici à 2030. Cela correspond à une économie pour l’UE de plus de 15 milliards de m³ de gaz par an, ou à une nouvelle réduction de la demande de gaz de 40 à 50 milliards de m³ d’ici à 2027</w:t>
      </w:r>
      <w:r>
        <w:rPr>
          <w:rStyle w:val="FootnoteReference"/>
          <w:rFonts w:ascii="Times New Roman" w:hAnsi="Times New Roman" w:cs="Times New Roman"/>
          <w:noProof/>
          <w:sz w:val="24"/>
          <w:szCs w:val="24"/>
        </w:rPr>
        <w:footnoteReference w:id="10"/>
      </w:r>
      <w:r>
        <w:rPr>
          <w:rFonts w:ascii="Times New Roman" w:hAnsi="Times New Roman"/>
          <w:noProof/>
          <w:sz w:val="24"/>
        </w:rPr>
        <w:t>, ce qui</w:t>
      </w:r>
      <w:bookmarkEnd w:id="2"/>
      <w:r>
        <w:rPr>
          <w:rFonts w:ascii="Times New Roman" w:hAnsi="Times New Roman"/>
          <w:noProof/>
          <w:sz w:val="24"/>
        </w:rPr>
        <w:t xml:space="preserve"> facilitera également la suppression progressive des importations de gaz russe.</w:t>
      </w:r>
    </w:p>
    <w:p w14:paraId="4CCC4E0D" w14:textId="77777777" w:rsidR="003E3C30" w:rsidRPr="00352176" w:rsidRDefault="003E3C30" w:rsidP="00BE0EE2">
      <w:pPr>
        <w:spacing w:after="0" w:line="276" w:lineRule="auto"/>
        <w:contextualSpacing/>
        <w:jc w:val="both"/>
        <w:rPr>
          <w:rFonts w:ascii="Times New Roman" w:hAnsi="Times New Roman" w:cs="Times New Roman"/>
          <w:noProof/>
          <w:sz w:val="24"/>
          <w:szCs w:val="24"/>
        </w:rPr>
      </w:pPr>
    </w:p>
    <w:p w14:paraId="02ED44B1" w14:textId="239D4981" w:rsidR="00814F8B" w:rsidRPr="00352176" w:rsidRDefault="00A51B2B" w:rsidP="00BE0EE2">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À la suite de l’action coordonnée entre la Commission et les États membres et du renforcement de la diplomatie énergétique de l’UE vis-à-vis des partenaires internationaux, les importations de gaz (sous forme de GNL et par gazoduc) en provenance de Russie ont diminué, passant de 45 % en 2021 à 19 % en 2024. Ces importations ont été remplacées par des approvisionnements provenant de sources plus fiables, à savoir de l’énergie issue de la production intérieure, la baisse de ces importations ayant également été possible grâce à une réduction de la consommation. Selon les projections, ces importations baisseraient encore jusqu’à 13 % en 2025, en raison de la fin du transit ukrainien. La part des importations de pétrole russe a aussi diminué, passant de 27 % début 2022 à 3 % aujourd’hui. Malgré des progrès significatifs, les approvisionnements russes en gaz, en pétrole et en nucléaire continuent de faire partie du bouquet énergétique de l’UE, ce qui fait peser des risques sur notre sécurité économique et qui permet de soutenir financièrement l’économie de guerre de la Russie.</w:t>
      </w:r>
    </w:p>
    <w:p w14:paraId="7DF1FE2E" w14:textId="77777777" w:rsidR="00814F8B" w:rsidRPr="00352176" w:rsidRDefault="00814F8B" w:rsidP="00BE0EE2">
      <w:pPr>
        <w:spacing w:after="0" w:line="276" w:lineRule="auto"/>
        <w:contextualSpacing/>
        <w:jc w:val="both"/>
        <w:rPr>
          <w:rFonts w:ascii="Times New Roman" w:hAnsi="Times New Roman"/>
          <w:noProof/>
          <w:sz w:val="24"/>
        </w:rPr>
      </w:pPr>
    </w:p>
    <w:p w14:paraId="6EF79817" w14:textId="068C4EC0" w:rsidR="00814F8B" w:rsidRPr="00352176" w:rsidRDefault="00814F8B" w:rsidP="00BE0EE2">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 xml:space="preserve">S’appuyant sur la récente synchronisation des États baltes avec le système électrique européen et la fin de l’accord ukrainien sur le transit de gaz, la présente feuille de route vise à renforcer encore l’indépendance de l’UE à l’égard de l’énergie russe en supprimant progressivement les importations de gaz, d’énergie nucléaire et de pétrole afin de réduire les risques d’instrumentalisation de l’approvisionnement énergétique et d’éviter que des recettes originaires de l’UE n’alimentent le budget russe. </w:t>
      </w:r>
    </w:p>
    <w:p w14:paraId="56EE9F22" w14:textId="2B929009" w:rsidR="00CE7F15" w:rsidRPr="00352176" w:rsidRDefault="00CE7F15" w:rsidP="00BE0EE2">
      <w:pPr>
        <w:spacing w:after="0" w:line="276" w:lineRule="auto"/>
        <w:contextualSpacing/>
        <w:jc w:val="both"/>
        <w:rPr>
          <w:rFonts w:ascii="Times New Roman" w:hAnsi="Times New Roman" w:cs="Times New Roman"/>
          <w:noProof/>
          <w:sz w:val="24"/>
          <w:szCs w:val="24"/>
        </w:rPr>
      </w:pPr>
    </w:p>
    <w:p w14:paraId="11A9F573" w14:textId="4B093C53" w:rsidR="00283542" w:rsidRPr="00352176" w:rsidRDefault="00814F8B" w:rsidP="00BE0EE2">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La Commission et les États membres ont collaboré étroitement pour faire en sorte que la sécurité de l’approvisionnement ne soit pas affectée par la fin du transit de gaz russe par l’Ukraine en décembre 2024</w:t>
      </w:r>
      <w:r>
        <w:rPr>
          <w:rStyle w:val="FootnoteReference"/>
          <w:rFonts w:ascii="Times New Roman" w:hAnsi="Times New Roman" w:cs="Times New Roman"/>
          <w:noProof/>
          <w:sz w:val="24"/>
          <w:szCs w:val="24"/>
        </w:rPr>
        <w:footnoteReference w:id="11"/>
      </w:r>
      <w:r>
        <w:rPr>
          <w:rFonts w:ascii="Times New Roman" w:hAnsi="Times New Roman"/>
          <w:noProof/>
          <w:sz w:val="24"/>
        </w:rPr>
        <w:t xml:space="preserve">. Bien que les retombées aient été différentes selon les régions, la sécurité globale de l’approvisionnement et les prix n’ont pas été affectés de manière significative à l’échelle de l’UE. Cela montre que des actions préparatoires coordonnées à l’échelle de l’UE, des efforts de diversification et une approche graduelle de la suppression progressive des importations russes sont essentiels pour préserver la stabilité des prix, la prévisibilité du marché et la sécurité de l’approvisionnement dans l’UE. </w:t>
      </w:r>
    </w:p>
    <w:p w14:paraId="20C8C1CE" w14:textId="77777777" w:rsidR="00283542" w:rsidRPr="00352176" w:rsidRDefault="00283542" w:rsidP="00BE0EE2">
      <w:pPr>
        <w:spacing w:after="0" w:line="276" w:lineRule="auto"/>
        <w:contextualSpacing/>
        <w:jc w:val="both"/>
        <w:rPr>
          <w:rFonts w:ascii="Times New Roman" w:hAnsi="Times New Roman" w:cs="Times New Roman"/>
          <w:noProof/>
          <w:sz w:val="24"/>
          <w:szCs w:val="24"/>
        </w:rPr>
      </w:pPr>
    </w:p>
    <w:p w14:paraId="4D6D89AC" w14:textId="0CF03416" w:rsidR="00814F8B" w:rsidRPr="00352176" w:rsidRDefault="001B412B" w:rsidP="00BE0EE2">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Les actions définies dans la présente feuille de route devraient être mises en œuvre au niveau de l’UE et de manière coordonnée, afin de réduire au minimum l’incidence sur les prix de l’énergie, de stabiliser les marchés de l’énergie grâce à des approvisionnements de substitution sûrs et prévisibles et de s’efforcer d’assurer la sécurité juridique.</w:t>
      </w:r>
    </w:p>
    <w:p w14:paraId="4701C976" w14:textId="77777777" w:rsidR="003E3C30" w:rsidRPr="00352176" w:rsidRDefault="003E3C30" w:rsidP="00BE0EE2">
      <w:pPr>
        <w:spacing w:after="0" w:line="276" w:lineRule="auto"/>
        <w:contextualSpacing/>
        <w:jc w:val="both"/>
        <w:rPr>
          <w:rFonts w:ascii="Times New Roman" w:hAnsi="Times New Roman" w:cs="Times New Roman"/>
          <w:noProof/>
          <w:sz w:val="24"/>
          <w:szCs w:val="24"/>
        </w:rPr>
      </w:pPr>
    </w:p>
    <w:p w14:paraId="7A3F5D79" w14:textId="39A9314D" w:rsidR="00CE7F15" w:rsidRPr="00352176" w:rsidRDefault="00CE7F15" w:rsidP="00BE0EE2">
      <w:pPr>
        <w:pStyle w:val="Heading2"/>
        <w:numPr>
          <w:ilvl w:val="0"/>
          <w:numId w:val="19"/>
        </w:numPr>
        <w:spacing w:line="276" w:lineRule="auto"/>
        <w:ind w:left="426"/>
        <w:rPr>
          <w:rFonts w:ascii="Times New Roman" w:eastAsia="Arial Unicode MS" w:hAnsi="Times New Roman" w:cs="Arial Unicode MS"/>
          <w:b/>
          <w:bCs/>
          <w:smallCaps/>
          <w:noProof/>
          <w:color w:val="000000"/>
          <w:kern w:val="0"/>
          <w:u w:color="000000"/>
          <w:bdr w:val="nil"/>
          <w14:ligatures w14:val="none"/>
        </w:rPr>
      </w:pPr>
      <w:r>
        <w:rPr>
          <w:rFonts w:ascii="Times New Roman" w:hAnsi="Times New Roman"/>
          <w:b/>
          <w:smallCaps/>
          <w:noProof/>
          <w:color w:val="000000"/>
          <w:u w:color="000000"/>
          <w:bdr w:val="nil"/>
        </w:rPr>
        <w:t>Nécessité d’une action</w:t>
      </w:r>
    </w:p>
    <w:p w14:paraId="4EA4B9E8" w14:textId="77777777" w:rsidR="003E3C30" w:rsidRPr="00352176" w:rsidRDefault="003E3C30" w:rsidP="003E3C30">
      <w:pPr>
        <w:rPr>
          <w:noProof/>
          <w:lang w:eastAsia="en-IE"/>
        </w:rPr>
      </w:pPr>
    </w:p>
    <w:p w14:paraId="5044D4E0" w14:textId="77EDA7F3" w:rsidR="00CE7F15" w:rsidRPr="00352176" w:rsidRDefault="00CE7F15" w:rsidP="00BE0EE2">
      <w:pPr>
        <w:spacing w:after="0" w:line="276" w:lineRule="auto"/>
        <w:contextualSpacing/>
        <w:jc w:val="both"/>
        <w:rPr>
          <w:rFonts w:ascii="Times New Roman" w:hAnsi="Times New Roman" w:cs="Times New Roman"/>
          <w:b/>
          <w:i/>
          <w:noProof/>
        </w:rPr>
      </w:pPr>
      <w:r>
        <w:rPr>
          <w:rFonts w:ascii="Times New Roman" w:hAnsi="Times New Roman"/>
          <w:b/>
          <w:noProof/>
        </w:rPr>
        <w:t>2.1 Dépendances à l’égard des importations de gaz russe</w:t>
      </w:r>
    </w:p>
    <w:p w14:paraId="65DA4FED" w14:textId="77777777" w:rsidR="003E3C30" w:rsidRPr="00352176" w:rsidRDefault="003E3C30" w:rsidP="00210B4E">
      <w:pPr>
        <w:spacing w:after="0" w:line="276" w:lineRule="auto"/>
        <w:contextualSpacing/>
        <w:jc w:val="both"/>
        <w:rPr>
          <w:rFonts w:ascii="Times New Roman" w:hAnsi="Times New Roman" w:cs="Times New Roman"/>
          <w:noProof/>
          <w:sz w:val="24"/>
          <w:szCs w:val="24"/>
        </w:rPr>
      </w:pPr>
    </w:p>
    <w:p w14:paraId="4F073769" w14:textId="237D11B2" w:rsidR="00210B4E" w:rsidRPr="00352176" w:rsidRDefault="00CE7F15" w:rsidP="00210B4E">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 xml:space="preserve">La Russie a menacé à plusieurs reprises la sécurité de l’approvisionnement de l’UE en réduisant de manière unilatérale les flux de gaz vers ses clients européens en 2006, en 2009, en 2014 et plus récemment en 2022, après son agression contre l’Ukraine, ainsi qu’au cours de la période ayant précédé l’invasion. La suppression progressive des importations de gaz russe est donc essentielle pour renforcer la sécurité énergétique de l’UE contre l’instrumentalisation des importations d’énergie. Elle réduirait également les recettes de la Russie utilisées pour financer la guerre injustifiée contre l’Ukraine et pour poursuivre son renforcement des forces militaires. </w:t>
      </w:r>
    </w:p>
    <w:p w14:paraId="7BA778BA" w14:textId="1E4AEA73" w:rsidR="00CE7F15" w:rsidRPr="00352176" w:rsidRDefault="00CE7F15" w:rsidP="00BE0EE2">
      <w:pPr>
        <w:spacing w:after="0" w:line="276" w:lineRule="auto"/>
        <w:contextualSpacing/>
        <w:jc w:val="both"/>
        <w:rPr>
          <w:rFonts w:ascii="Times New Roman" w:hAnsi="Times New Roman" w:cs="Times New Roman"/>
          <w:noProof/>
          <w:sz w:val="24"/>
          <w:szCs w:val="24"/>
        </w:rPr>
      </w:pPr>
    </w:p>
    <w:p w14:paraId="4B5E023F" w14:textId="43CF501D" w:rsidR="00CE7F15" w:rsidRPr="00352176" w:rsidRDefault="00CE7F15" w:rsidP="00BE0EE2">
      <w:pPr>
        <w:spacing w:after="0" w:line="276" w:lineRule="auto"/>
        <w:contextualSpacing/>
        <w:jc w:val="both"/>
        <w:rPr>
          <w:rFonts w:ascii="Times New Roman" w:hAnsi="Times New Roman" w:cs="Times New Roman"/>
          <w:noProof/>
          <w:sz w:val="24"/>
          <w:szCs w:val="24"/>
        </w:rPr>
      </w:pPr>
      <w:bookmarkStart w:id="3" w:name="_Hlk196212424"/>
      <w:r>
        <w:rPr>
          <w:rFonts w:ascii="Times New Roman" w:hAnsi="Times New Roman"/>
          <w:noProof/>
          <w:sz w:val="24"/>
        </w:rPr>
        <w:t>Entre 2021 et 2023, l’UE a réduit ses importations de gaz russe de plus de 70 %, passant de 150 milliards de m³ à 43 milliards de m³. En 2024, cette tendance à la baisse s’est interrompue et les importations en provenance de Russie ont augmenté. Les importations de GNL ont augmenté de 12 % par rapport à 2023, passant de 18 à 20 milliards de m³, et celles de gaz par gazoduc de 26 %, passant de 25 à 32 milliards de m³.</w:t>
      </w:r>
    </w:p>
    <w:bookmarkEnd w:id="3"/>
    <w:p w14:paraId="702A2868" w14:textId="77777777" w:rsidR="00C4618D" w:rsidRPr="00352176" w:rsidRDefault="00C4618D" w:rsidP="00BE0EE2">
      <w:pPr>
        <w:spacing w:after="0" w:line="276" w:lineRule="auto"/>
        <w:contextualSpacing/>
        <w:jc w:val="both"/>
        <w:rPr>
          <w:rFonts w:ascii="Times New Roman" w:hAnsi="Times New Roman" w:cs="Times New Roman"/>
          <w:noProof/>
          <w:sz w:val="24"/>
          <w:szCs w:val="24"/>
        </w:rPr>
      </w:pPr>
    </w:p>
    <w:p w14:paraId="366DB0AD" w14:textId="0678EF27" w:rsidR="003A30E3" w:rsidRPr="00352176" w:rsidRDefault="0024034F" w:rsidP="00BE0EE2">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Plusieurs États membres ont pris des mesures précoces pour réduire, voire interdire, les importations de gaz russe, notamment en résiliant les contrats existants avec les fournisseurs de gaz russe</w:t>
      </w:r>
      <w:r>
        <w:rPr>
          <w:rStyle w:val="FootnoteReference"/>
          <w:rFonts w:ascii="Times New Roman" w:hAnsi="Times New Roman" w:cs="Times New Roman"/>
          <w:noProof/>
          <w:sz w:val="24"/>
          <w:szCs w:val="24"/>
        </w:rPr>
        <w:footnoteReference w:id="12"/>
      </w:r>
      <w:r>
        <w:rPr>
          <w:rFonts w:ascii="Times New Roman" w:hAnsi="Times New Roman"/>
          <w:noProof/>
          <w:sz w:val="24"/>
        </w:rPr>
        <w:t xml:space="preserve">. Toutefois, même après la fin du transit du gaz russe par l’Ukraine en 2025, celui-ci représente encore environ 13 % des importations totales de gaz de l’UE. </w:t>
      </w:r>
      <w:bookmarkStart w:id="4" w:name="_Hlk196212621"/>
      <w:r>
        <w:rPr>
          <w:rFonts w:ascii="Times New Roman" w:hAnsi="Times New Roman"/>
          <w:noProof/>
          <w:sz w:val="24"/>
        </w:rPr>
        <w:t>Actuellement, environ deux tiers des importations de gaz russe se font sur la base de contrats à long terme, avec une destination dans l’UE, tandis qu’environ un tiers est fourni au comptant  (contrat «spot» à court terme). Les volumes restants ne devraient pas être éliminés sans autre action européenne, compte tenu de l’absence d’incitants commerciaux et de l’existence de contrats à long terme toujours en cours.</w:t>
      </w:r>
    </w:p>
    <w:bookmarkEnd w:id="4"/>
    <w:p w14:paraId="3E492B49" w14:textId="77777777" w:rsidR="003A30E3" w:rsidRPr="00352176" w:rsidRDefault="003A30E3" w:rsidP="00BE0EE2">
      <w:pPr>
        <w:spacing w:after="0" w:line="276" w:lineRule="auto"/>
        <w:contextualSpacing/>
        <w:jc w:val="both"/>
        <w:rPr>
          <w:rFonts w:ascii="Times New Roman" w:hAnsi="Times New Roman" w:cs="Times New Roman"/>
          <w:noProof/>
          <w:sz w:val="24"/>
          <w:szCs w:val="24"/>
        </w:rPr>
      </w:pPr>
    </w:p>
    <w:p w14:paraId="54367D5A" w14:textId="1EC499CA" w:rsidR="00CE7F15" w:rsidRPr="00352176" w:rsidRDefault="00763E43" w:rsidP="00BE0EE2">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Une action au niveau de l’UE est nécessaire pour supprimer progressivement ces approvisionnements en gaz et, dans le même temps, garantir des sources d’approvisionnements de substitution auprès de partenaires internationaux pour le GNL ou pour le gaz par gazoduc, sans créer de nouvelles dépendances. Dans ce contexte, il sera important de veiller à ce que les capacités d’infrastructure réservées sur le long terme pour les importations russes soient mises à la disposition des importations de gaz provenant d’autres sources. L’UE a déjà soutenu de manière significative les efforts de diversification à hauteur de 184,7 milliards d’euros en faveur d’initiatives liées à l’énergie dans le cadre des plans nationaux pour la reprise et la résilience et du mécanisme pour l’interconnexion en Europe (MIE), avec 5,84 milliards d’euros (2021-2027) pour le financement d’infrastructures transfrontières et 55 milliards d’euros au titre du budget de la politique de cohésion de l’UE</w:t>
      </w:r>
      <w:r>
        <w:rPr>
          <w:rStyle w:val="FootnoteReference"/>
          <w:rFonts w:ascii="Times New Roman" w:hAnsi="Times New Roman" w:cs="Times New Roman"/>
          <w:noProof/>
          <w:sz w:val="24"/>
          <w:szCs w:val="24"/>
        </w:rPr>
        <w:footnoteReference w:id="13"/>
      </w:r>
      <w:r>
        <w:rPr>
          <w:rFonts w:ascii="Times New Roman" w:hAnsi="Times New Roman"/>
          <w:noProof/>
          <w:sz w:val="24"/>
        </w:rPr>
        <w:t>.</w:t>
      </w:r>
    </w:p>
    <w:p w14:paraId="40D4B34B" w14:textId="77777777" w:rsidR="008E7F4B" w:rsidRPr="00352176" w:rsidRDefault="008E7F4B" w:rsidP="00BE0EE2">
      <w:pPr>
        <w:spacing w:after="0" w:line="276" w:lineRule="auto"/>
        <w:contextualSpacing/>
        <w:jc w:val="both"/>
        <w:rPr>
          <w:rFonts w:ascii="Times New Roman" w:hAnsi="Times New Roman" w:cs="Times New Roman"/>
          <w:noProof/>
          <w:sz w:val="24"/>
          <w:szCs w:val="24"/>
        </w:rPr>
      </w:pPr>
    </w:p>
    <w:p w14:paraId="31EDCBFD" w14:textId="00036A9A" w:rsidR="00665D22" w:rsidRDefault="00F02175" w:rsidP="005E26B4">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Malgré les progrès enregistrés dans la transition énergétique, le gaz continuera à faire partie du bouquet énergétique de l’UE au cours des prochaines décennies</w:t>
      </w:r>
      <w:r>
        <w:rPr>
          <w:rStyle w:val="FootnoteReference"/>
          <w:rFonts w:ascii="Times New Roman" w:hAnsi="Times New Roman" w:cs="Times New Roman"/>
          <w:noProof/>
          <w:sz w:val="24"/>
          <w:szCs w:val="24"/>
        </w:rPr>
        <w:footnoteReference w:id="14"/>
      </w:r>
      <w:r>
        <w:rPr>
          <w:rFonts w:ascii="Times New Roman" w:hAnsi="Times New Roman"/>
          <w:noProof/>
          <w:sz w:val="24"/>
        </w:rPr>
        <w:t>. Afin de garantir la stabilité des approvisionnements, les mesures visant à abandonner progressivement le gaz russe devraient s’accompagner d’efforts de diversification du portefeuille d’approvisionnement de l’UE. Cet objectif pourrait être atteint au moyen d’actions conjointes comprenant l’agrégation de la demande au niveau de l’UE et la conclusion d’accords d’approvisionnement à long terme à des prix compétitifs</w:t>
      </w:r>
      <w:r>
        <w:rPr>
          <w:rStyle w:val="FootnoteReference"/>
          <w:rFonts w:ascii="Times New Roman" w:hAnsi="Times New Roman" w:cs="Times New Roman"/>
          <w:noProof/>
          <w:sz w:val="24"/>
          <w:szCs w:val="24"/>
        </w:rPr>
        <w:footnoteReference w:id="15"/>
      </w:r>
      <w:r>
        <w:rPr>
          <w:rFonts w:ascii="Times New Roman" w:hAnsi="Times New Roman"/>
          <w:noProof/>
          <w:sz w:val="24"/>
        </w:rPr>
        <w:t xml:space="preserve"> avec d’autres fournisseurs, le cas échéant. Le futur nouveau pacte pour la Méditerranée et l’initiative transméditerranéenne en matière d’énergie, en particulier, offriront des possibilités concrètes de renforcer encore la diversification de l’approvisionnement énergétique.</w:t>
      </w:r>
    </w:p>
    <w:p w14:paraId="10E2BDFC" w14:textId="77777777" w:rsidR="00F02175" w:rsidRPr="00352176" w:rsidRDefault="00F02175" w:rsidP="00BE0EE2">
      <w:pPr>
        <w:spacing w:after="0" w:line="276" w:lineRule="auto"/>
        <w:contextualSpacing/>
        <w:jc w:val="both"/>
        <w:rPr>
          <w:rFonts w:ascii="Times New Roman" w:hAnsi="Times New Roman" w:cs="Times New Roman"/>
          <w:noProof/>
          <w:sz w:val="24"/>
          <w:szCs w:val="24"/>
        </w:rPr>
      </w:pPr>
    </w:p>
    <w:p w14:paraId="2FC581BA" w14:textId="6F8F4DD7" w:rsidR="00F02175" w:rsidRDefault="00BF3C3B" w:rsidP="005F308F">
      <w:pPr>
        <w:spacing w:before="120" w:after="240" w:line="276" w:lineRule="auto"/>
        <w:contextualSpacing/>
        <w:jc w:val="both"/>
        <w:rPr>
          <w:rFonts w:ascii="Times New Roman" w:hAnsi="Times New Roman"/>
          <w:noProof/>
          <w:sz w:val="24"/>
        </w:rPr>
      </w:pPr>
      <w:r>
        <w:rPr>
          <w:rFonts w:ascii="Times New Roman" w:hAnsi="Times New Roman"/>
          <w:noProof/>
          <w:sz w:val="24"/>
        </w:rPr>
        <w:t>Les efforts de diversification ne devraient pas être compromis par des accords dits «</w:t>
      </w:r>
      <w:r>
        <w:rPr>
          <w:rFonts w:ascii="Times New Roman" w:hAnsi="Times New Roman"/>
          <w:i/>
          <w:noProof/>
          <w:sz w:val="24"/>
        </w:rPr>
        <w:t>swap</w:t>
      </w:r>
      <w:r>
        <w:rPr>
          <w:rFonts w:ascii="Times New Roman" w:hAnsi="Times New Roman"/>
          <w:noProof/>
          <w:sz w:val="24"/>
        </w:rPr>
        <w:t>», impliquant des échanges, à savoir des achats auprès de tiers de gaz qui est en réalité russe. Ces pratiques contrediraient les objectifs de REPowerEU, car elles maintiendraient les flux de recettes vers la Russie, ainsi que la vulnérabilité de l’UE face à la manipulation des prix.</w:t>
      </w:r>
    </w:p>
    <w:p w14:paraId="5BD2425B" w14:textId="77777777" w:rsidR="005F308F" w:rsidRPr="00352176" w:rsidRDefault="005F308F" w:rsidP="005F308F">
      <w:pPr>
        <w:spacing w:before="120" w:after="240" w:line="276" w:lineRule="auto"/>
        <w:contextualSpacing/>
        <w:jc w:val="both"/>
        <w:rPr>
          <w:rFonts w:ascii="Times New Roman" w:hAnsi="Times New Roman" w:cs="Times New Roman"/>
          <w:noProof/>
          <w:sz w:val="24"/>
          <w:szCs w:val="24"/>
        </w:rPr>
      </w:pPr>
    </w:p>
    <w:p w14:paraId="204EB659" w14:textId="3CC9D26E" w:rsidR="005F308F" w:rsidRDefault="005F308F" w:rsidP="005F308F">
      <w:pPr>
        <w:spacing w:before="240" w:after="0" w:line="276" w:lineRule="auto"/>
        <w:contextualSpacing/>
        <w:jc w:val="both"/>
        <w:rPr>
          <w:rFonts w:ascii="Times New Roman" w:hAnsi="Times New Roman"/>
          <w:b/>
          <w:noProof/>
          <w:sz w:val="24"/>
        </w:rPr>
      </w:pPr>
      <w:r w:rsidRPr="005F308F">
        <w:rPr>
          <w:noProof/>
          <w:lang w:val="en-GB" w:eastAsia="en-GB"/>
        </w:rPr>
        <w:drawing>
          <wp:inline distT="0" distB="0" distL="0" distR="0" wp14:anchorId="259AAA11" wp14:editId="61129B63">
            <wp:extent cx="5731510" cy="2579370"/>
            <wp:effectExtent l="0" t="0" r="2540" b="0"/>
            <wp:docPr id="111183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2579370"/>
                    </a:xfrm>
                    <a:prstGeom prst="rect">
                      <a:avLst/>
                    </a:prstGeom>
                    <a:noFill/>
                    <a:ln>
                      <a:noFill/>
                    </a:ln>
                  </pic:spPr>
                </pic:pic>
              </a:graphicData>
            </a:graphic>
          </wp:inline>
        </w:drawing>
      </w:r>
    </w:p>
    <w:p w14:paraId="2878C928" w14:textId="77777777" w:rsidR="005F308F" w:rsidRDefault="005F308F" w:rsidP="00BE0EE2">
      <w:pPr>
        <w:spacing w:after="0" w:line="276" w:lineRule="auto"/>
        <w:contextualSpacing/>
        <w:jc w:val="both"/>
        <w:rPr>
          <w:rFonts w:ascii="Times New Roman" w:hAnsi="Times New Roman"/>
          <w:b/>
          <w:noProof/>
          <w:sz w:val="24"/>
        </w:rPr>
      </w:pPr>
    </w:p>
    <w:p w14:paraId="6DB5CA97" w14:textId="7982EC70" w:rsidR="00CE7F15" w:rsidRPr="00352176" w:rsidRDefault="00CE7F15" w:rsidP="00BE0EE2">
      <w:pPr>
        <w:spacing w:after="0" w:line="276" w:lineRule="auto"/>
        <w:contextualSpacing/>
        <w:jc w:val="both"/>
        <w:rPr>
          <w:rFonts w:ascii="Times New Roman" w:hAnsi="Times New Roman" w:cs="Times New Roman"/>
          <w:b/>
          <w:bCs/>
          <w:noProof/>
          <w:sz w:val="24"/>
          <w:szCs w:val="24"/>
        </w:rPr>
      </w:pPr>
      <w:r>
        <w:rPr>
          <w:rFonts w:ascii="Times New Roman" w:hAnsi="Times New Roman"/>
          <w:b/>
          <w:noProof/>
          <w:sz w:val="24"/>
        </w:rPr>
        <w:t>2.2 Dépendances à l’égard de la Russie dans le secteur nucléaire</w:t>
      </w:r>
    </w:p>
    <w:p w14:paraId="7229F45E" w14:textId="0C1F1A43" w:rsidR="00CE7F15" w:rsidRPr="00352176" w:rsidRDefault="00CE7F15" w:rsidP="00BE0EE2">
      <w:pPr>
        <w:spacing w:after="0" w:line="276" w:lineRule="auto"/>
        <w:contextualSpacing/>
        <w:jc w:val="both"/>
        <w:rPr>
          <w:rFonts w:ascii="Times New Roman" w:hAnsi="Times New Roman" w:cs="Times New Roman"/>
          <w:noProof/>
          <w:sz w:val="24"/>
          <w:szCs w:val="24"/>
        </w:rPr>
      </w:pPr>
    </w:p>
    <w:p w14:paraId="4E90C18B" w14:textId="74B6FF29" w:rsidR="00CE7F15" w:rsidRPr="00352176" w:rsidRDefault="18EAE482" w:rsidP="00BE0EE2">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 xml:space="preserve">Contrairement aux dépendances dans le secteur gazier, les dépendances dans le secteur nucléaire sont pluridimensionnelles. La Russie fournit des produits et des services aux clients de l’UE tout au long du cycle du combustible nucléaire. </w:t>
      </w:r>
      <w:bookmarkStart w:id="5" w:name="_Hlk196212675"/>
      <w:r>
        <w:rPr>
          <w:rFonts w:ascii="Times New Roman" w:hAnsi="Times New Roman"/>
          <w:noProof/>
          <w:sz w:val="24"/>
        </w:rPr>
        <w:t>Les cinq États membres disposant de réacteurs conçus par la Russie</w:t>
      </w:r>
      <w:r>
        <w:rPr>
          <w:rStyle w:val="FootnoteReference"/>
          <w:rFonts w:ascii="Times New Roman" w:hAnsi="Times New Roman" w:cs="Times New Roman"/>
          <w:noProof/>
          <w:sz w:val="24"/>
          <w:szCs w:val="24"/>
        </w:rPr>
        <w:footnoteReference w:id="16"/>
      </w:r>
      <w:r>
        <w:rPr>
          <w:rFonts w:ascii="Times New Roman" w:hAnsi="Times New Roman"/>
          <w:noProof/>
          <w:sz w:val="24"/>
        </w:rPr>
        <w:t>, également connus sous le nom de réacteurs de type VVER, sont les plus dépendants, puisqu’ils sont traditionnellement tributaires du combustible provenant d’un fournisseur russe.</w:t>
      </w:r>
      <w:bookmarkEnd w:id="5"/>
      <w:r>
        <w:rPr>
          <w:rFonts w:ascii="Times New Roman" w:hAnsi="Times New Roman"/>
          <w:noProof/>
          <w:sz w:val="24"/>
        </w:rPr>
        <w:t xml:space="preserve"> De même, d’autres États membres dépendent de la Russie pour les matières nucléaires, les pièces de rechange ou les services liés au cycle du combustible nucléaire. La Russie occupe également une position de force dans l’approvisionnement en certains radio-isotopes destinés à des procédures médicales.</w:t>
      </w:r>
    </w:p>
    <w:p w14:paraId="225DD407" w14:textId="50E6CB86" w:rsidR="00CE7F15" w:rsidRPr="00352176" w:rsidRDefault="00CE7F15" w:rsidP="00BE0EE2">
      <w:pPr>
        <w:spacing w:after="0" w:line="276" w:lineRule="auto"/>
        <w:contextualSpacing/>
        <w:jc w:val="both"/>
        <w:rPr>
          <w:rFonts w:ascii="Times New Roman" w:hAnsi="Times New Roman" w:cs="Times New Roman"/>
          <w:noProof/>
          <w:sz w:val="24"/>
          <w:szCs w:val="24"/>
        </w:rPr>
      </w:pPr>
    </w:p>
    <w:p w14:paraId="049BE4EB" w14:textId="540D0D13" w:rsidR="00CE7F15" w:rsidRPr="00352176" w:rsidRDefault="002856BD" w:rsidP="00BE0EE2">
      <w:pPr>
        <w:spacing w:after="0" w:line="276" w:lineRule="auto"/>
        <w:ind w:left="720"/>
        <w:contextualSpacing/>
        <w:jc w:val="both"/>
        <w:rPr>
          <w:rFonts w:ascii="Times New Roman" w:hAnsi="Times New Roman" w:cs="Times New Roman"/>
          <w:b/>
          <w:noProof/>
          <w:sz w:val="24"/>
          <w:szCs w:val="24"/>
        </w:rPr>
      </w:pPr>
      <w:r>
        <w:rPr>
          <w:rFonts w:ascii="Times New Roman" w:hAnsi="Times New Roman"/>
          <w:b/>
          <w:noProof/>
          <w:sz w:val="24"/>
        </w:rPr>
        <w:t>2.2.1 Remplacement des combustibles nucléaires russes dans cinq États membres disposant de réacteurs nucléaires conçus par la Russie grâce à des fournisseurs de substitution</w:t>
      </w:r>
    </w:p>
    <w:p w14:paraId="6BA9ACB6" w14:textId="77777777" w:rsidR="00CE7F15" w:rsidRPr="00352176" w:rsidRDefault="00CE7F15" w:rsidP="00BE0EE2">
      <w:pPr>
        <w:spacing w:after="0" w:line="276" w:lineRule="auto"/>
        <w:contextualSpacing/>
        <w:jc w:val="both"/>
        <w:rPr>
          <w:rFonts w:ascii="Times New Roman" w:hAnsi="Times New Roman" w:cs="Times New Roman"/>
          <w:noProof/>
          <w:sz w:val="24"/>
          <w:szCs w:val="24"/>
        </w:rPr>
      </w:pPr>
    </w:p>
    <w:p w14:paraId="6753BBCC" w14:textId="1A651B52" w:rsidR="00CE7F15" w:rsidRPr="00352176" w:rsidRDefault="009C02DD" w:rsidP="00BE0EE2">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Des progrès ont été accomplis pour ce qui est de remplacer, dans les cinq États membres disposant de réacteurs de type VVER conçus par la Russie, le combustible nucléaire russe par du combustible provenant d’autres producteurs. Les services essentiels de quatre des cinq États membres concernés ont signé, depuis 2022, des contrats d’approvisionnement en carburants alternatifs. Néanmoins, les carburants alternatifs doivent être testés et autorisés dans chaque État membre avant de pouvoir remplacer le combustible russe. En 2024, les premiers assemblages d’essai pour les combustibles ont été chargés dans des réacteurs en Bulgarie et en Finlande. L’UE soutient aussi financièrement le développement de carburants alternatifs dans le cadre de ses projets SAVE et APIS</w:t>
      </w:r>
      <w:r>
        <w:rPr>
          <w:rFonts w:ascii="Times New Roman" w:hAnsi="Times New Roman" w:cs="Times New Roman"/>
          <w:noProof/>
          <w:sz w:val="24"/>
          <w:szCs w:val="24"/>
          <w:vertAlign w:val="superscript"/>
        </w:rPr>
        <w:footnoteReference w:id="17"/>
      </w:r>
      <w:r>
        <w:rPr>
          <w:rFonts w:ascii="Times New Roman" w:hAnsi="Times New Roman"/>
          <w:noProof/>
          <w:sz w:val="24"/>
        </w:rPr>
        <w:t xml:space="preserve">. Des risques liés à la sécurité de l’approvisionnement peuvent survenir à court ou moyen terme en cas de changements soudains de politiques. </w:t>
      </w:r>
    </w:p>
    <w:p w14:paraId="125880B7" w14:textId="62BA91AC" w:rsidR="00CE7F15" w:rsidRPr="00352176" w:rsidRDefault="00CE7F15" w:rsidP="00BE0EE2">
      <w:pPr>
        <w:spacing w:after="0" w:line="276" w:lineRule="auto"/>
        <w:contextualSpacing/>
        <w:jc w:val="both"/>
        <w:rPr>
          <w:rFonts w:ascii="Times New Roman" w:hAnsi="Times New Roman" w:cs="Times New Roman"/>
          <w:noProof/>
          <w:sz w:val="24"/>
          <w:szCs w:val="24"/>
        </w:rPr>
      </w:pPr>
    </w:p>
    <w:p w14:paraId="684EACC4" w14:textId="3132C11F" w:rsidR="00CE7F15" w:rsidRPr="00352176" w:rsidRDefault="00CE7F15" w:rsidP="00BE0EE2">
      <w:pPr>
        <w:spacing w:after="0" w:line="276" w:lineRule="auto"/>
        <w:contextualSpacing/>
        <w:jc w:val="both"/>
        <w:rPr>
          <w:rFonts w:ascii="Times New Roman" w:hAnsi="Times New Roman" w:cs="Times New Roman"/>
          <w:noProof/>
          <w:sz w:val="24"/>
          <w:szCs w:val="24"/>
        </w:rPr>
      </w:pPr>
      <w:bookmarkStart w:id="6" w:name="_Hlk196212725"/>
      <w:r>
        <w:rPr>
          <w:rFonts w:ascii="Times New Roman" w:hAnsi="Times New Roman"/>
          <w:noProof/>
          <w:sz w:val="24"/>
        </w:rPr>
        <w:t>Il convient d’accélérer le développement de combustibles nucléaires de substitution pour les réacteurs de type VVER et l’octroi des autorisations, ainsi que de veiller à ce que la conclusion de contrats avec d’autres fournisseurs progresse rapidement vers un remplacement complet des approvisionnements russes. Des enseignements importants peuvent être tirés de l’expérience acquise en Ukraine, où des progrès sont également réalisés en ce qui concerne l’utilisation de carburants de substitution non russes, y compris en ce qui concerne l’octroi d’autorisations en matière de sûreté nucléaire et les essais de combustible.</w:t>
      </w:r>
    </w:p>
    <w:bookmarkEnd w:id="6"/>
    <w:p w14:paraId="2D46D590" w14:textId="77777777" w:rsidR="00CE7F15" w:rsidRPr="00352176" w:rsidRDefault="00CE7F15" w:rsidP="00BE0EE2">
      <w:pPr>
        <w:spacing w:after="0" w:line="276" w:lineRule="auto"/>
        <w:contextualSpacing/>
        <w:jc w:val="both"/>
        <w:rPr>
          <w:rFonts w:ascii="Times New Roman" w:hAnsi="Times New Roman" w:cs="Times New Roman"/>
          <w:noProof/>
          <w:sz w:val="24"/>
          <w:szCs w:val="24"/>
        </w:rPr>
      </w:pPr>
    </w:p>
    <w:p w14:paraId="117BC08B" w14:textId="1B392230" w:rsidR="00CE7F15" w:rsidRPr="00352176" w:rsidRDefault="002856BD" w:rsidP="00BE0EE2">
      <w:pPr>
        <w:spacing w:after="0" w:line="276" w:lineRule="auto"/>
        <w:ind w:left="720"/>
        <w:contextualSpacing/>
        <w:jc w:val="both"/>
        <w:rPr>
          <w:rFonts w:ascii="Times New Roman" w:hAnsi="Times New Roman" w:cs="Times New Roman"/>
          <w:b/>
          <w:bCs/>
          <w:noProof/>
          <w:sz w:val="24"/>
          <w:szCs w:val="24"/>
        </w:rPr>
      </w:pPr>
      <w:r>
        <w:rPr>
          <w:rFonts w:ascii="Times New Roman" w:hAnsi="Times New Roman"/>
          <w:b/>
          <w:noProof/>
          <w:sz w:val="24"/>
        </w:rPr>
        <w:t>2.2.2 Diversification des approvisionnements et renforcement des capacités de substitution dans le cycle du combustible nucléaire pour tous les États membres disposant d’installations nucléaires</w:t>
      </w:r>
    </w:p>
    <w:p w14:paraId="5396560F" w14:textId="77777777" w:rsidR="00CE7F15" w:rsidRPr="00352176" w:rsidRDefault="00CE7F15" w:rsidP="00BE0EE2">
      <w:pPr>
        <w:spacing w:after="0" w:line="276" w:lineRule="auto"/>
        <w:contextualSpacing/>
        <w:jc w:val="both"/>
        <w:rPr>
          <w:rFonts w:ascii="Times New Roman" w:hAnsi="Times New Roman" w:cs="Times New Roman"/>
          <w:noProof/>
          <w:sz w:val="24"/>
          <w:szCs w:val="24"/>
        </w:rPr>
      </w:pPr>
    </w:p>
    <w:p w14:paraId="497054D1" w14:textId="1E3BF1AA" w:rsidR="00CE7F15" w:rsidRPr="00352176" w:rsidRDefault="00CE7F15" w:rsidP="00BE0EE2">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Alors que plus de 14 % de l’uranium en provenance de Russie était importé dans l’UE en 2024, le marché mondial de l’uranium naturel et de l’uranium transformé est plutôt diversifié</w:t>
      </w:r>
      <w:r>
        <w:rPr>
          <w:rStyle w:val="FootnoteReference"/>
          <w:rFonts w:ascii="Times New Roman" w:hAnsi="Times New Roman" w:cs="Times New Roman"/>
          <w:noProof/>
          <w:sz w:val="24"/>
          <w:szCs w:val="24"/>
        </w:rPr>
        <w:footnoteReference w:id="18"/>
      </w:r>
      <w:r>
        <w:rPr>
          <w:rFonts w:ascii="Times New Roman" w:hAnsi="Times New Roman"/>
          <w:noProof/>
          <w:sz w:val="24"/>
        </w:rPr>
        <w:t>. Un obstacle majeur est la concentration des services de conversion et d’enrichissement de l’uranium dans un nombre limité d’entreprises, ces services étant nécessaires pour faire de l’uranium transformé une matière de production de combustible nucléaire. Les services situés dans l’UE ou dans d’autres pays occidentaux ne sont actuellement pas en mesure de répondre à la demande globale en raison de la capacité limitée des usines de conversion et d’enrichissement en activité.  En 2024, environ 23 % de la demande totale de services de conversion d’uranium de l’UE était satisfaite par la Russie, et celle-ci couvrait près de 24 % des besoins de l’UE en matière de services d’enrichissement de l’uranium</w:t>
      </w:r>
      <w:r>
        <w:rPr>
          <w:rFonts w:ascii="Times New Roman" w:hAnsi="Times New Roman" w:cs="Times New Roman"/>
          <w:noProof/>
          <w:sz w:val="24"/>
          <w:szCs w:val="24"/>
          <w:vertAlign w:val="superscript"/>
        </w:rPr>
        <w:footnoteReference w:id="19"/>
      </w:r>
      <w:r>
        <w:rPr>
          <w:rFonts w:ascii="Times New Roman" w:hAnsi="Times New Roman"/>
          <w:noProof/>
          <w:sz w:val="24"/>
        </w:rPr>
        <w:t>.</w:t>
      </w:r>
    </w:p>
    <w:p w14:paraId="7572A7D2" w14:textId="77777777" w:rsidR="00CE7F15" w:rsidRPr="00352176" w:rsidRDefault="00CE7F15" w:rsidP="00BE0EE2">
      <w:pPr>
        <w:spacing w:after="0" w:line="276" w:lineRule="auto"/>
        <w:contextualSpacing/>
        <w:jc w:val="both"/>
        <w:rPr>
          <w:rFonts w:ascii="Times New Roman" w:hAnsi="Times New Roman" w:cs="Times New Roman"/>
          <w:noProof/>
          <w:sz w:val="24"/>
          <w:szCs w:val="24"/>
        </w:rPr>
      </w:pPr>
    </w:p>
    <w:p w14:paraId="06B8695C" w14:textId="0EDB5780" w:rsidR="00CE7F15" w:rsidRPr="00352176" w:rsidRDefault="00CE7F15" w:rsidP="00BE0EE2">
      <w:pPr>
        <w:spacing w:after="0"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Alors que les entreprises européennes d’enrichissement ont annoncé leur intention d’étendre leur capacité d’enrichissement actuelle, la première nouvelle installation d’enrichissement n’est pas prévue avant 2027. En outre, l’industrie mondiale de conversion de l’uranium est confrontée à des obstacles entravant l’augmentation de la production en raison de la complexité technologique et des incertitudes du marché, et de nouvelles capacités de conversion ne sont actuellement annoncées que pour le début des années 2030. Le secteur nucléaire de l’UE continue également de dépendre de la Russie pour certaines pièces de rechange et certains services d’entretien. La poursuite de la coopération internationale, telle que celle menée dans le cadre du G7, est essentielle pour garantir le caractère suffisant de la capacité d’enrichissement et de conversion suffisante ainsi que des pièces de rechange et des services dans les années à venir.  Le réexamen par la Commission de l’approche de l’approvisionnement en uranium enrichi contribuera également à renforcer la sécurité de l’approvisionnement et l’ouverture à des fournisseurs fiables.</w:t>
      </w:r>
    </w:p>
    <w:p w14:paraId="21FDB4C6" w14:textId="147447DC" w:rsidR="46045386" w:rsidRPr="00352176" w:rsidRDefault="46045386" w:rsidP="00BE0EE2">
      <w:pPr>
        <w:spacing w:after="0" w:line="276" w:lineRule="auto"/>
        <w:contextualSpacing/>
        <w:jc w:val="both"/>
        <w:rPr>
          <w:rFonts w:ascii="Times New Roman" w:hAnsi="Times New Roman"/>
          <w:noProof/>
          <w:sz w:val="24"/>
        </w:rPr>
      </w:pPr>
    </w:p>
    <w:p w14:paraId="5371D852" w14:textId="0C676D21" w:rsidR="00CE7F15" w:rsidRPr="00352176" w:rsidRDefault="00CE7F15" w:rsidP="00BE0EE2">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 xml:space="preserve">Enfin, il existe une forte dépendance de la Russie pour certains radio-isotopes stables utilisés pour produire des radio-isotopes médicaux destinés au traitement du cancer, et l’UE doit redoubler d’efforts pour développer la production européenne de ces radio-isotopes à usage médical dans l’intérêt de tous les États membres. En particulier, il sera important de renforcer la chaîne d’approvisionnement en radio-isotopes en garantissant l’accès aux matières brutes, d’améliorer la production industrielle de radio-isotopes et de soutenir la recherche et l’innovation dans le domaine des nouvelles thérapies de médecine nucléaire. </w:t>
      </w:r>
    </w:p>
    <w:p w14:paraId="0B24F43D" w14:textId="77777777" w:rsidR="00C37A7E" w:rsidRPr="00352176" w:rsidRDefault="00C37A7E" w:rsidP="00BE0EE2">
      <w:pPr>
        <w:spacing w:after="0" w:line="276" w:lineRule="auto"/>
        <w:contextualSpacing/>
        <w:jc w:val="both"/>
        <w:rPr>
          <w:rFonts w:ascii="Times New Roman" w:hAnsi="Times New Roman" w:cs="Times New Roman"/>
          <w:noProof/>
          <w:sz w:val="24"/>
          <w:szCs w:val="24"/>
        </w:rPr>
      </w:pPr>
    </w:p>
    <w:p w14:paraId="5184B45B" w14:textId="4615DC67" w:rsidR="00CE7F15" w:rsidRPr="00352176" w:rsidRDefault="00CE7F15" w:rsidP="00BE0EE2">
      <w:pPr>
        <w:pStyle w:val="Heading3"/>
        <w:spacing w:line="276" w:lineRule="auto"/>
        <w:rPr>
          <w:rFonts w:ascii="Times New Roman" w:eastAsiaTheme="minorEastAsia" w:hAnsi="Times New Roman" w:cs="Times New Roman"/>
          <w:b/>
          <w:noProof/>
          <w:color w:val="auto"/>
          <w:sz w:val="24"/>
          <w:szCs w:val="24"/>
        </w:rPr>
      </w:pPr>
      <w:r>
        <w:rPr>
          <w:rFonts w:ascii="Times New Roman" w:hAnsi="Times New Roman"/>
          <w:b/>
          <w:noProof/>
          <w:color w:val="auto"/>
          <w:sz w:val="24"/>
        </w:rPr>
        <w:t>2.3 Dépendances à l’égard de la Russie dans le secteur du pétrole</w:t>
      </w:r>
    </w:p>
    <w:p w14:paraId="248602C5" w14:textId="77777777" w:rsidR="001070C4" w:rsidRPr="00352176" w:rsidRDefault="001070C4" w:rsidP="00BE0EE2">
      <w:pPr>
        <w:spacing w:after="0" w:line="276" w:lineRule="auto"/>
        <w:contextualSpacing/>
        <w:jc w:val="both"/>
        <w:rPr>
          <w:rFonts w:ascii="Times New Roman" w:hAnsi="Times New Roman" w:cs="Times New Roman"/>
          <w:noProof/>
          <w:sz w:val="24"/>
          <w:szCs w:val="24"/>
        </w:rPr>
      </w:pPr>
      <w:bookmarkStart w:id="7" w:name="_Hlk196212893"/>
    </w:p>
    <w:p w14:paraId="28E40260" w14:textId="23B49D6A" w:rsidR="00CE7F15" w:rsidRPr="00352176" w:rsidRDefault="00CE7F15" w:rsidP="00BE0EE2">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En 2022, le pétrole brut russe représentait 27 % des importations de pétrole brut de l’UE, contre seulement 3 % aujourd’hui. Il s’agit d’une conséquence directe de l’introduction et de l’application effective des sanctions de l’UE, qui ont interdit les importations russes de pétrole brut par voie maritime à partir de décembre 2022 et les produits pétroliers raffinés à partir de février 2023.</w:t>
      </w:r>
    </w:p>
    <w:p w14:paraId="4E3BDBBD" w14:textId="77777777" w:rsidR="00CE7F15" w:rsidRPr="00352176" w:rsidRDefault="00CE7F15" w:rsidP="00BE0EE2">
      <w:pPr>
        <w:spacing w:after="0" w:line="276" w:lineRule="auto"/>
        <w:contextualSpacing/>
        <w:jc w:val="both"/>
        <w:rPr>
          <w:rFonts w:ascii="Times New Roman" w:hAnsi="Times New Roman" w:cs="Times New Roman"/>
          <w:noProof/>
          <w:sz w:val="24"/>
          <w:szCs w:val="24"/>
        </w:rPr>
      </w:pPr>
    </w:p>
    <w:p w14:paraId="1876B708" w14:textId="5057E124" w:rsidR="00B560A1" w:rsidRPr="00352176" w:rsidRDefault="00CE7F15" w:rsidP="00BE0EE2">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 xml:space="preserve">Néanmoins, le pétrole russe par oléoduc représentait une part importante des importations totales de la Tchéquie, de la Slovaquie et de la Hongrie à la fin de 2024, qui bénéficient actuellement d’exemptions temporaires au régime de sanctions de l’UE. </w:t>
      </w:r>
    </w:p>
    <w:bookmarkEnd w:id="7"/>
    <w:p w14:paraId="11D0E5AD" w14:textId="77777777" w:rsidR="00B560A1" w:rsidRPr="00352176" w:rsidRDefault="00B560A1" w:rsidP="00BE0EE2">
      <w:pPr>
        <w:spacing w:after="0" w:line="276" w:lineRule="auto"/>
        <w:contextualSpacing/>
        <w:jc w:val="both"/>
        <w:rPr>
          <w:rFonts w:ascii="Times New Roman" w:hAnsi="Times New Roman" w:cs="Times New Roman"/>
          <w:noProof/>
          <w:sz w:val="24"/>
          <w:szCs w:val="24"/>
        </w:rPr>
      </w:pPr>
    </w:p>
    <w:p w14:paraId="2E833A09" w14:textId="2003D297" w:rsidR="00F13F88" w:rsidRPr="00352176" w:rsidRDefault="000B2A40" w:rsidP="00BE0EE2">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Avec l’achèvement du projet TAL-PLUS en avril 2025, la Tchéquie est désormais en mesure de remplacer son approvisionnement en pétrole russe par d’autres sources. En revanche, pour la Slovaquie et la Hongrie, le pétrole russe représente plus de 80 % de leurs importations totales de pétrole</w:t>
      </w:r>
      <w:r>
        <w:rPr>
          <w:rStyle w:val="FootnoteReference"/>
          <w:rFonts w:ascii="Times New Roman" w:hAnsi="Times New Roman" w:cs="Times New Roman"/>
          <w:noProof/>
          <w:sz w:val="24"/>
          <w:szCs w:val="24"/>
        </w:rPr>
        <w:footnoteReference w:id="20"/>
      </w:r>
      <w:r>
        <w:rPr>
          <w:rFonts w:ascii="Times New Roman" w:hAnsi="Times New Roman"/>
          <w:noProof/>
          <w:sz w:val="24"/>
        </w:rPr>
        <w:t>. Cette forte dépendance peut présenter un risque pour la sécurité de leur approvisionnement. La Commission continue d’aider ces États membres à remplacer progressivement le pétrole russe et à s’assurer les services d’autres fournisseurs, et ce par l’oléoduc Adria.</w:t>
      </w:r>
    </w:p>
    <w:p w14:paraId="313CBB62" w14:textId="77777777" w:rsidR="00F13F88" w:rsidRPr="00352176" w:rsidRDefault="00F13F88" w:rsidP="00BE0EE2">
      <w:pPr>
        <w:spacing w:after="0" w:line="276" w:lineRule="auto"/>
        <w:contextualSpacing/>
        <w:jc w:val="both"/>
        <w:rPr>
          <w:rFonts w:ascii="Times New Roman" w:hAnsi="Times New Roman" w:cs="Times New Roman"/>
          <w:noProof/>
          <w:sz w:val="24"/>
          <w:szCs w:val="24"/>
        </w:rPr>
      </w:pPr>
    </w:p>
    <w:p w14:paraId="474B1C8B" w14:textId="77777777" w:rsidR="00F76FF0" w:rsidRPr="00352176" w:rsidRDefault="00313948" w:rsidP="00BE0EE2">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La Russie s’est appuyée sur une flotte fantôme de pétroliers pour maintenir ses exportations de pétrole et contourner les sanctions. Ces navires sont souvent anciens, en mauvais état, et leur propriétaire et leur couverture d’assurance sont mal connus. Ils présentent donc un risque tangible pour l’environnement en raison du danger de déversements d’hydrocarbures et d’autres pollutions provenant des navires, qui peuvent provoquer des catastrophes environnementales. L’UE a sanctionné certains navires, mené une vaste action diplomatique auprès des États du pavillon et des États du port et renforcé les obligations en matière de sécurité maritime, notamment grâce à une action conjointe des pays du groupe NB 8++</w:t>
      </w:r>
      <w:r>
        <w:rPr>
          <w:rStyle w:val="FootnoteReference"/>
          <w:rFonts w:ascii="Times New Roman" w:hAnsi="Times New Roman" w:cs="Times New Roman"/>
          <w:noProof/>
          <w:sz w:val="24"/>
          <w:szCs w:val="24"/>
          <w:lang w:val="en-GB"/>
        </w:rPr>
        <w:footnoteReference w:id="21"/>
      </w:r>
      <w:r>
        <w:rPr>
          <w:rFonts w:ascii="Times New Roman" w:hAnsi="Times New Roman"/>
          <w:noProof/>
          <w:sz w:val="24"/>
        </w:rPr>
        <w:t xml:space="preserve">. </w:t>
      </w:r>
    </w:p>
    <w:p w14:paraId="37DB7605" w14:textId="77777777" w:rsidR="00F76FF0" w:rsidRPr="00324FED" w:rsidRDefault="00F76FF0" w:rsidP="00BE0EE2">
      <w:pPr>
        <w:spacing w:after="0" w:line="276" w:lineRule="auto"/>
        <w:contextualSpacing/>
        <w:jc w:val="both"/>
        <w:rPr>
          <w:rFonts w:ascii="Times New Roman" w:hAnsi="Times New Roman" w:cs="Times New Roman"/>
          <w:noProof/>
          <w:sz w:val="24"/>
          <w:szCs w:val="24"/>
          <w:lang w:val="fr-BE"/>
        </w:rPr>
      </w:pPr>
    </w:p>
    <w:p w14:paraId="1BBC228B" w14:textId="391A0FC3" w:rsidR="00313948" w:rsidRPr="00352176" w:rsidRDefault="00633738" w:rsidP="00BE0EE2">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 xml:space="preserve">Des travaux et des actions supplémentaires seraient nécessaires pour perturber et décourager la flotte fantôme russe tout en renforçant la protection de l’environnement ainsi que la sûreté et la sécurité maritimes, et pour réduire le financement de l’économie de guerre de la Russie. </w:t>
      </w:r>
    </w:p>
    <w:p w14:paraId="30D878DC" w14:textId="3DD9F670" w:rsidR="00B01C1B" w:rsidRPr="00324FED" w:rsidRDefault="00B01C1B" w:rsidP="00BE0EE2">
      <w:pPr>
        <w:spacing w:after="0" w:line="276" w:lineRule="auto"/>
        <w:contextualSpacing/>
        <w:jc w:val="both"/>
        <w:rPr>
          <w:rFonts w:ascii="Times New Roman" w:hAnsi="Times New Roman" w:cs="Times New Roman"/>
          <w:noProof/>
          <w:sz w:val="24"/>
          <w:szCs w:val="24"/>
          <w:lang w:val="fr-BE"/>
        </w:rPr>
      </w:pPr>
    </w:p>
    <w:p w14:paraId="2BA1AA2E" w14:textId="791B5526" w:rsidR="00CE7F15" w:rsidRPr="00352176" w:rsidRDefault="00CE7F15" w:rsidP="00BE0EE2">
      <w:pPr>
        <w:pStyle w:val="Heading2"/>
        <w:numPr>
          <w:ilvl w:val="0"/>
          <w:numId w:val="19"/>
        </w:numPr>
        <w:spacing w:line="276" w:lineRule="auto"/>
        <w:ind w:left="426"/>
        <w:rPr>
          <w:rFonts w:ascii="Times New Roman" w:eastAsia="Arial Unicode MS" w:hAnsi="Times New Roman" w:cs="Arial Unicode MS"/>
          <w:b/>
          <w:bCs/>
          <w:smallCaps/>
          <w:noProof/>
          <w:color w:val="000000"/>
          <w:kern w:val="0"/>
          <w:bdr w:val="nil"/>
          <w14:ligatures w14:val="none"/>
        </w:rPr>
      </w:pPr>
      <w:r>
        <w:rPr>
          <w:rFonts w:ascii="Times New Roman" w:hAnsi="Times New Roman"/>
          <w:b/>
          <w:smallCaps/>
          <w:noProof/>
          <w:color w:val="000000"/>
          <w:bdr w:val="nil"/>
        </w:rPr>
        <w:t xml:space="preserve">Actions visant à supprimer progressivement les importations d’énergie en provenance de Russie </w:t>
      </w:r>
    </w:p>
    <w:p w14:paraId="50B920FE" w14:textId="60D2F8CA" w:rsidR="00CE7F15" w:rsidRPr="00352176" w:rsidRDefault="00CE7F15" w:rsidP="00BE0EE2">
      <w:pPr>
        <w:pStyle w:val="Heading3"/>
        <w:spacing w:line="276" w:lineRule="auto"/>
        <w:rPr>
          <w:rFonts w:ascii="Times New Roman" w:eastAsiaTheme="minorHAnsi" w:hAnsi="Times New Roman" w:cs="Times New Roman"/>
          <w:b/>
          <w:bCs/>
          <w:noProof/>
          <w:color w:val="auto"/>
          <w:sz w:val="24"/>
          <w:szCs w:val="24"/>
        </w:rPr>
      </w:pPr>
      <w:r>
        <w:rPr>
          <w:rFonts w:ascii="Times New Roman" w:hAnsi="Times New Roman"/>
          <w:b/>
          <w:noProof/>
          <w:color w:val="auto"/>
        </w:rPr>
        <w:t>3.1 Gaz par gazoduc et GNL</w:t>
      </w:r>
    </w:p>
    <w:p w14:paraId="69337E92" w14:textId="77777777" w:rsidR="00CE7F15" w:rsidRPr="00352176" w:rsidRDefault="00CE7F15" w:rsidP="00BE0EE2">
      <w:pPr>
        <w:spacing w:after="0" w:line="276" w:lineRule="auto"/>
        <w:jc w:val="both"/>
        <w:rPr>
          <w:rFonts w:ascii="Times New Roman" w:hAnsi="Times New Roman" w:cs="Times New Roman"/>
          <w:b/>
          <w:bCs/>
          <w:noProof/>
          <w:sz w:val="24"/>
          <w:szCs w:val="24"/>
        </w:rPr>
      </w:pPr>
    </w:p>
    <w:p w14:paraId="089FD7C3" w14:textId="32AE2DFF" w:rsidR="008233EE" w:rsidRPr="00352176" w:rsidRDefault="00CE7F15" w:rsidP="00BE0EE2">
      <w:pPr>
        <w:spacing w:after="0" w:line="276" w:lineRule="auto"/>
        <w:jc w:val="both"/>
        <w:rPr>
          <w:rFonts w:ascii="Times New Roman" w:hAnsi="Times New Roman" w:cs="Times New Roman"/>
          <w:b/>
          <w:bCs/>
          <w:i/>
          <w:iCs/>
          <w:noProof/>
          <w:sz w:val="24"/>
          <w:szCs w:val="24"/>
          <w:u w:val="single"/>
        </w:rPr>
      </w:pPr>
      <w:r>
        <w:rPr>
          <w:rFonts w:ascii="Times New Roman" w:hAnsi="Times New Roman"/>
          <w:b/>
          <w:i/>
          <w:noProof/>
          <w:sz w:val="24"/>
          <w:u w:val="single"/>
        </w:rPr>
        <w:t>Action nº 1:</w:t>
      </w:r>
      <w:r>
        <w:rPr>
          <w:b/>
          <w:i/>
          <w:noProof/>
          <w:sz w:val="24"/>
          <w:u w:val="single"/>
        </w:rPr>
        <w:t xml:space="preserve"> </w:t>
      </w:r>
      <w:r>
        <w:rPr>
          <w:rFonts w:ascii="Times New Roman" w:hAnsi="Times New Roman"/>
          <w:b/>
          <w:i/>
          <w:noProof/>
          <w:sz w:val="24"/>
          <w:u w:val="single"/>
        </w:rPr>
        <w:t>Transparence, suivi et traçabilité</w:t>
      </w:r>
    </w:p>
    <w:p w14:paraId="2E7C4E1F" w14:textId="77777777" w:rsidR="007468DF" w:rsidRPr="00352176" w:rsidRDefault="007468DF" w:rsidP="00BE0EE2">
      <w:pPr>
        <w:spacing w:after="0" w:line="276" w:lineRule="auto"/>
        <w:jc w:val="both"/>
        <w:rPr>
          <w:rFonts w:ascii="Times New Roman" w:hAnsi="Times New Roman" w:cs="Times New Roman"/>
          <w:b/>
          <w:bCs/>
          <w:i/>
          <w:iCs/>
          <w:noProof/>
          <w:sz w:val="24"/>
          <w:szCs w:val="24"/>
          <w:u w:val="single"/>
        </w:rPr>
      </w:pPr>
    </w:p>
    <w:p w14:paraId="11DE8435" w14:textId="569CCF29" w:rsidR="00D66361" w:rsidRPr="00352176" w:rsidRDefault="00305C7B" w:rsidP="00BE0EE2">
      <w:p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La transparence, le suivi et la traçabilité constituent le point de départ nécessaire pour prendre des mesures visant à abandonner progressivement et efficacement le gaz russe et pour garantir l’application de la législation. La législation existante de l’UE a déjà contribué à renforcer la transparence et la traçabilité des importations de gaz dans l’UE, mais les informations ne sont pas suffisamment détaillées:</w:t>
      </w:r>
    </w:p>
    <w:p w14:paraId="5DEAC24C" w14:textId="77777777" w:rsidR="00D66361" w:rsidRPr="00352176" w:rsidRDefault="00D66361" w:rsidP="00BE0EE2">
      <w:pPr>
        <w:spacing w:after="0" w:line="276" w:lineRule="auto"/>
        <w:jc w:val="both"/>
        <w:rPr>
          <w:rFonts w:ascii="Times New Roman" w:eastAsia="Times New Roman" w:hAnsi="Times New Roman" w:cs="Times New Roman"/>
          <w:noProof/>
          <w:sz w:val="24"/>
          <w:szCs w:val="24"/>
        </w:rPr>
      </w:pPr>
    </w:p>
    <w:p w14:paraId="69953D0B" w14:textId="6FAE53EC" w:rsidR="00D66361" w:rsidRPr="00352176" w:rsidRDefault="00A70AB4" w:rsidP="00BE0EE2">
      <w:pPr>
        <w:pStyle w:val="ListParagraph"/>
        <w:numPr>
          <w:ilvl w:val="0"/>
          <w:numId w:val="31"/>
        </w:num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Les règles de l’UE</w:t>
      </w:r>
      <w:r>
        <w:rPr>
          <w:rStyle w:val="FootnoteReference"/>
          <w:rFonts w:ascii="Times New Roman" w:eastAsia="Times New Roman" w:hAnsi="Times New Roman" w:cs="Times New Roman"/>
          <w:noProof/>
          <w:sz w:val="24"/>
          <w:szCs w:val="24"/>
        </w:rPr>
        <w:footnoteReference w:id="22"/>
      </w:r>
      <w:r>
        <w:rPr>
          <w:rFonts w:ascii="Times New Roman" w:hAnsi="Times New Roman"/>
          <w:noProof/>
          <w:sz w:val="24"/>
        </w:rPr>
        <w:t xml:space="preserve"> imposent aux États membres de communiquer à la Commission certains détails des contrats gaziers, tels que les contrats à long terme couvrant le gaz d’origine russe. Ces détails sont partagés par État membre sans divulguer l’identité des contreparties des contrats individuels. Les contrats dans leur ensemble ne peuvent être demandés que dans des circonstances particulières.</w:t>
      </w:r>
    </w:p>
    <w:p w14:paraId="08F12640" w14:textId="77777777" w:rsidR="00075B39" w:rsidRPr="00352176" w:rsidRDefault="00075B39" w:rsidP="00075B39">
      <w:pPr>
        <w:pStyle w:val="ListParagraph"/>
        <w:spacing w:after="0" w:line="276" w:lineRule="auto"/>
        <w:jc w:val="both"/>
        <w:rPr>
          <w:rFonts w:ascii="Times New Roman" w:eastAsia="Times New Roman" w:hAnsi="Times New Roman" w:cs="Times New Roman"/>
          <w:noProof/>
          <w:sz w:val="24"/>
          <w:szCs w:val="24"/>
        </w:rPr>
      </w:pPr>
    </w:p>
    <w:p w14:paraId="4A3F7E45" w14:textId="33A13E71" w:rsidR="00D66361" w:rsidRPr="00352176" w:rsidRDefault="004E341F">
      <w:pPr>
        <w:pStyle w:val="ListParagraph"/>
        <w:numPr>
          <w:ilvl w:val="0"/>
          <w:numId w:val="31"/>
        </w:num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Conformément à la législation de l’UE</w:t>
      </w:r>
      <w:r>
        <w:rPr>
          <w:rStyle w:val="FootnoteReference"/>
          <w:rFonts w:ascii="Times New Roman" w:eastAsia="Times New Roman" w:hAnsi="Times New Roman" w:cs="Times New Roman"/>
          <w:noProof/>
          <w:sz w:val="24"/>
          <w:szCs w:val="24"/>
        </w:rPr>
        <w:footnoteReference w:id="23"/>
      </w:r>
      <w:r>
        <w:rPr>
          <w:rFonts w:ascii="Times New Roman" w:hAnsi="Times New Roman"/>
          <w:noProof/>
          <w:sz w:val="24"/>
        </w:rPr>
        <w:t>, certaines informations sur le gaz importé sont communiquées aux autorités douanières lorsqu’il entre sur le territoire douanier de l’Union. Toutefois, il n’y a pas d’obligation de faire rapport aux autorités nationales chargées de la politique énergétique.</w:t>
      </w:r>
    </w:p>
    <w:p w14:paraId="6581544F" w14:textId="77777777" w:rsidR="00F006A1" w:rsidRPr="00352176" w:rsidRDefault="00F006A1" w:rsidP="00F006A1">
      <w:pPr>
        <w:pStyle w:val="ListParagraph"/>
        <w:rPr>
          <w:rFonts w:ascii="Times New Roman" w:eastAsia="Times New Roman" w:hAnsi="Times New Roman" w:cs="Times New Roman"/>
          <w:noProof/>
          <w:sz w:val="24"/>
          <w:szCs w:val="24"/>
        </w:rPr>
      </w:pPr>
    </w:p>
    <w:p w14:paraId="6DB53A63" w14:textId="425308C1" w:rsidR="001609B6" w:rsidRPr="00352176" w:rsidRDefault="00305C7B" w:rsidP="00BE0EE2">
      <w:p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Si certains États membres ont mis en place des règles nationales concernant la traçabilité du gaz russe</w:t>
      </w:r>
      <w:r>
        <w:rPr>
          <w:rStyle w:val="FootnoteReference"/>
          <w:rFonts w:ascii="Times New Roman" w:eastAsia="Times New Roman" w:hAnsi="Times New Roman" w:cs="Times New Roman"/>
          <w:noProof/>
          <w:sz w:val="24"/>
          <w:szCs w:val="24"/>
        </w:rPr>
        <w:footnoteReference w:id="24"/>
      </w:r>
      <w:r>
        <w:rPr>
          <w:rFonts w:ascii="Times New Roman" w:hAnsi="Times New Roman"/>
          <w:noProof/>
          <w:sz w:val="24"/>
        </w:rPr>
        <w:t>, il n’existe pas de cadre cohérent de l’UE en matière de transparence, de suivi et de traçabilité des importations de gaz russe dans l’UE.</w:t>
      </w:r>
    </w:p>
    <w:p w14:paraId="44A8BE43" w14:textId="77777777" w:rsidR="001070C4" w:rsidRPr="00352176" w:rsidRDefault="001070C4" w:rsidP="00BE0EE2">
      <w:pPr>
        <w:spacing w:after="0" w:line="276" w:lineRule="auto"/>
        <w:jc w:val="both"/>
        <w:rPr>
          <w:rFonts w:ascii="Times New Roman" w:eastAsia="Times New Roman" w:hAnsi="Times New Roman" w:cs="Times New Roman"/>
          <w:noProof/>
          <w:sz w:val="24"/>
          <w:szCs w:val="24"/>
        </w:rPr>
      </w:pPr>
    </w:p>
    <w:p w14:paraId="7563B905" w14:textId="7C0071C0" w:rsidR="00722AD9" w:rsidRPr="00352176" w:rsidRDefault="00722AD9" w:rsidP="00BE0EE2">
      <w:pPr>
        <w:spacing w:after="0" w:line="276" w:lineRule="auto"/>
        <w:jc w:val="both"/>
        <w:rPr>
          <w:rFonts w:ascii="Times New Roman" w:eastAsia="Calibri" w:hAnsi="Times New Roman" w:cs="Times New Roman"/>
          <w:noProof/>
          <w:sz w:val="24"/>
          <w:szCs w:val="24"/>
        </w:rPr>
      </w:pPr>
      <w:bookmarkStart w:id="8" w:name="_Hlk196213166"/>
      <w:r>
        <w:rPr>
          <w:rFonts w:ascii="Times New Roman" w:hAnsi="Times New Roman"/>
          <w:noProof/>
          <w:sz w:val="24"/>
        </w:rPr>
        <w:t>Par conséquent, la Commission proposera les mesures nécessaires pour améliorer l’efficacité du suivi et de la traçabilité. Une mesure obligerait les entreprises à fournir des informations sur les contrats gaziers russes (par exemple, les volumes, la durée) aux autorités compétentes des États membres et à la Commission. Une autre mesure garantirait que les informations sur les importations réelles de gaz russe soient partagées entre les autorités douanières, les autorités nationales chargées de l’énergie et de la sécurité et la Commission.</w:t>
      </w:r>
    </w:p>
    <w:bookmarkEnd w:id="8"/>
    <w:p w14:paraId="68B2C742" w14:textId="77777777" w:rsidR="0078151E" w:rsidRPr="00352176" w:rsidRDefault="0078151E" w:rsidP="00BE0EE2">
      <w:pPr>
        <w:spacing w:after="0" w:line="276" w:lineRule="auto"/>
        <w:jc w:val="both"/>
        <w:rPr>
          <w:rFonts w:ascii="Times New Roman" w:hAnsi="Times New Roman" w:cs="Times New Roman"/>
          <w:noProof/>
          <w:sz w:val="24"/>
          <w:szCs w:val="24"/>
        </w:rPr>
      </w:pPr>
    </w:p>
    <w:p w14:paraId="67FEB6BA" w14:textId="4A36B686" w:rsidR="00F1596C" w:rsidRPr="00352176" w:rsidRDefault="004823B5" w:rsidP="00BE0EE2">
      <w:pPr>
        <w:spacing w:after="0" w:line="276" w:lineRule="auto"/>
        <w:jc w:val="both"/>
        <w:rPr>
          <w:rFonts w:ascii="Times New Roman" w:hAnsi="Times New Roman" w:cs="Times New Roman"/>
          <w:b/>
          <w:bCs/>
          <w:i/>
          <w:iCs/>
          <w:noProof/>
          <w:sz w:val="24"/>
          <w:szCs w:val="24"/>
          <w:u w:val="single"/>
        </w:rPr>
      </w:pPr>
      <w:r>
        <w:rPr>
          <w:rFonts w:ascii="Times New Roman" w:hAnsi="Times New Roman"/>
          <w:noProof/>
          <w:sz w:val="24"/>
        </w:rPr>
        <w:t>Ces mesures permettraient aux gouvernements et à la Commission d’accéder aux informations pertinentes sur l’entrée du gaz russe dans leurs systèmes énergétiques, ce qui permettrait la mise en œuvre de mesures ciblées et efficaces à l’échelle de l’UE et préparerait des sources d’approvisionnement de substitution. Grâce à ces informations, la Commission serait également mieux équipée pour coordonner les actions à l’échelle de l’UE en vue d’une suppression progressive dans l’ensemble de l’Union européenne et pour se préparer à des d’approvisionnement de substitution.</w:t>
      </w:r>
    </w:p>
    <w:p w14:paraId="5BEED589" w14:textId="77777777" w:rsidR="00F1596C" w:rsidRPr="00352176" w:rsidRDefault="00F1596C" w:rsidP="00BE0EE2">
      <w:pPr>
        <w:spacing w:after="0" w:line="276" w:lineRule="auto"/>
        <w:jc w:val="both"/>
        <w:rPr>
          <w:rFonts w:ascii="Times New Roman" w:hAnsi="Times New Roman" w:cs="Times New Roman"/>
          <w:b/>
          <w:bCs/>
          <w:i/>
          <w:iCs/>
          <w:noProof/>
          <w:sz w:val="24"/>
          <w:szCs w:val="24"/>
          <w:u w:val="single"/>
        </w:rPr>
      </w:pPr>
    </w:p>
    <w:p w14:paraId="6DF91B79" w14:textId="400AB154" w:rsidR="008233EE" w:rsidRPr="00352176" w:rsidRDefault="007A2EED" w:rsidP="00C26C04">
      <w:pPr>
        <w:spacing w:after="0" w:line="276" w:lineRule="auto"/>
        <w:contextualSpacing/>
        <w:jc w:val="both"/>
        <w:rPr>
          <w:rFonts w:ascii="Times New Roman" w:eastAsia="Times New Roman" w:hAnsi="Times New Roman" w:cs="Times New Roman"/>
          <w:noProof/>
          <w:sz w:val="24"/>
          <w:szCs w:val="24"/>
        </w:rPr>
      </w:pPr>
      <w:bookmarkStart w:id="9" w:name="_Hlk196213213"/>
      <w:r>
        <w:rPr>
          <w:rFonts w:ascii="Times New Roman" w:hAnsi="Times New Roman"/>
          <w:noProof/>
          <w:sz w:val="24"/>
        </w:rPr>
        <w:t xml:space="preserve">Pour y parvenir, la Commission a l’intention de présenter d’ici le mois prochain une proposition législative sur des règles visant à accroître la transparence, le suivi et la traçabilité du gaz russe. </w:t>
      </w:r>
      <w:bookmarkEnd w:id="9"/>
      <w:r>
        <w:rPr>
          <w:rFonts w:ascii="Times New Roman" w:hAnsi="Times New Roman"/>
          <w:noProof/>
          <w:sz w:val="24"/>
        </w:rPr>
        <w:t>En vue de renforcer la sécurité de l’approvisionnement et la préparation, la Commission entend inclure des exigences similaires en matière de transparence pour toutes les importations de gaz dans l’UE lors de la prochaine révision de l’architecture en matière de sécurité énergétique en 2026.</w:t>
      </w:r>
    </w:p>
    <w:p w14:paraId="7651B952" w14:textId="77777777" w:rsidR="00603518" w:rsidRPr="00352176" w:rsidRDefault="00603518" w:rsidP="00BE0EE2">
      <w:pPr>
        <w:spacing w:after="0" w:line="276" w:lineRule="auto"/>
        <w:rPr>
          <w:rFonts w:ascii="Times New Roman" w:hAnsi="Times New Roman" w:cs="Times New Roman"/>
          <w:b/>
          <w:bCs/>
          <w:i/>
          <w:iCs/>
          <w:noProof/>
          <w:sz w:val="24"/>
          <w:szCs w:val="24"/>
          <w:u w:val="single"/>
        </w:rPr>
      </w:pPr>
    </w:p>
    <w:p w14:paraId="3AF685B7" w14:textId="77777777" w:rsidR="00176B5A" w:rsidRPr="00352176" w:rsidRDefault="00176B5A" w:rsidP="00BE0EE2">
      <w:pPr>
        <w:spacing w:after="0" w:line="276" w:lineRule="auto"/>
        <w:rPr>
          <w:rFonts w:ascii="Times New Roman" w:hAnsi="Times New Roman" w:cs="Times New Roman"/>
          <w:b/>
          <w:bCs/>
          <w:i/>
          <w:iCs/>
          <w:noProof/>
          <w:sz w:val="24"/>
          <w:szCs w:val="24"/>
          <w:u w:val="single"/>
        </w:rPr>
      </w:pPr>
    </w:p>
    <w:p w14:paraId="73F38A1A" w14:textId="245DD5C6" w:rsidR="008233EE" w:rsidRPr="00352176" w:rsidRDefault="00CE7F15" w:rsidP="007F7226">
      <w:pPr>
        <w:spacing w:after="0" w:line="276" w:lineRule="auto"/>
        <w:jc w:val="both"/>
        <w:rPr>
          <w:rFonts w:ascii="Times New Roman" w:hAnsi="Times New Roman" w:cs="Times New Roman"/>
          <w:b/>
          <w:i/>
          <w:noProof/>
          <w:sz w:val="24"/>
          <w:szCs w:val="24"/>
          <w:u w:val="single"/>
        </w:rPr>
      </w:pPr>
      <w:r>
        <w:rPr>
          <w:rFonts w:ascii="Times New Roman" w:hAnsi="Times New Roman"/>
          <w:b/>
          <w:i/>
          <w:noProof/>
          <w:sz w:val="24"/>
          <w:u w:val="single"/>
        </w:rPr>
        <w:t xml:space="preserve">Action nº 2: Plans nationaux visant à soutenir l’action de l’UE ayant pour objet d’abandonner progressivement le gaz russe </w:t>
      </w:r>
    </w:p>
    <w:p w14:paraId="6105F3CA" w14:textId="77777777" w:rsidR="008233EE" w:rsidRPr="00352176" w:rsidRDefault="008233EE" w:rsidP="00BE0EE2">
      <w:pPr>
        <w:spacing w:after="0" w:line="276" w:lineRule="auto"/>
        <w:jc w:val="both"/>
        <w:rPr>
          <w:rFonts w:ascii="Times New Roman" w:hAnsi="Times New Roman" w:cs="Times New Roman"/>
          <w:b/>
          <w:i/>
          <w:noProof/>
          <w:sz w:val="24"/>
          <w:szCs w:val="24"/>
          <w:u w:val="single"/>
        </w:rPr>
      </w:pPr>
    </w:p>
    <w:p w14:paraId="1EEC9159" w14:textId="717C8C3B" w:rsidR="003A4D56" w:rsidRPr="00352176" w:rsidRDefault="00C325C4" w:rsidP="00BE0EE2">
      <w:pPr>
        <w:spacing w:after="0" w:line="276" w:lineRule="auto"/>
        <w:jc w:val="both"/>
        <w:rPr>
          <w:rFonts w:ascii="Times New Roman" w:eastAsia="Times New Roman" w:hAnsi="Times New Roman" w:cs="Times New Roman"/>
          <w:noProof/>
          <w:sz w:val="24"/>
          <w:szCs w:val="24"/>
        </w:rPr>
      </w:pPr>
      <w:bookmarkStart w:id="10" w:name="_Hlk196213329"/>
      <w:r>
        <w:rPr>
          <w:rFonts w:ascii="Times New Roman" w:hAnsi="Times New Roman"/>
          <w:noProof/>
          <w:sz w:val="24"/>
        </w:rPr>
        <w:t>Un abandon du gaz russe progressif, bien préparé, ordonné et sûr dans l’UE permet de réduire au minimum l’incidence sur les prix, les marchés et la sécurité de l’approvisionnement. La Commission a l’intention de proposer une législation exigeant des États membres qu’ils planifient l’abandon progressif du gaz russe à l’échelle de l’UE et en assurent le suivi</w:t>
      </w:r>
      <w:r>
        <w:rPr>
          <w:rStyle w:val="FootnoteReference"/>
          <w:rFonts w:ascii="Times New Roman" w:eastAsia="Times New Roman" w:hAnsi="Times New Roman" w:cs="Times New Roman"/>
          <w:noProof/>
          <w:sz w:val="24"/>
          <w:szCs w:val="24"/>
        </w:rPr>
        <w:footnoteReference w:id="25"/>
      </w:r>
      <w:r>
        <w:rPr>
          <w:rFonts w:ascii="Times New Roman" w:hAnsi="Times New Roman"/>
          <w:noProof/>
          <w:sz w:val="24"/>
        </w:rPr>
        <w:t>.</w:t>
      </w:r>
    </w:p>
    <w:p w14:paraId="2F726500" w14:textId="77777777" w:rsidR="00C753D3" w:rsidRPr="00352176" w:rsidRDefault="00C753D3" w:rsidP="00BE0EE2">
      <w:pPr>
        <w:spacing w:after="0" w:line="276" w:lineRule="auto"/>
        <w:jc w:val="both"/>
        <w:rPr>
          <w:rFonts w:ascii="Times New Roman" w:eastAsia="Times New Roman" w:hAnsi="Times New Roman" w:cs="Times New Roman"/>
          <w:noProof/>
          <w:sz w:val="24"/>
          <w:szCs w:val="24"/>
        </w:rPr>
      </w:pPr>
    </w:p>
    <w:p w14:paraId="75304456" w14:textId="6A093647" w:rsidR="008233EE" w:rsidRPr="00352176" w:rsidRDefault="004823B5" w:rsidP="00BE0EE2">
      <w:pPr>
        <w:spacing w:after="0" w:line="276" w:lineRule="auto"/>
        <w:jc w:val="both"/>
        <w:rPr>
          <w:rFonts w:ascii="Times New Roman" w:eastAsia="Times New Roman" w:hAnsi="Times New Roman" w:cs="Times New Roman"/>
          <w:noProof/>
          <w:sz w:val="24"/>
          <w:szCs w:val="24"/>
        </w:rPr>
      </w:pPr>
      <w:bookmarkStart w:id="11" w:name="_Hlk196213370"/>
      <w:bookmarkEnd w:id="10"/>
      <w:r>
        <w:rPr>
          <w:rFonts w:ascii="Times New Roman" w:hAnsi="Times New Roman"/>
          <w:noProof/>
          <w:sz w:val="24"/>
        </w:rPr>
        <w:t>Les plans nationaux devraient, entre autres:</w:t>
      </w:r>
    </w:p>
    <w:p w14:paraId="582380CA" w14:textId="77777777" w:rsidR="003A4D82" w:rsidRPr="00352176" w:rsidRDefault="003A4D82" w:rsidP="00BE0EE2">
      <w:pPr>
        <w:spacing w:after="0" w:line="276" w:lineRule="auto"/>
        <w:jc w:val="both"/>
        <w:rPr>
          <w:rFonts w:ascii="Times New Roman" w:eastAsia="Times New Roman" w:hAnsi="Times New Roman" w:cs="Times New Roman"/>
          <w:noProof/>
          <w:sz w:val="24"/>
          <w:szCs w:val="24"/>
        </w:rPr>
      </w:pPr>
    </w:p>
    <w:p w14:paraId="4D39E055" w14:textId="197C9CEF" w:rsidR="000A150C" w:rsidRPr="00352176" w:rsidRDefault="000A150C" w:rsidP="002D2E6A">
      <w:pPr>
        <w:pStyle w:val="ListParagraph"/>
        <w:numPr>
          <w:ilvl w:val="0"/>
          <w:numId w:val="3"/>
        </w:num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indiquer le volume des importations de gaz russe dans le cadre de contrats existants, y compris pour les contrats assortis de clauses de consommation minimale facturée (dites «</w:t>
      </w:r>
      <w:r>
        <w:rPr>
          <w:rFonts w:ascii="Times New Roman" w:hAnsi="Times New Roman"/>
          <w:i/>
          <w:noProof/>
          <w:sz w:val="24"/>
        </w:rPr>
        <w:t>take or pay</w:t>
      </w:r>
      <w:r>
        <w:rPr>
          <w:rFonts w:ascii="Times New Roman" w:hAnsi="Times New Roman"/>
          <w:noProof/>
          <w:sz w:val="24"/>
        </w:rPr>
        <w:t>»)</w:t>
      </w:r>
      <w:r>
        <w:rPr>
          <w:rStyle w:val="FootnoteReference"/>
          <w:rFonts w:ascii="Times New Roman" w:eastAsia="Times New Roman" w:hAnsi="Times New Roman" w:cs="Times New Roman"/>
          <w:noProof/>
          <w:sz w:val="24"/>
          <w:szCs w:val="24"/>
        </w:rPr>
        <w:footnoteReference w:id="26"/>
      </w:r>
      <w:r>
        <w:rPr>
          <w:rFonts w:ascii="Times New Roman" w:hAnsi="Times New Roman"/>
          <w:noProof/>
          <w:sz w:val="24"/>
        </w:rPr>
        <w:t>;</w:t>
      </w:r>
    </w:p>
    <w:bookmarkEnd w:id="11"/>
    <w:p w14:paraId="57BA87B5" w14:textId="31F995F9" w:rsidR="008233EE" w:rsidRPr="00352176" w:rsidRDefault="00C16983" w:rsidP="00BE0EE2">
      <w:pPr>
        <w:pStyle w:val="ListParagraph"/>
        <w:numPr>
          <w:ilvl w:val="0"/>
          <w:numId w:val="3"/>
        </w:num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prévoir un calendrier, y compris des jalons soutenant les mesures de l’Union, visant à atteindre l’objectif d’abandon progressif du gaz russe;</w:t>
      </w:r>
    </w:p>
    <w:p w14:paraId="591ABF9A" w14:textId="192AC114" w:rsidR="00340A39" w:rsidRPr="00352176" w:rsidRDefault="00C16983" w:rsidP="00BE0EE2">
      <w:pPr>
        <w:pStyle w:val="ListParagraph"/>
        <w:numPr>
          <w:ilvl w:val="0"/>
          <w:numId w:val="3"/>
        </w:num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prévoir des options de diversification ainsi que les capacités techniques pour remplacer le gaz russe, y compris par la coopération au sein de groupes régionaux existants. </w:t>
      </w:r>
    </w:p>
    <w:p w14:paraId="37C5E023" w14:textId="77777777" w:rsidR="008233EE" w:rsidRPr="00352176" w:rsidRDefault="008233EE" w:rsidP="00BE0EE2">
      <w:pPr>
        <w:spacing w:after="0" w:line="276" w:lineRule="auto"/>
        <w:jc w:val="both"/>
        <w:rPr>
          <w:rFonts w:ascii="Times New Roman" w:eastAsia="Times New Roman" w:hAnsi="Times New Roman" w:cs="Times New Roman"/>
          <w:noProof/>
          <w:sz w:val="24"/>
          <w:szCs w:val="24"/>
        </w:rPr>
      </w:pPr>
    </w:p>
    <w:p w14:paraId="3D34757B" w14:textId="5083C00F" w:rsidR="008233EE" w:rsidRPr="00352176" w:rsidRDefault="00E237F5" w:rsidP="00BE0EE2">
      <w:p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La Commission soutiendra les États membres dans l’élaboration de ces plans, par l’intermédiaire de groupes de travail et de coordination déjà mis en place, comme le groupe de coordination pour le gaz, ou d’un sous-groupe spécialisé ainsi que de groupes régionaux.</w:t>
      </w:r>
    </w:p>
    <w:p w14:paraId="27B3E5C0" w14:textId="77777777" w:rsidR="0007052E" w:rsidRPr="00352176" w:rsidRDefault="0007052E" w:rsidP="00BE0EE2">
      <w:pPr>
        <w:spacing w:after="0" w:line="276" w:lineRule="auto"/>
        <w:jc w:val="both"/>
        <w:rPr>
          <w:rFonts w:ascii="Times New Roman" w:eastAsia="Times New Roman" w:hAnsi="Times New Roman" w:cs="Times New Roman"/>
          <w:noProof/>
          <w:sz w:val="24"/>
          <w:szCs w:val="24"/>
        </w:rPr>
      </w:pPr>
    </w:p>
    <w:p w14:paraId="49EBF3E3" w14:textId="080BBB45" w:rsidR="007E2B1D" w:rsidRPr="00352176" w:rsidRDefault="008233EE" w:rsidP="004F2871">
      <w:p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La Commission a l’intention de présenter, le mois prochain, une proposition législative relative aux plans nationaux visant à abandonner progressivement le gaz russe et recommande que les États membres présentent déjà leurs premiers plans nationaux d’ici la fin de 2025 afin de permettre un abandon progressif sûr, coordonné et bien préparé.</w:t>
      </w:r>
    </w:p>
    <w:p w14:paraId="7142D751" w14:textId="77777777" w:rsidR="00F76FF0" w:rsidRDefault="00F76FF0" w:rsidP="00BE0EE2">
      <w:pPr>
        <w:spacing w:line="276" w:lineRule="auto"/>
        <w:rPr>
          <w:rFonts w:ascii="Times New Roman" w:hAnsi="Times New Roman" w:cs="Times New Roman"/>
          <w:noProof/>
          <w:sz w:val="24"/>
          <w:szCs w:val="24"/>
        </w:rPr>
      </w:pPr>
    </w:p>
    <w:p w14:paraId="3AA6B235" w14:textId="19B7E101" w:rsidR="00034178" w:rsidRPr="00352176" w:rsidRDefault="00C766B6" w:rsidP="00BE0EE2">
      <w:pPr>
        <w:spacing w:after="0" w:line="276" w:lineRule="auto"/>
        <w:rPr>
          <w:rFonts w:ascii="Times New Roman" w:hAnsi="Times New Roman" w:cs="Times New Roman"/>
          <w:b/>
          <w:bCs/>
          <w:i/>
          <w:iCs/>
          <w:noProof/>
          <w:sz w:val="24"/>
          <w:szCs w:val="24"/>
          <w:u w:val="single"/>
        </w:rPr>
      </w:pPr>
      <w:r>
        <w:rPr>
          <w:rFonts w:ascii="Times New Roman" w:hAnsi="Times New Roman"/>
          <w:b/>
          <w:i/>
          <w:noProof/>
          <w:sz w:val="24"/>
          <w:u w:val="single"/>
        </w:rPr>
        <w:t>Action nº 3: Interdiction progressive des importations de gaz russe</w:t>
      </w:r>
    </w:p>
    <w:p w14:paraId="4EF34D2C" w14:textId="77777777" w:rsidR="00034178" w:rsidRPr="00352176" w:rsidRDefault="00034178" w:rsidP="00BE0EE2">
      <w:pPr>
        <w:spacing w:after="0" w:line="276" w:lineRule="auto"/>
        <w:rPr>
          <w:rFonts w:ascii="Times New Roman" w:hAnsi="Times New Roman" w:cs="Times New Roman"/>
          <w:b/>
          <w:bCs/>
          <w:i/>
          <w:iCs/>
          <w:noProof/>
          <w:sz w:val="24"/>
          <w:szCs w:val="24"/>
          <w:u w:val="single"/>
        </w:rPr>
      </w:pPr>
    </w:p>
    <w:p w14:paraId="04E70BF8" w14:textId="54AA7C85" w:rsidR="00F43ED3" w:rsidRPr="00352176" w:rsidRDefault="00C325C4" w:rsidP="00C600EE">
      <w:pPr>
        <w:spacing w:after="0" w:line="276" w:lineRule="auto"/>
        <w:jc w:val="both"/>
        <w:rPr>
          <w:rFonts w:ascii="Times New Roman" w:hAnsi="Times New Roman" w:cs="Times New Roman"/>
          <w:noProof/>
          <w:sz w:val="24"/>
          <w:szCs w:val="24"/>
        </w:rPr>
      </w:pPr>
      <w:bookmarkStart w:id="12" w:name="_Hlk196213567"/>
      <w:r>
        <w:rPr>
          <w:rFonts w:ascii="Times New Roman" w:hAnsi="Times New Roman"/>
          <w:noProof/>
          <w:sz w:val="24"/>
        </w:rPr>
        <w:t>Sur la base des préparatifs européens conjoints et de l’évaluation de l’incidence des mesures mises en œuvre par la Commission depuis la déclaration de Versailles, notamment concernant les effets sur la sécurité de l’approvisionnement en gaz, le marché, les prix et les aspects juridiques (y compris les contrats), la Commission a l’intention de proposer des mesures législatives en vue de la suppression progressive effective des importations de gaz en provenance de Russie.</w:t>
      </w:r>
    </w:p>
    <w:p w14:paraId="2EC2CDD0" w14:textId="77777777" w:rsidR="00F43ED3" w:rsidRPr="00324FED" w:rsidRDefault="00F43ED3" w:rsidP="00F43ED3">
      <w:pPr>
        <w:spacing w:after="0" w:line="276" w:lineRule="auto"/>
        <w:jc w:val="both"/>
        <w:rPr>
          <w:rFonts w:ascii="Times New Roman" w:hAnsi="Times New Roman" w:cs="Times New Roman"/>
          <w:noProof/>
          <w:sz w:val="24"/>
          <w:szCs w:val="24"/>
          <w:lang w:val="fr-BE"/>
        </w:rPr>
      </w:pPr>
    </w:p>
    <w:p w14:paraId="56F89FA3" w14:textId="37ECDE92" w:rsidR="00F60434" w:rsidRPr="00352176" w:rsidRDefault="00322E7D" w:rsidP="00BE0EE2">
      <w:pPr>
        <w:spacing w:after="0" w:line="276" w:lineRule="auto"/>
        <w:contextualSpacing/>
        <w:jc w:val="both"/>
        <w:rPr>
          <w:rFonts w:ascii="Times New Roman" w:hAnsi="Times New Roman" w:cs="Times New Roman"/>
          <w:noProof/>
          <w:sz w:val="24"/>
          <w:szCs w:val="24"/>
        </w:rPr>
      </w:pPr>
      <w:bookmarkStart w:id="13" w:name="_Hlk196213615"/>
      <w:bookmarkEnd w:id="12"/>
      <w:r>
        <w:rPr>
          <w:rFonts w:ascii="Times New Roman" w:hAnsi="Times New Roman"/>
          <w:noProof/>
          <w:sz w:val="24"/>
        </w:rPr>
        <w:t>Pour autant que la suppression progressive soit graduelle et que d’autres sources d’approvisionnement soient garanties, l’interdiction des importations de gaz russe devrait avoir une incidence limitée sur les prix et sur la sécurité de l’approvisionnement dans les États membres, pour les raisons suivantes:</w:t>
      </w:r>
    </w:p>
    <w:bookmarkEnd w:id="13"/>
    <w:p w14:paraId="1B112315" w14:textId="77777777" w:rsidR="00F60434" w:rsidRPr="00352176" w:rsidRDefault="00F60434" w:rsidP="00BE0EE2">
      <w:pPr>
        <w:spacing w:after="0" w:line="276" w:lineRule="auto"/>
        <w:contextualSpacing/>
        <w:jc w:val="both"/>
        <w:rPr>
          <w:rFonts w:ascii="Times New Roman" w:hAnsi="Times New Roman" w:cs="Times New Roman"/>
          <w:noProof/>
          <w:sz w:val="24"/>
          <w:szCs w:val="24"/>
        </w:rPr>
      </w:pPr>
    </w:p>
    <w:p w14:paraId="595C99D3" w14:textId="47F9FB8B" w:rsidR="00306597" w:rsidRPr="00352176" w:rsidRDefault="00306597" w:rsidP="00306597">
      <w:pPr>
        <w:pStyle w:val="ListParagraph"/>
        <w:numPr>
          <w:ilvl w:val="0"/>
          <w:numId w:val="32"/>
        </w:numPr>
        <w:spacing w:after="0" w:line="276" w:lineRule="auto"/>
        <w:jc w:val="both"/>
        <w:rPr>
          <w:rFonts w:ascii="Times New Roman" w:hAnsi="Times New Roman" w:cs="Times New Roman"/>
          <w:noProof/>
        </w:rPr>
      </w:pPr>
      <w:r>
        <w:rPr>
          <w:rFonts w:ascii="Times New Roman" w:hAnsi="Times New Roman"/>
          <w:noProof/>
          <w:sz w:val="24"/>
        </w:rPr>
        <w:t>La mise en œuvre des objectifs énergétiques de l’UE et des cadres réglementaires d’appui</w:t>
      </w:r>
      <w:r>
        <w:rPr>
          <w:rStyle w:val="FootnoteReference"/>
          <w:rFonts w:ascii="Times New Roman" w:hAnsi="Times New Roman" w:cs="Times New Roman"/>
          <w:noProof/>
          <w:sz w:val="24"/>
          <w:szCs w:val="24"/>
        </w:rPr>
        <w:footnoteReference w:id="27"/>
      </w:r>
      <w:r>
        <w:rPr>
          <w:rFonts w:ascii="Times New Roman" w:hAnsi="Times New Roman"/>
          <w:noProof/>
          <w:sz w:val="24"/>
        </w:rPr>
        <w:t xml:space="preserve"> accéléreront le déploiement des énergies renouvelables et de l’efficacité énergétique dans l’ensemble de l’Union. Selon les estimations, l’UE pourrait économiser plus de 15 milliards de m³ de gaz par an, ce qui réduirait sa demande globale de gaz de 40 à 50 milliards de m³ d’ici à 2027.</w:t>
      </w:r>
    </w:p>
    <w:p w14:paraId="4A733B61" w14:textId="77777777" w:rsidR="00306597" w:rsidRPr="00352176" w:rsidRDefault="00306597" w:rsidP="00577D1F">
      <w:pPr>
        <w:pStyle w:val="ListParagraph"/>
        <w:spacing w:after="0" w:line="276" w:lineRule="auto"/>
        <w:jc w:val="both"/>
        <w:rPr>
          <w:rFonts w:ascii="Times New Roman" w:hAnsi="Times New Roman" w:cs="Times New Roman"/>
          <w:noProof/>
        </w:rPr>
      </w:pPr>
    </w:p>
    <w:p w14:paraId="5176F733" w14:textId="5EF5886C" w:rsidR="002E49A3" w:rsidRPr="00352176" w:rsidRDefault="00F60434" w:rsidP="00BE0EE2">
      <w:pPr>
        <w:pStyle w:val="ListParagraph"/>
        <w:numPr>
          <w:ilvl w:val="0"/>
          <w:numId w:val="32"/>
        </w:numPr>
        <w:spacing w:after="0" w:line="276" w:lineRule="auto"/>
        <w:jc w:val="both"/>
        <w:rPr>
          <w:rFonts w:ascii="Times New Roman" w:hAnsi="Times New Roman" w:cs="Times New Roman"/>
          <w:noProof/>
        </w:rPr>
      </w:pPr>
      <w:r>
        <w:rPr>
          <w:rFonts w:ascii="Times New Roman" w:hAnsi="Times New Roman"/>
          <w:noProof/>
          <w:sz w:val="24"/>
        </w:rPr>
        <w:t>Selon l’Agence internationale de l’énergie (AIE), un approvisionnement supplémentaire en GNL à l’échelle mondiale devrait être disponible dans les années à venir, ce qui améliorera l’équilibre du marché mondial</w:t>
      </w:r>
      <w:r>
        <w:rPr>
          <w:rStyle w:val="FootnoteReference"/>
          <w:rFonts w:ascii="Times New Roman" w:hAnsi="Times New Roman" w:cs="Times New Roman"/>
          <w:noProof/>
          <w:sz w:val="24"/>
          <w:szCs w:val="24"/>
        </w:rPr>
        <w:footnoteReference w:id="28"/>
      </w:r>
      <w:r>
        <w:rPr>
          <w:rFonts w:ascii="Times New Roman" w:hAnsi="Times New Roman"/>
          <w:noProof/>
          <w:sz w:val="24"/>
        </w:rPr>
        <w:t xml:space="preserve">. Alors que les marchés mondiaux du GNL resteront tendus en 2025, de nouvelles capacités de GNL de 85 à 90 milliards de m³ sont prévues pour la fin de 2026, en particulier en provenance des États-Unis, du Canada, du Qatar et de pays africains. Ces nouvelles capacités devraient compenser l’augmentation prévue de la demande mondiale. D’ici à 2030, la capacité mondiale d’exportation de GNL devrait augmenter d’environ 250 milliards de m³, soit une augmentation de près de 50 % par rapport à l’approvisionnement existant en GNL. </w:t>
      </w:r>
    </w:p>
    <w:p w14:paraId="016D1455" w14:textId="77777777" w:rsidR="002E49A3" w:rsidRPr="00352176" w:rsidRDefault="002E49A3" w:rsidP="00BE0EE2">
      <w:pPr>
        <w:pStyle w:val="ListParagraph"/>
        <w:spacing w:after="0" w:line="276" w:lineRule="auto"/>
        <w:jc w:val="both"/>
        <w:rPr>
          <w:rFonts w:ascii="Times New Roman" w:hAnsi="Times New Roman" w:cs="Times New Roman"/>
          <w:noProof/>
        </w:rPr>
      </w:pPr>
    </w:p>
    <w:p w14:paraId="76AF2E6C" w14:textId="6D2BEBFE" w:rsidR="001876D6" w:rsidRPr="00352176" w:rsidRDefault="00F60434" w:rsidP="001876D6">
      <w:pPr>
        <w:pStyle w:val="ListParagraph"/>
        <w:numPr>
          <w:ilvl w:val="0"/>
          <w:numId w:val="32"/>
        </w:numPr>
        <w:spacing w:after="0" w:line="276" w:lineRule="auto"/>
        <w:jc w:val="both"/>
        <w:rPr>
          <w:rFonts w:ascii="Times New Roman" w:hAnsi="Times New Roman" w:cs="Times New Roman"/>
          <w:noProof/>
        </w:rPr>
      </w:pPr>
      <w:r>
        <w:rPr>
          <w:rFonts w:ascii="Times New Roman" w:hAnsi="Times New Roman"/>
          <w:noProof/>
          <w:sz w:val="24"/>
        </w:rPr>
        <w:t>Les États membres sont bien équipés pour recevoir des approvisionnements en GNL de la part de partenaires mondiaux grâce à des efforts et des investissements coordonnés déployés au début de la crise énergétique. Entre 2022 et 2024, un nombre record de douze nouveaux terminaux GNL et de six projets d’expansion ont été mis en service, ajoutant 70 milliards de m³ de capacité d’importation de GNL à ce dont l’UE disposait déjà. Il s’agit notamment de terminaux GNL d’Alexandroupolis (Grèce), de Ravenne (Italie), de Krk (Croatie), de Swinoujscie (Pologne) et de Wilhelmshaven 2, Mukran, Stade et Lubmin (Allemagne). Il en résulte que la capacité totale d’importation de GNL de l’UE s’élève à environ 250 milliards de m³ par an, soit plus du double des importations actuelles de GNL.</w:t>
      </w:r>
    </w:p>
    <w:p w14:paraId="3994DFE5" w14:textId="77777777" w:rsidR="001876D6" w:rsidRPr="00352176" w:rsidRDefault="001876D6" w:rsidP="001876D6">
      <w:pPr>
        <w:pStyle w:val="ListParagraph"/>
        <w:rPr>
          <w:rFonts w:ascii="Times New Roman" w:hAnsi="Times New Roman" w:cs="Times New Roman"/>
          <w:noProof/>
          <w:sz w:val="24"/>
          <w:szCs w:val="24"/>
        </w:rPr>
      </w:pPr>
    </w:p>
    <w:p w14:paraId="45206923" w14:textId="28298579" w:rsidR="002E33D7" w:rsidRPr="00352176" w:rsidRDefault="002E33D7" w:rsidP="001876D6">
      <w:pPr>
        <w:pStyle w:val="ListParagraph"/>
        <w:numPr>
          <w:ilvl w:val="0"/>
          <w:numId w:val="32"/>
        </w:numPr>
        <w:spacing w:after="0" w:line="276" w:lineRule="auto"/>
        <w:jc w:val="both"/>
        <w:rPr>
          <w:rFonts w:ascii="Times New Roman" w:hAnsi="Times New Roman" w:cs="Times New Roman"/>
          <w:noProof/>
        </w:rPr>
      </w:pPr>
      <w:r>
        <w:rPr>
          <w:rFonts w:ascii="Times New Roman" w:hAnsi="Times New Roman"/>
          <w:noProof/>
          <w:sz w:val="24"/>
        </w:rPr>
        <w:t xml:space="preserve">Davantage de volumes de gaz seront également disponibles dans les années à venir en Europe centrale et du Sud-Est, une région traditionnellement tributaire de l’approvisionnement russe par gazoduc. À partir de 2027, le gisement gazier offshore «Neptun Deep» en Roumanie devrait produire 8 milliards de m³ de gaz naturel par an au cours des dix premières années de son exploitation. À partir de 2026, la capacité du gazoduc transadriatique sera augmentée de 1,2 milliard de m³, ce qui permettra d’accroître les importations de gaz en provenance d’Azerbaïdjan. </w:t>
      </w:r>
    </w:p>
    <w:p w14:paraId="351C3AFD" w14:textId="77777777" w:rsidR="00D0119A" w:rsidRPr="00352176" w:rsidRDefault="00D0119A" w:rsidP="00BE0EE2">
      <w:pPr>
        <w:pStyle w:val="ListParagraph"/>
        <w:spacing w:line="276" w:lineRule="auto"/>
        <w:rPr>
          <w:rFonts w:ascii="Times New Roman" w:hAnsi="Times New Roman" w:cs="Times New Roman"/>
          <w:noProof/>
        </w:rPr>
      </w:pPr>
    </w:p>
    <w:p w14:paraId="3FF1DF73" w14:textId="77777777" w:rsidR="00D0119A" w:rsidRPr="00352176" w:rsidRDefault="00D0119A" w:rsidP="00BE0EE2">
      <w:pPr>
        <w:pStyle w:val="ListParagraph"/>
        <w:numPr>
          <w:ilvl w:val="0"/>
          <w:numId w:val="32"/>
        </w:numPr>
        <w:spacing w:after="0" w:line="276" w:lineRule="auto"/>
        <w:jc w:val="both"/>
        <w:rPr>
          <w:rFonts w:ascii="Times New Roman" w:hAnsi="Times New Roman" w:cs="Times New Roman"/>
          <w:noProof/>
          <w:sz w:val="24"/>
          <w:szCs w:val="24"/>
        </w:rPr>
      </w:pPr>
      <w:r>
        <w:rPr>
          <w:rFonts w:ascii="Times New Roman" w:hAnsi="Times New Roman"/>
          <w:noProof/>
          <w:sz w:val="24"/>
        </w:rPr>
        <w:t>Les infrastructures gazières de l’UE sont suffisamment flexibles, avec des itinéraires de substitution et des points d’interconnexion transfrontières permettant à tous les États membres d’accéder aux importations de GNL et aux gazoducs en provenance de sources non russes. Depuis 2022, les États membres ont mis au point des infrastructures clés, et des infrastructures supplémentaires seront finalisées d’ici la fin de 2028.</w:t>
      </w:r>
    </w:p>
    <w:p w14:paraId="59671AC0" w14:textId="77777777" w:rsidR="00D0119A" w:rsidRPr="00352176" w:rsidRDefault="00D0119A" w:rsidP="00BE0EE2">
      <w:pPr>
        <w:spacing w:line="276" w:lineRule="auto"/>
        <w:rPr>
          <w:rFonts w:ascii="Times New Roman" w:hAnsi="Times New Roman" w:cs="Times New Roman"/>
          <w:noProof/>
          <w:sz w:val="24"/>
          <w:szCs w:val="24"/>
        </w:rPr>
      </w:pPr>
    </w:p>
    <w:p w14:paraId="5DA7C3EC" w14:textId="653FD374" w:rsidR="00BD5D21" w:rsidRPr="00352176" w:rsidRDefault="00485DCA" w:rsidP="00485DCA">
      <w:pPr>
        <w:spacing w:after="0" w:line="276" w:lineRule="auto"/>
        <w:jc w:val="both"/>
        <w:rPr>
          <w:rFonts w:ascii="Times New Roman" w:hAnsi="Times New Roman" w:cs="Times New Roman"/>
          <w:noProof/>
          <w:sz w:val="24"/>
          <w:szCs w:val="24"/>
        </w:rPr>
      </w:pPr>
      <w:bookmarkStart w:id="14" w:name="_Hlk196213996"/>
      <w:r>
        <w:rPr>
          <w:rFonts w:ascii="Times New Roman" w:hAnsi="Times New Roman"/>
          <w:noProof/>
          <w:sz w:val="24"/>
        </w:rPr>
        <w:t>Environ deux tiers des importations russes de GNL et de gaz par gazoduc reposent sur des contrats à long terme existants, avec une destination dans l’UE. Les volumes restants sont fournis à court terme (contrats «</w:t>
      </w:r>
      <w:r>
        <w:rPr>
          <w:rFonts w:ascii="Times New Roman" w:hAnsi="Times New Roman"/>
          <w:i/>
          <w:noProof/>
          <w:sz w:val="24"/>
        </w:rPr>
        <w:t>spot</w:t>
      </w:r>
      <w:r>
        <w:rPr>
          <w:rFonts w:ascii="Times New Roman" w:hAnsi="Times New Roman"/>
          <w:noProof/>
          <w:sz w:val="24"/>
        </w:rPr>
        <w:t xml:space="preserve">» ou au comptant), les importateurs décidant des achats en fonction de leurs besoins et des conditions du marché. Compte tenu de la durée plus longue et des volumes plus importants des contrats à long terme existants, par rapport aux volumes généralement achetés dans le cadre de contrats de fourniture au comptant, il convient d’organiser la suppression progressive des importations de gaz russe en deux étapes, en commençant immédiatement par tous les nouveaux contrats et tous les contrats au comptant (à court terme) existants. </w:t>
      </w:r>
    </w:p>
    <w:bookmarkEnd w:id="14"/>
    <w:p w14:paraId="70CE8306" w14:textId="77777777" w:rsidR="00BD5D21" w:rsidRPr="00352176" w:rsidRDefault="00BD5D21" w:rsidP="00485DCA">
      <w:pPr>
        <w:spacing w:after="0" w:line="276" w:lineRule="auto"/>
        <w:jc w:val="both"/>
        <w:rPr>
          <w:rFonts w:ascii="Times New Roman" w:hAnsi="Times New Roman" w:cs="Times New Roman"/>
          <w:noProof/>
          <w:sz w:val="24"/>
          <w:szCs w:val="24"/>
        </w:rPr>
      </w:pPr>
    </w:p>
    <w:p w14:paraId="3E3CB4D6" w14:textId="5E39DA6B" w:rsidR="00F625C5" w:rsidRPr="00352176" w:rsidRDefault="003A0837" w:rsidP="009E227A">
      <w:pPr>
        <w:spacing w:after="0" w:line="276" w:lineRule="auto"/>
        <w:jc w:val="both"/>
        <w:rPr>
          <w:rFonts w:ascii="Times New Roman" w:hAnsi="Times New Roman" w:cs="Times New Roman"/>
          <w:noProof/>
          <w:sz w:val="24"/>
          <w:szCs w:val="24"/>
        </w:rPr>
      </w:pPr>
      <w:r>
        <w:rPr>
          <w:rFonts w:ascii="Times New Roman" w:hAnsi="Times New Roman"/>
          <w:noProof/>
          <w:sz w:val="24"/>
        </w:rPr>
        <w:t>Une approche graduelle de la suppression des importations de gaz russe permettrait aux marchés de mieux s’adapter et de réduire au minimum l’incidence sur le marché et les implications potentielles pour la sécurité de l’approvisionnement.</w:t>
      </w:r>
    </w:p>
    <w:p w14:paraId="79D05EAE" w14:textId="77777777" w:rsidR="00E95A92" w:rsidRPr="00352176" w:rsidRDefault="00E95A92" w:rsidP="009E227A">
      <w:pPr>
        <w:spacing w:after="0" w:line="276" w:lineRule="auto"/>
        <w:jc w:val="both"/>
        <w:rPr>
          <w:rFonts w:ascii="Times New Roman" w:hAnsi="Times New Roman" w:cs="Times New Roman"/>
          <w:noProof/>
          <w:sz w:val="24"/>
          <w:szCs w:val="24"/>
        </w:rPr>
      </w:pPr>
    </w:p>
    <w:p w14:paraId="4B847497" w14:textId="55A2B315" w:rsidR="00E95A92" w:rsidRPr="00352176" w:rsidRDefault="008033D3" w:rsidP="009E227A">
      <w:pPr>
        <w:spacing w:after="0" w:line="276" w:lineRule="auto"/>
        <w:jc w:val="both"/>
        <w:rPr>
          <w:rFonts w:ascii="Times New Roman" w:hAnsi="Times New Roman" w:cs="Times New Roman"/>
          <w:noProof/>
          <w:sz w:val="24"/>
          <w:szCs w:val="24"/>
        </w:rPr>
      </w:pPr>
      <w:r>
        <w:rPr>
          <w:rFonts w:ascii="Times New Roman" w:hAnsi="Times New Roman"/>
          <w:noProof/>
          <w:sz w:val="24"/>
        </w:rPr>
        <w:t>La Commission veillera à ce que les mesures visant à supprimer les importations de gaz russe soient conçues de manière à limiter au minimum l’incidence économique sur les acteurs du marché et à respecter pleinement le droit de l’UE et les obligations qui lui incombent au titre du droit international.</w:t>
      </w:r>
    </w:p>
    <w:p w14:paraId="36C3C947" w14:textId="77777777" w:rsidR="009E227A" w:rsidRPr="00352176" w:rsidRDefault="009E227A" w:rsidP="009E227A">
      <w:pPr>
        <w:spacing w:after="0" w:line="276" w:lineRule="auto"/>
        <w:jc w:val="both"/>
        <w:rPr>
          <w:rFonts w:ascii="Times New Roman" w:hAnsi="Times New Roman" w:cs="Times New Roman"/>
          <w:noProof/>
          <w:sz w:val="24"/>
          <w:szCs w:val="24"/>
        </w:rPr>
      </w:pPr>
    </w:p>
    <w:p w14:paraId="31A605CE" w14:textId="0A631AD8" w:rsidR="00694E19" w:rsidRPr="00352176" w:rsidRDefault="00926400" w:rsidP="00B35101">
      <w:pPr>
        <w:pStyle w:val="ListParagraph"/>
        <w:numPr>
          <w:ilvl w:val="1"/>
          <w:numId w:val="39"/>
        </w:numPr>
        <w:spacing w:after="120" w:line="276" w:lineRule="auto"/>
        <w:ind w:left="709"/>
        <w:jc w:val="both"/>
        <w:rPr>
          <w:rFonts w:ascii="Times New Roman" w:hAnsi="Times New Roman" w:cs="Times New Roman"/>
          <w:b/>
          <w:bCs/>
          <w:noProof/>
          <w:sz w:val="24"/>
          <w:szCs w:val="24"/>
        </w:rPr>
      </w:pPr>
      <w:r>
        <w:rPr>
          <w:rFonts w:ascii="Times New Roman" w:hAnsi="Times New Roman"/>
          <w:b/>
          <w:noProof/>
          <w:sz w:val="24"/>
        </w:rPr>
        <w:t xml:space="preserve">Interdiction des importations de gaz russe dans le cadre de nouveaux contrats et de contrats au comptant existants </w:t>
      </w:r>
    </w:p>
    <w:p w14:paraId="094FEB2C" w14:textId="0F514EE9" w:rsidR="008051DB" w:rsidRPr="00352176" w:rsidRDefault="00A64D2A" w:rsidP="00BE0EE2">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Puisque les contrats au comptant concernent une partie moins importante de l’ensemble des volumes russes et impliquent des livraisons à court terme, il est possible de supprimer progressivement les volumes correspondants dans un délai relativement court. La Commission a l’intention de présenter, le mois prochain, une proposition législative visant à interdire toutes les importations dans le cadre de nouveaux contrats gaziers russes et de contrats au comptant existants. Cette interdiction devrait prendre effet au plus tard à la fin de 2025. </w:t>
      </w:r>
    </w:p>
    <w:p w14:paraId="633C168C" w14:textId="04E28DB2" w:rsidR="00763A22" w:rsidRPr="00352176" w:rsidRDefault="00763A22" w:rsidP="00763A22">
      <w:pPr>
        <w:tabs>
          <w:tab w:val="left" w:pos="1220"/>
        </w:tabs>
        <w:rPr>
          <w:rFonts w:ascii="Times New Roman" w:hAnsi="Times New Roman" w:cs="Times New Roman"/>
          <w:noProof/>
          <w:sz w:val="24"/>
          <w:szCs w:val="24"/>
        </w:rPr>
      </w:pPr>
      <w:r>
        <w:rPr>
          <w:noProof/>
        </w:rPr>
        <w:tab/>
      </w:r>
    </w:p>
    <w:p w14:paraId="4DC0E04B" w14:textId="49F25871" w:rsidR="001D17A7" w:rsidRPr="00352176" w:rsidRDefault="00B35101" w:rsidP="00F21330">
      <w:pPr>
        <w:pStyle w:val="ListParagraph"/>
        <w:keepNext/>
        <w:numPr>
          <w:ilvl w:val="0"/>
          <w:numId w:val="39"/>
        </w:numPr>
        <w:spacing w:after="120" w:line="276" w:lineRule="auto"/>
        <w:ind w:left="714" w:hanging="357"/>
        <w:jc w:val="both"/>
        <w:rPr>
          <w:rFonts w:ascii="Times New Roman" w:hAnsi="Times New Roman" w:cs="Times New Roman"/>
          <w:b/>
          <w:bCs/>
          <w:noProof/>
          <w:sz w:val="24"/>
          <w:szCs w:val="24"/>
        </w:rPr>
      </w:pPr>
      <w:r>
        <w:rPr>
          <w:rFonts w:ascii="Times New Roman" w:hAnsi="Times New Roman"/>
          <w:b/>
          <w:noProof/>
          <w:sz w:val="24"/>
        </w:rPr>
        <w:t>Interdiction des importations de gaz russe dans le cadre de contrats à long terme existants</w:t>
      </w:r>
    </w:p>
    <w:p w14:paraId="71294FB7" w14:textId="77777777" w:rsidR="00B66D58" w:rsidRPr="00352176" w:rsidRDefault="0033315B" w:rsidP="00602044">
      <w:pPr>
        <w:spacing w:after="120" w:line="276" w:lineRule="auto"/>
        <w:jc w:val="both"/>
        <w:rPr>
          <w:rFonts w:ascii="Times New Roman" w:hAnsi="Times New Roman" w:cs="Times New Roman"/>
          <w:noProof/>
          <w:sz w:val="24"/>
          <w:szCs w:val="24"/>
        </w:rPr>
      </w:pPr>
      <w:bookmarkStart w:id="15" w:name="_Hlk196214385"/>
      <w:r>
        <w:rPr>
          <w:rFonts w:ascii="Times New Roman" w:hAnsi="Times New Roman"/>
          <w:noProof/>
          <w:sz w:val="24"/>
        </w:rPr>
        <w:t>La Commission a l’intention de proposer, le mois prochain, des mesures pour interdire les importations restantes de gaz russe, tant pour le gaz par gazoduc que pour le GNL, c’est-à-dire les volumes importés dans le cadre de contrats à long terme existants. La nécessaire suppression progressive de ces importations exige une période de transition plus longue en raison des volumes plus importants pour les importateurs concernés. Cette interdiction devrait prendre effet au plus tard à la fin de 2027.</w:t>
      </w:r>
      <w:bookmarkEnd w:id="15"/>
    </w:p>
    <w:p w14:paraId="746C2F46" w14:textId="51081870" w:rsidR="00602044" w:rsidRPr="00352176" w:rsidRDefault="007442AD" w:rsidP="00602044">
      <w:pPr>
        <w:spacing w:after="120" w:line="276" w:lineRule="auto"/>
        <w:jc w:val="both"/>
        <w:rPr>
          <w:rFonts w:ascii="Times New Roman" w:hAnsi="Times New Roman" w:cs="Times New Roman"/>
          <w:noProof/>
          <w:sz w:val="24"/>
          <w:szCs w:val="24"/>
        </w:rPr>
      </w:pPr>
      <w:r>
        <w:rPr>
          <w:rFonts w:ascii="Times New Roman" w:hAnsi="Times New Roman"/>
          <w:noProof/>
          <w:sz w:val="24"/>
        </w:rPr>
        <w:t>La Commission associera les États membres concernés aux travaux et veillera à ce que la proposition soit fondée sur une évaluation adéquate des incidences juridiques et économiques.</w:t>
      </w:r>
    </w:p>
    <w:p w14:paraId="3CA793A7" w14:textId="77777777" w:rsidR="00E24D7B" w:rsidRPr="00352176" w:rsidRDefault="00E24D7B" w:rsidP="00602044">
      <w:pPr>
        <w:spacing w:after="120" w:line="276" w:lineRule="auto"/>
        <w:jc w:val="both"/>
        <w:rPr>
          <w:rFonts w:ascii="Times New Roman" w:hAnsi="Times New Roman" w:cs="Times New Roman"/>
          <w:noProof/>
          <w:sz w:val="24"/>
          <w:szCs w:val="24"/>
        </w:rPr>
      </w:pPr>
    </w:p>
    <w:p w14:paraId="61A589BD" w14:textId="77777777" w:rsidR="00E24D7B" w:rsidRPr="00352176" w:rsidRDefault="00E24D7B" w:rsidP="00602044">
      <w:pPr>
        <w:spacing w:after="120" w:line="276" w:lineRule="auto"/>
        <w:jc w:val="both"/>
        <w:rPr>
          <w:rFonts w:ascii="Times New Roman" w:hAnsi="Times New Roman" w:cs="Times New Roman"/>
          <w:noProof/>
          <w:sz w:val="24"/>
          <w:szCs w:val="24"/>
        </w:rPr>
      </w:pPr>
    </w:p>
    <w:p w14:paraId="0CF49EC9" w14:textId="77777777" w:rsidR="009E227A" w:rsidRPr="00352176" w:rsidRDefault="009E227A" w:rsidP="00577D1F">
      <w:pPr>
        <w:jc w:val="both"/>
        <w:rPr>
          <w:rFonts w:ascii="Times New Roman" w:hAnsi="Times New Roman" w:cs="Times New Roman"/>
          <w:b/>
          <w:i/>
          <w:noProof/>
          <w:sz w:val="24"/>
          <w:szCs w:val="24"/>
          <w:u w:val="single"/>
        </w:rPr>
      </w:pPr>
    </w:p>
    <w:p w14:paraId="257E942C" w14:textId="290476F2" w:rsidR="00AC320E" w:rsidRPr="00352176" w:rsidRDefault="00AC320E" w:rsidP="00577D1F">
      <w:pPr>
        <w:jc w:val="both"/>
        <w:rPr>
          <w:rFonts w:ascii="Times New Roman" w:hAnsi="Times New Roman" w:cs="Times New Roman"/>
          <w:b/>
          <w:i/>
          <w:noProof/>
          <w:sz w:val="24"/>
          <w:szCs w:val="24"/>
          <w:u w:val="single"/>
        </w:rPr>
      </w:pPr>
    </w:p>
    <w:p w14:paraId="5E56C770" w14:textId="29B67791" w:rsidR="00AC320E" w:rsidRPr="00352176" w:rsidRDefault="00AC320E" w:rsidP="00577D1F">
      <w:pPr>
        <w:jc w:val="both"/>
        <w:rPr>
          <w:rFonts w:ascii="Times New Roman" w:hAnsi="Times New Roman" w:cs="Times New Roman"/>
          <w:b/>
          <w:i/>
          <w:noProof/>
          <w:sz w:val="24"/>
          <w:szCs w:val="24"/>
          <w:u w:val="single"/>
        </w:rPr>
      </w:pPr>
      <w:r>
        <w:rPr>
          <w:rFonts w:ascii="Times New Roman" w:hAnsi="Times New Roman"/>
          <w:noProof/>
          <w:sz w:val="24"/>
          <w:lang w:val="en-GB" w:eastAsia="en-GB"/>
        </w:rPr>
        <mc:AlternateContent>
          <mc:Choice Requires="wps">
            <w:drawing>
              <wp:anchor distT="45720" distB="45720" distL="114300" distR="114300" simplePos="0" relativeHeight="251658242" behindDoc="0" locked="0" layoutInCell="1" allowOverlap="1" wp14:anchorId="264379CF" wp14:editId="22BE40ED">
                <wp:simplePos x="0" y="0"/>
                <wp:positionH relativeFrom="margin">
                  <wp:posOffset>5080</wp:posOffset>
                </wp:positionH>
                <wp:positionV relativeFrom="paragraph">
                  <wp:posOffset>100330</wp:posOffset>
                </wp:positionV>
                <wp:extent cx="5843905" cy="8002270"/>
                <wp:effectExtent l="0" t="0" r="23495" b="17780"/>
                <wp:wrapSquare wrapText="bothSides"/>
                <wp:docPr id="1108776858"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a:xfrm>
                          <a:off x="0" y="0"/>
                          <a:ext cx="5843905" cy="8002270"/>
                        </a:xfrm>
                        <a:prstGeom prst="rect">
                          <a:avLst/>
                        </a:prstGeom>
                        <a:solidFill>
                          <a:srgbClr val="D9E2F3"/>
                        </a:solidFill>
                        <a:ln w="9525">
                          <a:solidFill>
                            <a:srgbClr val="000000"/>
                          </a:solidFill>
                          <a:miter/>
                        </a:ln>
                      </wps:spPr>
                      <wps:txbx>
                        <w:txbxContent>
                          <w:p w14:paraId="0407104A" w14:textId="77777777" w:rsidR="00AC320E" w:rsidRPr="00577D1F" w:rsidRDefault="00AC320E" w:rsidP="00AC320E">
                            <w:pPr>
                              <w:spacing w:after="0"/>
                              <w:jc w:val="center"/>
                              <w:rPr>
                                <w:rFonts w:ascii="Times New Roman" w:hAnsi="Times New Roman" w:cs="Times New Roman"/>
                                <w:b/>
                                <w:bCs/>
                                <w:i/>
                                <w:iCs/>
                                <w:u w:val="single"/>
                              </w:rPr>
                            </w:pPr>
                            <w:r>
                              <w:rPr>
                                <w:rFonts w:ascii="Times New Roman" w:hAnsi="Times New Roman"/>
                                <w:b/>
                                <w:i/>
                                <w:u w:val="single"/>
                              </w:rPr>
                              <w:t xml:space="preserve">Incidence de l’abandon progressif du gaz russe </w:t>
                            </w:r>
                          </w:p>
                          <w:p w14:paraId="1E08921E" w14:textId="77777777" w:rsidR="00AC320E" w:rsidRPr="006E79F3" w:rsidRDefault="00AC320E" w:rsidP="00AC320E">
                            <w:pPr>
                              <w:spacing w:after="0"/>
                              <w:jc w:val="center"/>
                              <w:rPr>
                                <w:rFonts w:ascii="Times New Roman" w:hAnsi="Times New Roman" w:cs="Times New Roman"/>
                                <w:b/>
                                <w:bCs/>
                                <w:i/>
                                <w:iCs/>
                                <w:u w:val="single"/>
                              </w:rPr>
                            </w:pPr>
                          </w:p>
                          <w:p w14:paraId="49DA5B52" w14:textId="77777777" w:rsidR="00AC320E" w:rsidRPr="006E79F3" w:rsidRDefault="00AC320E" w:rsidP="00AC320E">
                            <w:pPr>
                              <w:jc w:val="both"/>
                              <w:rPr>
                                <w:rFonts w:ascii="Times New Roman" w:hAnsi="Times New Roman" w:cs="Times New Roman"/>
                              </w:rPr>
                            </w:pPr>
                            <w:r>
                              <w:rPr>
                                <w:rFonts w:ascii="Times New Roman" w:hAnsi="Times New Roman"/>
                              </w:rPr>
                              <w:t xml:space="preserve">Depuis le début de la crise, l’UE est de plus en plus dépendante du GNL, qui a joué un rôle fondamental dans le remplacement des importations de gaz russe et représente actuellement environ 40 % des importations de l’UE. En conséquence, les prix du gaz de l’UE sont désormais plus exposés à la dynamique des marchés du GNL, qui ont une portée mondiale. </w:t>
                            </w:r>
                          </w:p>
                          <w:p w14:paraId="58EE2B22" w14:textId="77777777" w:rsidR="00AC320E" w:rsidRPr="006E79F3" w:rsidRDefault="00AC320E" w:rsidP="00AC320E">
                            <w:pPr>
                              <w:jc w:val="both"/>
                              <w:rPr>
                                <w:rFonts w:ascii="Times New Roman" w:hAnsi="Times New Roman" w:cs="Times New Roman"/>
                              </w:rPr>
                            </w:pPr>
                            <w:r>
                              <w:rPr>
                                <w:rFonts w:ascii="Times New Roman" w:hAnsi="Times New Roman"/>
                              </w:rPr>
                              <w:t>À partir de 2025, l’approvisionnement mondial en GNL devrait croître à un rythme de plus en plus élevé, avec une capacité supplémentaire de 25 à 30 milliards de m³ en 2025, d’environ 60 milliards de m³ en 2026, d’environ 80 milliards de m³ en 2027 et d’environ 200 milliards de m³ d’ici à 2028 milliards de m³ en 2028, soit cinq fois plus que les importations de gaz russe dans l’UE [AIE (janvier 2025), «Rapport sur le marché du gaz Q1-2025»]. Selon l’AIE [AIE (octobre 2024), «Perspectives énergétiques mondiales 2024»], il en résultera un excédent d’au moins 130 milliards de m³ de GNL d’ici à 2030 (</w:t>
                            </w:r>
                            <w:r>
                              <w:rPr>
                                <w:rFonts w:ascii="Times New Roman" w:hAnsi="Times New Roman"/>
                                <w:i/>
                              </w:rPr>
                              <w:t>voir graphique ci-dessous</w:t>
                            </w:r>
                            <w:r>
                              <w:rPr>
                                <w:rFonts w:ascii="Times New Roman" w:hAnsi="Times New Roman"/>
                              </w:rPr>
                              <w:t>), ce qui devrait «</w:t>
                            </w:r>
                            <w:r>
                              <w:rPr>
                                <w:rFonts w:ascii="Times New Roman" w:hAnsi="Times New Roman"/>
                                <w:i/>
                              </w:rPr>
                              <w:t>faire baisser les prix internationaux du gaz</w:t>
                            </w:r>
                            <w:r>
                              <w:rPr>
                                <w:rFonts w:ascii="Times New Roman" w:hAnsi="Times New Roman"/>
                              </w:rPr>
                              <w:t>».</w:t>
                            </w:r>
                          </w:p>
                          <w:p w14:paraId="5BD8CD37" w14:textId="6E79046E" w:rsidR="00AC320E" w:rsidRDefault="00F74B89" w:rsidP="00AC320E">
                            <w:pPr>
                              <w:pStyle w:val="ListParagraph"/>
                              <w:spacing w:after="0" w:line="240" w:lineRule="auto"/>
                              <w:rPr>
                                <w:rFonts w:ascii="Times New Roman" w:hAnsi="Times New Roman" w:cs="Times New Roman"/>
                                <w:i/>
                                <w:sz w:val="16"/>
                                <w:szCs w:val="16"/>
                              </w:rPr>
                            </w:pPr>
                            <w:r w:rsidRPr="00F74B89">
                              <w:rPr>
                                <w:noProof/>
                                <w:lang w:val="en-GB" w:eastAsia="en-GB"/>
                              </w:rPr>
                              <w:drawing>
                                <wp:inline distT="0" distB="0" distL="0" distR="0" wp14:anchorId="33ABE36D" wp14:editId="75E23579">
                                  <wp:extent cx="4191000" cy="2087261"/>
                                  <wp:effectExtent l="0" t="0" r="0" b="8255"/>
                                  <wp:docPr id="1680748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748741" name=""/>
                                          <pic:cNvPicPr/>
                                        </pic:nvPicPr>
                                        <pic:blipFill>
                                          <a:blip r:embed="rId19"/>
                                          <a:stretch>
                                            <a:fillRect/>
                                          </a:stretch>
                                        </pic:blipFill>
                                        <pic:spPr>
                                          <a:xfrm>
                                            <a:off x="0" y="0"/>
                                            <a:ext cx="4221450" cy="2102426"/>
                                          </a:xfrm>
                                          <a:prstGeom prst="rect">
                                            <a:avLst/>
                                          </a:prstGeom>
                                        </pic:spPr>
                                      </pic:pic>
                                    </a:graphicData>
                                  </a:graphic>
                                </wp:inline>
                              </w:drawing>
                            </w:r>
                          </w:p>
                          <w:p w14:paraId="03A5D8F9" w14:textId="77777777" w:rsidR="00F74B89" w:rsidRPr="006E79F3" w:rsidRDefault="00F74B89" w:rsidP="00AC320E">
                            <w:pPr>
                              <w:pStyle w:val="ListParagraph"/>
                              <w:spacing w:after="0" w:line="240" w:lineRule="auto"/>
                              <w:rPr>
                                <w:rFonts w:ascii="Times New Roman" w:hAnsi="Times New Roman" w:cs="Times New Roman"/>
                                <w:i/>
                                <w:sz w:val="16"/>
                                <w:szCs w:val="16"/>
                              </w:rPr>
                            </w:pPr>
                          </w:p>
                          <w:p w14:paraId="2745AC78" w14:textId="77777777" w:rsidR="00AC320E" w:rsidRPr="006E79F3" w:rsidRDefault="00AC320E" w:rsidP="00AC320E">
                            <w:pPr>
                              <w:pStyle w:val="ListParagraph"/>
                              <w:spacing w:after="0" w:line="240" w:lineRule="auto"/>
                              <w:rPr>
                                <w:rFonts w:ascii="Times New Roman" w:hAnsi="Times New Roman" w:cs="Times New Roman"/>
                                <w:i/>
                                <w:sz w:val="16"/>
                                <w:szCs w:val="16"/>
                              </w:rPr>
                            </w:pPr>
                            <w:r>
                              <w:rPr>
                                <w:rFonts w:ascii="Times New Roman" w:hAnsi="Times New Roman"/>
                                <w:i/>
                                <w:sz w:val="16"/>
                              </w:rPr>
                              <w:t>Source: Figure 4.7 – Perspectives énergétiques mondiales 2024</w:t>
                            </w:r>
                          </w:p>
                          <w:p w14:paraId="36F64A3E" w14:textId="77777777" w:rsidR="00AC320E" w:rsidRPr="006E79F3" w:rsidRDefault="00AC320E" w:rsidP="00AC320E">
                            <w:pPr>
                              <w:pStyle w:val="ListParagraph"/>
                              <w:spacing w:after="0" w:line="240" w:lineRule="auto"/>
                              <w:rPr>
                                <w:rFonts w:ascii="Times New Roman" w:hAnsi="Times New Roman" w:cs="Times New Roman"/>
                                <w:i/>
                                <w:sz w:val="16"/>
                                <w:szCs w:val="16"/>
                              </w:rPr>
                            </w:pPr>
                            <w:r>
                              <w:rPr>
                                <w:rFonts w:ascii="Times New Roman" w:hAnsi="Times New Roman"/>
                                <w:i/>
                                <w:sz w:val="16"/>
                              </w:rPr>
                              <w:t>Note: Les scénarios STEPS, APS et NZE reflètent les projections de la demande selon différents scénarios.</w:t>
                            </w:r>
                          </w:p>
                          <w:p w14:paraId="218AED6A" w14:textId="77777777" w:rsidR="00AC320E" w:rsidRPr="006E79F3" w:rsidRDefault="00AC320E" w:rsidP="00AC320E">
                            <w:pPr>
                              <w:jc w:val="both"/>
                              <w:rPr>
                                <w:rFonts w:ascii="Times New Roman" w:hAnsi="Times New Roman" w:cs="Times New Roman"/>
                              </w:rPr>
                            </w:pPr>
                          </w:p>
                          <w:p w14:paraId="69C2BA85" w14:textId="38041697" w:rsidR="00AC320E" w:rsidRPr="00CF77AC" w:rsidRDefault="00AC320E" w:rsidP="00AC320E">
                            <w:pPr>
                              <w:jc w:val="both"/>
                              <w:rPr>
                                <w:rFonts w:ascii="Times New Roman" w:hAnsi="Times New Roman" w:cs="Times New Roman"/>
                              </w:rPr>
                            </w:pPr>
                            <w:r>
                              <w:rPr>
                                <w:rFonts w:ascii="Times New Roman" w:hAnsi="Times New Roman"/>
                              </w:rPr>
                              <w:t xml:space="preserve">Bien qu’une relative incertitude subsiste quant au calendrier selon lequel les nouveaux projets GNL deviendront opérationnels, </w:t>
                            </w:r>
                            <w:r>
                              <w:rPr>
                                <w:rFonts w:ascii="Times New Roman" w:hAnsi="Times New Roman"/>
                                <w:b/>
                              </w:rPr>
                              <w:t>si elle est mise en œuvre en tenant compte de l’évolution du marché mondial et avec des fournisseurs fiables</w:t>
                            </w:r>
                            <w:r>
                              <w:rPr>
                                <w:rFonts w:ascii="Times New Roman" w:hAnsi="Times New Roman"/>
                              </w:rPr>
                              <w:t xml:space="preserve">, la suppression progressive des importations de gaz russe devrait avoir une incidence limitée sur les prix de l’énergie et la sécurité de l’approvisionnement en Europe. </w:t>
                            </w:r>
                          </w:p>
                          <w:p w14:paraId="6E7A774D" w14:textId="3211FB73" w:rsidR="00AC320E" w:rsidRPr="00CF77AC" w:rsidRDefault="00AC320E" w:rsidP="00AC320E">
                            <w:pPr>
                              <w:spacing w:after="0"/>
                              <w:jc w:val="both"/>
                              <w:rPr>
                                <w:rFonts w:ascii="Times New Roman" w:hAnsi="Times New Roman" w:cs="Times New Roman"/>
                              </w:rPr>
                            </w:pPr>
                            <w:r>
                              <w:rPr>
                                <w:rFonts w:ascii="Times New Roman" w:hAnsi="Times New Roman"/>
                              </w:rPr>
                              <w:t xml:space="preserve">Compte tenu du déploiement attendu de nouvelles capacités de liquéfaction, il est judicieux de commencer par l’approvisionnement au comptant (environ un tiers de l’ensemble des importations russes). Les capacités d’exportation supplémentaires attendues à l’échelle mondiale d’ici à 2026 (+ 85-90 milliards de m³ par an) devraient </w:t>
                            </w:r>
                            <w:r>
                              <w:rPr>
                                <w:rFonts w:ascii="Times New Roman" w:hAnsi="Times New Roman"/>
                                <w:b/>
                              </w:rPr>
                              <w:t>largement être suffisantes pour compenser le volume au comptant</w:t>
                            </w:r>
                            <w:r>
                              <w:rPr>
                                <w:rFonts w:ascii="Times New Roman" w:hAnsi="Times New Roman"/>
                              </w:rPr>
                              <w:t xml:space="preserve"> pour lequel l’UE ne s’approvisionnerait plus en Russie. En outre, une grande partie de l’approvisionnement au comptant russe de l’Union est du GNL et sa suppression entraînerait probablement un remaniement des échanges de GNL entre régions sans modification significative de l’approvisionnement disponible à l’échelle mondiale.</w:t>
                            </w:r>
                          </w:p>
                          <w:p w14:paraId="6B3FAFE5" w14:textId="77777777" w:rsidR="00AC320E" w:rsidRPr="00324FED" w:rsidRDefault="00AC320E" w:rsidP="00AC320E">
                            <w:pPr>
                              <w:spacing w:after="0" w:line="240" w:lineRule="auto"/>
                              <w:jc w:val="both"/>
                              <w:rPr>
                                <w:rFonts w:ascii="Times New Roman" w:hAnsi="Times New Roman" w:cs="Times New Roman"/>
                                <w:lang w:val="fr-BE"/>
                              </w:rPr>
                            </w:pPr>
                          </w:p>
                          <w:p w14:paraId="054BC5D4" w14:textId="77777777" w:rsidR="00AC320E" w:rsidRPr="00C06A11" w:rsidRDefault="00AC320E" w:rsidP="00AC320E">
                            <w:pPr>
                              <w:jc w:val="both"/>
                              <w:rPr>
                                <w:rFonts w:ascii="Times New Roman" w:hAnsi="Times New Roman" w:cs="Times New Roman"/>
                              </w:rPr>
                            </w:pPr>
                            <w:r>
                              <w:rPr>
                                <w:rFonts w:ascii="Times New Roman" w:hAnsi="Times New Roman"/>
                              </w:rPr>
                              <w:t xml:space="preserve">À mesure que l’équilibre mondial s’améliore (+ 165-170 milliards de m³/an de nouvelles capacités de liquéfaction d’ici à 2027) et qu’une production intérieure accrue devient disponible dans l’UE (gisement «Neptun Deep»), l’UE </w:t>
                            </w:r>
                            <w:r>
                              <w:rPr>
                                <w:rFonts w:ascii="Times New Roman" w:hAnsi="Times New Roman"/>
                                <w:b/>
                              </w:rPr>
                              <w:t>pourrait réaliser en toute sécurité l’abandon progressif du gaz russe restant, qui fait actuellement l’objet de contrats à long terme</w:t>
                            </w:r>
                            <w:r>
                              <w:rPr>
                                <w:rFonts w:ascii="Times New Roman" w:hAnsi="Times New Roman"/>
                              </w:rPr>
                              <w:t xml:space="preserve"> (20-25 milliards de m³/an). Un délai plus long permettrait également aux acheteurs européens de réorganiser les contrats existants et, le cas échéant, de signer de nouveaux contrats pour des approvisionnements de substitution. </w:t>
                            </w:r>
                          </w:p>
                        </w:txbxContent>
                      </wps:txbx>
                      <wps:bodyPr vert="horz"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264379CF" id="Text Box 2" o:spid="_x0000_s1026" style="position:absolute;left:0;text-align:left;margin-left:.4pt;margin-top:7.9pt;width:460.15pt;height:630.1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" fillcolor="#d9e2f3">
                <o:lock v:ext="edit" aspectratio="t"/>
                <v:textbox>
                  <w:txbxContent>
                    <w:p w14:paraId="0407104A" w14:textId="77777777" w:rsidR="00AC320E" w:rsidRPr="00577D1F" w:rsidRDefault="00AC320E" w:rsidP="00AC320E">
                      <w:pPr>
                        <w:spacing w:after="0"/>
                        <w:jc w:val="center"/>
                        <w:rPr>
                          <w:rFonts w:ascii="Times New Roman" w:hAnsi="Times New Roman" w:cs="Times New Roman"/>
                          <w:b/>
                          <w:bCs/>
                          <w:i/>
                          <w:iCs/>
                          <w:u w:val="single"/>
                        </w:rPr>
                      </w:pPr>
                      <w:r>
                        <w:rPr>
                          <w:rFonts w:ascii="Times New Roman" w:hAnsi="Times New Roman"/>
                          <w:b/>
                          <w:i/>
                          <w:u w:val="single"/>
                        </w:rPr>
                        <w:t xml:space="preserve">Incidence de l’abandon progressif du gaz russe </w:t>
                      </w:r>
                    </w:p>
                    <w:p w14:paraId="1E08921E" w14:textId="77777777" w:rsidR="00AC320E" w:rsidRPr="006E79F3" w:rsidRDefault="00AC320E" w:rsidP="00AC320E">
                      <w:pPr>
                        <w:spacing w:after="0"/>
                        <w:jc w:val="center"/>
                        <w:rPr>
                          <w:rFonts w:ascii="Times New Roman" w:hAnsi="Times New Roman" w:cs="Times New Roman"/>
                          <w:b/>
                          <w:bCs/>
                          <w:i/>
                          <w:iCs/>
                          <w:u w:val="single"/>
                        </w:rPr>
                      </w:pPr>
                    </w:p>
                    <w:p w14:paraId="49DA5B52" w14:textId="77777777" w:rsidR="00AC320E" w:rsidRPr="006E79F3" w:rsidRDefault="00AC320E" w:rsidP="00AC320E">
                      <w:pPr>
                        <w:jc w:val="both"/>
                        <w:rPr>
                          <w:rFonts w:ascii="Times New Roman" w:hAnsi="Times New Roman" w:cs="Times New Roman"/>
                        </w:rPr>
                      </w:pPr>
                      <w:r>
                        <w:rPr>
                          <w:rFonts w:ascii="Times New Roman" w:hAnsi="Times New Roman"/>
                        </w:rPr>
                        <w:t xml:space="preserve">Depuis le début de la crise, l’UE est de plus en plus dépendante du GNL, qui a joué un rôle fondamental dans le remplacement des importations de gaz russe et représente actuellement environ 40 % des importations de l’UE. En conséquence, les prix du gaz de l’UE sont désormais plus exposés à la dynamique des marchés du GNL, qui ont une portée mondiale. </w:t>
                      </w:r>
                    </w:p>
                    <w:p w14:paraId="58EE2B22" w14:textId="77777777" w:rsidR="00AC320E" w:rsidRPr="006E79F3" w:rsidRDefault="00AC320E" w:rsidP="00AC320E">
                      <w:pPr>
                        <w:jc w:val="both"/>
                        <w:rPr>
                          <w:rFonts w:ascii="Times New Roman" w:hAnsi="Times New Roman" w:cs="Times New Roman"/>
                        </w:rPr>
                      </w:pPr>
                      <w:r>
                        <w:rPr>
                          <w:rFonts w:ascii="Times New Roman" w:hAnsi="Times New Roman"/>
                        </w:rPr>
                        <w:t>À partir de 2025, l’approvisionnement mondial en GNL devrait croître à un rythme de plus en plus élevé, avec une capacité supplémentaire de 25 à 30 milliards de m³ en 2025, d’environ 60 milliards de m³ en 2026, d’environ 80 milliards de m³ en 2027 et d’environ 200 milliards de m³ d’ici à 2028 milliards de m³ en 2028, soit cinq fois plus que les importations de gaz russe dans l’UE [AIE (janvier 2025), «Rapport sur le marché du gaz Q1-2025»]. Selon l’AIE [AIE (octobre 2024), «Perspectives énergétiques mondiales 2024»], il en résultera un excédent d’au moins 130 milliards de m³ de GNL d’ici à 2030 (</w:t>
                      </w:r>
                      <w:r>
                        <w:rPr>
                          <w:rFonts w:ascii="Times New Roman" w:hAnsi="Times New Roman"/>
                          <w:i/>
                        </w:rPr>
                        <w:t>voir graphique ci-dessous</w:t>
                      </w:r>
                      <w:r>
                        <w:rPr>
                          <w:rFonts w:ascii="Times New Roman" w:hAnsi="Times New Roman"/>
                        </w:rPr>
                        <w:t>), ce qui devrait «</w:t>
                      </w:r>
                      <w:r>
                        <w:rPr>
                          <w:rFonts w:ascii="Times New Roman" w:hAnsi="Times New Roman"/>
                          <w:i/>
                        </w:rPr>
                        <w:t>faire baisser les prix internationaux du gaz</w:t>
                      </w:r>
                      <w:r>
                        <w:rPr>
                          <w:rFonts w:ascii="Times New Roman" w:hAnsi="Times New Roman"/>
                        </w:rPr>
                        <w:t>».</w:t>
                      </w:r>
                    </w:p>
                    <w:p w14:paraId="5BD8CD37" w14:textId="6E79046E" w:rsidR="00AC320E" w:rsidRDefault="00F74B89" w:rsidP="00AC320E">
                      <w:pPr>
                        <w:pStyle w:val="ListParagraph"/>
                        <w:spacing w:after="0" w:line="240" w:lineRule="auto"/>
                        <w:rPr>
                          <w:rFonts w:ascii="Times New Roman" w:hAnsi="Times New Roman" w:cs="Times New Roman"/>
                          <w:i/>
                          <w:sz w:val="16"/>
                          <w:szCs w:val="16"/>
                        </w:rPr>
                      </w:pPr>
                      <w:r w:rsidRPr="00F74B89">
                        <w:rPr>
                          <w:noProof/>
                          <w:lang w:val="en-GB" w:eastAsia="en-GB"/>
                        </w:rPr>
                        <w:drawing>
                          <wp:inline distT="0" distB="0" distL="0" distR="0" wp14:anchorId="33ABE36D" wp14:editId="75E23579">
                            <wp:extent cx="4191000" cy="2087261"/>
                            <wp:effectExtent l="0" t="0" r="0" b="8255"/>
                            <wp:docPr id="1680748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748741" name=""/>
                                    <pic:cNvPicPr/>
                                  </pic:nvPicPr>
                                  <pic:blipFill>
                                    <a:blip r:embed="rId19"/>
                                    <a:stretch>
                                      <a:fillRect/>
                                    </a:stretch>
                                  </pic:blipFill>
                                  <pic:spPr>
                                    <a:xfrm>
                                      <a:off x="0" y="0"/>
                                      <a:ext cx="4221450" cy="2102426"/>
                                    </a:xfrm>
                                    <a:prstGeom prst="rect">
                                      <a:avLst/>
                                    </a:prstGeom>
                                  </pic:spPr>
                                </pic:pic>
                              </a:graphicData>
                            </a:graphic>
                          </wp:inline>
                        </w:drawing>
                      </w:r>
                    </w:p>
                    <w:p w14:paraId="03A5D8F9" w14:textId="77777777" w:rsidR="00F74B89" w:rsidRPr="006E79F3" w:rsidRDefault="00F74B89" w:rsidP="00AC320E">
                      <w:pPr>
                        <w:pStyle w:val="ListParagraph"/>
                        <w:spacing w:after="0" w:line="240" w:lineRule="auto"/>
                        <w:rPr>
                          <w:rFonts w:ascii="Times New Roman" w:hAnsi="Times New Roman" w:cs="Times New Roman"/>
                          <w:i/>
                          <w:sz w:val="16"/>
                          <w:szCs w:val="16"/>
                        </w:rPr>
                      </w:pPr>
                    </w:p>
                    <w:p w14:paraId="2745AC78" w14:textId="77777777" w:rsidR="00AC320E" w:rsidRPr="006E79F3" w:rsidRDefault="00AC320E" w:rsidP="00AC320E">
                      <w:pPr>
                        <w:pStyle w:val="ListParagraph"/>
                        <w:spacing w:after="0" w:line="240" w:lineRule="auto"/>
                        <w:rPr>
                          <w:rFonts w:ascii="Times New Roman" w:hAnsi="Times New Roman" w:cs="Times New Roman"/>
                          <w:i/>
                          <w:sz w:val="16"/>
                          <w:szCs w:val="16"/>
                        </w:rPr>
                      </w:pPr>
                      <w:r>
                        <w:rPr>
                          <w:rFonts w:ascii="Times New Roman" w:hAnsi="Times New Roman"/>
                          <w:i/>
                          <w:sz w:val="16"/>
                        </w:rPr>
                        <w:t>Source: Figure 4.7 – Perspectives énergétiques mondiales 2024</w:t>
                      </w:r>
                    </w:p>
                    <w:p w14:paraId="36F64A3E" w14:textId="77777777" w:rsidR="00AC320E" w:rsidRPr="006E79F3" w:rsidRDefault="00AC320E" w:rsidP="00AC320E">
                      <w:pPr>
                        <w:pStyle w:val="ListParagraph"/>
                        <w:spacing w:after="0" w:line="240" w:lineRule="auto"/>
                        <w:rPr>
                          <w:rFonts w:ascii="Times New Roman" w:hAnsi="Times New Roman" w:cs="Times New Roman"/>
                          <w:i/>
                          <w:sz w:val="16"/>
                          <w:szCs w:val="16"/>
                        </w:rPr>
                      </w:pPr>
                      <w:r>
                        <w:rPr>
                          <w:rFonts w:ascii="Times New Roman" w:hAnsi="Times New Roman"/>
                          <w:i/>
                          <w:sz w:val="16"/>
                        </w:rPr>
                        <w:t>Note: Les scénarios STEPS, APS et NZE reflètent les projections de la demande selon différents scénarios.</w:t>
                      </w:r>
                    </w:p>
                    <w:p w14:paraId="218AED6A" w14:textId="77777777" w:rsidR="00AC320E" w:rsidRPr="006E79F3" w:rsidRDefault="00AC320E" w:rsidP="00AC320E">
                      <w:pPr>
                        <w:jc w:val="both"/>
                        <w:rPr>
                          <w:rFonts w:ascii="Times New Roman" w:hAnsi="Times New Roman" w:cs="Times New Roman"/>
                        </w:rPr>
                      </w:pPr>
                    </w:p>
                    <w:p w14:paraId="69C2BA85" w14:textId="38041697" w:rsidR="00AC320E" w:rsidRPr="00CF77AC" w:rsidRDefault="00AC320E" w:rsidP="00AC320E">
                      <w:pPr>
                        <w:jc w:val="both"/>
                        <w:rPr>
                          <w:rFonts w:ascii="Times New Roman" w:hAnsi="Times New Roman" w:cs="Times New Roman"/>
                        </w:rPr>
                      </w:pPr>
                      <w:r>
                        <w:rPr>
                          <w:rFonts w:ascii="Times New Roman" w:hAnsi="Times New Roman"/>
                        </w:rPr>
                        <w:t xml:space="preserve">Bien qu’une relative incertitude subsiste quant au calendrier selon lequel les nouveaux projets GNL deviendront opérationnels, </w:t>
                      </w:r>
                      <w:r>
                        <w:rPr>
                          <w:rFonts w:ascii="Times New Roman" w:hAnsi="Times New Roman"/>
                          <w:b/>
                        </w:rPr>
                        <w:t>si elle est mise en œuvre en tenant compte de l’évolution du marché mondial et avec des fournisseurs fiables</w:t>
                      </w:r>
                      <w:r>
                        <w:rPr>
                          <w:rFonts w:ascii="Times New Roman" w:hAnsi="Times New Roman"/>
                        </w:rPr>
                        <w:t xml:space="preserve">, la suppression progressive des importations de gaz russe devrait avoir une incidence limitée sur les prix de l’énergie et la sécurité de l’approvisionnement en Europe. </w:t>
                      </w:r>
                    </w:p>
                    <w:p w14:paraId="6E7A774D" w14:textId="3211FB73" w:rsidR="00AC320E" w:rsidRPr="00CF77AC" w:rsidRDefault="00AC320E" w:rsidP="00AC320E">
                      <w:pPr>
                        <w:spacing w:after="0"/>
                        <w:jc w:val="both"/>
                        <w:rPr>
                          <w:rFonts w:ascii="Times New Roman" w:hAnsi="Times New Roman" w:cs="Times New Roman"/>
                        </w:rPr>
                      </w:pPr>
                      <w:r>
                        <w:rPr>
                          <w:rFonts w:ascii="Times New Roman" w:hAnsi="Times New Roman"/>
                        </w:rPr>
                        <w:t xml:space="preserve">Compte tenu du déploiement attendu de nouvelles capacités de liquéfaction, il est judicieux de commencer par l’approvisionnement au comptant (environ un tiers de l’ensemble des importations russes). Les capacités d’exportation supplémentaires attendues à l’échelle mondiale d’ici à 2026 (+ 85-90 milliards de m³ par an) devraient </w:t>
                      </w:r>
                      <w:r>
                        <w:rPr>
                          <w:rFonts w:ascii="Times New Roman" w:hAnsi="Times New Roman"/>
                          <w:b/>
                        </w:rPr>
                        <w:t>largement être suffisantes pour compenser le volume au comptant</w:t>
                      </w:r>
                      <w:r>
                        <w:rPr>
                          <w:rFonts w:ascii="Times New Roman" w:hAnsi="Times New Roman"/>
                        </w:rPr>
                        <w:t xml:space="preserve"> pour lequel l’UE ne s’approvisionnerait plus en Russie. En outre, une grande partie de l’approvisionnement au comptant russe de l’Union est du GNL et sa suppression entraînerait probablement un remaniement des échanges de GNL entre régions sans modification significative de l’approvisionnement disponible à l’échelle mondiale.</w:t>
                      </w:r>
                    </w:p>
                    <w:p w14:paraId="6B3FAFE5" w14:textId="77777777" w:rsidR="00AC320E" w:rsidRPr="00324FED" w:rsidRDefault="00AC320E" w:rsidP="00AC320E">
                      <w:pPr>
                        <w:spacing w:after="0" w:line="240" w:lineRule="auto"/>
                        <w:jc w:val="both"/>
                        <w:rPr>
                          <w:rFonts w:ascii="Times New Roman" w:hAnsi="Times New Roman" w:cs="Times New Roman"/>
                          <w:lang w:val="fr-BE"/>
                        </w:rPr>
                      </w:pPr>
                    </w:p>
                    <w:p w14:paraId="054BC5D4" w14:textId="77777777" w:rsidR="00AC320E" w:rsidRPr="00C06A11" w:rsidRDefault="00AC320E" w:rsidP="00AC320E">
                      <w:pPr>
                        <w:jc w:val="both"/>
                        <w:rPr>
                          <w:rFonts w:ascii="Times New Roman" w:hAnsi="Times New Roman" w:cs="Times New Roman"/>
                        </w:rPr>
                      </w:pPr>
                      <w:r>
                        <w:rPr>
                          <w:rFonts w:ascii="Times New Roman" w:hAnsi="Times New Roman"/>
                        </w:rPr>
                        <w:t xml:space="preserve">À mesure que l’équilibre mondial s’améliore (+ 165-170 milliards de m³/an de nouvelles capacités de liquéfaction d’ici à 2027) et qu’une production intérieure accrue devient disponible dans l’UE (gisement «Neptun Deep»), l’UE </w:t>
                      </w:r>
                      <w:r>
                        <w:rPr>
                          <w:rFonts w:ascii="Times New Roman" w:hAnsi="Times New Roman"/>
                          <w:b/>
                        </w:rPr>
                        <w:t>pourrait réaliser en toute sécurité l’abandon progressif du gaz russe restant, qui fait actuellement l’objet de contrats à long terme</w:t>
                      </w:r>
                      <w:r>
                        <w:rPr>
                          <w:rFonts w:ascii="Times New Roman" w:hAnsi="Times New Roman"/>
                        </w:rPr>
                        <w:t xml:space="preserve"> (20-25 milliards de m³/an). Un délai plus long permettrait également aux acheteurs européens de réorganiser les contrats existants et, le cas échéant, de signer de nouveaux contrats pour des approvisionnements de substitution. </w:t>
                      </w:r>
                    </w:p>
                  </w:txbxContent>
                </v:textbox>
                <w10:wrap type="square" anchorx="margin"/>
              </v:rect>
            </w:pict>
          </mc:Fallback>
        </mc:AlternateContent>
      </w:r>
    </w:p>
    <w:p w14:paraId="787994A4" w14:textId="77777777" w:rsidR="00AC320E" w:rsidRPr="00352176" w:rsidRDefault="00AC320E" w:rsidP="00577D1F">
      <w:pPr>
        <w:jc w:val="both"/>
        <w:rPr>
          <w:rFonts w:ascii="Times New Roman" w:hAnsi="Times New Roman" w:cs="Times New Roman"/>
          <w:b/>
          <w:i/>
          <w:noProof/>
          <w:sz w:val="24"/>
          <w:szCs w:val="24"/>
          <w:u w:val="single"/>
        </w:rPr>
      </w:pPr>
    </w:p>
    <w:p w14:paraId="0B85B9DC" w14:textId="6B48506F" w:rsidR="00CE7F15" w:rsidRPr="00352176" w:rsidRDefault="00CE7F15" w:rsidP="00577D1F">
      <w:pPr>
        <w:jc w:val="both"/>
        <w:rPr>
          <w:rFonts w:ascii="Times New Roman" w:hAnsi="Times New Roman" w:cs="Times New Roman"/>
          <w:b/>
          <w:i/>
          <w:noProof/>
          <w:sz w:val="24"/>
          <w:szCs w:val="24"/>
          <w:u w:val="single"/>
        </w:rPr>
      </w:pPr>
      <w:r>
        <w:rPr>
          <w:rFonts w:ascii="Times New Roman" w:hAnsi="Times New Roman"/>
          <w:b/>
          <w:i/>
          <w:noProof/>
          <w:sz w:val="24"/>
          <w:u w:val="single"/>
        </w:rPr>
        <w:t xml:space="preserve">Action nº 4: </w:t>
      </w:r>
      <w:bookmarkStart w:id="16" w:name="_Hlk188628438"/>
      <w:r>
        <w:rPr>
          <w:rFonts w:ascii="Times New Roman" w:hAnsi="Times New Roman"/>
          <w:b/>
          <w:i/>
          <w:noProof/>
          <w:sz w:val="24"/>
          <w:u w:val="single"/>
        </w:rPr>
        <w:t xml:space="preserve">Soutien à la diversification par l’agrégation de la demande et une meilleure utilisation des infrastructures </w:t>
      </w:r>
    </w:p>
    <w:bookmarkEnd w:id="16"/>
    <w:p w14:paraId="349FE8C2" w14:textId="77777777" w:rsidR="00C81DC1" w:rsidRPr="00352176" w:rsidRDefault="00C81DC1" w:rsidP="00BE0EE2">
      <w:pPr>
        <w:spacing w:after="0" w:line="276" w:lineRule="auto"/>
        <w:jc w:val="both"/>
        <w:rPr>
          <w:rFonts w:ascii="Times New Roman" w:eastAsia="Aptos" w:hAnsi="Times New Roman" w:cs="Times New Roman"/>
          <w:noProof/>
          <w:sz w:val="24"/>
          <w:szCs w:val="24"/>
        </w:rPr>
      </w:pPr>
    </w:p>
    <w:p w14:paraId="55854049" w14:textId="07D7D9DB" w:rsidR="00E15B9A" w:rsidRPr="00352176" w:rsidRDefault="00FE659B" w:rsidP="00BE0EE2">
      <w:pPr>
        <w:spacing w:after="0" w:line="276" w:lineRule="auto"/>
        <w:jc w:val="both"/>
        <w:rPr>
          <w:rFonts w:ascii="Times New Roman" w:eastAsia="Aptos" w:hAnsi="Times New Roman" w:cs="Times New Roman"/>
          <w:noProof/>
          <w:sz w:val="24"/>
          <w:szCs w:val="24"/>
        </w:rPr>
      </w:pPr>
      <w:r>
        <w:rPr>
          <w:rFonts w:ascii="Times New Roman" w:hAnsi="Times New Roman"/>
          <w:noProof/>
          <w:sz w:val="24"/>
        </w:rPr>
        <w:t>Il est essentiel de garantir des approvisionnements de substitution auprès de partenaires fiables pour limiter toute incidence sur le marché ou sur la sécurité de l’approvisionnement. Par exemple, la Norvège, le plus grand fournisseur de gaz de l’UE, ainsi que la Roumanie et la Grèce, peuvent contribuer à la diversification en Europe centrale et orientale, traditionnellement dominée par le gaz russe, par l’intermédiaire, respectivement, du gazoduc Baltic Pipe et du gazoduc transbalkanique. La Commission poursuivra ses discussions avec des fournisseurs fiables et intensifiera considérablement sa coopération énergétique avec les pays partenaires au Moyen-Orient, en Afrique du Nord, autour de la mer Noire et par l’intermédiaire de la stratégie «Global Gateway»</w:t>
      </w:r>
      <w:r>
        <w:rPr>
          <w:rStyle w:val="FootnoteReference"/>
          <w:rFonts w:ascii="Times New Roman" w:eastAsia="Aptos" w:hAnsi="Times New Roman" w:cs="Times New Roman"/>
          <w:noProof/>
          <w:sz w:val="24"/>
          <w:szCs w:val="24"/>
          <w:lang w:val="en-US"/>
        </w:rPr>
        <w:footnoteReference w:id="29"/>
      </w:r>
      <w:r>
        <w:rPr>
          <w:rFonts w:ascii="Times New Roman" w:hAnsi="Times New Roman"/>
          <w:noProof/>
          <w:sz w:val="24"/>
        </w:rPr>
        <w:t xml:space="preserve">. </w:t>
      </w:r>
    </w:p>
    <w:p w14:paraId="5B782019" w14:textId="77777777" w:rsidR="00313948" w:rsidRPr="00352176" w:rsidRDefault="00313948" w:rsidP="00BE0EE2">
      <w:pPr>
        <w:spacing w:after="0" w:line="276" w:lineRule="auto"/>
        <w:jc w:val="both"/>
        <w:rPr>
          <w:rFonts w:ascii="Times New Roman" w:eastAsia="Aptos" w:hAnsi="Times New Roman" w:cs="Times New Roman"/>
          <w:noProof/>
          <w:sz w:val="24"/>
          <w:szCs w:val="24"/>
        </w:rPr>
      </w:pPr>
    </w:p>
    <w:p w14:paraId="2985E272" w14:textId="0A9DF283" w:rsidR="00FE659B" w:rsidRPr="00352176" w:rsidRDefault="00661B5B" w:rsidP="00BE0EE2">
      <w:pPr>
        <w:spacing w:after="0" w:line="276" w:lineRule="auto"/>
        <w:jc w:val="both"/>
        <w:rPr>
          <w:rFonts w:ascii="Times New Roman" w:eastAsia="Aptos" w:hAnsi="Times New Roman" w:cs="Times New Roman"/>
          <w:noProof/>
          <w:sz w:val="24"/>
          <w:szCs w:val="24"/>
        </w:rPr>
      </w:pPr>
      <w:r>
        <w:rPr>
          <w:rFonts w:ascii="Times New Roman" w:hAnsi="Times New Roman"/>
          <w:noProof/>
          <w:sz w:val="24"/>
        </w:rPr>
        <w:t xml:space="preserve">Parallèlement, des solutions de substitution aux importations de gaz naturel devraient continuer à être développées dans la mesure du possible, notamment par l’électrification ou le renforcement de la production de biogaz et de biométhane et d’hydrogène propre, conformément à REPowerEU. </w:t>
      </w:r>
    </w:p>
    <w:p w14:paraId="364E4868" w14:textId="77777777" w:rsidR="00FE659B" w:rsidRPr="00352176" w:rsidRDefault="00FE659B" w:rsidP="00BE0EE2">
      <w:pPr>
        <w:spacing w:after="0" w:line="276" w:lineRule="auto"/>
        <w:jc w:val="both"/>
        <w:rPr>
          <w:rFonts w:ascii="Times New Roman" w:eastAsia="Aptos" w:hAnsi="Times New Roman" w:cs="Times New Roman"/>
          <w:noProof/>
          <w:sz w:val="24"/>
          <w:szCs w:val="24"/>
        </w:rPr>
      </w:pPr>
    </w:p>
    <w:p w14:paraId="3DBFB9AC" w14:textId="7C7FA322" w:rsidR="00CC1C1C" w:rsidRPr="00352176" w:rsidRDefault="00DA164B" w:rsidP="00BE0EE2">
      <w:pPr>
        <w:spacing w:after="0" w:line="276" w:lineRule="auto"/>
        <w:jc w:val="both"/>
        <w:rPr>
          <w:rFonts w:ascii="Times New Roman" w:eastAsia="Aptos" w:hAnsi="Times New Roman" w:cs="Times New Roman"/>
          <w:noProof/>
          <w:sz w:val="24"/>
          <w:szCs w:val="24"/>
        </w:rPr>
      </w:pPr>
      <w:r>
        <w:rPr>
          <w:rFonts w:ascii="Times New Roman" w:hAnsi="Times New Roman"/>
          <w:noProof/>
          <w:sz w:val="24"/>
        </w:rPr>
        <w:t>Au cours de la crise, le mécanisme d’agrégation de la demande et d’achats communs «AggregateEU»</w:t>
      </w:r>
      <w:r>
        <w:rPr>
          <w:rStyle w:val="FootnoteReference"/>
          <w:rFonts w:ascii="Times New Roman" w:eastAsia="Aptos" w:hAnsi="Times New Roman" w:cs="Times New Roman"/>
          <w:noProof/>
          <w:sz w:val="24"/>
          <w:szCs w:val="24"/>
        </w:rPr>
        <w:footnoteReference w:id="30"/>
      </w:r>
      <w:r>
        <w:rPr>
          <w:rFonts w:ascii="Times New Roman" w:hAnsi="Times New Roman"/>
          <w:noProof/>
          <w:sz w:val="24"/>
        </w:rPr>
        <w:t xml:space="preserve"> s’est révélé être un outil efficace contribuant aux objectifs du plan REPowerEU en aidant les consommateurs et les entreprises européens à acheter du gaz non russe. Le deuxième cycle à moyen terme d’agrégation et de mise en correspondance de la demande dans le cadre du mécanisme AggregateEU s’est achevé le 26 mars 2025 et a suscité un vif intérêt tant du côté de la demande que du côté de l’offre, avec 29 milliards de m³ de demande, 31 milliards de m³ d’offres d’approvisionnement et près de 20 milliards de m³ d’intérêts offre-demande mis en correspondance. Il a couvert la demande de gaz entre 2025 et 2030 et a permis aux acheteurs d’indiquer un terminal privilégié dans l’UE ou des livraisons franco à bord, offrant ainsi une flexibilité supplémentaire aux acheteurs.</w:t>
      </w:r>
    </w:p>
    <w:p w14:paraId="7F42E02F" w14:textId="77777777" w:rsidR="00CC1C1C" w:rsidRPr="00352176" w:rsidRDefault="00CC1C1C" w:rsidP="00BE0EE2">
      <w:pPr>
        <w:spacing w:after="0" w:line="276" w:lineRule="auto"/>
        <w:jc w:val="both"/>
        <w:rPr>
          <w:rFonts w:ascii="Times New Roman" w:eastAsia="Aptos" w:hAnsi="Times New Roman" w:cs="Times New Roman"/>
          <w:noProof/>
          <w:sz w:val="24"/>
          <w:szCs w:val="24"/>
        </w:rPr>
      </w:pPr>
    </w:p>
    <w:p w14:paraId="439F7012" w14:textId="52F247DB" w:rsidR="00CC1C1C" w:rsidRPr="00352176" w:rsidRDefault="00CC1C1C" w:rsidP="00BE0EE2">
      <w:pPr>
        <w:spacing w:after="0" w:line="276" w:lineRule="auto"/>
        <w:jc w:val="both"/>
        <w:rPr>
          <w:rFonts w:ascii="Times New Roman" w:eastAsia="Aptos" w:hAnsi="Times New Roman" w:cs="Times New Roman"/>
          <w:noProof/>
          <w:sz w:val="24"/>
          <w:szCs w:val="24"/>
        </w:rPr>
      </w:pPr>
      <w:r>
        <w:rPr>
          <w:rFonts w:ascii="Times New Roman" w:hAnsi="Times New Roman"/>
          <w:noProof/>
          <w:sz w:val="24"/>
        </w:rPr>
        <w:t xml:space="preserve">À l’avenir, des options allant au-delà de l’agrégation de la demande devraient également être explorées en vue de tirer parti du pouvoir d’achat de l’UE pour soutenir ses efforts de diversification. </w:t>
      </w:r>
    </w:p>
    <w:p w14:paraId="7E807931" w14:textId="77777777" w:rsidR="00313948" w:rsidRPr="00352176" w:rsidRDefault="00313948" w:rsidP="00BE0EE2">
      <w:pPr>
        <w:spacing w:after="0" w:line="276" w:lineRule="auto"/>
        <w:jc w:val="both"/>
        <w:rPr>
          <w:rFonts w:ascii="Times New Roman" w:eastAsia="Aptos" w:hAnsi="Times New Roman" w:cs="Times New Roman"/>
          <w:noProof/>
          <w:sz w:val="24"/>
          <w:szCs w:val="24"/>
        </w:rPr>
      </w:pPr>
    </w:p>
    <w:p w14:paraId="06B706EC" w14:textId="77777777" w:rsidR="00313948" w:rsidRPr="00352176" w:rsidRDefault="00313948" w:rsidP="00BE0EE2">
      <w:pPr>
        <w:spacing w:after="0" w:line="276" w:lineRule="auto"/>
        <w:jc w:val="both"/>
        <w:rPr>
          <w:rFonts w:ascii="Times New Roman" w:eastAsia="Aptos" w:hAnsi="Times New Roman" w:cs="Times New Roman"/>
          <w:noProof/>
          <w:sz w:val="24"/>
          <w:szCs w:val="24"/>
        </w:rPr>
      </w:pPr>
      <w:r>
        <w:rPr>
          <w:rFonts w:ascii="Times New Roman" w:hAnsi="Times New Roman"/>
          <w:noProof/>
          <w:sz w:val="24"/>
        </w:rPr>
        <w:t>En se fondant sur l’expérience acquise dans le cadre du mécanisme AggregateEU, la Commission évalue la faisabilité d’une plateforme visant à soutenir l’expansion et le commerce de molécules gazeuses d’origine non fossile, y compris le biométhane.</w:t>
      </w:r>
    </w:p>
    <w:p w14:paraId="4A7C1EC0" w14:textId="77777777" w:rsidR="00313948" w:rsidRPr="00352176" w:rsidRDefault="00313948" w:rsidP="00BE0EE2">
      <w:pPr>
        <w:spacing w:after="0" w:line="276" w:lineRule="auto"/>
        <w:jc w:val="both"/>
        <w:rPr>
          <w:rFonts w:ascii="Times New Roman" w:eastAsia="Aptos" w:hAnsi="Times New Roman" w:cs="Times New Roman"/>
          <w:noProof/>
          <w:sz w:val="24"/>
          <w:szCs w:val="24"/>
        </w:rPr>
      </w:pPr>
    </w:p>
    <w:p w14:paraId="6BDCD847" w14:textId="2BC670A9" w:rsidR="00313948" w:rsidRPr="00352176" w:rsidRDefault="00313948" w:rsidP="00BE0EE2">
      <w:pPr>
        <w:spacing w:after="0" w:line="276" w:lineRule="auto"/>
        <w:jc w:val="both"/>
        <w:rPr>
          <w:rFonts w:ascii="Times New Roman" w:eastAsia="Aptos" w:hAnsi="Times New Roman" w:cs="Times New Roman"/>
          <w:noProof/>
          <w:sz w:val="24"/>
          <w:szCs w:val="24"/>
        </w:rPr>
      </w:pPr>
      <w:r>
        <w:rPr>
          <w:rFonts w:ascii="Times New Roman" w:hAnsi="Times New Roman"/>
          <w:noProof/>
          <w:sz w:val="24"/>
        </w:rPr>
        <w:t>En outre, la Commission collabore avec l’industrie et d’autres parties prenantes pour faire progresser le déploiement du biogaz et du biométhane durables. Des progrès considérables ont été accomplis depuis l’adoption du plan d’action pour le biométhane en 2022, notamment dans le cadre du partenariat industriel pour le biométhane. S’appuyant sur la conclusion réussie du partenariat industriel pour le biométhane, la Commission mettra en place un nouveau réseau de biogaz des États membres dans le cadre d’un contrat tripartite afin de mieux répondre aux besoins divergents dans différents domaines de l’UE et d’associer les parties prenantes nationales et locales.</w:t>
      </w:r>
    </w:p>
    <w:p w14:paraId="65BBA11D" w14:textId="77777777" w:rsidR="00D123AD" w:rsidRPr="00352176" w:rsidRDefault="00D123AD" w:rsidP="00BE0EE2">
      <w:pPr>
        <w:spacing w:after="0" w:line="276" w:lineRule="auto"/>
        <w:jc w:val="both"/>
        <w:rPr>
          <w:rFonts w:ascii="Times New Roman" w:eastAsia="Aptos" w:hAnsi="Times New Roman" w:cs="Times New Roman"/>
          <w:noProof/>
          <w:sz w:val="24"/>
          <w:szCs w:val="24"/>
        </w:rPr>
      </w:pPr>
    </w:p>
    <w:p w14:paraId="38D0B5AE" w14:textId="436C1EC3" w:rsidR="00C06A11" w:rsidRPr="00352176" w:rsidRDefault="00C26DBF" w:rsidP="00C81DC1">
      <w:pPr>
        <w:jc w:val="both"/>
        <w:rPr>
          <w:rFonts w:ascii="Times New Roman" w:hAnsi="Times New Roman" w:cs="Times New Roman"/>
          <w:noProof/>
          <w:sz w:val="24"/>
          <w:szCs w:val="24"/>
        </w:rPr>
      </w:pPr>
      <w:r>
        <w:rPr>
          <w:rFonts w:ascii="Times New Roman" w:hAnsi="Times New Roman"/>
          <w:noProof/>
          <w:sz w:val="24"/>
        </w:rPr>
        <w:t>Compte tenu des défis spécifiques auxquels sont confrontés les États membres et les parties contractantes de la Communauté de l’énergie en Europe centrale et du Sud-Est (CESEC) en matière de commerce transfrontière, la Commission travaillera dans le cadre du groupe de haut niveau du CESEC</w:t>
      </w:r>
      <w:r>
        <w:rPr>
          <w:rStyle w:val="FootnoteReference"/>
          <w:rFonts w:ascii="Times New Roman" w:eastAsia="Aptos" w:hAnsi="Times New Roman" w:cs="Times New Roman"/>
          <w:noProof/>
          <w:sz w:val="24"/>
          <w:szCs w:val="24"/>
        </w:rPr>
        <w:footnoteReference w:id="31"/>
      </w:r>
      <w:r>
        <w:rPr>
          <w:rFonts w:ascii="Times New Roman" w:hAnsi="Times New Roman"/>
          <w:noProof/>
          <w:sz w:val="24"/>
        </w:rPr>
        <w:t>, avec le secrétariat de la Communauté de l’énergie</w:t>
      </w:r>
      <w:r>
        <w:rPr>
          <w:rStyle w:val="FootnoteReference"/>
          <w:rFonts w:ascii="Times New Roman" w:eastAsia="Aptos" w:hAnsi="Times New Roman" w:cs="Times New Roman"/>
          <w:noProof/>
          <w:sz w:val="24"/>
          <w:szCs w:val="24"/>
        </w:rPr>
        <w:footnoteReference w:id="32"/>
      </w:r>
      <w:r>
        <w:rPr>
          <w:rFonts w:ascii="Times New Roman" w:hAnsi="Times New Roman"/>
          <w:noProof/>
          <w:sz w:val="24"/>
        </w:rPr>
        <w:t xml:space="preserve"> et avec les pays concernés par l’élargissement afin de maximiser l’utilisation des infrastructures existantes, dans le but de supprimer les obstacles réglementaires et commerciaux, de renforcer la diversification et d’aider les pays candidats à réduire leur dépendance à l’égard des importations d’énergie russe.</w:t>
      </w:r>
    </w:p>
    <w:p w14:paraId="6B6B2276" w14:textId="39E35D5F" w:rsidR="00003DB1" w:rsidRPr="00352176" w:rsidRDefault="00003DB1" w:rsidP="00C81DC1">
      <w:pPr>
        <w:jc w:val="both"/>
        <w:rPr>
          <w:rFonts w:ascii="Times New Roman" w:hAnsi="Times New Roman" w:cs="Times New Roman"/>
          <w:noProof/>
          <w:sz w:val="24"/>
          <w:szCs w:val="24"/>
        </w:rPr>
      </w:pPr>
    </w:p>
    <w:p w14:paraId="5AB133B6" w14:textId="1F7C3FFE" w:rsidR="00CE7F15" w:rsidRPr="00352176" w:rsidRDefault="00CE7F15" w:rsidP="00BE0EE2">
      <w:pPr>
        <w:pStyle w:val="Heading3"/>
        <w:spacing w:line="276" w:lineRule="auto"/>
        <w:rPr>
          <w:rFonts w:ascii="Times New Roman" w:hAnsi="Times New Roman" w:cs="Times New Roman"/>
          <w:b/>
          <w:bCs/>
          <w:noProof/>
          <w:color w:val="auto"/>
          <w:sz w:val="24"/>
          <w:szCs w:val="24"/>
        </w:rPr>
      </w:pPr>
      <w:r>
        <w:rPr>
          <w:rFonts w:ascii="Times New Roman" w:hAnsi="Times New Roman"/>
          <w:b/>
          <w:noProof/>
          <w:color w:val="auto"/>
          <w:sz w:val="24"/>
        </w:rPr>
        <w:t xml:space="preserve">3.2. Nucléaire </w:t>
      </w:r>
    </w:p>
    <w:p w14:paraId="5B19B557" w14:textId="77777777" w:rsidR="00CE7F15" w:rsidRPr="00352176" w:rsidRDefault="00CE7F15" w:rsidP="00BE0EE2">
      <w:pPr>
        <w:pStyle w:val="ListParagraph"/>
        <w:spacing w:after="0" w:line="276" w:lineRule="auto"/>
        <w:jc w:val="both"/>
        <w:rPr>
          <w:rFonts w:ascii="Times New Roman" w:hAnsi="Times New Roman" w:cs="Times New Roman"/>
          <w:b/>
          <w:bCs/>
          <w:noProof/>
          <w:sz w:val="24"/>
          <w:szCs w:val="24"/>
        </w:rPr>
      </w:pPr>
    </w:p>
    <w:p w14:paraId="044EBDD9" w14:textId="45237AE4" w:rsidR="00CE7F15" w:rsidRPr="00352176" w:rsidRDefault="00CE7F15" w:rsidP="00BE0EE2">
      <w:pPr>
        <w:spacing w:after="0" w:line="276" w:lineRule="auto"/>
        <w:jc w:val="both"/>
        <w:rPr>
          <w:rFonts w:ascii="Times New Roman" w:hAnsi="Times New Roman" w:cs="Times New Roman"/>
          <w:b/>
          <w:bCs/>
          <w:i/>
          <w:iCs/>
          <w:noProof/>
          <w:sz w:val="24"/>
          <w:szCs w:val="24"/>
          <w:u w:val="single"/>
        </w:rPr>
      </w:pPr>
      <w:r>
        <w:rPr>
          <w:rFonts w:ascii="Times New Roman" w:hAnsi="Times New Roman"/>
          <w:b/>
          <w:i/>
          <w:noProof/>
          <w:sz w:val="24"/>
          <w:u w:val="single"/>
        </w:rPr>
        <w:t xml:space="preserve">Action nº 5: Nouvelles restrictions afin de supprimer progressivement les importations russes d’uranium, d’uranium enrichi et d’autres matières nucléaires </w:t>
      </w:r>
    </w:p>
    <w:p w14:paraId="5BD5EF3E" w14:textId="77777777" w:rsidR="00CE7F15" w:rsidRPr="00352176" w:rsidRDefault="00CE7F15" w:rsidP="00BE0EE2">
      <w:pPr>
        <w:spacing w:after="0" w:line="276" w:lineRule="auto"/>
        <w:jc w:val="both"/>
        <w:rPr>
          <w:rFonts w:ascii="Times New Roman" w:hAnsi="Times New Roman" w:cs="Times New Roman"/>
          <w:noProof/>
          <w:sz w:val="24"/>
          <w:szCs w:val="24"/>
        </w:rPr>
      </w:pPr>
    </w:p>
    <w:p w14:paraId="39480D51" w14:textId="76DCBB23" w:rsidR="00CE7F15" w:rsidRPr="00352176" w:rsidRDefault="00BB7098" w:rsidP="00BE0EE2">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Contrairement aux dépendances dans le secteur du gaz, les dépendances dans le secteur nucléaire sont pluridimensionnelles et il se peut que des risques pour la sécurité de l’approvisionnement surviennent encore à court ou moyen terme en cas de changements soudains de politique. Par conséquent, l’objectif de cette action est de soutenir la suppression progressive de l’approvisionnement en uranium, uranium enrichi et autres matières nucléaires originaires de Russie, qui sont utilisés pour la fabrication de combustible pour les réacteurs nucléaires européens, y compris par le fournisseur russe de combustible destiné aux réacteurs de type VVER conçus par la Russie. </w:t>
      </w:r>
    </w:p>
    <w:p w14:paraId="6FB44F11" w14:textId="082D3077" w:rsidR="6172819B" w:rsidRPr="00352176" w:rsidRDefault="6172819B" w:rsidP="00BE0EE2">
      <w:pPr>
        <w:spacing w:after="0" w:line="276" w:lineRule="auto"/>
        <w:jc w:val="both"/>
        <w:rPr>
          <w:rFonts w:ascii="Times New Roman" w:hAnsi="Times New Roman" w:cs="Times New Roman"/>
          <w:noProof/>
          <w:sz w:val="24"/>
          <w:szCs w:val="24"/>
        </w:rPr>
      </w:pPr>
    </w:p>
    <w:p w14:paraId="10EC0746" w14:textId="352FCFF9" w:rsidR="0A160214" w:rsidRPr="00352176" w:rsidRDefault="6CD5DA36" w:rsidP="00BE0EE2">
      <w:pPr>
        <w:pStyle w:val="ListParagraph"/>
        <w:numPr>
          <w:ilvl w:val="0"/>
          <w:numId w:val="34"/>
        </w:numPr>
        <w:spacing w:after="0" w:line="276" w:lineRule="auto"/>
        <w:jc w:val="both"/>
        <w:rPr>
          <w:rFonts w:ascii="Times New Roman" w:hAnsi="Times New Roman" w:cs="Times New Roman"/>
          <w:b/>
          <w:noProof/>
          <w:sz w:val="24"/>
          <w:szCs w:val="24"/>
        </w:rPr>
      </w:pPr>
      <w:r>
        <w:rPr>
          <w:rFonts w:ascii="Times New Roman" w:hAnsi="Times New Roman"/>
          <w:b/>
          <w:noProof/>
          <w:sz w:val="24"/>
        </w:rPr>
        <w:t xml:space="preserve"> Mesures relatives à l’uranium enrichi</w:t>
      </w:r>
    </w:p>
    <w:p w14:paraId="1C33B691" w14:textId="77777777" w:rsidR="00CE7F15" w:rsidRPr="00352176" w:rsidRDefault="00CE7F15" w:rsidP="00BE0EE2">
      <w:pPr>
        <w:spacing w:after="0" w:line="276" w:lineRule="auto"/>
        <w:jc w:val="both"/>
        <w:rPr>
          <w:rFonts w:ascii="Times New Roman" w:hAnsi="Times New Roman" w:cs="Times New Roman"/>
          <w:noProof/>
          <w:sz w:val="24"/>
          <w:szCs w:val="24"/>
        </w:rPr>
      </w:pPr>
    </w:p>
    <w:p w14:paraId="323C9F6A" w14:textId="2D880E46" w:rsidR="00CE7F15" w:rsidRPr="00352176" w:rsidRDefault="00C26DBF" w:rsidP="00BE0EE2">
      <w:pPr>
        <w:spacing w:before="60" w:after="60" w:line="276" w:lineRule="auto"/>
        <w:jc w:val="both"/>
        <w:rPr>
          <w:rFonts w:ascii="Times New Roman" w:hAnsi="Times New Roman" w:cs="Times New Roman"/>
          <w:noProof/>
          <w:sz w:val="24"/>
          <w:szCs w:val="24"/>
        </w:rPr>
      </w:pPr>
      <w:bookmarkStart w:id="17" w:name="_Hlk196214975"/>
      <w:r>
        <w:rPr>
          <w:rFonts w:ascii="Times New Roman" w:hAnsi="Times New Roman"/>
          <w:noProof/>
          <w:sz w:val="24"/>
        </w:rPr>
        <w:t xml:space="preserve">La Commission s’efforcera de rendre économiquement moins viables les importations russes d’uranium enrichi en présentant, le mois prochain, des mesures commerciales sur les importations d’uranium enrichi. Ces mesures permettront de créer des conditions de concurrence équitables et d’encourager des décisions politiques et commerciales dans les États membres concernés visant à accélérer les investissements et le renforcement des capacités, à développer une chaîne de valeur de l’UE et à prévoir une diversification progressive au détriment des importations russes, tout en permettant l’approvisionnement auprès d’autres partenaires internationaux. </w:t>
      </w:r>
    </w:p>
    <w:bookmarkEnd w:id="17"/>
    <w:p w14:paraId="3F8058BF" w14:textId="79AC9F6F" w:rsidR="6E2A189C" w:rsidRPr="00352176" w:rsidRDefault="6E2A189C" w:rsidP="00BE0EE2">
      <w:pPr>
        <w:spacing w:before="60" w:after="60" w:line="276" w:lineRule="auto"/>
        <w:jc w:val="both"/>
        <w:rPr>
          <w:rFonts w:ascii="Times New Roman" w:hAnsi="Times New Roman" w:cs="Times New Roman"/>
          <w:noProof/>
          <w:sz w:val="24"/>
          <w:szCs w:val="24"/>
        </w:rPr>
      </w:pPr>
    </w:p>
    <w:p w14:paraId="38E1CEC5" w14:textId="6015E222" w:rsidR="02F50BEC" w:rsidRPr="00352176" w:rsidRDefault="6ADE921E" w:rsidP="00BE0EE2">
      <w:pPr>
        <w:pStyle w:val="ListParagraph"/>
        <w:numPr>
          <w:ilvl w:val="0"/>
          <w:numId w:val="34"/>
        </w:numPr>
        <w:spacing w:after="0" w:line="276" w:lineRule="auto"/>
        <w:jc w:val="both"/>
        <w:rPr>
          <w:rFonts w:ascii="Times New Roman" w:hAnsi="Times New Roman" w:cs="Times New Roman"/>
          <w:b/>
          <w:noProof/>
          <w:sz w:val="24"/>
          <w:szCs w:val="24"/>
        </w:rPr>
      </w:pPr>
      <w:r>
        <w:rPr>
          <w:rFonts w:ascii="Times New Roman" w:hAnsi="Times New Roman"/>
          <w:b/>
          <w:noProof/>
          <w:sz w:val="24"/>
        </w:rPr>
        <w:t>Restrictions concernant les contrats cosignés par l’Agence d’approvisionnement d’Euratom</w:t>
      </w:r>
    </w:p>
    <w:p w14:paraId="31D483D4" w14:textId="77777777" w:rsidR="00CE7F15" w:rsidRPr="00352176" w:rsidRDefault="00CE7F15" w:rsidP="00BE0EE2">
      <w:pPr>
        <w:spacing w:after="0" w:line="276" w:lineRule="auto"/>
        <w:jc w:val="both"/>
        <w:rPr>
          <w:rFonts w:ascii="Times New Roman" w:hAnsi="Times New Roman" w:cs="Times New Roman"/>
          <w:noProof/>
          <w:sz w:val="24"/>
          <w:szCs w:val="24"/>
        </w:rPr>
      </w:pPr>
    </w:p>
    <w:p w14:paraId="40D22BBD" w14:textId="2B0C5312" w:rsidR="00CE7F15" w:rsidRPr="00352176" w:rsidRDefault="009C50C5" w:rsidP="00BE0EE2">
      <w:p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Le mois prochain, la Commission a également l’intention de prévoir des restrictions pour les nouveaux contrats de fourniture cosignés par l’Agence d’approvisionnement d’Euratom pour l’uranium, l’uranium enrichi et d’autres matières nucléaires</w:t>
      </w:r>
      <w:r>
        <w:rPr>
          <w:rStyle w:val="FootnoteReference"/>
          <w:rFonts w:ascii="Times New Roman" w:hAnsi="Times New Roman" w:cs="Times New Roman"/>
          <w:noProof/>
          <w:sz w:val="24"/>
          <w:szCs w:val="24"/>
        </w:rPr>
        <w:footnoteReference w:id="33"/>
      </w:r>
      <w:r>
        <w:rPr>
          <w:rFonts w:ascii="Times New Roman" w:hAnsi="Times New Roman"/>
          <w:noProof/>
          <w:sz w:val="24"/>
        </w:rPr>
        <w:t xml:space="preserve"> avec les fournisseurs russes à partir d’une certaine date. Les livraisons sur la base des contrats existants se poursuivront, mais les prolongations ainsi que les nouveaux contrats de fourniture ne seraient plus approuvés par l’Agence d’approvisionnement d’Euratom. Cette mesure renforcera la prévisibilité et la sécurité d’approvisionnement à long terme et soutiendra les acteurs industriels et économiques européens participant aux activités du cycle du combustible nucléaire en offrant des assurances et en garantissant la prévisibilité des décisions d’investissement. </w:t>
      </w:r>
    </w:p>
    <w:p w14:paraId="3F2C236C" w14:textId="77777777" w:rsidR="00CE7F15" w:rsidRPr="00352176" w:rsidRDefault="00CE7F15" w:rsidP="00BE0EE2">
      <w:pPr>
        <w:spacing w:after="0" w:line="276" w:lineRule="auto"/>
        <w:jc w:val="both"/>
        <w:rPr>
          <w:rFonts w:ascii="Times New Roman" w:hAnsi="Times New Roman" w:cs="Times New Roman"/>
          <w:noProof/>
          <w:sz w:val="24"/>
          <w:szCs w:val="24"/>
        </w:rPr>
      </w:pPr>
    </w:p>
    <w:p w14:paraId="0DA1CAE9" w14:textId="7A734520" w:rsidR="00CE7F15" w:rsidRPr="00352176" w:rsidRDefault="00CE7F15" w:rsidP="00BE0EE2">
      <w:pPr>
        <w:spacing w:line="276" w:lineRule="auto"/>
        <w:rPr>
          <w:rFonts w:ascii="Times New Roman" w:hAnsi="Times New Roman" w:cs="Times New Roman"/>
          <w:b/>
          <w:bCs/>
          <w:i/>
          <w:iCs/>
          <w:noProof/>
          <w:sz w:val="24"/>
          <w:szCs w:val="24"/>
          <w:u w:val="single"/>
        </w:rPr>
      </w:pPr>
      <w:r>
        <w:rPr>
          <w:rFonts w:ascii="Times New Roman" w:hAnsi="Times New Roman"/>
          <w:b/>
          <w:i/>
          <w:noProof/>
          <w:sz w:val="24"/>
          <w:u w:val="single"/>
        </w:rPr>
        <w:t xml:space="preserve">Action nº 6: Obligation de diversification et transparence: plans nationaux visant à supprimer progressivement les approvisionnements russes en matières nucléaires </w:t>
      </w:r>
    </w:p>
    <w:p w14:paraId="6A2BD529" w14:textId="1EA21E49" w:rsidR="00E3043E" w:rsidRPr="00352176" w:rsidRDefault="00CE7F15" w:rsidP="00BE0EE2">
      <w:pPr>
        <w:spacing w:line="276" w:lineRule="auto"/>
        <w:jc w:val="both"/>
        <w:rPr>
          <w:rFonts w:ascii="Times New Roman" w:eastAsia="Times New Roman" w:hAnsi="Times New Roman" w:cs="Times New Roman"/>
          <w:noProof/>
          <w:sz w:val="24"/>
          <w:szCs w:val="24"/>
        </w:rPr>
      </w:pPr>
      <w:bookmarkStart w:id="18" w:name="_Hlk196215087"/>
      <w:r>
        <w:rPr>
          <w:rFonts w:ascii="Times New Roman" w:hAnsi="Times New Roman"/>
          <w:noProof/>
          <w:sz w:val="24"/>
        </w:rPr>
        <w:t xml:space="preserve">La Commission invitera les États membres à prendre des mesures systématiques pour supprimer progressivement les fournitures de combustible nucléaire, de services relatifs au combustible nucléaire et de pièces de rechange en provenance de Russie et les remplacer, notamment, au fil du temps, par des solutions de remplacement entièrement européennes. </w:t>
      </w:r>
      <w:bookmarkStart w:id="19" w:name="_Hlk196215192"/>
      <w:r>
        <w:rPr>
          <w:rFonts w:ascii="Times New Roman" w:hAnsi="Times New Roman"/>
          <w:noProof/>
          <w:sz w:val="24"/>
        </w:rPr>
        <w:t>Les États membres seront tenus d’élaborer des plans nationaux prévoyant des mesures concrètes et des calendriers, et la Commission recommande aux États membres de présenter déjà leurs premiers plans nationaux d’ici la fin de 2025, dans le but d’offrir aux acteurs économiques des assurances et une prévisibilité suffisantes lorsqu’ils prennent des décisions d’investissement</w:t>
      </w:r>
      <w:bookmarkEnd w:id="19"/>
      <w:r>
        <w:rPr>
          <w:rFonts w:ascii="Times New Roman" w:hAnsi="Times New Roman"/>
          <w:noProof/>
          <w:sz w:val="24"/>
        </w:rPr>
        <w:t xml:space="preserve"> pour mettre à disposition une capacité suffisante de conversion et d’enrichissement de l’uranium. </w:t>
      </w:r>
      <w:bookmarkEnd w:id="18"/>
    </w:p>
    <w:p w14:paraId="12F1FA21" w14:textId="6D54D2E7" w:rsidR="00CE7F15" w:rsidRPr="00352176" w:rsidRDefault="00CE7F15" w:rsidP="00BE0EE2">
      <w:pPr>
        <w:spacing w:line="276" w:lineRule="auto"/>
        <w:jc w:val="both"/>
        <w:rPr>
          <w:rFonts w:ascii="Times New Roman" w:hAnsi="Times New Roman" w:cs="Times New Roman"/>
          <w:noProof/>
          <w:sz w:val="24"/>
          <w:szCs w:val="24"/>
        </w:rPr>
      </w:pPr>
      <w:r>
        <w:rPr>
          <w:rFonts w:ascii="Times New Roman" w:hAnsi="Times New Roman"/>
          <w:noProof/>
          <w:sz w:val="24"/>
        </w:rPr>
        <w:t xml:space="preserve">Concrètement, la Commission a l’intention de présenter, le mois prochain, une proposition législative comportant des objectifs spécifiques pour les États membres dans le but: </w:t>
      </w:r>
    </w:p>
    <w:p w14:paraId="68158147" w14:textId="483BFBBB" w:rsidR="00CE7F15" w:rsidRPr="00352176" w:rsidRDefault="00CE7F15" w:rsidP="00BE0EE2">
      <w:pPr>
        <w:pStyle w:val="ListParagraph"/>
        <w:numPr>
          <w:ilvl w:val="0"/>
          <w:numId w:val="3"/>
        </w:num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de remplacer les combustibles nucléaires russes par des combustibles de substitution en accélérant la passation de contrats et l’octroi d’autorisations pour ces combustibles et en développant d’autres solutions entièrement européennes;</w:t>
      </w:r>
    </w:p>
    <w:p w14:paraId="1C0D70F7" w14:textId="6AF6F04C" w:rsidR="00CE7F15" w:rsidRPr="00352176" w:rsidRDefault="00CE7F15" w:rsidP="00BE0EE2">
      <w:pPr>
        <w:pStyle w:val="ListParagraph"/>
        <w:numPr>
          <w:ilvl w:val="0"/>
          <w:numId w:val="3"/>
        </w:num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de supprimer progressivement la dépendance à l’égard de la Russie pour l’uranium, l’uranium enrichi et d’autres matières nucléaires;</w:t>
      </w:r>
    </w:p>
    <w:p w14:paraId="4AB363FC" w14:textId="77777777" w:rsidR="00CE7F15" w:rsidRPr="00352176" w:rsidRDefault="00CE7F15" w:rsidP="00BE0EE2">
      <w:pPr>
        <w:pStyle w:val="ListParagraph"/>
        <w:numPr>
          <w:ilvl w:val="0"/>
          <w:numId w:val="3"/>
        </w:num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et d’accroître la transparence en ce qui concerne les dépendances et d’encourager la diversification des fournitures russes de pièces de rechange et de services d’entretien. </w:t>
      </w:r>
    </w:p>
    <w:p w14:paraId="6C93CCCA" w14:textId="77777777" w:rsidR="00C81DC1" w:rsidRPr="00352176" w:rsidRDefault="00C81DC1" w:rsidP="00BE0EE2">
      <w:pPr>
        <w:spacing w:before="60" w:after="60" w:line="276" w:lineRule="auto"/>
        <w:jc w:val="both"/>
        <w:rPr>
          <w:rFonts w:ascii="Times New Roman" w:hAnsi="Times New Roman" w:cs="Times New Roman"/>
          <w:noProof/>
          <w:sz w:val="24"/>
          <w:szCs w:val="24"/>
        </w:rPr>
      </w:pPr>
    </w:p>
    <w:p w14:paraId="17EFE9ED" w14:textId="7584E18A" w:rsidR="725B2A91" w:rsidRPr="00352176" w:rsidRDefault="725B2A91" w:rsidP="00BE0EE2">
      <w:pPr>
        <w:spacing w:before="60" w:after="60" w:line="276" w:lineRule="auto"/>
        <w:jc w:val="both"/>
        <w:rPr>
          <w:rFonts w:ascii="Times New Roman" w:hAnsi="Times New Roman" w:cs="Times New Roman"/>
          <w:noProof/>
          <w:sz w:val="24"/>
          <w:szCs w:val="24"/>
        </w:rPr>
      </w:pPr>
      <w:r>
        <w:rPr>
          <w:rFonts w:ascii="Times New Roman" w:hAnsi="Times New Roman"/>
          <w:noProof/>
          <w:sz w:val="24"/>
        </w:rPr>
        <w:t>La Commission et l’Agence d’approvisionnement d’Euratom poursuivront leurs contacts et leur dialogue avec les cinq États membres concernés et les parties prenantes dans le secteur nucléaire afin d’assurer une bonne coordination et un suivi adéquat des progrès accomplis dans les efforts de diversification.</w:t>
      </w:r>
    </w:p>
    <w:p w14:paraId="5922F3DF" w14:textId="77777777" w:rsidR="007557D5" w:rsidRPr="00352176" w:rsidRDefault="007557D5" w:rsidP="00BE0EE2">
      <w:pPr>
        <w:spacing w:after="0" w:line="276" w:lineRule="auto"/>
        <w:contextualSpacing/>
        <w:jc w:val="both"/>
        <w:rPr>
          <w:rFonts w:ascii="Times New Roman" w:hAnsi="Times New Roman" w:cs="Times New Roman"/>
          <w:noProof/>
          <w:sz w:val="24"/>
          <w:szCs w:val="24"/>
        </w:rPr>
      </w:pPr>
    </w:p>
    <w:p w14:paraId="60B90B9F" w14:textId="11BF0DF7" w:rsidR="00CE7F15" w:rsidRPr="00352176" w:rsidRDefault="00CE7F15" w:rsidP="00BE0EE2">
      <w:pPr>
        <w:spacing w:after="0" w:line="276" w:lineRule="auto"/>
        <w:jc w:val="both"/>
        <w:rPr>
          <w:rFonts w:ascii="Times New Roman" w:hAnsi="Times New Roman" w:cs="Times New Roman"/>
          <w:b/>
          <w:bCs/>
          <w:i/>
          <w:iCs/>
          <w:noProof/>
          <w:sz w:val="24"/>
          <w:szCs w:val="24"/>
          <w:u w:val="single"/>
        </w:rPr>
      </w:pPr>
      <w:r>
        <w:rPr>
          <w:rFonts w:ascii="Times New Roman" w:hAnsi="Times New Roman"/>
          <w:b/>
          <w:i/>
          <w:noProof/>
          <w:sz w:val="24"/>
          <w:u w:val="single"/>
        </w:rPr>
        <w:t>Action nº 7: Augmentation de la production de l’UE: proposition d’initiative européenne relative à une «Vallée des radio-isotopes» (ERVI)</w:t>
      </w:r>
    </w:p>
    <w:p w14:paraId="35FFC747" w14:textId="77777777" w:rsidR="00CE7F15" w:rsidRPr="00352176" w:rsidRDefault="00CE7F15" w:rsidP="00BE0EE2">
      <w:pPr>
        <w:spacing w:after="0" w:line="276" w:lineRule="auto"/>
        <w:jc w:val="both"/>
        <w:rPr>
          <w:rFonts w:ascii="Times New Roman" w:hAnsi="Times New Roman" w:cs="Times New Roman"/>
          <w:b/>
          <w:bCs/>
          <w:i/>
          <w:iCs/>
          <w:noProof/>
          <w:sz w:val="24"/>
          <w:szCs w:val="24"/>
          <w:u w:val="single"/>
        </w:rPr>
      </w:pPr>
    </w:p>
    <w:p w14:paraId="308CB394" w14:textId="7E5DB849" w:rsidR="00CE7F15" w:rsidRPr="00352176" w:rsidRDefault="00CE7F15" w:rsidP="00BE0EE2">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La Commission a l’intention de proposer la création d’une structure de l’UE - une vallée européenne des radio-isotopes - afin de garantir l’approvisionnement de l’UE en radio-isotopes médicaux grâce à une production propre accrue, de réduire la dépendance de l’UE à l’égard des fournisseurs étrangers, en particulier la Russie, et d’accroître la résilience de la chaîne d’approvisionnement européenne, en tenant compte des différents besoins des États membres. </w:t>
      </w:r>
    </w:p>
    <w:p w14:paraId="7111D05A" w14:textId="0F38CEC0" w:rsidR="00CF6978" w:rsidRPr="00352176" w:rsidRDefault="00A85926" w:rsidP="00BE0EE2">
      <w:pPr>
        <w:spacing w:after="0" w:line="276" w:lineRule="auto"/>
        <w:contextualSpacing/>
        <w:jc w:val="both"/>
        <w:rPr>
          <w:rFonts w:ascii="Times New Roman" w:hAnsi="Times New Roman" w:cs="Times New Roman"/>
          <w:noProof/>
          <w:sz w:val="24"/>
          <w:szCs w:val="24"/>
        </w:rPr>
      </w:pPr>
      <w:r>
        <w:rPr>
          <w:rFonts w:ascii="Times New Roman" w:hAnsi="Times New Roman"/>
          <w:noProof/>
          <w:sz w:val="24"/>
          <w:lang w:val="en-GB" w:eastAsia="en-GB"/>
        </w:rPr>
        <mc:AlternateContent>
          <mc:Choice Requires="wps">
            <w:drawing>
              <wp:anchor distT="45720" distB="45720" distL="114300" distR="114300" simplePos="0" relativeHeight="251658241" behindDoc="0" locked="0" layoutInCell="1" allowOverlap="1" wp14:anchorId="59271F80" wp14:editId="64E648EC">
                <wp:simplePos x="0" y="0"/>
                <wp:positionH relativeFrom="column">
                  <wp:posOffset>31115</wp:posOffset>
                </wp:positionH>
                <wp:positionV relativeFrom="paragraph">
                  <wp:posOffset>336181</wp:posOffset>
                </wp:positionV>
                <wp:extent cx="5708650" cy="1424940"/>
                <wp:effectExtent l="0" t="0" r="25400" b="24765"/>
                <wp:wrapSquare wrapText="bothSides"/>
                <wp:docPr id="607619382"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a:xfrm>
                          <a:off x="0" y="0"/>
                          <a:ext cx="5708650" cy="1424940"/>
                        </a:xfrm>
                        <a:prstGeom prst="rect">
                          <a:avLst/>
                        </a:prstGeom>
                        <a:solidFill>
                          <a:srgbClr val="D9E2F3"/>
                        </a:solidFill>
                        <a:ln w="9525">
                          <a:solidFill>
                            <a:srgbClr val="000000"/>
                          </a:solidFill>
                          <a:miter/>
                        </a:ln>
                      </wps:spPr>
                      <wps:txbx>
                        <w:txbxContent>
                          <w:p w14:paraId="2D006D56" w14:textId="77777777" w:rsidR="00C06A11" w:rsidRPr="000D4131" w:rsidRDefault="00C06A11" w:rsidP="00C06A11">
                            <w:pPr>
                              <w:shd w:val="clear" w:color="auto" w:fill="D9E2F3"/>
                              <w:spacing w:before="60" w:after="60" w:line="276" w:lineRule="auto"/>
                              <w:jc w:val="center"/>
                              <w:rPr>
                                <w:rFonts w:ascii="Times New Roman" w:hAnsi="Times New Roman" w:cs="Times New Roman"/>
                                <w:b/>
                                <w:bCs/>
                                <w:i/>
                                <w:iCs/>
                                <w:kern w:val="0"/>
                                <w:u w:val="single"/>
                                <w14:ligatures w14:val="none"/>
                              </w:rPr>
                            </w:pPr>
                            <w:r>
                              <w:rPr>
                                <w:rFonts w:ascii="Times New Roman" w:hAnsi="Times New Roman"/>
                                <w:b/>
                              </w:rPr>
                              <w:t xml:space="preserve"> </w:t>
                            </w:r>
                            <w:r>
                              <w:rPr>
                                <w:rFonts w:ascii="Times New Roman" w:hAnsi="Times New Roman"/>
                                <w:b/>
                                <w:i/>
                                <w:u w:val="single"/>
                              </w:rPr>
                              <w:t xml:space="preserve">Incidence de la suppression progressive des importations nucléaires russes </w:t>
                            </w:r>
                          </w:p>
                          <w:p w14:paraId="046F3784" w14:textId="77777777" w:rsidR="00C06A11" w:rsidRPr="000D4131" w:rsidRDefault="00C06A11" w:rsidP="00C06A11">
                            <w:pPr>
                              <w:shd w:val="clear" w:color="auto" w:fill="D9E2F3"/>
                              <w:spacing w:before="60" w:after="60" w:line="276" w:lineRule="auto"/>
                              <w:jc w:val="both"/>
                              <w:rPr>
                                <w:rFonts w:ascii="Times New Roman" w:hAnsi="Times New Roman" w:cs="Times New Roman"/>
                              </w:rPr>
                            </w:pPr>
                            <w:r>
                              <w:rPr>
                                <w:rFonts w:ascii="Times New Roman" w:hAnsi="Times New Roman"/>
                              </w:rPr>
                              <w:t xml:space="preserve">Si les efforts de diversification peuvent entraîner une volatilité des prix de l’uranium et du combustible pour ce qui est de l’accès à l’approvisionnement en uranium sur les marchés mondiaux, une incidence majeure sur les prix de l’électricité est peu probable, étant donné que le prix du combustible nucléaire et des services connexes ne représente qu’une faible part du coût final de l’électricité produite par les centrales nucléaires. </w:t>
                            </w:r>
                          </w:p>
                          <w:p w14:paraId="39B16A11" w14:textId="77777777" w:rsidR="00C06A11" w:rsidRPr="000D4131" w:rsidRDefault="00C06A11" w:rsidP="00C06A11">
                            <w:pPr>
                              <w:shd w:val="clear" w:color="auto" w:fill="D9E2F3"/>
                              <w:spacing w:before="60" w:after="60" w:line="276" w:lineRule="auto"/>
                              <w:jc w:val="both"/>
                              <w:rPr>
                                <w:rFonts w:ascii="Times New Roman" w:hAnsi="Times New Roman" w:cs="Times New Roman"/>
                              </w:rPr>
                            </w:pPr>
                            <w:r>
                              <w:rPr>
                                <w:rFonts w:ascii="Times New Roman" w:hAnsi="Times New Roman"/>
                              </w:rPr>
                              <w:t>À court terme, certains risques en matière de sécurité d’approvisionnement liés à l’approvisionnement en matières nucléaires en provenance de Russie subsistent. Toutefois, les facteurs suivants devraient atténuer ces risques:</w:t>
                            </w:r>
                          </w:p>
                          <w:p w14:paraId="663EE0F8" w14:textId="77777777" w:rsidR="00C06A11" w:rsidRPr="000D4131" w:rsidRDefault="00C06A11" w:rsidP="00C06A11">
                            <w:pPr>
                              <w:pStyle w:val="ListParagraph"/>
                              <w:numPr>
                                <w:ilvl w:val="0"/>
                                <w:numId w:val="20"/>
                              </w:numPr>
                              <w:shd w:val="clear" w:color="auto" w:fill="D9E2F3"/>
                              <w:spacing w:before="60" w:after="60" w:line="276" w:lineRule="auto"/>
                              <w:jc w:val="both"/>
                              <w:rPr>
                                <w:rFonts w:ascii="Times New Roman" w:hAnsi="Times New Roman" w:cs="Times New Roman"/>
                              </w:rPr>
                            </w:pPr>
                            <w:r>
                              <w:rPr>
                                <w:rFonts w:ascii="Times New Roman" w:hAnsi="Times New Roman"/>
                              </w:rPr>
                              <w:t>les États membres exploitant des réacteurs nucléaires de type VVER disposent de stocks de combustible nucléaire couvrant leurs besoins pour les prochaines années;</w:t>
                            </w:r>
                          </w:p>
                          <w:p w14:paraId="15497F49" w14:textId="77777777" w:rsidR="00C06A11" w:rsidRPr="000D4131" w:rsidRDefault="00C06A11" w:rsidP="00C06A11">
                            <w:pPr>
                              <w:pStyle w:val="ListParagraph"/>
                              <w:numPr>
                                <w:ilvl w:val="0"/>
                                <w:numId w:val="20"/>
                              </w:numPr>
                              <w:shd w:val="clear" w:color="auto" w:fill="D9E2F3"/>
                              <w:spacing w:before="60" w:after="60" w:line="276" w:lineRule="auto"/>
                              <w:jc w:val="both"/>
                              <w:rPr>
                                <w:rFonts w:ascii="Times New Roman" w:hAnsi="Times New Roman" w:cs="Times New Roman"/>
                              </w:rPr>
                            </w:pPr>
                            <w:r>
                              <w:rPr>
                                <w:rFonts w:ascii="Times New Roman" w:hAnsi="Times New Roman"/>
                              </w:rPr>
                              <w:t>des combustibles provenant de fournisseurs de substitution peuvent être à la fois disponibles et autorisés à court terme, avant que les stocks ne soient épuisés;</w:t>
                            </w:r>
                          </w:p>
                          <w:p w14:paraId="3FA4CA4B" w14:textId="77777777" w:rsidR="00C06A11" w:rsidRPr="000D4131" w:rsidRDefault="00C06A11" w:rsidP="00C06A11">
                            <w:pPr>
                              <w:pStyle w:val="ListParagraph"/>
                              <w:numPr>
                                <w:ilvl w:val="0"/>
                                <w:numId w:val="20"/>
                              </w:numPr>
                              <w:shd w:val="clear" w:color="auto" w:fill="D9E2F3"/>
                              <w:spacing w:before="60" w:after="60" w:line="276" w:lineRule="auto"/>
                              <w:jc w:val="both"/>
                              <w:rPr>
                                <w:rFonts w:ascii="Times New Roman" w:hAnsi="Times New Roman" w:cs="Times New Roman"/>
                              </w:rPr>
                            </w:pPr>
                            <w:r>
                              <w:rPr>
                                <w:rFonts w:ascii="Times New Roman" w:hAnsi="Times New Roman"/>
                              </w:rPr>
                              <w:t>des capacités supplémentaires concernant les services liés au cycle du combustible nucléaire sont en train d’être renforcées et devraient être disponibles à court et moyen terme.</w:t>
                            </w:r>
                          </w:p>
                          <w:p w14:paraId="2FF1709F" w14:textId="376408AA" w:rsidR="00C06A11" w:rsidRPr="000D4131" w:rsidRDefault="00C06A11" w:rsidP="00C06A11">
                            <w:pPr>
                              <w:shd w:val="clear" w:color="auto" w:fill="D9E2F3"/>
                              <w:spacing w:before="60" w:after="60" w:line="276" w:lineRule="auto"/>
                              <w:jc w:val="both"/>
                              <w:rPr>
                                <w:rFonts w:ascii="Times New Roman" w:hAnsi="Times New Roman" w:cs="Times New Roman"/>
                              </w:rPr>
                            </w:pPr>
                            <w:r>
                              <w:rPr>
                                <w:rFonts w:ascii="Times New Roman" w:hAnsi="Times New Roman"/>
                              </w:rPr>
                              <w:t>Outre l’atténuation des risques pour la sécurité de l’approvisionnement, les mesures proposées seront soigneusement calibrées et progressivement mises en œuvre afin d’assurer la prévisibilité aux acteurs économiques, de créer un effet d’incitation et d’éviter les distorsions sur le marché.</w:t>
                            </w:r>
                          </w:p>
                        </w:txbxContent>
                      </wps:txbx>
                      <wps:bodyPr wrap="square" lIns="91440" tIns="45720" rIns="91440" bIns="45720" anchor="t">
                        <a:spAutoFit/>
                      </wps:bodyPr>
                    </wps:wsp>
                  </a:graphicData>
                </a:graphic>
                <wp14:sizeRelH relativeFrom="margin">
                  <wp14:pctWidth>0</wp14:pctWidth>
                </wp14:sizeRelH>
                <wp14:sizeRelV relativeFrom="margin">
                  <wp14:pctHeight>20000</wp14:pctHeight>
                </wp14:sizeRelV>
              </wp:anchor>
            </w:drawing>
          </mc:Choice>
          <mc:Fallback>
            <w:pict>
              <v:rect w14:anchorId="59271F80" id="_x0000_s1027" style="position:absolute;left:0;text-align:left;margin-left:2.45pt;margin-top:26.45pt;width:449.5pt;height:112.2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" fillcolor="#d9e2f3">
                <o:lock v:ext="edit" aspectratio="t"/>
                <v:textbox style="mso-fit-shape-to-text:t">
                  <w:txbxContent>
                    <w:p w14:paraId="2D006D56" w14:textId="77777777" w:rsidR="00C06A11" w:rsidRPr="000D4131" w:rsidRDefault="00C06A11" w:rsidP="00C06A11">
                      <w:pPr>
                        <w:shd w:val="clear" w:color="auto" w:fill="D9E2F3"/>
                        <w:spacing w:before="60" w:after="60" w:line="276" w:lineRule="auto"/>
                        <w:jc w:val="center"/>
                        <w:rPr>
                          <w:rFonts w:ascii="Times New Roman" w:hAnsi="Times New Roman" w:cs="Times New Roman"/>
                          <w:b/>
                          <w:bCs/>
                          <w:i/>
                          <w:iCs/>
                          <w:kern w:val="0"/>
                          <w:u w:val="single"/>
                          <w14:ligatures w14:val="none"/>
                        </w:rPr>
                      </w:pPr>
                      <w:r>
                        <w:rPr>
                          <w:rFonts w:ascii="Times New Roman" w:hAnsi="Times New Roman"/>
                          <w:b/>
                        </w:rPr>
                        <w:t xml:space="preserve"> </w:t>
                      </w:r>
                      <w:r>
                        <w:rPr>
                          <w:rFonts w:ascii="Times New Roman" w:hAnsi="Times New Roman"/>
                          <w:b/>
                          <w:i/>
                          <w:u w:val="single"/>
                        </w:rPr>
                        <w:t xml:space="preserve">Incidence de la suppression progressive des importations nucléaires russes </w:t>
                      </w:r>
                    </w:p>
                    <w:p w14:paraId="046F3784" w14:textId="77777777" w:rsidR="00C06A11" w:rsidRPr="000D4131" w:rsidRDefault="00C06A11" w:rsidP="00C06A11">
                      <w:pPr>
                        <w:shd w:val="clear" w:color="auto" w:fill="D9E2F3"/>
                        <w:spacing w:before="60" w:after="60" w:line="276" w:lineRule="auto"/>
                        <w:jc w:val="both"/>
                        <w:rPr>
                          <w:rFonts w:ascii="Times New Roman" w:hAnsi="Times New Roman" w:cs="Times New Roman"/>
                        </w:rPr>
                      </w:pPr>
                      <w:r>
                        <w:rPr>
                          <w:rFonts w:ascii="Times New Roman" w:hAnsi="Times New Roman"/>
                        </w:rPr>
                        <w:t xml:space="preserve">Si les efforts de diversification peuvent entraîner une volatilité des prix de l’uranium et du combustible pour ce qui est de l’accès à l’approvisionnement en uranium sur les marchés mondiaux, une incidence majeure sur les prix de l’électricité est peu probable, étant donné que le prix du combustible nucléaire et des services connexes ne représente qu’une faible part du coût final de l’électricité produite par les centrales nucléaires. </w:t>
                      </w:r>
                    </w:p>
                    <w:p w14:paraId="39B16A11" w14:textId="77777777" w:rsidR="00C06A11" w:rsidRPr="000D4131" w:rsidRDefault="00C06A11" w:rsidP="00C06A11">
                      <w:pPr>
                        <w:shd w:val="clear" w:color="auto" w:fill="D9E2F3"/>
                        <w:spacing w:before="60" w:after="60" w:line="276" w:lineRule="auto"/>
                        <w:jc w:val="both"/>
                        <w:rPr>
                          <w:rFonts w:ascii="Times New Roman" w:hAnsi="Times New Roman" w:cs="Times New Roman"/>
                        </w:rPr>
                      </w:pPr>
                      <w:r>
                        <w:rPr>
                          <w:rFonts w:ascii="Times New Roman" w:hAnsi="Times New Roman"/>
                        </w:rPr>
                        <w:t>À court terme, certains risques en matière de sécurité d’approvisionnement liés à l’approvisionnement en matières nucléaires en provenance de Russie subsistent. Toutefois, les facteurs suivants devraient atténuer ces risques:</w:t>
                      </w:r>
                    </w:p>
                    <w:p w14:paraId="663EE0F8" w14:textId="77777777" w:rsidR="00C06A11" w:rsidRPr="000D4131" w:rsidRDefault="00C06A11" w:rsidP="00C06A11">
                      <w:pPr>
                        <w:pStyle w:val="ListParagraph"/>
                        <w:numPr>
                          <w:ilvl w:val="0"/>
                          <w:numId w:val="20"/>
                        </w:numPr>
                        <w:shd w:val="clear" w:color="auto" w:fill="D9E2F3"/>
                        <w:spacing w:before="60" w:after="60" w:line="276" w:lineRule="auto"/>
                        <w:jc w:val="both"/>
                        <w:rPr>
                          <w:rFonts w:ascii="Times New Roman" w:hAnsi="Times New Roman" w:cs="Times New Roman"/>
                        </w:rPr>
                      </w:pPr>
                      <w:r>
                        <w:rPr>
                          <w:rFonts w:ascii="Times New Roman" w:hAnsi="Times New Roman"/>
                        </w:rPr>
                        <w:t>les États membres exploitant des réacteurs nucléaires de type VVER disposent de stocks de combustible nucléaire couvrant leurs besoins pour les prochaines années;</w:t>
                      </w:r>
                    </w:p>
                    <w:p w14:paraId="15497F49" w14:textId="77777777" w:rsidR="00C06A11" w:rsidRPr="000D4131" w:rsidRDefault="00C06A11" w:rsidP="00C06A11">
                      <w:pPr>
                        <w:pStyle w:val="ListParagraph"/>
                        <w:numPr>
                          <w:ilvl w:val="0"/>
                          <w:numId w:val="20"/>
                        </w:numPr>
                        <w:shd w:val="clear" w:color="auto" w:fill="D9E2F3"/>
                        <w:spacing w:before="60" w:after="60" w:line="276" w:lineRule="auto"/>
                        <w:jc w:val="both"/>
                        <w:rPr>
                          <w:rFonts w:ascii="Times New Roman" w:hAnsi="Times New Roman" w:cs="Times New Roman"/>
                        </w:rPr>
                      </w:pPr>
                      <w:r>
                        <w:rPr>
                          <w:rFonts w:ascii="Times New Roman" w:hAnsi="Times New Roman"/>
                        </w:rPr>
                        <w:t>des combustibles provenant de fournisseurs de substitution peuvent être à la fois disponibles et autorisés à court terme, avant que les stocks ne soient épuisés;</w:t>
                      </w:r>
                    </w:p>
                    <w:p w14:paraId="3FA4CA4B" w14:textId="77777777" w:rsidR="00C06A11" w:rsidRPr="000D4131" w:rsidRDefault="00C06A11" w:rsidP="00C06A11">
                      <w:pPr>
                        <w:pStyle w:val="ListParagraph"/>
                        <w:numPr>
                          <w:ilvl w:val="0"/>
                          <w:numId w:val="20"/>
                        </w:numPr>
                        <w:shd w:val="clear" w:color="auto" w:fill="D9E2F3"/>
                        <w:spacing w:before="60" w:after="60" w:line="276" w:lineRule="auto"/>
                        <w:jc w:val="both"/>
                        <w:rPr>
                          <w:rFonts w:ascii="Times New Roman" w:hAnsi="Times New Roman" w:cs="Times New Roman"/>
                        </w:rPr>
                      </w:pPr>
                      <w:r>
                        <w:rPr>
                          <w:rFonts w:ascii="Times New Roman" w:hAnsi="Times New Roman"/>
                        </w:rPr>
                        <w:t>des capacités supplémentaires concernant les services liés au cycle du combustible nucléaire sont en train d’être renforcées et devraient être disponibles à court et moyen terme.</w:t>
                      </w:r>
                    </w:p>
                    <w:p w14:paraId="2FF1709F" w14:textId="376408AA" w:rsidR="00C06A11" w:rsidRPr="000D4131" w:rsidRDefault="00C06A11" w:rsidP="00C06A11">
                      <w:pPr>
                        <w:shd w:val="clear" w:color="auto" w:fill="D9E2F3"/>
                        <w:spacing w:before="60" w:after="60" w:line="276" w:lineRule="auto"/>
                        <w:jc w:val="both"/>
                        <w:rPr>
                          <w:rFonts w:ascii="Times New Roman" w:hAnsi="Times New Roman" w:cs="Times New Roman"/>
                        </w:rPr>
                      </w:pPr>
                      <w:r>
                        <w:rPr>
                          <w:rFonts w:ascii="Times New Roman" w:hAnsi="Times New Roman"/>
                        </w:rPr>
                        <w:t>Outre l’atténuation des risques pour la sécurité de l’approvisionnement, les mesures proposées seront soigneusement calibrées et progressivement mises en œuvre afin d’assurer la prévisibilité aux acteurs économiques, de créer un effet d’incitation et d’éviter les distorsions sur le marché.</w:t>
                      </w:r>
                    </w:p>
                  </w:txbxContent>
                </v:textbox>
                <w10:wrap type="square"/>
              </v:rect>
            </w:pict>
          </mc:Fallback>
        </mc:AlternateContent>
      </w:r>
    </w:p>
    <w:p w14:paraId="7698D84D" w14:textId="77777777" w:rsidR="00AC320E" w:rsidRPr="00352176" w:rsidRDefault="00AC320E" w:rsidP="00BE0EE2">
      <w:pPr>
        <w:spacing w:after="0" w:line="276" w:lineRule="auto"/>
        <w:contextualSpacing/>
        <w:jc w:val="both"/>
        <w:rPr>
          <w:rFonts w:ascii="Times New Roman" w:hAnsi="Times New Roman" w:cs="Times New Roman"/>
          <w:noProof/>
          <w:sz w:val="24"/>
          <w:szCs w:val="24"/>
        </w:rPr>
      </w:pPr>
    </w:p>
    <w:p w14:paraId="4A51D035" w14:textId="41CEB471" w:rsidR="00CE7F15" w:rsidRPr="00352176" w:rsidRDefault="00CE7F15" w:rsidP="00BE0EE2">
      <w:pPr>
        <w:pStyle w:val="Heading3"/>
        <w:spacing w:line="276" w:lineRule="auto"/>
        <w:rPr>
          <w:rFonts w:ascii="Times New Roman" w:hAnsi="Times New Roman" w:cs="Times New Roman"/>
          <w:b/>
          <w:bCs/>
          <w:noProof/>
          <w:color w:val="auto"/>
          <w:sz w:val="24"/>
          <w:szCs w:val="24"/>
        </w:rPr>
      </w:pPr>
      <w:r>
        <w:rPr>
          <w:rFonts w:ascii="Times New Roman" w:hAnsi="Times New Roman"/>
          <w:b/>
          <w:noProof/>
          <w:color w:val="auto"/>
          <w:sz w:val="24"/>
        </w:rPr>
        <w:t>3.3 Pétrole</w:t>
      </w:r>
    </w:p>
    <w:p w14:paraId="3FAD54B9" w14:textId="77777777" w:rsidR="00CE7F15" w:rsidRPr="00352176" w:rsidRDefault="00CE7F15" w:rsidP="00BE0EE2">
      <w:pPr>
        <w:spacing w:after="0" w:line="276" w:lineRule="auto"/>
        <w:jc w:val="both"/>
        <w:rPr>
          <w:rFonts w:ascii="Times New Roman" w:hAnsi="Times New Roman" w:cs="Times New Roman"/>
          <w:i/>
          <w:iCs/>
          <w:noProof/>
          <w:sz w:val="24"/>
          <w:szCs w:val="24"/>
          <w:u w:val="single"/>
        </w:rPr>
      </w:pPr>
    </w:p>
    <w:p w14:paraId="28DCFE34" w14:textId="2C318F07" w:rsidR="009475C2" w:rsidRPr="00352176" w:rsidRDefault="00CE7F15" w:rsidP="00BE0EE2">
      <w:pPr>
        <w:spacing w:after="0" w:line="276" w:lineRule="auto"/>
        <w:jc w:val="both"/>
        <w:rPr>
          <w:rFonts w:ascii="Times New Roman" w:hAnsi="Times New Roman" w:cs="Times New Roman"/>
          <w:b/>
          <w:bCs/>
          <w:i/>
          <w:iCs/>
          <w:noProof/>
          <w:sz w:val="24"/>
          <w:szCs w:val="24"/>
          <w:u w:val="single"/>
        </w:rPr>
      </w:pPr>
      <w:r>
        <w:rPr>
          <w:rFonts w:ascii="Times New Roman" w:hAnsi="Times New Roman"/>
          <w:b/>
          <w:i/>
          <w:noProof/>
          <w:sz w:val="24"/>
          <w:u w:val="single"/>
        </w:rPr>
        <w:t xml:space="preserve">Action nº 8: Plans nationaux visant à abandonner progressivement le pétrole russe et à garantir des sources d’approvisionnement de substitution </w:t>
      </w:r>
    </w:p>
    <w:p w14:paraId="5E09EE29" w14:textId="77777777" w:rsidR="00D73202" w:rsidRPr="00352176" w:rsidRDefault="00D73202" w:rsidP="00BE0EE2">
      <w:pPr>
        <w:spacing w:after="0" w:line="276" w:lineRule="auto"/>
        <w:jc w:val="both"/>
        <w:rPr>
          <w:rFonts w:ascii="Times New Roman" w:hAnsi="Times New Roman" w:cs="Times New Roman"/>
          <w:noProof/>
          <w:sz w:val="24"/>
          <w:szCs w:val="24"/>
        </w:rPr>
      </w:pPr>
    </w:p>
    <w:p w14:paraId="20463875" w14:textId="02ECA19C" w:rsidR="00E67184" w:rsidRPr="00352176" w:rsidRDefault="00D73202" w:rsidP="00BE0EE2">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Dans le droit fil de la proposition relative à l’élaboration de plans nationaux d’abandon progressif du gaz russe, la Commission recommande aux deux États membres concernés de planifier la suppression progressive des importations de pétrole en provenance de Russie et d’en assurer le suivi. Des infrastructures suffisantes sont disponibles pour remplacer ces importations de pétrole par un approvisionnement non russe. Par conséquent, la Commission a l’intention de proposer une obligation imposant à ces États membres de mettre en place un tel plan et d’en assurer le suivi. </w:t>
      </w:r>
    </w:p>
    <w:p w14:paraId="71769D56" w14:textId="77777777" w:rsidR="00A83E14" w:rsidRPr="00352176" w:rsidRDefault="00A83E14" w:rsidP="00BE0EE2">
      <w:pPr>
        <w:spacing w:after="0" w:line="276" w:lineRule="auto"/>
        <w:jc w:val="both"/>
        <w:rPr>
          <w:rFonts w:ascii="Times New Roman" w:hAnsi="Times New Roman" w:cs="Times New Roman"/>
          <w:noProof/>
          <w:sz w:val="24"/>
          <w:szCs w:val="24"/>
        </w:rPr>
      </w:pPr>
    </w:p>
    <w:p w14:paraId="0887D614" w14:textId="489C38E9" w:rsidR="009475C2" w:rsidRPr="00352176" w:rsidRDefault="002826A8" w:rsidP="00BE0EE2">
      <w:pPr>
        <w:spacing w:after="0" w:line="276" w:lineRule="auto"/>
        <w:jc w:val="both"/>
        <w:rPr>
          <w:rFonts w:ascii="Times New Roman" w:hAnsi="Times New Roman" w:cs="Times New Roman"/>
          <w:noProof/>
          <w:sz w:val="24"/>
          <w:szCs w:val="24"/>
        </w:rPr>
      </w:pPr>
      <w:r>
        <w:rPr>
          <w:rFonts w:ascii="Times New Roman" w:hAnsi="Times New Roman"/>
          <w:noProof/>
          <w:sz w:val="24"/>
        </w:rPr>
        <w:t>Les États membres concernés seraient tenus d’élaborer et de soumettre à la Commission des plans nationaux décrivant leurs stratégies de remplacement des importations de pétrole russe d’ici la fin de 2027, prévoyant:</w:t>
      </w:r>
    </w:p>
    <w:p w14:paraId="5E2C6E1E" w14:textId="77777777" w:rsidR="009475C2" w:rsidRPr="00352176" w:rsidRDefault="009475C2" w:rsidP="00BE0EE2">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 </w:t>
      </w:r>
    </w:p>
    <w:p w14:paraId="69895F38" w14:textId="30BFEC80" w:rsidR="009475C2" w:rsidRPr="00352176" w:rsidRDefault="009475C2" w:rsidP="00BE0EE2">
      <w:pPr>
        <w:numPr>
          <w:ilvl w:val="0"/>
          <w:numId w:val="3"/>
        </w:numPr>
        <w:spacing w:after="0" w:line="276" w:lineRule="auto"/>
        <w:jc w:val="both"/>
        <w:rPr>
          <w:rFonts w:ascii="Times New Roman" w:hAnsi="Times New Roman" w:cs="Times New Roman"/>
          <w:noProof/>
          <w:sz w:val="24"/>
          <w:szCs w:val="24"/>
        </w:rPr>
      </w:pPr>
      <w:r>
        <w:rPr>
          <w:rFonts w:ascii="Times New Roman" w:hAnsi="Times New Roman"/>
          <w:noProof/>
          <w:sz w:val="24"/>
        </w:rPr>
        <w:t xml:space="preserve">un calendrier, y compris des jalons assortis des mesures correspondantes, visant à atteindre l’objectif d’abandon progressif du pétrole russe; </w:t>
      </w:r>
    </w:p>
    <w:p w14:paraId="5616DDE1" w14:textId="77777777" w:rsidR="009475C2" w:rsidRPr="00352176" w:rsidRDefault="009475C2" w:rsidP="00BE0EE2">
      <w:pPr>
        <w:numPr>
          <w:ilvl w:val="0"/>
          <w:numId w:val="3"/>
        </w:numPr>
        <w:spacing w:after="0" w:line="276" w:lineRule="auto"/>
        <w:jc w:val="both"/>
        <w:rPr>
          <w:rFonts w:ascii="Times New Roman" w:hAnsi="Times New Roman" w:cs="Times New Roman"/>
          <w:noProof/>
          <w:sz w:val="24"/>
          <w:szCs w:val="24"/>
        </w:rPr>
      </w:pPr>
      <w:r>
        <w:rPr>
          <w:rFonts w:ascii="Times New Roman" w:hAnsi="Times New Roman"/>
          <w:noProof/>
          <w:sz w:val="24"/>
        </w:rPr>
        <w:t xml:space="preserve">des options de diversification ainsi que les capacités techniques pour remplacer le pétrole russe; </w:t>
      </w:r>
    </w:p>
    <w:p w14:paraId="464AE837" w14:textId="77777777" w:rsidR="009475C2" w:rsidRPr="00352176" w:rsidRDefault="009475C2" w:rsidP="00BE0EE2">
      <w:pPr>
        <w:numPr>
          <w:ilvl w:val="0"/>
          <w:numId w:val="3"/>
        </w:numPr>
        <w:spacing w:after="0" w:line="276" w:lineRule="auto"/>
        <w:jc w:val="both"/>
        <w:rPr>
          <w:rFonts w:ascii="Times New Roman" w:hAnsi="Times New Roman" w:cs="Times New Roman"/>
          <w:noProof/>
          <w:sz w:val="24"/>
          <w:szCs w:val="24"/>
        </w:rPr>
      </w:pPr>
      <w:r>
        <w:rPr>
          <w:rFonts w:ascii="Times New Roman" w:hAnsi="Times New Roman"/>
          <w:noProof/>
          <w:sz w:val="24"/>
        </w:rPr>
        <w:t>le volume des importations de pétrole russe dans le cadre de contrats existants et les dates d’expiration desdits contrats.</w:t>
      </w:r>
    </w:p>
    <w:p w14:paraId="42BB59E6" w14:textId="77777777" w:rsidR="009475C2" w:rsidRPr="00352176" w:rsidRDefault="009475C2" w:rsidP="00BE0EE2">
      <w:pPr>
        <w:spacing w:after="0" w:line="276" w:lineRule="auto"/>
        <w:jc w:val="both"/>
        <w:rPr>
          <w:rFonts w:ascii="Times New Roman" w:hAnsi="Times New Roman" w:cs="Times New Roman"/>
          <w:noProof/>
          <w:sz w:val="24"/>
          <w:szCs w:val="24"/>
        </w:rPr>
      </w:pPr>
    </w:p>
    <w:p w14:paraId="2C81BE35" w14:textId="2A851C03" w:rsidR="000E2C99" w:rsidRPr="00352176" w:rsidRDefault="000E2C99" w:rsidP="00BE0EE2">
      <w:pPr>
        <w:spacing w:after="0" w:line="276" w:lineRule="auto"/>
        <w:jc w:val="both"/>
        <w:rPr>
          <w:rFonts w:ascii="Times New Roman" w:hAnsi="Times New Roman" w:cs="Times New Roman"/>
          <w:noProof/>
          <w:sz w:val="24"/>
          <w:szCs w:val="24"/>
        </w:rPr>
      </w:pPr>
      <w:r>
        <w:rPr>
          <w:rFonts w:ascii="Times New Roman" w:hAnsi="Times New Roman"/>
          <w:noProof/>
          <w:sz w:val="24"/>
        </w:rPr>
        <w:t>Ces plans pourraient être inclus dans les plans nationaux d’abandon progressif du gaz russe en y constituant un chapitre distinct.</w:t>
      </w:r>
    </w:p>
    <w:p w14:paraId="79355FF2" w14:textId="77777777" w:rsidR="000E2C99" w:rsidRPr="00352176" w:rsidRDefault="000E2C99" w:rsidP="00BE0EE2">
      <w:pPr>
        <w:spacing w:after="0" w:line="276" w:lineRule="auto"/>
        <w:jc w:val="both"/>
        <w:rPr>
          <w:rFonts w:ascii="Times New Roman" w:eastAsia="Times New Roman" w:hAnsi="Times New Roman" w:cs="Times New Roman"/>
          <w:noProof/>
          <w:sz w:val="24"/>
          <w:szCs w:val="24"/>
        </w:rPr>
      </w:pPr>
    </w:p>
    <w:p w14:paraId="32EB923E" w14:textId="5B28D4EC" w:rsidR="00F91BF0" w:rsidRPr="00352176" w:rsidRDefault="0047777A" w:rsidP="00BE0EE2">
      <w:pPr>
        <w:spacing w:after="0" w:line="276" w:lineRule="auto"/>
        <w:jc w:val="both"/>
        <w:rPr>
          <w:rFonts w:ascii="Times New Roman" w:hAnsi="Times New Roman" w:cs="Times New Roman"/>
          <w:noProof/>
          <w:sz w:val="24"/>
          <w:szCs w:val="24"/>
        </w:rPr>
      </w:pPr>
      <w:r>
        <w:rPr>
          <w:rFonts w:ascii="Times New Roman" w:hAnsi="Times New Roman"/>
          <w:noProof/>
          <w:sz w:val="24"/>
        </w:rPr>
        <w:t>Les groupes de travail et de coordination existants, tels que le groupe de coordination pour le pétrole ou des sous-groupes spécialisés, et les groupes régionaux assureront la coordination et le soutien. La Commission encourage les États membres concernés à donner la priorité aux infrastructures d’approvisionnement de substitution lorsqu’elles sont disponibles.</w:t>
      </w:r>
    </w:p>
    <w:p w14:paraId="2C750A6A" w14:textId="77777777" w:rsidR="00D93CFB" w:rsidRPr="00352176" w:rsidRDefault="00D93CFB" w:rsidP="00BE0EE2">
      <w:pPr>
        <w:spacing w:after="0" w:line="276" w:lineRule="auto"/>
        <w:jc w:val="both"/>
        <w:rPr>
          <w:rFonts w:ascii="Times New Roman" w:hAnsi="Times New Roman" w:cs="Times New Roman"/>
          <w:noProof/>
          <w:sz w:val="24"/>
          <w:szCs w:val="24"/>
        </w:rPr>
      </w:pPr>
    </w:p>
    <w:p w14:paraId="14835D14" w14:textId="1BE28FB4" w:rsidR="00D93CFB" w:rsidRPr="00352176" w:rsidRDefault="00D93CFB" w:rsidP="00BE0EE2">
      <w:pPr>
        <w:spacing w:after="0"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La Commission a l’intention de présenter, le mois prochain, une proposition législative relative aux plans nationaux visant à supprimer progressivement les importations restantes de pétrole russe et recommande que les États membres concernés présentent déjà leurs premiers plans nationaux d’ici la fin de 2025.</w:t>
      </w:r>
    </w:p>
    <w:p w14:paraId="5C29C6C6" w14:textId="77777777" w:rsidR="00D24BDE" w:rsidRPr="00352176" w:rsidRDefault="00D24BDE" w:rsidP="00BE0EE2">
      <w:pPr>
        <w:spacing w:after="0" w:line="276" w:lineRule="auto"/>
        <w:contextualSpacing/>
        <w:jc w:val="both"/>
        <w:rPr>
          <w:rFonts w:ascii="Times New Roman" w:hAnsi="Times New Roman" w:cs="Times New Roman"/>
          <w:noProof/>
          <w:sz w:val="24"/>
          <w:szCs w:val="24"/>
        </w:rPr>
      </w:pPr>
    </w:p>
    <w:p w14:paraId="330172E0" w14:textId="77777777" w:rsidR="00892843" w:rsidRPr="00352176" w:rsidRDefault="00892843" w:rsidP="00BE0EE2">
      <w:pPr>
        <w:spacing w:after="0" w:line="276" w:lineRule="auto"/>
        <w:contextualSpacing/>
        <w:jc w:val="both"/>
        <w:rPr>
          <w:rFonts w:ascii="Times New Roman" w:hAnsi="Times New Roman" w:cs="Times New Roman"/>
          <w:noProof/>
          <w:sz w:val="24"/>
          <w:szCs w:val="24"/>
        </w:rPr>
      </w:pPr>
    </w:p>
    <w:p w14:paraId="02E2A411" w14:textId="4C19E460" w:rsidR="002803E8" w:rsidRPr="00352176" w:rsidRDefault="002803E8" w:rsidP="002803E8">
      <w:pPr>
        <w:spacing w:after="0" w:line="276" w:lineRule="auto"/>
        <w:jc w:val="both"/>
        <w:rPr>
          <w:rFonts w:ascii="Times New Roman" w:hAnsi="Times New Roman" w:cs="Times New Roman"/>
          <w:b/>
          <w:bCs/>
          <w:i/>
          <w:iCs/>
          <w:noProof/>
          <w:sz w:val="24"/>
          <w:szCs w:val="24"/>
          <w:u w:val="single"/>
        </w:rPr>
      </w:pPr>
      <w:r>
        <w:rPr>
          <w:rFonts w:ascii="Times New Roman" w:hAnsi="Times New Roman"/>
          <w:b/>
          <w:i/>
          <w:noProof/>
          <w:sz w:val="24"/>
          <w:u w:val="single"/>
        </w:rPr>
        <w:t>Action nº 9: Poursuite de l’imposition et de l’application de sanctions à l’encontre d’entités et de navires soupçonnés d’activités illicites</w:t>
      </w:r>
    </w:p>
    <w:p w14:paraId="4F90B9ED" w14:textId="21BB3E69" w:rsidR="002803E8" w:rsidRPr="00352176" w:rsidRDefault="002803E8" w:rsidP="002803E8">
      <w:pPr>
        <w:spacing w:after="0" w:line="276" w:lineRule="auto"/>
        <w:jc w:val="both"/>
        <w:rPr>
          <w:rFonts w:ascii="Times New Roman" w:hAnsi="Times New Roman" w:cs="Times New Roman"/>
          <w:b/>
          <w:bCs/>
          <w:i/>
          <w:iCs/>
          <w:noProof/>
          <w:sz w:val="24"/>
          <w:szCs w:val="24"/>
          <w:u w:val="single"/>
        </w:rPr>
      </w:pPr>
    </w:p>
    <w:p w14:paraId="28DEF960" w14:textId="5EE368A6" w:rsidR="00D24BDE" w:rsidRPr="00352176" w:rsidRDefault="008B139B" w:rsidP="008B139B">
      <w:pPr>
        <w:spacing w:after="120" w:line="276" w:lineRule="auto"/>
        <w:jc w:val="both"/>
        <w:rPr>
          <w:rFonts w:ascii="Times New Roman" w:hAnsi="Times New Roman" w:cs="Times New Roman"/>
          <w:noProof/>
          <w:sz w:val="24"/>
          <w:szCs w:val="24"/>
        </w:rPr>
      </w:pPr>
      <w:r>
        <w:rPr>
          <w:rFonts w:ascii="Times New Roman" w:hAnsi="Times New Roman"/>
          <w:noProof/>
          <w:sz w:val="24"/>
        </w:rPr>
        <w:t>Pour résoudre le problème du contournement des sanctions de l’UE en matière de pétrole par l’utilisation de «flottes fantômes», les mesures suivantes sont envisagées:</w:t>
      </w:r>
    </w:p>
    <w:p w14:paraId="1E3B5B61" w14:textId="5497F730" w:rsidR="005F648A" w:rsidRPr="00352176" w:rsidRDefault="005F648A" w:rsidP="005E5783">
      <w:pPr>
        <w:pStyle w:val="ListParagraph"/>
        <w:numPr>
          <w:ilvl w:val="0"/>
          <w:numId w:val="3"/>
        </w:num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poursuivre la sensibilisation et le dialogue avec les pays tiers concernés; </w:t>
      </w:r>
    </w:p>
    <w:p w14:paraId="01DD30CA" w14:textId="3D9D78C9" w:rsidR="005F648A" w:rsidRPr="00352176" w:rsidRDefault="005F648A" w:rsidP="00B34DB2">
      <w:pPr>
        <w:pStyle w:val="ListParagraph"/>
        <w:numPr>
          <w:ilvl w:val="0"/>
          <w:numId w:val="3"/>
        </w:num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collaborer avec les partenaires internationaux, y compris avec l’Organisation maritime internationale (OMI), afin d’établir et de faire respecter des normes strictes en matière de sûreté et de sécurité maritimes;</w:t>
      </w:r>
    </w:p>
    <w:p w14:paraId="02723FB8" w14:textId="2B223AA5" w:rsidR="008B139B" w:rsidRPr="00352176" w:rsidRDefault="00474A0F" w:rsidP="00B34DB2">
      <w:pPr>
        <w:pStyle w:val="ListParagraph"/>
        <w:numPr>
          <w:ilvl w:val="0"/>
          <w:numId w:val="3"/>
        </w:num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encourager les États membres à renforcer la surveillance maritime, en s’appuyant sur les services intégrés hébergés au sein de l’Agence européenne pour la sécurité maritime, afin de permettre: </w:t>
      </w:r>
    </w:p>
    <w:p w14:paraId="74031D54" w14:textId="29BE9D6D" w:rsidR="008B139B" w:rsidRPr="00352176" w:rsidRDefault="0036198E" w:rsidP="00B34DB2">
      <w:pPr>
        <w:pStyle w:val="ListParagraph"/>
        <w:numPr>
          <w:ilvl w:val="1"/>
          <w:numId w:val="3"/>
        </w:num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un suivi et un partage d’informations en continu concernant les navires présentant un intérêt pour détecter les activités ou comportements suspects;</w:t>
      </w:r>
    </w:p>
    <w:p w14:paraId="45DAE90A" w14:textId="33397328" w:rsidR="00542D10" w:rsidRPr="00352176" w:rsidRDefault="00FE2C52" w:rsidP="00542D10">
      <w:pPr>
        <w:pStyle w:val="ListParagraph"/>
        <w:numPr>
          <w:ilvl w:val="1"/>
          <w:numId w:val="3"/>
        </w:num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un renforcement de la dissuasion des activités maritimes illégales et un contrôle de l’application du droit maritime international;</w:t>
      </w:r>
    </w:p>
    <w:p w14:paraId="7FFBBC76" w14:textId="23B9AC90" w:rsidR="003154C4" w:rsidRPr="00352176" w:rsidRDefault="003F3313" w:rsidP="003154C4">
      <w:pPr>
        <w:pStyle w:val="ListParagraph"/>
        <w:numPr>
          <w:ilvl w:val="0"/>
          <w:numId w:val="3"/>
        </w:num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examen par la haute représentante de l’UE, avec les États membres, de la possibilité de déployer une mission de l’UE relevant de la politique de sécurité et de défense commune en vue:</w:t>
      </w:r>
    </w:p>
    <w:p w14:paraId="1D70D590" w14:textId="77777777" w:rsidR="003154C4" w:rsidRPr="00352176" w:rsidRDefault="003154C4" w:rsidP="00F94DF0">
      <w:pPr>
        <w:pStyle w:val="ListParagraph"/>
        <w:numPr>
          <w:ilvl w:val="1"/>
          <w:numId w:val="3"/>
        </w:num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d’assurer une surveillance et un suivi continu des activités maritimes afin d’identifier les navires ou les comportements suspects;</w:t>
      </w:r>
    </w:p>
    <w:p w14:paraId="0CBDAFAF" w14:textId="06664F1A" w:rsidR="003154C4" w:rsidRPr="00352176" w:rsidRDefault="003154C4" w:rsidP="00F94DF0">
      <w:pPr>
        <w:pStyle w:val="ListParagraph"/>
        <w:numPr>
          <w:ilvl w:val="1"/>
          <w:numId w:val="3"/>
        </w:num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de décourager les activités maritimes illégales;</w:t>
      </w:r>
    </w:p>
    <w:p w14:paraId="22D6B754" w14:textId="5532940D" w:rsidR="00A07662" w:rsidRPr="00352176" w:rsidRDefault="000F54AD" w:rsidP="00260EC9">
      <w:pPr>
        <w:pStyle w:val="ListParagraph"/>
        <w:numPr>
          <w:ilvl w:val="1"/>
          <w:numId w:val="3"/>
        </w:num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de faire respecter le droit maritime international, y compris en demandant à l’État du pavillon d’un navire suspect, ou à son capitaine, que le navire entre dans les eaux territoriales d’un État côtier, où ledit État côtier peut prendre toutes les mesures nécessaires conformément à la CNUDM et à son droit interne;</w:t>
      </w:r>
    </w:p>
    <w:p w14:paraId="4A4216F9" w14:textId="010D79C3" w:rsidR="00A07662" w:rsidRPr="00352176" w:rsidRDefault="00A07662" w:rsidP="00260EC9">
      <w:pPr>
        <w:pStyle w:val="ListParagraph"/>
        <w:numPr>
          <w:ilvl w:val="1"/>
          <w:numId w:val="3"/>
        </w:num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d’arraisonner et d’inspecter des navires présentant un intérêt en haute mer ou dans les zones économiques exclusives des États membres de l’UE, lorsque la CNUDM l’autorise ou après avoir obtenu le consentement de l’État du pavillon à cet effet;</w:t>
      </w:r>
    </w:p>
    <w:p w14:paraId="68830168" w14:textId="465013E6" w:rsidR="008B139B" w:rsidRPr="00352176" w:rsidRDefault="00E16337" w:rsidP="00B34DB2">
      <w:pPr>
        <w:pStyle w:val="ListParagraph"/>
        <w:numPr>
          <w:ilvl w:val="0"/>
          <w:numId w:val="3"/>
        </w:num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conclure des accords avec les États du pavillon concernés afin d’obtenir leur consentement pour les opérations d’embarquement préalablement autorisées en haute mer ou dans les zones économiques exclusives des États membres de l’UE.</w:t>
      </w:r>
    </w:p>
    <w:p w14:paraId="4941C7B6" w14:textId="174BABAC" w:rsidR="00542D10" w:rsidRPr="00352176" w:rsidRDefault="00542D10" w:rsidP="00633DB2">
      <w:pPr>
        <w:spacing w:after="0" w:line="276" w:lineRule="auto"/>
        <w:ind w:left="360"/>
        <w:jc w:val="both"/>
        <w:rPr>
          <w:rFonts w:ascii="Times New Roman" w:eastAsia="Times New Roman" w:hAnsi="Times New Roman" w:cs="Times New Roman"/>
          <w:noProof/>
          <w:sz w:val="24"/>
          <w:szCs w:val="24"/>
        </w:rPr>
      </w:pPr>
    </w:p>
    <w:p w14:paraId="160DE4F7" w14:textId="77777777" w:rsidR="00C230D8" w:rsidRPr="00352176" w:rsidRDefault="00C230D8" w:rsidP="00BE0EE2">
      <w:pPr>
        <w:spacing w:after="0" w:line="276" w:lineRule="auto"/>
        <w:jc w:val="both"/>
        <w:rPr>
          <w:rFonts w:ascii="Times New Roman" w:hAnsi="Times New Roman" w:cs="Times New Roman"/>
          <w:i/>
          <w:iCs/>
          <w:noProof/>
          <w:sz w:val="24"/>
          <w:szCs w:val="24"/>
        </w:rPr>
      </w:pPr>
    </w:p>
    <w:p w14:paraId="5C967F08" w14:textId="77777777" w:rsidR="00CD687E" w:rsidRPr="00352176" w:rsidRDefault="00CD687E">
      <w:pPr>
        <w:rPr>
          <w:rFonts w:ascii="Times New Roman" w:eastAsia="Arial Unicode MS" w:hAnsi="Times New Roman" w:cs="Arial Unicode MS"/>
          <w:b/>
          <w:bCs/>
          <w:smallCaps/>
          <w:noProof/>
          <w:color w:val="000000"/>
          <w:kern w:val="0"/>
          <w:sz w:val="28"/>
          <w:szCs w:val="28"/>
          <w:u w:color="000000"/>
          <w:bdr w:val="nil"/>
          <w14:ligatures w14:val="none"/>
        </w:rPr>
      </w:pPr>
      <w:r>
        <w:rPr>
          <w:noProof/>
        </w:rPr>
        <w:br w:type="page"/>
      </w:r>
    </w:p>
    <w:p w14:paraId="316BD31B" w14:textId="407879C6" w:rsidR="00CE7F15" w:rsidRPr="00352176" w:rsidRDefault="00CE7F15" w:rsidP="00BE0EE2">
      <w:pPr>
        <w:pStyle w:val="Heading2"/>
        <w:numPr>
          <w:ilvl w:val="0"/>
          <w:numId w:val="19"/>
        </w:numPr>
        <w:spacing w:before="0" w:after="240" w:line="276" w:lineRule="auto"/>
        <w:ind w:left="426"/>
        <w:rPr>
          <w:rFonts w:ascii="Times New Roman" w:eastAsia="Arial Unicode MS" w:hAnsi="Times New Roman" w:cs="Arial Unicode MS"/>
          <w:b/>
          <w:bCs/>
          <w:smallCaps/>
          <w:noProof/>
          <w:color w:val="000000"/>
          <w:kern w:val="0"/>
          <w:sz w:val="28"/>
          <w:szCs w:val="28"/>
          <w:u w:color="000000"/>
          <w:bdr w:val="nil"/>
          <w14:ligatures w14:val="none"/>
        </w:rPr>
      </w:pPr>
      <w:r>
        <w:rPr>
          <w:rFonts w:ascii="Times New Roman" w:hAnsi="Times New Roman"/>
          <w:b/>
          <w:smallCaps/>
          <w:noProof/>
          <w:color w:val="000000"/>
          <w:sz w:val="28"/>
          <w:u w:color="000000"/>
          <w:bdr w:val="nil"/>
        </w:rPr>
        <w:t>Conclusions</w:t>
      </w:r>
    </w:p>
    <w:p w14:paraId="39BC6747" w14:textId="6200B437" w:rsidR="00834297" w:rsidRPr="00352176" w:rsidRDefault="002B025A" w:rsidP="00BE0EE2">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 xml:space="preserve">La présente feuille de route visant à mettre un terme aux importations d’énergie russe a pour objectif de garantir l’indépendance de l’UE à l’égard de l’énergie russe en supprimant progressivement les importations de gaz, de matières nucléaires et de pétrole de manière ordonnée, sûre et bien préparée, conformément à l’objectif de neutralité climatique de l’UE. </w:t>
      </w:r>
    </w:p>
    <w:p w14:paraId="0BD2EB42" w14:textId="77777777" w:rsidR="00834297" w:rsidRPr="00352176" w:rsidRDefault="00834297" w:rsidP="00BE0EE2">
      <w:pPr>
        <w:spacing w:after="0" w:line="276" w:lineRule="auto"/>
        <w:contextualSpacing/>
        <w:jc w:val="both"/>
        <w:rPr>
          <w:rFonts w:ascii="Times New Roman" w:hAnsi="Times New Roman" w:cs="Times New Roman"/>
          <w:noProof/>
          <w:sz w:val="24"/>
          <w:szCs w:val="24"/>
        </w:rPr>
      </w:pPr>
    </w:p>
    <w:p w14:paraId="3597FBFF" w14:textId="0ED8236E" w:rsidR="00834297" w:rsidRPr="00352176" w:rsidRDefault="00834297" w:rsidP="00BE0EE2">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 xml:space="preserve">Elle complète les objectifs stratégiques de l’UE, tels qu’énoncés dans la boussole pour la compétitivité de l’UE, le pacte pour une industrie propre et le plan d’action pour une énergie abordable en réduisant les importations de combustibles fossiles en provenance de fournisseurs qui posent des problèmes de sécurité économique et en accélérant la transition propre, grâce à l’abandon des combustibles fossiles. </w:t>
      </w:r>
    </w:p>
    <w:p w14:paraId="5223929D" w14:textId="77777777" w:rsidR="00834297" w:rsidRPr="00352176" w:rsidRDefault="00834297" w:rsidP="00BE0EE2">
      <w:pPr>
        <w:spacing w:after="0" w:line="276" w:lineRule="auto"/>
        <w:jc w:val="both"/>
        <w:rPr>
          <w:rFonts w:ascii="Times New Roman" w:hAnsi="Times New Roman" w:cs="Times New Roman"/>
          <w:noProof/>
          <w:sz w:val="24"/>
          <w:szCs w:val="24"/>
        </w:rPr>
      </w:pPr>
    </w:p>
    <w:p w14:paraId="6C26914B" w14:textId="30900FCF" w:rsidR="00EB78D5" w:rsidRPr="00352176" w:rsidRDefault="00A23E0F" w:rsidP="00BE0EE2">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Les neuf mesures proposées dans la présente feuille de route permettront de retirer effectivement les produits énergétiques russes des marchés de l’UE, sans compromettre la sécurité de l’approvisionnement tout en réduisant au minimum l’incidence sur les prix et les marchés. </w:t>
      </w:r>
    </w:p>
    <w:p w14:paraId="24B2D565" w14:textId="77777777" w:rsidR="00CA631E" w:rsidRPr="00352176" w:rsidRDefault="00CA631E" w:rsidP="00BE0EE2">
      <w:pPr>
        <w:spacing w:after="0" w:line="276" w:lineRule="auto"/>
        <w:jc w:val="both"/>
        <w:rPr>
          <w:rFonts w:ascii="Times New Roman" w:hAnsi="Times New Roman" w:cs="Times New Roman"/>
          <w:noProof/>
          <w:sz w:val="24"/>
          <w:szCs w:val="24"/>
        </w:rPr>
      </w:pPr>
    </w:p>
    <w:p w14:paraId="25F878E6" w14:textId="1E21B26E" w:rsidR="002E649C" w:rsidRPr="00352176" w:rsidRDefault="00302395" w:rsidP="00BE0EE2">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La mise en œuvre de la feuille de route nécessitera un engagement fort, une solidarité, un dialogue et une coopération de la part de tous les États membres, des institutions de l’UE et des acteurs du marché de l’énergie. </w:t>
      </w:r>
    </w:p>
    <w:p w14:paraId="0E44B466" w14:textId="77777777" w:rsidR="004E3D01" w:rsidRPr="00352176" w:rsidRDefault="004E3D01" w:rsidP="00BE0EE2">
      <w:pPr>
        <w:spacing w:after="0" w:line="276" w:lineRule="auto"/>
        <w:jc w:val="both"/>
        <w:rPr>
          <w:rFonts w:ascii="Times New Roman" w:hAnsi="Times New Roman" w:cs="Times New Roman"/>
          <w:noProof/>
          <w:sz w:val="24"/>
          <w:szCs w:val="24"/>
        </w:rPr>
      </w:pPr>
    </w:p>
    <w:p w14:paraId="5F11C0BB" w14:textId="2B7C6A6C" w:rsidR="00CA631E" w:rsidRPr="00A30764" w:rsidRDefault="00E71D09" w:rsidP="00BE0EE2">
      <w:pPr>
        <w:spacing w:after="0" w:line="276" w:lineRule="auto"/>
        <w:jc w:val="both"/>
        <w:rPr>
          <w:rFonts w:ascii="Times New Roman" w:hAnsi="Times New Roman" w:cs="Times New Roman"/>
          <w:noProof/>
          <w:sz w:val="24"/>
          <w:szCs w:val="24"/>
        </w:rPr>
      </w:pPr>
      <w:r>
        <w:rPr>
          <w:rFonts w:ascii="Times New Roman" w:hAnsi="Times New Roman"/>
          <w:noProof/>
          <w:sz w:val="24"/>
        </w:rPr>
        <w:t>La Commission évaluera l’incidence de la suppression progressive des importations de produits énergétiques russes et suivra de près les progrès accomplis dans ce domaine, et fournira le soutien nécessaire à tous les États membres pour relever les défis auxquels ils pourraient être confrontés. Ces échanges réguliers d’informations au sein des groupes de coordination et des groupes de coopération régionale existants garantiront que l’UE reste sur la bonne voie pour atteindre ses objectifs, tout en permettant de procéder à tous les ajustements nécessaires en temps utile et de manière efficace à la lumière de la sécurité de l’approvisionnement et de l’évolution dynamique du marché.</w:t>
      </w:r>
    </w:p>
    <w:p w14:paraId="34580F1B" w14:textId="2BB99437" w:rsidR="00CA4586" w:rsidRPr="00A30764" w:rsidRDefault="00CA4586" w:rsidP="00BE0EE2">
      <w:pPr>
        <w:spacing w:after="0" w:line="276" w:lineRule="auto"/>
        <w:jc w:val="both"/>
        <w:rPr>
          <w:noProof/>
        </w:rPr>
      </w:pPr>
    </w:p>
    <w:sectPr w:rsidR="00CA4586" w:rsidRPr="00A30764" w:rsidSect="006475D2">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4DCC24" w14:textId="77777777" w:rsidR="00AB6B54" w:rsidRDefault="00AB6B54" w:rsidP="000415EE">
      <w:pPr>
        <w:spacing w:after="0" w:line="240" w:lineRule="auto"/>
      </w:pPr>
      <w:r>
        <w:separator/>
      </w:r>
    </w:p>
  </w:endnote>
  <w:endnote w:type="continuationSeparator" w:id="0">
    <w:p w14:paraId="0068810F" w14:textId="77777777" w:rsidR="00AB6B54" w:rsidRDefault="00AB6B54" w:rsidP="000415EE">
      <w:pPr>
        <w:spacing w:after="0" w:line="240" w:lineRule="auto"/>
      </w:pPr>
      <w:r>
        <w:continuationSeparator/>
      </w:r>
    </w:p>
  </w:endnote>
  <w:endnote w:type="continuationNotice" w:id="1">
    <w:p w14:paraId="62192EA5" w14:textId="77777777" w:rsidR="00AB6B54" w:rsidRDefault="00AB6B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B45F5" w14:textId="3CAFF32B" w:rsidR="003627E8" w:rsidRPr="003627E8" w:rsidRDefault="003627E8" w:rsidP="003627E8">
    <w:pPr>
      <w:pStyle w:val="FooterCoverPage"/>
      <w:rPr>
        <w:rFonts w:ascii="Arial" w:hAnsi="Arial" w:cs="Arial"/>
        <w:b/>
        <w:sz w:val="48"/>
      </w:rPr>
    </w:pPr>
    <w:r w:rsidRPr="003627E8">
      <w:rPr>
        <w:rFonts w:ascii="Arial" w:hAnsi="Arial" w:cs="Arial"/>
        <w:b/>
        <w:sz w:val="48"/>
      </w:rPr>
      <w:t>FR</w:t>
    </w:r>
    <w:r w:rsidRPr="003627E8">
      <w:rPr>
        <w:rFonts w:ascii="Arial" w:hAnsi="Arial" w:cs="Arial"/>
        <w:b/>
        <w:sz w:val="48"/>
      </w:rPr>
      <w:tab/>
    </w:r>
    <w:r w:rsidRPr="003627E8">
      <w:rPr>
        <w:rFonts w:ascii="Arial" w:hAnsi="Arial" w:cs="Arial"/>
        <w:b/>
        <w:sz w:val="48"/>
      </w:rPr>
      <w:tab/>
    </w:r>
    <w:r w:rsidRPr="003627E8">
      <w:tab/>
    </w:r>
    <w:r w:rsidRPr="003627E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B2130" w14:textId="273082FA" w:rsidR="003627E8" w:rsidRPr="003627E8" w:rsidRDefault="003627E8" w:rsidP="003627E8">
    <w:pPr>
      <w:pStyle w:val="FooterCoverPage"/>
      <w:rPr>
        <w:rFonts w:ascii="Arial" w:hAnsi="Arial" w:cs="Arial"/>
        <w:b/>
        <w:sz w:val="48"/>
      </w:rPr>
    </w:pPr>
    <w:r w:rsidRPr="003627E8">
      <w:rPr>
        <w:rFonts w:ascii="Arial" w:hAnsi="Arial" w:cs="Arial"/>
        <w:b/>
        <w:sz w:val="48"/>
      </w:rPr>
      <w:t>FR</w:t>
    </w:r>
    <w:r w:rsidRPr="003627E8">
      <w:rPr>
        <w:rFonts w:ascii="Arial" w:hAnsi="Arial" w:cs="Arial"/>
        <w:b/>
        <w:sz w:val="48"/>
      </w:rPr>
      <w:tab/>
    </w:r>
    <w:r w:rsidRPr="003627E8">
      <w:rPr>
        <w:rFonts w:ascii="Arial" w:hAnsi="Arial" w:cs="Arial"/>
        <w:b/>
        <w:sz w:val="48"/>
      </w:rPr>
      <w:tab/>
    </w:r>
    <w:r w:rsidRPr="003627E8">
      <w:tab/>
    </w:r>
    <w:r w:rsidRPr="003627E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CE779" w14:textId="77777777" w:rsidR="003627E8" w:rsidRPr="003627E8" w:rsidRDefault="003627E8" w:rsidP="003627E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0011E" w14:textId="77777777" w:rsidR="004D39A8" w:rsidRDefault="004D39A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843774"/>
      <w:docPartObj>
        <w:docPartGallery w:val="Page Numbers (Bottom of Page)"/>
        <w:docPartUnique/>
      </w:docPartObj>
    </w:sdtPr>
    <w:sdtEndPr>
      <w:rPr>
        <w:rFonts w:ascii="Times New Roman" w:hAnsi="Times New Roman" w:cs="Times New Roman"/>
        <w:noProof/>
      </w:rPr>
    </w:sdtEndPr>
    <w:sdtContent>
      <w:p w14:paraId="00F9228C" w14:textId="66F748EA" w:rsidR="004D39A8" w:rsidRPr="001070C4" w:rsidRDefault="00B5223C">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3627E8">
          <w:rPr>
            <w:rFonts w:ascii="Times New Roman" w:hAnsi="Times New Roman" w:cs="Times New Roman"/>
            <w:noProof/>
          </w:rPr>
          <w:t>1</w:t>
        </w:r>
        <w:r>
          <w:rPr>
            <w:rFonts w:ascii="Times New Roman" w:hAnsi="Times New Roman" w:cs="Times New Roman"/>
          </w:rPr>
          <w:fldChar w:fldCharType="end"/>
        </w:r>
      </w:p>
    </w:sdtContent>
  </w:sdt>
  <w:p w14:paraId="70AF0BDB" w14:textId="77777777" w:rsidR="004D39A8" w:rsidRDefault="004D39A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E5E4E" w14:textId="77777777" w:rsidR="004D39A8" w:rsidRDefault="004D39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D92A1C" w14:textId="77777777" w:rsidR="00AB6B54" w:rsidRDefault="00AB6B54" w:rsidP="000415EE">
      <w:pPr>
        <w:spacing w:after="0" w:line="240" w:lineRule="auto"/>
      </w:pPr>
      <w:r>
        <w:separator/>
      </w:r>
    </w:p>
  </w:footnote>
  <w:footnote w:type="continuationSeparator" w:id="0">
    <w:p w14:paraId="7790B185" w14:textId="77777777" w:rsidR="00AB6B54" w:rsidRDefault="00AB6B54" w:rsidP="000415EE">
      <w:pPr>
        <w:spacing w:after="0" w:line="240" w:lineRule="auto"/>
      </w:pPr>
      <w:r>
        <w:continuationSeparator/>
      </w:r>
    </w:p>
  </w:footnote>
  <w:footnote w:type="continuationNotice" w:id="1">
    <w:p w14:paraId="1B17F60D" w14:textId="77777777" w:rsidR="00AB6B54" w:rsidRDefault="00AB6B54">
      <w:pPr>
        <w:spacing w:after="0" w:line="240" w:lineRule="auto"/>
      </w:pPr>
    </w:p>
  </w:footnote>
  <w:footnote w:id="2">
    <w:p w14:paraId="611AE44A" w14:textId="77777777" w:rsidR="00383FD5" w:rsidRPr="00840B47" w:rsidRDefault="00383FD5" w:rsidP="00383FD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shd w:val="clear" w:color="auto" w:fill="FFFFFF"/>
          </w:rPr>
          <w:t>COM(2022) 230 final</w:t>
        </w:r>
      </w:hyperlink>
      <w:r>
        <w:rPr>
          <w:rFonts w:ascii="Times New Roman" w:hAnsi="Times New Roman"/>
          <w:color w:val="038387"/>
          <w:shd w:val="clear" w:color="auto" w:fill="FFFFFF"/>
        </w:rPr>
        <w:t xml:space="preserve"> </w:t>
      </w:r>
    </w:p>
  </w:footnote>
  <w:footnote w:id="3">
    <w:p w14:paraId="62BE98E0" w14:textId="77777777" w:rsidR="0012531E" w:rsidRPr="00840B47" w:rsidRDefault="0012531E" w:rsidP="0012531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rPr>
          <w:t>Statistiques d’Eurostat sur le gaz naturel</w:t>
        </w:r>
      </w:hyperlink>
      <w:r>
        <w:t>.</w:t>
      </w:r>
      <w:r>
        <w:rPr>
          <w:rFonts w:ascii="Times New Roman" w:hAnsi="Times New Roman"/>
        </w:rPr>
        <w:t xml:space="preserve"> L’Europe a importé 273 milliards de m³ en 2024, contre 334 milliards de m³ en 2022.</w:t>
      </w:r>
    </w:p>
  </w:footnote>
  <w:footnote w:id="4">
    <w:p w14:paraId="2D98BB5A" w14:textId="77777777" w:rsidR="001F730D" w:rsidRPr="00840B47" w:rsidRDefault="001F730D" w:rsidP="001F730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Équivalent d’uranium naturel contenu dans les produits importés.</w:t>
      </w:r>
    </w:p>
  </w:footnote>
  <w:footnote w:id="5">
    <w:p w14:paraId="575825FD" w14:textId="4C03F94B" w:rsidR="001F730D" w:rsidRPr="00840B47" w:rsidRDefault="001F730D" w:rsidP="00177027">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Depuis avril 2025, la Tchéquie n’importe plus de pétrole russe.</w:t>
      </w:r>
    </w:p>
  </w:footnote>
  <w:footnote w:id="6">
    <w:p w14:paraId="2D0F11D1" w14:textId="2D910FD6" w:rsidR="001E17B6" w:rsidRPr="001E17B6" w:rsidRDefault="001E17B6" w:rsidP="00842B72">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En 2024, l’UE a versé pour l’énergie russe un total de 23 milliards d’euros, dont 1 milliard d’euros pour les combustibles nucléaires. Source: COMEX.</w:t>
      </w:r>
    </w:p>
  </w:footnote>
  <w:footnote w:id="7">
    <w:p w14:paraId="1D95FD3F" w14:textId="77777777" w:rsidR="00C733F6" w:rsidRPr="003B2F6D" w:rsidRDefault="00C733F6" w:rsidP="00C733F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part de l’énergie produite à partir de sources renouvelables dans la consommation d’énergie finale brute de l’UE est fixée à au moins 42,5 % d’ici à 2030, tendant toutefois vers un objectif de 45 %.</w:t>
      </w:r>
    </w:p>
  </w:footnote>
  <w:footnote w:id="8">
    <w:p w14:paraId="276662B4" w14:textId="14B2D7FA" w:rsidR="003B2F6D" w:rsidRPr="003B2F6D" w:rsidRDefault="003B2F6D" w:rsidP="003B2F6D">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Seizième train de sanctions adopté le 24 février, comprenant une interdiction de dépôt temporaire de pétrole russe et visant la flotte fantôme. </w:t>
      </w:r>
      <w:hyperlink r:id="rId3" w:history="1">
        <w:r>
          <w:rPr>
            <w:rStyle w:val="Hyperlink"/>
            <w:rFonts w:ascii="Times New Roman" w:hAnsi="Times New Roman"/>
          </w:rPr>
          <w:t>L’UE adopte le 16</w:t>
        </w:r>
        <w:r>
          <w:rPr>
            <w:rStyle w:val="Hyperlink"/>
            <w:rFonts w:ascii="Times New Roman" w:hAnsi="Times New Roman"/>
            <w:vertAlign w:val="superscript"/>
          </w:rPr>
          <w:t>e</w:t>
        </w:r>
        <w:r>
          <w:rPr>
            <w:rStyle w:val="Hyperlink"/>
            <w:rFonts w:ascii="Times New Roman" w:hAnsi="Times New Roman"/>
          </w:rPr>
          <w:t> train de sanctions à l’encontre de la Russie</w:t>
        </w:r>
      </w:hyperlink>
      <w:r>
        <w:rPr>
          <w:rStyle w:val="Hyperlink"/>
        </w:rPr>
        <w:t>.</w:t>
      </w:r>
      <w:r>
        <w:rPr>
          <w:rStyle w:val="Hyperlink"/>
          <w:rFonts w:ascii="Times New Roman" w:hAnsi="Times New Roman"/>
        </w:rPr>
        <w:t xml:space="preserve"> </w:t>
      </w:r>
      <w:r>
        <w:rPr>
          <w:rFonts w:ascii="Times New Roman" w:hAnsi="Times New Roman"/>
        </w:rPr>
        <w:t>Le gaz naturel russe ne figure pas dans les trains de sanctions</w:t>
      </w:r>
      <w:r>
        <w:rPr>
          <w:rStyle w:val="Hyperlink"/>
          <w:rFonts w:ascii="Times New Roman" w:hAnsi="Times New Roman"/>
        </w:rPr>
        <w:t xml:space="preserve">; voir également </w:t>
      </w:r>
      <w:hyperlink r:id="rId4" w:history="1">
        <w:r>
          <w:rPr>
            <w:rStyle w:val="Hyperlink"/>
            <w:rFonts w:ascii="Times New Roman" w:hAnsi="Times New Roman"/>
            <w:shd w:val="clear" w:color="auto" w:fill="FFFFFF"/>
          </w:rPr>
          <w:t>Chronologie - Sanctions de l’UE à l’encontre de la Russie - Conseil</w:t>
        </w:r>
      </w:hyperlink>
      <w:r>
        <w:rPr>
          <w:rStyle w:val="Hyperlink"/>
          <w:rFonts w:ascii="Times New Roman" w:hAnsi="Times New Roman"/>
          <w:shd w:val="clear" w:color="auto" w:fill="FFFFFF"/>
        </w:rPr>
        <w:t>.</w:t>
      </w:r>
    </w:p>
  </w:footnote>
  <w:footnote w:id="9">
    <w:p w14:paraId="5FF31610" w14:textId="0262A09C" w:rsidR="00DE6DB0" w:rsidRPr="003B2F6D" w:rsidRDefault="00DE6DB0" w:rsidP="002139D0">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18 % entre août 2022 et janvier 2025.</w:t>
      </w:r>
    </w:p>
  </w:footnote>
  <w:footnote w:id="10">
    <w:p w14:paraId="55B4B477" w14:textId="4C31127C" w:rsidR="00DA72BF" w:rsidRPr="003B2F6D" w:rsidRDefault="00DA72BF" w:rsidP="00F16CB0">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Estimations fondées sur les projections CETO à long terme de la Commission, ajustées pour tenir compte de l’évolution récente de la demande de gaz.</w:t>
      </w:r>
      <w:r>
        <w:rPr>
          <w:rFonts w:ascii="Times New Roman" w:hAnsi="Times New Roman"/>
        </w:rPr>
        <w:t xml:space="preserve"> Les projections reflètent les informations et les perspectives actuellement disponibles et, à ce titre, elles sont sujettes à des incertitudes liées à des évolutions imprévisibles, par exemple, des prix de l’énergie, de la situation géopolitique et des progrès technologiques dans le domaine des technologies propres. </w:t>
      </w:r>
    </w:p>
  </w:footnote>
  <w:footnote w:id="11">
    <w:p w14:paraId="28F97B63" w14:textId="77777777" w:rsidR="00814F8B" w:rsidRPr="003E3C30" w:rsidRDefault="00814F8B" w:rsidP="00814F8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Accord de transit entre Naftogaz et Gazprom.</w:t>
      </w:r>
    </w:p>
  </w:footnote>
  <w:footnote w:id="12">
    <w:p w14:paraId="15EF9DF4" w14:textId="7A9A09A2" w:rsidR="00CE7F15" w:rsidRPr="00913147" w:rsidRDefault="00CE7F15" w:rsidP="00CE7F15">
      <w:pPr>
        <w:pStyle w:val="FootnoteText"/>
        <w:jc w:val="both"/>
        <w:rPr>
          <w:rFonts w:ascii="Times New Roman" w:hAnsi="Times New Roman" w:cs="Times New Roman"/>
          <w:sz w:val="18"/>
          <w:szCs w:val="18"/>
        </w:rPr>
      </w:pPr>
      <w:r>
        <w:rPr>
          <w:rStyle w:val="FootnoteReference"/>
          <w:rFonts w:ascii="Times New Roman" w:hAnsi="Times New Roman" w:cs="Times New Roman"/>
        </w:rPr>
        <w:footnoteRef/>
      </w:r>
      <w:r>
        <w:t xml:space="preserve"> L’Estonie, la Lituanie, la Lettonie, le Danemark, la Finlande, la Suède, l’Allemagne, la Pologne, la Croatie, Malte, l’Irlande, le Luxembourg, l’Autriche et la Tchéquie ont interdit ou arrêté l’approvisionnement en gaz provenant de Russie.</w:t>
      </w:r>
      <w:r>
        <w:rPr>
          <w:rFonts w:ascii="Times New Roman" w:hAnsi="Times New Roman"/>
        </w:rPr>
        <w:t xml:space="preserve"> Certains États membres pourraient toutefois être indirectement approvisionnés en gaz d’origine russe par des achats sur le marché de gros.</w:t>
      </w:r>
      <w:r>
        <w:rPr>
          <w:rFonts w:ascii="Times New Roman" w:hAnsi="Times New Roman"/>
          <w:sz w:val="18"/>
        </w:rPr>
        <w:t xml:space="preserve"> </w:t>
      </w:r>
    </w:p>
  </w:footnote>
  <w:footnote w:id="13">
    <w:p w14:paraId="53E69498" w14:textId="56DC1DDB" w:rsidR="00A0711A" w:rsidRDefault="00A0711A" w:rsidP="003B45A2">
      <w:pPr>
        <w:pStyle w:val="FootnoteText"/>
        <w:jc w:val="both"/>
      </w:pPr>
      <w:r>
        <w:rPr>
          <w:rStyle w:val="FootnoteReference"/>
        </w:rPr>
        <w:footnoteRef/>
      </w:r>
      <w:r>
        <w:rPr>
          <w:rFonts w:ascii="Times New Roman" w:hAnsi="Times New Roman"/>
        </w:rPr>
        <w:t xml:space="preserve"> La proposition d’examen à mi-parcours de la politique de cohésion élargira les possibilités d’investir dans la transition énergétique, COM(2025) 123 final.</w:t>
      </w:r>
    </w:p>
  </w:footnote>
  <w:footnote w:id="14">
    <w:p w14:paraId="32A9C78D" w14:textId="634C549A" w:rsidR="003C1CF7" w:rsidRDefault="003C1CF7" w:rsidP="00F50513">
      <w:pPr>
        <w:pStyle w:val="FootnoteText"/>
        <w:jc w:val="both"/>
      </w:pPr>
      <w:r>
        <w:rPr>
          <w:rStyle w:val="FootnoteReference"/>
        </w:rPr>
        <w:footnoteRef/>
      </w:r>
      <w:r>
        <w:t xml:space="preserve"> </w:t>
      </w:r>
      <w:r>
        <w:rPr>
          <w:rFonts w:ascii="Times New Roman" w:hAnsi="Times New Roman"/>
        </w:rPr>
        <w:t>Voir les projections de l’objectif climatique de l’Europe à l’horizon 2040, SWD(2024) 63 final. D’ici à 2040, l’approvisionnement en combustibles fossiles à des fins énergétiques diminuera de plus de 70 % par rapport à aujourd’hui. Plus de la moitié de l’ensemble des combustibles fossiles utilisés dans l’UE en 2050 sera destinée au secteur non énergétique et servira de matière première pour les procédés chimiques (plastique, engrais, etc.). La suppression progressive des importations de gaz naturel fossile en provenance de Russie accélérera la trajectoire de transition. La consommation de gaz naturel, de biométhane et de biogaz est estimée à environ 105 à 155 Mtep d’ici à 2040 (4,5 à 6,5 EJ). En 2050, la consommation de ces combustibles gazeux dans l’UE se situera toujours entre 70 et 80 Mtep pour tous les scénarios (3,0 à 3,5 EJ).</w:t>
      </w:r>
    </w:p>
  </w:footnote>
  <w:footnote w:id="15">
    <w:p w14:paraId="3B093252" w14:textId="54B0D7F4" w:rsidR="00786C3B" w:rsidRPr="003E3C30" w:rsidRDefault="00786C3B">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Par exemple: Prix sur les points d’échange européens ou internationaux, indices et indices de référence (TTF, Henry Hub, etc.).</w:t>
      </w:r>
    </w:p>
  </w:footnote>
  <w:footnote w:id="16">
    <w:p w14:paraId="248B58CF" w14:textId="5576C21C" w:rsidR="00CE7F15" w:rsidRPr="003E3C30" w:rsidRDefault="00CE7F15" w:rsidP="00CE7F15">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La Bulgarie, la Tchéquie, la Finlande, la Hongrie et la Slovaquie.</w:t>
      </w:r>
    </w:p>
  </w:footnote>
  <w:footnote w:id="17">
    <w:p w14:paraId="10DAB566" w14:textId="77777777" w:rsidR="00CE7F15" w:rsidRPr="003E3C30" w:rsidRDefault="00CE7F15" w:rsidP="00CE7F15">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L’UE soutient financièrement le développement de carburants alternatifs pour les réacteurs de type VVER par Westinghouse (projet APIS) et Framatome (projet SAVE) grâce à des subventions s’élevant à 10 millions d’euros pour chaque projet (20 millions d’euros au total) par l’intermédiaire du programme de recherche et de formation de la Communauté européenne de l’énergie atomique.</w:t>
      </w:r>
    </w:p>
  </w:footnote>
  <w:footnote w:id="18">
    <w:p w14:paraId="316DC660" w14:textId="77777777" w:rsidR="00CE7F15" w:rsidRPr="008D2BA0" w:rsidRDefault="00CE7F15" w:rsidP="00CE7F15">
      <w:pPr>
        <w:pStyle w:val="FootnoteText"/>
        <w:jc w:val="both"/>
        <w:rPr>
          <w:rFonts w:ascii="Times New Roman" w:hAnsi="Times New Roman" w:cs="Times New Roman"/>
        </w:rPr>
      </w:pPr>
      <w:r>
        <w:rPr>
          <w:rStyle w:val="FootnoteReference"/>
          <w:rFonts w:ascii="Times New Roman" w:hAnsi="Times New Roman" w:cs="Times New Roman"/>
        </w:rPr>
        <w:footnoteRef/>
      </w:r>
      <w:r>
        <w:rPr>
          <w:color w:val="212529"/>
          <w:shd w:val="clear" w:color="auto" w:fill="FFFFFF"/>
        </w:rPr>
        <w:t xml:space="preserve"> </w:t>
      </w:r>
      <w:r>
        <w:t>Alors que plus de 85 % de l’uranium est produit dans six pays (le Kazakhstan, le Canada, l’Australie, la Namibie, le Niger et la Russie), des mines d’uranium sont actuellement exploitées dans de nombreux pays et des gisements non exploités existent également dans certains États membres de l’UE.</w:t>
      </w:r>
    </w:p>
  </w:footnote>
  <w:footnote w:id="19">
    <w:p w14:paraId="5B600CD1" w14:textId="022EC984" w:rsidR="00CE7F15" w:rsidRPr="004B124C" w:rsidRDefault="00CE7F15" w:rsidP="00CE7F15">
      <w:pPr>
        <w:pStyle w:val="FootnoteText"/>
        <w:rPr>
          <w:rFonts w:ascii="Times New Roman" w:hAnsi="Times New Roman" w:cs="Times New Roman"/>
          <w:sz w:val="18"/>
          <w:szCs w:val="18"/>
        </w:rPr>
      </w:pPr>
      <w:r>
        <w:rPr>
          <w:rStyle w:val="FootnoteReference"/>
          <w:rFonts w:ascii="Times New Roman" w:hAnsi="Times New Roman" w:cs="Times New Roman"/>
        </w:rPr>
        <w:footnoteRef/>
      </w:r>
      <w:r>
        <w:t xml:space="preserve"> </w:t>
      </w:r>
      <w:r>
        <w:rPr>
          <w:rFonts w:ascii="Times New Roman" w:hAnsi="Times New Roman"/>
        </w:rPr>
        <w:t>Parts de marché sur la base des données provisoires de 2024.</w:t>
      </w:r>
    </w:p>
  </w:footnote>
  <w:footnote w:id="20">
    <w:p w14:paraId="201817E0" w14:textId="0A52FB3B" w:rsidR="001C3B0C" w:rsidRPr="003E3C30" w:rsidRDefault="001C3B0C">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Selon les données Comext de 2024 et 2023.</w:t>
      </w:r>
    </w:p>
  </w:footnote>
  <w:footnote w:id="21">
    <w:p w14:paraId="74B20A7A" w14:textId="2279274D" w:rsidR="00776018" w:rsidRDefault="00776018" w:rsidP="00280F85">
      <w:pPr>
        <w:pStyle w:val="FootnoteText"/>
        <w:jc w:val="both"/>
      </w:pPr>
      <w:r>
        <w:rPr>
          <w:rStyle w:val="FootnoteReference"/>
          <w:rFonts w:ascii="Times New Roman" w:hAnsi="Times New Roman" w:cs="Times New Roman"/>
        </w:rPr>
        <w:footnoteRef/>
      </w:r>
      <w:r>
        <w:t xml:space="preserve"> </w:t>
      </w:r>
      <w:r>
        <w:rPr>
          <w:rFonts w:ascii="Times New Roman" w:hAnsi="Times New Roman"/>
        </w:rPr>
        <w:t>Les pays du groupe NB 8++ comprennent le Danemark, l’Estonie, la Finlande, l’Allemagne, l’Islande, la Lettonie, la Lituanie, les Pays-Bas, la Norvège, la Pologne, la Suède et le Royaume-Uni.</w:t>
      </w:r>
    </w:p>
  </w:footnote>
  <w:footnote w:id="22">
    <w:p w14:paraId="776B62DA" w14:textId="77777777" w:rsidR="00A70AB4" w:rsidRPr="002A1E0C" w:rsidRDefault="00A70AB4" w:rsidP="00A70AB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Article 14 du règlement (UE) 2017/1938.</w:t>
      </w:r>
    </w:p>
  </w:footnote>
  <w:footnote w:id="23">
    <w:p w14:paraId="017816F0" w14:textId="75B31EEC" w:rsidR="00A55124" w:rsidRPr="002A1E0C" w:rsidRDefault="00A5512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 w:history="1">
        <w:r>
          <w:rPr>
            <w:rStyle w:val="Hyperlink"/>
            <w:rFonts w:ascii="Times New Roman" w:hAnsi="Times New Roman"/>
          </w:rPr>
          <w:t>Code des douanes de l’Union</w:t>
        </w:r>
      </w:hyperlink>
    </w:p>
  </w:footnote>
  <w:footnote w:id="24">
    <w:p w14:paraId="0683A929" w14:textId="7E836938" w:rsidR="002A1E0C" w:rsidRPr="002A1E0C" w:rsidRDefault="002A1E0C">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Par exemple, en Espagne, </w:t>
      </w:r>
      <w:hyperlink r:id="rId6" w:history="1">
        <w:r>
          <w:rPr>
            <w:rStyle w:val="Hyperlink"/>
            <w:rFonts w:ascii="Times New Roman" w:hAnsi="Times New Roman"/>
          </w:rPr>
          <w:t>www.enagas.es</w:t>
        </w:r>
      </w:hyperlink>
      <w:r>
        <w:rPr>
          <w:rFonts w:ascii="Times New Roman" w:hAnsi="Times New Roman"/>
        </w:rPr>
        <w:t xml:space="preserve"> </w:t>
      </w:r>
    </w:p>
  </w:footnote>
  <w:footnote w:id="25">
    <w:p w14:paraId="38DD35FB" w14:textId="0A5D6262" w:rsidR="00436F80" w:rsidRPr="004F2871" w:rsidRDefault="00436F8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Voir les règles proposées concernant l’abandon progressif au titre de l’</w:t>
      </w:r>
      <w:r>
        <w:rPr>
          <w:rFonts w:ascii="Times New Roman" w:hAnsi="Times New Roman"/>
          <w:i/>
        </w:rPr>
        <w:t>action nº 3</w:t>
      </w:r>
      <w:r>
        <w:rPr>
          <w:rFonts w:ascii="Times New Roman" w:hAnsi="Times New Roman"/>
        </w:rPr>
        <w:t xml:space="preserve"> ci-dessous</w:t>
      </w:r>
      <w:r>
        <w:t>.</w:t>
      </w:r>
    </w:p>
  </w:footnote>
  <w:footnote w:id="26">
    <w:p w14:paraId="5DFDC8F9" w14:textId="37558D82" w:rsidR="004F2871" w:rsidRPr="004F2871" w:rsidRDefault="004F2871" w:rsidP="004F2871">
      <w:pPr>
        <w:pStyle w:val="FootnoteText"/>
        <w:jc w:val="both"/>
      </w:pPr>
      <w:r>
        <w:rPr>
          <w:rStyle w:val="FootnoteReference"/>
          <w:rFonts w:ascii="Times New Roman" w:hAnsi="Times New Roman" w:cs="Times New Roman"/>
        </w:rPr>
        <w:footnoteRef/>
      </w:r>
      <w:r>
        <w:rPr>
          <w:rFonts w:ascii="Times New Roman" w:hAnsi="Times New Roman"/>
        </w:rPr>
        <w:tab/>
        <w:t>Les contrats «</w:t>
      </w:r>
      <w:r>
        <w:rPr>
          <w:rFonts w:ascii="Times New Roman" w:hAnsi="Times New Roman"/>
          <w:i/>
        </w:rPr>
        <w:t>take or pay</w:t>
      </w:r>
      <w:r>
        <w:rPr>
          <w:rFonts w:ascii="Times New Roman" w:hAnsi="Times New Roman"/>
        </w:rPr>
        <w:t>» sont un type de contrat couramment utilisé dans le secteur de l’énergie, en particulier dans les ventes de gaz. Ce contrat stipule que l’acheteur doit soit prendre livraison d’une quantité déterminée de gaz, soit payer une pénalité prédéterminée s’il n’en prend pas livraison.</w:t>
      </w:r>
    </w:p>
  </w:footnote>
  <w:footnote w:id="27">
    <w:p w14:paraId="41A96D7B" w14:textId="67B60C8B" w:rsidR="00306597" w:rsidRPr="00C81DC1" w:rsidRDefault="00306597" w:rsidP="00306597">
      <w:pPr>
        <w:pStyle w:val="FootnoteText"/>
        <w:jc w:val="both"/>
        <w:rPr>
          <w:rStyle w:val="Hyperlink"/>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Hyperlink"/>
          <w:rFonts w:ascii="Times New Roman" w:hAnsi="Times New Roman"/>
          <w:color w:val="auto"/>
          <w:u w:val="none"/>
        </w:rPr>
        <w:t>Y compris la directive existante sur les énergies renouvelables, le paquet de mesures sur les marchés de l’hydrogène et du gaz décarboné, la directive relative à l’efficacité énergétique, l’organisation du marché de l’électricité, le plan d’action sur les réseaux électriques, le plan d’action pour une énergie abordable et le plan d’action en faveur de l’électrification, qui est prévu.</w:t>
      </w:r>
    </w:p>
  </w:footnote>
  <w:footnote w:id="28">
    <w:p w14:paraId="52E5033E" w14:textId="2342A815" w:rsidR="00F60434" w:rsidRPr="00C85363" w:rsidRDefault="00F60434" w:rsidP="00F60434">
      <w:pPr>
        <w:pStyle w:val="FootnoteText"/>
        <w:rPr>
          <w:highlight w:val="green"/>
        </w:rPr>
      </w:pPr>
      <w:r>
        <w:rPr>
          <w:rStyle w:val="FootnoteReference"/>
          <w:rFonts w:ascii="Times New Roman" w:hAnsi="Times New Roman" w:cs="Times New Roman"/>
        </w:rPr>
        <w:footnoteRef/>
      </w:r>
      <w:r>
        <w:rPr>
          <w:rFonts w:ascii="Times New Roman" w:hAnsi="Times New Roman"/>
        </w:rPr>
        <w:t xml:space="preserve"> Source: </w:t>
      </w:r>
      <w:hyperlink r:id="rId7">
        <w:r>
          <w:rPr>
            <w:rStyle w:val="Hyperlink"/>
            <w:rFonts w:ascii="Times New Roman" w:hAnsi="Times New Roman"/>
          </w:rPr>
          <w:t>Perspectives énergétiques mondiales 2024 (AIE)</w:t>
        </w:r>
      </w:hyperlink>
      <w:r>
        <w:rPr>
          <w:rFonts w:ascii="Times New Roman" w:hAnsi="Times New Roman"/>
        </w:rPr>
        <w:t xml:space="preserve"> et </w:t>
      </w:r>
      <w:hyperlink r:id="rId8">
        <w:r>
          <w:rPr>
            <w:rStyle w:val="Hyperlink"/>
            <w:rFonts w:ascii="Times New Roman" w:hAnsi="Times New Roman"/>
          </w:rPr>
          <w:t>Rapport sur le marché du gaz Q1-2025 (AIE)</w:t>
        </w:r>
      </w:hyperlink>
      <w:r>
        <w:rPr>
          <w:rStyle w:val="Hyperlink"/>
          <w:rFonts w:ascii="Times New Roman" w:hAnsi="Times New Roman"/>
        </w:rPr>
        <w:t>.</w:t>
      </w:r>
    </w:p>
  </w:footnote>
  <w:footnote w:id="29">
    <w:p w14:paraId="7792FCAC" w14:textId="22F11CFE" w:rsidR="00A05F3A" w:rsidRDefault="00A05F3A">
      <w:pPr>
        <w:pStyle w:val="FootnoteText"/>
      </w:pPr>
      <w:r>
        <w:rPr>
          <w:rStyle w:val="FootnoteReference"/>
        </w:rPr>
        <w:footnoteRef/>
      </w:r>
      <w:r>
        <w:t xml:space="preserve"> </w:t>
      </w:r>
      <w:r>
        <w:rPr>
          <w:rFonts w:ascii="Times New Roman" w:hAnsi="Times New Roman"/>
        </w:rPr>
        <w:t xml:space="preserve">Concernant la stratégie «Global Gateway», voir: </w:t>
      </w:r>
      <w:hyperlink r:id="rId9" w:history="1">
        <w:r>
          <w:rPr>
            <w:rStyle w:val="Hyperlink"/>
            <w:rFonts w:ascii="Times New Roman" w:hAnsi="Times New Roman"/>
          </w:rPr>
          <w:t>Stratégie «Global Gateway» - Commission européenne</w:t>
        </w:r>
      </w:hyperlink>
    </w:p>
  </w:footnote>
  <w:footnote w:id="30">
    <w:p w14:paraId="269A1A53" w14:textId="76AF8A95" w:rsidR="008242C2" w:rsidRPr="00C81DC1" w:rsidRDefault="008242C2" w:rsidP="008242C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sz w:val="18"/>
        </w:rPr>
        <w:t xml:space="preserve"> </w:t>
      </w:r>
      <w:hyperlink r:id="rId10" w:history="1">
        <w:r>
          <w:rPr>
            <w:rStyle w:val="Hyperlink"/>
            <w:rFonts w:ascii="Times New Roman" w:hAnsi="Times New Roman"/>
          </w:rPr>
          <w:t>Mécanisme AggregateEU - Commission européenne</w:t>
        </w:r>
      </w:hyperlink>
    </w:p>
  </w:footnote>
  <w:footnote w:id="31">
    <w:p w14:paraId="2F151D6A" w14:textId="00063464" w:rsidR="003173B4" w:rsidRPr="00C81DC1" w:rsidRDefault="003173B4" w:rsidP="003F24D8">
      <w:pPr>
        <w:pStyle w:val="FootnoteText"/>
        <w:jc w:val="both"/>
        <w:rPr>
          <w:rFonts w:ascii="Times New Roman" w:hAnsi="Times New Roman" w:cs="Times New Roman"/>
          <w:sz w:val="16"/>
          <w:szCs w:val="16"/>
        </w:rPr>
      </w:pPr>
      <w:r>
        <w:rPr>
          <w:rStyle w:val="FootnoteReference"/>
          <w:rFonts w:ascii="Times New Roman" w:hAnsi="Times New Roman" w:cs="Times New Roman"/>
        </w:rPr>
        <w:footnoteRef/>
      </w:r>
      <w:r>
        <w:rPr>
          <w:rFonts w:ascii="Times New Roman" w:hAnsi="Times New Roman"/>
        </w:rPr>
        <w:t xml:space="preserve"> Connexion énergétique pour l’Europe centrale et du Sud-Est (CESEC).</w:t>
      </w:r>
    </w:p>
  </w:footnote>
  <w:footnote w:id="32">
    <w:p w14:paraId="34AC5A83" w14:textId="75B119A3" w:rsidR="00EB45E2" w:rsidRDefault="00EB45E2">
      <w:pPr>
        <w:pStyle w:val="FootnoteText"/>
      </w:pPr>
      <w:r>
        <w:rPr>
          <w:rStyle w:val="FootnoteReference"/>
          <w:rFonts w:ascii="Times New Roman" w:hAnsi="Times New Roman" w:cs="Times New Roman"/>
        </w:rPr>
        <w:footnoteRef/>
      </w:r>
      <w:r>
        <w:rPr>
          <w:rFonts w:ascii="Times New Roman" w:hAnsi="Times New Roman"/>
        </w:rPr>
        <w:t xml:space="preserve"> </w:t>
      </w:r>
      <w:hyperlink r:id="rId11" w:history="1">
        <w:r>
          <w:rPr>
            <w:rStyle w:val="Hyperlink"/>
            <w:rFonts w:ascii="Times New Roman" w:hAnsi="Times New Roman"/>
          </w:rPr>
          <w:t>Communauté de l’énergie</w:t>
        </w:r>
      </w:hyperlink>
      <w:r>
        <w:rPr>
          <w:rStyle w:val="Hyperlink"/>
          <w:rFonts w:ascii="Times New Roman" w:hAnsi="Times New Roman"/>
        </w:rPr>
        <w:t>.</w:t>
      </w:r>
    </w:p>
  </w:footnote>
  <w:footnote w:id="33">
    <w:p w14:paraId="7F912BF2" w14:textId="6DC325B9" w:rsidR="4C2AADA4" w:rsidRPr="00C81DC1" w:rsidRDefault="4C2AADA4" w:rsidP="00660E4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Voir l’article 52 en liaison avec l’article 197 du traité Euratom.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3C29A" w14:textId="77777777" w:rsidR="003627E8" w:rsidRPr="003627E8" w:rsidRDefault="003627E8" w:rsidP="003627E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ED6EC" w14:textId="77777777" w:rsidR="003627E8" w:rsidRPr="003627E8" w:rsidRDefault="003627E8" w:rsidP="003627E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79563" w14:textId="77777777" w:rsidR="003627E8" w:rsidRPr="003627E8" w:rsidRDefault="003627E8" w:rsidP="003627E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682F9" w14:textId="77A93775" w:rsidR="004D39A8" w:rsidRDefault="004D39A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5768C" w14:textId="31C16C54" w:rsidR="004D39A8" w:rsidRDefault="004D39A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112E0" w14:textId="6ECADDBB" w:rsidR="004D39A8" w:rsidRDefault="004D39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3251E"/>
    <w:multiLevelType w:val="multilevel"/>
    <w:tmpl w:val="424E07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4E0481"/>
    <w:multiLevelType w:val="hybridMultilevel"/>
    <w:tmpl w:val="FB347E94"/>
    <w:lvl w:ilvl="0" w:tplc="7C50B00C">
      <w:start w:val="1"/>
      <w:numFmt w:val="bullet"/>
      <w:lvlText w:val=""/>
      <w:lvlJc w:val="left"/>
      <w:pPr>
        <w:ind w:left="720" w:hanging="360"/>
      </w:pPr>
      <w:rPr>
        <w:rFonts w:ascii="Symbol" w:hAnsi="Symbol"/>
      </w:rPr>
    </w:lvl>
    <w:lvl w:ilvl="1" w:tplc="70A6EC36">
      <w:start w:val="1"/>
      <w:numFmt w:val="bullet"/>
      <w:lvlText w:val=""/>
      <w:lvlJc w:val="left"/>
      <w:pPr>
        <w:ind w:left="720" w:hanging="360"/>
      </w:pPr>
      <w:rPr>
        <w:rFonts w:ascii="Symbol" w:hAnsi="Symbol"/>
      </w:rPr>
    </w:lvl>
    <w:lvl w:ilvl="2" w:tplc="688AE6CC">
      <w:start w:val="1"/>
      <w:numFmt w:val="bullet"/>
      <w:lvlText w:val=""/>
      <w:lvlJc w:val="left"/>
      <w:pPr>
        <w:ind w:left="720" w:hanging="360"/>
      </w:pPr>
      <w:rPr>
        <w:rFonts w:ascii="Symbol" w:hAnsi="Symbol"/>
      </w:rPr>
    </w:lvl>
    <w:lvl w:ilvl="3" w:tplc="C0E22C9A">
      <w:start w:val="1"/>
      <w:numFmt w:val="bullet"/>
      <w:lvlText w:val=""/>
      <w:lvlJc w:val="left"/>
      <w:pPr>
        <w:ind w:left="720" w:hanging="360"/>
      </w:pPr>
      <w:rPr>
        <w:rFonts w:ascii="Symbol" w:hAnsi="Symbol"/>
      </w:rPr>
    </w:lvl>
    <w:lvl w:ilvl="4" w:tplc="6D28FB5A">
      <w:start w:val="1"/>
      <w:numFmt w:val="bullet"/>
      <w:lvlText w:val=""/>
      <w:lvlJc w:val="left"/>
      <w:pPr>
        <w:ind w:left="720" w:hanging="360"/>
      </w:pPr>
      <w:rPr>
        <w:rFonts w:ascii="Symbol" w:hAnsi="Symbol"/>
      </w:rPr>
    </w:lvl>
    <w:lvl w:ilvl="5" w:tplc="4B6AA16E">
      <w:start w:val="1"/>
      <w:numFmt w:val="bullet"/>
      <w:lvlText w:val=""/>
      <w:lvlJc w:val="left"/>
      <w:pPr>
        <w:ind w:left="720" w:hanging="360"/>
      </w:pPr>
      <w:rPr>
        <w:rFonts w:ascii="Symbol" w:hAnsi="Symbol"/>
      </w:rPr>
    </w:lvl>
    <w:lvl w:ilvl="6" w:tplc="832EEE7A">
      <w:start w:val="1"/>
      <w:numFmt w:val="bullet"/>
      <w:lvlText w:val=""/>
      <w:lvlJc w:val="left"/>
      <w:pPr>
        <w:ind w:left="720" w:hanging="360"/>
      </w:pPr>
      <w:rPr>
        <w:rFonts w:ascii="Symbol" w:hAnsi="Symbol"/>
      </w:rPr>
    </w:lvl>
    <w:lvl w:ilvl="7" w:tplc="47645518">
      <w:start w:val="1"/>
      <w:numFmt w:val="bullet"/>
      <w:lvlText w:val=""/>
      <w:lvlJc w:val="left"/>
      <w:pPr>
        <w:ind w:left="720" w:hanging="360"/>
      </w:pPr>
      <w:rPr>
        <w:rFonts w:ascii="Symbol" w:hAnsi="Symbol"/>
      </w:rPr>
    </w:lvl>
    <w:lvl w:ilvl="8" w:tplc="F85A1E3E">
      <w:start w:val="1"/>
      <w:numFmt w:val="bullet"/>
      <w:lvlText w:val=""/>
      <w:lvlJc w:val="left"/>
      <w:pPr>
        <w:ind w:left="720" w:hanging="360"/>
      </w:pPr>
      <w:rPr>
        <w:rFonts w:ascii="Symbol" w:hAnsi="Symbol"/>
      </w:rPr>
    </w:lvl>
  </w:abstractNum>
  <w:abstractNum w:abstractNumId="2" w15:restartNumberingAfterBreak="0">
    <w:nsid w:val="086E1CA2"/>
    <w:multiLevelType w:val="multilevel"/>
    <w:tmpl w:val="5688F7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82187F"/>
    <w:multiLevelType w:val="hybridMultilevel"/>
    <w:tmpl w:val="0A18BB68"/>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99D6DF0"/>
    <w:multiLevelType w:val="multilevel"/>
    <w:tmpl w:val="BF60774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BCA690D"/>
    <w:multiLevelType w:val="hybridMultilevel"/>
    <w:tmpl w:val="AFD626F6"/>
    <w:lvl w:ilvl="0" w:tplc="980A3F88">
      <w:start w:val="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C21262"/>
    <w:multiLevelType w:val="hybridMultilevel"/>
    <w:tmpl w:val="EF120EC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CD90684"/>
    <w:multiLevelType w:val="hybridMultilevel"/>
    <w:tmpl w:val="3496C746"/>
    <w:lvl w:ilvl="0" w:tplc="3C5AD088">
      <w:start w:val="1"/>
      <w:numFmt w:val="bullet"/>
      <w:lvlText w:val=""/>
      <w:lvlJc w:val="left"/>
      <w:pPr>
        <w:ind w:left="1440" w:hanging="360"/>
      </w:pPr>
      <w:rPr>
        <w:rFonts w:ascii="Symbol" w:hAnsi="Symbol"/>
      </w:rPr>
    </w:lvl>
    <w:lvl w:ilvl="1" w:tplc="9886C2A4">
      <w:start w:val="1"/>
      <w:numFmt w:val="bullet"/>
      <w:lvlText w:val=""/>
      <w:lvlJc w:val="left"/>
      <w:pPr>
        <w:ind w:left="1440" w:hanging="360"/>
      </w:pPr>
      <w:rPr>
        <w:rFonts w:ascii="Symbol" w:hAnsi="Symbol"/>
      </w:rPr>
    </w:lvl>
    <w:lvl w:ilvl="2" w:tplc="9E0CC228">
      <w:start w:val="1"/>
      <w:numFmt w:val="bullet"/>
      <w:lvlText w:val=""/>
      <w:lvlJc w:val="left"/>
      <w:pPr>
        <w:ind w:left="1440" w:hanging="360"/>
      </w:pPr>
      <w:rPr>
        <w:rFonts w:ascii="Symbol" w:hAnsi="Symbol"/>
      </w:rPr>
    </w:lvl>
    <w:lvl w:ilvl="3" w:tplc="FBE64406">
      <w:start w:val="1"/>
      <w:numFmt w:val="bullet"/>
      <w:lvlText w:val=""/>
      <w:lvlJc w:val="left"/>
      <w:pPr>
        <w:ind w:left="1440" w:hanging="360"/>
      </w:pPr>
      <w:rPr>
        <w:rFonts w:ascii="Symbol" w:hAnsi="Symbol"/>
      </w:rPr>
    </w:lvl>
    <w:lvl w:ilvl="4" w:tplc="18B084E2">
      <w:start w:val="1"/>
      <w:numFmt w:val="bullet"/>
      <w:lvlText w:val=""/>
      <w:lvlJc w:val="left"/>
      <w:pPr>
        <w:ind w:left="1440" w:hanging="360"/>
      </w:pPr>
      <w:rPr>
        <w:rFonts w:ascii="Symbol" w:hAnsi="Symbol"/>
      </w:rPr>
    </w:lvl>
    <w:lvl w:ilvl="5" w:tplc="701C5E56">
      <w:start w:val="1"/>
      <w:numFmt w:val="bullet"/>
      <w:lvlText w:val=""/>
      <w:lvlJc w:val="left"/>
      <w:pPr>
        <w:ind w:left="1440" w:hanging="360"/>
      </w:pPr>
      <w:rPr>
        <w:rFonts w:ascii="Symbol" w:hAnsi="Symbol"/>
      </w:rPr>
    </w:lvl>
    <w:lvl w:ilvl="6" w:tplc="69764872">
      <w:start w:val="1"/>
      <w:numFmt w:val="bullet"/>
      <w:lvlText w:val=""/>
      <w:lvlJc w:val="left"/>
      <w:pPr>
        <w:ind w:left="1440" w:hanging="360"/>
      </w:pPr>
      <w:rPr>
        <w:rFonts w:ascii="Symbol" w:hAnsi="Symbol"/>
      </w:rPr>
    </w:lvl>
    <w:lvl w:ilvl="7" w:tplc="8FA4FBA0">
      <w:start w:val="1"/>
      <w:numFmt w:val="bullet"/>
      <w:lvlText w:val=""/>
      <w:lvlJc w:val="left"/>
      <w:pPr>
        <w:ind w:left="1440" w:hanging="360"/>
      </w:pPr>
      <w:rPr>
        <w:rFonts w:ascii="Symbol" w:hAnsi="Symbol"/>
      </w:rPr>
    </w:lvl>
    <w:lvl w:ilvl="8" w:tplc="C7D6F5D2">
      <w:start w:val="1"/>
      <w:numFmt w:val="bullet"/>
      <w:lvlText w:val=""/>
      <w:lvlJc w:val="left"/>
      <w:pPr>
        <w:ind w:left="1440" w:hanging="360"/>
      </w:pPr>
      <w:rPr>
        <w:rFonts w:ascii="Symbol" w:hAnsi="Symbol"/>
      </w:rPr>
    </w:lvl>
  </w:abstractNum>
  <w:abstractNum w:abstractNumId="8" w15:restartNumberingAfterBreak="0">
    <w:nsid w:val="160B682F"/>
    <w:multiLevelType w:val="hybridMultilevel"/>
    <w:tmpl w:val="BCF453BC"/>
    <w:lvl w:ilvl="0" w:tplc="18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9B86C84"/>
    <w:multiLevelType w:val="hybridMultilevel"/>
    <w:tmpl w:val="F91C2D00"/>
    <w:lvl w:ilvl="0" w:tplc="1809000F">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1B891736"/>
    <w:multiLevelType w:val="hybridMultilevel"/>
    <w:tmpl w:val="5A42ECEC"/>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A30B75"/>
    <w:multiLevelType w:val="multilevel"/>
    <w:tmpl w:val="64D22B8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E741E9"/>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6DE4502"/>
    <w:multiLevelType w:val="hybridMultilevel"/>
    <w:tmpl w:val="2B28F01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8FD2931"/>
    <w:multiLevelType w:val="hybridMultilevel"/>
    <w:tmpl w:val="FD9CDA28"/>
    <w:lvl w:ilvl="0" w:tplc="1809000F">
      <w:start w:val="3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AF65C3A"/>
    <w:multiLevelType w:val="multilevel"/>
    <w:tmpl w:val="D576A3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4471"/>
        </w:tabs>
        <w:ind w:left="4471"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BF927C2"/>
    <w:multiLevelType w:val="hybridMultilevel"/>
    <w:tmpl w:val="D45A2554"/>
    <w:lvl w:ilvl="0" w:tplc="2520924A">
      <w:start w:val="1"/>
      <w:numFmt w:val="bullet"/>
      <w:lvlText w:val=""/>
      <w:lvlJc w:val="left"/>
      <w:pPr>
        <w:ind w:left="720" w:hanging="360"/>
      </w:pPr>
      <w:rPr>
        <w:rFonts w:ascii="Symbol" w:hAnsi="Symbol" w:hint="default"/>
      </w:rPr>
    </w:lvl>
    <w:lvl w:ilvl="1" w:tplc="98DA4818" w:tentative="1">
      <w:start w:val="1"/>
      <w:numFmt w:val="bullet"/>
      <w:lvlText w:val="o"/>
      <w:lvlJc w:val="left"/>
      <w:pPr>
        <w:ind w:left="1440" w:hanging="360"/>
      </w:pPr>
      <w:rPr>
        <w:rFonts w:ascii="Courier New" w:hAnsi="Courier New" w:hint="default"/>
      </w:rPr>
    </w:lvl>
    <w:lvl w:ilvl="2" w:tplc="359E5D22" w:tentative="1">
      <w:start w:val="1"/>
      <w:numFmt w:val="bullet"/>
      <w:lvlText w:val=""/>
      <w:lvlJc w:val="left"/>
      <w:pPr>
        <w:ind w:left="2160" w:hanging="360"/>
      </w:pPr>
      <w:rPr>
        <w:rFonts w:ascii="Wingdings" w:hAnsi="Wingdings" w:hint="default"/>
      </w:rPr>
    </w:lvl>
    <w:lvl w:ilvl="3" w:tplc="4A5ACCA0" w:tentative="1">
      <w:start w:val="1"/>
      <w:numFmt w:val="bullet"/>
      <w:lvlText w:val=""/>
      <w:lvlJc w:val="left"/>
      <w:pPr>
        <w:ind w:left="2880" w:hanging="360"/>
      </w:pPr>
      <w:rPr>
        <w:rFonts w:ascii="Symbol" w:hAnsi="Symbol" w:hint="default"/>
      </w:rPr>
    </w:lvl>
    <w:lvl w:ilvl="4" w:tplc="A25416E2" w:tentative="1">
      <w:start w:val="1"/>
      <w:numFmt w:val="bullet"/>
      <w:lvlText w:val="o"/>
      <w:lvlJc w:val="left"/>
      <w:pPr>
        <w:ind w:left="3600" w:hanging="360"/>
      </w:pPr>
      <w:rPr>
        <w:rFonts w:ascii="Courier New" w:hAnsi="Courier New" w:hint="default"/>
      </w:rPr>
    </w:lvl>
    <w:lvl w:ilvl="5" w:tplc="26C26ACA" w:tentative="1">
      <w:start w:val="1"/>
      <w:numFmt w:val="bullet"/>
      <w:lvlText w:val=""/>
      <w:lvlJc w:val="left"/>
      <w:pPr>
        <w:ind w:left="4320" w:hanging="360"/>
      </w:pPr>
      <w:rPr>
        <w:rFonts w:ascii="Wingdings" w:hAnsi="Wingdings" w:hint="default"/>
      </w:rPr>
    </w:lvl>
    <w:lvl w:ilvl="6" w:tplc="370082D6" w:tentative="1">
      <w:start w:val="1"/>
      <w:numFmt w:val="bullet"/>
      <w:lvlText w:val=""/>
      <w:lvlJc w:val="left"/>
      <w:pPr>
        <w:ind w:left="5040" w:hanging="360"/>
      </w:pPr>
      <w:rPr>
        <w:rFonts w:ascii="Symbol" w:hAnsi="Symbol" w:hint="default"/>
      </w:rPr>
    </w:lvl>
    <w:lvl w:ilvl="7" w:tplc="C4B4E96A" w:tentative="1">
      <w:start w:val="1"/>
      <w:numFmt w:val="bullet"/>
      <w:lvlText w:val="o"/>
      <w:lvlJc w:val="left"/>
      <w:pPr>
        <w:ind w:left="5760" w:hanging="360"/>
      </w:pPr>
      <w:rPr>
        <w:rFonts w:ascii="Courier New" w:hAnsi="Courier New" w:hint="default"/>
      </w:rPr>
    </w:lvl>
    <w:lvl w:ilvl="8" w:tplc="16644B94" w:tentative="1">
      <w:start w:val="1"/>
      <w:numFmt w:val="bullet"/>
      <w:lvlText w:val=""/>
      <w:lvlJc w:val="left"/>
      <w:pPr>
        <w:ind w:left="6480" w:hanging="360"/>
      </w:pPr>
      <w:rPr>
        <w:rFonts w:ascii="Wingdings" w:hAnsi="Wingdings" w:hint="default"/>
      </w:rPr>
    </w:lvl>
  </w:abstractNum>
  <w:abstractNum w:abstractNumId="17" w15:restartNumberingAfterBreak="0">
    <w:nsid w:val="2F586E54"/>
    <w:multiLevelType w:val="hybridMultilevel"/>
    <w:tmpl w:val="9538FF02"/>
    <w:lvl w:ilvl="0" w:tplc="F9F23D72">
      <w:start w:val="1"/>
      <w:numFmt w:val="bullet"/>
      <w:lvlText w:val=""/>
      <w:lvlJc w:val="left"/>
      <w:pPr>
        <w:ind w:left="720" w:hanging="360"/>
      </w:pPr>
      <w:rPr>
        <w:rFonts w:ascii="Symbol" w:hAnsi="Symbol" w:hint="default"/>
      </w:rPr>
    </w:lvl>
    <w:lvl w:ilvl="1" w:tplc="B5AC144E" w:tentative="1">
      <w:start w:val="1"/>
      <w:numFmt w:val="bullet"/>
      <w:lvlText w:val="o"/>
      <w:lvlJc w:val="left"/>
      <w:pPr>
        <w:ind w:left="1440" w:hanging="360"/>
      </w:pPr>
      <w:rPr>
        <w:rFonts w:ascii="Courier New" w:hAnsi="Courier New" w:hint="default"/>
      </w:rPr>
    </w:lvl>
    <w:lvl w:ilvl="2" w:tplc="5952F26E" w:tentative="1">
      <w:start w:val="1"/>
      <w:numFmt w:val="bullet"/>
      <w:lvlText w:val=""/>
      <w:lvlJc w:val="left"/>
      <w:pPr>
        <w:ind w:left="2160" w:hanging="360"/>
      </w:pPr>
      <w:rPr>
        <w:rFonts w:ascii="Wingdings" w:hAnsi="Wingdings" w:hint="default"/>
      </w:rPr>
    </w:lvl>
    <w:lvl w:ilvl="3" w:tplc="2258F7FA" w:tentative="1">
      <w:start w:val="1"/>
      <w:numFmt w:val="bullet"/>
      <w:lvlText w:val=""/>
      <w:lvlJc w:val="left"/>
      <w:pPr>
        <w:ind w:left="2880" w:hanging="360"/>
      </w:pPr>
      <w:rPr>
        <w:rFonts w:ascii="Symbol" w:hAnsi="Symbol" w:hint="default"/>
      </w:rPr>
    </w:lvl>
    <w:lvl w:ilvl="4" w:tplc="C3D2D7B4" w:tentative="1">
      <w:start w:val="1"/>
      <w:numFmt w:val="bullet"/>
      <w:lvlText w:val="o"/>
      <w:lvlJc w:val="left"/>
      <w:pPr>
        <w:ind w:left="3600" w:hanging="360"/>
      </w:pPr>
      <w:rPr>
        <w:rFonts w:ascii="Courier New" w:hAnsi="Courier New" w:hint="default"/>
      </w:rPr>
    </w:lvl>
    <w:lvl w:ilvl="5" w:tplc="AAA28130" w:tentative="1">
      <w:start w:val="1"/>
      <w:numFmt w:val="bullet"/>
      <w:lvlText w:val=""/>
      <w:lvlJc w:val="left"/>
      <w:pPr>
        <w:ind w:left="4320" w:hanging="360"/>
      </w:pPr>
      <w:rPr>
        <w:rFonts w:ascii="Wingdings" w:hAnsi="Wingdings" w:hint="default"/>
      </w:rPr>
    </w:lvl>
    <w:lvl w:ilvl="6" w:tplc="9CC47264" w:tentative="1">
      <w:start w:val="1"/>
      <w:numFmt w:val="bullet"/>
      <w:lvlText w:val=""/>
      <w:lvlJc w:val="left"/>
      <w:pPr>
        <w:ind w:left="5040" w:hanging="360"/>
      </w:pPr>
      <w:rPr>
        <w:rFonts w:ascii="Symbol" w:hAnsi="Symbol" w:hint="default"/>
      </w:rPr>
    </w:lvl>
    <w:lvl w:ilvl="7" w:tplc="C05E629E" w:tentative="1">
      <w:start w:val="1"/>
      <w:numFmt w:val="bullet"/>
      <w:lvlText w:val="o"/>
      <w:lvlJc w:val="left"/>
      <w:pPr>
        <w:ind w:left="5760" w:hanging="360"/>
      </w:pPr>
      <w:rPr>
        <w:rFonts w:ascii="Courier New" w:hAnsi="Courier New" w:hint="default"/>
      </w:rPr>
    </w:lvl>
    <w:lvl w:ilvl="8" w:tplc="A148EAEE" w:tentative="1">
      <w:start w:val="1"/>
      <w:numFmt w:val="bullet"/>
      <w:lvlText w:val=""/>
      <w:lvlJc w:val="left"/>
      <w:pPr>
        <w:ind w:left="6480" w:hanging="360"/>
      </w:pPr>
      <w:rPr>
        <w:rFonts w:ascii="Wingdings" w:hAnsi="Wingdings" w:hint="default"/>
      </w:rPr>
    </w:lvl>
  </w:abstractNum>
  <w:abstractNum w:abstractNumId="18" w15:restartNumberingAfterBreak="0">
    <w:nsid w:val="30C23CAE"/>
    <w:multiLevelType w:val="multilevel"/>
    <w:tmpl w:val="360009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3E76E34"/>
    <w:multiLevelType w:val="hybridMultilevel"/>
    <w:tmpl w:val="FDF8C368"/>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40B415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6BD1D43"/>
    <w:multiLevelType w:val="hybridMultilevel"/>
    <w:tmpl w:val="9B6AA582"/>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FA31902"/>
    <w:multiLevelType w:val="multilevel"/>
    <w:tmpl w:val="221E5F2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2BB4D38"/>
    <w:multiLevelType w:val="hybridMultilevel"/>
    <w:tmpl w:val="D174C8F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544744E"/>
    <w:multiLevelType w:val="hybridMultilevel"/>
    <w:tmpl w:val="7EA60672"/>
    <w:lvl w:ilvl="0" w:tplc="1809000F">
      <w:start w:val="3"/>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6B544E6"/>
    <w:multiLevelType w:val="hybridMultilevel"/>
    <w:tmpl w:val="BA501B5C"/>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CB634EC"/>
    <w:multiLevelType w:val="hybridMultilevel"/>
    <w:tmpl w:val="126867C6"/>
    <w:lvl w:ilvl="0" w:tplc="B030BF54">
      <w:start w:val="1"/>
      <w:numFmt w:val="bullet"/>
      <w:lvlText w:val=""/>
      <w:lvlJc w:val="left"/>
      <w:pPr>
        <w:ind w:left="720" w:hanging="360"/>
      </w:pPr>
      <w:rPr>
        <w:rFonts w:ascii="Symbol" w:hAnsi="Symbol"/>
      </w:rPr>
    </w:lvl>
    <w:lvl w:ilvl="1" w:tplc="81BC98FA">
      <w:start w:val="1"/>
      <w:numFmt w:val="bullet"/>
      <w:lvlText w:val=""/>
      <w:lvlJc w:val="left"/>
      <w:pPr>
        <w:ind w:left="720" w:hanging="360"/>
      </w:pPr>
      <w:rPr>
        <w:rFonts w:ascii="Symbol" w:hAnsi="Symbol"/>
      </w:rPr>
    </w:lvl>
    <w:lvl w:ilvl="2" w:tplc="5AC0E38A">
      <w:start w:val="1"/>
      <w:numFmt w:val="bullet"/>
      <w:lvlText w:val=""/>
      <w:lvlJc w:val="left"/>
      <w:pPr>
        <w:ind w:left="720" w:hanging="360"/>
      </w:pPr>
      <w:rPr>
        <w:rFonts w:ascii="Symbol" w:hAnsi="Symbol"/>
      </w:rPr>
    </w:lvl>
    <w:lvl w:ilvl="3" w:tplc="D3923A1C">
      <w:start w:val="1"/>
      <w:numFmt w:val="bullet"/>
      <w:lvlText w:val=""/>
      <w:lvlJc w:val="left"/>
      <w:pPr>
        <w:ind w:left="720" w:hanging="360"/>
      </w:pPr>
      <w:rPr>
        <w:rFonts w:ascii="Symbol" w:hAnsi="Symbol"/>
      </w:rPr>
    </w:lvl>
    <w:lvl w:ilvl="4" w:tplc="AF746A5E">
      <w:start w:val="1"/>
      <w:numFmt w:val="bullet"/>
      <w:lvlText w:val=""/>
      <w:lvlJc w:val="left"/>
      <w:pPr>
        <w:ind w:left="720" w:hanging="360"/>
      </w:pPr>
      <w:rPr>
        <w:rFonts w:ascii="Symbol" w:hAnsi="Symbol"/>
      </w:rPr>
    </w:lvl>
    <w:lvl w:ilvl="5" w:tplc="F220397C">
      <w:start w:val="1"/>
      <w:numFmt w:val="bullet"/>
      <w:lvlText w:val=""/>
      <w:lvlJc w:val="left"/>
      <w:pPr>
        <w:ind w:left="720" w:hanging="360"/>
      </w:pPr>
      <w:rPr>
        <w:rFonts w:ascii="Symbol" w:hAnsi="Symbol"/>
      </w:rPr>
    </w:lvl>
    <w:lvl w:ilvl="6" w:tplc="CA6ACFD8">
      <w:start w:val="1"/>
      <w:numFmt w:val="bullet"/>
      <w:lvlText w:val=""/>
      <w:lvlJc w:val="left"/>
      <w:pPr>
        <w:ind w:left="720" w:hanging="360"/>
      </w:pPr>
      <w:rPr>
        <w:rFonts w:ascii="Symbol" w:hAnsi="Symbol"/>
      </w:rPr>
    </w:lvl>
    <w:lvl w:ilvl="7" w:tplc="0B621300">
      <w:start w:val="1"/>
      <w:numFmt w:val="bullet"/>
      <w:lvlText w:val=""/>
      <w:lvlJc w:val="left"/>
      <w:pPr>
        <w:ind w:left="720" w:hanging="360"/>
      </w:pPr>
      <w:rPr>
        <w:rFonts w:ascii="Symbol" w:hAnsi="Symbol"/>
      </w:rPr>
    </w:lvl>
    <w:lvl w:ilvl="8" w:tplc="2B1081EA">
      <w:start w:val="1"/>
      <w:numFmt w:val="bullet"/>
      <w:lvlText w:val=""/>
      <w:lvlJc w:val="left"/>
      <w:pPr>
        <w:ind w:left="720" w:hanging="360"/>
      </w:pPr>
      <w:rPr>
        <w:rFonts w:ascii="Symbol" w:hAnsi="Symbol"/>
      </w:rPr>
    </w:lvl>
  </w:abstractNum>
  <w:abstractNum w:abstractNumId="27" w15:restartNumberingAfterBreak="0">
    <w:nsid w:val="4D881466"/>
    <w:multiLevelType w:val="hybridMultilevel"/>
    <w:tmpl w:val="D87A5CCA"/>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2BF40E3"/>
    <w:multiLevelType w:val="multilevel"/>
    <w:tmpl w:val="F25C7DA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46F7B6A"/>
    <w:multiLevelType w:val="hybridMultilevel"/>
    <w:tmpl w:val="BF14F6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7B912FB"/>
    <w:multiLevelType w:val="hybridMultilevel"/>
    <w:tmpl w:val="2B28F016"/>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580210CF"/>
    <w:multiLevelType w:val="hybridMultilevel"/>
    <w:tmpl w:val="9DC2A8EA"/>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CB42CF8"/>
    <w:multiLevelType w:val="hybridMultilevel"/>
    <w:tmpl w:val="D85A6D80"/>
    <w:lvl w:ilvl="0" w:tplc="D22A31C0">
      <w:start w:val="3"/>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1094FA5"/>
    <w:multiLevelType w:val="hybridMultilevel"/>
    <w:tmpl w:val="B8CACBA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521007C"/>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5C46BDD"/>
    <w:multiLevelType w:val="hybridMultilevel"/>
    <w:tmpl w:val="2B28F016"/>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F8E299F"/>
    <w:multiLevelType w:val="hybridMultilevel"/>
    <w:tmpl w:val="FFFFFFFF"/>
    <w:lvl w:ilvl="0" w:tplc="E454EA66">
      <w:start w:val="1"/>
      <w:numFmt w:val="bullet"/>
      <w:lvlText w:val=""/>
      <w:lvlJc w:val="left"/>
      <w:pPr>
        <w:ind w:left="720" w:hanging="360"/>
      </w:pPr>
      <w:rPr>
        <w:rFonts w:ascii="Symbol" w:hAnsi="Symbol" w:hint="default"/>
      </w:rPr>
    </w:lvl>
    <w:lvl w:ilvl="1" w:tplc="D5966154">
      <w:start w:val="1"/>
      <w:numFmt w:val="bullet"/>
      <w:lvlText w:val="o"/>
      <w:lvlJc w:val="left"/>
      <w:pPr>
        <w:ind w:left="1440" w:hanging="360"/>
      </w:pPr>
      <w:rPr>
        <w:rFonts w:ascii="Courier New" w:hAnsi="Courier New" w:hint="default"/>
      </w:rPr>
    </w:lvl>
    <w:lvl w:ilvl="2" w:tplc="2F10C30E">
      <w:start w:val="1"/>
      <w:numFmt w:val="bullet"/>
      <w:lvlText w:val=""/>
      <w:lvlJc w:val="left"/>
      <w:pPr>
        <w:ind w:left="2160" w:hanging="360"/>
      </w:pPr>
      <w:rPr>
        <w:rFonts w:ascii="Wingdings" w:hAnsi="Wingdings" w:hint="default"/>
      </w:rPr>
    </w:lvl>
    <w:lvl w:ilvl="3" w:tplc="702807C4">
      <w:start w:val="1"/>
      <w:numFmt w:val="bullet"/>
      <w:lvlText w:val=""/>
      <w:lvlJc w:val="left"/>
      <w:pPr>
        <w:ind w:left="2880" w:hanging="360"/>
      </w:pPr>
      <w:rPr>
        <w:rFonts w:ascii="Symbol" w:hAnsi="Symbol" w:hint="default"/>
      </w:rPr>
    </w:lvl>
    <w:lvl w:ilvl="4" w:tplc="3B105E24">
      <w:start w:val="1"/>
      <w:numFmt w:val="bullet"/>
      <w:lvlText w:val="o"/>
      <w:lvlJc w:val="left"/>
      <w:pPr>
        <w:ind w:left="3600" w:hanging="360"/>
      </w:pPr>
      <w:rPr>
        <w:rFonts w:ascii="Courier New" w:hAnsi="Courier New" w:hint="default"/>
      </w:rPr>
    </w:lvl>
    <w:lvl w:ilvl="5" w:tplc="1DC08E9E">
      <w:start w:val="1"/>
      <w:numFmt w:val="bullet"/>
      <w:lvlText w:val=""/>
      <w:lvlJc w:val="left"/>
      <w:pPr>
        <w:ind w:left="4320" w:hanging="360"/>
      </w:pPr>
      <w:rPr>
        <w:rFonts w:ascii="Wingdings" w:hAnsi="Wingdings" w:hint="default"/>
      </w:rPr>
    </w:lvl>
    <w:lvl w:ilvl="6" w:tplc="B8C272B6">
      <w:start w:val="1"/>
      <w:numFmt w:val="bullet"/>
      <w:lvlText w:val=""/>
      <w:lvlJc w:val="left"/>
      <w:pPr>
        <w:ind w:left="5040" w:hanging="360"/>
      </w:pPr>
      <w:rPr>
        <w:rFonts w:ascii="Symbol" w:hAnsi="Symbol" w:hint="default"/>
      </w:rPr>
    </w:lvl>
    <w:lvl w:ilvl="7" w:tplc="29D08638">
      <w:start w:val="1"/>
      <w:numFmt w:val="bullet"/>
      <w:lvlText w:val="o"/>
      <w:lvlJc w:val="left"/>
      <w:pPr>
        <w:ind w:left="5760" w:hanging="360"/>
      </w:pPr>
      <w:rPr>
        <w:rFonts w:ascii="Courier New" w:hAnsi="Courier New" w:hint="default"/>
      </w:rPr>
    </w:lvl>
    <w:lvl w:ilvl="8" w:tplc="9E7CAA62">
      <w:start w:val="1"/>
      <w:numFmt w:val="bullet"/>
      <w:lvlText w:val=""/>
      <w:lvlJc w:val="left"/>
      <w:pPr>
        <w:ind w:left="6480" w:hanging="360"/>
      </w:pPr>
      <w:rPr>
        <w:rFonts w:ascii="Wingdings" w:hAnsi="Wingdings" w:hint="default"/>
      </w:rPr>
    </w:lvl>
  </w:abstractNum>
  <w:abstractNum w:abstractNumId="37" w15:restartNumberingAfterBreak="0">
    <w:nsid w:val="70EF58EA"/>
    <w:multiLevelType w:val="multilevel"/>
    <w:tmpl w:val="83340AA0"/>
    <w:lvl w:ilvl="0">
      <w:start w:val="1"/>
      <w:numFmt w:val="decimal"/>
      <w:suff w:val="space"/>
      <w:lvlText w:val="Chapter %1"/>
      <w:lvlJc w:val="left"/>
      <w:pPr>
        <w:ind w:left="360" w:firstLine="0"/>
      </w:pPr>
    </w:lvl>
    <w:lvl w:ilvl="1">
      <w:start w:val="1"/>
      <w:numFmt w:val="decimal"/>
      <w:lvlText w:val="%2."/>
      <w:lvlJc w:val="left"/>
      <w:pPr>
        <w:ind w:left="720" w:hanging="360"/>
      </w:pPr>
    </w:lvl>
    <w:lvl w:ilvl="2">
      <w:start w:val="1"/>
      <w:numFmt w:val="decimal"/>
      <w:suff w:val="nothing"/>
      <w:lvlText w:val=""/>
      <w:lvlJc w:val="left"/>
      <w:pPr>
        <w:ind w:left="360" w:firstLine="0"/>
      </w:pPr>
    </w:lvl>
    <w:lvl w:ilvl="3">
      <w:start w:val="1"/>
      <w:numFmt w:val="decimal"/>
      <w:suff w:val="nothing"/>
      <w:lvlText w:val=""/>
      <w:lvlJc w:val="left"/>
      <w:pPr>
        <w:ind w:left="360" w:firstLine="0"/>
      </w:pPr>
    </w:lvl>
    <w:lvl w:ilvl="4">
      <w:start w:val="1"/>
      <w:numFmt w:val="decimal"/>
      <w:suff w:val="nothing"/>
      <w:lvlText w:val=""/>
      <w:lvlJc w:val="left"/>
      <w:pPr>
        <w:ind w:left="360" w:firstLine="0"/>
      </w:pPr>
    </w:lvl>
    <w:lvl w:ilvl="5">
      <w:start w:val="1"/>
      <w:numFmt w:val="decimal"/>
      <w:suff w:val="nothing"/>
      <w:lvlText w:val=""/>
      <w:lvlJc w:val="left"/>
      <w:pPr>
        <w:ind w:left="360" w:firstLine="0"/>
      </w:pPr>
    </w:lvl>
    <w:lvl w:ilvl="6">
      <w:start w:val="1"/>
      <w:numFmt w:val="decimal"/>
      <w:suff w:val="nothing"/>
      <w:lvlText w:val=""/>
      <w:lvlJc w:val="left"/>
      <w:pPr>
        <w:ind w:left="360" w:firstLine="0"/>
      </w:pPr>
    </w:lvl>
    <w:lvl w:ilvl="7">
      <w:start w:val="1"/>
      <w:numFmt w:val="decimal"/>
      <w:suff w:val="nothing"/>
      <w:lvlText w:val=""/>
      <w:lvlJc w:val="left"/>
      <w:pPr>
        <w:ind w:left="360" w:firstLine="0"/>
      </w:pPr>
    </w:lvl>
    <w:lvl w:ilvl="8">
      <w:start w:val="1"/>
      <w:numFmt w:val="decimal"/>
      <w:suff w:val="nothing"/>
      <w:lvlText w:val=""/>
      <w:lvlJc w:val="left"/>
      <w:pPr>
        <w:ind w:left="360" w:firstLine="0"/>
      </w:pPr>
    </w:lvl>
  </w:abstractNum>
  <w:abstractNum w:abstractNumId="38" w15:restartNumberingAfterBreak="0">
    <w:nsid w:val="714A03E2"/>
    <w:multiLevelType w:val="hybridMultilevel"/>
    <w:tmpl w:val="62F855E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20D1CA4"/>
    <w:multiLevelType w:val="multilevel"/>
    <w:tmpl w:val="11E6244E"/>
    <w:lvl w:ilvl="0">
      <w:start w:val="2"/>
      <w:numFmt w:val="decimal"/>
      <w:lvlText w:val="%1"/>
      <w:lvlJc w:val="left"/>
      <w:pPr>
        <w:ind w:left="360" w:hanging="360"/>
      </w:pPr>
      <w:rPr>
        <w:rFonts w:hint="default"/>
        <w:b w:val="0"/>
        <w:sz w:val="24"/>
      </w:rPr>
    </w:lvl>
    <w:lvl w:ilvl="1">
      <w:start w:val="1"/>
      <w:numFmt w:val="decimal"/>
      <w:lvlText w:val="%1.%2"/>
      <w:lvlJc w:val="left"/>
      <w:pPr>
        <w:ind w:left="1152" w:hanging="360"/>
      </w:pPr>
      <w:rPr>
        <w:rFonts w:hint="default"/>
        <w:b w:val="0"/>
        <w:sz w:val="24"/>
      </w:rPr>
    </w:lvl>
    <w:lvl w:ilvl="2">
      <w:start w:val="1"/>
      <w:numFmt w:val="decimal"/>
      <w:lvlText w:val="%1.%2.%3"/>
      <w:lvlJc w:val="left"/>
      <w:pPr>
        <w:ind w:left="2304" w:hanging="720"/>
      </w:pPr>
      <w:rPr>
        <w:rFonts w:hint="default"/>
        <w:b w:val="0"/>
        <w:sz w:val="24"/>
      </w:rPr>
    </w:lvl>
    <w:lvl w:ilvl="3">
      <w:start w:val="1"/>
      <w:numFmt w:val="decimal"/>
      <w:lvlText w:val="%1.%2.%3.%4"/>
      <w:lvlJc w:val="left"/>
      <w:pPr>
        <w:ind w:left="3456" w:hanging="1080"/>
      </w:pPr>
      <w:rPr>
        <w:rFonts w:hint="default"/>
        <w:b w:val="0"/>
        <w:sz w:val="24"/>
      </w:rPr>
    </w:lvl>
    <w:lvl w:ilvl="4">
      <w:start w:val="1"/>
      <w:numFmt w:val="decimal"/>
      <w:lvlText w:val="%1.%2.%3.%4.%5"/>
      <w:lvlJc w:val="left"/>
      <w:pPr>
        <w:ind w:left="4248" w:hanging="1080"/>
      </w:pPr>
      <w:rPr>
        <w:rFonts w:hint="default"/>
        <w:b w:val="0"/>
        <w:sz w:val="24"/>
      </w:rPr>
    </w:lvl>
    <w:lvl w:ilvl="5">
      <w:start w:val="1"/>
      <w:numFmt w:val="decimal"/>
      <w:lvlText w:val="%1.%2.%3.%4.%5.%6"/>
      <w:lvlJc w:val="left"/>
      <w:pPr>
        <w:ind w:left="5400" w:hanging="1440"/>
      </w:pPr>
      <w:rPr>
        <w:rFonts w:hint="default"/>
        <w:b w:val="0"/>
        <w:sz w:val="24"/>
      </w:rPr>
    </w:lvl>
    <w:lvl w:ilvl="6">
      <w:start w:val="1"/>
      <w:numFmt w:val="decimal"/>
      <w:lvlText w:val="%1.%2.%3.%4.%5.%6.%7"/>
      <w:lvlJc w:val="left"/>
      <w:pPr>
        <w:ind w:left="6192" w:hanging="1440"/>
      </w:pPr>
      <w:rPr>
        <w:rFonts w:hint="default"/>
        <w:b w:val="0"/>
        <w:sz w:val="24"/>
      </w:rPr>
    </w:lvl>
    <w:lvl w:ilvl="7">
      <w:start w:val="1"/>
      <w:numFmt w:val="decimal"/>
      <w:lvlText w:val="%1.%2.%3.%4.%5.%6.%7.%8"/>
      <w:lvlJc w:val="left"/>
      <w:pPr>
        <w:ind w:left="7344" w:hanging="1800"/>
      </w:pPr>
      <w:rPr>
        <w:rFonts w:hint="default"/>
        <w:b w:val="0"/>
        <w:sz w:val="24"/>
      </w:rPr>
    </w:lvl>
    <w:lvl w:ilvl="8">
      <w:start w:val="1"/>
      <w:numFmt w:val="decimal"/>
      <w:lvlText w:val="%1.%2.%3.%4.%5.%6.%7.%8.%9"/>
      <w:lvlJc w:val="left"/>
      <w:pPr>
        <w:ind w:left="8496" w:hanging="2160"/>
      </w:pPr>
      <w:rPr>
        <w:rFonts w:hint="default"/>
        <w:b w:val="0"/>
        <w:sz w:val="24"/>
      </w:rPr>
    </w:lvl>
  </w:abstractNum>
  <w:abstractNum w:abstractNumId="40" w15:restartNumberingAfterBreak="0">
    <w:nsid w:val="7697A0EA"/>
    <w:multiLevelType w:val="hybridMultilevel"/>
    <w:tmpl w:val="FFFFFFFF"/>
    <w:lvl w:ilvl="0" w:tplc="EAB6DCFA">
      <w:start w:val="1"/>
      <w:numFmt w:val="bullet"/>
      <w:lvlText w:val="·"/>
      <w:lvlJc w:val="left"/>
      <w:pPr>
        <w:ind w:left="720" w:hanging="360"/>
      </w:pPr>
      <w:rPr>
        <w:rFonts w:ascii="Symbol" w:hAnsi="Symbol" w:hint="default"/>
      </w:rPr>
    </w:lvl>
    <w:lvl w:ilvl="1" w:tplc="0922DF86">
      <w:start w:val="1"/>
      <w:numFmt w:val="bullet"/>
      <w:lvlText w:val="o"/>
      <w:lvlJc w:val="left"/>
      <w:pPr>
        <w:ind w:left="1440" w:hanging="360"/>
      </w:pPr>
      <w:rPr>
        <w:rFonts w:ascii="Courier New" w:hAnsi="Courier New" w:hint="default"/>
      </w:rPr>
    </w:lvl>
    <w:lvl w:ilvl="2" w:tplc="BB903638">
      <w:start w:val="1"/>
      <w:numFmt w:val="bullet"/>
      <w:lvlText w:val=""/>
      <w:lvlJc w:val="left"/>
      <w:pPr>
        <w:ind w:left="2160" w:hanging="360"/>
      </w:pPr>
      <w:rPr>
        <w:rFonts w:ascii="Wingdings" w:hAnsi="Wingdings" w:hint="default"/>
      </w:rPr>
    </w:lvl>
    <w:lvl w:ilvl="3" w:tplc="4B38F94C">
      <w:start w:val="1"/>
      <w:numFmt w:val="bullet"/>
      <w:lvlText w:val=""/>
      <w:lvlJc w:val="left"/>
      <w:pPr>
        <w:ind w:left="2880" w:hanging="360"/>
      </w:pPr>
      <w:rPr>
        <w:rFonts w:ascii="Symbol" w:hAnsi="Symbol" w:hint="default"/>
      </w:rPr>
    </w:lvl>
    <w:lvl w:ilvl="4" w:tplc="A4A6FF52">
      <w:start w:val="1"/>
      <w:numFmt w:val="bullet"/>
      <w:lvlText w:val="o"/>
      <w:lvlJc w:val="left"/>
      <w:pPr>
        <w:ind w:left="3600" w:hanging="360"/>
      </w:pPr>
      <w:rPr>
        <w:rFonts w:ascii="Courier New" w:hAnsi="Courier New" w:hint="default"/>
      </w:rPr>
    </w:lvl>
    <w:lvl w:ilvl="5" w:tplc="AB184A52">
      <w:start w:val="1"/>
      <w:numFmt w:val="bullet"/>
      <w:lvlText w:val=""/>
      <w:lvlJc w:val="left"/>
      <w:pPr>
        <w:ind w:left="4320" w:hanging="360"/>
      </w:pPr>
      <w:rPr>
        <w:rFonts w:ascii="Wingdings" w:hAnsi="Wingdings" w:hint="default"/>
      </w:rPr>
    </w:lvl>
    <w:lvl w:ilvl="6" w:tplc="94282E24">
      <w:start w:val="1"/>
      <w:numFmt w:val="bullet"/>
      <w:lvlText w:val=""/>
      <w:lvlJc w:val="left"/>
      <w:pPr>
        <w:ind w:left="5040" w:hanging="360"/>
      </w:pPr>
      <w:rPr>
        <w:rFonts w:ascii="Symbol" w:hAnsi="Symbol" w:hint="default"/>
      </w:rPr>
    </w:lvl>
    <w:lvl w:ilvl="7" w:tplc="9C60AAF4">
      <w:start w:val="1"/>
      <w:numFmt w:val="bullet"/>
      <w:lvlText w:val="o"/>
      <w:lvlJc w:val="left"/>
      <w:pPr>
        <w:ind w:left="5760" w:hanging="360"/>
      </w:pPr>
      <w:rPr>
        <w:rFonts w:ascii="Courier New" w:hAnsi="Courier New" w:hint="default"/>
      </w:rPr>
    </w:lvl>
    <w:lvl w:ilvl="8" w:tplc="D49A99F4">
      <w:start w:val="1"/>
      <w:numFmt w:val="bullet"/>
      <w:lvlText w:val=""/>
      <w:lvlJc w:val="left"/>
      <w:pPr>
        <w:ind w:left="6480" w:hanging="360"/>
      </w:pPr>
      <w:rPr>
        <w:rFonts w:ascii="Wingdings" w:hAnsi="Wingdings" w:hint="default"/>
      </w:rPr>
    </w:lvl>
  </w:abstractNum>
  <w:abstractNum w:abstractNumId="41" w15:restartNumberingAfterBreak="0">
    <w:nsid w:val="7A7768BC"/>
    <w:multiLevelType w:val="hybridMultilevel"/>
    <w:tmpl w:val="A67A47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E767DF"/>
    <w:multiLevelType w:val="hybridMultilevel"/>
    <w:tmpl w:val="F5042ED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E031276"/>
    <w:multiLevelType w:val="hybridMultilevel"/>
    <w:tmpl w:val="E58E0A66"/>
    <w:lvl w:ilvl="0" w:tplc="2F7C0136">
      <w:start w:val="1"/>
      <w:numFmt w:val="bullet"/>
      <w:lvlText w:val=""/>
      <w:lvlJc w:val="left"/>
      <w:pPr>
        <w:ind w:left="720" w:hanging="360"/>
      </w:pPr>
      <w:rPr>
        <w:rFonts w:ascii="Symbol" w:hAnsi="Symbol"/>
      </w:rPr>
    </w:lvl>
    <w:lvl w:ilvl="1" w:tplc="EBD25A98">
      <w:start w:val="1"/>
      <w:numFmt w:val="bullet"/>
      <w:lvlText w:val=""/>
      <w:lvlJc w:val="left"/>
      <w:pPr>
        <w:ind w:left="720" w:hanging="360"/>
      </w:pPr>
      <w:rPr>
        <w:rFonts w:ascii="Symbol" w:hAnsi="Symbol"/>
      </w:rPr>
    </w:lvl>
    <w:lvl w:ilvl="2" w:tplc="CE8C7D76">
      <w:start w:val="1"/>
      <w:numFmt w:val="bullet"/>
      <w:lvlText w:val=""/>
      <w:lvlJc w:val="left"/>
      <w:pPr>
        <w:ind w:left="720" w:hanging="360"/>
      </w:pPr>
      <w:rPr>
        <w:rFonts w:ascii="Symbol" w:hAnsi="Symbol"/>
      </w:rPr>
    </w:lvl>
    <w:lvl w:ilvl="3" w:tplc="9288184E">
      <w:start w:val="1"/>
      <w:numFmt w:val="bullet"/>
      <w:lvlText w:val=""/>
      <w:lvlJc w:val="left"/>
      <w:pPr>
        <w:ind w:left="720" w:hanging="360"/>
      </w:pPr>
      <w:rPr>
        <w:rFonts w:ascii="Symbol" w:hAnsi="Symbol"/>
      </w:rPr>
    </w:lvl>
    <w:lvl w:ilvl="4" w:tplc="A68837AA">
      <w:start w:val="1"/>
      <w:numFmt w:val="bullet"/>
      <w:lvlText w:val=""/>
      <w:lvlJc w:val="left"/>
      <w:pPr>
        <w:ind w:left="720" w:hanging="360"/>
      </w:pPr>
      <w:rPr>
        <w:rFonts w:ascii="Symbol" w:hAnsi="Symbol"/>
      </w:rPr>
    </w:lvl>
    <w:lvl w:ilvl="5" w:tplc="EEA25E14">
      <w:start w:val="1"/>
      <w:numFmt w:val="bullet"/>
      <w:lvlText w:val=""/>
      <w:lvlJc w:val="left"/>
      <w:pPr>
        <w:ind w:left="720" w:hanging="360"/>
      </w:pPr>
      <w:rPr>
        <w:rFonts w:ascii="Symbol" w:hAnsi="Symbol"/>
      </w:rPr>
    </w:lvl>
    <w:lvl w:ilvl="6" w:tplc="B6EE64A8">
      <w:start w:val="1"/>
      <w:numFmt w:val="bullet"/>
      <w:lvlText w:val=""/>
      <w:lvlJc w:val="left"/>
      <w:pPr>
        <w:ind w:left="720" w:hanging="360"/>
      </w:pPr>
      <w:rPr>
        <w:rFonts w:ascii="Symbol" w:hAnsi="Symbol"/>
      </w:rPr>
    </w:lvl>
    <w:lvl w:ilvl="7" w:tplc="0F7093E4">
      <w:start w:val="1"/>
      <w:numFmt w:val="bullet"/>
      <w:lvlText w:val=""/>
      <w:lvlJc w:val="left"/>
      <w:pPr>
        <w:ind w:left="720" w:hanging="360"/>
      </w:pPr>
      <w:rPr>
        <w:rFonts w:ascii="Symbol" w:hAnsi="Symbol"/>
      </w:rPr>
    </w:lvl>
    <w:lvl w:ilvl="8" w:tplc="21BC859A">
      <w:start w:val="1"/>
      <w:numFmt w:val="bullet"/>
      <w:lvlText w:val=""/>
      <w:lvlJc w:val="left"/>
      <w:pPr>
        <w:ind w:left="720" w:hanging="360"/>
      </w:pPr>
      <w:rPr>
        <w:rFonts w:ascii="Symbol" w:hAnsi="Symbol"/>
      </w:rPr>
    </w:lvl>
  </w:abstractNum>
  <w:num w:numId="1">
    <w:abstractNumId w:val="37"/>
  </w:num>
  <w:num w:numId="2">
    <w:abstractNumId w:val="16"/>
  </w:num>
  <w:num w:numId="3">
    <w:abstractNumId w:val="40"/>
  </w:num>
  <w:num w:numId="4">
    <w:abstractNumId w:val="17"/>
  </w:num>
  <w:num w:numId="5">
    <w:abstractNumId w:val="36"/>
  </w:num>
  <w:num w:numId="6">
    <w:abstractNumId w:val="34"/>
  </w:num>
  <w:num w:numId="7">
    <w:abstractNumId w:val="24"/>
  </w:num>
  <w:num w:numId="8">
    <w:abstractNumId w:val="38"/>
  </w:num>
  <w:num w:numId="9">
    <w:abstractNumId w:val="9"/>
  </w:num>
  <w:num w:numId="10">
    <w:abstractNumId w:val="20"/>
  </w:num>
  <w:num w:numId="11">
    <w:abstractNumId w:val="12"/>
  </w:num>
  <w:num w:numId="12">
    <w:abstractNumId w:val="39"/>
  </w:num>
  <w:num w:numId="13">
    <w:abstractNumId w:val="11"/>
  </w:num>
  <w:num w:numId="14">
    <w:abstractNumId w:val="14"/>
  </w:num>
  <w:num w:numId="15">
    <w:abstractNumId w:val="28"/>
  </w:num>
  <w:num w:numId="16">
    <w:abstractNumId w:val="22"/>
  </w:num>
  <w:num w:numId="17">
    <w:abstractNumId w:val="4"/>
  </w:num>
  <w:num w:numId="18">
    <w:abstractNumId w:val="23"/>
  </w:num>
  <w:num w:numId="19">
    <w:abstractNumId w:val="27"/>
  </w:num>
  <w:num w:numId="20">
    <w:abstractNumId w:val="8"/>
  </w:num>
  <w:num w:numId="21">
    <w:abstractNumId w:val="19"/>
  </w:num>
  <w:num w:numId="22">
    <w:abstractNumId w:val="21"/>
  </w:num>
  <w:num w:numId="23">
    <w:abstractNumId w:val="3"/>
  </w:num>
  <w:num w:numId="24">
    <w:abstractNumId w:val="32"/>
  </w:num>
  <w:num w:numId="25">
    <w:abstractNumId w:val="26"/>
  </w:num>
  <w:num w:numId="26">
    <w:abstractNumId w:val="0"/>
  </w:num>
  <w:num w:numId="27">
    <w:abstractNumId w:val="33"/>
  </w:num>
  <w:num w:numId="28">
    <w:abstractNumId w:val="30"/>
  </w:num>
  <w:num w:numId="29">
    <w:abstractNumId w:val="42"/>
  </w:num>
  <w:num w:numId="30">
    <w:abstractNumId w:val="5"/>
  </w:num>
  <w:num w:numId="31">
    <w:abstractNumId w:val="25"/>
  </w:num>
  <w:num w:numId="32">
    <w:abstractNumId w:val="10"/>
  </w:num>
  <w:num w:numId="33">
    <w:abstractNumId w:val="29"/>
  </w:num>
  <w:num w:numId="34">
    <w:abstractNumId w:val="31"/>
  </w:num>
  <w:num w:numId="35">
    <w:abstractNumId w:val="25"/>
  </w:num>
  <w:num w:numId="36">
    <w:abstractNumId w:val="1"/>
  </w:num>
  <w:num w:numId="37">
    <w:abstractNumId w:val="43"/>
  </w:num>
  <w:num w:numId="38">
    <w:abstractNumId w:val="7"/>
  </w:num>
  <w:num w:numId="39">
    <w:abstractNumId w:val="35"/>
  </w:num>
  <w:num w:numId="40">
    <w:abstractNumId w:val="13"/>
  </w:num>
  <w:num w:numId="41">
    <w:abstractNumId w:val="6"/>
  </w:num>
  <w:num w:numId="42">
    <w:abstractNumId w:val="41"/>
  </w:num>
  <w:num w:numId="43">
    <w:abstractNumId w:val="2"/>
  </w:num>
  <w:num w:numId="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59B3D827-E685-4493-A4A7-3F8DEF0BE4F7"/>
    <w:docVar w:name="LW_COVERPAGE_TYPE" w:val="1"/>
    <w:docVar w:name="LW_CROSSREFERENCE" w:val="&lt;UNUSED&gt;"/>
    <w:docVar w:name="LW_DocType" w:val="NORMAL"/>
    <w:docVar w:name="LW_EMISSION" w:val="6.5.2025"/>
    <w:docVar w:name="LW_EMISSION_ISODATE" w:val="2025-05-06"/>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44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Calibri&gt;Feuille de route en vue de mettre un terme aux importations d\u8217?énergie russe&lt;/FMT&gt;"/>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A24A44"/>
    <w:rsid w:val="000000A7"/>
    <w:rsid w:val="000001A8"/>
    <w:rsid w:val="0000023C"/>
    <w:rsid w:val="000002AD"/>
    <w:rsid w:val="00000326"/>
    <w:rsid w:val="000004A7"/>
    <w:rsid w:val="000004FF"/>
    <w:rsid w:val="0000056A"/>
    <w:rsid w:val="0000060F"/>
    <w:rsid w:val="0000081D"/>
    <w:rsid w:val="00000954"/>
    <w:rsid w:val="000009CB"/>
    <w:rsid w:val="00000C3B"/>
    <w:rsid w:val="00000D40"/>
    <w:rsid w:val="000010B9"/>
    <w:rsid w:val="00001217"/>
    <w:rsid w:val="0000122C"/>
    <w:rsid w:val="000012BC"/>
    <w:rsid w:val="000014BF"/>
    <w:rsid w:val="0000167D"/>
    <w:rsid w:val="00001951"/>
    <w:rsid w:val="0000198B"/>
    <w:rsid w:val="00001A82"/>
    <w:rsid w:val="00001B5C"/>
    <w:rsid w:val="00001D08"/>
    <w:rsid w:val="00001D6E"/>
    <w:rsid w:val="00002123"/>
    <w:rsid w:val="0000214E"/>
    <w:rsid w:val="000026CA"/>
    <w:rsid w:val="00002728"/>
    <w:rsid w:val="000027C7"/>
    <w:rsid w:val="00002904"/>
    <w:rsid w:val="00002D60"/>
    <w:rsid w:val="00002E90"/>
    <w:rsid w:val="00002F02"/>
    <w:rsid w:val="000030A3"/>
    <w:rsid w:val="00003243"/>
    <w:rsid w:val="00003326"/>
    <w:rsid w:val="000033A4"/>
    <w:rsid w:val="0000358F"/>
    <w:rsid w:val="0000360D"/>
    <w:rsid w:val="000036C3"/>
    <w:rsid w:val="00003719"/>
    <w:rsid w:val="00003955"/>
    <w:rsid w:val="00003A68"/>
    <w:rsid w:val="00003DB1"/>
    <w:rsid w:val="00003F43"/>
    <w:rsid w:val="00003FED"/>
    <w:rsid w:val="0000405F"/>
    <w:rsid w:val="000042E0"/>
    <w:rsid w:val="000043AA"/>
    <w:rsid w:val="000046C1"/>
    <w:rsid w:val="000048CA"/>
    <w:rsid w:val="00004A0C"/>
    <w:rsid w:val="00004D81"/>
    <w:rsid w:val="00004EB1"/>
    <w:rsid w:val="00004F82"/>
    <w:rsid w:val="00005031"/>
    <w:rsid w:val="0000510F"/>
    <w:rsid w:val="000052EF"/>
    <w:rsid w:val="00005392"/>
    <w:rsid w:val="00005663"/>
    <w:rsid w:val="0000577B"/>
    <w:rsid w:val="00005838"/>
    <w:rsid w:val="00005C3C"/>
    <w:rsid w:val="00005D40"/>
    <w:rsid w:val="00005D91"/>
    <w:rsid w:val="00005E48"/>
    <w:rsid w:val="00005E86"/>
    <w:rsid w:val="00006000"/>
    <w:rsid w:val="00006127"/>
    <w:rsid w:val="00006129"/>
    <w:rsid w:val="00006539"/>
    <w:rsid w:val="00006769"/>
    <w:rsid w:val="000067A2"/>
    <w:rsid w:val="00006A55"/>
    <w:rsid w:val="00006DC1"/>
    <w:rsid w:val="00006E25"/>
    <w:rsid w:val="00006FEE"/>
    <w:rsid w:val="0000710C"/>
    <w:rsid w:val="00007186"/>
    <w:rsid w:val="00007930"/>
    <w:rsid w:val="0000795B"/>
    <w:rsid w:val="00007A2C"/>
    <w:rsid w:val="00007DBA"/>
    <w:rsid w:val="00007EAC"/>
    <w:rsid w:val="000106FC"/>
    <w:rsid w:val="00010875"/>
    <w:rsid w:val="00010CFE"/>
    <w:rsid w:val="00010D3D"/>
    <w:rsid w:val="00010DA9"/>
    <w:rsid w:val="00010F65"/>
    <w:rsid w:val="000110EB"/>
    <w:rsid w:val="000112AA"/>
    <w:rsid w:val="00011768"/>
    <w:rsid w:val="000117DA"/>
    <w:rsid w:val="0001184F"/>
    <w:rsid w:val="0001188E"/>
    <w:rsid w:val="00011B07"/>
    <w:rsid w:val="00011D06"/>
    <w:rsid w:val="00011D19"/>
    <w:rsid w:val="00011F0C"/>
    <w:rsid w:val="0001200B"/>
    <w:rsid w:val="00012355"/>
    <w:rsid w:val="00012373"/>
    <w:rsid w:val="000126F0"/>
    <w:rsid w:val="0001278C"/>
    <w:rsid w:val="00012795"/>
    <w:rsid w:val="00012807"/>
    <w:rsid w:val="000128F2"/>
    <w:rsid w:val="000129EC"/>
    <w:rsid w:val="00012A5A"/>
    <w:rsid w:val="00012C69"/>
    <w:rsid w:val="00012C79"/>
    <w:rsid w:val="00012CF3"/>
    <w:rsid w:val="00012D5F"/>
    <w:rsid w:val="00012E98"/>
    <w:rsid w:val="00013041"/>
    <w:rsid w:val="00013063"/>
    <w:rsid w:val="000130AF"/>
    <w:rsid w:val="00013180"/>
    <w:rsid w:val="000133A6"/>
    <w:rsid w:val="0001378B"/>
    <w:rsid w:val="000137CE"/>
    <w:rsid w:val="000138F8"/>
    <w:rsid w:val="00013A40"/>
    <w:rsid w:val="00013AAC"/>
    <w:rsid w:val="00013B4E"/>
    <w:rsid w:val="00013E92"/>
    <w:rsid w:val="00013EBE"/>
    <w:rsid w:val="00013F51"/>
    <w:rsid w:val="000141AD"/>
    <w:rsid w:val="00014214"/>
    <w:rsid w:val="00014510"/>
    <w:rsid w:val="00014644"/>
    <w:rsid w:val="0001485E"/>
    <w:rsid w:val="000148DB"/>
    <w:rsid w:val="0001496B"/>
    <w:rsid w:val="00015355"/>
    <w:rsid w:val="00015504"/>
    <w:rsid w:val="00015723"/>
    <w:rsid w:val="0001582A"/>
    <w:rsid w:val="00015942"/>
    <w:rsid w:val="00015A2C"/>
    <w:rsid w:val="00015AF2"/>
    <w:rsid w:val="00015BEC"/>
    <w:rsid w:val="00015C12"/>
    <w:rsid w:val="00015FCD"/>
    <w:rsid w:val="00015FEF"/>
    <w:rsid w:val="000160DA"/>
    <w:rsid w:val="000163B6"/>
    <w:rsid w:val="0001643F"/>
    <w:rsid w:val="00016626"/>
    <w:rsid w:val="0001672A"/>
    <w:rsid w:val="00016761"/>
    <w:rsid w:val="00016883"/>
    <w:rsid w:val="000168C4"/>
    <w:rsid w:val="00016958"/>
    <w:rsid w:val="00016A57"/>
    <w:rsid w:val="00016BBC"/>
    <w:rsid w:val="00016D7B"/>
    <w:rsid w:val="00016EFC"/>
    <w:rsid w:val="00016F1B"/>
    <w:rsid w:val="0001709E"/>
    <w:rsid w:val="000170D2"/>
    <w:rsid w:val="000171AF"/>
    <w:rsid w:val="000171D8"/>
    <w:rsid w:val="000172F5"/>
    <w:rsid w:val="000174B2"/>
    <w:rsid w:val="000174D6"/>
    <w:rsid w:val="000176AD"/>
    <w:rsid w:val="00017736"/>
    <w:rsid w:val="000178C2"/>
    <w:rsid w:val="00017B47"/>
    <w:rsid w:val="00017C3B"/>
    <w:rsid w:val="00017E51"/>
    <w:rsid w:val="000203F2"/>
    <w:rsid w:val="0002060C"/>
    <w:rsid w:val="000208B4"/>
    <w:rsid w:val="0002091D"/>
    <w:rsid w:val="00020CAD"/>
    <w:rsid w:val="00020E2A"/>
    <w:rsid w:val="00021065"/>
    <w:rsid w:val="0002149E"/>
    <w:rsid w:val="0002153C"/>
    <w:rsid w:val="00021557"/>
    <w:rsid w:val="0002178A"/>
    <w:rsid w:val="000218DA"/>
    <w:rsid w:val="00021C88"/>
    <w:rsid w:val="00021D60"/>
    <w:rsid w:val="00022311"/>
    <w:rsid w:val="0002232B"/>
    <w:rsid w:val="00022635"/>
    <w:rsid w:val="000227D0"/>
    <w:rsid w:val="000228CC"/>
    <w:rsid w:val="00022926"/>
    <w:rsid w:val="00022A83"/>
    <w:rsid w:val="00022AA4"/>
    <w:rsid w:val="00022AE7"/>
    <w:rsid w:val="00022B3A"/>
    <w:rsid w:val="00022B94"/>
    <w:rsid w:val="00022C6B"/>
    <w:rsid w:val="00022F6F"/>
    <w:rsid w:val="00022FD5"/>
    <w:rsid w:val="00023136"/>
    <w:rsid w:val="000232A1"/>
    <w:rsid w:val="000232C4"/>
    <w:rsid w:val="00023370"/>
    <w:rsid w:val="0002353D"/>
    <w:rsid w:val="00023639"/>
    <w:rsid w:val="0002384A"/>
    <w:rsid w:val="00023875"/>
    <w:rsid w:val="000238B7"/>
    <w:rsid w:val="00023B65"/>
    <w:rsid w:val="00023E61"/>
    <w:rsid w:val="00023E7C"/>
    <w:rsid w:val="000241AD"/>
    <w:rsid w:val="00024203"/>
    <w:rsid w:val="00024423"/>
    <w:rsid w:val="00024492"/>
    <w:rsid w:val="0002455F"/>
    <w:rsid w:val="00024631"/>
    <w:rsid w:val="000246A5"/>
    <w:rsid w:val="000246AA"/>
    <w:rsid w:val="000246CF"/>
    <w:rsid w:val="000246D7"/>
    <w:rsid w:val="00024D26"/>
    <w:rsid w:val="00024D7D"/>
    <w:rsid w:val="00024F4C"/>
    <w:rsid w:val="00024F57"/>
    <w:rsid w:val="00024FCF"/>
    <w:rsid w:val="000250AB"/>
    <w:rsid w:val="000250B5"/>
    <w:rsid w:val="000253DC"/>
    <w:rsid w:val="00025444"/>
    <w:rsid w:val="000258CB"/>
    <w:rsid w:val="00025AEA"/>
    <w:rsid w:val="00025D10"/>
    <w:rsid w:val="00025D6C"/>
    <w:rsid w:val="00025DB4"/>
    <w:rsid w:val="00026037"/>
    <w:rsid w:val="000261C2"/>
    <w:rsid w:val="00026320"/>
    <w:rsid w:val="00026505"/>
    <w:rsid w:val="0002667D"/>
    <w:rsid w:val="0002667F"/>
    <w:rsid w:val="000266C8"/>
    <w:rsid w:val="00026716"/>
    <w:rsid w:val="00026868"/>
    <w:rsid w:val="00026B8F"/>
    <w:rsid w:val="00026C12"/>
    <w:rsid w:val="00026C80"/>
    <w:rsid w:val="00026CD1"/>
    <w:rsid w:val="00026D42"/>
    <w:rsid w:val="00026E41"/>
    <w:rsid w:val="000270BC"/>
    <w:rsid w:val="000270CE"/>
    <w:rsid w:val="000271DA"/>
    <w:rsid w:val="00027364"/>
    <w:rsid w:val="00027412"/>
    <w:rsid w:val="00027459"/>
    <w:rsid w:val="000276DE"/>
    <w:rsid w:val="0002782A"/>
    <w:rsid w:val="0002792D"/>
    <w:rsid w:val="00027A8C"/>
    <w:rsid w:val="00027AB1"/>
    <w:rsid w:val="00027B4B"/>
    <w:rsid w:val="00027DB8"/>
    <w:rsid w:val="00027EFD"/>
    <w:rsid w:val="00027F99"/>
    <w:rsid w:val="000300E9"/>
    <w:rsid w:val="00030101"/>
    <w:rsid w:val="00030346"/>
    <w:rsid w:val="0003036E"/>
    <w:rsid w:val="00030648"/>
    <w:rsid w:val="000306B6"/>
    <w:rsid w:val="0003086B"/>
    <w:rsid w:val="0003090A"/>
    <w:rsid w:val="00030B39"/>
    <w:rsid w:val="00030D22"/>
    <w:rsid w:val="00030EE4"/>
    <w:rsid w:val="00030F0F"/>
    <w:rsid w:val="000311DC"/>
    <w:rsid w:val="000312FD"/>
    <w:rsid w:val="000314A5"/>
    <w:rsid w:val="000315CB"/>
    <w:rsid w:val="00031654"/>
    <w:rsid w:val="00031689"/>
    <w:rsid w:val="000318A0"/>
    <w:rsid w:val="00031B3C"/>
    <w:rsid w:val="00031C93"/>
    <w:rsid w:val="000320D3"/>
    <w:rsid w:val="0003226E"/>
    <w:rsid w:val="0003230C"/>
    <w:rsid w:val="000325CB"/>
    <w:rsid w:val="00032742"/>
    <w:rsid w:val="00032AE6"/>
    <w:rsid w:val="00032C51"/>
    <w:rsid w:val="00032EE8"/>
    <w:rsid w:val="00033208"/>
    <w:rsid w:val="0003335F"/>
    <w:rsid w:val="0003364C"/>
    <w:rsid w:val="00033674"/>
    <w:rsid w:val="00033854"/>
    <w:rsid w:val="00033976"/>
    <w:rsid w:val="000339E5"/>
    <w:rsid w:val="00033AA2"/>
    <w:rsid w:val="00033ADD"/>
    <w:rsid w:val="00033B3E"/>
    <w:rsid w:val="00033B87"/>
    <w:rsid w:val="00033C03"/>
    <w:rsid w:val="00033CE9"/>
    <w:rsid w:val="00033E7E"/>
    <w:rsid w:val="00033FEF"/>
    <w:rsid w:val="00034099"/>
    <w:rsid w:val="00034178"/>
    <w:rsid w:val="000341B2"/>
    <w:rsid w:val="0003459C"/>
    <w:rsid w:val="0003461A"/>
    <w:rsid w:val="00034633"/>
    <w:rsid w:val="0003464A"/>
    <w:rsid w:val="00034682"/>
    <w:rsid w:val="000346FC"/>
    <w:rsid w:val="00034BCA"/>
    <w:rsid w:val="00034CD9"/>
    <w:rsid w:val="00034D7E"/>
    <w:rsid w:val="00034F1D"/>
    <w:rsid w:val="00034FCD"/>
    <w:rsid w:val="00034FDA"/>
    <w:rsid w:val="00035091"/>
    <w:rsid w:val="00035258"/>
    <w:rsid w:val="00035373"/>
    <w:rsid w:val="00035427"/>
    <w:rsid w:val="0003542D"/>
    <w:rsid w:val="0003575D"/>
    <w:rsid w:val="00035874"/>
    <w:rsid w:val="0003591D"/>
    <w:rsid w:val="00035A06"/>
    <w:rsid w:val="00035A5C"/>
    <w:rsid w:val="00035BDE"/>
    <w:rsid w:val="00035BE1"/>
    <w:rsid w:val="00035E1F"/>
    <w:rsid w:val="00035E37"/>
    <w:rsid w:val="00035EEE"/>
    <w:rsid w:val="00036147"/>
    <w:rsid w:val="000361F7"/>
    <w:rsid w:val="0003668F"/>
    <w:rsid w:val="00036822"/>
    <w:rsid w:val="000368B7"/>
    <w:rsid w:val="00036B5F"/>
    <w:rsid w:val="00036D47"/>
    <w:rsid w:val="00036D73"/>
    <w:rsid w:val="00036FDA"/>
    <w:rsid w:val="000370A3"/>
    <w:rsid w:val="000372AE"/>
    <w:rsid w:val="000372F4"/>
    <w:rsid w:val="0003732E"/>
    <w:rsid w:val="000376C2"/>
    <w:rsid w:val="000378AC"/>
    <w:rsid w:val="00037A45"/>
    <w:rsid w:val="00037C8A"/>
    <w:rsid w:val="00037D07"/>
    <w:rsid w:val="00037E82"/>
    <w:rsid w:val="000401F7"/>
    <w:rsid w:val="00040207"/>
    <w:rsid w:val="00040558"/>
    <w:rsid w:val="00040737"/>
    <w:rsid w:val="0004089D"/>
    <w:rsid w:val="00040C07"/>
    <w:rsid w:val="00040D76"/>
    <w:rsid w:val="00040F95"/>
    <w:rsid w:val="00041088"/>
    <w:rsid w:val="000410E8"/>
    <w:rsid w:val="0004122A"/>
    <w:rsid w:val="000413B5"/>
    <w:rsid w:val="000414C3"/>
    <w:rsid w:val="000414C7"/>
    <w:rsid w:val="000414F4"/>
    <w:rsid w:val="000415A0"/>
    <w:rsid w:val="000415EE"/>
    <w:rsid w:val="00041613"/>
    <w:rsid w:val="0004167D"/>
    <w:rsid w:val="000417AA"/>
    <w:rsid w:val="0004190C"/>
    <w:rsid w:val="00041B51"/>
    <w:rsid w:val="00041C07"/>
    <w:rsid w:val="00041D49"/>
    <w:rsid w:val="00041EF9"/>
    <w:rsid w:val="000421C8"/>
    <w:rsid w:val="000423DA"/>
    <w:rsid w:val="00042443"/>
    <w:rsid w:val="00042695"/>
    <w:rsid w:val="0004277C"/>
    <w:rsid w:val="00042904"/>
    <w:rsid w:val="000429AF"/>
    <w:rsid w:val="00042ABB"/>
    <w:rsid w:val="0004320D"/>
    <w:rsid w:val="000432A5"/>
    <w:rsid w:val="00043496"/>
    <w:rsid w:val="0004354A"/>
    <w:rsid w:val="000437A7"/>
    <w:rsid w:val="00043904"/>
    <w:rsid w:val="000439FF"/>
    <w:rsid w:val="00043B39"/>
    <w:rsid w:val="00043BDC"/>
    <w:rsid w:val="00043C0E"/>
    <w:rsid w:val="000441B3"/>
    <w:rsid w:val="0004426E"/>
    <w:rsid w:val="000442A3"/>
    <w:rsid w:val="00044335"/>
    <w:rsid w:val="00044727"/>
    <w:rsid w:val="00044739"/>
    <w:rsid w:val="00044771"/>
    <w:rsid w:val="00044B5E"/>
    <w:rsid w:val="00044B8F"/>
    <w:rsid w:val="00044BBB"/>
    <w:rsid w:val="00044C08"/>
    <w:rsid w:val="00044F17"/>
    <w:rsid w:val="00044FD3"/>
    <w:rsid w:val="000451A2"/>
    <w:rsid w:val="00045373"/>
    <w:rsid w:val="000453E8"/>
    <w:rsid w:val="00045486"/>
    <w:rsid w:val="00045538"/>
    <w:rsid w:val="0004553F"/>
    <w:rsid w:val="0004557D"/>
    <w:rsid w:val="00045677"/>
    <w:rsid w:val="000458B6"/>
    <w:rsid w:val="00045935"/>
    <w:rsid w:val="000459F5"/>
    <w:rsid w:val="00045EEE"/>
    <w:rsid w:val="000460A9"/>
    <w:rsid w:val="0004637F"/>
    <w:rsid w:val="000463FC"/>
    <w:rsid w:val="00046440"/>
    <w:rsid w:val="000465E1"/>
    <w:rsid w:val="0004664D"/>
    <w:rsid w:val="000466F3"/>
    <w:rsid w:val="00046725"/>
    <w:rsid w:val="00046A49"/>
    <w:rsid w:val="00046AD1"/>
    <w:rsid w:val="00046DAD"/>
    <w:rsid w:val="00046EC9"/>
    <w:rsid w:val="00046F00"/>
    <w:rsid w:val="000472A0"/>
    <w:rsid w:val="0004732F"/>
    <w:rsid w:val="000473F5"/>
    <w:rsid w:val="000474B1"/>
    <w:rsid w:val="000475D6"/>
    <w:rsid w:val="00047685"/>
    <w:rsid w:val="000476E6"/>
    <w:rsid w:val="0004772A"/>
    <w:rsid w:val="000479E5"/>
    <w:rsid w:val="00047B6A"/>
    <w:rsid w:val="00047BD6"/>
    <w:rsid w:val="00047BFB"/>
    <w:rsid w:val="00047D3E"/>
    <w:rsid w:val="00047E70"/>
    <w:rsid w:val="0005015A"/>
    <w:rsid w:val="0005039D"/>
    <w:rsid w:val="000503E3"/>
    <w:rsid w:val="000504CE"/>
    <w:rsid w:val="00050510"/>
    <w:rsid w:val="000505A2"/>
    <w:rsid w:val="00050648"/>
    <w:rsid w:val="0005067D"/>
    <w:rsid w:val="00050971"/>
    <w:rsid w:val="00050986"/>
    <w:rsid w:val="0005098A"/>
    <w:rsid w:val="000509F7"/>
    <w:rsid w:val="00050A8E"/>
    <w:rsid w:val="00050C30"/>
    <w:rsid w:val="00050D06"/>
    <w:rsid w:val="00050DD9"/>
    <w:rsid w:val="00050E01"/>
    <w:rsid w:val="00050E60"/>
    <w:rsid w:val="00051018"/>
    <w:rsid w:val="0005123F"/>
    <w:rsid w:val="000512FC"/>
    <w:rsid w:val="000513D6"/>
    <w:rsid w:val="00051701"/>
    <w:rsid w:val="00051AB5"/>
    <w:rsid w:val="00051AF1"/>
    <w:rsid w:val="00051AF5"/>
    <w:rsid w:val="00051AFF"/>
    <w:rsid w:val="00051C56"/>
    <w:rsid w:val="00051DEB"/>
    <w:rsid w:val="00051E82"/>
    <w:rsid w:val="00051FE8"/>
    <w:rsid w:val="000520CE"/>
    <w:rsid w:val="0005239F"/>
    <w:rsid w:val="00052539"/>
    <w:rsid w:val="00052596"/>
    <w:rsid w:val="0005272D"/>
    <w:rsid w:val="000527DC"/>
    <w:rsid w:val="00052823"/>
    <w:rsid w:val="0005291B"/>
    <w:rsid w:val="00052933"/>
    <w:rsid w:val="000529C2"/>
    <w:rsid w:val="00052B38"/>
    <w:rsid w:val="00052C31"/>
    <w:rsid w:val="00052C46"/>
    <w:rsid w:val="00052C99"/>
    <w:rsid w:val="00052E0A"/>
    <w:rsid w:val="000530D8"/>
    <w:rsid w:val="00053547"/>
    <w:rsid w:val="0005367C"/>
    <w:rsid w:val="00053828"/>
    <w:rsid w:val="00053A9D"/>
    <w:rsid w:val="00053B20"/>
    <w:rsid w:val="00053B2F"/>
    <w:rsid w:val="00053B70"/>
    <w:rsid w:val="00054118"/>
    <w:rsid w:val="00054504"/>
    <w:rsid w:val="000545EF"/>
    <w:rsid w:val="00054639"/>
    <w:rsid w:val="00054668"/>
    <w:rsid w:val="000546BA"/>
    <w:rsid w:val="000547F5"/>
    <w:rsid w:val="000548BF"/>
    <w:rsid w:val="00054B6C"/>
    <w:rsid w:val="00054D41"/>
    <w:rsid w:val="00054D97"/>
    <w:rsid w:val="000555B9"/>
    <w:rsid w:val="00055C45"/>
    <w:rsid w:val="00055DC4"/>
    <w:rsid w:val="00055F8F"/>
    <w:rsid w:val="0005605B"/>
    <w:rsid w:val="0005625F"/>
    <w:rsid w:val="00056291"/>
    <w:rsid w:val="00056339"/>
    <w:rsid w:val="0005638C"/>
    <w:rsid w:val="000563F1"/>
    <w:rsid w:val="00056588"/>
    <w:rsid w:val="00056624"/>
    <w:rsid w:val="00056640"/>
    <w:rsid w:val="0005687A"/>
    <w:rsid w:val="0005690B"/>
    <w:rsid w:val="0005692B"/>
    <w:rsid w:val="0005692C"/>
    <w:rsid w:val="00056AC4"/>
    <w:rsid w:val="00056C1B"/>
    <w:rsid w:val="00056C96"/>
    <w:rsid w:val="00056CC6"/>
    <w:rsid w:val="00056D2F"/>
    <w:rsid w:val="00056D9E"/>
    <w:rsid w:val="00056F8C"/>
    <w:rsid w:val="00056FDB"/>
    <w:rsid w:val="000571AF"/>
    <w:rsid w:val="0005742A"/>
    <w:rsid w:val="00057565"/>
    <w:rsid w:val="000575DC"/>
    <w:rsid w:val="000577AD"/>
    <w:rsid w:val="00057AD9"/>
    <w:rsid w:val="00057C1C"/>
    <w:rsid w:val="00057C46"/>
    <w:rsid w:val="00057DA7"/>
    <w:rsid w:val="00057DDA"/>
    <w:rsid w:val="0006002E"/>
    <w:rsid w:val="000600A4"/>
    <w:rsid w:val="0006019F"/>
    <w:rsid w:val="00060334"/>
    <w:rsid w:val="00060511"/>
    <w:rsid w:val="0006094D"/>
    <w:rsid w:val="0006095C"/>
    <w:rsid w:val="00060D2A"/>
    <w:rsid w:val="00060D4F"/>
    <w:rsid w:val="00060D8D"/>
    <w:rsid w:val="00060F05"/>
    <w:rsid w:val="000613BA"/>
    <w:rsid w:val="000614A8"/>
    <w:rsid w:val="0006154B"/>
    <w:rsid w:val="0006164F"/>
    <w:rsid w:val="000616AB"/>
    <w:rsid w:val="000616AD"/>
    <w:rsid w:val="000616ED"/>
    <w:rsid w:val="00061726"/>
    <w:rsid w:val="000617BD"/>
    <w:rsid w:val="0006197E"/>
    <w:rsid w:val="00061BB5"/>
    <w:rsid w:val="00061C32"/>
    <w:rsid w:val="00061D6D"/>
    <w:rsid w:val="00061EA0"/>
    <w:rsid w:val="00062024"/>
    <w:rsid w:val="00062028"/>
    <w:rsid w:val="0006207D"/>
    <w:rsid w:val="0006218F"/>
    <w:rsid w:val="000626FF"/>
    <w:rsid w:val="00062A11"/>
    <w:rsid w:val="00062BEB"/>
    <w:rsid w:val="00062D85"/>
    <w:rsid w:val="00062E9D"/>
    <w:rsid w:val="00062F43"/>
    <w:rsid w:val="00062F58"/>
    <w:rsid w:val="00062F8B"/>
    <w:rsid w:val="00062FF1"/>
    <w:rsid w:val="00063142"/>
    <w:rsid w:val="000631CB"/>
    <w:rsid w:val="0006363B"/>
    <w:rsid w:val="0006381E"/>
    <w:rsid w:val="00063851"/>
    <w:rsid w:val="00063CA5"/>
    <w:rsid w:val="00063E8D"/>
    <w:rsid w:val="00063F4B"/>
    <w:rsid w:val="00063F55"/>
    <w:rsid w:val="00064008"/>
    <w:rsid w:val="0006408E"/>
    <w:rsid w:val="0006410C"/>
    <w:rsid w:val="0006414A"/>
    <w:rsid w:val="000641A5"/>
    <w:rsid w:val="0006482D"/>
    <w:rsid w:val="0006484C"/>
    <w:rsid w:val="0006484D"/>
    <w:rsid w:val="00064907"/>
    <w:rsid w:val="00064A19"/>
    <w:rsid w:val="00064B57"/>
    <w:rsid w:val="00064BEE"/>
    <w:rsid w:val="000651D2"/>
    <w:rsid w:val="0006520B"/>
    <w:rsid w:val="0006521A"/>
    <w:rsid w:val="0006524E"/>
    <w:rsid w:val="0006525B"/>
    <w:rsid w:val="000654EB"/>
    <w:rsid w:val="0006550E"/>
    <w:rsid w:val="00065629"/>
    <w:rsid w:val="0006569D"/>
    <w:rsid w:val="00065CD6"/>
    <w:rsid w:val="00065D66"/>
    <w:rsid w:val="00065EA7"/>
    <w:rsid w:val="0006602E"/>
    <w:rsid w:val="00066110"/>
    <w:rsid w:val="000667E9"/>
    <w:rsid w:val="00066BC7"/>
    <w:rsid w:val="00066D26"/>
    <w:rsid w:val="00066F70"/>
    <w:rsid w:val="00067017"/>
    <w:rsid w:val="0006715E"/>
    <w:rsid w:val="0006761A"/>
    <w:rsid w:val="00067867"/>
    <w:rsid w:val="000678D9"/>
    <w:rsid w:val="000679F7"/>
    <w:rsid w:val="00067C03"/>
    <w:rsid w:val="00067C5B"/>
    <w:rsid w:val="00067CFB"/>
    <w:rsid w:val="00067E59"/>
    <w:rsid w:val="00067F84"/>
    <w:rsid w:val="0007000B"/>
    <w:rsid w:val="00070015"/>
    <w:rsid w:val="00070165"/>
    <w:rsid w:val="000704C0"/>
    <w:rsid w:val="0007052E"/>
    <w:rsid w:val="0007056C"/>
    <w:rsid w:val="000708F9"/>
    <w:rsid w:val="00070972"/>
    <w:rsid w:val="000709A3"/>
    <w:rsid w:val="00070A4E"/>
    <w:rsid w:val="00070ED0"/>
    <w:rsid w:val="00070F2F"/>
    <w:rsid w:val="00071419"/>
    <w:rsid w:val="00071580"/>
    <w:rsid w:val="000717C1"/>
    <w:rsid w:val="00071B1B"/>
    <w:rsid w:val="00071B43"/>
    <w:rsid w:val="00071BCC"/>
    <w:rsid w:val="00071C9D"/>
    <w:rsid w:val="00071CE1"/>
    <w:rsid w:val="00071EFF"/>
    <w:rsid w:val="0007218A"/>
    <w:rsid w:val="000722D1"/>
    <w:rsid w:val="000723C5"/>
    <w:rsid w:val="00072435"/>
    <w:rsid w:val="00072466"/>
    <w:rsid w:val="00072603"/>
    <w:rsid w:val="00072669"/>
    <w:rsid w:val="000727CD"/>
    <w:rsid w:val="00072837"/>
    <w:rsid w:val="0007286E"/>
    <w:rsid w:val="00072884"/>
    <w:rsid w:val="00072C0C"/>
    <w:rsid w:val="00072C20"/>
    <w:rsid w:val="00072C66"/>
    <w:rsid w:val="00072E86"/>
    <w:rsid w:val="00072F60"/>
    <w:rsid w:val="00072FEC"/>
    <w:rsid w:val="00073082"/>
    <w:rsid w:val="0007316C"/>
    <w:rsid w:val="000732C1"/>
    <w:rsid w:val="000732F7"/>
    <w:rsid w:val="0007349D"/>
    <w:rsid w:val="0007356C"/>
    <w:rsid w:val="00073583"/>
    <w:rsid w:val="000736D0"/>
    <w:rsid w:val="0007394C"/>
    <w:rsid w:val="00073A06"/>
    <w:rsid w:val="00073A22"/>
    <w:rsid w:val="00073B16"/>
    <w:rsid w:val="00073C2D"/>
    <w:rsid w:val="00073D9B"/>
    <w:rsid w:val="00073DA6"/>
    <w:rsid w:val="00073ED9"/>
    <w:rsid w:val="00073F54"/>
    <w:rsid w:val="00073F85"/>
    <w:rsid w:val="000740C5"/>
    <w:rsid w:val="00074156"/>
    <w:rsid w:val="000742AE"/>
    <w:rsid w:val="0007440F"/>
    <w:rsid w:val="000745D9"/>
    <w:rsid w:val="00074647"/>
    <w:rsid w:val="0007479C"/>
    <w:rsid w:val="000747BA"/>
    <w:rsid w:val="000748B1"/>
    <w:rsid w:val="00074B79"/>
    <w:rsid w:val="00074CD1"/>
    <w:rsid w:val="0007520E"/>
    <w:rsid w:val="00075277"/>
    <w:rsid w:val="0007579E"/>
    <w:rsid w:val="00075884"/>
    <w:rsid w:val="0007588A"/>
    <w:rsid w:val="00075899"/>
    <w:rsid w:val="000758FF"/>
    <w:rsid w:val="00075B22"/>
    <w:rsid w:val="00075B39"/>
    <w:rsid w:val="00075C2D"/>
    <w:rsid w:val="00075C63"/>
    <w:rsid w:val="00075E72"/>
    <w:rsid w:val="00075F80"/>
    <w:rsid w:val="00076005"/>
    <w:rsid w:val="0007635A"/>
    <w:rsid w:val="00076828"/>
    <w:rsid w:val="000768F3"/>
    <w:rsid w:val="00076C91"/>
    <w:rsid w:val="00076D67"/>
    <w:rsid w:val="00076E47"/>
    <w:rsid w:val="00076EF2"/>
    <w:rsid w:val="0007701A"/>
    <w:rsid w:val="000770D2"/>
    <w:rsid w:val="000772B0"/>
    <w:rsid w:val="00077409"/>
    <w:rsid w:val="00077438"/>
    <w:rsid w:val="0007751C"/>
    <w:rsid w:val="0007761F"/>
    <w:rsid w:val="00077A06"/>
    <w:rsid w:val="00077A31"/>
    <w:rsid w:val="00077AD1"/>
    <w:rsid w:val="00077B1A"/>
    <w:rsid w:val="00077B62"/>
    <w:rsid w:val="00077B6E"/>
    <w:rsid w:val="00077D2E"/>
    <w:rsid w:val="00077D54"/>
    <w:rsid w:val="00077F6E"/>
    <w:rsid w:val="000801B6"/>
    <w:rsid w:val="00080688"/>
    <w:rsid w:val="00080838"/>
    <w:rsid w:val="00080839"/>
    <w:rsid w:val="000809FC"/>
    <w:rsid w:val="00080AE5"/>
    <w:rsid w:val="00080D2D"/>
    <w:rsid w:val="00080DA4"/>
    <w:rsid w:val="0008119F"/>
    <w:rsid w:val="000812CB"/>
    <w:rsid w:val="00081447"/>
    <w:rsid w:val="000814A2"/>
    <w:rsid w:val="00081586"/>
    <w:rsid w:val="000817AA"/>
    <w:rsid w:val="000818E9"/>
    <w:rsid w:val="0008190F"/>
    <w:rsid w:val="000819A0"/>
    <w:rsid w:val="00081B64"/>
    <w:rsid w:val="00081DEC"/>
    <w:rsid w:val="0008219A"/>
    <w:rsid w:val="000821E6"/>
    <w:rsid w:val="00082226"/>
    <w:rsid w:val="00082367"/>
    <w:rsid w:val="0008283B"/>
    <w:rsid w:val="0008302B"/>
    <w:rsid w:val="000831DD"/>
    <w:rsid w:val="000838EB"/>
    <w:rsid w:val="00083986"/>
    <w:rsid w:val="00083B51"/>
    <w:rsid w:val="00083C69"/>
    <w:rsid w:val="00083D2E"/>
    <w:rsid w:val="00083EA0"/>
    <w:rsid w:val="00083FD9"/>
    <w:rsid w:val="000841B6"/>
    <w:rsid w:val="000841E7"/>
    <w:rsid w:val="000841F4"/>
    <w:rsid w:val="0008427F"/>
    <w:rsid w:val="00084447"/>
    <w:rsid w:val="00084959"/>
    <w:rsid w:val="000849D1"/>
    <w:rsid w:val="00084A31"/>
    <w:rsid w:val="00084CB5"/>
    <w:rsid w:val="00084CC1"/>
    <w:rsid w:val="00084D94"/>
    <w:rsid w:val="00084E34"/>
    <w:rsid w:val="000859FC"/>
    <w:rsid w:val="00085A4A"/>
    <w:rsid w:val="00085BEB"/>
    <w:rsid w:val="00085F4A"/>
    <w:rsid w:val="0008605F"/>
    <w:rsid w:val="0008642E"/>
    <w:rsid w:val="00086464"/>
    <w:rsid w:val="000866A6"/>
    <w:rsid w:val="00086AD5"/>
    <w:rsid w:val="00086DE6"/>
    <w:rsid w:val="0008706C"/>
    <w:rsid w:val="000875E4"/>
    <w:rsid w:val="000877C7"/>
    <w:rsid w:val="000878C4"/>
    <w:rsid w:val="00087920"/>
    <w:rsid w:val="00087973"/>
    <w:rsid w:val="00087A9C"/>
    <w:rsid w:val="00087BBC"/>
    <w:rsid w:val="00087C68"/>
    <w:rsid w:val="00087F1E"/>
    <w:rsid w:val="0009009C"/>
    <w:rsid w:val="000901A3"/>
    <w:rsid w:val="000902AD"/>
    <w:rsid w:val="0009066F"/>
    <w:rsid w:val="000906BE"/>
    <w:rsid w:val="00090745"/>
    <w:rsid w:val="000908B4"/>
    <w:rsid w:val="0009092D"/>
    <w:rsid w:val="00090E1C"/>
    <w:rsid w:val="00090EAC"/>
    <w:rsid w:val="00091127"/>
    <w:rsid w:val="0009134B"/>
    <w:rsid w:val="00091687"/>
    <w:rsid w:val="0009171A"/>
    <w:rsid w:val="000917AD"/>
    <w:rsid w:val="000919A4"/>
    <w:rsid w:val="000919BF"/>
    <w:rsid w:val="00091A05"/>
    <w:rsid w:val="00091CF3"/>
    <w:rsid w:val="00091DDA"/>
    <w:rsid w:val="00091E87"/>
    <w:rsid w:val="00092032"/>
    <w:rsid w:val="000921F2"/>
    <w:rsid w:val="0009221A"/>
    <w:rsid w:val="00092375"/>
    <w:rsid w:val="0009248F"/>
    <w:rsid w:val="00092558"/>
    <w:rsid w:val="00092617"/>
    <w:rsid w:val="00092654"/>
    <w:rsid w:val="00092754"/>
    <w:rsid w:val="00092943"/>
    <w:rsid w:val="00092A9C"/>
    <w:rsid w:val="00092ADB"/>
    <w:rsid w:val="00092C2A"/>
    <w:rsid w:val="00092D86"/>
    <w:rsid w:val="00092DE0"/>
    <w:rsid w:val="00092E7C"/>
    <w:rsid w:val="0009306A"/>
    <w:rsid w:val="0009313C"/>
    <w:rsid w:val="00093667"/>
    <w:rsid w:val="0009381E"/>
    <w:rsid w:val="00093C61"/>
    <w:rsid w:val="000941C6"/>
    <w:rsid w:val="00094214"/>
    <w:rsid w:val="000942F6"/>
    <w:rsid w:val="0009437C"/>
    <w:rsid w:val="0009463C"/>
    <w:rsid w:val="00094A04"/>
    <w:rsid w:val="00094BE3"/>
    <w:rsid w:val="00094C35"/>
    <w:rsid w:val="00094C6B"/>
    <w:rsid w:val="00094D25"/>
    <w:rsid w:val="00094D45"/>
    <w:rsid w:val="00094ED0"/>
    <w:rsid w:val="00094F1B"/>
    <w:rsid w:val="00094F3C"/>
    <w:rsid w:val="00094FDC"/>
    <w:rsid w:val="00094FE9"/>
    <w:rsid w:val="00095257"/>
    <w:rsid w:val="000952B9"/>
    <w:rsid w:val="000958F2"/>
    <w:rsid w:val="00095B6C"/>
    <w:rsid w:val="00095BDA"/>
    <w:rsid w:val="00095C1E"/>
    <w:rsid w:val="00095C28"/>
    <w:rsid w:val="00095DE3"/>
    <w:rsid w:val="00095EDB"/>
    <w:rsid w:val="00095EEC"/>
    <w:rsid w:val="00095F89"/>
    <w:rsid w:val="00095FF1"/>
    <w:rsid w:val="00096088"/>
    <w:rsid w:val="000961E0"/>
    <w:rsid w:val="0009629F"/>
    <w:rsid w:val="00096426"/>
    <w:rsid w:val="0009664E"/>
    <w:rsid w:val="000966E1"/>
    <w:rsid w:val="000967FD"/>
    <w:rsid w:val="0009681D"/>
    <w:rsid w:val="00096988"/>
    <w:rsid w:val="00096AA6"/>
    <w:rsid w:val="00097733"/>
    <w:rsid w:val="0009778C"/>
    <w:rsid w:val="000977E2"/>
    <w:rsid w:val="00097833"/>
    <w:rsid w:val="0009785D"/>
    <w:rsid w:val="000978FF"/>
    <w:rsid w:val="0009790A"/>
    <w:rsid w:val="000979C6"/>
    <w:rsid w:val="00097ACD"/>
    <w:rsid w:val="00097DB7"/>
    <w:rsid w:val="00097DBF"/>
    <w:rsid w:val="00097FA6"/>
    <w:rsid w:val="000A00A9"/>
    <w:rsid w:val="000A00F8"/>
    <w:rsid w:val="000A0310"/>
    <w:rsid w:val="000A042E"/>
    <w:rsid w:val="000A045A"/>
    <w:rsid w:val="000A0475"/>
    <w:rsid w:val="000A04FC"/>
    <w:rsid w:val="000A071E"/>
    <w:rsid w:val="000A0850"/>
    <w:rsid w:val="000A0955"/>
    <w:rsid w:val="000A0C04"/>
    <w:rsid w:val="000A0DB2"/>
    <w:rsid w:val="000A0DD3"/>
    <w:rsid w:val="000A0F43"/>
    <w:rsid w:val="000A1461"/>
    <w:rsid w:val="000A150C"/>
    <w:rsid w:val="000A17A6"/>
    <w:rsid w:val="000A1845"/>
    <w:rsid w:val="000A1973"/>
    <w:rsid w:val="000A1A2F"/>
    <w:rsid w:val="000A1A58"/>
    <w:rsid w:val="000A1AA1"/>
    <w:rsid w:val="000A1BC1"/>
    <w:rsid w:val="000A1CA9"/>
    <w:rsid w:val="000A1EA3"/>
    <w:rsid w:val="000A1EB8"/>
    <w:rsid w:val="000A1F24"/>
    <w:rsid w:val="000A2028"/>
    <w:rsid w:val="000A20B7"/>
    <w:rsid w:val="000A20BC"/>
    <w:rsid w:val="000A2233"/>
    <w:rsid w:val="000A28F9"/>
    <w:rsid w:val="000A2B4E"/>
    <w:rsid w:val="000A2B9D"/>
    <w:rsid w:val="000A2B9E"/>
    <w:rsid w:val="000A2CEF"/>
    <w:rsid w:val="000A2DC0"/>
    <w:rsid w:val="000A319A"/>
    <w:rsid w:val="000A32AF"/>
    <w:rsid w:val="000A32DC"/>
    <w:rsid w:val="000A36A8"/>
    <w:rsid w:val="000A36B2"/>
    <w:rsid w:val="000A36CF"/>
    <w:rsid w:val="000A37F1"/>
    <w:rsid w:val="000A38B0"/>
    <w:rsid w:val="000A3B07"/>
    <w:rsid w:val="000A3B27"/>
    <w:rsid w:val="000A3C2C"/>
    <w:rsid w:val="000A3C3A"/>
    <w:rsid w:val="000A3C96"/>
    <w:rsid w:val="000A3DF5"/>
    <w:rsid w:val="000A3E50"/>
    <w:rsid w:val="000A3FBB"/>
    <w:rsid w:val="000A3FBF"/>
    <w:rsid w:val="000A4128"/>
    <w:rsid w:val="000A41F5"/>
    <w:rsid w:val="000A4377"/>
    <w:rsid w:val="000A43E8"/>
    <w:rsid w:val="000A449A"/>
    <w:rsid w:val="000A44CD"/>
    <w:rsid w:val="000A4532"/>
    <w:rsid w:val="000A4A71"/>
    <w:rsid w:val="000A4AD1"/>
    <w:rsid w:val="000A4BBD"/>
    <w:rsid w:val="000A4BF3"/>
    <w:rsid w:val="000A4D85"/>
    <w:rsid w:val="000A552F"/>
    <w:rsid w:val="000A5668"/>
    <w:rsid w:val="000A5770"/>
    <w:rsid w:val="000A585F"/>
    <w:rsid w:val="000A5874"/>
    <w:rsid w:val="000A5923"/>
    <w:rsid w:val="000A5AF4"/>
    <w:rsid w:val="000A5D93"/>
    <w:rsid w:val="000A5E11"/>
    <w:rsid w:val="000A5EB7"/>
    <w:rsid w:val="000A5F5C"/>
    <w:rsid w:val="000A6067"/>
    <w:rsid w:val="000A6181"/>
    <w:rsid w:val="000A619C"/>
    <w:rsid w:val="000A631F"/>
    <w:rsid w:val="000A632E"/>
    <w:rsid w:val="000A635F"/>
    <w:rsid w:val="000A63FF"/>
    <w:rsid w:val="000A65F6"/>
    <w:rsid w:val="000A660D"/>
    <w:rsid w:val="000A6738"/>
    <w:rsid w:val="000A6759"/>
    <w:rsid w:val="000A696D"/>
    <w:rsid w:val="000A69A8"/>
    <w:rsid w:val="000A6AE1"/>
    <w:rsid w:val="000A6B3B"/>
    <w:rsid w:val="000A6EDD"/>
    <w:rsid w:val="000A6EF3"/>
    <w:rsid w:val="000A7031"/>
    <w:rsid w:val="000A7146"/>
    <w:rsid w:val="000A7187"/>
    <w:rsid w:val="000A71A6"/>
    <w:rsid w:val="000A71CE"/>
    <w:rsid w:val="000A72A2"/>
    <w:rsid w:val="000A76F2"/>
    <w:rsid w:val="000A78C6"/>
    <w:rsid w:val="000A7BB8"/>
    <w:rsid w:val="000A7C1F"/>
    <w:rsid w:val="000A7CC1"/>
    <w:rsid w:val="000A7EE4"/>
    <w:rsid w:val="000A7FB8"/>
    <w:rsid w:val="000B00AE"/>
    <w:rsid w:val="000B0296"/>
    <w:rsid w:val="000B05A7"/>
    <w:rsid w:val="000B0A68"/>
    <w:rsid w:val="000B0A88"/>
    <w:rsid w:val="000B0AE6"/>
    <w:rsid w:val="000B0B65"/>
    <w:rsid w:val="000B0CA8"/>
    <w:rsid w:val="000B0DE6"/>
    <w:rsid w:val="000B0EE7"/>
    <w:rsid w:val="000B16F5"/>
    <w:rsid w:val="000B1741"/>
    <w:rsid w:val="000B1761"/>
    <w:rsid w:val="000B17FF"/>
    <w:rsid w:val="000B1899"/>
    <w:rsid w:val="000B1987"/>
    <w:rsid w:val="000B1B6F"/>
    <w:rsid w:val="000B1D03"/>
    <w:rsid w:val="000B1DA4"/>
    <w:rsid w:val="000B1E75"/>
    <w:rsid w:val="000B1FB9"/>
    <w:rsid w:val="000B2007"/>
    <w:rsid w:val="000B20E8"/>
    <w:rsid w:val="000B2152"/>
    <w:rsid w:val="000B22A6"/>
    <w:rsid w:val="000B22BF"/>
    <w:rsid w:val="000B2360"/>
    <w:rsid w:val="000B2400"/>
    <w:rsid w:val="000B261E"/>
    <w:rsid w:val="000B2776"/>
    <w:rsid w:val="000B27D8"/>
    <w:rsid w:val="000B29B1"/>
    <w:rsid w:val="000B2A40"/>
    <w:rsid w:val="000B2B48"/>
    <w:rsid w:val="000B2CB3"/>
    <w:rsid w:val="000B2DA3"/>
    <w:rsid w:val="000B2E8C"/>
    <w:rsid w:val="000B31F5"/>
    <w:rsid w:val="000B357D"/>
    <w:rsid w:val="000B3743"/>
    <w:rsid w:val="000B3866"/>
    <w:rsid w:val="000B3B5E"/>
    <w:rsid w:val="000B3BCD"/>
    <w:rsid w:val="000B3CC8"/>
    <w:rsid w:val="000B3CDE"/>
    <w:rsid w:val="000B3CFB"/>
    <w:rsid w:val="000B3D59"/>
    <w:rsid w:val="000B3F98"/>
    <w:rsid w:val="000B40D7"/>
    <w:rsid w:val="000B420C"/>
    <w:rsid w:val="000B4216"/>
    <w:rsid w:val="000B42E2"/>
    <w:rsid w:val="000B4579"/>
    <w:rsid w:val="000B460F"/>
    <w:rsid w:val="000B470A"/>
    <w:rsid w:val="000B49E9"/>
    <w:rsid w:val="000B4AD4"/>
    <w:rsid w:val="000B4E39"/>
    <w:rsid w:val="000B4F60"/>
    <w:rsid w:val="000B4FF1"/>
    <w:rsid w:val="000B50D7"/>
    <w:rsid w:val="000B5184"/>
    <w:rsid w:val="000B53FF"/>
    <w:rsid w:val="000B5454"/>
    <w:rsid w:val="000B5480"/>
    <w:rsid w:val="000B5553"/>
    <w:rsid w:val="000B557F"/>
    <w:rsid w:val="000B559A"/>
    <w:rsid w:val="000B5996"/>
    <w:rsid w:val="000B5F6C"/>
    <w:rsid w:val="000B62C6"/>
    <w:rsid w:val="000B6381"/>
    <w:rsid w:val="000B651E"/>
    <w:rsid w:val="000B6692"/>
    <w:rsid w:val="000B6710"/>
    <w:rsid w:val="000B6769"/>
    <w:rsid w:val="000B67C2"/>
    <w:rsid w:val="000B6829"/>
    <w:rsid w:val="000B68BB"/>
    <w:rsid w:val="000B691A"/>
    <w:rsid w:val="000B69AB"/>
    <w:rsid w:val="000B6AB1"/>
    <w:rsid w:val="000B6C67"/>
    <w:rsid w:val="000B6D03"/>
    <w:rsid w:val="000B6DE7"/>
    <w:rsid w:val="000B6F29"/>
    <w:rsid w:val="000B6FE9"/>
    <w:rsid w:val="000B6FEC"/>
    <w:rsid w:val="000B70CD"/>
    <w:rsid w:val="000B7189"/>
    <w:rsid w:val="000B7244"/>
    <w:rsid w:val="000B7399"/>
    <w:rsid w:val="000B73D0"/>
    <w:rsid w:val="000B76D9"/>
    <w:rsid w:val="000B76DD"/>
    <w:rsid w:val="000B7A78"/>
    <w:rsid w:val="000B7ACD"/>
    <w:rsid w:val="000B7BCF"/>
    <w:rsid w:val="000B7CB5"/>
    <w:rsid w:val="000B7F0C"/>
    <w:rsid w:val="000B7F1E"/>
    <w:rsid w:val="000C0133"/>
    <w:rsid w:val="000C0317"/>
    <w:rsid w:val="000C038F"/>
    <w:rsid w:val="000C03D2"/>
    <w:rsid w:val="000C041B"/>
    <w:rsid w:val="000C0433"/>
    <w:rsid w:val="000C046C"/>
    <w:rsid w:val="000C071A"/>
    <w:rsid w:val="000C0757"/>
    <w:rsid w:val="000C07FB"/>
    <w:rsid w:val="000C090E"/>
    <w:rsid w:val="000C0965"/>
    <w:rsid w:val="000C0BE7"/>
    <w:rsid w:val="000C0CC6"/>
    <w:rsid w:val="000C0F33"/>
    <w:rsid w:val="000C105B"/>
    <w:rsid w:val="000C111F"/>
    <w:rsid w:val="000C11D7"/>
    <w:rsid w:val="000C124A"/>
    <w:rsid w:val="000C1354"/>
    <w:rsid w:val="000C1503"/>
    <w:rsid w:val="000C163F"/>
    <w:rsid w:val="000C1678"/>
    <w:rsid w:val="000C1792"/>
    <w:rsid w:val="000C17B6"/>
    <w:rsid w:val="000C17D2"/>
    <w:rsid w:val="000C17F8"/>
    <w:rsid w:val="000C18DD"/>
    <w:rsid w:val="000C1C6D"/>
    <w:rsid w:val="000C1DA4"/>
    <w:rsid w:val="000C1EF2"/>
    <w:rsid w:val="000C2030"/>
    <w:rsid w:val="000C20F6"/>
    <w:rsid w:val="000C22D2"/>
    <w:rsid w:val="000C2411"/>
    <w:rsid w:val="000C2425"/>
    <w:rsid w:val="000C2443"/>
    <w:rsid w:val="000C25A4"/>
    <w:rsid w:val="000C28AC"/>
    <w:rsid w:val="000C291C"/>
    <w:rsid w:val="000C29D1"/>
    <w:rsid w:val="000C2A2D"/>
    <w:rsid w:val="000C2AF6"/>
    <w:rsid w:val="000C2F38"/>
    <w:rsid w:val="000C2FA1"/>
    <w:rsid w:val="000C31A3"/>
    <w:rsid w:val="000C32AF"/>
    <w:rsid w:val="000C3305"/>
    <w:rsid w:val="000C356A"/>
    <w:rsid w:val="000C3670"/>
    <w:rsid w:val="000C37D7"/>
    <w:rsid w:val="000C380A"/>
    <w:rsid w:val="000C3920"/>
    <w:rsid w:val="000C3A15"/>
    <w:rsid w:val="000C3A6D"/>
    <w:rsid w:val="000C3B77"/>
    <w:rsid w:val="000C3D62"/>
    <w:rsid w:val="000C40D4"/>
    <w:rsid w:val="000C4427"/>
    <w:rsid w:val="000C44E2"/>
    <w:rsid w:val="000C4534"/>
    <w:rsid w:val="000C4650"/>
    <w:rsid w:val="000C46FB"/>
    <w:rsid w:val="000C4987"/>
    <w:rsid w:val="000C498F"/>
    <w:rsid w:val="000C4998"/>
    <w:rsid w:val="000C4A8E"/>
    <w:rsid w:val="000C4AD3"/>
    <w:rsid w:val="000C4B7E"/>
    <w:rsid w:val="000C4C14"/>
    <w:rsid w:val="000C4C64"/>
    <w:rsid w:val="000C4D09"/>
    <w:rsid w:val="000C4E84"/>
    <w:rsid w:val="000C4EA2"/>
    <w:rsid w:val="000C5149"/>
    <w:rsid w:val="000C5199"/>
    <w:rsid w:val="000C51E8"/>
    <w:rsid w:val="000C525E"/>
    <w:rsid w:val="000C5354"/>
    <w:rsid w:val="000C53C5"/>
    <w:rsid w:val="000C575E"/>
    <w:rsid w:val="000C5823"/>
    <w:rsid w:val="000C59F3"/>
    <w:rsid w:val="000C5A47"/>
    <w:rsid w:val="000C5AA3"/>
    <w:rsid w:val="000C5B3B"/>
    <w:rsid w:val="000C5CB5"/>
    <w:rsid w:val="000C5D96"/>
    <w:rsid w:val="000C6046"/>
    <w:rsid w:val="000C6104"/>
    <w:rsid w:val="000C6203"/>
    <w:rsid w:val="000C6349"/>
    <w:rsid w:val="000C64C0"/>
    <w:rsid w:val="000C64C3"/>
    <w:rsid w:val="000C6587"/>
    <w:rsid w:val="000C6703"/>
    <w:rsid w:val="000C6736"/>
    <w:rsid w:val="000C68B4"/>
    <w:rsid w:val="000C6950"/>
    <w:rsid w:val="000C6A59"/>
    <w:rsid w:val="000C6CF1"/>
    <w:rsid w:val="000C6E3A"/>
    <w:rsid w:val="000C6ED2"/>
    <w:rsid w:val="000C6ED5"/>
    <w:rsid w:val="000C6F40"/>
    <w:rsid w:val="000C70EC"/>
    <w:rsid w:val="000C719E"/>
    <w:rsid w:val="000C75E5"/>
    <w:rsid w:val="000C7739"/>
    <w:rsid w:val="000C7796"/>
    <w:rsid w:val="000C796C"/>
    <w:rsid w:val="000C7972"/>
    <w:rsid w:val="000C7E2C"/>
    <w:rsid w:val="000C7F98"/>
    <w:rsid w:val="000D0037"/>
    <w:rsid w:val="000D0040"/>
    <w:rsid w:val="000D01E6"/>
    <w:rsid w:val="000D02E0"/>
    <w:rsid w:val="000D04AB"/>
    <w:rsid w:val="000D050B"/>
    <w:rsid w:val="000D0707"/>
    <w:rsid w:val="000D078F"/>
    <w:rsid w:val="000D07CD"/>
    <w:rsid w:val="000D0A87"/>
    <w:rsid w:val="000D0AEE"/>
    <w:rsid w:val="000D0B8F"/>
    <w:rsid w:val="000D0C8B"/>
    <w:rsid w:val="000D0F31"/>
    <w:rsid w:val="000D111E"/>
    <w:rsid w:val="000D115C"/>
    <w:rsid w:val="000D1277"/>
    <w:rsid w:val="000D1451"/>
    <w:rsid w:val="000D14A3"/>
    <w:rsid w:val="000D1760"/>
    <w:rsid w:val="000D18A2"/>
    <w:rsid w:val="000D1946"/>
    <w:rsid w:val="000D197C"/>
    <w:rsid w:val="000D1A51"/>
    <w:rsid w:val="000D1ACF"/>
    <w:rsid w:val="000D1B1C"/>
    <w:rsid w:val="000D1BD2"/>
    <w:rsid w:val="000D1CAA"/>
    <w:rsid w:val="000D1D06"/>
    <w:rsid w:val="000D1DF6"/>
    <w:rsid w:val="000D1EA0"/>
    <w:rsid w:val="000D1EDC"/>
    <w:rsid w:val="000D2004"/>
    <w:rsid w:val="000D20F7"/>
    <w:rsid w:val="000D232F"/>
    <w:rsid w:val="000D27B5"/>
    <w:rsid w:val="000D29A5"/>
    <w:rsid w:val="000D2A10"/>
    <w:rsid w:val="000D2AAA"/>
    <w:rsid w:val="000D2E99"/>
    <w:rsid w:val="000D2EF6"/>
    <w:rsid w:val="000D32A1"/>
    <w:rsid w:val="000D3343"/>
    <w:rsid w:val="000D34D7"/>
    <w:rsid w:val="000D3533"/>
    <w:rsid w:val="000D35F4"/>
    <w:rsid w:val="000D3961"/>
    <w:rsid w:val="000D3B4A"/>
    <w:rsid w:val="000D3BBC"/>
    <w:rsid w:val="000D3E05"/>
    <w:rsid w:val="000D3E2E"/>
    <w:rsid w:val="000D3FA2"/>
    <w:rsid w:val="000D40C0"/>
    <w:rsid w:val="000D40EE"/>
    <w:rsid w:val="000D410A"/>
    <w:rsid w:val="000D4131"/>
    <w:rsid w:val="000D414B"/>
    <w:rsid w:val="000D447B"/>
    <w:rsid w:val="000D48AB"/>
    <w:rsid w:val="000D4AB6"/>
    <w:rsid w:val="000D4DD4"/>
    <w:rsid w:val="000D4EBE"/>
    <w:rsid w:val="000D5092"/>
    <w:rsid w:val="000D52EF"/>
    <w:rsid w:val="000D531D"/>
    <w:rsid w:val="000D5652"/>
    <w:rsid w:val="000D568F"/>
    <w:rsid w:val="000D580F"/>
    <w:rsid w:val="000D584A"/>
    <w:rsid w:val="000D596F"/>
    <w:rsid w:val="000D5ABC"/>
    <w:rsid w:val="000D5AE5"/>
    <w:rsid w:val="000D5D93"/>
    <w:rsid w:val="000D5E41"/>
    <w:rsid w:val="000D5F13"/>
    <w:rsid w:val="000D5FC4"/>
    <w:rsid w:val="000D601B"/>
    <w:rsid w:val="000D61D3"/>
    <w:rsid w:val="000D631C"/>
    <w:rsid w:val="000D6471"/>
    <w:rsid w:val="000D6475"/>
    <w:rsid w:val="000D6671"/>
    <w:rsid w:val="000D683F"/>
    <w:rsid w:val="000D69C3"/>
    <w:rsid w:val="000D6A08"/>
    <w:rsid w:val="000D6B4E"/>
    <w:rsid w:val="000D6FEE"/>
    <w:rsid w:val="000D6FF7"/>
    <w:rsid w:val="000D74D1"/>
    <w:rsid w:val="000D77D0"/>
    <w:rsid w:val="000D77F9"/>
    <w:rsid w:val="000D7AAB"/>
    <w:rsid w:val="000D7C39"/>
    <w:rsid w:val="000E0085"/>
    <w:rsid w:val="000E0169"/>
    <w:rsid w:val="000E01C0"/>
    <w:rsid w:val="000E031F"/>
    <w:rsid w:val="000E0523"/>
    <w:rsid w:val="000E057F"/>
    <w:rsid w:val="000E0670"/>
    <w:rsid w:val="000E07E5"/>
    <w:rsid w:val="000E0BE7"/>
    <w:rsid w:val="000E0D3C"/>
    <w:rsid w:val="000E0E3B"/>
    <w:rsid w:val="000E0E73"/>
    <w:rsid w:val="000E0F31"/>
    <w:rsid w:val="000E10A7"/>
    <w:rsid w:val="000E1319"/>
    <w:rsid w:val="000E137D"/>
    <w:rsid w:val="000E14D9"/>
    <w:rsid w:val="000E1661"/>
    <w:rsid w:val="000E1679"/>
    <w:rsid w:val="000E1684"/>
    <w:rsid w:val="000E1844"/>
    <w:rsid w:val="000E186C"/>
    <w:rsid w:val="000E1A18"/>
    <w:rsid w:val="000E1CE9"/>
    <w:rsid w:val="000E1D7C"/>
    <w:rsid w:val="000E204D"/>
    <w:rsid w:val="000E252C"/>
    <w:rsid w:val="000E2553"/>
    <w:rsid w:val="000E2622"/>
    <w:rsid w:val="000E2632"/>
    <w:rsid w:val="000E27DF"/>
    <w:rsid w:val="000E281D"/>
    <w:rsid w:val="000E28ED"/>
    <w:rsid w:val="000E2C18"/>
    <w:rsid w:val="000E2C99"/>
    <w:rsid w:val="000E2CA8"/>
    <w:rsid w:val="000E2CE0"/>
    <w:rsid w:val="000E2FA6"/>
    <w:rsid w:val="000E301D"/>
    <w:rsid w:val="000E30ED"/>
    <w:rsid w:val="000E3540"/>
    <w:rsid w:val="000E3564"/>
    <w:rsid w:val="000E367B"/>
    <w:rsid w:val="000E36C8"/>
    <w:rsid w:val="000E3816"/>
    <w:rsid w:val="000E3914"/>
    <w:rsid w:val="000E3B2B"/>
    <w:rsid w:val="000E3BF4"/>
    <w:rsid w:val="000E3CE7"/>
    <w:rsid w:val="000E3D39"/>
    <w:rsid w:val="000E3E26"/>
    <w:rsid w:val="000E3F25"/>
    <w:rsid w:val="000E3FA8"/>
    <w:rsid w:val="000E406B"/>
    <w:rsid w:val="000E40E6"/>
    <w:rsid w:val="000E428F"/>
    <w:rsid w:val="000E4357"/>
    <w:rsid w:val="000E43C1"/>
    <w:rsid w:val="000E4452"/>
    <w:rsid w:val="000E4644"/>
    <w:rsid w:val="000E4741"/>
    <w:rsid w:val="000E4765"/>
    <w:rsid w:val="000E488F"/>
    <w:rsid w:val="000E48D4"/>
    <w:rsid w:val="000E4A9A"/>
    <w:rsid w:val="000E4F49"/>
    <w:rsid w:val="000E5423"/>
    <w:rsid w:val="000E584C"/>
    <w:rsid w:val="000E58EB"/>
    <w:rsid w:val="000E59CA"/>
    <w:rsid w:val="000E59F7"/>
    <w:rsid w:val="000E5A11"/>
    <w:rsid w:val="000E5CE8"/>
    <w:rsid w:val="000E5D4F"/>
    <w:rsid w:val="000E5E29"/>
    <w:rsid w:val="000E5E31"/>
    <w:rsid w:val="000E6032"/>
    <w:rsid w:val="000E632B"/>
    <w:rsid w:val="000E6371"/>
    <w:rsid w:val="000E6490"/>
    <w:rsid w:val="000E664F"/>
    <w:rsid w:val="000E67EF"/>
    <w:rsid w:val="000E6902"/>
    <w:rsid w:val="000E699D"/>
    <w:rsid w:val="000E6A14"/>
    <w:rsid w:val="000E6C5C"/>
    <w:rsid w:val="000E6DFC"/>
    <w:rsid w:val="000E6E12"/>
    <w:rsid w:val="000E6E16"/>
    <w:rsid w:val="000E707A"/>
    <w:rsid w:val="000E71CF"/>
    <w:rsid w:val="000E7A08"/>
    <w:rsid w:val="000E7CB9"/>
    <w:rsid w:val="000E7CDA"/>
    <w:rsid w:val="000E7FD4"/>
    <w:rsid w:val="000F032E"/>
    <w:rsid w:val="000F0592"/>
    <w:rsid w:val="000F0769"/>
    <w:rsid w:val="000F09D2"/>
    <w:rsid w:val="000F0B7B"/>
    <w:rsid w:val="000F0CE4"/>
    <w:rsid w:val="000F0EA8"/>
    <w:rsid w:val="000F0F1C"/>
    <w:rsid w:val="000F0F9A"/>
    <w:rsid w:val="000F108A"/>
    <w:rsid w:val="000F10F7"/>
    <w:rsid w:val="000F1138"/>
    <w:rsid w:val="000F12DF"/>
    <w:rsid w:val="000F12F5"/>
    <w:rsid w:val="000F12F8"/>
    <w:rsid w:val="000F1505"/>
    <w:rsid w:val="000F16FF"/>
    <w:rsid w:val="000F172B"/>
    <w:rsid w:val="000F175B"/>
    <w:rsid w:val="000F1870"/>
    <w:rsid w:val="000F1B36"/>
    <w:rsid w:val="000F1CB3"/>
    <w:rsid w:val="000F1EA0"/>
    <w:rsid w:val="000F1F78"/>
    <w:rsid w:val="000F1FA8"/>
    <w:rsid w:val="000F21EA"/>
    <w:rsid w:val="000F22E1"/>
    <w:rsid w:val="000F2436"/>
    <w:rsid w:val="000F27D5"/>
    <w:rsid w:val="000F282D"/>
    <w:rsid w:val="000F28A8"/>
    <w:rsid w:val="000F28C8"/>
    <w:rsid w:val="000F28ED"/>
    <w:rsid w:val="000F2940"/>
    <w:rsid w:val="000F2960"/>
    <w:rsid w:val="000F2A4A"/>
    <w:rsid w:val="000F2A7B"/>
    <w:rsid w:val="000F2B39"/>
    <w:rsid w:val="000F2B8A"/>
    <w:rsid w:val="000F2B93"/>
    <w:rsid w:val="000F2E5C"/>
    <w:rsid w:val="000F2F00"/>
    <w:rsid w:val="000F2FCD"/>
    <w:rsid w:val="000F3391"/>
    <w:rsid w:val="000F3427"/>
    <w:rsid w:val="000F3550"/>
    <w:rsid w:val="000F3BAC"/>
    <w:rsid w:val="000F4115"/>
    <w:rsid w:val="000F415D"/>
    <w:rsid w:val="000F417B"/>
    <w:rsid w:val="000F41AE"/>
    <w:rsid w:val="000F43BA"/>
    <w:rsid w:val="000F43FD"/>
    <w:rsid w:val="000F44A5"/>
    <w:rsid w:val="000F464E"/>
    <w:rsid w:val="000F4690"/>
    <w:rsid w:val="000F46C3"/>
    <w:rsid w:val="000F476C"/>
    <w:rsid w:val="000F4C60"/>
    <w:rsid w:val="000F4CA6"/>
    <w:rsid w:val="000F4D39"/>
    <w:rsid w:val="000F4F21"/>
    <w:rsid w:val="000F4FB0"/>
    <w:rsid w:val="000F52E2"/>
    <w:rsid w:val="000F54AD"/>
    <w:rsid w:val="000F54B4"/>
    <w:rsid w:val="000F565C"/>
    <w:rsid w:val="000F5CC8"/>
    <w:rsid w:val="000F5D25"/>
    <w:rsid w:val="000F5D51"/>
    <w:rsid w:val="000F5DD0"/>
    <w:rsid w:val="000F5F78"/>
    <w:rsid w:val="000F6204"/>
    <w:rsid w:val="000F651B"/>
    <w:rsid w:val="000F67AE"/>
    <w:rsid w:val="000F6AE7"/>
    <w:rsid w:val="000F6C4C"/>
    <w:rsid w:val="000F6D90"/>
    <w:rsid w:val="000F6ECD"/>
    <w:rsid w:val="000F7172"/>
    <w:rsid w:val="000F71BD"/>
    <w:rsid w:val="000F757E"/>
    <w:rsid w:val="000F7641"/>
    <w:rsid w:val="000F76C4"/>
    <w:rsid w:val="000F77C8"/>
    <w:rsid w:val="000F78F9"/>
    <w:rsid w:val="000F79BA"/>
    <w:rsid w:val="000F7E15"/>
    <w:rsid w:val="000F7EC9"/>
    <w:rsid w:val="001000E4"/>
    <w:rsid w:val="00100169"/>
    <w:rsid w:val="00100193"/>
    <w:rsid w:val="0010090D"/>
    <w:rsid w:val="00100A4F"/>
    <w:rsid w:val="00100AC1"/>
    <w:rsid w:val="00100B10"/>
    <w:rsid w:val="00100BDD"/>
    <w:rsid w:val="00100E8E"/>
    <w:rsid w:val="00100ED6"/>
    <w:rsid w:val="0010120A"/>
    <w:rsid w:val="001015A1"/>
    <w:rsid w:val="001015B5"/>
    <w:rsid w:val="00101644"/>
    <w:rsid w:val="001016A2"/>
    <w:rsid w:val="001019D8"/>
    <w:rsid w:val="00101B2B"/>
    <w:rsid w:val="00101D44"/>
    <w:rsid w:val="00101D7B"/>
    <w:rsid w:val="00101D90"/>
    <w:rsid w:val="00101DE0"/>
    <w:rsid w:val="00101E38"/>
    <w:rsid w:val="00101F56"/>
    <w:rsid w:val="001020A1"/>
    <w:rsid w:val="00102208"/>
    <w:rsid w:val="00102320"/>
    <w:rsid w:val="00102661"/>
    <w:rsid w:val="00102776"/>
    <w:rsid w:val="00102B2C"/>
    <w:rsid w:val="00102CF0"/>
    <w:rsid w:val="00102D3F"/>
    <w:rsid w:val="00102D47"/>
    <w:rsid w:val="00102D4E"/>
    <w:rsid w:val="00102E76"/>
    <w:rsid w:val="00102F10"/>
    <w:rsid w:val="00103332"/>
    <w:rsid w:val="00103674"/>
    <w:rsid w:val="001036FF"/>
    <w:rsid w:val="001038DF"/>
    <w:rsid w:val="00103900"/>
    <w:rsid w:val="00103A59"/>
    <w:rsid w:val="00103C26"/>
    <w:rsid w:val="00103CB5"/>
    <w:rsid w:val="00103E2B"/>
    <w:rsid w:val="00103E4A"/>
    <w:rsid w:val="001040BA"/>
    <w:rsid w:val="00104169"/>
    <w:rsid w:val="00104256"/>
    <w:rsid w:val="001045F6"/>
    <w:rsid w:val="00104897"/>
    <w:rsid w:val="00104AA7"/>
    <w:rsid w:val="00104F16"/>
    <w:rsid w:val="001050E4"/>
    <w:rsid w:val="00105217"/>
    <w:rsid w:val="0010598B"/>
    <w:rsid w:val="00105A43"/>
    <w:rsid w:val="0010604B"/>
    <w:rsid w:val="00106137"/>
    <w:rsid w:val="00106476"/>
    <w:rsid w:val="00106497"/>
    <w:rsid w:val="001066F3"/>
    <w:rsid w:val="00106787"/>
    <w:rsid w:val="00106910"/>
    <w:rsid w:val="001069D8"/>
    <w:rsid w:val="00106C43"/>
    <w:rsid w:val="00106C5E"/>
    <w:rsid w:val="00106C71"/>
    <w:rsid w:val="00106C8E"/>
    <w:rsid w:val="00106CBA"/>
    <w:rsid w:val="00106CE9"/>
    <w:rsid w:val="001070C4"/>
    <w:rsid w:val="001073B8"/>
    <w:rsid w:val="00107414"/>
    <w:rsid w:val="00107444"/>
    <w:rsid w:val="0010759D"/>
    <w:rsid w:val="001078D1"/>
    <w:rsid w:val="001079A2"/>
    <w:rsid w:val="001100C4"/>
    <w:rsid w:val="0011017E"/>
    <w:rsid w:val="001101CE"/>
    <w:rsid w:val="0011046D"/>
    <w:rsid w:val="0011059A"/>
    <w:rsid w:val="0011071F"/>
    <w:rsid w:val="00110796"/>
    <w:rsid w:val="0011082E"/>
    <w:rsid w:val="00110859"/>
    <w:rsid w:val="00110876"/>
    <w:rsid w:val="001108B2"/>
    <w:rsid w:val="00110CDB"/>
    <w:rsid w:val="00110D19"/>
    <w:rsid w:val="00110D2F"/>
    <w:rsid w:val="00110E51"/>
    <w:rsid w:val="00110F5A"/>
    <w:rsid w:val="00111098"/>
    <w:rsid w:val="001110E8"/>
    <w:rsid w:val="001111C1"/>
    <w:rsid w:val="0011134E"/>
    <w:rsid w:val="00111843"/>
    <w:rsid w:val="00111B4C"/>
    <w:rsid w:val="00111FF2"/>
    <w:rsid w:val="001121A0"/>
    <w:rsid w:val="001122A6"/>
    <w:rsid w:val="001127FF"/>
    <w:rsid w:val="001129CA"/>
    <w:rsid w:val="00112F24"/>
    <w:rsid w:val="001131A3"/>
    <w:rsid w:val="00113247"/>
    <w:rsid w:val="001133BD"/>
    <w:rsid w:val="00113429"/>
    <w:rsid w:val="00113684"/>
    <w:rsid w:val="001136C8"/>
    <w:rsid w:val="001136F5"/>
    <w:rsid w:val="00113942"/>
    <w:rsid w:val="00113960"/>
    <w:rsid w:val="00113CB4"/>
    <w:rsid w:val="0011408C"/>
    <w:rsid w:val="0011424C"/>
    <w:rsid w:val="001143BD"/>
    <w:rsid w:val="001144EC"/>
    <w:rsid w:val="00114625"/>
    <w:rsid w:val="001149B9"/>
    <w:rsid w:val="00114BAB"/>
    <w:rsid w:val="00114C30"/>
    <w:rsid w:val="00114F96"/>
    <w:rsid w:val="001150D6"/>
    <w:rsid w:val="00115105"/>
    <w:rsid w:val="001151B4"/>
    <w:rsid w:val="00115247"/>
    <w:rsid w:val="0011532B"/>
    <w:rsid w:val="00115386"/>
    <w:rsid w:val="001154DA"/>
    <w:rsid w:val="001154EB"/>
    <w:rsid w:val="0011550A"/>
    <w:rsid w:val="001155C7"/>
    <w:rsid w:val="00115621"/>
    <w:rsid w:val="0011569A"/>
    <w:rsid w:val="001156CA"/>
    <w:rsid w:val="001159CD"/>
    <w:rsid w:val="001159F7"/>
    <w:rsid w:val="00115B36"/>
    <w:rsid w:val="00115CB8"/>
    <w:rsid w:val="00115D60"/>
    <w:rsid w:val="00115FE0"/>
    <w:rsid w:val="00116040"/>
    <w:rsid w:val="001163DB"/>
    <w:rsid w:val="00116490"/>
    <w:rsid w:val="0011649C"/>
    <w:rsid w:val="001164C9"/>
    <w:rsid w:val="001165F4"/>
    <w:rsid w:val="001169BA"/>
    <w:rsid w:val="001169E0"/>
    <w:rsid w:val="00116A73"/>
    <w:rsid w:val="00116BAB"/>
    <w:rsid w:val="00116CB2"/>
    <w:rsid w:val="00116CEB"/>
    <w:rsid w:val="00116DAB"/>
    <w:rsid w:val="00116E33"/>
    <w:rsid w:val="00117182"/>
    <w:rsid w:val="00117272"/>
    <w:rsid w:val="001172C5"/>
    <w:rsid w:val="0011733A"/>
    <w:rsid w:val="00117381"/>
    <w:rsid w:val="00117456"/>
    <w:rsid w:val="00117846"/>
    <w:rsid w:val="00117A39"/>
    <w:rsid w:val="00117BA2"/>
    <w:rsid w:val="00117C64"/>
    <w:rsid w:val="00117CAA"/>
    <w:rsid w:val="00117D55"/>
    <w:rsid w:val="00117D8B"/>
    <w:rsid w:val="00117DF1"/>
    <w:rsid w:val="00117E19"/>
    <w:rsid w:val="00117EB1"/>
    <w:rsid w:val="00117F37"/>
    <w:rsid w:val="00120018"/>
    <w:rsid w:val="0012014E"/>
    <w:rsid w:val="00120152"/>
    <w:rsid w:val="001202BF"/>
    <w:rsid w:val="0012032F"/>
    <w:rsid w:val="00120409"/>
    <w:rsid w:val="00120527"/>
    <w:rsid w:val="001206CE"/>
    <w:rsid w:val="00120728"/>
    <w:rsid w:val="00120878"/>
    <w:rsid w:val="0012094E"/>
    <w:rsid w:val="00120B8A"/>
    <w:rsid w:val="00120DF2"/>
    <w:rsid w:val="00120F6B"/>
    <w:rsid w:val="001210E9"/>
    <w:rsid w:val="00121384"/>
    <w:rsid w:val="0012145D"/>
    <w:rsid w:val="00121881"/>
    <w:rsid w:val="001218FA"/>
    <w:rsid w:val="00121986"/>
    <w:rsid w:val="00121B20"/>
    <w:rsid w:val="00121E18"/>
    <w:rsid w:val="00121FD6"/>
    <w:rsid w:val="0012202D"/>
    <w:rsid w:val="0012226D"/>
    <w:rsid w:val="001226CD"/>
    <w:rsid w:val="001226CE"/>
    <w:rsid w:val="001228B1"/>
    <w:rsid w:val="00122930"/>
    <w:rsid w:val="00122A3E"/>
    <w:rsid w:val="00122AD4"/>
    <w:rsid w:val="00122B0B"/>
    <w:rsid w:val="00122C82"/>
    <w:rsid w:val="00122DC1"/>
    <w:rsid w:val="00122EBD"/>
    <w:rsid w:val="00122FCE"/>
    <w:rsid w:val="00123029"/>
    <w:rsid w:val="001231E2"/>
    <w:rsid w:val="00123486"/>
    <w:rsid w:val="001236F4"/>
    <w:rsid w:val="00123736"/>
    <w:rsid w:val="001237F4"/>
    <w:rsid w:val="00123829"/>
    <w:rsid w:val="0012386A"/>
    <w:rsid w:val="00123926"/>
    <w:rsid w:val="0012393E"/>
    <w:rsid w:val="00123A03"/>
    <w:rsid w:val="00123A09"/>
    <w:rsid w:val="00123C38"/>
    <w:rsid w:val="00123EA4"/>
    <w:rsid w:val="00123EB1"/>
    <w:rsid w:val="001244A8"/>
    <w:rsid w:val="001244B0"/>
    <w:rsid w:val="001244B3"/>
    <w:rsid w:val="00124510"/>
    <w:rsid w:val="001245AB"/>
    <w:rsid w:val="00124838"/>
    <w:rsid w:val="00124A5B"/>
    <w:rsid w:val="00124D81"/>
    <w:rsid w:val="00124EB7"/>
    <w:rsid w:val="00124FF3"/>
    <w:rsid w:val="0012501F"/>
    <w:rsid w:val="0012531E"/>
    <w:rsid w:val="00125426"/>
    <w:rsid w:val="00125509"/>
    <w:rsid w:val="00125538"/>
    <w:rsid w:val="001255CC"/>
    <w:rsid w:val="0012561C"/>
    <w:rsid w:val="001257B3"/>
    <w:rsid w:val="001257DF"/>
    <w:rsid w:val="00125F89"/>
    <w:rsid w:val="00125FDC"/>
    <w:rsid w:val="001261E4"/>
    <w:rsid w:val="00126230"/>
    <w:rsid w:val="0012632A"/>
    <w:rsid w:val="00126400"/>
    <w:rsid w:val="00126511"/>
    <w:rsid w:val="001265D1"/>
    <w:rsid w:val="00126689"/>
    <w:rsid w:val="0012675A"/>
    <w:rsid w:val="001267C5"/>
    <w:rsid w:val="00126ADF"/>
    <w:rsid w:val="00126BDE"/>
    <w:rsid w:val="00126D20"/>
    <w:rsid w:val="00126F8A"/>
    <w:rsid w:val="00126FB0"/>
    <w:rsid w:val="001270F9"/>
    <w:rsid w:val="00127229"/>
    <w:rsid w:val="0012746E"/>
    <w:rsid w:val="00127599"/>
    <w:rsid w:val="001275F7"/>
    <w:rsid w:val="001276CB"/>
    <w:rsid w:val="00127934"/>
    <w:rsid w:val="00127ACA"/>
    <w:rsid w:val="00127D64"/>
    <w:rsid w:val="00127E2C"/>
    <w:rsid w:val="00127ECA"/>
    <w:rsid w:val="00127F3C"/>
    <w:rsid w:val="00127F43"/>
    <w:rsid w:val="0013009F"/>
    <w:rsid w:val="001303F0"/>
    <w:rsid w:val="00130526"/>
    <w:rsid w:val="00130666"/>
    <w:rsid w:val="001307F4"/>
    <w:rsid w:val="001308FC"/>
    <w:rsid w:val="0013092B"/>
    <w:rsid w:val="00130D53"/>
    <w:rsid w:val="00130D72"/>
    <w:rsid w:val="00130E27"/>
    <w:rsid w:val="00130F35"/>
    <w:rsid w:val="00130F39"/>
    <w:rsid w:val="00130F3C"/>
    <w:rsid w:val="00130F7D"/>
    <w:rsid w:val="0013101E"/>
    <w:rsid w:val="0013104A"/>
    <w:rsid w:val="001310D6"/>
    <w:rsid w:val="001311C8"/>
    <w:rsid w:val="00131223"/>
    <w:rsid w:val="00131331"/>
    <w:rsid w:val="001315E6"/>
    <w:rsid w:val="00131843"/>
    <w:rsid w:val="00131845"/>
    <w:rsid w:val="0013186B"/>
    <w:rsid w:val="00131DFA"/>
    <w:rsid w:val="00131E20"/>
    <w:rsid w:val="00132037"/>
    <w:rsid w:val="0013219B"/>
    <w:rsid w:val="00132313"/>
    <w:rsid w:val="001324E1"/>
    <w:rsid w:val="001324FD"/>
    <w:rsid w:val="00132560"/>
    <w:rsid w:val="001326D3"/>
    <w:rsid w:val="001326DC"/>
    <w:rsid w:val="001328E9"/>
    <w:rsid w:val="0013291A"/>
    <w:rsid w:val="001329F4"/>
    <w:rsid w:val="00132AEE"/>
    <w:rsid w:val="00132BCB"/>
    <w:rsid w:val="00132DB7"/>
    <w:rsid w:val="00132DCB"/>
    <w:rsid w:val="00132DEB"/>
    <w:rsid w:val="00132E27"/>
    <w:rsid w:val="00133283"/>
    <w:rsid w:val="001336A0"/>
    <w:rsid w:val="00133707"/>
    <w:rsid w:val="001338D3"/>
    <w:rsid w:val="00133C61"/>
    <w:rsid w:val="00133C9B"/>
    <w:rsid w:val="00133ED9"/>
    <w:rsid w:val="00133F0E"/>
    <w:rsid w:val="00133FC9"/>
    <w:rsid w:val="00133FEE"/>
    <w:rsid w:val="00134109"/>
    <w:rsid w:val="0013414F"/>
    <w:rsid w:val="00134220"/>
    <w:rsid w:val="001342E2"/>
    <w:rsid w:val="001344F2"/>
    <w:rsid w:val="001344F3"/>
    <w:rsid w:val="0013466B"/>
    <w:rsid w:val="001346AF"/>
    <w:rsid w:val="00134A94"/>
    <w:rsid w:val="00134A9F"/>
    <w:rsid w:val="00134D24"/>
    <w:rsid w:val="00135006"/>
    <w:rsid w:val="001350D2"/>
    <w:rsid w:val="001352C7"/>
    <w:rsid w:val="001353C1"/>
    <w:rsid w:val="001353C7"/>
    <w:rsid w:val="00135626"/>
    <w:rsid w:val="00135761"/>
    <w:rsid w:val="001357A1"/>
    <w:rsid w:val="00135812"/>
    <w:rsid w:val="0013581D"/>
    <w:rsid w:val="001358BE"/>
    <w:rsid w:val="001359E2"/>
    <w:rsid w:val="00135BA1"/>
    <w:rsid w:val="00135C96"/>
    <w:rsid w:val="00135CB3"/>
    <w:rsid w:val="00135E9B"/>
    <w:rsid w:val="00135F39"/>
    <w:rsid w:val="00136001"/>
    <w:rsid w:val="001360AB"/>
    <w:rsid w:val="001360BD"/>
    <w:rsid w:val="001365BD"/>
    <w:rsid w:val="001365F4"/>
    <w:rsid w:val="001367B3"/>
    <w:rsid w:val="0013698C"/>
    <w:rsid w:val="00136BB2"/>
    <w:rsid w:val="00136BD3"/>
    <w:rsid w:val="00136DFB"/>
    <w:rsid w:val="00136FEE"/>
    <w:rsid w:val="001371C3"/>
    <w:rsid w:val="0013733E"/>
    <w:rsid w:val="001373F2"/>
    <w:rsid w:val="0013753B"/>
    <w:rsid w:val="0013757A"/>
    <w:rsid w:val="0013763A"/>
    <w:rsid w:val="00137724"/>
    <w:rsid w:val="001377D6"/>
    <w:rsid w:val="0013780E"/>
    <w:rsid w:val="00137B76"/>
    <w:rsid w:val="00137B87"/>
    <w:rsid w:val="00137E16"/>
    <w:rsid w:val="00137E51"/>
    <w:rsid w:val="00137EDD"/>
    <w:rsid w:val="001400E0"/>
    <w:rsid w:val="00140537"/>
    <w:rsid w:val="00140915"/>
    <w:rsid w:val="001409BC"/>
    <w:rsid w:val="00140A4D"/>
    <w:rsid w:val="00140B17"/>
    <w:rsid w:val="00140CFF"/>
    <w:rsid w:val="00140DB4"/>
    <w:rsid w:val="00140FCC"/>
    <w:rsid w:val="00141041"/>
    <w:rsid w:val="00141073"/>
    <w:rsid w:val="001410AA"/>
    <w:rsid w:val="001410D4"/>
    <w:rsid w:val="0014124F"/>
    <w:rsid w:val="001412B7"/>
    <w:rsid w:val="001413A0"/>
    <w:rsid w:val="00141446"/>
    <w:rsid w:val="00141570"/>
    <w:rsid w:val="001415D6"/>
    <w:rsid w:val="00141797"/>
    <w:rsid w:val="001417EC"/>
    <w:rsid w:val="00141A3B"/>
    <w:rsid w:val="00141A64"/>
    <w:rsid w:val="00141C88"/>
    <w:rsid w:val="00141CE8"/>
    <w:rsid w:val="00141D1F"/>
    <w:rsid w:val="001420D8"/>
    <w:rsid w:val="001423B6"/>
    <w:rsid w:val="0014268E"/>
    <w:rsid w:val="00142B31"/>
    <w:rsid w:val="00142C85"/>
    <w:rsid w:val="00142D3D"/>
    <w:rsid w:val="00142EA2"/>
    <w:rsid w:val="00142EB6"/>
    <w:rsid w:val="00143061"/>
    <w:rsid w:val="0014344E"/>
    <w:rsid w:val="001434BF"/>
    <w:rsid w:val="0014358F"/>
    <w:rsid w:val="00143623"/>
    <w:rsid w:val="001436B6"/>
    <w:rsid w:val="001436DB"/>
    <w:rsid w:val="001436FA"/>
    <w:rsid w:val="001437C0"/>
    <w:rsid w:val="001438D7"/>
    <w:rsid w:val="00143900"/>
    <w:rsid w:val="001439F9"/>
    <w:rsid w:val="00143B28"/>
    <w:rsid w:val="00143B2C"/>
    <w:rsid w:val="00143BD5"/>
    <w:rsid w:val="00143EDA"/>
    <w:rsid w:val="00143F8D"/>
    <w:rsid w:val="00144004"/>
    <w:rsid w:val="00144049"/>
    <w:rsid w:val="001441FC"/>
    <w:rsid w:val="0014425A"/>
    <w:rsid w:val="00144ADB"/>
    <w:rsid w:val="00144C22"/>
    <w:rsid w:val="00144D42"/>
    <w:rsid w:val="00144D64"/>
    <w:rsid w:val="00144E21"/>
    <w:rsid w:val="001452A1"/>
    <w:rsid w:val="0014539D"/>
    <w:rsid w:val="001453CB"/>
    <w:rsid w:val="0014543C"/>
    <w:rsid w:val="001456FD"/>
    <w:rsid w:val="00145A37"/>
    <w:rsid w:val="00145ABD"/>
    <w:rsid w:val="00145AC7"/>
    <w:rsid w:val="00145D26"/>
    <w:rsid w:val="00145E46"/>
    <w:rsid w:val="00146181"/>
    <w:rsid w:val="001462FC"/>
    <w:rsid w:val="00146410"/>
    <w:rsid w:val="001468B0"/>
    <w:rsid w:val="00146A54"/>
    <w:rsid w:val="00146A7B"/>
    <w:rsid w:val="00146BB5"/>
    <w:rsid w:val="00146ED3"/>
    <w:rsid w:val="00146FA5"/>
    <w:rsid w:val="00147043"/>
    <w:rsid w:val="00147121"/>
    <w:rsid w:val="00147188"/>
    <w:rsid w:val="0014721D"/>
    <w:rsid w:val="0014744E"/>
    <w:rsid w:val="0014764C"/>
    <w:rsid w:val="0014796E"/>
    <w:rsid w:val="00147C5C"/>
    <w:rsid w:val="00147DB2"/>
    <w:rsid w:val="00147DF4"/>
    <w:rsid w:val="00147EFF"/>
    <w:rsid w:val="00147F19"/>
    <w:rsid w:val="00150208"/>
    <w:rsid w:val="0015034C"/>
    <w:rsid w:val="001505EF"/>
    <w:rsid w:val="001507E8"/>
    <w:rsid w:val="00150A52"/>
    <w:rsid w:val="00150B08"/>
    <w:rsid w:val="00150DDC"/>
    <w:rsid w:val="00150EA4"/>
    <w:rsid w:val="00150F9F"/>
    <w:rsid w:val="001511D6"/>
    <w:rsid w:val="00151398"/>
    <w:rsid w:val="001513F2"/>
    <w:rsid w:val="0015150A"/>
    <w:rsid w:val="00151522"/>
    <w:rsid w:val="00151904"/>
    <w:rsid w:val="00151920"/>
    <w:rsid w:val="0015194F"/>
    <w:rsid w:val="00151C41"/>
    <w:rsid w:val="00151E50"/>
    <w:rsid w:val="00151EA8"/>
    <w:rsid w:val="00151ED6"/>
    <w:rsid w:val="0015229E"/>
    <w:rsid w:val="00152451"/>
    <w:rsid w:val="00152645"/>
    <w:rsid w:val="00152651"/>
    <w:rsid w:val="00152A59"/>
    <w:rsid w:val="00152B84"/>
    <w:rsid w:val="00152F6C"/>
    <w:rsid w:val="00152FEA"/>
    <w:rsid w:val="00153285"/>
    <w:rsid w:val="00153591"/>
    <w:rsid w:val="00153615"/>
    <w:rsid w:val="001536DC"/>
    <w:rsid w:val="00153B75"/>
    <w:rsid w:val="00153C9F"/>
    <w:rsid w:val="00153D73"/>
    <w:rsid w:val="00153E1B"/>
    <w:rsid w:val="00153E38"/>
    <w:rsid w:val="00153E5F"/>
    <w:rsid w:val="001542F5"/>
    <w:rsid w:val="00154408"/>
    <w:rsid w:val="0015443D"/>
    <w:rsid w:val="001544E6"/>
    <w:rsid w:val="00154557"/>
    <w:rsid w:val="0015457E"/>
    <w:rsid w:val="00154594"/>
    <w:rsid w:val="001546EC"/>
    <w:rsid w:val="00154790"/>
    <w:rsid w:val="001547C5"/>
    <w:rsid w:val="0015481B"/>
    <w:rsid w:val="00154AA3"/>
    <w:rsid w:val="00154AA8"/>
    <w:rsid w:val="00154E3C"/>
    <w:rsid w:val="00154E78"/>
    <w:rsid w:val="00154F0F"/>
    <w:rsid w:val="00155035"/>
    <w:rsid w:val="00155257"/>
    <w:rsid w:val="001552F0"/>
    <w:rsid w:val="00155375"/>
    <w:rsid w:val="0015550A"/>
    <w:rsid w:val="00155519"/>
    <w:rsid w:val="001555D1"/>
    <w:rsid w:val="001557C4"/>
    <w:rsid w:val="001558AA"/>
    <w:rsid w:val="00155A0D"/>
    <w:rsid w:val="00155E05"/>
    <w:rsid w:val="00155E2E"/>
    <w:rsid w:val="00155E75"/>
    <w:rsid w:val="00155F50"/>
    <w:rsid w:val="00156054"/>
    <w:rsid w:val="00156334"/>
    <w:rsid w:val="001563B6"/>
    <w:rsid w:val="001565F2"/>
    <w:rsid w:val="00156693"/>
    <w:rsid w:val="00156835"/>
    <w:rsid w:val="00156867"/>
    <w:rsid w:val="00156A02"/>
    <w:rsid w:val="00156B1D"/>
    <w:rsid w:val="00156B42"/>
    <w:rsid w:val="00156BBF"/>
    <w:rsid w:val="00156BDA"/>
    <w:rsid w:val="00156D3A"/>
    <w:rsid w:val="00156EB1"/>
    <w:rsid w:val="00156ED8"/>
    <w:rsid w:val="001575D6"/>
    <w:rsid w:val="001576F6"/>
    <w:rsid w:val="00157951"/>
    <w:rsid w:val="00157D76"/>
    <w:rsid w:val="00157F9C"/>
    <w:rsid w:val="0016012A"/>
    <w:rsid w:val="00160557"/>
    <w:rsid w:val="00160627"/>
    <w:rsid w:val="00160640"/>
    <w:rsid w:val="0016078F"/>
    <w:rsid w:val="00160932"/>
    <w:rsid w:val="0016099E"/>
    <w:rsid w:val="001609B6"/>
    <w:rsid w:val="00160E16"/>
    <w:rsid w:val="00161020"/>
    <w:rsid w:val="001611BE"/>
    <w:rsid w:val="0016123A"/>
    <w:rsid w:val="001613CC"/>
    <w:rsid w:val="001615F1"/>
    <w:rsid w:val="00161611"/>
    <w:rsid w:val="0016171D"/>
    <w:rsid w:val="00161723"/>
    <w:rsid w:val="00161AD5"/>
    <w:rsid w:val="00161B96"/>
    <w:rsid w:val="00161BCB"/>
    <w:rsid w:val="00161CB4"/>
    <w:rsid w:val="00161D65"/>
    <w:rsid w:val="00161FC5"/>
    <w:rsid w:val="00162002"/>
    <w:rsid w:val="00162020"/>
    <w:rsid w:val="0016225B"/>
    <w:rsid w:val="001622BA"/>
    <w:rsid w:val="001623EE"/>
    <w:rsid w:val="0016255C"/>
    <w:rsid w:val="00162716"/>
    <w:rsid w:val="0016276B"/>
    <w:rsid w:val="0016276C"/>
    <w:rsid w:val="001628D0"/>
    <w:rsid w:val="00162935"/>
    <w:rsid w:val="001629EB"/>
    <w:rsid w:val="001629FE"/>
    <w:rsid w:val="00162C19"/>
    <w:rsid w:val="00162FA0"/>
    <w:rsid w:val="001630F5"/>
    <w:rsid w:val="0016323C"/>
    <w:rsid w:val="0016368D"/>
    <w:rsid w:val="00163739"/>
    <w:rsid w:val="0016378B"/>
    <w:rsid w:val="00163854"/>
    <w:rsid w:val="001638F1"/>
    <w:rsid w:val="00163A43"/>
    <w:rsid w:val="00163BB3"/>
    <w:rsid w:val="00163C5A"/>
    <w:rsid w:val="00163CFD"/>
    <w:rsid w:val="00163D2B"/>
    <w:rsid w:val="00163E48"/>
    <w:rsid w:val="00163FC9"/>
    <w:rsid w:val="0016418D"/>
    <w:rsid w:val="001644BD"/>
    <w:rsid w:val="001644C3"/>
    <w:rsid w:val="00164599"/>
    <w:rsid w:val="001645C7"/>
    <w:rsid w:val="001646DC"/>
    <w:rsid w:val="00164A55"/>
    <w:rsid w:val="00164B3E"/>
    <w:rsid w:val="00164D85"/>
    <w:rsid w:val="00164DB3"/>
    <w:rsid w:val="00164F63"/>
    <w:rsid w:val="00164F68"/>
    <w:rsid w:val="00165155"/>
    <w:rsid w:val="00165342"/>
    <w:rsid w:val="00165472"/>
    <w:rsid w:val="0016554A"/>
    <w:rsid w:val="00165598"/>
    <w:rsid w:val="001655A2"/>
    <w:rsid w:val="00165754"/>
    <w:rsid w:val="001658C0"/>
    <w:rsid w:val="001658C4"/>
    <w:rsid w:val="00165C58"/>
    <w:rsid w:val="00165CB2"/>
    <w:rsid w:val="00165CF3"/>
    <w:rsid w:val="00165DC8"/>
    <w:rsid w:val="00165E2B"/>
    <w:rsid w:val="00165E94"/>
    <w:rsid w:val="0016600F"/>
    <w:rsid w:val="0016607B"/>
    <w:rsid w:val="0016629C"/>
    <w:rsid w:val="0016664E"/>
    <w:rsid w:val="00166673"/>
    <w:rsid w:val="00166684"/>
    <w:rsid w:val="00166A0C"/>
    <w:rsid w:val="00166AAB"/>
    <w:rsid w:val="00166DA2"/>
    <w:rsid w:val="00166DFF"/>
    <w:rsid w:val="00166E5A"/>
    <w:rsid w:val="00166E8D"/>
    <w:rsid w:val="00167069"/>
    <w:rsid w:val="0016727E"/>
    <w:rsid w:val="001672C2"/>
    <w:rsid w:val="001673AA"/>
    <w:rsid w:val="001674CF"/>
    <w:rsid w:val="001678D7"/>
    <w:rsid w:val="001679E8"/>
    <w:rsid w:val="00167B19"/>
    <w:rsid w:val="00167C3D"/>
    <w:rsid w:val="00167F48"/>
    <w:rsid w:val="00170357"/>
    <w:rsid w:val="00170358"/>
    <w:rsid w:val="00170464"/>
    <w:rsid w:val="0017052E"/>
    <w:rsid w:val="00170904"/>
    <w:rsid w:val="00170A2A"/>
    <w:rsid w:val="00170A4C"/>
    <w:rsid w:val="00170AA9"/>
    <w:rsid w:val="00170D1E"/>
    <w:rsid w:val="00170E08"/>
    <w:rsid w:val="00170F0D"/>
    <w:rsid w:val="00170F56"/>
    <w:rsid w:val="0017119B"/>
    <w:rsid w:val="0017129F"/>
    <w:rsid w:val="00171319"/>
    <w:rsid w:val="0017154F"/>
    <w:rsid w:val="001715C4"/>
    <w:rsid w:val="0017162D"/>
    <w:rsid w:val="0017186D"/>
    <w:rsid w:val="00171920"/>
    <w:rsid w:val="00171976"/>
    <w:rsid w:val="00171A69"/>
    <w:rsid w:val="00171C42"/>
    <w:rsid w:val="00171CA3"/>
    <w:rsid w:val="00171D01"/>
    <w:rsid w:val="00171DBF"/>
    <w:rsid w:val="00171F6C"/>
    <w:rsid w:val="00171FB4"/>
    <w:rsid w:val="00172198"/>
    <w:rsid w:val="0017239B"/>
    <w:rsid w:val="001724AF"/>
    <w:rsid w:val="001726D1"/>
    <w:rsid w:val="00172958"/>
    <w:rsid w:val="00172965"/>
    <w:rsid w:val="001729EE"/>
    <w:rsid w:val="00172CD9"/>
    <w:rsid w:val="00172F4B"/>
    <w:rsid w:val="00172FD6"/>
    <w:rsid w:val="0017318F"/>
    <w:rsid w:val="0017333A"/>
    <w:rsid w:val="00173386"/>
    <w:rsid w:val="001733F8"/>
    <w:rsid w:val="001737F9"/>
    <w:rsid w:val="0017386F"/>
    <w:rsid w:val="00173C06"/>
    <w:rsid w:val="00173C8E"/>
    <w:rsid w:val="00173EC8"/>
    <w:rsid w:val="00174003"/>
    <w:rsid w:val="00174383"/>
    <w:rsid w:val="001743FC"/>
    <w:rsid w:val="001744A4"/>
    <w:rsid w:val="00174588"/>
    <w:rsid w:val="0017493F"/>
    <w:rsid w:val="001749BB"/>
    <w:rsid w:val="00174AE0"/>
    <w:rsid w:val="00174C3C"/>
    <w:rsid w:val="00174EF3"/>
    <w:rsid w:val="00175170"/>
    <w:rsid w:val="0017557A"/>
    <w:rsid w:val="001755A0"/>
    <w:rsid w:val="001755DE"/>
    <w:rsid w:val="00175679"/>
    <w:rsid w:val="00175AA7"/>
    <w:rsid w:val="00175ACB"/>
    <w:rsid w:val="00175B13"/>
    <w:rsid w:val="00175FD9"/>
    <w:rsid w:val="00176033"/>
    <w:rsid w:val="0017606E"/>
    <w:rsid w:val="001761AF"/>
    <w:rsid w:val="00176373"/>
    <w:rsid w:val="0017640F"/>
    <w:rsid w:val="00176413"/>
    <w:rsid w:val="001765B1"/>
    <w:rsid w:val="00176648"/>
    <w:rsid w:val="00176652"/>
    <w:rsid w:val="0017666F"/>
    <w:rsid w:val="001766E0"/>
    <w:rsid w:val="00176802"/>
    <w:rsid w:val="0017681F"/>
    <w:rsid w:val="00176864"/>
    <w:rsid w:val="00176884"/>
    <w:rsid w:val="00176973"/>
    <w:rsid w:val="001769F1"/>
    <w:rsid w:val="00176AE7"/>
    <w:rsid w:val="00176B5A"/>
    <w:rsid w:val="00176C95"/>
    <w:rsid w:val="00176CF4"/>
    <w:rsid w:val="00176DAA"/>
    <w:rsid w:val="00176E08"/>
    <w:rsid w:val="00177027"/>
    <w:rsid w:val="001770DF"/>
    <w:rsid w:val="00177305"/>
    <w:rsid w:val="0017752E"/>
    <w:rsid w:val="001775B7"/>
    <w:rsid w:val="001777A0"/>
    <w:rsid w:val="001779FA"/>
    <w:rsid w:val="00177B81"/>
    <w:rsid w:val="00177C44"/>
    <w:rsid w:val="00177D74"/>
    <w:rsid w:val="00177DBB"/>
    <w:rsid w:val="0018010C"/>
    <w:rsid w:val="0018029C"/>
    <w:rsid w:val="00180351"/>
    <w:rsid w:val="00180743"/>
    <w:rsid w:val="001807DC"/>
    <w:rsid w:val="00180805"/>
    <w:rsid w:val="001808FD"/>
    <w:rsid w:val="00180965"/>
    <w:rsid w:val="00180A23"/>
    <w:rsid w:val="00180AAD"/>
    <w:rsid w:val="00180C5D"/>
    <w:rsid w:val="00180DCC"/>
    <w:rsid w:val="00180E46"/>
    <w:rsid w:val="00180EA7"/>
    <w:rsid w:val="00180EFF"/>
    <w:rsid w:val="00180FDE"/>
    <w:rsid w:val="00181147"/>
    <w:rsid w:val="001812E3"/>
    <w:rsid w:val="001812F3"/>
    <w:rsid w:val="0018131A"/>
    <w:rsid w:val="001814CD"/>
    <w:rsid w:val="0018151C"/>
    <w:rsid w:val="0018156E"/>
    <w:rsid w:val="001815AE"/>
    <w:rsid w:val="00181612"/>
    <w:rsid w:val="00181781"/>
    <w:rsid w:val="00181B2F"/>
    <w:rsid w:val="00181BD3"/>
    <w:rsid w:val="00181CFB"/>
    <w:rsid w:val="00181DE6"/>
    <w:rsid w:val="00181F70"/>
    <w:rsid w:val="00181FC7"/>
    <w:rsid w:val="0018205F"/>
    <w:rsid w:val="00182091"/>
    <w:rsid w:val="001822E1"/>
    <w:rsid w:val="00182304"/>
    <w:rsid w:val="00182395"/>
    <w:rsid w:val="00182419"/>
    <w:rsid w:val="001824C2"/>
    <w:rsid w:val="00182562"/>
    <w:rsid w:val="001825AA"/>
    <w:rsid w:val="001825D2"/>
    <w:rsid w:val="00182621"/>
    <w:rsid w:val="001826F3"/>
    <w:rsid w:val="00182786"/>
    <w:rsid w:val="001827EF"/>
    <w:rsid w:val="0018295A"/>
    <w:rsid w:val="00182AAF"/>
    <w:rsid w:val="00182B89"/>
    <w:rsid w:val="00182D9A"/>
    <w:rsid w:val="00182DEF"/>
    <w:rsid w:val="00182E42"/>
    <w:rsid w:val="00182E5C"/>
    <w:rsid w:val="00182E94"/>
    <w:rsid w:val="00182FD6"/>
    <w:rsid w:val="001830FE"/>
    <w:rsid w:val="001832F8"/>
    <w:rsid w:val="00183306"/>
    <w:rsid w:val="0018344E"/>
    <w:rsid w:val="00183545"/>
    <w:rsid w:val="001835EA"/>
    <w:rsid w:val="0018365F"/>
    <w:rsid w:val="00183690"/>
    <w:rsid w:val="001836F0"/>
    <w:rsid w:val="00183707"/>
    <w:rsid w:val="00183775"/>
    <w:rsid w:val="00183829"/>
    <w:rsid w:val="0018399E"/>
    <w:rsid w:val="00183F20"/>
    <w:rsid w:val="0018402C"/>
    <w:rsid w:val="00184099"/>
    <w:rsid w:val="001842CF"/>
    <w:rsid w:val="001842FA"/>
    <w:rsid w:val="0018437D"/>
    <w:rsid w:val="001845B5"/>
    <w:rsid w:val="001845E6"/>
    <w:rsid w:val="00184656"/>
    <w:rsid w:val="001849A4"/>
    <w:rsid w:val="001849FE"/>
    <w:rsid w:val="00184A6C"/>
    <w:rsid w:val="00184AF7"/>
    <w:rsid w:val="00184C59"/>
    <w:rsid w:val="00184F50"/>
    <w:rsid w:val="0018514C"/>
    <w:rsid w:val="001853FF"/>
    <w:rsid w:val="001855CB"/>
    <w:rsid w:val="00185773"/>
    <w:rsid w:val="001858B8"/>
    <w:rsid w:val="00185A99"/>
    <w:rsid w:val="00185C24"/>
    <w:rsid w:val="00185D5C"/>
    <w:rsid w:val="00185D60"/>
    <w:rsid w:val="00186126"/>
    <w:rsid w:val="0018625D"/>
    <w:rsid w:val="0018626E"/>
    <w:rsid w:val="001863F3"/>
    <w:rsid w:val="00186476"/>
    <w:rsid w:val="001864BF"/>
    <w:rsid w:val="001864ED"/>
    <w:rsid w:val="00186729"/>
    <w:rsid w:val="001869A2"/>
    <w:rsid w:val="001869EC"/>
    <w:rsid w:val="00186A56"/>
    <w:rsid w:val="00186B6B"/>
    <w:rsid w:val="00186B7C"/>
    <w:rsid w:val="00186C2B"/>
    <w:rsid w:val="00186C88"/>
    <w:rsid w:val="00186FF9"/>
    <w:rsid w:val="00187050"/>
    <w:rsid w:val="001870A8"/>
    <w:rsid w:val="001873C4"/>
    <w:rsid w:val="0018740A"/>
    <w:rsid w:val="0018750E"/>
    <w:rsid w:val="00187655"/>
    <w:rsid w:val="001876D6"/>
    <w:rsid w:val="001878FB"/>
    <w:rsid w:val="00187951"/>
    <w:rsid w:val="00187A58"/>
    <w:rsid w:val="00187EB5"/>
    <w:rsid w:val="00187FCB"/>
    <w:rsid w:val="00190096"/>
    <w:rsid w:val="001903C5"/>
    <w:rsid w:val="00190447"/>
    <w:rsid w:val="001904ED"/>
    <w:rsid w:val="00190531"/>
    <w:rsid w:val="00190559"/>
    <w:rsid w:val="001905F1"/>
    <w:rsid w:val="00190605"/>
    <w:rsid w:val="001906BA"/>
    <w:rsid w:val="00190B9B"/>
    <w:rsid w:val="00190D20"/>
    <w:rsid w:val="00190D3A"/>
    <w:rsid w:val="00190DCC"/>
    <w:rsid w:val="00190F84"/>
    <w:rsid w:val="00191035"/>
    <w:rsid w:val="001912B7"/>
    <w:rsid w:val="001916E4"/>
    <w:rsid w:val="00191755"/>
    <w:rsid w:val="001918C3"/>
    <w:rsid w:val="00191B43"/>
    <w:rsid w:val="00191BE5"/>
    <w:rsid w:val="00191E10"/>
    <w:rsid w:val="00191E75"/>
    <w:rsid w:val="00191EE5"/>
    <w:rsid w:val="00191FF2"/>
    <w:rsid w:val="001922E9"/>
    <w:rsid w:val="00192307"/>
    <w:rsid w:val="00192334"/>
    <w:rsid w:val="0019233C"/>
    <w:rsid w:val="001926B5"/>
    <w:rsid w:val="00192711"/>
    <w:rsid w:val="001928D8"/>
    <w:rsid w:val="00192A4A"/>
    <w:rsid w:val="00193097"/>
    <w:rsid w:val="00193181"/>
    <w:rsid w:val="00193299"/>
    <w:rsid w:val="00193419"/>
    <w:rsid w:val="00193503"/>
    <w:rsid w:val="00193528"/>
    <w:rsid w:val="001935ED"/>
    <w:rsid w:val="0019361B"/>
    <w:rsid w:val="00193648"/>
    <w:rsid w:val="00193844"/>
    <w:rsid w:val="00193B52"/>
    <w:rsid w:val="00193C92"/>
    <w:rsid w:val="00193D72"/>
    <w:rsid w:val="00193DB5"/>
    <w:rsid w:val="00193E03"/>
    <w:rsid w:val="00194168"/>
    <w:rsid w:val="001946D2"/>
    <w:rsid w:val="001947B1"/>
    <w:rsid w:val="001947CA"/>
    <w:rsid w:val="001948A0"/>
    <w:rsid w:val="00194D8E"/>
    <w:rsid w:val="00194DF9"/>
    <w:rsid w:val="001950B0"/>
    <w:rsid w:val="0019510D"/>
    <w:rsid w:val="00195258"/>
    <w:rsid w:val="0019528B"/>
    <w:rsid w:val="001952D6"/>
    <w:rsid w:val="00195314"/>
    <w:rsid w:val="00195359"/>
    <w:rsid w:val="001954DF"/>
    <w:rsid w:val="00195597"/>
    <w:rsid w:val="00195A5C"/>
    <w:rsid w:val="00195A99"/>
    <w:rsid w:val="00196006"/>
    <w:rsid w:val="0019606E"/>
    <w:rsid w:val="001962E0"/>
    <w:rsid w:val="0019646B"/>
    <w:rsid w:val="001965AE"/>
    <w:rsid w:val="001965D8"/>
    <w:rsid w:val="0019674A"/>
    <w:rsid w:val="00196757"/>
    <w:rsid w:val="00196774"/>
    <w:rsid w:val="00196B09"/>
    <w:rsid w:val="00196B85"/>
    <w:rsid w:val="00196DF7"/>
    <w:rsid w:val="00196F25"/>
    <w:rsid w:val="001972C1"/>
    <w:rsid w:val="001972D5"/>
    <w:rsid w:val="0019776D"/>
    <w:rsid w:val="001977F0"/>
    <w:rsid w:val="001979B3"/>
    <w:rsid w:val="00197A11"/>
    <w:rsid w:val="00197A19"/>
    <w:rsid w:val="00197D60"/>
    <w:rsid w:val="00197F80"/>
    <w:rsid w:val="001A038F"/>
    <w:rsid w:val="001A03D3"/>
    <w:rsid w:val="001A05CF"/>
    <w:rsid w:val="001A0673"/>
    <w:rsid w:val="001A06DD"/>
    <w:rsid w:val="001A0732"/>
    <w:rsid w:val="001A08C5"/>
    <w:rsid w:val="001A09AD"/>
    <w:rsid w:val="001A0B37"/>
    <w:rsid w:val="001A0BEF"/>
    <w:rsid w:val="001A0CBC"/>
    <w:rsid w:val="001A0EDD"/>
    <w:rsid w:val="001A103D"/>
    <w:rsid w:val="001A1469"/>
    <w:rsid w:val="001A1544"/>
    <w:rsid w:val="001A155F"/>
    <w:rsid w:val="001A16C8"/>
    <w:rsid w:val="001A1A93"/>
    <w:rsid w:val="001A1B0E"/>
    <w:rsid w:val="001A1B98"/>
    <w:rsid w:val="001A1C8B"/>
    <w:rsid w:val="001A1C8D"/>
    <w:rsid w:val="001A1E9F"/>
    <w:rsid w:val="001A1EFC"/>
    <w:rsid w:val="001A1FAB"/>
    <w:rsid w:val="001A1FF3"/>
    <w:rsid w:val="001A2058"/>
    <w:rsid w:val="001A2192"/>
    <w:rsid w:val="001A2605"/>
    <w:rsid w:val="001A282C"/>
    <w:rsid w:val="001A2F20"/>
    <w:rsid w:val="001A2F9E"/>
    <w:rsid w:val="001A30F9"/>
    <w:rsid w:val="001A375F"/>
    <w:rsid w:val="001A3823"/>
    <w:rsid w:val="001A3B86"/>
    <w:rsid w:val="001A3F21"/>
    <w:rsid w:val="001A430F"/>
    <w:rsid w:val="001A43B0"/>
    <w:rsid w:val="001A454B"/>
    <w:rsid w:val="001A4895"/>
    <w:rsid w:val="001A49BE"/>
    <w:rsid w:val="001A4B0B"/>
    <w:rsid w:val="001A4C7F"/>
    <w:rsid w:val="001A4CDF"/>
    <w:rsid w:val="001A4FCE"/>
    <w:rsid w:val="001A4FEB"/>
    <w:rsid w:val="001A51EE"/>
    <w:rsid w:val="001A5574"/>
    <w:rsid w:val="001A5638"/>
    <w:rsid w:val="001A5672"/>
    <w:rsid w:val="001A57B0"/>
    <w:rsid w:val="001A5986"/>
    <w:rsid w:val="001A5EAB"/>
    <w:rsid w:val="001A5F4D"/>
    <w:rsid w:val="001A66F3"/>
    <w:rsid w:val="001A679B"/>
    <w:rsid w:val="001A6A4E"/>
    <w:rsid w:val="001A6B0F"/>
    <w:rsid w:val="001A6E74"/>
    <w:rsid w:val="001A6EF8"/>
    <w:rsid w:val="001A714F"/>
    <w:rsid w:val="001A71F5"/>
    <w:rsid w:val="001A7335"/>
    <w:rsid w:val="001A74A8"/>
    <w:rsid w:val="001A7546"/>
    <w:rsid w:val="001A75BB"/>
    <w:rsid w:val="001A76EE"/>
    <w:rsid w:val="001A77F2"/>
    <w:rsid w:val="001A78B0"/>
    <w:rsid w:val="001A7A5D"/>
    <w:rsid w:val="001A7FC0"/>
    <w:rsid w:val="001B0023"/>
    <w:rsid w:val="001B01FC"/>
    <w:rsid w:val="001B0210"/>
    <w:rsid w:val="001B0454"/>
    <w:rsid w:val="001B0649"/>
    <w:rsid w:val="001B0726"/>
    <w:rsid w:val="001B0913"/>
    <w:rsid w:val="001B0A4E"/>
    <w:rsid w:val="001B0A5C"/>
    <w:rsid w:val="001B0ACC"/>
    <w:rsid w:val="001B0B43"/>
    <w:rsid w:val="001B1018"/>
    <w:rsid w:val="001B110E"/>
    <w:rsid w:val="001B1260"/>
    <w:rsid w:val="001B1741"/>
    <w:rsid w:val="001B1860"/>
    <w:rsid w:val="001B1965"/>
    <w:rsid w:val="001B1A20"/>
    <w:rsid w:val="001B1EC0"/>
    <w:rsid w:val="001B1EDA"/>
    <w:rsid w:val="001B26CE"/>
    <w:rsid w:val="001B280E"/>
    <w:rsid w:val="001B2A40"/>
    <w:rsid w:val="001B2C00"/>
    <w:rsid w:val="001B2E2F"/>
    <w:rsid w:val="001B2E47"/>
    <w:rsid w:val="001B2F1E"/>
    <w:rsid w:val="001B2F25"/>
    <w:rsid w:val="001B366B"/>
    <w:rsid w:val="001B366F"/>
    <w:rsid w:val="001B371E"/>
    <w:rsid w:val="001B3897"/>
    <w:rsid w:val="001B3A12"/>
    <w:rsid w:val="001B3A93"/>
    <w:rsid w:val="001B3D1A"/>
    <w:rsid w:val="001B3D5C"/>
    <w:rsid w:val="001B3FDF"/>
    <w:rsid w:val="001B412B"/>
    <w:rsid w:val="001B41E1"/>
    <w:rsid w:val="001B4249"/>
    <w:rsid w:val="001B445E"/>
    <w:rsid w:val="001B46F7"/>
    <w:rsid w:val="001B4743"/>
    <w:rsid w:val="001B47BA"/>
    <w:rsid w:val="001B4804"/>
    <w:rsid w:val="001B486D"/>
    <w:rsid w:val="001B48BF"/>
    <w:rsid w:val="001B490A"/>
    <w:rsid w:val="001B49A1"/>
    <w:rsid w:val="001B4A12"/>
    <w:rsid w:val="001B4A46"/>
    <w:rsid w:val="001B4D75"/>
    <w:rsid w:val="001B5269"/>
    <w:rsid w:val="001B53BF"/>
    <w:rsid w:val="001B54EC"/>
    <w:rsid w:val="001B565E"/>
    <w:rsid w:val="001B56DA"/>
    <w:rsid w:val="001B578C"/>
    <w:rsid w:val="001B592F"/>
    <w:rsid w:val="001B5A01"/>
    <w:rsid w:val="001B5BEA"/>
    <w:rsid w:val="001B5C8C"/>
    <w:rsid w:val="001B5D38"/>
    <w:rsid w:val="001B6055"/>
    <w:rsid w:val="001B61CD"/>
    <w:rsid w:val="001B622E"/>
    <w:rsid w:val="001B6487"/>
    <w:rsid w:val="001B6706"/>
    <w:rsid w:val="001B67B9"/>
    <w:rsid w:val="001B67DA"/>
    <w:rsid w:val="001B6A7C"/>
    <w:rsid w:val="001B6AD5"/>
    <w:rsid w:val="001B6C59"/>
    <w:rsid w:val="001B71F0"/>
    <w:rsid w:val="001B7442"/>
    <w:rsid w:val="001B76FB"/>
    <w:rsid w:val="001B777C"/>
    <w:rsid w:val="001B7855"/>
    <w:rsid w:val="001B78DA"/>
    <w:rsid w:val="001B78F1"/>
    <w:rsid w:val="001B7971"/>
    <w:rsid w:val="001B7AFA"/>
    <w:rsid w:val="001B7B69"/>
    <w:rsid w:val="001B7BE3"/>
    <w:rsid w:val="001B7E0C"/>
    <w:rsid w:val="001B7F41"/>
    <w:rsid w:val="001C04DD"/>
    <w:rsid w:val="001C0688"/>
    <w:rsid w:val="001C07B3"/>
    <w:rsid w:val="001C09C6"/>
    <w:rsid w:val="001C0A49"/>
    <w:rsid w:val="001C0B84"/>
    <w:rsid w:val="001C0C6E"/>
    <w:rsid w:val="001C0CE4"/>
    <w:rsid w:val="001C0DF3"/>
    <w:rsid w:val="001C0F53"/>
    <w:rsid w:val="001C0F67"/>
    <w:rsid w:val="001C0F81"/>
    <w:rsid w:val="001C11A5"/>
    <w:rsid w:val="001C136F"/>
    <w:rsid w:val="001C149E"/>
    <w:rsid w:val="001C1893"/>
    <w:rsid w:val="001C1994"/>
    <w:rsid w:val="001C1AA2"/>
    <w:rsid w:val="001C1AF0"/>
    <w:rsid w:val="001C1B49"/>
    <w:rsid w:val="001C1B8B"/>
    <w:rsid w:val="001C1BDE"/>
    <w:rsid w:val="001C1CF7"/>
    <w:rsid w:val="001C1D32"/>
    <w:rsid w:val="001C1E09"/>
    <w:rsid w:val="001C1F5F"/>
    <w:rsid w:val="001C2185"/>
    <w:rsid w:val="001C225C"/>
    <w:rsid w:val="001C2503"/>
    <w:rsid w:val="001C264D"/>
    <w:rsid w:val="001C2650"/>
    <w:rsid w:val="001C269F"/>
    <w:rsid w:val="001C27EC"/>
    <w:rsid w:val="001C2836"/>
    <w:rsid w:val="001C2895"/>
    <w:rsid w:val="001C2A0B"/>
    <w:rsid w:val="001C2B4B"/>
    <w:rsid w:val="001C2D80"/>
    <w:rsid w:val="001C2DEB"/>
    <w:rsid w:val="001C2E7F"/>
    <w:rsid w:val="001C2ED8"/>
    <w:rsid w:val="001C2EFD"/>
    <w:rsid w:val="001C2F95"/>
    <w:rsid w:val="001C2FEE"/>
    <w:rsid w:val="001C3121"/>
    <w:rsid w:val="001C32C2"/>
    <w:rsid w:val="001C3379"/>
    <w:rsid w:val="001C3531"/>
    <w:rsid w:val="001C3ABF"/>
    <w:rsid w:val="001C3B0C"/>
    <w:rsid w:val="001C3B32"/>
    <w:rsid w:val="001C3B5A"/>
    <w:rsid w:val="001C3BF2"/>
    <w:rsid w:val="001C3C1C"/>
    <w:rsid w:val="001C3C72"/>
    <w:rsid w:val="001C3D5D"/>
    <w:rsid w:val="001C3DBB"/>
    <w:rsid w:val="001C3F3B"/>
    <w:rsid w:val="001C3F81"/>
    <w:rsid w:val="001C40D2"/>
    <w:rsid w:val="001C415F"/>
    <w:rsid w:val="001C4184"/>
    <w:rsid w:val="001C436F"/>
    <w:rsid w:val="001C448E"/>
    <w:rsid w:val="001C448F"/>
    <w:rsid w:val="001C44C7"/>
    <w:rsid w:val="001C4505"/>
    <w:rsid w:val="001C4616"/>
    <w:rsid w:val="001C4683"/>
    <w:rsid w:val="001C4783"/>
    <w:rsid w:val="001C4BFC"/>
    <w:rsid w:val="001C4E76"/>
    <w:rsid w:val="001C5140"/>
    <w:rsid w:val="001C529E"/>
    <w:rsid w:val="001C550E"/>
    <w:rsid w:val="001C57BB"/>
    <w:rsid w:val="001C58B7"/>
    <w:rsid w:val="001C594F"/>
    <w:rsid w:val="001C59D8"/>
    <w:rsid w:val="001C5A1A"/>
    <w:rsid w:val="001C5A42"/>
    <w:rsid w:val="001C5BA9"/>
    <w:rsid w:val="001C5C24"/>
    <w:rsid w:val="001C5CF0"/>
    <w:rsid w:val="001C5D89"/>
    <w:rsid w:val="001C5EA3"/>
    <w:rsid w:val="001C5EF2"/>
    <w:rsid w:val="001C5EF9"/>
    <w:rsid w:val="001C603A"/>
    <w:rsid w:val="001C625A"/>
    <w:rsid w:val="001C65C0"/>
    <w:rsid w:val="001C6B63"/>
    <w:rsid w:val="001C6BEF"/>
    <w:rsid w:val="001C6CF9"/>
    <w:rsid w:val="001C6E6E"/>
    <w:rsid w:val="001C6F7C"/>
    <w:rsid w:val="001C7042"/>
    <w:rsid w:val="001C705A"/>
    <w:rsid w:val="001C712B"/>
    <w:rsid w:val="001C7402"/>
    <w:rsid w:val="001C7456"/>
    <w:rsid w:val="001C75AA"/>
    <w:rsid w:val="001C75D5"/>
    <w:rsid w:val="001C7638"/>
    <w:rsid w:val="001C76C4"/>
    <w:rsid w:val="001C776F"/>
    <w:rsid w:val="001C77D6"/>
    <w:rsid w:val="001C7832"/>
    <w:rsid w:val="001C78BB"/>
    <w:rsid w:val="001C7A86"/>
    <w:rsid w:val="001C7A9D"/>
    <w:rsid w:val="001C7CB6"/>
    <w:rsid w:val="001C7D2A"/>
    <w:rsid w:val="001C7D5B"/>
    <w:rsid w:val="001C7FED"/>
    <w:rsid w:val="001D0109"/>
    <w:rsid w:val="001D010C"/>
    <w:rsid w:val="001D024E"/>
    <w:rsid w:val="001D030F"/>
    <w:rsid w:val="001D0310"/>
    <w:rsid w:val="001D03D7"/>
    <w:rsid w:val="001D040F"/>
    <w:rsid w:val="001D0412"/>
    <w:rsid w:val="001D04A0"/>
    <w:rsid w:val="001D0609"/>
    <w:rsid w:val="001D0658"/>
    <w:rsid w:val="001D067D"/>
    <w:rsid w:val="001D06C2"/>
    <w:rsid w:val="001D06E1"/>
    <w:rsid w:val="001D07C5"/>
    <w:rsid w:val="001D0A6C"/>
    <w:rsid w:val="001D0A91"/>
    <w:rsid w:val="001D0D75"/>
    <w:rsid w:val="001D0E10"/>
    <w:rsid w:val="001D0EB7"/>
    <w:rsid w:val="001D13EC"/>
    <w:rsid w:val="001D155C"/>
    <w:rsid w:val="001D1658"/>
    <w:rsid w:val="001D17A7"/>
    <w:rsid w:val="001D19B6"/>
    <w:rsid w:val="001D19F8"/>
    <w:rsid w:val="001D1AE9"/>
    <w:rsid w:val="001D1B65"/>
    <w:rsid w:val="001D1B79"/>
    <w:rsid w:val="001D1B9A"/>
    <w:rsid w:val="001D2351"/>
    <w:rsid w:val="001D2369"/>
    <w:rsid w:val="001D2442"/>
    <w:rsid w:val="001D2465"/>
    <w:rsid w:val="001D2717"/>
    <w:rsid w:val="001D2795"/>
    <w:rsid w:val="001D2905"/>
    <w:rsid w:val="001D29E9"/>
    <w:rsid w:val="001D2A5E"/>
    <w:rsid w:val="001D2A7D"/>
    <w:rsid w:val="001D2AE7"/>
    <w:rsid w:val="001D30C6"/>
    <w:rsid w:val="001D31C6"/>
    <w:rsid w:val="001D31DA"/>
    <w:rsid w:val="001D3401"/>
    <w:rsid w:val="001D3498"/>
    <w:rsid w:val="001D34F3"/>
    <w:rsid w:val="001D353F"/>
    <w:rsid w:val="001D355F"/>
    <w:rsid w:val="001D3567"/>
    <w:rsid w:val="001D368F"/>
    <w:rsid w:val="001D36F4"/>
    <w:rsid w:val="001D374D"/>
    <w:rsid w:val="001D39F5"/>
    <w:rsid w:val="001D3BEA"/>
    <w:rsid w:val="001D40FD"/>
    <w:rsid w:val="001D4128"/>
    <w:rsid w:val="001D4165"/>
    <w:rsid w:val="001D427B"/>
    <w:rsid w:val="001D42AF"/>
    <w:rsid w:val="001D4780"/>
    <w:rsid w:val="001D4DC6"/>
    <w:rsid w:val="001D4E03"/>
    <w:rsid w:val="001D4EDB"/>
    <w:rsid w:val="001D5698"/>
    <w:rsid w:val="001D56AC"/>
    <w:rsid w:val="001D58D8"/>
    <w:rsid w:val="001D59F2"/>
    <w:rsid w:val="001D5AB9"/>
    <w:rsid w:val="001D5CDA"/>
    <w:rsid w:val="001D5F33"/>
    <w:rsid w:val="001D628E"/>
    <w:rsid w:val="001D6802"/>
    <w:rsid w:val="001D6D01"/>
    <w:rsid w:val="001D6DC6"/>
    <w:rsid w:val="001D6E54"/>
    <w:rsid w:val="001D70A5"/>
    <w:rsid w:val="001D71A4"/>
    <w:rsid w:val="001D724A"/>
    <w:rsid w:val="001D7252"/>
    <w:rsid w:val="001D72D5"/>
    <w:rsid w:val="001D7428"/>
    <w:rsid w:val="001D76A6"/>
    <w:rsid w:val="001D78A2"/>
    <w:rsid w:val="001D7ECB"/>
    <w:rsid w:val="001E0216"/>
    <w:rsid w:val="001E0645"/>
    <w:rsid w:val="001E0665"/>
    <w:rsid w:val="001E0686"/>
    <w:rsid w:val="001E070A"/>
    <w:rsid w:val="001E0774"/>
    <w:rsid w:val="001E0870"/>
    <w:rsid w:val="001E09B4"/>
    <w:rsid w:val="001E0A4D"/>
    <w:rsid w:val="001E0AA6"/>
    <w:rsid w:val="001E0EB5"/>
    <w:rsid w:val="001E0F61"/>
    <w:rsid w:val="001E122C"/>
    <w:rsid w:val="001E1280"/>
    <w:rsid w:val="001E1314"/>
    <w:rsid w:val="001E13A9"/>
    <w:rsid w:val="001E156D"/>
    <w:rsid w:val="001E161D"/>
    <w:rsid w:val="001E16F8"/>
    <w:rsid w:val="001E179E"/>
    <w:rsid w:val="001E17B6"/>
    <w:rsid w:val="001E1C0D"/>
    <w:rsid w:val="001E1D42"/>
    <w:rsid w:val="001E223E"/>
    <w:rsid w:val="001E2391"/>
    <w:rsid w:val="001E2443"/>
    <w:rsid w:val="001E24EE"/>
    <w:rsid w:val="001E25B0"/>
    <w:rsid w:val="001E25B6"/>
    <w:rsid w:val="001E2790"/>
    <w:rsid w:val="001E2885"/>
    <w:rsid w:val="001E2889"/>
    <w:rsid w:val="001E2A2E"/>
    <w:rsid w:val="001E2B14"/>
    <w:rsid w:val="001E2EA2"/>
    <w:rsid w:val="001E2EF1"/>
    <w:rsid w:val="001E2F60"/>
    <w:rsid w:val="001E3026"/>
    <w:rsid w:val="001E3113"/>
    <w:rsid w:val="001E32EA"/>
    <w:rsid w:val="001E32FF"/>
    <w:rsid w:val="001E336E"/>
    <w:rsid w:val="001E34C6"/>
    <w:rsid w:val="001E352F"/>
    <w:rsid w:val="001E367D"/>
    <w:rsid w:val="001E3780"/>
    <w:rsid w:val="001E3A4D"/>
    <w:rsid w:val="001E3B1A"/>
    <w:rsid w:val="001E3B24"/>
    <w:rsid w:val="001E3BB8"/>
    <w:rsid w:val="001E3E07"/>
    <w:rsid w:val="001E3E42"/>
    <w:rsid w:val="001E3FDC"/>
    <w:rsid w:val="001E4004"/>
    <w:rsid w:val="001E4053"/>
    <w:rsid w:val="001E4502"/>
    <w:rsid w:val="001E4694"/>
    <w:rsid w:val="001E47BB"/>
    <w:rsid w:val="001E496C"/>
    <w:rsid w:val="001E49E3"/>
    <w:rsid w:val="001E4A39"/>
    <w:rsid w:val="001E4BE6"/>
    <w:rsid w:val="001E4C45"/>
    <w:rsid w:val="001E4D7A"/>
    <w:rsid w:val="001E53BC"/>
    <w:rsid w:val="001E55FB"/>
    <w:rsid w:val="001E5693"/>
    <w:rsid w:val="001E569E"/>
    <w:rsid w:val="001E599B"/>
    <w:rsid w:val="001E5A98"/>
    <w:rsid w:val="001E5B1B"/>
    <w:rsid w:val="001E5CFD"/>
    <w:rsid w:val="001E5EAB"/>
    <w:rsid w:val="001E5FA7"/>
    <w:rsid w:val="001E6356"/>
    <w:rsid w:val="001E6534"/>
    <w:rsid w:val="001E65F8"/>
    <w:rsid w:val="001E6750"/>
    <w:rsid w:val="001E695E"/>
    <w:rsid w:val="001E69C7"/>
    <w:rsid w:val="001E6A1C"/>
    <w:rsid w:val="001E6C56"/>
    <w:rsid w:val="001E6CAA"/>
    <w:rsid w:val="001E6E8D"/>
    <w:rsid w:val="001E6E94"/>
    <w:rsid w:val="001E72B8"/>
    <w:rsid w:val="001E7312"/>
    <w:rsid w:val="001E752A"/>
    <w:rsid w:val="001E763D"/>
    <w:rsid w:val="001E7A03"/>
    <w:rsid w:val="001E7A9B"/>
    <w:rsid w:val="001E7B26"/>
    <w:rsid w:val="001E7BA6"/>
    <w:rsid w:val="001E7D2E"/>
    <w:rsid w:val="001E7EEE"/>
    <w:rsid w:val="001F0288"/>
    <w:rsid w:val="001F0309"/>
    <w:rsid w:val="001F047C"/>
    <w:rsid w:val="001F0596"/>
    <w:rsid w:val="001F070A"/>
    <w:rsid w:val="001F07E7"/>
    <w:rsid w:val="001F0BD8"/>
    <w:rsid w:val="001F0C11"/>
    <w:rsid w:val="001F0D40"/>
    <w:rsid w:val="001F0DEE"/>
    <w:rsid w:val="001F0E75"/>
    <w:rsid w:val="001F0EBB"/>
    <w:rsid w:val="001F0FA0"/>
    <w:rsid w:val="001F12B1"/>
    <w:rsid w:val="001F12C1"/>
    <w:rsid w:val="001F13E5"/>
    <w:rsid w:val="001F143D"/>
    <w:rsid w:val="001F158C"/>
    <w:rsid w:val="001F1595"/>
    <w:rsid w:val="001F1777"/>
    <w:rsid w:val="001F1A70"/>
    <w:rsid w:val="001F1AF9"/>
    <w:rsid w:val="001F1B7C"/>
    <w:rsid w:val="001F1D94"/>
    <w:rsid w:val="001F1DB7"/>
    <w:rsid w:val="001F1EDB"/>
    <w:rsid w:val="001F1F15"/>
    <w:rsid w:val="001F207F"/>
    <w:rsid w:val="001F208B"/>
    <w:rsid w:val="001F210C"/>
    <w:rsid w:val="001F2225"/>
    <w:rsid w:val="001F2601"/>
    <w:rsid w:val="001F279D"/>
    <w:rsid w:val="001F2844"/>
    <w:rsid w:val="001F2CCC"/>
    <w:rsid w:val="001F2F99"/>
    <w:rsid w:val="001F3020"/>
    <w:rsid w:val="001F31D9"/>
    <w:rsid w:val="001F3395"/>
    <w:rsid w:val="001F3501"/>
    <w:rsid w:val="001F39A8"/>
    <w:rsid w:val="001F39F1"/>
    <w:rsid w:val="001F3A0B"/>
    <w:rsid w:val="001F3A66"/>
    <w:rsid w:val="001F3A8F"/>
    <w:rsid w:val="001F3C7F"/>
    <w:rsid w:val="001F3ED1"/>
    <w:rsid w:val="001F4385"/>
    <w:rsid w:val="001F47ED"/>
    <w:rsid w:val="001F48F0"/>
    <w:rsid w:val="001F4995"/>
    <w:rsid w:val="001F4999"/>
    <w:rsid w:val="001F4B3C"/>
    <w:rsid w:val="001F4BEB"/>
    <w:rsid w:val="001F4C8B"/>
    <w:rsid w:val="001F4EA1"/>
    <w:rsid w:val="001F4EE2"/>
    <w:rsid w:val="001F521A"/>
    <w:rsid w:val="001F532F"/>
    <w:rsid w:val="001F5358"/>
    <w:rsid w:val="001F5517"/>
    <w:rsid w:val="001F5892"/>
    <w:rsid w:val="001F59ED"/>
    <w:rsid w:val="001F5A32"/>
    <w:rsid w:val="001F5BF2"/>
    <w:rsid w:val="001F5DB2"/>
    <w:rsid w:val="001F615A"/>
    <w:rsid w:val="001F6191"/>
    <w:rsid w:val="001F63A9"/>
    <w:rsid w:val="001F641A"/>
    <w:rsid w:val="001F6B0D"/>
    <w:rsid w:val="001F6BD8"/>
    <w:rsid w:val="001F6BE2"/>
    <w:rsid w:val="001F6BE6"/>
    <w:rsid w:val="001F6BF1"/>
    <w:rsid w:val="001F6DCF"/>
    <w:rsid w:val="001F6F0F"/>
    <w:rsid w:val="001F6F54"/>
    <w:rsid w:val="001F730D"/>
    <w:rsid w:val="001F737B"/>
    <w:rsid w:val="001F742A"/>
    <w:rsid w:val="001F743C"/>
    <w:rsid w:val="001F7462"/>
    <w:rsid w:val="001F759E"/>
    <w:rsid w:val="001F75EC"/>
    <w:rsid w:val="001F76B3"/>
    <w:rsid w:val="001F76F8"/>
    <w:rsid w:val="001F77C7"/>
    <w:rsid w:val="001F7CD1"/>
    <w:rsid w:val="001F7DAF"/>
    <w:rsid w:val="001F7DB0"/>
    <w:rsid w:val="0020010E"/>
    <w:rsid w:val="0020014A"/>
    <w:rsid w:val="0020018E"/>
    <w:rsid w:val="002001A7"/>
    <w:rsid w:val="002004C6"/>
    <w:rsid w:val="0020059D"/>
    <w:rsid w:val="002009C8"/>
    <w:rsid w:val="00200C41"/>
    <w:rsid w:val="00200C7E"/>
    <w:rsid w:val="00200EA5"/>
    <w:rsid w:val="00200EBB"/>
    <w:rsid w:val="00200EEF"/>
    <w:rsid w:val="0020103A"/>
    <w:rsid w:val="00201331"/>
    <w:rsid w:val="00201394"/>
    <w:rsid w:val="0020142B"/>
    <w:rsid w:val="0020154E"/>
    <w:rsid w:val="002016BC"/>
    <w:rsid w:val="002016FC"/>
    <w:rsid w:val="00201701"/>
    <w:rsid w:val="00201871"/>
    <w:rsid w:val="00201AC1"/>
    <w:rsid w:val="00201B39"/>
    <w:rsid w:val="00201C0F"/>
    <w:rsid w:val="00201F23"/>
    <w:rsid w:val="00201F7E"/>
    <w:rsid w:val="00201FC5"/>
    <w:rsid w:val="00201FFB"/>
    <w:rsid w:val="00202069"/>
    <w:rsid w:val="0020207E"/>
    <w:rsid w:val="00202283"/>
    <w:rsid w:val="0020241A"/>
    <w:rsid w:val="002024A2"/>
    <w:rsid w:val="00202531"/>
    <w:rsid w:val="0020260D"/>
    <w:rsid w:val="00202635"/>
    <w:rsid w:val="00202693"/>
    <w:rsid w:val="002026F0"/>
    <w:rsid w:val="002027BC"/>
    <w:rsid w:val="002029CD"/>
    <w:rsid w:val="00202AFA"/>
    <w:rsid w:val="00202B05"/>
    <w:rsid w:val="00202B35"/>
    <w:rsid w:val="00202C9D"/>
    <w:rsid w:val="00202E31"/>
    <w:rsid w:val="00202FE0"/>
    <w:rsid w:val="00203095"/>
    <w:rsid w:val="00203240"/>
    <w:rsid w:val="0020352D"/>
    <w:rsid w:val="002037AD"/>
    <w:rsid w:val="00203806"/>
    <w:rsid w:val="00203946"/>
    <w:rsid w:val="00203B9E"/>
    <w:rsid w:val="00203BB9"/>
    <w:rsid w:val="00203D97"/>
    <w:rsid w:val="00203DE4"/>
    <w:rsid w:val="00203FAF"/>
    <w:rsid w:val="00203FD1"/>
    <w:rsid w:val="00204027"/>
    <w:rsid w:val="002040DA"/>
    <w:rsid w:val="002042D8"/>
    <w:rsid w:val="002044E4"/>
    <w:rsid w:val="0020461B"/>
    <w:rsid w:val="00204642"/>
    <w:rsid w:val="002046CE"/>
    <w:rsid w:val="002046D9"/>
    <w:rsid w:val="002047BF"/>
    <w:rsid w:val="002047F4"/>
    <w:rsid w:val="002048F1"/>
    <w:rsid w:val="0020492A"/>
    <w:rsid w:val="00204977"/>
    <w:rsid w:val="00204A22"/>
    <w:rsid w:val="00204C1E"/>
    <w:rsid w:val="00204C8F"/>
    <w:rsid w:val="00204C92"/>
    <w:rsid w:val="00204CEF"/>
    <w:rsid w:val="00204E31"/>
    <w:rsid w:val="00204F22"/>
    <w:rsid w:val="00204FCE"/>
    <w:rsid w:val="00205041"/>
    <w:rsid w:val="0020520F"/>
    <w:rsid w:val="00205298"/>
    <w:rsid w:val="0020551F"/>
    <w:rsid w:val="0020552D"/>
    <w:rsid w:val="002056D0"/>
    <w:rsid w:val="002056E2"/>
    <w:rsid w:val="00205933"/>
    <w:rsid w:val="00205AA1"/>
    <w:rsid w:val="00205AF8"/>
    <w:rsid w:val="00205D5B"/>
    <w:rsid w:val="00205D69"/>
    <w:rsid w:val="00205F82"/>
    <w:rsid w:val="0020609A"/>
    <w:rsid w:val="00206316"/>
    <w:rsid w:val="0020634E"/>
    <w:rsid w:val="00206388"/>
    <w:rsid w:val="002064C4"/>
    <w:rsid w:val="002064D7"/>
    <w:rsid w:val="002064FF"/>
    <w:rsid w:val="0020654B"/>
    <w:rsid w:val="00206595"/>
    <w:rsid w:val="00206731"/>
    <w:rsid w:val="00206981"/>
    <w:rsid w:val="00206B8C"/>
    <w:rsid w:val="00206B91"/>
    <w:rsid w:val="00206B96"/>
    <w:rsid w:val="00206BC1"/>
    <w:rsid w:val="00206BEE"/>
    <w:rsid w:val="00206C89"/>
    <w:rsid w:val="00206EC2"/>
    <w:rsid w:val="00207008"/>
    <w:rsid w:val="0020730F"/>
    <w:rsid w:val="0020779E"/>
    <w:rsid w:val="0020785A"/>
    <w:rsid w:val="00207AF0"/>
    <w:rsid w:val="00207EC8"/>
    <w:rsid w:val="00207FB1"/>
    <w:rsid w:val="00210024"/>
    <w:rsid w:val="00210478"/>
    <w:rsid w:val="00210597"/>
    <w:rsid w:val="002105B3"/>
    <w:rsid w:val="00210627"/>
    <w:rsid w:val="00210641"/>
    <w:rsid w:val="00210668"/>
    <w:rsid w:val="002107F7"/>
    <w:rsid w:val="00210920"/>
    <w:rsid w:val="0021098F"/>
    <w:rsid w:val="002109D9"/>
    <w:rsid w:val="00210AA7"/>
    <w:rsid w:val="00210B4E"/>
    <w:rsid w:val="00210D10"/>
    <w:rsid w:val="00210E68"/>
    <w:rsid w:val="0021100F"/>
    <w:rsid w:val="0021106A"/>
    <w:rsid w:val="002110BA"/>
    <w:rsid w:val="00211231"/>
    <w:rsid w:val="00211512"/>
    <w:rsid w:val="00211735"/>
    <w:rsid w:val="00211D2E"/>
    <w:rsid w:val="00211D2F"/>
    <w:rsid w:val="00211E66"/>
    <w:rsid w:val="00212430"/>
    <w:rsid w:val="002124C5"/>
    <w:rsid w:val="00212683"/>
    <w:rsid w:val="00212C05"/>
    <w:rsid w:val="00212D0C"/>
    <w:rsid w:val="00213056"/>
    <w:rsid w:val="00213221"/>
    <w:rsid w:val="00213243"/>
    <w:rsid w:val="002132BD"/>
    <w:rsid w:val="00213418"/>
    <w:rsid w:val="00213428"/>
    <w:rsid w:val="002134AD"/>
    <w:rsid w:val="002137BD"/>
    <w:rsid w:val="00213864"/>
    <w:rsid w:val="002139B3"/>
    <w:rsid w:val="002139D0"/>
    <w:rsid w:val="002139EB"/>
    <w:rsid w:val="00213B46"/>
    <w:rsid w:val="00213B6B"/>
    <w:rsid w:val="00213D6B"/>
    <w:rsid w:val="00213E64"/>
    <w:rsid w:val="002142BB"/>
    <w:rsid w:val="002145C4"/>
    <w:rsid w:val="0021462A"/>
    <w:rsid w:val="0021485D"/>
    <w:rsid w:val="00214981"/>
    <w:rsid w:val="00214C56"/>
    <w:rsid w:val="00214D29"/>
    <w:rsid w:val="00214DA7"/>
    <w:rsid w:val="00214F8A"/>
    <w:rsid w:val="00215023"/>
    <w:rsid w:val="002151FE"/>
    <w:rsid w:val="002155ED"/>
    <w:rsid w:val="0021576D"/>
    <w:rsid w:val="002159F3"/>
    <w:rsid w:val="00215A40"/>
    <w:rsid w:val="00215AFB"/>
    <w:rsid w:val="00215BAC"/>
    <w:rsid w:val="00216061"/>
    <w:rsid w:val="00216253"/>
    <w:rsid w:val="00216294"/>
    <w:rsid w:val="002162A9"/>
    <w:rsid w:val="002162CB"/>
    <w:rsid w:val="002164AB"/>
    <w:rsid w:val="0021673B"/>
    <w:rsid w:val="00216CD1"/>
    <w:rsid w:val="00216DCC"/>
    <w:rsid w:val="00216E38"/>
    <w:rsid w:val="00216E98"/>
    <w:rsid w:val="00216F79"/>
    <w:rsid w:val="00216FB0"/>
    <w:rsid w:val="0021701D"/>
    <w:rsid w:val="00217026"/>
    <w:rsid w:val="00217327"/>
    <w:rsid w:val="0021786B"/>
    <w:rsid w:val="002178CA"/>
    <w:rsid w:val="0021791C"/>
    <w:rsid w:val="00217986"/>
    <w:rsid w:val="00217BB2"/>
    <w:rsid w:val="00217C88"/>
    <w:rsid w:val="00217CCB"/>
    <w:rsid w:val="00217FBA"/>
    <w:rsid w:val="00217FD6"/>
    <w:rsid w:val="00220151"/>
    <w:rsid w:val="00220229"/>
    <w:rsid w:val="00220263"/>
    <w:rsid w:val="002202B2"/>
    <w:rsid w:val="00220348"/>
    <w:rsid w:val="002205FF"/>
    <w:rsid w:val="00220648"/>
    <w:rsid w:val="00220852"/>
    <w:rsid w:val="0022092E"/>
    <w:rsid w:val="00220C35"/>
    <w:rsid w:val="00220DA6"/>
    <w:rsid w:val="00220EEC"/>
    <w:rsid w:val="00221047"/>
    <w:rsid w:val="00221080"/>
    <w:rsid w:val="0022110D"/>
    <w:rsid w:val="0022118D"/>
    <w:rsid w:val="00221474"/>
    <w:rsid w:val="00221556"/>
    <w:rsid w:val="00221677"/>
    <w:rsid w:val="002218A4"/>
    <w:rsid w:val="0022199C"/>
    <w:rsid w:val="00221C0F"/>
    <w:rsid w:val="00221C10"/>
    <w:rsid w:val="00221EB1"/>
    <w:rsid w:val="00221ECB"/>
    <w:rsid w:val="00221F23"/>
    <w:rsid w:val="00221F94"/>
    <w:rsid w:val="0022265F"/>
    <w:rsid w:val="00222694"/>
    <w:rsid w:val="0022274F"/>
    <w:rsid w:val="00222765"/>
    <w:rsid w:val="00222906"/>
    <w:rsid w:val="0022290D"/>
    <w:rsid w:val="002229E0"/>
    <w:rsid w:val="00222A56"/>
    <w:rsid w:val="00222A96"/>
    <w:rsid w:val="00222AF1"/>
    <w:rsid w:val="00222C9D"/>
    <w:rsid w:val="00222D57"/>
    <w:rsid w:val="00222DBB"/>
    <w:rsid w:val="00222EE8"/>
    <w:rsid w:val="00223023"/>
    <w:rsid w:val="0022314F"/>
    <w:rsid w:val="002237CE"/>
    <w:rsid w:val="00223A09"/>
    <w:rsid w:val="00223BD4"/>
    <w:rsid w:val="00223CD3"/>
    <w:rsid w:val="00223F51"/>
    <w:rsid w:val="00223F91"/>
    <w:rsid w:val="002240E5"/>
    <w:rsid w:val="0022433D"/>
    <w:rsid w:val="0022437B"/>
    <w:rsid w:val="0022438C"/>
    <w:rsid w:val="00224414"/>
    <w:rsid w:val="00224589"/>
    <w:rsid w:val="00224771"/>
    <w:rsid w:val="002247B9"/>
    <w:rsid w:val="002248B5"/>
    <w:rsid w:val="002248B6"/>
    <w:rsid w:val="0022494D"/>
    <w:rsid w:val="00224983"/>
    <w:rsid w:val="00224ADE"/>
    <w:rsid w:val="00224B82"/>
    <w:rsid w:val="00224BDA"/>
    <w:rsid w:val="00224C2B"/>
    <w:rsid w:val="00224CC6"/>
    <w:rsid w:val="00224D6E"/>
    <w:rsid w:val="00224F65"/>
    <w:rsid w:val="00224FF1"/>
    <w:rsid w:val="00225037"/>
    <w:rsid w:val="002251A9"/>
    <w:rsid w:val="00225292"/>
    <w:rsid w:val="002252FB"/>
    <w:rsid w:val="00225339"/>
    <w:rsid w:val="002254D2"/>
    <w:rsid w:val="002255F0"/>
    <w:rsid w:val="002256EF"/>
    <w:rsid w:val="0022578F"/>
    <w:rsid w:val="00225846"/>
    <w:rsid w:val="0022587C"/>
    <w:rsid w:val="00225A9E"/>
    <w:rsid w:val="00225B2E"/>
    <w:rsid w:val="00226498"/>
    <w:rsid w:val="002264DA"/>
    <w:rsid w:val="0022660E"/>
    <w:rsid w:val="002266D7"/>
    <w:rsid w:val="00226EEF"/>
    <w:rsid w:val="00227251"/>
    <w:rsid w:val="002272EA"/>
    <w:rsid w:val="00227347"/>
    <w:rsid w:val="00227575"/>
    <w:rsid w:val="00227BA4"/>
    <w:rsid w:val="00227D53"/>
    <w:rsid w:val="002301EC"/>
    <w:rsid w:val="00230377"/>
    <w:rsid w:val="0023046B"/>
    <w:rsid w:val="00230637"/>
    <w:rsid w:val="002306AF"/>
    <w:rsid w:val="002307B3"/>
    <w:rsid w:val="002307B5"/>
    <w:rsid w:val="002307F6"/>
    <w:rsid w:val="0023092D"/>
    <w:rsid w:val="00230A2C"/>
    <w:rsid w:val="00230ADC"/>
    <w:rsid w:val="00230B6C"/>
    <w:rsid w:val="00230C57"/>
    <w:rsid w:val="00230DDD"/>
    <w:rsid w:val="00230E4C"/>
    <w:rsid w:val="00230F18"/>
    <w:rsid w:val="00230F58"/>
    <w:rsid w:val="00230FCC"/>
    <w:rsid w:val="00230FCE"/>
    <w:rsid w:val="0023115C"/>
    <w:rsid w:val="00231600"/>
    <w:rsid w:val="002316B3"/>
    <w:rsid w:val="00231782"/>
    <w:rsid w:val="00231ADB"/>
    <w:rsid w:val="00231B29"/>
    <w:rsid w:val="00231C44"/>
    <w:rsid w:val="00231CEA"/>
    <w:rsid w:val="00231EE7"/>
    <w:rsid w:val="00231F3E"/>
    <w:rsid w:val="00231F93"/>
    <w:rsid w:val="00232044"/>
    <w:rsid w:val="00232325"/>
    <w:rsid w:val="00232412"/>
    <w:rsid w:val="00232582"/>
    <w:rsid w:val="002328EB"/>
    <w:rsid w:val="00232A8A"/>
    <w:rsid w:val="00232B7C"/>
    <w:rsid w:val="00232C0C"/>
    <w:rsid w:val="00232C46"/>
    <w:rsid w:val="00232CF5"/>
    <w:rsid w:val="00233176"/>
    <w:rsid w:val="002332F6"/>
    <w:rsid w:val="002332FC"/>
    <w:rsid w:val="00233373"/>
    <w:rsid w:val="002333E1"/>
    <w:rsid w:val="002335E4"/>
    <w:rsid w:val="00233722"/>
    <w:rsid w:val="002337D8"/>
    <w:rsid w:val="00233892"/>
    <w:rsid w:val="0023391E"/>
    <w:rsid w:val="0023392A"/>
    <w:rsid w:val="00233CAA"/>
    <w:rsid w:val="00233EA7"/>
    <w:rsid w:val="00233F2C"/>
    <w:rsid w:val="00233F80"/>
    <w:rsid w:val="0023408C"/>
    <w:rsid w:val="0023409B"/>
    <w:rsid w:val="002341FF"/>
    <w:rsid w:val="00234205"/>
    <w:rsid w:val="00234261"/>
    <w:rsid w:val="00234333"/>
    <w:rsid w:val="0023437F"/>
    <w:rsid w:val="00234466"/>
    <w:rsid w:val="002344C9"/>
    <w:rsid w:val="00234584"/>
    <w:rsid w:val="002346BC"/>
    <w:rsid w:val="00234CA0"/>
    <w:rsid w:val="00234CED"/>
    <w:rsid w:val="00234DB2"/>
    <w:rsid w:val="00235279"/>
    <w:rsid w:val="002353D3"/>
    <w:rsid w:val="00235463"/>
    <w:rsid w:val="0023582C"/>
    <w:rsid w:val="00235879"/>
    <w:rsid w:val="002358E8"/>
    <w:rsid w:val="00235954"/>
    <w:rsid w:val="00235A5B"/>
    <w:rsid w:val="00235AB7"/>
    <w:rsid w:val="00235B45"/>
    <w:rsid w:val="00235B74"/>
    <w:rsid w:val="00235F85"/>
    <w:rsid w:val="00235FE5"/>
    <w:rsid w:val="002362BA"/>
    <w:rsid w:val="0023635B"/>
    <w:rsid w:val="00236375"/>
    <w:rsid w:val="002363A9"/>
    <w:rsid w:val="002363FC"/>
    <w:rsid w:val="0023649A"/>
    <w:rsid w:val="002364FB"/>
    <w:rsid w:val="0023661E"/>
    <w:rsid w:val="0023663C"/>
    <w:rsid w:val="00236650"/>
    <w:rsid w:val="002369A0"/>
    <w:rsid w:val="002369E1"/>
    <w:rsid w:val="00236A17"/>
    <w:rsid w:val="00236B2C"/>
    <w:rsid w:val="00236ED2"/>
    <w:rsid w:val="00236F25"/>
    <w:rsid w:val="00236FD2"/>
    <w:rsid w:val="00237053"/>
    <w:rsid w:val="00237119"/>
    <w:rsid w:val="00237223"/>
    <w:rsid w:val="002374DE"/>
    <w:rsid w:val="00237503"/>
    <w:rsid w:val="002375D5"/>
    <w:rsid w:val="00237656"/>
    <w:rsid w:val="0023790A"/>
    <w:rsid w:val="00237A48"/>
    <w:rsid w:val="00237BF5"/>
    <w:rsid w:val="00237DE9"/>
    <w:rsid w:val="00237F1A"/>
    <w:rsid w:val="00240339"/>
    <w:rsid w:val="0024034F"/>
    <w:rsid w:val="00240417"/>
    <w:rsid w:val="00240458"/>
    <w:rsid w:val="00240546"/>
    <w:rsid w:val="00240703"/>
    <w:rsid w:val="00240740"/>
    <w:rsid w:val="002407A5"/>
    <w:rsid w:val="00240809"/>
    <w:rsid w:val="00240B0E"/>
    <w:rsid w:val="00240BCA"/>
    <w:rsid w:val="00240C68"/>
    <w:rsid w:val="00240DBC"/>
    <w:rsid w:val="00240F13"/>
    <w:rsid w:val="00240F26"/>
    <w:rsid w:val="00240F43"/>
    <w:rsid w:val="00240F55"/>
    <w:rsid w:val="00241123"/>
    <w:rsid w:val="0024120F"/>
    <w:rsid w:val="0024134F"/>
    <w:rsid w:val="00241438"/>
    <w:rsid w:val="002414E4"/>
    <w:rsid w:val="002418C2"/>
    <w:rsid w:val="00241A6C"/>
    <w:rsid w:val="00241DB3"/>
    <w:rsid w:val="00241EE6"/>
    <w:rsid w:val="00241F1D"/>
    <w:rsid w:val="00242222"/>
    <w:rsid w:val="002423EE"/>
    <w:rsid w:val="00242542"/>
    <w:rsid w:val="0024254E"/>
    <w:rsid w:val="002425B7"/>
    <w:rsid w:val="00242729"/>
    <w:rsid w:val="002427BE"/>
    <w:rsid w:val="002428FC"/>
    <w:rsid w:val="00242932"/>
    <w:rsid w:val="0024295B"/>
    <w:rsid w:val="00242A9A"/>
    <w:rsid w:val="00242E20"/>
    <w:rsid w:val="00242EDE"/>
    <w:rsid w:val="002431A5"/>
    <w:rsid w:val="00243878"/>
    <w:rsid w:val="00243968"/>
    <w:rsid w:val="00243A17"/>
    <w:rsid w:val="00243CF9"/>
    <w:rsid w:val="00243E19"/>
    <w:rsid w:val="00243E5F"/>
    <w:rsid w:val="00243F45"/>
    <w:rsid w:val="00244450"/>
    <w:rsid w:val="0024469D"/>
    <w:rsid w:val="00244701"/>
    <w:rsid w:val="00244A3E"/>
    <w:rsid w:val="00244CEA"/>
    <w:rsid w:val="00244FD9"/>
    <w:rsid w:val="00244FF8"/>
    <w:rsid w:val="00245423"/>
    <w:rsid w:val="002455D7"/>
    <w:rsid w:val="002456B6"/>
    <w:rsid w:val="00245700"/>
    <w:rsid w:val="002458B2"/>
    <w:rsid w:val="0024594C"/>
    <w:rsid w:val="002459CC"/>
    <w:rsid w:val="00245B90"/>
    <w:rsid w:val="00245B9B"/>
    <w:rsid w:val="00245BE4"/>
    <w:rsid w:val="00245EEC"/>
    <w:rsid w:val="00245FDC"/>
    <w:rsid w:val="0024601E"/>
    <w:rsid w:val="002462F8"/>
    <w:rsid w:val="002463C8"/>
    <w:rsid w:val="00246414"/>
    <w:rsid w:val="002464D4"/>
    <w:rsid w:val="002464DB"/>
    <w:rsid w:val="002465BB"/>
    <w:rsid w:val="002465EE"/>
    <w:rsid w:val="0024663E"/>
    <w:rsid w:val="00246A03"/>
    <w:rsid w:val="00246BAA"/>
    <w:rsid w:val="00246D54"/>
    <w:rsid w:val="00246DC1"/>
    <w:rsid w:val="00246F11"/>
    <w:rsid w:val="00246F62"/>
    <w:rsid w:val="002474E3"/>
    <w:rsid w:val="002477C6"/>
    <w:rsid w:val="002479A9"/>
    <w:rsid w:val="00247B5A"/>
    <w:rsid w:val="00247D92"/>
    <w:rsid w:val="00247FF8"/>
    <w:rsid w:val="00250283"/>
    <w:rsid w:val="00250322"/>
    <w:rsid w:val="0025037C"/>
    <w:rsid w:val="00250743"/>
    <w:rsid w:val="0025074E"/>
    <w:rsid w:val="00250760"/>
    <w:rsid w:val="0025082B"/>
    <w:rsid w:val="0025085D"/>
    <w:rsid w:val="0025085F"/>
    <w:rsid w:val="00250980"/>
    <w:rsid w:val="00250BEE"/>
    <w:rsid w:val="00250FE0"/>
    <w:rsid w:val="0025110F"/>
    <w:rsid w:val="002511C0"/>
    <w:rsid w:val="00251357"/>
    <w:rsid w:val="002513DB"/>
    <w:rsid w:val="002514A8"/>
    <w:rsid w:val="00251D2E"/>
    <w:rsid w:val="00251D84"/>
    <w:rsid w:val="00251E18"/>
    <w:rsid w:val="00251E35"/>
    <w:rsid w:val="00251F3C"/>
    <w:rsid w:val="00251FE0"/>
    <w:rsid w:val="002521BF"/>
    <w:rsid w:val="002521CF"/>
    <w:rsid w:val="00252227"/>
    <w:rsid w:val="00252487"/>
    <w:rsid w:val="0025275C"/>
    <w:rsid w:val="002528A4"/>
    <w:rsid w:val="002528FF"/>
    <w:rsid w:val="00252A15"/>
    <w:rsid w:val="00252BD6"/>
    <w:rsid w:val="00252C08"/>
    <w:rsid w:val="00252C88"/>
    <w:rsid w:val="00252CD5"/>
    <w:rsid w:val="002531AE"/>
    <w:rsid w:val="00253417"/>
    <w:rsid w:val="0025360B"/>
    <w:rsid w:val="00253687"/>
    <w:rsid w:val="002536FD"/>
    <w:rsid w:val="002538D6"/>
    <w:rsid w:val="002538E0"/>
    <w:rsid w:val="00253BCE"/>
    <w:rsid w:val="00253BD4"/>
    <w:rsid w:val="00253E81"/>
    <w:rsid w:val="00253F49"/>
    <w:rsid w:val="00253FD6"/>
    <w:rsid w:val="00253FFB"/>
    <w:rsid w:val="002540CA"/>
    <w:rsid w:val="00254108"/>
    <w:rsid w:val="002541C7"/>
    <w:rsid w:val="0025448B"/>
    <w:rsid w:val="00254947"/>
    <w:rsid w:val="00254CBC"/>
    <w:rsid w:val="00254D1C"/>
    <w:rsid w:val="00254D47"/>
    <w:rsid w:val="002550AC"/>
    <w:rsid w:val="002550C2"/>
    <w:rsid w:val="00255130"/>
    <w:rsid w:val="002551CB"/>
    <w:rsid w:val="00255452"/>
    <w:rsid w:val="002554D8"/>
    <w:rsid w:val="002555A1"/>
    <w:rsid w:val="0025560D"/>
    <w:rsid w:val="00255769"/>
    <w:rsid w:val="00255803"/>
    <w:rsid w:val="0025586C"/>
    <w:rsid w:val="0025600F"/>
    <w:rsid w:val="0025625C"/>
    <w:rsid w:val="00256284"/>
    <w:rsid w:val="002564C2"/>
    <w:rsid w:val="002564FC"/>
    <w:rsid w:val="00256698"/>
    <w:rsid w:val="0025695C"/>
    <w:rsid w:val="00256962"/>
    <w:rsid w:val="00256B5E"/>
    <w:rsid w:val="00256D64"/>
    <w:rsid w:val="00256FE6"/>
    <w:rsid w:val="00257090"/>
    <w:rsid w:val="002570BB"/>
    <w:rsid w:val="002570FE"/>
    <w:rsid w:val="00257252"/>
    <w:rsid w:val="00257363"/>
    <w:rsid w:val="002573BA"/>
    <w:rsid w:val="0025756C"/>
    <w:rsid w:val="00257624"/>
    <w:rsid w:val="0025765E"/>
    <w:rsid w:val="0025794F"/>
    <w:rsid w:val="0025796A"/>
    <w:rsid w:val="00257A45"/>
    <w:rsid w:val="00257D41"/>
    <w:rsid w:val="00257DED"/>
    <w:rsid w:val="00257E12"/>
    <w:rsid w:val="00257E5A"/>
    <w:rsid w:val="00260012"/>
    <w:rsid w:val="002603C3"/>
    <w:rsid w:val="0026041D"/>
    <w:rsid w:val="00260593"/>
    <w:rsid w:val="002605AA"/>
    <w:rsid w:val="002605B6"/>
    <w:rsid w:val="00260810"/>
    <w:rsid w:val="00260B8E"/>
    <w:rsid w:val="00260CD5"/>
    <w:rsid w:val="00260CF2"/>
    <w:rsid w:val="00260E0A"/>
    <w:rsid w:val="00260EC9"/>
    <w:rsid w:val="00261000"/>
    <w:rsid w:val="002610C7"/>
    <w:rsid w:val="00261116"/>
    <w:rsid w:val="0026122F"/>
    <w:rsid w:val="00261559"/>
    <w:rsid w:val="00261578"/>
    <w:rsid w:val="002617BA"/>
    <w:rsid w:val="00261DCB"/>
    <w:rsid w:val="00261EA9"/>
    <w:rsid w:val="00261F07"/>
    <w:rsid w:val="00261F23"/>
    <w:rsid w:val="00261F75"/>
    <w:rsid w:val="00261FCF"/>
    <w:rsid w:val="00262061"/>
    <w:rsid w:val="002620E4"/>
    <w:rsid w:val="002620F9"/>
    <w:rsid w:val="002622E6"/>
    <w:rsid w:val="0026258C"/>
    <w:rsid w:val="0026261E"/>
    <w:rsid w:val="002626B9"/>
    <w:rsid w:val="00262740"/>
    <w:rsid w:val="002628C7"/>
    <w:rsid w:val="00262A44"/>
    <w:rsid w:val="00262ACC"/>
    <w:rsid w:val="00262C1B"/>
    <w:rsid w:val="00263068"/>
    <w:rsid w:val="0026307A"/>
    <w:rsid w:val="00263254"/>
    <w:rsid w:val="0026325B"/>
    <w:rsid w:val="002633BA"/>
    <w:rsid w:val="0026373B"/>
    <w:rsid w:val="002637A8"/>
    <w:rsid w:val="00263826"/>
    <w:rsid w:val="0026388A"/>
    <w:rsid w:val="002638F2"/>
    <w:rsid w:val="002639DC"/>
    <w:rsid w:val="00263AEE"/>
    <w:rsid w:val="00263BED"/>
    <w:rsid w:val="00263D9B"/>
    <w:rsid w:val="00263F65"/>
    <w:rsid w:val="002641DE"/>
    <w:rsid w:val="00264455"/>
    <w:rsid w:val="00264508"/>
    <w:rsid w:val="0026457E"/>
    <w:rsid w:val="0026459E"/>
    <w:rsid w:val="00264614"/>
    <w:rsid w:val="002646C1"/>
    <w:rsid w:val="0026477C"/>
    <w:rsid w:val="002649D5"/>
    <w:rsid w:val="00264D14"/>
    <w:rsid w:val="00264EEE"/>
    <w:rsid w:val="00264F09"/>
    <w:rsid w:val="00264F77"/>
    <w:rsid w:val="00264F8F"/>
    <w:rsid w:val="00265080"/>
    <w:rsid w:val="002652A2"/>
    <w:rsid w:val="00265685"/>
    <w:rsid w:val="0026575D"/>
    <w:rsid w:val="00265813"/>
    <w:rsid w:val="002658BD"/>
    <w:rsid w:val="00265947"/>
    <w:rsid w:val="00265BA8"/>
    <w:rsid w:val="00265BEF"/>
    <w:rsid w:val="00265EB4"/>
    <w:rsid w:val="00265EB7"/>
    <w:rsid w:val="00265FDA"/>
    <w:rsid w:val="00266262"/>
    <w:rsid w:val="00266B36"/>
    <w:rsid w:val="00266CF7"/>
    <w:rsid w:val="0026707D"/>
    <w:rsid w:val="002670CD"/>
    <w:rsid w:val="00267280"/>
    <w:rsid w:val="0026745D"/>
    <w:rsid w:val="002674B0"/>
    <w:rsid w:val="00267513"/>
    <w:rsid w:val="00267991"/>
    <w:rsid w:val="00267A62"/>
    <w:rsid w:val="00267C23"/>
    <w:rsid w:val="00267DB4"/>
    <w:rsid w:val="00267DC8"/>
    <w:rsid w:val="00267F35"/>
    <w:rsid w:val="00267F36"/>
    <w:rsid w:val="00270086"/>
    <w:rsid w:val="00270214"/>
    <w:rsid w:val="0027024F"/>
    <w:rsid w:val="0027077C"/>
    <w:rsid w:val="0027089C"/>
    <w:rsid w:val="002708BF"/>
    <w:rsid w:val="00270A96"/>
    <w:rsid w:val="00270AA7"/>
    <w:rsid w:val="00270D34"/>
    <w:rsid w:val="00270EBC"/>
    <w:rsid w:val="00271046"/>
    <w:rsid w:val="00271082"/>
    <w:rsid w:val="00271084"/>
    <w:rsid w:val="00271178"/>
    <w:rsid w:val="002713DB"/>
    <w:rsid w:val="0027150B"/>
    <w:rsid w:val="00271629"/>
    <w:rsid w:val="002716B3"/>
    <w:rsid w:val="002717CA"/>
    <w:rsid w:val="00271851"/>
    <w:rsid w:val="002719E8"/>
    <w:rsid w:val="00271A8A"/>
    <w:rsid w:val="00271C31"/>
    <w:rsid w:val="00271CC0"/>
    <w:rsid w:val="00271EC4"/>
    <w:rsid w:val="00272087"/>
    <w:rsid w:val="002720D7"/>
    <w:rsid w:val="0027241D"/>
    <w:rsid w:val="00272640"/>
    <w:rsid w:val="002726B3"/>
    <w:rsid w:val="0027275A"/>
    <w:rsid w:val="002729C5"/>
    <w:rsid w:val="00272B14"/>
    <w:rsid w:val="00272C51"/>
    <w:rsid w:val="00272CB3"/>
    <w:rsid w:val="00272D43"/>
    <w:rsid w:val="00272EB1"/>
    <w:rsid w:val="00272F26"/>
    <w:rsid w:val="002731BA"/>
    <w:rsid w:val="00273222"/>
    <w:rsid w:val="00273268"/>
    <w:rsid w:val="00273405"/>
    <w:rsid w:val="00273453"/>
    <w:rsid w:val="002735A6"/>
    <w:rsid w:val="002737AE"/>
    <w:rsid w:val="00273851"/>
    <w:rsid w:val="00273A7E"/>
    <w:rsid w:val="00273B14"/>
    <w:rsid w:val="00273D8F"/>
    <w:rsid w:val="00273DA9"/>
    <w:rsid w:val="00273F0B"/>
    <w:rsid w:val="00273FA4"/>
    <w:rsid w:val="00274040"/>
    <w:rsid w:val="002743E9"/>
    <w:rsid w:val="00274432"/>
    <w:rsid w:val="0027451D"/>
    <w:rsid w:val="00274751"/>
    <w:rsid w:val="00274A75"/>
    <w:rsid w:val="00274BF3"/>
    <w:rsid w:val="00274E3E"/>
    <w:rsid w:val="00274FB2"/>
    <w:rsid w:val="0027527A"/>
    <w:rsid w:val="0027536E"/>
    <w:rsid w:val="002756A4"/>
    <w:rsid w:val="00275729"/>
    <w:rsid w:val="002757C4"/>
    <w:rsid w:val="002757F7"/>
    <w:rsid w:val="002759AE"/>
    <w:rsid w:val="002759E3"/>
    <w:rsid w:val="00275A3E"/>
    <w:rsid w:val="00275FE5"/>
    <w:rsid w:val="002760CB"/>
    <w:rsid w:val="00276265"/>
    <w:rsid w:val="0027637D"/>
    <w:rsid w:val="002763B7"/>
    <w:rsid w:val="002763E9"/>
    <w:rsid w:val="0027648A"/>
    <w:rsid w:val="002765D8"/>
    <w:rsid w:val="00276700"/>
    <w:rsid w:val="00276886"/>
    <w:rsid w:val="002768C5"/>
    <w:rsid w:val="00276B43"/>
    <w:rsid w:val="00276BC3"/>
    <w:rsid w:val="00276DCD"/>
    <w:rsid w:val="00276E6A"/>
    <w:rsid w:val="00276F80"/>
    <w:rsid w:val="00276FBC"/>
    <w:rsid w:val="0027705E"/>
    <w:rsid w:val="0027733C"/>
    <w:rsid w:val="0027740E"/>
    <w:rsid w:val="002774E0"/>
    <w:rsid w:val="002774EA"/>
    <w:rsid w:val="002775D7"/>
    <w:rsid w:val="00277606"/>
    <w:rsid w:val="00277643"/>
    <w:rsid w:val="002779AE"/>
    <w:rsid w:val="002779CF"/>
    <w:rsid w:val="00277C87"/>
    <w:rsid w:val="002801C7"/>
    <w:rsid w:val="00280295"/>
    <w:rsid w:val="002803E8"/>
    <w:rsid w:val="0028096C"/>
    <w:rsid w:val="00280BC4"/>
    <w:rsid w:val="00280BED"/>
    <w:rsid w:val="00280CA1"/>
    <w:rsid w:val="00280D98"/>
    <w:rsid w:val="00280E94"/>
    <w:rsid w:val="00280EE6"/>
    <w:rsid w:val="00280F85"/>
    <w:rsid w:val="00281398"/>
    <w:rsid w:val="002819DE"/>
    <w:rsid w:val="00281DCE"/>
    <w:rsid w:val="00281E5F"/>
    <w:rsid w:val="00282107"/>
    <w:rsid w:val="0028215E"/>
    <w:rsid w:val="002821CC"/>
    <w:rsid w:val="002821DE"/>
    <w:rsid w:val="002822E0"/>
    <w:rsid w:val="002824E2"/>
    <w:rsid w:val="002825D8"/>
    <w:rsid w:val="00282680"/>
    <w:rsid w:val="002826A8"/>
    <w:rsid w:val="0028284D"/>
    <w:rsid w:val="00282A33"/>
    <w:rsid w:val="00282AAF"/>
    <w:rsid w:val="00282CF6"/>
    <w:rsid w:val="00282D8B"/>
    <w:rsid w:val="00282F25"/>
    <w:rsid w:val="00283065"/>
    <w:rsid w:val="0028315D"/>
    <w:rsid w:val="002833C5"/>
    <w:rsid w:val="002834BE"/>
    <w:rsid w:val="002834E0"/>
    <w:rsid w:val="00283542"/>
    <w:rsid w:val="002835B6"/>
    <w:rsid w:val="0028361E"/>
    <w:rsid w:val="00283AAB"/>
    <w:rsid w:val="00283B63"/>
    <w:rsid w:val="00283C00"/>
    <w:rsid w:val="00283C0E"/>
    <w:rsid w:val="00283EAF"/>
    <w:rsid w:val="00283F0F"/>
    <w:rsid w:val="00283F72"/>
    <w:rsid w:val="0028419F"/>
    <w:rsid w:val="0028420A"/>
    <w:rsid w:val="00284274"/>
    <w:rsid w:val="0028436E"/>
    <w:rsid w:val="00284395"/>
    <w:rsid w:val="00284556"/>
    <w:rsid w:val="00284601"/>
    <w:rsid w:val="0028470E"/>
    <w:rsid w:val="0028478F"/>
    <w:rsid w:val="002847E9"/>
    <w:rsid w:val="00284860"/>
    <w:rsid w:val="002848AE"/>
    <w:rsid w:val="00284A25"/>
    <w:rsid w:val="00284D8B"/>
    <w:rsid w:val="00284EC0"/>
    <w:rsid w:val="00284F6E"/>
    <w:rsid w:val="002850B0"/>
    <w:rsid w:val="0028514D"/>
    <w:rsid w:val="00285185"/>
    <w:rsid w:val="00285435"/>
    <w:rsid w:val="0028565D"/>
    <w:rsid w:val="002856BD"/>
    <w:rsid w:val="002856DA"/>
    <w:rsid w:val="00285720"/>
    <w:rsid w:val="00285803"/>
    <w:rsid w:val="0028586F"/>
    <w:rsid w:val="00285890"/>
    <w:rsid w:val="00285A9F"/>
    <w:rsid w:val="00285B9D"/>
    <w:rsid w:val="00285BCB"/>
    <w:rsid w:val="00285CDF"/>
    <w:rsid w:val="00285DBE"/>
    <w:rsid w:val="00285DE6"/>
    <w:rsid w:val="00285F42"/>
    <w:rsid w:val="0028625C"/>
    <w:rsid w:val="00286349"/>
    <w:rsid w:val="00286359"/>
    <w:rsid w:val="002864DB"/>
    <w:rsid w:val="002868F9"/>
    <w:rsid w:val="00286C6A"/>
    <w:rsid w:val="00286D79"/>
    <w:rsid w:val="00286E08"/>
    <w:rsid w:val="00286FC2"/>
    <w:rsid w:val="00286FCE"/>
    <w:rsid w:val="00287039"/>
    <w:rsid w:val="00287104"/>
    <w:rsid w:val="002871E8"/>
    <w:rsid w:val="0028723C"/>
    <w:rsid w:val="0028746D"/>
    <w:rsid w:val="00287507"/>
    <w:rsid w:val="0028758A"/>
    <w:rsid w:val="00287628"/>
    <w:rsid w:val="00287784"/>
    <w:rsid w:val="002877A7"/>
    <w:rsid w:val="00287A5A"/>
    <w:rsid w:val="00287A78"/>
    <w:rsid w:val="00287DDB"/>
    <w:rsid w:val="00287F1E"/>
    <w:rsid w:val="00290079"/>
    <w:rsid w:val="002900AD"/>
    <w:rsid w:val="0029015E"/>
    <w:rsid w:val="002904FC"/>
    <w:rsid w:val="002906CA"/>
    <w:rsid w:val="00290728"/>
    <w:rsid w:val="002908A0"/>
    <w:rsid w:val="00290A9E"/>
    <w:rsid w:val="00290AC3"/>
    <w:rsid w:val="00290BEB"/>
    <w:rsid w:val="00290D7E"/>
    <w:rsid w:val="0029107F"/>
    <w:rsid w:val="00291086"/>
    <w:rsid w:val="0029130C"/>
    <w:rsid w:val="002914C8"/>
    <w:rsid w:val="00291521"/>
    <w:rsid w:val="002915C1"/>
    <w:rsid w:val="00291625"/>
    <w:rsid w:val="0029174B"/>
    <w:rsid w:val="00291872"/>
    <w:rsid w:val="002918CC"/>
    <w:rsid w:val="00291992"/>
    <w:rsid w:val="00291A29"/>
    <w:rsid w:val="00291F9A"/>
    <w:rsid w:val="00291FCC"/>
    <w:rsid w:val="00292096"/>
    <w:rsid w:val="00292451"/>
    <w:rsid w:val="00292561"/>
    <w:rsid w:val="00292807"/>
    <w:rsid w:val="00292880"/>
    <w:rsid w:val="00292907"/>
    <w:rsid w:val="002929E1"/>
    <w:rsid w:val="00292BD5"/>
    <w:rsid w:val="00292C12"/>
    <w:rsid w:val="00292DF1"/>
    <w:rsid w:val="00292E60"/>
    <w:rsid w:val="00293084"/>
    <w:rsid w:val="002930D0"/>
    <w:rsid w:val="00293281"/>
    <w:rsid w:val="00293860"/>
    <w:rsid w:val="00293B65"/>
    <w:rsid w:val="00293B88"/>
    <w:rsid w:val="00293F76"/>
    <w:rsid w:val="00293FF5"/>
    <w:rsid w:val="0029408E"/>
    <w:rsid w:val="00294097"/>
    <w:rsid w:val="0029419E"/>
    <w:rsid w:val="00294328"/>
    <w:rsid w:val="0029443E"/>
    <w:rsid w:val="002944C0"/>
    <w:rsid w:val="002944F6"/>
    <w:rsid w:val="0029456F"/>
    <w:rsid w:val="002946DC"/>
    <w:rsid w:val="00294782"/>
    <w:rsid w:val="0029491B"/>
    <w:rsid w:val="00294A42"/>
    <w:rsid w:val="00294A59"/>
    <w:rsid w:val="00294CBA"/>
    <w:rsid w:val="00294D10"/>
    <w:rsid w:val="00294E3F"/>
    <w:rsid w:val="00294FC9"/>
    <w:rsid w:val="0029511F"/>
    <w:rsid w:val="002952F1"/>
    <w:rsid w:val="00295356"/>
    <w:rsid w:val="002953D4"/>
    <w:rsid w:val="002954E4"/>
    <w:rsid w:val="002957EA"/>
    <w:rsid w:val="00295862"/>
    <w:rsid w:val="00295890"/>
    <w:rsid w:val="00295905"/>
    <w:rsid w:val="0029597E"/>
    <w:rsid w:val="00295A18"/>
    <w:rsid w:val="00295C8D"/>
    <w:rsid w:val="00295FB8"/>
    <w:rsid w:val="00296107"/>
    <w:rsid w:val="0029617A"/>
    <w:rsid w:val="00296323"/>
    <w:rsid w:val="002965E6"/>
    <w:rsid w:val="00296820"/>
    <w:rsid w:val="00296958"/>
    <w:rsid w:val="00296B6C"/>
    <w:rsid w:val="00296C22"/>
    <w:rsid w:val="00296D4E"/>
    <w:rsid w:val="00296DF4"/>
    <w:rsid w:val="00296F7B"/>
    <w:rsid w:val="00296F87"/>
    <w:rsid w:val="00296F98"/>
    <w:rsid w:val="00297193"/>
    <w:rsid w:val="00297218"/>
    <w:rsid w:val="00297463"/>
    <w:rsid w:val="0029748D"/>
    <w:rsid w:val="002976F3"/>
    <w:rsid w:val="0029772A"/>
    <w:rsid w:val="00297911"/>
    <w:rsid w:val="00297D43"/>
    <w:rsid w:val="00297DA5"/>
    <w:rsid w:val="00297EBA"/>
    <w:rsid w:val="00297F2F"/>
    <w:rsid w:val="002A00C0"/>
    <w:rsid w:val="002A0160"/>
    <w:rsid w:val="002A03AA"/>
    <w:rsid w:val="002A055F"/>
    <w:rsid w:val="002A0589"/>
    <w:rsid w:val="002A083B"/>
    <w:rsid w:val="002A08BE"/>
    <w:rsid w:val="002A0904"/>
    <w:rsid w:val="002A09F6"/>
    <w:rsid w:val="002A0A41"/>
    <w:rsid w:val="002A0BA1"/>
    <w:rsid w:val="002A0E09"/>
    <w:rsid w:val="002A1015"/>
    <w:rsid w:val="002A1241"/>
    <w:rsid w:val="002A13E3"/>
    <w:rsid w:val="002A145B"/>
    <w:rsid w:val="002A150A"/>
    <w:rsid w:val="002A1588"/>
    <w:rsid w:val="002A160B"/>
    <w:rsid w:val="002A1757"/>
    <w:rsid w:val="002A1857"/>
    <w:rsid w:val="002A1CA8"/>
    <w:rsid w:val="002A1D40"/>
    <w:rsid w:val="002A1E0C"/>
    <w:rsid w:val="002A1E20"/>
    <w:rsid w:val="002A1E66"/>
    <w:rsid w:val="002A1F72"/>
    <w:rsid w:val="002A1FCE"/>
    <w:rsid w:val="002A1FD8"/>
    <w:rsid w:val="002A2310"/>
    <w:rsid w:val="002A234B"/>
    <w:rsid w:val="002A23D9"/>
    <w:rsid w:val="002A247C"/>
    <w:rsid w:val="002A2617"/>
    <w:rsid w:val="002A28E4"/>
    <w:rsid w:val="002A2AB2"/>
    <w:rsid w:val="002A2BB0"/>
    <w:rsid w:val="002A2BC7"/>
    <w:rsid w:val="002A2ED4"/>
    <w:rsid w:val="002A30FB"/>
    <w:rsid w:val="002A310B"/>
    <w:rsid w:val="002A314C"/>
    <w:rsid w:val="002A335C"/>
    <w:rsid w:val="002A3448"/>
    <w:rsid w:val="002A35A0"/>
    <w:rsid w:val="002A3B85"/>
    <w:rsid w:val="002A3D15"/>
    <w:rsid w:val="002A3E21"/>
    <w:rsid w:val="002A3EDD"/>
    <w:rsid w:val="002A3FDE"/>
    <w:rsid w:val="002A40E7"/>
    <w:rsid w:val="002A40E8"/>
    <w:rsid w:val="002A4170"/>
    <w:rsid w:val="002A44F8"/>
    <w:rsid w:val="002A45B3"/>
    <w:rsid w:val="002A4763"/>
    <w:rsid w:val="002A47DF"/>
    <w:rsid w:val="002A4AC7"/>
    <w:rsid w:val="002A4B83"/>
    <w:rsid w:val="002A4C98"/>
    <w:rsid w:val="002A4F05"/>
    <w:rsid w:val="002A5134"/>
    <w:rsid w:val="002A5351"/>
    <w:rsid w:val="002A55D4"/>
    <w:rsid w:val="002A582B"/>
    <w:rsid w:val="002A5837"/>
    <w:rsid w:val="002A59DF"/>
    <w:rsid w:val="002A5C58"/>
    <w:rsid w:val="002A5C5E"/>
    <w:rsid w:val="002A5E54"/>
    <w:rsid w:val="002A6046"/>
    <w:rsid w:val="002A61F1"/>
    <w:rsid w:val="002A6257"/>
    <w:rsid w:val="002A62EC"/>
    <w:rsid w:val="002A64CC"/>
    <w:rsid w:val="002A657B"/>
    <w:rsid w:val="002A6650"/>
    <w:rsid w:val="002A68B7"/>
    <w:rsid w:val="002A690F"/>
    <w:rsid w:val="002A6A84"/>
    <w:rsid w:val="002A6F72"/>
    <w:rsid w:val="002A6F8D"/>
    <w:rsid w:val="002A6FD5"/>
    <w:rsid w:val="002A704D"/>
    <w:rsid w:val="002A705D"/>
    <w:rsid w:val="002A7119"/>
    <w:rsid w:val="002A7299"/>
    <w:rsid w:val="002A7558"/>
    <w:rsid w:val="002A7706"/>
    <w:rsid w:val="002A79F9"/>
    <w:rsid w:val="002A7A81"/>
    <w:rsid w:val="002A7A8E"/>
    <w:rsid w:val="002A7AFE"/>
    <w:rsid w:val="002A7B3A"/>
    <w:rsid w:val="002A7B84"/>
    <w:rsid w:val="002A7D85"/>
    <w:rsid w:val="002B002C"/>
    <w:rsid w:val="002B0125"/>
    <w:rsid w:val="002B025A"/>
    <w:rsid w:val="002B02C7"/>
    <w:rsid w:val="002B02F2"/>
    <w:rsid w:val="002B0305"/>
    <w:rsid w:val="002B0314"/>
    <w:rsid w:val="002B0431"/>
    <w:rsid w:val="002B046E"/>
    <w:rsid w:val="002B05DF"/>
    <w:rsid w:val="002B06CA"/>
    <w:rsid w:val="002B078B"/>
    <w:rsid w:val="002B0B74"/>
    <w:rsid w:val="002B0C59"/>
    <w:rsid w:val="002B0EE5"/>
    <w:rsid w:val="002B13D1"/>
    <w:rsid w:val="002B1492"/>
    <w:rsid w:val="002B1874"/>
    <w:rsid w:val="002B19C4"/>
    <w:rsid w:val="002B1A49"/>
    <w:rsid w:val="002B1D50"/>
    <w:rsid w:val="002B21F2"/>
    <w:rsid w:val="002B2237"/>
    <w:rsid w:val="002B2439"/>
    <w:rsid w:val="002B24AB"/>
    <w:rsid w:val="002B2658"/>
    <w:rsid w:val="002B2728"/>
    <w:rsid w:val="002B27B1"/>
    <w:rsid w:val="002B282E"/>
    <w:rsid w:val="002B2B56"/>
    <w:rsid w:val="002B2BB4"/>
    <w:rsid w:val="002B2BE9"/>
    <w:rsid w:val="002B2BF2"/>
    <w:rsid w:val="002B2F9E"/>
    <w:rsid w:val="002B320E"/>
    <w:rsid w:val="002B322F"/>
    <w:rsid w:val="002B3234"/>
    <w:rsid w:val="002B34FE"/>
    <w:rsid w:val="002B3538"/>
    <w:rsid w:val="002B3639"/>
    <w:rsid w:val="002B36A6"/>
    <w:rsid w:val="002B3A4B"/>
    <w:rsid w:val="002B3E3A"/>
    <w:rsid w:val="002B3F2E"/>
    <w:rsid w:val="002B3FBB"/>
    <w:rsid w:val="002B42DB"/>
    <w:rsid w:val="002B463C"/>
    <w:rsid w:val="002B4693"/>
    <w:rsid w:val="002B46FE"/>
    <w:rsid w:val="002B4906"/>
    <w:rsid w:val="002B4AE7"/>
    <w:rsid w:val="002B4C5F"/>
    <w:rsid w:val="002B4CDB"/>
    <w:rsid w:val="002B4D0F"/>
    <w:rsid w:val="002B4DA7"/>
    <w:rsid w:val="002B4F6E"/>
    <w:rsid w:val="002B50DD"/>
    <w:rsid w:val="002B52BC"/>
    <w:rsid w:val="002B5454"/>
    <w:rsid w:val="002B563C"/>
    <w:rsid w:val="002B5908"/>
    <w:rsid w:val="002B59DE"/>
    <w:rsid w:val="002B5A2F"/>
    <w:rsid w:val="002B5C79"/>
    <w:rsid w:val="002B5D7F"/>
    <w:rsid w:val="002B5EC3"/>
    <w:rsid w:val="002B6112"/>
    <w:rsid w:val="002B66DA"/>
    <w:rsid w:val="002B66FD"/>
    <w:rsid w:val="002B6D81"/>
    <w:rsid w:val="002B6E9C"/>
    <w:rsid w:val="002B6F37"/>
    <w:rsid w:val="002B7010"/>
    <w:rsid w:val="002B7622"/>
    <w:rsid w:val="002B76D4"/>
    <w:rsid w:val="002B782B"/>
    <w:rsid w:val="002B786C"/>
    <w:rsid w:val="002B78D2"/>
    <w:rsid w:val="002B78ED"/>
    <w:rsid w:val="002B7927"/>
    <w:rsid w:val="002B7982"/>
    <w:rsid w:val="002B7A2B"/>
    <w:rsid w:val="002B7E01"/>
    <w:rsid w:val="002B7F4C"/>
    <w:rsid w:val="002B7F98"/>
    <w:rsid w:val="002C00C5"/>
    <w:rsid w:val="002C020F"/>
    <w:rsid w:val="002C0499"/>
    <w:rsid w:val="002C04B1"/>
    <w:rsid w:val="002C04E8"/>
    <w:rsid w:val="002C0594"/>
    <w:rsid w:val="002C0616"/>
    <w:rsid w:val="002C0628"/>
    <w:rsid w:val="002C0657"/>
    <w:rsid w:val="002C07EA"/>
    <w:rsid w:val="002C0B5D"/>
    <w:rsid w:val="002C0D52"/>
    <w:rsid w:val="002C0E31"/>
    <w:rsid w:val="002C0EB9"/>
    <w:rsid w:val="002C0FC2"/>
    <w:rsid w:val="002C12B4"/>
    <w:rsid w:val="002C143B"/>
    <w:rsid w:val="002C15D2"/>
    <w:rsid w:val="002C16D9"/>
    <w:rsid w:val="002C17AF"/>
    <w:rsid w:val="002C18F8"/>
    <w:rsid w:val="002C1A0A"/>
    <w:rsid w:val="002C1AB4"/>
    <w:rsid w:val="002C1BBC"/>
    <w:rsid w:val="002C1C8A"/>
    <w:rsid w:val="002C1CD2"/>
    <w:rsid w:val="002C1CEB"/>
    <w:rsid w:val="002C1CF0"/>
    <w:rsid w:val="002C1D02"/>
    <w:rsid w:val="002C21F7"/>
    <w:rsid w:val="002C236D"/>
    <w:rsid w:val="002C2556"/>
    <w:rsid w:val="002C283D"/>
    <w:rsid w:val="002C2904"/>
    <w:rsid w:val="002C2993"/>
    <w:rsid w:val="002C2A39"/>
    <w:rsid w:val="002C2FEE"/>
    <w:rsid w:val="002C3368"/>
    <w:rsid w:val="002C338A"/>
    <w:rsid w:val="002C358D"/>
    <w:rsid w:val="002C359C"/>
    <w:rsid w:val="002C363C"/>
    <w:rsid w:val="002C398C"/>
    <w:rsid w:val="002C39A8"/>
    <w:rsid w:val="002C39CF"/>
    <w:rsid w:val="002C3A18"/>
    <w:rsid w:val="002C3A22"/>
    <w:rsid w:val="002C3B96"/>
    <w:rsid w:val="002C3BDB"/>
    <w:rsid w:val="002C3CF9"/>
    <w:rsid w:val="002C3D04"/>
    <w:rsid w:val="002C3EBE"/>
    <w:rsid w:val="002C400F"/>
    <w:rsid w:val="002C4016"/>
    <w:rsid w:val="002C40B0"/>
    <w:rsid w:val="002C4322"/>
    <w:rsid w:val="002C4408"/>
    <w:rsid w:val="002C441E"/>
    <w:rsid w:val="002C46A0"/>
    <w:rsid w:val="002C4772"/>
    <w:rsid w:val="002C48D7"/>
    <w:rsid w:val="002C49CE"/>
    <w:rsid w:val="002C4C23"/>
    <w:rsid w:val="002C4E4F"/>
    <w:rsid w:val="002C4ED1"/>
    <w:rsid w:val="002C4EFE"/>
    <w:rsid w:val="002C5022"/>
    <w:rsid w:val="002C512B"/>
    <w:rsid w:val="002C54ED"/>
    <w:rsid w:val="002C5864"/>
    <w:rsid w:val="002C5DAD"/>
    <w:rsid w:val="002C5E09"/>
    <w:rsid w:val="002C5E22"/>
    <w:rsid w:val="002C5F09"/>
    <w:rsid w:val="002C600A"/>
    <w:rsid w:val="002C6223"/>
    <w:rsid w:val="002C62F9"/>
    <w:rsid w:val="002C6359"/>
    <w:rsid w:val="002C6481"/>
    <w:rsid w:val="002C65D4"/>
    <w:rsid w:val="002C666B"/>
    <w:rsid w:val="002C66FE"/>
    <w:rsid w:val="002C67FF"/>
    <w:rsid w:val="002C683C"/>
    <w:rsid w:val="002C68D4"/>
    <w:rsid w:val="002C69B5"/>
    <w:rsid w:val="002C6ADA"/>
    <w:rsid w:val="002C6BB6"/>
    <w:rsid w:val="002C6CBE"/>
    <w:rsid w:val="002C6D1A"/>
    <w:rsid w:val="002C6D68"/>
    <w:rsid w:val="002C6D8D"/>
    <w:rsid w:val="002C6EFF"/>
    <w:rsid w:val="002C710D"/>
    <w:rsid w:val="002C725F"/>
    <w:rsid w:val="002C7323"/>
    <w:rsid w:val="002C76E9"/>
    <w:rsid w:val="002C78EF"/>
    <w:rsid w:val="002C7943"/>
    <w:rsid w:val="002C79BF"/>
    <w:rsid w:val="002C7A7A"/>
    <w:rsid w:val="002C7CEB"/>
    <w:rsid w:val="002D00AD"/>
    <w:rsid w:val="002D03AE"/>
    <w:rsid w:val="002D0544"/>
    <w:rsid w:val="002D0949"/>
    <w:rsid w:val="002D0ABF"/>
    <w:rsid w:val="002D0F3F"/>
    <w:rsid w:val="002D0F60"/>
    <w:rsid w:val="002D1119"/>
    <w:rsid w:val="002D1153"/>
    <w:rsid w:val="002D137D"/>
    <w:rsid w:val="002D137F"/>
    <w:rsid w:val="002D1596"/>
    <w:rsid w:val="002D1785"/>
    <w:rsid w:val="002D181E"/>
    <w:rsid w:val="002D1848"/>
    <w:rsid w:val="002D1863"/>
    <w:rsid w:val="002D1A5E"/>
    <w:rsid w:val="002D1E03"/>
    <w:rsid w:val="002D1EFE"/>
    <w:rsid w:val="002D2111"/>
    <w:rsid w:val="002D213A"/>
    <w:rsid w:val="002D216F"/>
    <w:rsid w:val="002D217C"/>
    <w:rsid w:val="002D233A"/>
    <w:rsid w:val="002D268F"/>
    <w:rsid w:val="002D26C3"/>
    <w:rsid w:val="002D27AD"/>
    <w:rsid w:val="002D299A"/>
    <w:rsid w:val="002D2C20"/>
    <w:rsid w:val="002D2E6A"/>
    <w:rsid w:val="002D2F0A"/>
    <w:rsid w:val="002D2FB6"/>
    <w:rsid w:val="002D302F"/>
    <w:rsid w:val="002D31FF"/>
    <w:rsid w:val="002D34F6"/>
    <w:rsid w:val="002D356C"/>
    <w:rsid w:val="002D37FB"/>
    <w:rsid w:val="002D3B39"/>
    <w:rsid w:val="002D3BD7"/>
    <w:rsid w:val="002D3C3D"/>
    <w:rsid w:val="002D3C97"/>
    <w:rsid w:val="002D3FB6"/>
    <w:rsid w:val="002D461A"/>
    <w:rsid w:val="002D46FA"/>
    <w:rsid w:val="002D474B"/>
    <w:rsid w:val="002D477F"/>
    <w:rsid w:val="002D4A35"/>
    <w:rsid w:val="002D4C7E"/>
    <w:rsid w:val="002D4D4C"/>
    <w:rsid w:val="002D4EE3"/>
    <w:rsid w:val="002D4FA4"/>
    <w:rsid w:val="002D501E"/>
    <w:rsid w:val="002D5031"/>
    <w:rsid w:val="002D50F8"/>
    <w:rsid w:val="002D512D"/>
    <w:rsid w:val="002D5579"/>
    <w:rsid w:val="002D5820"/>
    <w:rsid w:val="002D5910"/>
    <w:rsid w:val="002D5D35"/>
    <w:rsid w:val="002D5E71"/>
    <w:rsid w:val="002D5F9A"/>
    <w:rsid w:val="002D6077"/>
    <w:rsid w:val="002D6079"/>
    <w:rsid w:val="002D630A"/>
    <w:rsid w:val="002D6416"/>
    <w:rsid w:val="002D6459"/>
    <w:rsid w:val="002D6546"/>
    <w:rsid w:val="002D6581"/>
    <w:rsid w:val="002D67CB"/>
    <w:rsid w:val="002D68B3"/>
    <w:rsid w:val="002D6C13"/>
    <w:rsid w:val="002D6EAA"/>
    <w:rsid w:val="002D704C"/>
    <w:rsid w:val="002D71CC"/>
    <w:rsid w:val="002D7336"/>
    <w:rsid w:val="002D7422"/>
    <w:rsid w:val="002D742A"/>
    <w:rsid w:val="002D76DE"/>
    <w:rsid w:val="002D76ED"/>
    <w:rsid w:val="002D7754"/>
    <w:rsid w:val="002D7757"/>
    <w:rsid w:val="002D785B"/>
    <w:rsid w:val="002D7B31"/>
    <w:rsid w:val="002D7D81"/>
    <w:rsid w:val="002D7F93"/>
    <w:rsid w:val="002E01CB"/>
    <w:rsid w:val="002E01E0"/>
    <w:rsid w:val="002E0254"/>
    <w:rsid w:val="002E0595"/>
    <w:rsid w:val="002E06E2"/>
    <w:rsid w:val="002E073A"/>
    <w:rsid w:val="002E095D"/>
    <w:rsid w:val="002E0A49"/>
    <w:rsid w:val="002E0B83"/>
    <w:rsid w:val="002E0C3C"/>
    <w:rsid w:val="002E0C70"/>
    <w:rsid w:val="002E0E05"/>
    <w:rsid w:val="002E0E6F"/>
    <w:rsid w:val="002E1095"/>
    <w:rsid w:val="002E1115"/>
    <w:rsid w:val="002E1514"/>
    <w:rsid w:val="002E15C1"/>
    <w:rsid w:val="002E1603"/>
    <w:rsid w:val="002E16FF"/>
    <w:rsid w:val="002E19C2"/>
    <w:rsid w:val="002E1B3A"/>
    <w:rsid w:val="002E1B49"/>
    <w:rsid w:val="002E1B4C"/>
    <w:rsid w:val="002E1D57"/>
    <w:rsid w:val="002E20FC"/>
    <w:rsid w:val="002E21F1"/>
    <w:rsid w:val="002E24B8"/>
    <w:rsid w:val="002E251C"/>
    <w:rsid w:val="002E2677"/>
    <w:rsid w:val="002E2812"/>
    <w:rsid w:val="002E28F0"/>
    <w:rsid w:val="002E293E"/>
    <w:rsid w:val="002E2A5F"/>
    <w:rsid w:val="002E2C5E"/>
    <w:rsid w:val="002E2C95"/>
    <w:rsid w:val="002E2D10"/>
    <w:rsid w:val="002E318D"/>
    <w:rsid w:val="002E328D"/>
    <w:rsid w:val="002E33D7"/>
    <w:rsid w:val="002E3782"/>
    <w:rsid w:val="002E396B"/>
    <w:rsid w:val="002E3B0C"/>
    <w:rsid w:val="002E3BF2"/>
    <w:rsid w:val="002E4204"/>
    <w:rsid w:val="002E4240"/>
    <w:rsid w:val="002E425E"/>
    <w:rsid w:val="002E44C8"/>
    <w:rsid w:val="002E45D4"/>
    <w:rsid w:val="002E4763"/>
    <w:rsid w:val="002E48A6"/>
    <w:rsid w:val="002E49A3"/>
    <w:rsid w:val="002E4B3A"/>
    <w:rsid w:val="002E4C8E"/>
    <w:rsid w:val="002E509C"/>
    <w:rsid w:val="002E5255"/>
    <w:rsid w:val="002E53AF"/>
    <w:rsid w:val="002E543F"/>
    <w:rsid w:val="002E5493"/>
    <w:rsid w:val="002E562D"/>
    <w:rsid w:val="002E5F05"/>
    <w:rsid w:val="002E6262"/>
    <w:rsid w:val="002E6354"/>
    <w:rsid w:val="002E644D"/>
    <w:rsid w:val="002E649C"/>
    <w:rsid w:val="002E66B4"/>
    <w:rsid w:val="002E674A"/>
    <w:rsid w:val="002E687E"/>
    <w:rsid w:val="002E6A14"/>
    <w:rsid w:val="002E6AF5"/>
    <w:rsid w:val="002E6B41"/>
    <w:rsid w:val="002E6CA6"/>
    <w:rsid w:val="002E6F1A"/>
    <w:rsid w:val="002E6F74"/>
    <w:rsid w:val="002E6F7C"/>
    <w:rsid w:val="002E71B1"/>
    <w:rsid w:val="002E7206"/>
    <w:rsid w:val="002E7306"/>
    <w:rsid w:val="002E7808"/>
    <w:rsid w:val="002E7A1F"/>
    <w:rsid w:val="002E7B0A"/>
    <w:rsid w:val="002E7D0B"/>
    <w:rsid w:val="002E7D7F"/>
    <w:rsid w:val="002E7EA6"/>
    <w:rsid w:val="002F0263"/>
    <w:rsid w:val="002F029A"/>
    <w:rsid w:val="002F02B9"/>
    <w:rsid w:val="002F0589"/>
    <w:rsid w:val="002F0805"/>
    <w:rsid w:val="002F0B8C"/>
    <w:rsid w:val="002F0BB0"/>
    <w:rsid w:val="002F0EF0"/>
    <w:rsid w:val="002F0F01"/>
    <w:rsid w:val="002F110F"/>
    <w:rsid w:val="002F1152"/>
    <w:rsid w:val="002F11FC"/>
    <w:rsid w:val="002F1304"/>
    <w:rsid w:val="002F13FE"/>
    <w:rsid w:val="002F15AC"/>
    <w:rsid w:val="002F15E7"/>
    <w:rsid w:val="002F160C"/>
    <w:rsid w:val="002F163F"/>
    <w:rsid w:val="002F18D3"/>
    <w:rsid w:val="002F1A04"/>
    <w:rsid w:val="002F1A0E"/>
    <w:rsid w:val="002F1BA6"/>
    <w:rsid w:val="002F1E1F"/>
    <w:rsid w:val="002F1E78"/>
    <w:rsid w:val="002F1F28"/>
    <w:rsid w:val="002F20F5"/>
    <w:rsid w:val="002F2322"/>
    <w:rsid w:val="002F24FC"/>
    <w:rsid w:val="002F25BA"/>
    <w:rsid w:val="002F2648"/>
    <w:rsid w:val="002F26BC"/>
    <w:rsid w:val="002F28B6"/>
    <w:rsid w:val="002F2D4D"/>
    <w:rsid w:val="002F2DCA"/>
    <w:rsid w:val="002F2E43"/>
    <w:rsid w:val="002F2ED4"/>
    <w:rsid w:val="002F3076"/>
    <w:rsid w:val="002F3337"/>
    <w:rsid w:val="002F3426"/>
    <w:rsid w:val="002F343A"/>
    <w:rsid w:val="002F3446"/>
    <w:rsid w:val="002F34E5"/>
    <w:rsid w:val="002F357D"/>
    <w:rsid w:val="002F35A5"/>
    <w:rsid w:val="002F3751"/>
    <w:rsid w:val="002F38BB"/>
    <w:rsid w:val="002F3F15"/>
    <w:rsid w:val="002F3F9D"/>
    <w:rsid w:val="002F4044"/>
    <w:rsid w:val="002F407E"/>
    <w:rsid w:val="002F40C8"/>
    <w:rsid w:val="002F46CD"/>
    <w:rsid w:val="002F46D4"/>
    <w:rsid w:val="002F475C"/>
    <w:rsid w:val="002F4879"/>
    <w:rsid w:val="002F49F5"/>
    <w:rsid w:val="002F4B14"/>
    <w:rsid w:val="002F4B5F"/>
    <w:rsid w:val="002F4C0C"/>
    <w:rsid w:val="002F4DFE"/>
    <w:rsid w:val="002F4F14"/>
    <w:rsid w:val="002F50AC"/>
    <w:rsid w:val="002F5291"/>
    <w:rsid w:val="002F530F"/>
    <w:rsid w:val="002F533C"/>
    <w:rsid w:val="002F5369"/>
    <w:rsid w:val="002F53BF"/>
    <w:rsid w:val="002F55B2"/>
    <w:rsid w:val="002F5C3F"/>
    <w:rsid w:val="002F5C49"/>
    <w:rsid w:val="002F5CBF"/>
    <w:rsid w:val="002F5E01"/>
    <w:rsid w:val="002F5F08"/>
    <w:rsid w:val="002F6085"/>
    <w:rsid w:val="002F6087"/>
    <w:rsid w:val="002F61F7"/>
    <w:rsid w:val="002F634F"/>
    <w:rsid w:val="002F6675"/>
    <w:rsid w:val="002F6C19"/>
    <w:rsid w:val="002F6CFB"/>
    <w:rsid w:val="002F6D92"/>
    <w:rsid w:val="002F6DE0"/>
    <w:rsid w:val="002F6F2B"/>
    <w:rsid w:val="002F6F57"/>
    <w:rsid w:val="002F711E"/>
    <w:rsid w:val="002F729F"/>
    <w:rsid w:val="002F740E"/>
    <w:rsid w:val="002F753D"/>
    <w:rsid w:val="002F77A7"/>
    <w:rsid w:val="002F78B2"/>
    <w:rsid w:val="002F78F7"/>
    <w:rsid w:val="002F78FC"/>
    <w:rsid w:val="002F7A47"/>
    <w:rsid w:val="002F7A83"/>
    <w:rsid w:val="002F7C07"/>
    <w:rsid w:val="00300087"/>
    <w:rsid w:val="0030010D"/>
    <w:rsid w:val="00300220"/>
    <w:rsid w:val="003002D8"/>
    <w:rsid w:val="003003EB"/>
    <w:rsid w:val="003006A3"/>
    <w:rsid w:val="0030072C"/>
    <w:rsid w:val="003007DA"/>
    <w:rsid w:val="003008E9"/>
    <w:rsid w:val="003009EB"/>
    <w:rsid w:val="00300AF1"/>
    <w:rsid w:val="00300BD0"/>
    <w:rsid w:val="00300C01"/>
    <w:rsid w:val="00300CAA"/>
    <w:rsid w:val="00300D9C"/>
    <w:rsid w:val="00300E73"/>
    <w:rsid w:val="00300FB1"/>
    <w:rsid w:val="003012C2"/>
    <w:rsid w:val="0030141F"/>
    <w:rsid w:val="003017FC"/>
    <w:rsid w:val="00301AF4"/>
    <w:rsid w:val="00301B74"/>
    <w:rsid w:val="00301BCC"/>
    <w:rsid w:val="00301C29"/>
    <w:rsid w:val="00301C34"/>
    <w:rsid w:val="00301CEF"/>
    <w:rsid w:val="00301D23"/>
    <w:rsid w:val="00301D3B"/>
    <w:rsid w:val="00301E5B"/>
    <w:rsid w:val="00301EA6"/>
    <w:rsid w:val="00301F25"/>
    <w:rsid w:val="00301FA5"/>
    <w:rsid w:val="00302395"/>
    <w:rsid w:val="003025F5"/>
    <w:rsid w:val="00302644"/>
    <w:rsid w:val="00302949"/>
    <w:rsid w:val="00302A3C"/>
    <w:rsid w:val="00302B8A"/>
    <w:rsid w:val="00302BF7"/>
    <w:rsid w:val="00302CB7"/>
    <w:rsid w:val="0030306A"/>
    <w:rsid w:val="003036D0"/>
    <w:rsid w:val="003036E6"/>
    <w:rsid w:val="003038E8"/>
    <w:rsid w:val="00303921"/>
    <w:rsid w:val="00303B6D"/>
    <w:rsid w:val="00303B74"/>
    <w:rsid w:val="00303CF9"/>
    <w:rsid w:val="00303D87"/>
    <w:rsid w:val="00303DA0"/>
    <w:rsid w:val="0030403C"/>
    <w:rsid w:val="0030428C"/>
    <w:rsid w:val="00304567"/>
    <w:rsid w:val="003047A4"/>
    <w:rsid w:val="0030484F"/>
    <w:rsid w:val="00304864"/>
    <w:rsid w:val="00304A4C"/>
    <w:rsid w:val="00304B49"/>
    <w:rsid w:val="00304BA4"/>
    <w:rsid w:val="00304C5C"/>
    <w:rsid w:val="00304E45"/>
    <w:rsid w:val="00304E69"/>
    <w:rsid w:val="00304E70"/>
    <w:rsid w:val="00304E92"/>
    <w:rsid w:val="003052E4"/>
    <w:rsid w:val="0030534B"/>
    <w:rsid w:val="003053E7"/>
    <w:rsid w:val="00305531"/>
    <w:rsid w:val="0030563C"/>
    <w:rsid w:val="003056AE"/>
    <w:rsid w:val="003058DE"/>
    <w:rsid w:val="003058E2"/>
    <w:rsid w:val="00305AB1"/>
    <w:rsid w:val="00305C7B"/>
    <w:rsid w:val="00305D7D"/>
    <w:rsid w:val="00305F3E"/>
    <w:rsid w:val="003060E4"/>
    <w:rsid w:val="0030615D"/>
    <w:rsid w:val="003063E9"/>
    <w:rsid w:val="003064E8"/>
    <w:rsid w:val="00306503"/>
    <w:rsid w:val="0030655D"/>
    <w:rsid w:val="00306597"/>
    <w:rsid w:val="003066C6"/>
    <w:rsid w:val="003066D2"/>
    <w:rsid w:val="0030674A"/>
    <w:rsid w:val="00306763"/>
    <w:rsid w:val="003069A0"/>
    <w:rsid w:val="00306CD9"/>
    <w:rsid w:val="00306EAA"/>
    <w:rsid w:val="00306F8E"/>
    <w:rsid w:val="003071BE"/>
    <w:rsid w:val="003072CE"/>
    <w:rsid w:val="00307515"/>
    <w:rsid w:val="0030761A"/>
    <w:rsid w:val="00307782"/>
    <w:rsid w:val="00307AFE"/>
    <w:rsid w:val="00307BC8"/>
    <w:rsid w:val="00307BCF"/>
    <w:rsid w:val="00307D54"/>
    <w:rsid w:val="00307E8C"/>
    <w:rsid w:val="00307EDF"/>
    <w:rsid w:val="00307F4A"/>
    <w:rsid w:val="00310002"/>
    <w:rsid w:val="00310063"/>
    <w:rsid w:val="003100CB"/>
    <w:rsid w:val="003101FD"/>
    <w:rsid w:val="003102C5"/>
    <w:rsid w:val="003102E0"/>
    <w:rsid w:val="003103E5"/>
    <w:rsid w:val="00310632"/>
    <w:rsid w:val="00310807"/>
    <w:rsid w:val="00310841"/>
    <w:rsid w:val="003108FB"/>
    <w:rsid w:val="00310909"/>
    <w:rsid w:val="003109EC"/>
    <w:rsid w:val="00310A1A"/>
    <w:rsid w:val="00310BCB"/>
    <w:rsid w:val="00310BE4"/>
    <w:rsid w:val="00310C1F"/>
    <w:rsid w:val="00310E1D"/>
    <w:rsid w:val="00310FF6"/>
    <w:rsid w:val="003112B5"/>
    <w:rsid w:val="0031138D"/>
    <w:rsid w:val="003114C0"/>
    <w:rsid w:val="003115F3"/>
    <w:rsid w:val="00311869"/>
    <w:rsid w:val="00311C29"/>
    <w:rsid w:val="00311CB2"/>
    <w:rsid w:val="00311CDB"/>
    <w:rsid w:val="003121A4"/>
    <w:rsid w:val="00312737"/>
    <w:rsid w:val="0031281A"/>
    <w:rsid w:val="003128D5"/>
    <w:rsid w:val="00312AC1"/>
    <w:rsid w:val="00312AD5"/>
    <w:rsid w:val="00312F08"/>
    <w:rsid w:val="00312FE1"/>
    <w:rsid w:val="00313019"/>
    <w:rsid w:val="003130A9"/>
    <w:rsid w:val="00313145"/>
    <w:rsid w:val="003132ED"/>
    <w:rsid w:val="00313586"/>
    <w:rsid w:val="00313706"/>
    <w:rsid w:val="003137E2"/>
    <w:rsid w:val="00313810"/>
    <w:rsid w:val="003138EA"/>
    <w:rsid w:val="003138FE"/>
    <w:rsid w:val="0031392F"/>
    <w:rsid w:val="00313948"/>
    <w:rsid w:val="00313B51"/>
    <w:rsid w:val="00314086"/>
    <w:rsid w:val="0031431D"/>
    <w:rsid w:val="00314352"/>
    <w:rsid w:val="00314649"/>
    <w:rsid w:val="00314764"/>
    <w:rsid w:val="0031478A"/>
    <w:rsid w:val="00314A2D"/>
    <w:rsid w:val="00314D6E"/>
    <w:rsid w:val="003150A4"/>
    <w:rsid w:val="003154C4"/>
    <w:rsid w:val="003156EC"/>
    <w:rsid w:val="00315788"/>
    <w:rsid w:val="0031581C"/>
    <w:rsid w:val="0031589F"/>
    <w:rsid w:val="00315955"/>
    <w:rsid w:val="00315D8F"/>
    <w:rsid w:val="00315D90"/>
    <w:rsid w:val="00315E80"/>
    <w:rsid w:val="00315EE3"/>
    <w:rsid w:val="0031608D"/>
    <w:rsid w:val="0031626D"/>
    <w:rsid w:val="00316388"/>
    <w:rsid w:val="0031648C"/>
    <w:rsid w:val="0031680C"/>
    <w:rsid w:val="0031693C"/>
    <w:rsid w:val="00316961"/>
    <w:rsid w:val="003169BE"/>
    <w:rsid w:val="003172AA"/>
    <w:rsid w:val="003173B4"/>
    <w:rsid w:val="00317628"/>
    <w:rsid w:val="00317712"/>
    <w:rsid w:val="00317747"/>
    <w:rsid w:val="003177CD"/>
    <w:rsid w:val="00317D25"/>
    <w:rsid w:val="00317F57"/>
    <w:rsid w:val="00320137"/>
    <w:rsid w:val="003203E3"/>
    <w:rsid w:val="00320419"/>
    <w:rsid w:val="003204FA"/>
    <w:rsid w:val="00320502"/>
    <w:rsid w:val="003206AF"/>
    <w:rsid w:val="0032071C"/>
    <w:rsid w:val="00320722"/>
    <w:rsid w:val="0032075C"/>
    <w:rsid w:val="003207CF"/>
    <w:rsid w:val="00320911"/>
    <w:rsid w:val="00320943"/>
    <w:rsid w:val="003209F9"/>
    <w:rsid w:val="00320AEB"/>
    <w:rsid w:val="00320C66"/>
    <w:rsid w:val="00320DAC"/>
    <w:rsid w:val="0032115D"/>
    <w:rsid w:val="003211BE"/>
    <w:rsid w:val="0032126F"/>
    <w:rsid w:val="003213D7"/>
    <w:rsid w:val="003214CA"/>
    <w:rsid w:val="00321633"/>
    <w:rsid w:val="0032173D"/>
    <w:rsid w:val="0032184A"/>
    <w:rsid w:val="00321968"/>
    <w:rsid w:val="00321AD9"/>
    <w:rsid w:val="00321AFC"/>
    <w:rsid w:val="00321B50"/>
    <w:rsid w:val="00321DDD"/>
    <w:rsid w:val="00321DEE"/>
    <w:rsid w:val="00321EC8"/>
    <w:rsid w:val="0032208C"/>
    <w:rsid w:val="0032221D"/>
    <w:rsid w:val="003224AF"/>
    <w:rsid w:val="00322571"/>
    <w:rsid w:val="003227DA"/>
    <w:rsid w:val="003228D1"/>
    <w:rsid w:val="00322987"/>
    <w:rsid w:val="00322B03"/>
    <w:rsid w:val="00322E7D"/>
    <w:rsid w:val="00322F0A"/>
    <w:rsid w:val="00322F3D"/>
    <w:rsid w:val="00322FD0"/>
    <w:rsid w:val="00323035"/>
    <w:rsid w:val="0032305B"/>
    <w:rsid w:val="00323077"/>
    <w:rsid w:val="003230E1"/>
    <w:rsid w:val="00323157"/>
    <w:rsid w:val="003231B2"/>
    <w:rsid w:val="00323233"/>
    <w:rsid w:val="00323354"/>
    <w:rsid w:val="0032342A"/>
    <w:rsid w:val="00323616"/>
    <w:rsid w:val="00323809"/>
    <w:rsid w:val="0032393C"/>
    <w:rsid w:val="00323996"/>
    <w:rsid w:val="00323A21"/>
    <w:rsid w:val="00323C33"/>
    <w:rsid w:val="00323C73"/>
    <w:rsid w:val="00323C86"/>
    <w:rsid w:val="00323D94"/>
    <w:rsid w:val="00323DB4"/>
    <w:rsid w:val="00323F46"/>
    <w:rsid w:val="003240E0"/>
    <w:rsid w:val="00324458"/>
    <w:rsid w:val="00324883"/>
    <w:rsid w:val="003248FB"/>
    <w:rsid w:val="00324A2A"/>
    <w:rsid w:val="00324B65"/>
    <w:rsid w:val="00324B8B"/>
    <w:rsid w:val="00324B9E"/>
    <w:rsid w:val="00324CD0"/>
    <w:rsid w:val="00324FED"/>
    <w:rsid w:val="003250F4"/>
    <w:rsid w:val="0032513F"/>
    <w:rsid w:val="003251DC"/>
    <w:rsid w:val="0032523E"/>
    <w:rsid w:val="0032537A"/>
    <w:rsid w:val="00325562"/>
    <w:rsid w:val="0032572F"/>
    <w:rsid w:val="0032594A"/>
    <w:rsid w:val="00325A74"/>
    <w:rsid w:val="00325D1E"/>
    <w:rsid w:val="00325EFF"/>
    <w:rsid w:val="0032609D"/>
    <w:rsid w:val="0032614E"/>
    <w:rsid w:val="003262D7"/>
    <w:rsid w:val="003262DA"/>
    <w:rsid w:val="00326300"/>
    <w:rsid w:val="00326492"/>
    <w:rsid w:val="0032651D"/>
    <w:rsid w:val="003265DF"/>
    <w:rsid w:val="00326634"/>
    <w:rsid w:val="0032671F"/>
    <w:rsid w:val="00326A63"/>
    <w:rsid w:val="00326AD4"/>
    <w:rsid w:val="00326D36"/>
    <w:rsid w:val="00326E15"/>
    <w:rsid w:val="00326E3B"/>
    <w:rsid w:val="00326E58"/>
    <w:rsid w:val="00326E7C"/>
    <w:rsid w:val="00327016"/>
    <w:rsid w:val="003272B9"/>
    <w:rsid w:val="00327783"/>
    <w:rsid w:val="00327AEB"/>
    <w:rsid w:val="00327B54"/>
    <w:rsid w:val="00330078"/>
    <w:rsid w:val="003300E0"/>
    <w:rsid w:val="00330224"/>
    <w:rsid w:val="0033047B"/>
    <w:rsid w:val="00330914"/>
    <w:rsid w:val="00330998"/>
    <w:rsid w:val="00330D08"/>
    <w:rsid w:val="00330D3F"/>
    <w:rsid w:val="00330DB2"/>
    <w:rsid w:val="00330E21"/>
    <w:rsid w:val="00330F65"/>
    <w:rsid w:val="00331425"/>
    <w:rsid w:val="003316C5"/>
    <w:rsid w:val="00331905"/>
    <w:rsid w:val="00331956"/>
    <w:rsid w:val="00331973"/>
    <w:rsid w:val="00331DF2"/>
    <w:rsid w:val="00331E86"/>
    <w:rsid w:val="00331EF8"/>
    <w:rsid w:val="00332013"/>
    <w:rsid w:val="0033204C"/>
    <w:rsid w:val="003321C2"/>
    <w:rsid w:val="0033229F"/>
    <w:rsid w:val="0033233B"/>
    <w:rsid w:val="003326D2"/>
    <w:rsid w:val="0033273B"/>
    <w:rsid w:val="0033288A"/>
    <w:rsid w:val="00332CF0"/>
    <w:rsid w:val="00332E6F"/>
    <w:rsid w:val="003330CB"/>
    <w:rsid w:val="003330D5"/>
    <w:rsid w:val="0033313C"/>
    <w:rsid w:val="0033315B"/>
    <w:rsid w:val="00333400"/>
    <w:rsid w:val="003336D5"/>
    <w:rsid w:val="003339FF"/>
    <w:rsid w:val="00333F1D"/>
    <w:rsid w:val="00334003"/>
    <w:rsid w:val="00334245"/>
    <w:rsid w:val="00334304"/>
    <w:rsid w:val="00334406"/>
    <w:rsid w:val="00334517"/>
    <w:rsid w:val="0033452E"/>
    <w:rsid w:val="0033465E"/>
    <w:rsid w:val="00334662"/>
    <w:rsid w:val="003349D5"/>
    <w:rsid w:val="003349E7"/>
    <w:rsid w:val="00334AD5"/>
    <w:rsid w:val="00334B7F"/>
    <w:rsid w:val="00334DE6"/>
    <w:rsid w:val="0033508E"/>
    <w:rsid w:val="0033521F"/>
    <w:rsid w:val="0033547B"/>
    <w:rsid w:val="00335646"/>
    <w:rsid w:val="00335689"/>
    <w:rsid w:val="003356B2"/>
    <w:rsid w:val="0033572B"/>
    <w:rsid w:val="00335736"/>
    <w:rsid w:val="0033581A"/>
    <w:rsid w:val="003358F1"/>
    <w:rsid w:val="00335928"/>
    <w:rsid w:val="003359C8"/>
    <w:rsid w:val="003359CA"/>
    <w:rsid w:val="00335CE0"/>
    <w:rsid w:val="00335DC5"/>
    <w:rsid w:val="00335F63"/>
    <w:rsid w:val="00335FCD"/>
    <w:rsid w:val="0033600F"/>
    <w:rsid w:val="00336204"/>
    <w:rsid w:val="00336272"/>
    <w:rsid w:val="003362CD"/>
    <w:rsid w:val="00336521"/>
    <w:rsid w:val="003365AB"/>
    <w:rsid w:val="003368B8"/>
    <w:rsid w:val="00336A08"/>
    <w:rsid w:val="00336C0D"/>
    <w:rsid w:val="00336DAA"/>
    <w:rsid w:val="00336DDE"/>
    <w:rsid w:val="00337054"/>
    <w:rsid w:val="0033708D"/>
    <w:rsid w:val="0033712D"/>
    <w:rsid w:val="00337131"/>
    <w:rsid w:val="003371C6"/>
    <w:rsid w:val="00337243"/>
    <w:rsid w:val="0033731C"/>
    <w:rsid w:val="003373A2"/>
    <w:rsid w:val="0033748E"/>
    <w:rsid w:val="00337791"/>
    <w:rsid w:val="00337AA0"/>
    <w:rsid w:val="00337BD3"/>
    <w:rsid w:val="00337E14"/>
    <w:rsid w:val="00337F95"/>
    <w:rsid w:val="0034021B"/>
    <w:rsid w:val="00340418"/>
    <w:rsid w:val="00340446"/>
    <w:rsid w:val="003408C6"/>
    <w:rsid w:val="00340918"/>
    <w:rsid w:val="003409CE"/>
    <w:rsid w:val="003409D6"/>
    <w:rsid w:val="00340A39"/>
    <w:rsid w:val="00340B92"/>
    <w:rsid w:val="00340B98"/>
    <w:rsid w:val="00341138"/>
    <w:rsid w:val="003412D6"/>
    <w:rsid w:val="00341608"/>
    <w:rsid w:val="003418C8"/>
    <w:rsid w:val="003418FE"/>
    <w:rsid w:val="00341AB5"/>
    <w:rsid w:val="00341B9D"/>
    <w:rsid w:val="00341BD7"/>
    <w:rsid w:val="00341C50"/>
    <w:rsid w:val="00341C8B"/>
    <w:rsid w:val="00341CE5"/>
    <w:rsid w:val="00341D91"/>
    <w:rsid w:val="00341EE2"/>
    <w:rsid w:val="00342007"/>
    <w:rsid w:val="003420F1"/>
    <w:rsid w:val="00342246"/>
    <w:rsid w:val="0034242D"/>
    <w:rsid w:val="00342441"/>
    <w:rsid w:val="00342605"/>
    <w:rsid w:val="003426DF"/>
    <w:rsid w:val="003428D0"/>
    <w:rsid w:val="00342C3C"/>
    <w:rsid w:val="00342E46"/>
    <w:rsid w:val="00342F06"/>
    <w:rsid w:val="003431DA"/>
    <w:rsid w:val="003433FD"/>
    <w:rsid w:val="003439B4"/>
    <w:rsid w:val="00343B0D"/>
    <w:rsid w:val="00343C1B"/>
    <w:rsid w:val="00343C90"/>
    <w:rsid w:val="00343D60"/>
    <w:rsid w:val="00343E0E"/>
    <w:rsid w:val="00343E27"/>
    <w:rsid w:val="00343F9B"/>
    <w:rsid w:val="00343FC8"/>
    <w:rsid w:val="003442B3"/>
    <w:rsid w:val="003442F0"/>
    <w:rsid w:val="003443AC"/>
    <w:rsid w:val="003444FA"/>
    <w:rsid w:val="00344630"/>
    <w:rsid w:val="003446A0"/>
    <w:rsid w:val="003447D2"/>
    <w:rsid w:val="003447E1"/>
    <w:rsid w:val="003448B7"/>
    <w:rsid w:val="00344A75"/>
    <w:rsid w:val="00344C1D"/>
    <w:rsid w:val="00344D5B"/>
    <w:rsid w:val="00344E92"/>
    <w:rsid w:val="00345169"/>
    <w:rsid w:val="00345266"/>
    <w:rsid w:val="003452B9"/>
    <w:rsid w:val="00345449"/>
    <w:rsid w:val="003454AB"/>
    <w:rsid w:val="00345742"/>
    <w:rsid w:val="00345788"/>
    <w:rsid w:val="0034587E"/>
    <w:rsid w:val="00345BEC"/>
    <w:rsid w:val="00345CE6"/>
    <w:rsid w:val="00345D07"/>
    <w:rsid w:val="00345D97"/>
    <w:rsid w:val="00345E73"/>
    <w:rsid w:val="00345FBD"/>
    <w:rsid w:val="0034600F"/>
    <w:rsid w:val="003460DD"/>
    <w:rsid w:val="00346121"/>
    <w:rsid w:val="00346339"/>
    <w:rsid w:val="00346443"/>
    <w:rsid w:val="00346482"/>
    <w:rsid w:val="00346495"/>
    <w:rsid w:val="0034655B"/>
    <w:rsid w:val="0034688F"/>
    <w:rsid w:val="003469D2"/>
    <w:rsid w:val="00346A48"/>
    <w:rsid w:val="00346A60"/>
    <w:rsid w:val="00346AFA"/>
    <w:rsid w:val="00346E7C"/>
    <w:rsid w:val="00346FB1"/>
    <w:rsid w:val="0034753D"/>
    <w:rsid w:val="003477F3"/>
    <w:rsid w:val="003479CC"/>
    <w:rsid w:val="00347C01"/>
    <w:rsid w:val="003500E5"/>
    <w:rsid w:val="00350142"/>
    <w:rsid w:val="003501F8"/>
    <w:rsid w:val="003502A4"/>
    <w:rsid w:val="003502AE"/>
    <w:rsid w:val="003502EF"/>
    <w:rsid w:val="00350498"/>
    <w:rsid w:val="00350557"/>
    <w:rsid w:val="0035092D"/>
    <w:rsid w:val="0035094A"/>
    <w:rsid w:val="00350958"/>
    <w:rsid w:val="003509CC"/>
    <w:rsid w:val="003509EB"/>
    <w:rsid w:val="003509F2"/>
    <w:rsid w:val="00350A0E"/>
    <w:rsid w:val="00350A36"/>
    <w:rsid w:val="00350BE5"/>
    <w:rsid w:val="00350C65"/>
    <w:rsid w:val="00350CF0"/>
    <w:rsid w:val="00350DD0"/>
    <w:rsid w:val="00350E92"/>
    <w:rsid w:val="00351096"/>
    <w:rsid w:val="0035146D"/>
    <w:rsid w:val="003516A4"/>
    <w:rsid w:val="003516D4"/>
    <w:rsid w:val="0035178B"/>
    <w:rsid w:val="003517B3"/>
    <w:rsid w:val="00351869"/>
    <w:rsid w:val="003518F5"/>
    <w:rsid w:val="003519DF"/>
    <w:rsid w:val="00351A1A"/>
    <w:rsid w:val="00351BC4"/>
    <w:rsid w:val="00351BF4"/>
    <w:rsid w:val="00351D09"/>
    <w:rsid w:val="00351D28"/>
    <w:rsid w:val="00351DAE"/>
    <w:rsid w:val="00351E7D"/>
    <w:rsid w:val="00351F06"/>
    <w:rsid w:val="00352176"/>
    <w:rsid w:val="003522E1"/>
    <w:rsid w:val="003525DF"/>
    <w:rsid w:val="00352716"/>
    <w:rsid w:val="00352757"/>
    <w:rsid w:val="003527DE"/>
    <w:rsid w:val="00352A33"/>
    <w:rsid w:val="00352A9F"/>
    <w:rsid w:val="00352C5A"/>
    <w:rsid w:val="00352FE6"/>
    <w:rsid w:val="00353197"/>
    <w:rsid w:val="0035328F"/>
    <w:rsid w:val="00353478"/>
    <w:rsid w:val="003535B2"/>
    <w:rsid w:val="003535D9"/>
    <w:rsid w:val="00353756"/>
    <w:rsid w:val="0035383F"/>
    <w:rsid w:val="00353AC7"/>
    <w:rsid w:val="00353AE0"/>
    <w:rsid w:val="00353BBD"/>
    <w:rsid w:val="00353C4A"/>
    <w:rsid w:val="00353C76"/>
    <w:rsid w:val="003541A4"/>
    <w:rsid w:val="003543E1"/>
    <w:rsid w:val="00354487"/>
    <w:rsid w:val="003546D9"/>
    <w:rsid w:val="00354740"/>
    <w:rsid w:val="0035478A"/>
    <w:rsid w:val="00354C9F"/>
    <w:rsid w:val="00354E47"/>
    <w:rsid w:val="00354E73"/>
    <w:rsid w:val="00354F87"/>
    <w:rsid w:val="00354F8C"/>
    <w:rsid w:val="003551DD"/>
    <w:rsid w:val="00355263"/>
    <w:rsid w:val="003552DF"/>
    <w:rsid w:val="003553BC"/>
    <w:rsid w:val="00355A99"/>
    <w:rsid w:val="00355B8D"/>
    <w:rsid w:val="00355F65"/>
    <w:rsid w:val="003560C3"/>
    <w:rsid w:val="0035639F"/>
    <w:rsid w:val="003564A2"/>
    <w:rsid w:val="0035658B"/>
    <w:rsid w:val="003568A6"/>
    <w:rsid w:val="003568D8"/>
    <w:rsid w:val="00357135"/>
    <w:rsid w:val="00357145"/>
    <w:rsid w:val="00357166"/>
    <w:rsid w:val="00357444"/>
    <w:rsid w:val="003574C7"/>
    <w:rsid w:val="003575F5"/>
    <w:rsid w:val="0035771C"/>
    <w:rsid w:val="00357B49"/>
    <w:rsid w:val="00357C03"/>
    <w:rsid w:val="00357F9F"/>
    <w:rsid w:val="0036001A"/>
    <w:rsid w:val="00360218"/>
    <w:rsid w:val="0036033D"/>
    <w:rsid w:val="003606BB"/>
    <w:rsid w:val="00360B97"/>
    <w:rsid w:val="00360DE8"/>
    <w:rsid w:val="00360FD5"/>
    <w:rsid w:val="003610FC"/>
    <w:rsid w:val="00361127"/>
    <w:rsid w:val="00361135"/>
    <w:rsid w:val="003612E0"/>
    <w:rsid w:val="0036165B"/>
    <w:rsid w:val="0036189E"/>
    <w:rsid w:val="0036198E"/>
    <w:rsid w:val="00361A47"/>
    <w:rsid w:val="00361B01"/>
    <w:rsid w:val="00361CE3"/>
    <w:rsid w:val="00361E31"/>
    <w:rsid w:val="00362033"/>
    <w:rsid w:val="0036213D"/>
    <w:rsid w:val="0036215D"/>
    <w:rsid w:val="0036217E"/>
    <w:rsid w:val="00362385"/>
    <w:rsid w:val="00362668"/>
    <w:rsid w:val="003627E8"/>
    <w:rsid w:val="003628A4"/>
    <w:rsid w:val="0036290B"/>
    <w:rsid w:val="00362C36"/>
    <w:rsid w:val="00362C6C"/>
    <w:rsid w:val="00362CD1"/>
    <w:rsid w:val="00362D93"/>
    <w:rsid w:val="00362E0E"/>
    <w:rsid w:val="00362F15"/>
    <w:rsid w:val="00362FC7"/>
    <w:rsid w:val="00363147"/>
    <w:rsid w:val="003631B2"/>
    <w:rsid w:val="00363344"/>
    <w:rsid w:val="003634EE"/>
    <w:rsid w:val="0036353D"/>
    <w:rsid w:val="00363570"/>
    <w:rsid w:val="003636DB"/>
    <w:rsid w:val="00363746"/>
    <w:rsid w:val="003637C0"/>
    <w:rsid w:val="00363854"/>
    <w:rsid w:val="003638D7"/>
    <w:rsid w:val="003638F9"/>
    <w:rsid w:val="00363B39"/>
    <w:rsid w:val="00363CE1"/>
    <w:rsid w:val="00363D71"/>
    <w:rsid w:val="00363EA1"/>
    <w:rsid w:val="00363ECD"/>
    <w:rsid w:val="00363EF8"/>
    <w:rsid w:val="00363FF2"/>
    <w:rsid w:val="003640B8"/>
    <w:rsid w:val="003641E6"/>
    <w:rsid w:val="003644BE"/>
    <w:rsid w:val="00364AEF"/>
    <w:rsid w:val="00364B13"/>
    <w:rsid w:val="00364C2C"/>
    <w:rsid w:val="00364DC5"/>
    <w:rsid w:val="00364E8A"/>
    <w:rsid w:val="0036531F"/>
    <w:rsid w:val="00365355"/>
    <w:rsid w:val="00365365"/>
    <w:rsid w:val="0036540E"/>
    <w:rsid w:val="003654C0"/>
    <w:rsid w:val="003655FF"/>
    <w:rsid w:val="0036569B"/>
    <w:rsid w:val="003656D1"/>
    <w:rsid w:val="0036586F"/>
    <w:rsid w:val="003659C3"/>
    <w:rsid w:val="00365DCA"/>
    <w:rsid w:val="00365E3C"/>
    <w:rsid w:val="00365FB7"/>
    <w:rsid w:val="0036631A"/>
    <w:rsid w:val="0036631C"/>
    <w:rsid w:val="00366392"/>
    <w:rsid w:val="00366488"/>
    <w:rsid w:val="003664E4"/>
    <w:rsid w:val="00366681"/>
    <w:rsid w:val="00366828"/>
    <w:rsid w:val="00366C95"/>
    <w:rsid w:val="00366CE3"/>
    <w:rsid w:val="00366E84"/>
    <w:rsid w:val="00366EA5"/>
    <w:rsid w:val="00367194"/>
    <w:rsid w:val="003674EC"/>
    <w:rsid w:val="003679E0"/>
    <w:rsid w:val="00367B24"/>
    <w:rsid w:val="00367BFC"/>
    <w:rsid w:val="00367D92"/>
    <w:rsid w:val="00367DB7"/>
    <w:rsid w:val="00367DE8"/>
    <w:rsid w:val="00367FC7"/>
    <w:rsid w:val="00370826"/>
    <w:rsid w:val="00370895"/>
    <w:rsid w:val="003708CB"/>
    <w:rsid w:val="00370922"/>
    <w:rsid w:val="00370ABE"/>
    <w:rsid w:val="00370B19"/>
    <w:rsid w:val="00370B74"/>
    <w:rsid w:val="00370F74"/>
    <w:rsid w:val="003712F1"/>
    <w:rsid w:val="003713C5"/>
    <w:rsid w:val="00371600"/>
    <w:rsid w:val="003716D6"/>
    <w:rsid w:val="003716FF"/>
    <w:rsid w:val="0037171E"/>
    <w:rsid w:val="003717F1"/>
    <w:rsid w:val="003718C7"/>
    <w:rsid w:val="00371A02"/>
    <w:rsid w:val="00371B0E"/>
    <w:rsid w:val="00371BD4"/>
    <w:rsid w:val="00371DCC"/>
    <w:rsid w:val="00371E54"/>
    <w:rsid w:val="00372182"/>
    <w:rsid w:val="003724F7"/>
    <w:rsid w:val="003725A4"/>
    <w:rsid w:val="003725C7"/>
    <w:rsid w:val="00372720"/>
    <w:rsid w:val="003727AF"/>
    <w:rsid w:val="00372929"/>
    <w:rsid w:val="00372973"/>
    <w:rsid w:val="003729A3"/>
    <w:rsid w:val="00372C3B"/>
    <w:rsid w:val="00372C3C"/>
    <w:rsid w:val="00372C7C"/>
    <w:rsid w:val="00372CC2"/>
    <w:rsid w:val="00372D7A"/>
    <w:rsid w:val="00372E36"/>
    <w:rsid w:val="00372E52"/>
    <w:rsid w:val="00372E67"/>
    <w:rsid w:val="0037310D"/>
    <w:rsid w:val="00373217"/>
    <w:rsid w:val="003732E8"/>
    <w:rsid w:val="003738B8"/>
    <w:rsid w:val="00373913"/>
    <w:rsid w:val="0037393B"/>
    <w:rsid w:val="00373DDD"/>
    <w:rsid w:val="00373E08"/>
    <w:rsid w:val="00373E3A"/>
    <w:rsid w:val="00374215"/>
    <w:rsid w:val="003743F0"/>
    <w:rsid w:val="00374581"/>
    <w:rsid w:val="00374619"/>
    <w:rsid w:val="00374909"/>
    <w:rsid w:val="00374A50"/>
    <w:rsid w:val="00374B8A"/>
    <w:rsid w:val="00374CD6"/>
    <w:rsid w:val="00374D6D"/>
    <w:rsid w:val="00374D73"/>
    <w:rsid w:val="00374E0C"/>
    <w:rsid w:val="00374E50"/>
    <w:rsid w:val="003754D4"/>
    <w:rsid w:val="003755AB"/>
    <w:rsid w:val="00375838"/>
    <w:rsid w:val="00375920"/>
    <w:rsid w:val="00375B4F"/>
    <w:rsid w:val="00375D52"/>
    <w:rsid w:val="00375EA0"/>
    <w:rsid w:val="00376080"/>
    <w:rsid w:val="00376094"/>
    <w:rsid w:val="003760D2"/>
    <w:rsid w:val="00376272"/>
    <w:rsid w:val="00376353"/>
    <w:rsid w:val="0037647E"/>
    <w:rsid w:val="00376543"/>
    <w:rsid w:val="003768EE"/>
    <w:rsid w:val="00376C70"/>
    <w:rsid w:val="00376C72"/>
    <w:rsid w:val="00376C84"/>
    <w:rsid w:val="00376D7D"/>
    <w:rsid w:val="00376DBB"/>
    <w:rsid w:val="003770D3"/>
    <w:rsid w:val="003775B9"/>
    <w:rsid w:val="003777CD"/>
    <w:rsid w:val="0037784B"/>
    <w:rsid w:val="0037794A"/>
    <w:rsid w:val="00377A1E"/>
    <w:rsid w:val="00377A4C"/>
    <w:rsid w:val="00377B5A"/>
    <w:rsid w:val="00377CD2"/>
    <w:rsid w:val="00377D91"/>
    <w:rsid w:val="00377E6E"/>
    <w:rsid w:val="00377EED"/>
    <w:rsid w:val="00377EFF"/>
    <w:rsid w:val="00377FF1"/>
    <w:rsid w:val="003800CA"/>
    <w:rsid w:val="00380477"/>
    <w:rsid w:val="003804C1"/>
    <w:rsid w:val="003804E9"/>
    <w:rsid w:val="0038050F"/>
    <w:rsid w:val="0038056D"/>
    <w:rsid w:val="003806B5"/>
    <w:rsid w:val="003807CF"/>
    <w:rsid w:val="00380825"/>
    <w:rsid w:val="0038087A"/>
    <w:rsid w:val="003809E9"/>
    <w:rsid w:val="00380A1A"/>
    <w:rsid w:val="00380ADF"/>
    <w:rsid w:val="00380BA6"/>
    <w:rsid w:val="00380BD7"/>
    <w:rsid w:val="00380C13"/>
    <w:rsid w:val="00380C7B"/>
    <w:rsid w:val="00380CA1"/>
    <w:rsid w:val="00380EDC"/>
    <w:rsid w:val="00380F4B"/>
    <w:rsid w:val="00381070"/>
    <w:rsid w:val="00381329"/>
    <w:rsid w:val="00381573"/>
    <w:rsid w:val="00381736"/>
    <w:rsid w:val="0038182A"/>
    <w:rsid w:val="00381874"/>
    <w:rsid w:val="003818C3"/>
    <w:rsid w:val="00381949"/>
    <w:rsid w:val="00381A79"/>
    <w:rsid w:val="00381ACB"/>
    <w:rsid w:val="00381DCA"/>
    <w:rsid w:val="00381F0F"/>
    <w:rsid w:val="00381FB6"/>
    <w:rsid w:val="0038215E"/>
    <w:rsid w:val="003821CE"/>
    <w:rsid w:val="0038255B"/>
    <w:rsid w:val="0038258F"/>
    <w:rsid w:val="003827C0"/>
    <w:rsid w:val="00382ED7"/>
    <w:rsid w:val="00383020"/>
    <w:rsid w:val="0038307B"/>
    <w:rsid w:val="00383133"/>
    <w:rsid w:val="003832CF"/>
    <w:rsid w:val="003833A0"/>
    <w:rsid w:val="0038374C"/>
    <w:rsid w:val="0038380A"/>
    <w:rsid w:val="0038384E"/>
    <w:rsid w:val="00383883"/>
    <w:rsid w:val="00383951"/>
    <w:rsid w:val="00383B8B"/>
    <w:rsid w:val="00383C91"/>
    <w:rsid w:val="00383CD9"/>
    <w:rsid w:val="00383D98"/>
    <w:rsid w:val="00383EBC"/>
    <w:rsid w:val="00383F3D"/>
    <w:rsid w:val="00383F96"/>
    <w:rsid w:val="00383FA2"/>
    <w:rsid w:val="00383FD5"/>
    <w:rsid w:val="00384079"/>
    <w:rsid w:val="0038408B"/>
    <w:rsid w:val="00384133"/>
    <w:rsid w:val="00384375"/>
    <w:rsid w:val="003843B5"/>
    <w:rsid w:val="003843E7"/>
    <w:rsid w:val="003843EF"/>
    <w:rsid w:val="003844D2"/>
    <w:rsid w:val="0038452C"/>
    <w:rsid w:val="00384619"/>
    <w:rsid w:val="00384669"/>
    <w:rsid w:val="00384679"/>
    <w:rsid w:val="003849C5"/>
    <w:rsid w:val="00384AE7"/>
    <w:rsid w:val="00384C8F"/>
    <w:rsid w:val="00384D70"/>
    <w:rsid w:val="00384D96"/>
    <w:rsid w:val="00384EBF"/>
    <w:rsid w:val="00384ECA"/>
    <w:rsid w:val="00384EE7"/>
    <w:rsid w:val="00384EF6"/>
    <w:rsid w:val="00384F00"/>
    <w:rsid w:val="00384FC5"/>
    <w:rsid w:val="0038501C"/>
    <w:rsid w:val="00385114"/>
    <w:rsid w:val="003855A0"/>
    <w:rsid w:val="003857D1"/>
    <w:rsid w:val="00385B22"/>
    <w:rsid w:val="00385B7C"/>
    <w:rsid w:val="00385BB4"/>
    <w:rsid w:val="00385C39"/>
    <w:rsid w:val="00385E0A"/>
    <w:rsid w:val="00385E1F"/>
    <w:rsid w:val="00385F1D"/>
    <w:rsid w:val="00386040"/>
    <w:rsid w:val="00386062"/>
    <w:rsid w:val="0038618B"/>
    <w:rsid w:val="003861BF"/>
    <w:rsid w:val="00386345"/>
    <w:rsid w:val="003864CA"/>
    <w:rsid w:val="003866F4"/>
    <w:rsid w:val="003867C6"/>
    <w:rsid w:val="00386A30"/>
    <w:rsid w:val="00386A7D"/>
    <w:rsid w:val="00386A8E"/>
    <w:rsid w:val="00386CFA"/>
    <w:rsid w:val="003870CE"/>
    <w:rsid w:val="00387216"/>
    <w:rsid w:val="00387247"/>
    <w:rsid w:val="00387603"/>
    <w:rsid w:val="003877F2"/>
    <w:rsid w:val="00387916"/>
    <w:rsid w:val="0038791D"/>
    <w:rsid w:val="00387B0D"/>
    <w:rsid w:val="00387ECC"/>
    <w:rsid w:val="00387F9A"/>
    <w:rsid w:val="0039038B"/>
    <w:rsid w:val="003903F4"/>
    <w:rsid w:val="0039048D"/>
    <w:rsid w:val="003904F3"/>
    <w:rsid w:val="00390670"/>
    <w:rsid w:val="0039068F"/>
    <w:rsid w:val="00390833"/>
    <w:rsid w:val="00390A73"/>
    <w:rsid w:val="00390AD8"/>
    <w:rsid w:val="00390D51"/>
    <w:rsid w:val="00390E07"/>
    <w:rsid w:val="00390E49"/>
    <w:rsid w:val="00390E8A"/>
    <w:rsid w:val="00390EF3"/>
    <w:rsid w:val="00390F26"/>
    <w:rsid w:val="003910A3"/>
    <w:rsid w:val="00391146"/>
    <w:rsid w:val="0039117E"/>
    <w:rsid w:val="00391383"/>
    <w:rsid w:val="00391439"/>
    <w:rsid w:val="0039149E"/>
    <w:rsid w:val="0039149F"/>
    <w:rsid w:val="003916C2"/>
    <w:rsid w:val="0039171D"/>
    <w:rsid w:val="00391820"/>
    <w:rsid w:val="00391DAC"/>
    <w:rsid w:val="00391EFD"/>
    <w:rsid w:val="003920CC"/>
    <w:rsid w:val="003921CF"/>
    <w:rsid w:val="00392300"/>
    <w:rsid w:val="00392352"/>
    <w:rsid w:val="003923B4"/>
    <w:rsid w:val="003925E5"/>
    <w:rsid w:val="00392768"/>
    <w:rsid w:val="00392D6A"/>
    <w:rsid w:val="00392D8F"/>
    <w:rsid w:val="00392E61"/>
    <w:rsid w:val="00392ECB"/>
    <w:rsid w:val="0039301F"/>
    <w:rsid w:val="003930FF"/>
    <w:rsid w:val="003931CA"/>
    <w:rsid w:val="00393261"/>
    <w:rsid w:val="003934B4"/>
    <w:rsid w:val="003934B6"/>
    <w:rsid w:val="003938C6"/>
    <w:rsid w:val="00393B9B"/>
    <w:rsid w:val="00393C06"/>
    <w:rsid w:val="00393C17"/>
    <w:rsid w:val="00393DCD"/>
    <w:rsid w:val="00393E09"/>
    <w:rsid w:val="00393E33"/>
    <w:rsid w:val="00393E9F"/>
    <w:rsid w:val="00393F36"/>
    <w:rsid w:val="00394298"/>
    <w:rsid w:val="003942E6"/>
    <w:rsid w:val="0039433E"/>
    <w:rsid w:val="00394438"/>
    <w:rsid w:val="00394556"/>
    <w:rsid w:val="00394741"/>
    <w:rsid w:val="003948C8"/>
    <w:rsid w:val="00394DD9"/>
    <w:rsid w:val="00394E2D"/>
    <w:rsid w:val="00394E94"/>
    <w:rsid w:val="00394F57"/>
    <w:rsid w:val="0039500B"/>
    <w:rsid w:val="0039506C"/>
    <w:rsid w:val="0039513F"/>
    <w:rsid w:val="003954EB"/>
    <w:rsid w:val="00395565"/>
    <w:rsid w:val="003956C7"/>
    <w:rsid w:val="0039590C"/>
    <w:rsid w:val="00395968"/>
    <w:rsid w:val="003959E9"/>
    <w:rsid w:val="00395A03"/>
    <w:rsid w:val="00395A04"/>
    <w:rsid w:val="00395A33"/>
    <w:rsid w:val="00395A75"/>
    <w:rsid w:val="00395AA4"/>
    <w:rsid w:val="00395D87"/>
    <w:rsid w:val="00395F61"/>
    <w:rsid w:val="00396002"/>
    <w:rsid w:val="0039606D"/>
    <w:rsid w:val="003965ED"/>
    <w:rsid w:val="00396A5C"/>
    <w:rsid w:val="00396AFC"/>
    <w:rsid w:val="00396C4E"/>
    <w:rsid w:val="003971C6"/>
    <w:rsid w:val="0039763E"/>
    <w:rsid w:val="00397718"/>
    <w:rsid w:val="00397731"/>
    <w:rsid w:val="0039783D"/>
    <w:rsid w:val="0039787C"/>
    <w:rsid w:val="003978A3"/>
    <w:rsid w:val="0039799F"/>
    <w:rsid w:val="003979BE"/>
    <w:rsid w:val="003979DD"/>
    <w:rsid w:val="00397A95"/>
    <w:rsid w:val="00397E66"/>
    <w:rsid w:val="00397F32"/>
    <w:rsid w:val="003A0009"/>
    <w:rsid w:val="003A000D"/>
    <w:rsid w:val="003A0131"/>
    <w:rsid w:val="003A0242"/>
    <w:rsid w:val="003A045A"/>
    <w:rsid w:val="003A05D2"/>
    <w:rsid w:val="003A063E"/>
    <w:rsid w:val="003A07AC"/>
    <w:rsid w:val="003A0837"/>
    <w:rsid w:val="003A08C5"/>
    <w:rsid w:val="003A0AA4"/>
    <w:rsid w:val="003A0CA1"/>
    <w:rsid w:val="003A0DA8"/>
    <w:rsid w:val="003A0DC4"/>
    <w:rsid w:val="003A0EF7"/>
    <w:rsid w:val="003A0F06"/>
    <w:rsid w:val="003A163A"/>
    <w:rsid w:val="003A168E"/>
    <w:rsid w:val="003A1C96"/>
    <w:rsid w:val="003A1E78"/>
    <w:rsid w:val="003A2150"/>
    <w:rsid w:val="003A21A6"/>
    <w:rsid w:val="003A2211"/>
    <w:rsid w:val="003A230C"/>
    <w:rsid w:val="003A245B"/>
    <w:rsid w:val="003A247C"/>
    <w:rsid w:val="003A27F6"/>
    <w:rsid w:val="003A2867"/>
    <w:rsid w:val="003A2933"/>
    <w:rsid w:val="003A2BDB"/>
    <w:rsid w:val="003A2C74"/>
    <w:rsid w:val="003A2C8F"/>
    <w:rsid w:val="003A2CF2"/>
    <w:rsid w:val="003A2CFA"/>
    <w:rsid w:val="003A2DA6"/>
    <w:rsid w:val="003A2DB9"/>
    <w:rsid w:val="003A2EED"/>
    <w:rsid w:val="003A30E3"/>
    <w:rsid w:val="003A3304"/>
    <w:rsid w:val="003A3309"/>
    <w:rsid w:val="003A33FA"/>
    <w:rsid w:val="003A34B3"/>
    <w:rsid w:val="003A34E0"/>
    <w:rsid w:val="003A36D6"/>
    <w:rsid w:val="003A3785"/>
    <w:rsid w:val="003A3A18"/>
    <w:rsid w:val="003A3CED"/>
    <w:rsid w:val="003A3DE7"/>
    <w:rsid w:val="003A4182"/>
    <w:rsid w:val="003A41AF"/>
    <w:rsid w:val="003A43CB"/>
    <w:rsid w:val="003A44FD"/>
    <w:rsid w:val="003A4533"/>
    <w:rsid w:val="003A4605"/>
    <w:rsid w:val="003A46FF"/>
    <w:rsid w:val="003A4A7F"/>
    <w:rsid w:val="003A4C25"/>
    <w:rsid w:val="003A4C3D"/>
    <w:rsid w:val="003A4D20"/>
    <w:rsid w:val="003A4D56"/>
    <w:rsid w:val="003A4D82"/>
    <w:rsid w:val="003A4F63"/>
    <w:rsid w:val="003A5181"/>
    <w:rsid w:val="003A51C6"/>
    <w:rsid w:val="003A5281"/>
    <w:rsid w:val="003A5287"/>
    <w:rsid w:val="003A5AB9"/>
    <w:rsid w:val="003A5BCD"/>
    <w:rsid w:val="003A5C1D"/>
    <w:rsid w:val="003A5CEE"/>
    <w:rsid w:val="003A5EE0"/>
    <w:rsid w:val="003A630B"/>
    <w:rsid w:val="003A64DC"/>
    <w:rsid w:val="003A650A"/>
    <w:rsid w:val="003A6558"/>
    <w:rsid w:val="003A678F"/>
    <w:rsid w:val="003A67B6"/>
    <w:rsid w:val="003A68ED"/>
    <w:rsid w:val="003A6B39"/>
    <w:rsid w:val="003A7104"/>
    <w:rsid w:val="003A7273"/>
    <w:rsid w:val="003A732E"/>
    <w:rsid w:val="003A7730"/>
    <w:rsid w:val="003A79A2"/>
    <w:rsid w:val="003A7B2B"/>
    <w:rsid w:val="003A7C08"/>
    <w:rsid w:val="003A7D55"/>
    <w:rsid w:val="003A7D7B"/>
    <w:rsid w:val="003A7DA7"/>
    <w:rsid w:val="003A7DCF"/>
    <w:rsid w:val="003A7DFE"/>
    <w:rsid w:val="003A7F00"/>
    <w:rsid w:val="003B0013"/>
    <w:rsid w:val="003B00FD"/>
    <w:rsid w:val="003B02A0"/>
    <w:rsid w:val="003B0356"/>
    <w:rsid w:val="003B0381"/>
    <w:rsid w:val="003B0499"/>
    <w:rsid w:val="003B0878"/>
    <w:rsid w:val="003B08DE"/>
    <w:rsid w:val="003B0914"/>
    <w:rsid w:val="003B092A"/>
    <w:rsid w:val="003B0C0E"/>
    <w:rsid w:val="003B0D63"/>
    <w:rsid w:val="003B0F46"/>
    <w:rsid w:val="003B1139"/>
    <w:rsid w:val="003B114C"/>
    <w:rsid w:val="003B146A"/>
    <w:rsid w:val="003B154A"/>
    <w:rsid w:val="003B16B8"/>
    <w:rsid w:val="003B16FA"/>
    <w:rsid w:val="003B16FF"/>
    <w:rsid w:val="003B1755"/>
    <w:rsid w:val="003B1763"/>
    <w:rsid w:val="003B19A1"/>
    <w:rsid w:val="003B19C0"/>
    <w:rsid w:val="003B19EF"/>
    <w:rsid w:val="003B1D5D"/>
    <w:rsid w:val="003B1E92"/>
    <w:rsid w:val="003B216C"/>
    <w:rsid w:val="003B22B5"/>
    <w:rsid w:val="003B2339"/>
    <w:rsid w:val="003B243A"/>
    <w:rsid w:val="003B2447"/>
    <w:rsid w:val="003B251C"/>
    <w:rsid w:val="003B26BA"/>
    <w:rsid w:val="003B2717"/>
    <w:rsid w:val="003B2958"/>
    <w:rsid w:val="003B296E"/>
    <w:rsid w:val="003B297E"/>
    <w:rsid w:val="003B2A20"/>
    <w:rsid w:val="003B2B91"/>
    <w:rsid w:val="003B2CF0"/>
    <w:rsid w:val="003B2DFE"/>
    <w:rsid w:val="003B2E88"/>
    <w:rsid w:val="003B2F6D"/>
    <w:rsid w:val="003B2FF2"/>
    <w:rsid w:val="003B3021"/>
    <w:rsid w:val="003B30E3"/>
    <w:rsid w:val="003B30F1"/>
    <w:rsid w:val="003B379E"/>
    <w:rsid w:val="003B37A0"/>
    <w:rsid w:val="003B380F"/>
    <w:rsid w:val="003B390A"/>
    <w:rsid w:val="003B390B"/>
    <w:rsid w:val="003B3AC9"/>
    <w:rsid w:val="003B3CAA"/>
    <w:rsid w:val="003B3F13"/>
    <w:rsid w:val="003B4187"/>
    <w:rsid w:val="003B41AD"/>
    <w:rsid w:val="003B4241"/>
    <w:rsid w:val="003B42C9"/>
    <w:rsid w:val="003B45A2"/>
    <w:rsid w:val="003B498E"/>
    <w:rsid w:val="003B49A0"/>
    <w:rsid w:val="003B4AB1"/>
    <w:rsid w:val="003B4BEE"/>
    <w:rsid w:val="003B4D21"/>
    <w:rsid w:val="003B4D2C"/>
    <w:rsid w:val="003B4D2F"/>
    <w:rsid w:val="003B4ED2"/>
    <w:rsid w:val="003B516C"/>
    <w:rsid w:val="003B52CE"/>
    <w:rsid w:val="003B53C2"/>
    <w:rsid w:val="003B549F"/>
    <w:rsid w:val="003B55FB"/>
    <w:rsid w:val="003B586C"/>
    <w:rsid w:val="003B5AED"/>
    <w:rsid w:val="003B5B42"/>
    <w:rsid w:val="003B5C1B"/>
    <w:rsid w:val="003B5C4F"/>
    <w:rsid w:val="003B6003"/>
    <w:rsid w:val="003B6014"/>
    <w:rsid w:val="003B62AA"/>
    <w:rsid w:val="003B645F"/>
    <w:rsid w:val="003B64B7"/>
    <w:rsid w:val="003B654C"/>
    <w:rsid w:val="003B6700"/>
    <w:rsid w:val="003B6A5A"/>
    <w:rsid w:val="003B6A7A"/>
    <w:rsid w:val="003B6C00"/>
    <w:rsid w:val="003B6CA0"/>
    <w:rsid w:val="003B6E9E"/>
    <w:rsid w:val="003B7011"/>
    <w:rsid w:val="003B719D"/>
    <w:rsid w:val="003B72D0"/>
    <w:rsid w:val="003B72E8"/>
    <w:rsid w:val="003B73D1"/>
    <w:rsid w:val="003B75A1"/>
    <w:rsid w:val="003B77EB"/>
    <w:rsid w:val="003B7887"/>
    <w:rsid w:val="003B79F1"/>
    <w:rsid w:val="003B7C87"/>
    <w:rsid w:val="003B7DED"/>
    <w:rsid w:val="003B7E40"/>
    <w:rsid w:val="003B7ED3"/>
    <w:rsid w:val="003C0029"/>
    <w:rsid w:val="003C01FE"/>
    <w:rsid w:val="003C02D6"/>
    <w:rsid w:val="003C0387"/>
    <w:rsid w:val="003C03C6"/>
    <w:rsid w:val="003C05D4"/>
    <w:rsid w:val="003C09A9"/>
    <w:rsid w:val="003C0A8E"/>
    <w:rsid w:val="003C0CBE"/>
    <w:rsid w:val="003C0E19"/>
    <w:rsid w:val="003C0EF7"/>
    <w:rsid w:val="003C100C"/>
    <w:rsid w:val="003C10E6"/>
    <w:rsid w:val="003C10F0"/>
    <w:rsid w:val="003C1180"/>
    <w:rsid w:val="003C12B2"/>
    <w:rsid w:val="003C16A7"/>
    <w:rsid w:val="003C16BA"/>
    <w:rsid w:val="003C1AE2"/>
    <w:rsid w:val="003C1AEC"/>
    <w:rsid w:val="003C1B07"/>
    <w:rsid w:val="003C1CF7"/>
    <w:rsid w:val="003C1DAC"/>
    <w:rsid w:val="003C1E17"/>
    <w:rsid w:val="003C1F1D"/>
    <w:rsid w:val="003C2131"/>
    <w:rsid w:val="003C2135"/>
    <w:rsid w:val="003C22FE"/>
    <w:rsid w:val="003C24BE"/>
    <w:rsid w:val="003C2665"/>
    <w:rsid w:val="003C26AF"/>
    <w:rsid w:val="003C26F0"/>
    <w:rsid w:val="003C2703"/>
    <w:rsid w:val="003C27E7"/>
    <w:rsid w:val="003C2869"/>
    <w:rsid w:val="003C297B"/>
    <w:rsid w:val="003C2997"/>
    <w:rsid w:val="003C2A0F"/>
    <w:rsid w:val="003C2A39"/>
    <w:rsid w:val="003C2A67"/>
    <w:rsid w:val="003C2B4A"/>
    <w:rsid w:val="003C2C8F"/>
    <w:rsid w:val="003C2DA7"/>
    <w:rsid w:val="003C2F32"/>
    <w:rsid w:val="003C2F99"/>
    <w:rsid w:val="003C2FF0"/>
    <w:rsid w:val="003C302C"/>
    <w:rsid w:val="003C3039"/>
    <w:rsid w:val="003C3094"/>
    <w:rsid w:val="003C3182"/>
    <w:rsid w:val="003C328A"/>
    <w:rsid w:val="003C34B4"/>
    <w:rsid w:val="003C35A9"/>
    <w:rsid w:val="003C3613"/>
    <w:rsid w:val="003C3634"/>
    <w:rsid w:val="003C3A12"/>
    <w:rsid w:val="003C3A7C"/>
    <w:rsid w:val="003C3B38"/>
    <w:rsid w:val="003C3DC3"/>
    <w:rsid w:val="003C3EC9"/>
    <w:rsid w:val="003C408F"/>
    <w:rsid w:val="003C423D"/>
    <w:rsid w:val="003C424E"/>
    <w:rsid w:val="003C4297"/>
    <w:rsid w:val="003C45EB"/>
    <w:rsid w:val="003C477F"/>
    <w:rsid w:val="003C4BB5"/>
    <w:rsid w:val="003C4DAA"/>
    <w:rsid w:val="003C51DE"/>
    <w:rsid w:val="003C5229"/>
    <w:rsid w:val="003C5247"/>
    <w:rsid w:val="003C52AD"/>
    <w:rsid w:val="003C52D9"/>
    <w:rsid w:val="003C52F9"/>
    <w:rsid w:val="003C5437"/>
    <w:rsid w:val="003C5599"/>
    <w:rsid w:val="003C55B2"/>
    <w:rsid w:val="003C55EA"/>
    <w:rsid w:val="003C5726"/>
    <w:rsid w:val="003C5914"/>
    <w:rsid w:val="003C592A"/>
    <w:rsid w:val="003C59F9"/>
    <w:rsid w:val="003C5A81"/>
    <w:rsid w:val="003C5DA8"/>
    <w:rsid w:val="003C5E84"/>
    <w:rsid w:val="003C5E8E"/>
    <w:rsid w:val="003C62C4"/>
    <w:rsid w:val="003C6588"/>
    <w:rsid w:val="003C6A89"/>
    <w:rsid w:val="003C6BF9"/>
    <w:rsid w:val="003C6CA2"/>
    <w:rsid w:val="003C6CCA"/>
    <w:rsid w:val="003C6D91"/>
    <w:rsid w:val="003C6D94"/>
    <w:rsid w:val="003C6FD4"/>
    <w:rsid w:val="003C6FFD"/>
    <w:rsid w:val="003C70C0"/>
    <w:rsid w:val="003C7333"/>
    <w:rsid w:val="003C7430"/>
    <w:rsid w:val="003C7432"/>
    <w:rsid w:val="003C74B1"/>
    <w:rsid w:val="003C756C"/>
    <w:rsid w:val="003C7617"/>
    <w:rsid w:val="003C7634"/>
    <w:rsid w:val="003C78D7"/>
    <w:rsid w:val="003C79B9"/>
    <w:rsid w:val="003C79E3"/>
    <w:rsid w:val="003C7A83"/>
    <w:rsid w:val="003C7B15"/>
    <w:rsid w:val="003C7B92"/>
    <w:rsid w:val="003C7BC4"/>
    <w:rsid w:val="003C7C1E"/>
    <w:rsid w:val="003C7D4E"/>
    <w:rsid w:val="003D00B9"/>
    <w:rsid w:val="003D02D3"/>
    <w:rsid w:val="003D033C"/>
    <w:rsid w:val="003D044B"/>
    <w:rsid w:val="003D07D0"/>
    <w:rsid w:val="003D094B"/>
    <w:rsid w:val="003D0A7B"/>
    <w:rsid w:val="003D0D21"/>
    <w:rsid w:val="003D0E11"/>
    <w:rsid w:val="003D0F52"/>
    <w:rsid w:val="003D105D"/>
    <w:rsid w:val="003D10D9"/>
    <w:rsid w:val="003D11B7"/>
    <w:rsid w:val="003D125E"/>
    <w:rsid w:val="003D1410"/>
    <w:rsid w:val="003D1720"/>
    <w:rsid w:val="003D1722"/>
    <w:rsid w:val="003D1B17"/>
    <w:rsid w:val="003D1E26"/>
    <w:rsid w:val="003D20A3"/>
    <w:rsid w:val="003D214B"/>
    <w:rsid w:val="003D2209"/>
    <w:rsid w:val="003D253A"/>
    <w:rsid w:val="003D267F"/>
    <w:rsid w:val="003D289C"/>
    <w:rsid w:val="003D28B0"/>
    <w:rsid w:val="003D29AB"/>
    <w:rsid w:val="003D2A51"/>
    <w:rsid w:val="003D2AE0"/>
    <w:rsid w:val="003D2B9F"/>
    <w:rsid w:val="003D2BAB"/>
    <w:rsid w:val="003D2DFC"/>
    <w:rsid w:val="003D2E7B"/>
    <w:rsid w:val="003D2E8E"/>
    <w:rsid w:val="003D3021"/>
    <w:rsid w:val="003D3186"/>
    <w:rsid w:val="003D32D1"/>
    <w:rsid w:val="003D3343"/>
    <w:rsid w:val="003D349E"/>
    <w:rsid w:val="003D3531"/>
    <w:rsid w:val="003D378B"/>
    <w:rsid w:val="003D3B76"/>
    <w:rsid w:val="003D3CB1"/>
    <w:rsid w:val="003D3CBE"/>
    <w:rsid w:val="003D3CBF"/>
    <w:rsid w:val="003D3DA7"/>
    <w:rsid w:val="003D3E66"/>
    <w:rsid w:val="003D3FB4"/>
    <w:rsid w:val="003D414B"/>
    <w:rsid w:val="003D41B7"/>
    <w:rsid w:val="003D41F5"/>
    <w:rsid w:val="003D4216"/>
    <w:rsid w:val="003D423A"/>
    <w:rsid w:val="003D4497"/>
    <w:rsid w:val="003D4620"/>
    <w:rsid w:val="003D483C"/>
    <w:rsid w:val="003D4BA0"/>
    <w:rsid w:val="003D4F31"/>
    <w:rsid w:val="003D4FF2"/>
    <w:rsid w:val="003D4FFB"/>
    <w:rsid w:val="003D51A8"/>
    <w:rsid w:val="003D52DF"/>
    <w:rsid w:val="003D5345"/>
    <w:rsid w:val="003D53E2"/>
    <w:rsid w:val="003D54C1"/>
    <w:rsid w:val="003D55CB"/>
    <w:rsid w:val="003D5776"/>
    <w:rsid w:val="003D57A1"/>
    <w:rsid w:val="003D57DB"/>
    <w:rsid w:val="003D584E"/>
    <w:rsid w:val="003D584F"/>
    <w:rsid w:val="003D58BC"/>
    <w:rsid w:val="003D58DC"/>
    <w:rsid w:val="003D5968"/>
    <w:rsid w:val="003D597C"/>
    <w:rsid w:val="003D5993"/>
    <w:rsid w:val="003D5A6A"/>
    <w:rsid w:val="003D5B8E"/>
    <w:rsid w:val="003D5EEF"/>
    <w:rsid w:val="003D5FA4"/>
    <w:rsid w:val="003D62A8"/>
    <w:rsid w:val="003D6533"/>
    <w:rsid w:val="003D662D"/>
    <w:rsid w:val="003D67B1"/>
    <w:rsid w:val="003D67D9"/>
    <w:rsid w:val="003D6AD8"/>
    <w:rsid w:val="003D6B44"/>
    <w:rsid w:val="003D6B7B"/>
    <w:rsid w:val="003D6D84"/>
    <w:rsid w:val="003D6F21"/>
    <w:rsid w:val="003D6F2B"/>
    <w:rsid w:val="003D6F45"/>
    <w:rsid w:val="003D6F65"/>
    <w:rsid w:val="003D7253"/>
    <w:rsid w:val="003D72E2"/>
    <w:rsid w:val="003D7329"/>
    <w:rsid w:val="003D7362"/>
    <w:rsid w:val="003D7378"/>
    <w:rsid w:val="003D7465"/>
    <w:rsid w:val="003D759C"/>
    <w:rsid w:val="003D7714"/>
    <w:rsid w:val="003D788F"/>
    <w:rsid w:val="003D7F01"/>
    <w:rsid w:val="003D7F3B"/>
    <w:rsid w:val="003E00EC"/>
    <w:rsid w:val="003E03A2"/>
    <w:rsid w:val="003E03F4"/>
    <w:rsid w:val="003E0663"/>
    <w:rsid w:val="003E069C"/>
    <w:rsid w:val="003E06D9"/>
    <w:rsid w:val="003E083E"/>
    <w:rsid w:val="003E0ADD"/>
    <w:rsid w:val="003E0D28"/>
    <w:rsid w:val="003E0D90"/>
    <w:rsid w:val="003E0EB1"/>
    <w:rsid w:val="003E0FBE"/>
    <w:rsid w:val="003E1325"/>
    <w:rsid w:val="003E13F7"/>
    <w:rsid w:val="003E15FC"/>
    <w:rsid w:val="003E16E8"/>
    <w:rsid w:val="003E17A9"/>
    <w:rsid w:val="003E1D8C"/>
    <w:rsid w:val="003E1E6A"/>
    <w:rsid w:val="003E1FBA"/>
    <w:rsid w:val="003E1FC4"/>
    <w:rsid w:val="003E2015"/>
    <w:rsid w:val="003E20F5"/>
    <w:rsid w:val="003E22E5"/>
    <w:rsid w:val="003E238F"/>
    <w:rsid w:val="003E2523"/>
    <w:rsid w:val="003E2531"/>
    <w:rsid w:val="003E2537"/>
    <w:rsid w:val="003E2569"/>
    <w:rsid w:val="003E262E"/>
    <w:rsid w:val="003E2830"/>
    <w:rsid w:val="003E29B9"/>
    <w:rsid w:val="003E2B84"/>
    <w:rsid w:val="003E2D68"/>
    <w:rsid w:val="003E2F7D"/>
    <w:rsid w:val="003E3084"/>
    <w:rsid w:val="003E3263"/>
    <w:rsid w:val="003E3436"/>
    <w:rsid w:val="003E3855"/>
    <w:rsid w:val="003E39E5"/>
    <w:rsid w:val="003E3A88"/>
    <w:rsid w:val="003E3C30"/>
    <w:rsid w:val="003E3C39"/>
    <w:rsid w:val="003E3E90"/>
    <w:rsid w:val="003E438C"/>
    <w:rsid w:val="003E452B"/>
    <w:rsid w:val="003E46BF"/>
    <w:rsid w:val="003E48FC"/>
    <w:rsid w:val="003E4CDF"/>
    <w:rsid w:val="003E4D7C"/>
    <w:rsid w:val="003E4EB1"/>
    <w:rsid w:val="003E4EE8"/>
    <w:rsid w:val="003E4F69"/>
    <w:rsid w:val="003E52C4"/>
    <w:rsid w:val="003E55CD"/>
    <w:rsid w:val="003E56EE"/>
    <w:rsid w:val="003E57CC"/>
    <w:rsid w:val="003E57F4"/>
    <w:rsid w:val="003E5A8E"/>
    <w:rsid w:val="003E5F75"/>
    <w:rsid w:val="003E6128"/>
    <w:rsid w:val="003E61F1"/>
    <w:rsid w:val="003E64F9"/>
    <w:rsid w:val="003E674D"/>
    <w:rsid w:val="003E68CC"/>
    <w:rsid w:val="003E6957"/>
    <w:rsid w:val="003E6B3F"/>
    <w:rsid w:val="003E6CB7"/>
    <w:rsid w:val="003E6DA8"/>
    <w:rsid w:val="003E6E43"/>
    <w:rsid w:val="003E6F76"/>
    <w:rsid w:val="003E6F89"/>
    <w:rsid w:val="003E7255"/>
    <w:rsid w:val="003E7259"/>
    <w:rsid w:val="003E726A"/>
    <w:rsid w:val="003E740D"/>
    <w:rsid w:val="003E7569"/>
    <w:rsid w:val="003E7784"/>
    <w:rsid w:val="003E78ED"/>
    <w:rsid w:val="003E7927"/>
    <w:rsid w:val="003E7990"/>
    <w:rsid w:val="003E7CDD"/>
    <w:rsid w:val="003E7E04"/>
    <w:rsid w:val="003E7EF1"/>
    <w:rsid w:val="003E7F19"/>
    <w:rsid w:val="003F007A"/>
    <w:rsid w:val="003F09C8"/>
    <w:rsid w:val="003F0A97"/>
    <w:rsid w:val="003F0C10"/>
    <w:rsid w:val="003F0C2C"/>
    <w:rsid w:val="003F0EC1"/>
    <w:rsid w:val="003F1038"/>
    <w:rsid w:val="003F11CA"/>
    <w:rsid w:val="003F1272"/>
    <w:rsid w:val="003F1402"/>
    <w:rsid w:val="003F1479"/>
    <w:rsid w:val="003F1538"/>
    <w:rsid w:val="003F153C"/>
    <w:rsid w:val="003F168F"/>
    <w:rsid w:val="003F16E6"/>
    <w:rsid w:val="003F199F"/>
    <w:rsid w:val="003F1A4D"/>
    <w:rsid w:val="003F1A5B"/>
    <w:rsid w:val="003F1A7E"/>
    <w:rsid w:val="003F1D00"/>
    <w:rsid w:val="003F1DDC"/>
    <w:rsid w:val="003F1F1F"/>
    <w:rsid w:val="003F2253"/>
    <w:rsid w:val="003F22B6"/>
    <w:rsid w:val="003F246E"/>
    <w:rsid w:val="003F24D8"/>
    <w:rsid w:val="003F264B"/>
    <w:rsid w:val="003F2763"/>
    <w:rsid w:val="003F27E3"/>
    <w:rsid w:val="003F2ACD"/>
    <w:rsid w:val="003F2B1B"/>
    <w:rsid w:val="003F2C2C"/>
    <w:rsid w:val="003F2D95"/>
    <w:rsid w:val="003F2DE2"/>
    <w:rsid w:val="003F2F24"/>
    <w:rsid w:val="003F3313"/>
    <w:rsid w:val="003F33C7"/>
    <w:rsid w:val="003F3405"/>
    <w:rsid w:val="003F34DB"/>
    <w:rsid w:val="003F3506"/>
    <w:rsid w:val="003F363C"/>
    <w:rsid w:val="003F3698"/>
    <w:rsid w:val="003F37D5"/>
    <w:rsid w:val="003F39E7"/>
    <w:rsid w:val="003F39FC"/>
    <w:rsid w:val="003F3A19"/>
    <w:rsid w:val="003F3A76"/>
    <w:rsid w:val="003F3B3E"/>
    <w:rsid w:val="003F3B8B"/>
    <w:rsid w:val="003F3D84"/>
    <w:rsid w:val="003F40BA"/>
    <w:rsid w:val="003F4205"/>
    <w:rsid w:val="003F44B5"/>
    <w:rsid w:val="003F476D"/>
    <w:rsid w:val="003F47FC"/>
    <w:rsid w:val="003F4CB4"/>
    <w:rsid w:val="003F4D44"/>
    <w:rsid w:val="003F4D4F"/>
    <w:rsid w:val="003F4D8E"/>
    <w:rsid w:val="003F4FBF"/>
    <w:rsid w:val="003F505C"/>
    <w:rsid w:val="003F50F0"/>
    <w:rsid w:val="003F5462"/>
    <w:rsid w:val="003F5488"/>
    <w:rsid w:val="003F57DD"/>
    <w:rsid w:val="003F57E6"/>
    <w:rsid w:val="003F5880"/>
    <w:rsid w:val="003F58DB"/>
    <w:rsid w:val="003F592B"/>
    <w:rsid w:val="003F596A"/>
    <w:rsid w:val="003F5B8F"/>
    <w:rsid w:val="003F5CAB"/>
    <w:rsid w:val="003F5ED8"/>
    <w:rsid w:val="003F61E1"/>
    <w:rsid w:val="003F61E2"/>
    <w:rsid w:val="003F65C0"/>
    <w:rsid w:val="003F6617"/>
    <w:rsid w:val="003F6721"/>
    <w:rsid w:val="003F677E"/>
    <w:rsid w:val="003F68E5"/>
    <w:rsid w:val="003F69CF"/>
    <w:rsid w:val="003F6A21"/>
    <w:rsid w:val="003F6AF7"/>
    <w:rsid w:val="003F6B2A"/>
    <w:rsid w:val="003F6BB8"/>
    <w:rsid w:val="003F6ED5"/>
    <w:rsid w:val="003F701E"/>
    <w:rsid w:val="003F7241"/>
    <w:rsid w:val="003F72FF"/>
    <w:rsid w:val="003F7360"/>
    <w:rsid w:val="003F748F"/>
    <w:rsid w:val="003F74DE"/>
    <w:rsid w:val="003F7553"/>
    <w:rsid w:val="003F762E"/>
    <w:rsid w:val="003F772D"/>
    <w:rsid w:val="003F794D"/>
    <w:rsid w:val="003F7BB5"/>
    <w:rsid w:val="003F7BE3"/>
    <w:rsid w:val="003F7CB1"/>
    <w:rsid w:val="003F7E21"/>
    <w:rsid w:val="003F7E5C"/>
    <w:rsid w:val="003F7ED5"/>
    <w:rsid w:val="003F7F00"/>
    <w:rsid w:val="004000BF"/>
    <w:rsid w:val="0040013E"/>
    <w:rsid w:val="0040029D"/>
    <w:rsid w:val="004003A0"/>
    <w:rsid w:val="0040058D"/>
    <w:rsid w:val="004005D1"/>
    <w:rsid w:val="004008AF"/>
    <w:rsid w:val="004009F0"/>
    <w:rsid w:val="00400B26"/>
    <w:rsid w:val="00400B8E"/>
    <w:rsid w:val="00400D35"/>
    <w:rsid w:val="00400DD0"/>
    <w:rsid w:val="00401393"/>
    <w:rsid w:val="0040139C"/>
    <w:rsid w:val="004013B7"/>
    <w:rsid w:val="004014A7"/>
    <w:rsid w:val="0040170A"/>
    <w:rsid w:val="004017E9"/>
    <w:rsid w:val="004019D4"/>
    <w:rsid w:val="00401E89"/>
    <w:rsid w:val="00401E9A"/>
    <w:rsid w:val="00401EAD"/>
    <w:rsid w:val="004020CE"/>
    <w:rsid w:val="00402171"/>
    <w:rsid w:val="0040237A"/>
    <w:rsid w:val="004025A2"/>
    <w:rsid w:val="00402627"/>
    <w:rsid w:val="004029B5"/>
    <w:rsid w:val="00402AC0"/>
    <w:rsid w:val="00402B20"/>
    <w:rsid w:val="00403016"/>
    <w:rsid w:val="004030B5"/>
    <w:rsid w:val="004031FC"/>
    <w:rsid w:val="00403393"/>
    <w:rsid w:val="00403A15"/>
    <w:rsid w:val="00403EB3"/>
    <w:rsid w:val="004040D7"/>
    <w:rsid w:val="0040449B"/>
    <w:rsid w:val="0040454B"/>
    <w:rsid w:val="00404635"/>
    <w:rsid w:val="00404650"/>
    <w:rsid w:val="0040478A"/>
    <w:rsid w:val="00404BA6"/>
    <w:rsid w:val="00404C26"/>
    <w:rsid w:val="00404F16"/>
    <w:rsid w:val="0040527B"/>
    <w:rsid w:val="0040540A"/>
    <w:rsid w:val="004054BE"/>
    <w:rsid w:val="00405782"/>
    <w:rsid w:val="0040592C"/>
    <w:rsid w:val="00405B43"/>
    <w:rsid w:val="00405B45"/>
    <w:rsid w:val="00405EA7"/>
    <w:rsid w:val="00405F34"/>
    <w:rsid w:val="00406278"/>
    <w:rsid w:val="004062AA"/>
    <w:rsid w:val="00406484"/>
    <w:rsid w:val="0040654E"/>
    <w:rsid w:val="00406632"/>
    <w:rsid w:val="00406A6C"/>
    <w:rsid w:val="00406AE5"/>
    <w:rsid w:val="00406B6B"/>
    <w:rsid w:val="00406B98"/>
    <w:rsid w:val="00406D3B"/>
    <w:rsid w:val="00406DE0"/>
    <w:rsid w:val="00406DEF"/>
    <w:rsid w:val="00406DF5"/>
    <w:rsid w:val="00406E33"/>
    <w:rsid w:val="00406F2D"/>
    <w:rsid w:val="0040723B"/>
    <w:rsid w:val="00407482"/>
    <w:rsid w:val="00407513"/>
    <w:rsid w:val="00407597"/>
    <w:rsid w:val="004075ED"/>
    <w:rsid w:val="0040768F"/>
    <w:rsid w:val="004077A5"/>
    <w:rsid w:val="00407A6B"/>
    <w:rsid w:val="00407D3E"/>
    <w:rsid w:val="00407D7D"/>
    <w:rsid w:val="00407DE0"/>
    <w:rsid w:val="00407E8E"/>
    <w:rsid w:val="00407EC6"/>
    <w:rsid w:val="00407ED9"/>
    <w:rsid w:val="00410154"/>
    <w:rsid w:val="004102E5"/>
    <w:rsid w:val="00410403"/>
    <w:rsid w:val="004106EB"/>
    <w:rsid w:val="004108C6"/>
    <w:rsid w:val="0041097F"/>
    <w:rsid w:val="00410B41"/>
    <w:rsid w:val="00410BE4"/>
    <w:rsid w:val="00410C86"/>
    <w:rsid w:val="00410D3D"/>
    <w:rsid w:val="00410F6C"/>
    <w:rsid w:val="00411030"/>
    <w:rsid w:val="00411188"/>
    <w:rsid w:val="004111A4"/>
    <w:rsid w:val="00411218"/>
    <w:rsid w:val="00411385"/>
    <w:rsid w:val="00411398"/>
    <w:rsid w:val="00411401"/>
    <w:rsid w:val="00411477"/>
    <w:rsid w:val="004114B1"/>
    <w:rsid w:val="00411592"/>
    <w:rsid w:val="004115E1"/>
    <w:rsid w:val="0041162B"/>
    <w:rsid w:val="00411A50"/>
    <w:rsid w:val="00411DF1"/>
    <w:rsid w:val="004120ED"/>
    <w:rsid w:val="00412129"/>
    <w:rsid w:val="004123B3"/>
    <w:rsid w:val="00412547"/>
    <w:rsid w:val="004125DD"/>
    <w:rsid w:val="0041267C"/>
    <w:rsid w:val="004127F1"/>
    <w:rsid w:val="0041294F"/>
    <w:rsid w:val="004129FD"/>
    <w:rsid w:val="00412F96"/>
    <w:rsid w:val="004130B6"/>
    <w:rsid w:val="004132C2"/>
    <w:rsid w:val="004134AC"/>
    <w:rsid w:val="0041351C"/>
    <w:rsid w:val="004136D5"/>
    <w:rsid w:val="004137BA"/>
    <w:rsid w:val="004137D9"/>
    <w:rsid w:val="00413831"/>
    <w:rsid w:val="004139D1"/>
    <w:rsid w:val="00413B99"/>
    <w:rsid w:val="00413C16"/>
    <w:rsid w:val="00413EAD"/>
    <w:rsid w:val="00413F90"/>
    <w:rsid w:val="0041400E"/>
    <w:rsid w:val="00414193"/>
    <w:rsid w:val="00414343"/>
    <w:rsid w:val="00414422"/>
    <w:rsid w:val="0041447D"/>
    <w:rsid w:val="004144BB"/>
    <w:rsid w:val="004144DC"/>
    <w:rsid w:val="0041450A"/>
    <w:rsid w:val="0041477B"/>
    <w:rsid w:val="00414A70"/>
    <w:rsid w:val="00414AF2"/>
    <w:rsid w:val="00414D45"/>
    <w:rsid w:val="00414DBA"/>
    <w:rsid w:val="00414EC3"/>
    <w:rsid w:val="0041503B"/>
    <w:rsid w:val="00415040"/>
    <w:rsid w:val="00415295"/>
    <w:rsid w:val="004154E2"/>
    <w:rsid w:val="0041586A"/>
    <w:rsid w:val="00415885"/>
    <w:rsid w:val="00415A0A"/>
    <w:rsid w:val="00415A89"/>
    <w:rsid w:val="00415BF4"/>
    <w:rsid w:val="00415DA5"/>
    <w:rsid w:val="00415E11"/>
    <w:rsid w:val="00415E3E"/>
    <w:rsid w:val="00415E5B"/>
    <w:rsid w:val="00415E79"/>
    <w:rsid w:val="00415EFD"/>
    <w:rsid w:val="00416043"/>
    <w:rsid w:val="00416270"/>
    <w:rsid w:val="004162FE"/>
    <w:rsid w:val="00416498"/>
    <w:rsid w:val="0041662B"/>
    <w:rsid w:val="00416808"/>
    <w:rsid w:val="00416895"/>
    <w:rsid w:val="00416906"/>
    <w:rsid w:val="00416BD9"/>
    <w:rsid w:val="00416E84"/>
    <w:rsid w:val="00416ED5"/>
    <w:rsid w:val="00416EEE"/>
    <w:rsid w:val="00416F57"/>
    <w:rsid w:val="00417114"/>
    <w:rsid w:val="00417128"/>
    <w:rsid w:val="00417185"/>
    <w:rsid w:val="004171B4"/>
    <w:rsid w:val="004171E2"/>
    <w:rsid w:val="004172BC"/>
    <w:rsid w:val="004173A3"/>
    <w:rsid w:val="00417414"/>
    <w:rsid w:val="00417570"/>
    <w:rsid w:val="004175D4"/>
    <w:rsid w:val="0041777E"/>
    <w:rsid w:val="00417A03"/>
    <w:rsid w:val="00417AE4"/>
    <w:rsid w:val="00417B9A"/>
    <w:rsid w:val="00417C4F"/>
    <w:rsid w:val="00417C86"/>
    <w:rsid w:val="00417F21"/>
    <w:rsid w:val="00417FA1"/>
    <w:rsid w:val="0042004C"/>
    <w:rsid w:val="00420086"/>
    <w:rsid w:val="004201B0"/>
    <w:rsid w:val="00420244"/>
    <w:rsid w:val="004202B0"/>
    <w:rsid w:val="004204EA"/>
    <w:rsid w:val="00420588"/>
    <w:rsid w:val="004205EC"/>
    <w:rsid w:val="00420A6B"/>
    <w:rsid w:val="00420A7B"/>
    <w:rsid w:val="00420A9F"/>
    <w:rsid w:val="00420C88"/>
    <w:rsid w:val="00420CE6"/>
    <w:rsid w:val="00420CEB"/>
    <w:rsid w:val="00420EBF"/>
    <w:rsid w:val="00421026"/>
    <w:rsid w:val="0042102B"/>
    <w:rsid w:val="0042106F"/>
    <w:rsid w:val="004210CD"/>
    <w:rsid w:val="00421116"/>
    <w:rsid w:val="004212D1"/>
    <w:rsid w:val="00421621"/>
    <w:rsid w:val="004217E3"/>
    <w:rsid w:val="00421986"/>
    <w:rsid w:val="00421A2C"/>
    <w:rsid w:val="00421ACE"/>
    <w:rsid w:val="00421CAF"/>
    <w:rsid w:val="00421CB1"/>
    <w:rsid w:val="00421F90"/>
    <w:rsid w:val="00422119"/>
    <w:rsid w:val="0042236C"/>
    <w:rsid w:val="004224A3"/>
    <w:rsid w:val="00422636"/>
    <w:rsid w:val="00422703"/>
    <w:rsid w:val="00422906"/>
    <w:rsid w:val="00422C44"/>
    <w:rsid w:val="00422DD3"/>
    <w:rsid w:val="00422E3C"/>
    <w:rsid w:val="00422F71"/>
    <w:rsid w:val="00423365"/>
    <w:rsid w:val="004233DF"/>
    <w:rsid w:val="00423609"/>
    <w:rsid w:val="0042365D"/>
    <w:rsid w:val="00423699"/>
    <w:rsid w:val="0042369D"/>
    <w:rsid w:val="004236A8"/>
    <w:rsid w:val="00423798"/>
    <w:rsid w:val="00423B1F"/>
    <w:rsid w:val="00423BA0"/>
    <w:rsid w:val="00423BDD"/>
    <w:rsid w:val="00423DCD"/>
    <w:rsid w:val="00423E06"/>
    <w:rsid w:val="00423FCB"/>
    <w:rsid w:val="00423FD8"/>
    <w:rsid w:val="00424073"/>
    <w:rsid w:val="004242AD"/>
    <w:rsid w:val="004242B7"/>
    <w:rsid w:val="0042451F"/>
    <w:rsid w:val="0042459C"/>
    <w:rsid w:val="0042475C"/>
    <w:rsid w:val="00424804"/>
    <w:rsid w:val="004248D9"/>
    <w:rsid w:val="00424906"/>
    <w:rsid w:val="00424BF8"/>
    <w:rsid w:val="00424C9D"/>
    <w:rsid w:val="00424E53"/>
    <w:rsid w:val="00424EE3"/>
    <w:rsid w:val="00424FE1"/>
    <w:rsid w:val="004250C6"/>
    <w:rsid w:val="004251A5"/>
    <w:rsid w:val="004251D6"/>
    <w:rsid w:val="00425298"/>
    <w:rsid w:val="004255B5"/>
    <w:rsid w:val="004255D9"/>
    <w:rsid w:val="00425644"/>
    <w:rsid w:val="0042574B"/>
    <w:rsid w:val="00425782"/>
    <w:rsid w:val="004258AE"/>
    <w:rsid w:val="00425BA8"/>
    <w:rsid w:val="00425D0F"/>
    <w:rsid w:val="00425D15"/>
    <w:rsid w:val="004260BD"/>
    <w:rsid w:val="004260C8"/>
    <w:rsid w:val="00426275"/>
    <w:rsid w:val="004262E7"/>
    <w:rsid w:val="0042634F"/>
    <w:rsid w:val="004263B7"/>
    <w:rsid w:val="004266A5"/>
    <w:rsid w:val="0042673E"/>
    <w:rsid w:val="004268D0"/>
    <w:rsid w:val="0042691F"/>
    <w:rsid w:val="004269F6"/>
    <w:rsid w:val="00426BD9"/>
    <w:rsid w:val="00426C18"/>
    <w:rsid w:val="00426DB0"/>
    <w:rsid w:val="00426DEB"/>
    <w:rsid w:val="00426E78"/>
    <w:rsid w:val="00426ECE"/>
    <w:rsid w:val="00426F2F"/>
    <w:rsid w:val="004271E7"/>
    <w:rsid w:val="00427252"/>
    <w:rsid w:val="0042738D"/>
    <w:rsid w:val="004277AA"/>
    <w:rsid w:val="00427A82"/>
    <w:rsid w:val="00427AD0"/>
    <w:rsid w:val="00427BD3"/>
    <w:rsid w:val="00427D09"/>
    <w:rsid w:val="00427D70"/>
    <w:rsid w:val="00427E69"/>
    <w:rsid w:val="00427F4E"/>
    <w:rsid w:val="00430116"/>
    <w:rsid w:val="0043025C"/>
    <w:rsid w:val="004304A0"/>
    <w:rsid w:val="004304EB"/>
    <w:rsid w:val="004306F4"/>
    <w:rsid w:val="0043095C"/>
    <w:rsid w:val="00430A51"/>
    <w:rsid w:val="00430AB4"/>
    <w:rsid w:val="00430AE6"/>
    <w:rsid w:val="00430B4B"/>
    <w:rsid w:val="00430D6B"/>
    <w:rsid w:val="00430E0C"/>
    <w:rsid w:val="00430E94"/>
    <w:rsid w:val="00430F22"/>
    <w:rsid w:val="00430FC7"/>
    <w:rsid w:val="00431147"/>
    <w:rsid w:val="00431154"/>
    <w:rsid w:val="0043115A"/>
    <w:rsid w:val="004311D8"/>
    <w:rsid w:val="00431204"/>
    <w:rsid w:val="00431727"/>
    <w:rsid w:val="00431949"/>
    <w:rsid w:val="004319C8"/>
    <w:rsid w:val="00431DD9"/>
    <w:rsid w:val="00431F6C"/>
    <w:rsid w:val="00431FE5"/>
    <w:rsid w:val="0043206D"/>
    <w:rsid w:val="00432228"/>
    <w:rsid w:val="00432258"/>
    <w:rsid w:val="0043261C"/>
    <w:rsid w:val="00432667"/>
    <w:rsid w:val="004328B3"/>
    <w:rsid w:val="004329CD"/>
    <w:rsid w:val="00432AF5"/>
    <w:rsid w:val="00432B90"/>
    <w:rsid w:val="00432E7C"/>
    <w:rsid w:val="00432EA5"/>
    <w:rsid w:val="0043300B"/>
    <w:rsid w:val="00433159"/>
    <w:rsid w:val="0043335B"/>
    <w:rsid w:val="00433416"/>
    <w:rsid w:val="0043354B"/>
    <w:rsid w:val="00433A38"/>
    <w:rsid w:val="00433B95"/>
    <w:rsid w:val="00433BC7"/>
    <w:rsid w:val="00433D5B"/>
    <w:rsid w:val="00433FF6"/>
    <w:rsid w:val="00434195"/>
    <w:rsid w:val="004344E5"/>
    <w:rsid w:val="00434774"/>
    <w:rsid w:val="0043499C"/>
    <w:rsid w:val="004349FD"/>
    <w:rsid w:val="00434B58"/>
    <w:rsid w:val="00434CEA"/>
    <w:rsid w:val="00435106"/>
    <w:rsid w:val="00435153"/>
    <w:rsid w:val="00435521"/>
    <w:rsid w:val="004355E3"/>
    <w:rsid w:val="00435875"/>
    <w:rsid w:val="0043589B"/>
    <w:rsid w:val="004358C7"/>
    <w:rsid w:val="0043597D"/>
    <w:rsid w:val="00435A67"/>
    <w:rsid w:val="00435B4F"/>
    <w:rsid w:val="00435CD2"/>
    <w:rsid w:val="00435DEB"/>
    <w:rsid w:val="00435E34"/>
    <w:rsid w:val="00435EDE"/>
    <w:rsid w:val="00435F9D"/>
    <w:rsid w:val="00436364"/>
    <w:rsid w:val="00436491"/>
    <w:rsid w:val="00436503"/>
    <w:rsid w:val="00436709"/>
    <w:rsid w:val="004367CC"/>
    <w:rsid w:val="00436821"/>
    <w:rsid w:val="00436ABD"/>
    <w:rsid w:val="00436B79"/>
    <w:rsid w:val="00436BD2"/>
    <w:rsid w:val="00436F80"/>
    <w:rsid w:val="0043703F"/>
    <w:rsid w:val="004370AC"/>
    <w:rsid w:val="004373A5"/>
    <w:rsid w:val="00437489"/>
    <w:rsid w:val="004374D3"/>
    <w:rsid w:val="004377D8"/>
    <w:rsid w:val="00437817"/>
    <w:rsid w:val="004378EB"/>
    <w:rsid w:val="00437905"/>
    <w:rsid w:val="004379E4"/>
    <w:rsid w:val="00437A1A"/>
    <w:rsid w:val="00437A2B"/>
    <w:rsid w:val="00437CCE"/>
    <w:rsid w:val="00437D60"/>
    <w:rsid w:val="00437E01"/>
    <w:rsid w:val="00437E2C"/>
    <w:rsid w:val="00437E8D"/>
    <w:rsid w:val="00437F5C"/>
    <w:rsid w:val="0044014D"/>
    <w:rsid w:val="004401D1"/>
    <w:rsid w:val="00440250"/>
    <w:rsid w:val="00440356"/>
    <w:rsid w:val="00440458"/>
    <w:rsid w:val="004405EE"/>
    <w:rsid w:val="004406B7"/>
    <w:rsid w:val="00440A74"/>
    <w:rsid w:val="00440A94"/>
    <w:rsid w:val="00440DC7"/>
    <w:rsid w:val="00440DDD"/>
    <w:rsid w:val="00440EC6"/>
    <w:rsid w:val="00440F63"/>
    <w:rsid w:val="00440FF4"/>
    <w:rsid w:val="0044101E"/>
    <w:rsid w:val="00441288"/>
    <w:rsid w:val="00441372"/>
    <w:rsid w:val="00441593"/>
    <w:rsid w:val="004415A4"/>
    <w:rsid w:val="0044174F"/>
    <w:rsid w:val="00441B69"/>
    <w:rsid w:val="00441BAC"/>
    <w:rsid w:val="00441F66"/>
    <w:rsid w:val="00441F94"/>
    <w:rsid w:val="004421F8"/>
    <w:rsid w:val="00442312"/>
    <w:rsid w:val="0044242A"/>
    <w:rsid w:val="0044255F"/>
    <w:rsid w:val="004426CB"/>
    <w:rsid w:val="00442769"/>
    <w:rsid w:val="00442820"/>
    <w:rsid w:val="0044286C"/>
    <w:rsid w:val="0044287B"/>
    <w:rsid w:val="00442B04"/>
    <w:rsid w:val="00442E42"/>
    <w:rsid w:val="00442E51"/>
    <w:rsid w:val="00442E72"/>
    <w:rsid w:val="004430BA"/>
    <w:rsid w:val="00443418"/>
    <w:rsid w:val="0044371E"/>
    <w:rsid w:val="0044373D"/>
    <w:rsid w:val="00443A03"/>
    <w:rsid w:val="00443DE0"/>
    <w:rsid w:val="00443ED7"/>
    <w:rsid w:val="004441DF"/>
    <w:rsid w:val="00444241"/>
    <w:rsid w:val="00444351"/>
    <w:rsid w:val="004444F6"/>
    <w:rsid w:val="00444589"/>
    <w:rsid w:val="004448F2"/>
    <w:rsid w:val="004449D6"/>
    <w:rsid w:val="00444A7B"/>
    <w:rsid w:val="00444B8D"/>
    <w:rsid w:val="00444C90"/>
    <w:rsid w:val="00444D33"/>
    <w:rsid w:val="00444D61"/>
    <w:rsid w:val="00444D70"/>
    <w:rsid w:val="00444D8E"/>
    <w:rsid w:val="00444E31"/>
    <w:rsid w:val="00444FFD"/>
    <w:rsid w:val="004450CF"/>
    <w:rsid w:val="00445192"/>
    <w:rsid w:val="004451B7"/>
    <w:rsid w:val="004451E4"/>
    <w:rsid w:val="00445579"/>
    <w:rsid w:val="004457FF"/>
    <w:rsid w:val="004458CF"/>
    <w:rsid w:val="00445A4D"/>
    <w:rsid w:val="00445D17"/>
    <w:rsid w:val="00445F70"/>
    <w:rsid w:val="00446629"/>
    <w:rsid w:val="00446C8F"/>
    <w:rsid w:val="00447018"/>
    <w:rsid w:val="004472CC"/>
    <w:rsid w:val="004473D7"/>
    <w:rsid w:val="00447457"/>
    <w:rsid w:val="0044754F"/>
    <w:rsid w:val="00447578"/>
    <w:rsid w:val="004477A9"/>
    <w:rsid w:val="004478AE"/>
    <w:rsid w:val="004478DD"/>
    <w:rsid w:val="00447B03"/>
    <w:rsid w:val="00447C25"/>
    <w:rsid w:val="00447D41"/>
    <w:rsid w:val="004507EF"/>
    <w:rsid w:val="0045088E"/>
    <w:rsid w:val="00450A14"/>
    <w:rsid w:val="00450A69"/>
    <w:rsid w:val="00450C4D"/>
    <w:rsid w:val="00450D24"/>
    <w:rsid w:val="00450F38"/>
    <w:rsid w:val="00450FDF"/>
    <w:rsid w:val="00451149"/>
    <w:rsid w:val="004512FC"/>
    <w:rsid w:val="00451561"/>
    <w:rsid w:val="004516A0"/>
    <w:rsid w:val="00451951"/>
    <w:rsid w:val="00451A1D"/>
    <w:rsid w:val="00451B8E"/>
    <w:rsid w:val="00451C33"/>
    <w:rsid w:val="00451E73"/>
    <w:rsid w:val="00451E89"/>
    <w:rsid w:val="004520F5"/>
    <w:rsid w:val="0045237F"/>
    <w:rsid w:val="004525BB"/>
    <w:rsid w:val="004529AE"/>
    <w:rsid w:val="00452BE4"/>
    <w:rsid w:val="00453297"/>
    <w:rsid w:val="0045331C"/>
    <w:rsid w:val="00453328"/>
    <w:rsid w:val="00453366"/>
    <w:rsid w:val="00453564"/>
    <w:rsid w:val="004537AF"/>
    <w:rsid w:val="00453C19"/>
    <w:rsid w:val="00453F64"/>
    <w:rsid w:val="00453FDC"/>
    <w:rsid w:val="004540A7"/>
    <w:rsid w:val="004540F2"/>
    <w:rsid w:val="00454348"/>
    <w:rsid w:val="004543A1"/>
    <w:rsid w:val="004544C8"/>
    <w:rsid w:val="0045457E"/>
    <w:rsid w:val="00454707"/>
    <w:rsid w:val="0045470E"/>
    <w:rsid w:val="00454738"/>
    <w:rsid w:val="00454748"/>
    <w:rsid w:val="00454868"/>
    <w:rsid w:val="004549DF"/>
    <w:rsid w:val="00454B1A"/>
    <w:rsid w:val="00454D25"/>
    <w:rsid w:val="00454D39"/>
    <w:rsid w:val="00454DD2"/>
    <w:rsid w:val="00454EF5"/>
    <w:rsid w:val="00454F32"/>
    <w:rsid w:val="004550C8"/>
    <w:rsid w:val="00455282"/>
    <w:rsid w:val="004553BD"/>
    <w:rsid w:val="00455430"/>
    <w:rsid w:val="00455536"/>
    <w:rsid w:val="00455544"/>
    <w:rsid w:val="00455795"/>
    <w:rsid w:val="004557B3"/>
    <w:rsid w:val="004557E0"/>
    <w:rsid w:val="0045594B"/>
    <w:rsid w:val="004559F1"/>
    <w:rsid w:val="00455B4C"/>
    <w:rsid w:val="00456302"/>
    <w:rsid w:val="00456325"/>
    <w:rsid w:val="0045635E"/>
    <w:rsid w:val="0045636E"/>
    <w:rsid w:val="004564C2"/>
    <w:rsid w:val="0045658C"/>
    <w:rsid w:val="00456597"/>
    <w:rsid w:val="004565E1"/>
    <w:rsid w:val="0045694C"/>
    <w:rsid w:val="004569DB"/>
    <w:rsid w:val="00456A96"/>
    <w:rsid w:val="00456B0B"/>
    <w:rsid w:val="00456B5D"/>
    <w:rsid w:val="00456FA7"/>
    <w:rsid w:val="00456FF6"/>
    <w:rsid w:val="004571CF"/>
    <w:rsid w:val="0045725C"/>
    <w:rsid w:val="004573A2"/>
    <w:rsid w:val="0045758B"/>
    <w:rsid w:val="00457816"/>
    <w:rsid w:val="004578D3"/>
    <w:rsid w:val="00460080"/>
    <w:rsid w:val="00460249"/>
    <w:rsid w:val="00460595"/>
    <w:rsid w:val="00460600"/>
    <w:rsid w:val="004606A0"/>
    <w:rsid w:val="00460907"/>
    <w:rsid w:val="0046091B"/>
    <w:rsid w:val="00460A1D"/>
    <w:rsid w:val="00460B58"/>
    <w:rsid w:val="00460E2D"/>
    <w:rsid w:val="00460E54"/>
    <w:rsid w:val="004612EE"/>
    <w:rsid w:val="0046133B"/>
    <w:rsid w:val="004615FB"/>
    <w:rsid w:val="0046171C"/>
    <w:rsid w:val="00461BEC"/>
    <w:rsid w:val="00461E9B"/>
    <w:rsid w:val="00461F0E"/>
    <w:rsid w:val="00461FF5"/>
    <w:rsid w:val="004620AD"/>
    <w:rsid w:val="004620B8"/>
    <w:rsid w:val="0046219F"/>
    <w:rsid w:val="00462391"/>
    <w:rsid w:val="0046246F"/>
    <w:rsid w:val="0046263E"/>
    <w:rsid w:val="00462882"/>
    <w:rsid w:val="00462BD7"/>
    <w:rsid w:val="00462D47"/>
    <w:rsid w:val="00462E6B"/>
    <w:rsid w:val="00462F28"/>
    <w:rsid w:val="0046304B"/>
    <w:rsid w:val="0046313E"/>
    <w:rsid w:val="00463142"/>
    <w:rsid w:val="004635A9"/>
    <w:rsid w:val="004635C3"/>
    <w:rsid w:val="004635EA"/>
    <w:rsid w:val="004636AC"/>
    <w:rsid w:val="00463AAB"/>
    <w:rsid w:val="00463E9C"/>
    <w:rsid w:val="00463EF6"/>
    <w:rsid w:val="00464012"/>
    <w:rsid w:val="00464263"/>
    <w:rsid w:val="004643D7"/>
    <w:rsid w:val="00464495"/>
    <w:rsid w:val="004646C1"/>
    <w:rsid w:val="0046471E"/>
    <w:rsid w:val="00464940"/>
    <w:rsid w:val="00464C4C"/>
    <w:rsid w:val="00464E03"/>
    <w:rsid w:val="00464EF4"/>
    <w:rsid w:val="0046514C"/>
    <w:rsid w:val="00465176"/>
    <w:rsid w:val="004651D7"/>
    <w:rsid w:val="0046535A"/>
    <w:rsid w:val="0046544F"/>
    <w:rsid w:val="0046557B"/>
    <w:rsid w:val="004655B5"/>
    <w:rsid w:val="00465752"/>
    <w:rsid w:val="00465A6E"/>
    <w:rsid w:val="00465AA6"/>
    <w:rsid w:val="00465CED"/>
    <w:rsid w:val="00465E09"/>
    <w:rsid w:val="00465E46"/>
    <w:rsid w:val="00465E5B"/>
    <w:rsid w:val="00465F22"/>
    <w:rsid w:val="00465FD2"/>
    <w:rsid w:val="00465FD3"/>
    <w:rsid w:val="00466026"/>
    <w:rsid w:val="0046605F"/>
    <w:rsid w:val="00466074"/>
    <w:rsid w:val="0046640D"/>
    <w:rsid w:val="00466B36"/>
    <w:rsid w:val="00466EAF"/>
    <w:rsid w:val="00466F24"/>
    <w:rsid w:val="00466FC3"/>
    <w:rsid w:val="00467011"/>
    <w:rsid w:val="00467066"/>
    <w:rsid w:val="004670BE"/>
    <w:rsid w:val="00467260"/>
    <w:rsid w:val="004672ED"/>
    <w:rsid w:val="00467361"/>
    <w:rsid w:val="004673B1"/>
    <w:rsid w:val="00467402"/>
    <w:rsid w:val="004675D5"/>
    <w:rsid w:val="00467CAB"/>
    <w:rsid w:val="00467CD1"/>
    <w:rsid w:val="00467DE4"/>
    <w:rsid w:val="00470032"/>
    <w:rsid w:val="004700FC"/>
    <w:rsid w:val="0047048E"/>
    <w:rsid w:val="004704F1"/>
    <w:rsid w:val="00470870"/>
    <w:rsid w:val="00470A6E"/>
    <w:rsid w:val="00470B68"/>
    <w:rsid w:val="00470D19"/>
    <w:rsid w:val="00470D8B"/>
    <w:rsid w:val="00470E69"/>
    <w:rsid w:val="00470F19"/>
    <w:rsid w:val="00470F74"/>
    <w:rsid w:val="00471037"/>
    <w:rsid w:val="00471124"/>
    <w:rsid w:val="0047159D"/>
    <w:rsid w:val="0047159F"/>
    <w:rsid w:val="004716EE"/>
    <w:rsid w:val="004717E3"/>
    <w:rsid w:val="00471BE2"/>
    <w:rsid w:val="0047218E"/>
    <w:rsid w:val="004722A0"/>
    <w:rsid w:val="00472403"/>
    <w:rsid w:val="00472581"/>
    <w:rsid w:val="00472770"/>
    <w:rsid w:val="004727BA"/>
    <w:rsid w:val="004728CE"/>
    <w:rsid w:val="00472ADC"/>
    <w:rsid w:val="00472C1D"/>
    <w:rsid w:val="00472CA4"/>
    <w:rsid w:val="00472D85"/>
    <w:rsid w:val="00472E7E"/>
    <w:rsid w:val="004732F7"/>
    <w:rsid w:val="00473457"/>
    <w:rsid w:val="00473711"/>
    <w:rsid w:val="00473776"/>
    <w:rsid w:val="00473835"/>
    <w:rsid w:val="00473FB5"/>
    <w:rsid w:val="00474016"/>
    <w:rsid w:val="00474069"/>
    <w:rsid w:val="004740B9"/>
    <w:rsid w:val="00474115"/>
    <w:rsid w:val="00474196"/>
    <w:rsid w:val="004741BC"/>
    <w:rsid w:val="00474397"/>
    <w:rsid w:val="0047457F"/>
    <w:rsid w:val="004745E2"/>
    <w:rsid w:val="004746B3"/>
    <w:rsid w:val="0047476B"/>
    <w:rsid w:val="0047485C"/>
    <w:rsid w:val="00474937"/>
    <w:rsid w:val="00474A0F"/>
    <w:rsid w:val="00474B20"/>
    <w:rsid w:val="00474CA5"/>
    <w:rsid w:val="00475009"/>
    <w:rsid w:val="00475273"/>
    <w:rsid w:val="004755FD"/>
    <w:rsid w:val="0047563E"/>
    <w:rsid w:val="00475813"/>
    <w:rsid w:val="004758F7"/>
    <w:rsid w:val="00475A77"/>
    <w:rsid w:val="00475AAB"/>
    <w:rsid w:val="00475C2E"/>
    <w:rsid w:val="00475CD3"/>
    <w:rsid w:val="0047601C"/>
    <w:rsid w:val="004764A6"/>
    <w:rsid w:val="0047659A"/>
    <w:rsid w:val="00476695"/>
    <w:rsid w:val="004766DE"/>
    <w:rsid w:val="00476726"/>
    <w:rsid w:val="0047682E"/>
    <w:rsid w:val="00476842"/>
    <w:rsid w:val="00476877"/>
    <w:rsid w:val="004768CA"/>
    <w:rsid w:val="004769EA"/>
    <w:rsid w:val="00476C16"/>
    <w:rsid w:val="00476F12"/>
    <w:rsid w:val="00476F89"/>
    <w:rsid w:val="004771A9"/>
    <w:rsid w:val="004771B7"/>
    <w:rsid w:val="004772BE"/>
    <w:rsid w:val="00477313"/>
    <w:rsid w:val="00477369"/>
    <w:rsid w:val="004773AF"/>
    <w:rsid w:val="0047757E"/>
    <w:rsid w:val="00477617"/>
    <w:rsid w:val="00477675"/>
    <w:rsid w:val="0047777A"/>
    <w:rsid w:val="004777AC"/>
    <w:rsid w:val="004779CF"/>
    <w:rsid w:val="004779EC"/>
    <w:rsid w:val="00477A9D"/>
    <w:rsid w:val="00477AAF"/>
    <w:rsid w:val="00477BF2"/>
    <w:rsid w:val="00477C4E"/>
    <w:rsid w:val="00477CFF"/>
    <w:rsid w:val="00477DA3"/>
    <w:rsid w:val="00477E3F"/>
    <w:rsid w:val="00477F58"/>
    <w:rsid w:val="00477FB1"/>
    <w:rsid w:val="00480005"/>
    <w:rsid w:val="00480245"/>
    <w:rsid w:val="004802C6"/>
    <w:rsid w:val="004802EC"/>
    <w:rsid w:val="0048045D"/>
    <w:rsid w:val="0048069C"/>
    <w:rsid w:val="00480995"/>
    <w:rsid w:val="004809A7"/>
    <w:rsid w:val="00480BEB"/>
    <w:rsid w:val="00480C8B"/>
    <w:rsid w:val="00480CBC"/>
    <w:rsid w:val="00480D60"/>
    <w:rsid w:val="00480DA9"/>
    <w:rsid w:val="00480EB5"/>
    <w:rsid w:val="00480F16"/>
    <w:rsid w:val="00480F7A"/>
    <w:rsid w:val="00481155"/>
    <w:rsid w:val="004812F1"/>
    <w:rsid w:val="004812FB"/>
    <w:rsid w:val="0048150C"/>
    <w:rsid w:val="00481B4B"/>
    <w:rsid w:val="00481CB1"/>
    <w:rsid w:val="00482030"/>
    <w:rsid w:val="00482097"/>
    <w:rsid w:val="004823B5"/>
    <w:rsid w:val="0048248A"/>
    <w:rsid w:val="004825CA"/>
    <w:rsid w:val="004826D0"/>
    <w:rsid w:val="00482806"/>
    <w:rsid w:val="00482883"/>
    <w:rsid w:val="004828BC"/>
    <w:rsid w:val="00482914"/>
    <w:rsid w:val="004832BD"/>
    <w:rsid w:val="00483798"/>
    <w:rsid w:val="0048380F"/>
    <w:rsid w:val="004839CC"/>
    <w:rsid w:val="00483CBE"/>
    <w:rsid w:val="00483E4D"/>
    <w:rsid w:val="00483E61"/>
    <w:rsid w:val="00483EDD"/>
    <w:rsid w:val="00483FC6"/>
    <w:rsid w:val="0048411A"/>
    <w:rsid w:val="00484593"/>
    <w:rsid w:val="004847BC"/>
    <w:rsid w:val="00484816"/>
    <w:rsid w:val="00484A6D"/>
    <w:rsid w:val="00484B0B"/>
    <w:rsid w:val="00484D32"/>
    <w:rsid w:val="004853B9"/>
    <w:rsid w:val="004853BF"/>
    <w:rsid w:val="004853E4"/>
    <w:rsid w:val="00485447"/>
    <w:rsid w:val="004854F7"/>
    <w:rsid w:val="004858F3"/>
    <w:rsid w:val="00485B4A"/>
    <w:rsid w:val="00485C00"/>
    <w:rsid w:val="00485DCA"/>
    <w:rsid w:val="00485EB1"/>
    <w:rsid w:val="00485FD4"/>
    <w:rsid w:val="004860C2"/>
    <w:rsid w:val="0048614A"/>
    <w:rsid w:val="00486320"/>
    <w:rsid w:val="00486366"/>
    <w:rsid w:val="0048646D"/>
    <w:rsid w:val="00486496"/>
    <w:rsid w:val="004864E2"/>
    <w:rsid w:val="00486551"/>
    <w:rsid w:val="00486853"/>
    <w:rsid w:val="00486B12"/>
    <w:rsid w:val="00486C96"/>
    <w:rsid w:val="00486FEC"/>
    <w:rsid w:val="0048750A"/>
    <w:rsid w:val="004875DE"/>
    <w:rsid w:val="0048770D"/>
    <w:rsid w:val="00487786"/>
    <w:rsid w:val="004877E9"/>
    <w:rsid w:val="00487AE4"/>
    <w:rsid w:val="00487F1B"/>
    <w:rsid w:val="0049015A"/>
    <w:rsid w:val="004901BA"/>
    <w:rsid w:val="004904A8"/>
    <w:rsid w:val="00490513"/>
    <w:rsid w:val="0049062C"/>
    <w:rsid w:val="004908BE"/>
    <w:rsid w:val="00490937"/>
    <w:rsid w:val="004909BC"/>
    <w:rsid w:val="004909D8"/>
    <w:rsid w:val="00490AE9"/>
    <w:rsid w:val="00490BAA"/>
    <w:rsid w:val="00490E27"/>
    <w:rsid w:val="00490EFE"/>
    <w:rsid w:val="00491335"/>
    <w:rsid w:val="00491916"/>
    <w:rsid w:val="00491A00"/>
    <w:rsid w:val="00491A23"/>
    <w:rsid w:val="00491A43"/>
    <w:rsid w:val="00491A65"/>
    <w:rsid w:val="00491A74"/>
    <w:rsid w:val="00491BBC"/>
    <w:rsid w:val="00491C99"/>
    <w:rsid w:val="00491D8B"/>
    <w:rsid w:val="00491D8C"/>
    <w:rsid w:val="00491DEA"/>
    <w:rsid w:val="004920EA"/>
    <w:rsid w:val="0049213E"/>
    <w:rsid w:val="00492172"/>
    <w:rsid w:val="0049222B"/>
    <w:rsid w:val="00492242"/>
    <w:rsid w:val="0049252E"/>
    <w:rsid w:val="00492577"/>
    <w:rsid w:val="00492608"/>
    <w:rsid w:val="00492740"/>
    <w:rsid w:val="00492790"/>
    <w:rsid w:val="004929F8"/>
    <w:rsid w:val="00492AEF"/>
    <w:rsid w:val="00492BE5"/>
    <w:rsid w:val="00492C79"/>
    <w:rsid w:val="00492D5E"/>
    <w:rsid w:val="00492DBF"/>
    <w:rsid w:val="00492DD4"/>
    <w:rsid w:val="00492E37"/>
    <w:rsid w:val="00492F13"/>
    <w:rsid w:val="004932D4"/>
    <w:rsid w:val="004933B6"/>
    <w:rsid w:val="00493452"/>
    <w:rsid w:val="004934EA"/>
    <w:rsid w:val="00493539"/>
    <w:rsid w:val="0049362C"/>
    <w:rsid w:val="0049396A"/>
    <w:rsid w:val="00493B27"/>
    <w:rsid w:val="00493C5E"/>
    <w:rsid w:val="00493D72"/>
    <w:rsid w:val="00493D7E"/>
    <w:rsid w:val="00493D80"/>
    <w:rsid w:val="00493FC8"/>
    <w:rsid w:val="00494375"/>
    <w:rsid w:val="004944B4"/>
    <w:rsid w:val="004944E6"/>
    <w:rsid w:val="0049474B"/>
    <w:rsid w:val="00494814"/>
    <w:rsid w:val="004949B9"/>
    <w:rsid w:val="00494F51"/>
    <w:rsid w:val="00494F64"/>
    <w:rsid w:val="00494FDD"/>
    <w:rsid w:val="0049513B"/>
    <w:rsid w:val="004951EB"/>
    <w:rsid w:val="004956C2"/>
    <w:rsid w:val="00495CBC"/>
    <w:rsid w:val="00495D6B"/>
    <w:rsid w:val="00495DAC"/>
    <w:rsid w:val="00496027"/>
    <w:rsid w:val="00496029"/>
    <w:rsid w:val="00496284"/>
    <w:rsid w:val="00496445"/>
    <w:rsid w:val="004965CB"/>
    <w:rsid w:val="0049669E"/>
    <w:rsid w:val="004969FE"/>
    <w:rsid w:val="00496BF5"/>
    <w:rsid w:val="00496D02"/>
    <w:rsid w:val="00496DA9"/>
    <w:rsid w:val="00496EAC"/>
    <w:rsid w:val="00497085"/>
    <w:rsid w:val="00497279"/>
    <w:rsid w:val="00497317"/>
    <w:rsid w:val="0049754E"/>
    <w:rsid w:val="00497605"/>
    <w:rsid w:val="004977C1"/>
    <w:rsid w:val="004979D5"/>
    <w:rsid w:val="00497A9A"/>
    <w:rsid w:val="00497BF2"/>
    <w:rsid w:val="00497D89"/>
    <w:rsid w:val="00497F76"/>
    <w:rsid w:val="004A040D"/>
    <w:rsid w:val="004A04F6"/>
    <w:rsid w:val="004A08E8"/>
    <w:rsid w:val="004A0A66"/>
    <w:rsid w:val="004A0C57"/>
    <w:rsid w:val="004A0CCB"/>
    <w:rsid w:val="004A0E69"/>
    <w:rsid w:val="004A0F5A"/>
    <w:rsid w:val="004A1113"/>
    <w:rsid w:val="004A1133"/>
    <w:rsid w:val="004A1151"/>
    <w:rsid w:val="004A115A"/>
    <w:rsid w:val="004A11E8"/>
    <w:rsid w:val="004A1271"/>
    <w:rsid w:val="004A131E"/>
    <w:rsid w:val="004A1399"/>
    <w:rsid w:val="004A1666"/>
    <w:rsid w:val="004A1695"/>
    <w:rsid w:val="004A16D3"/>
    <w:rsid w:val="004A193F"/>
    <w:rsid w:val="004A1970"/>
    <w:rsid w:val="004A19BA"/>
    <w:rsid w:val="004A19F7"/>
    <w:rsid w:val="004A1C89"/>
    <w:rsid w:val="004A1D43"/>
    <w:rsid w:val="004A1DC3"/>
    <w:rsid w:val="004A1EAF"/>
    <w:rsid w:val="004A2068"/>
    <w:rsid w:val="004A2309"/>
    <w:rsid w:val="004A2440"/>
    <w:rsid w:val="004A2442"/>
    <w:rsid w:val="004A2549"/>
    <w:rsid w:val="004A2600"/>
    <w:rsid w:val="004A267F"/>
    <w:rsid w:val="004A270C"/>
    <w:rsid w:val="004A2802"/>
    <w:rsid w:val="004A28B3"/>
    <w:rsid w:val="004A2A00"/>
    <w:rsid w:val="004A2B85"/>
    <w:rsid w:val="004A2B8F"/>
    <w:rsid w:val="004A2C13"/>
    <w:rsid w:val="004A2CCB"/>
    <w:rsid w:val="004A2E5B"/>
    <w:rsid w:val="004A2E82"/>
    <w:rsid w:val="004A2EE9"/>
    <w:rsid w:val="004A311D"/>
    <w:rsid w:val="004A3125"/>
    <w:rsid w:val="004A32BF"/>
    <w:rsid w:val="004A33DD"/>
    <w:rsid w:val="004A341C"/>
    <w:rsid w:val="004A3499"/>
    <w:rsid w:val="004A3AF9"/>
    <w:rsid w:val="004A3B3A"/>
    <w:rsid w:val="004A3BBE"/>
    <w:rsid w:val="004A4000"/>
    <w:rsid w:val="004A4026"/>
    <w:rsid w:val="004A4054"/>
    <w:rsid w:val="004A4346"/>
    <w:rsid w:val="004A451D"/>
    <w:rsid w:val="004A471A"/>
    <w:rsid w:val="004A4826"/>
    <w:rsid w:val="004A4882"/>
    <w:rsid w:val="004A496F"/>
    <w:rsid w:val="004A4D6F"/>
    <w:rsid w:val="004A507D"/>
    <w:rsid w:val="004A53E8"/>
    <w:rsid w:val="004A55BC"/>
    <w:rsid w:val="004A56D8"/>
    <w:rsid w:val="004A57C4"/>
    <w:rsid w:val="004A584D"/>
    <w:rsid w:val="004A58BB"/>
    <w:rsid w:val="004A58F1"/>
    <w:rsid w:val="004A5A1E"/>
    <w:rsid w:val="004A5B2B"/>
    <w:rsid w:val="004A605E"/>
    <w:rsid w:val="004A621A"/>
    <w:rsid w:val="004A634D"/>
    <w:rsid w:val="004A6372"/>
    <w:rsid w:val="004A665F"/>
    <w:rsid w:val="004A6689"/>
    <w:rsid w:val="004A69CB"/>
    <w:rsid w:val="004A6A69"/>
    <w:rsid w:val="004A6D0C"/>
    <w:rsid w:val="004A6D17"/>
    <w:rsid w:val="004A6D3C"/>
    <w:rsid w:val="004A6E50"/>
    <w:rsid w:val="004A6E5A"/>
    <w:rsid w:val="004A6E8A"/>
    <w:rsid w:val="004A6F8C"/>
    <w:rsid w:val="004A74BE"/>
    <w:rsid w:val="004A7590"/>
    <w:rsid w:val="004A774E"/>
    <w:rsid w:val="004A77E2"/>
    <w:rsid w:val="004A7A30"/>
    <w:rsid w:val="004A7A51"/>
    <w:rsid w:val="004A7A75"/>
    <w:rsid w:val="004A7E6D"/>
    <w:rsid w:val="004A7F18"/>
    <w:rsid w:val="004B0351"/>
    <w:rsid w:val="004B06AD"/>
    <w:rsid w:val="004B0A0C"/>
    <w:rsid w:val="004B0A1A"/>
    <w:rsid w:val="004B0BC0"/>
    <w:rsid w:val="004B0BCE"/>
    <w:rsid w:val="004B0C1C"/>
    <w:rsid w:val="004B0C7C"/>
    <w:rsid w:val="004B0CDE"/>
    <w:rsid w:val="004B0E9F"/>
    <w:rsid w:val="004B0EDC"/>
    <w:rsid w:val="004B124C"/>
    <w:rsid w:val="004B1871"/>
    <w:rsid w:val="004B1ACF"/>
    <w:rsid w:val="004B1AED"/>
    <w:rsid w:val="004B1B17"/>
    <w:rsid w:val="004B1BAD"/>
    <w:rsid w:val="004B1C1D"/>
    <w:rsid w:val="004B1C8A"/>
    <w:rsid w:val="004B1EE3"/>
    <w:rsid w:val="004B1F13"/>
    <w:rsid w:val="004B1F77"/>
    <w:rsid w:val="004B20A9"/>
    <w:rsid w:val="004B20EB"/>
    <w:rsid w:val="004B21B3"/>
    <w:rsid w:val="004B21E3"/>
    <w:rsid w:val="004B2300"/>
    <w:rsid w:val="004B2353"/>
    <w:rsid w:val="004B25FD"/>
    <w:rsid w:val="004B2646"/>
    <w:rsid w:val="004B27C0"/>
    <w:rsid w:val="004B2AB5"/>
    <w:rsid w:val="004B2B43"/>
    <w:rsid w:val="004B2BEF"/>
    <w:rsid w:val="004B2CE9"/>
    <w:rsid w:val="004B2DD9"/>
    <w:rsid w:val="004B2ED3"/>
    <w:rsid w:val="004B2F97"/>
    <w:rsid w:val="004B39B7"/>
    <w:rsid w:val="004B3B7C"/>
    <w:rsid w:val="004B3BDA"/>
    <w:rsid w:val="004B3CA5"/>
    <w:rsid w:val="004B3D31"/>
    <w:rsid w:val="004B3D3A"/>
    <w:rsid w:val="004B3EB8"/>
    <w:rsid w:val="004B3EF8"/>
    <w:rsid w:val="004B3FDE"/>
    <w:rsid w:val="004B407B"/>
    <w:rsid w:val="004B41F1"/>
    <w:rsid w:val="004B42E4"/>
    <w:rsid w:val="004B4317"/>
    <w:rsid w:val="004B45D0"/>
    <w:rsid w:val="004B45E0"/>
    <w:rsid w:val="004B4870"/>
    <w:rsid w:val="004B4964"/>
    <w:rsid w:val="004B4A7B"/>
    <w:rsid w:val="004B4DB7"/>
    <w:rsid w:val="004B4DC2"/>
    <w:rsid w:val="004B521E"/>
    <w:rsid w:val="004B54D4"/>
    <w:rsid w:val="004B5628"/>
    <w:rsid w:val="004B5749"/>
    <w:rsid w:val="004B5777"/>
    <w:rsid w:val="004B57A0"/>
    <w:rsid w:val="004B58FF"/>
    <w:rsid w:val="004B5A87"/>
    <w:rsid w:val="004B5D9F"/>
    <w:rsid w:val="004B5DE0"/>
    <w:rsid w:val="004B5EA0"/>
    <w:rsid w:val="004B61FD"/>
    <w:rsid w:val="004B62A3"/>
    <w:rsid w:val="004B66FA"/>
    <w:rsid w:val="004B6833"/>
    <w:rsid w:val="004B6D02"/>
    <w:rsid w:val="004B6FE4"/>
    <w:rsid w:val="004B706A"/>
    <w:rsid w:val="004B7091"/>
    <w:rsid w:val="004B7213"/>
    <w:rsid w:val="004B7282"/>
    <w:rsid w:val="004B7434"/>
    <w:rsid w:val="004B75EA"/>
    <w:rsid w:val="004B795A"/>
    <w:rsid w:val="004B7C4A"/>
    <w:rsid w:val="004B7D67"/>
    <w:rsid w:val="004B7F6A"/>
    <w:rsid w:val="004B7FC5"/>
    <w:rsid w:val="004B7FCA"/>
    <w:rsid w:val="004C00B4"/>
    <w:rsid w:val="004C0379"/>
    <w:rsid w:val="004C0419"/>
    <w:rsid w:val="004C04B3"/>
    <w:rsid w:val="004C055B"/>
    <w:rsid w:val="004C05CA"/>
    <w:rsid w:val="004C0606"/>
    <w:rsid w:val="004C079D"/>
    <w:rsid w:val="004C0853"/>
    <w:rsid w:val="004C0B3D"/>
    <w:rsid w:val="004C0B89"/>
    <w:rsid w:val="004C0CC0"/>
    <w:rsid w:val="004C0D58"/>
    <w:rsid w:val="004C0DB0"/>
    <w:rsid w:val="004C1160"/>
    <w:rsid w:val="004C1225"/>
    <w:rsid w:val="004C12EC"/>
    <w:rsid w:val="004C151F"/>
    <w:rsid w:val="004C152A"/>
    <w:rsid w:val="004C1611"/>
    <w:rsid w:val="004C1796"/>
    <w:rsid w:val="004C1890"/>
    <w:rsid w:val="004C1968"/>
    <w:rsid w:val="004C1A9C"/>
    <w:rsid w:val="004C1AD9"/>
    <w:rsid w:val="004C1BA3"/>
    <w:rsid w:val="004C1BC8"/>
    <w:rsid w:val="004C1CB2"/>
    <w:rsid w:val="004C1E12"/>
    <w:rsid w:val="004C1E96"/>
    <w:rsid w:val="004C1FE0"/>
    <w:rsid w:val="004C20AA"/>
    <w:rsid w:val="004C21AC"/>
    <w:rsid w:val="004C21E3"/>
    <w:rsid w:val="004C231B"/>
    <w:rsid w:val="004C23CC"/>
    <w:rsid w:val="004C2458"/>
    <w:rsid w:val="004C24EE"/>
    <w:rsid w:val="004C2706"/>
    <w:rsid w:val="004C2844"/>
    <w:rsid w:val="004C297E"/>
    <w:rsid w:val="004C2A23"/>
    <w:rsid w:val="004C2ABC"/>
    <w:rsid w:val="004C2BBB"/>
    <w:rsid w:val="004C2C6F"/>
    <w:rsid w:val="004C2D7F"/>
    <w:rsid w:val="004C2D9C"/>
    <w:rsid w:val="004C3305"/>
    <w:rsid w:val="004C33BE"/>
    <w:rsid w:val="004C356D"/>
    <w:rsid w:val="004C3647"/>
    <w:rsid w:val="004C3A49"/>
    <w:rsid w:val="004C3B06"/>
    <w:rsid w:val="004C3BAA"/>
    <w:rsid w:val="004C3FFB"/>
    <w:rsid w:val="004C4083"/>
    <w:rsid w:val="004C42C1"/>
    <w:rsid w:val="004C433F"/>
    <w:rsid w:val="004C4397"/>
    <w:rsid w:val="004C43DF"/>
    <w:rsid w:val="004C46DA"/>
    <w:rsid w:val="004C4775"/>
    <w:rsid w:val="004C48FA"/>
    <w:rsid w:val="004C4976"/>
    <w:rsid w:val="004C4F2A"/>
    <w:rsid w:val="004C4F7B"/>
    <w:rsid w:val="004C50C0"/>
    <w:rsid w:val="004C52DE"/>
    <w:rsid w:val="004C5362"/>
    <w:rsid w:val="004C5505"/>
    <w:rsid w:val="004C5583"/>
    <w:rsid w:val="004C5630"/>
    <w:rsid w:val="004C575B"/>
    <w:rsid w:val="004C59A8"/>
    <w:rsid w:val="004C5A3D"/>
    <w:rsid w:val="004C5B2C"/>
    <w:rsid w:val="004C5D52"/>
    <w:rsid w:val="004C5D5B"/>
    <w:rsid w:val="004C5D9E"/>
    <w:rsid w:val="004C5DAC"/>
    <w:rsid w:val="004C5F78"/>
    <w:rsid w:val="004C6046"/>
    <w:rsid w:val="004C619E"/>
    <w:rsid w:val="004C62EA"/>
    <w:rsid w:val="004C6333"/>
    <w:rsid w:val="004C63AC"/>
    <w:rsid w:val="004C6649"/>
    <w:rsid w:val="004C67E2"/>
    <w:rsid w:val="004C67ED"/>
    <w:rsid w:val="004C685D"/>
    <w:rsid w:val="004C695B"/>
    <w:rsid w:val="004C69BB"/>
    <w:rsid w:val="004C6A53"/>
    <w:rsid w:val="004C6DE9"/>
    <w:rsid w:val="004C7107"/>
    <w:rsid w:val="004C7422"/>
    <w:rsid w:val="004C762C"/>
    <w:rsid w:val="004C796B"/>
    <w:rsid w:val="004C7B17"/>
    <w:rsid w:val="004C7C0A"/>
    <w:rsid w:val="004C7C32"/>
    <w:rsid w:val="004C7C4E"/>
    <w:rsid w:val="004C7C67"/>
    <w:rsid w:val="004C7D12"/>
    <w:rsid w:val="004D0347"/>
    <w:rsid w:val="004D035B"/>
    <w:rsid w:val="004D04E2"/>
    <w:rsid w:val="004D056A"/>
    <w:rsid w:val="004D066E"/>
    <w:rsid w:val="004D06EC"/>
    <w:rsid w:val="004D07A0"/>
    <w:rsid w:val="004D0892"/>
    <w:rsid w:val="004D08E5"/>
    <w:rsid w:val="004D0AD3"/>
    <w:rsid w:val="004D0AE9"/>
    <w:rsid w:val="004D0B1A"/>
    <w:rsid w:val="004D0BE0"/>
    <w:rsid w:val="004D0CC8"/>
    <w:rsid w:val="004D0F1F"/>
    <w:rsid w:val="004D0F92"/>
    <w:rsid w:val="004D1325"/>
    <w:rsid w:val="004D142D"/>
    <w:rsid w:val="004D1452"/>
    <w:rsid w:val="004D160C"/>
    <w:rsid w:val="004D16C6"/>
    <w:rsid w:val="004D16FD"/>
    <w:rsid w:val="004D1740"/>
    <w:rsid w:val="004D1818"/>
    <w:rsid w:val="004D1C1F"/>
    <w:rsid w:val="004D1D0D"/>
    <w:rsid w:val="004D1D13"/>
    <w:rsid w:val="004D1ED3"/>
    <w:rsid w:val="004D237E"/>
    <w:rsid w:val="004D24DA"/>
    <w:rsid w:val="004D24E9"/>
    <w:rsid w:val="004D2800"/>
    <w:rsid w:val="004D2D23"/>
    <w:rsid w:val="004D315B"/>
    <w:rsid w:val="004D3358"/>
    <w:rsid w:val="004D3512"/>
    <w:rsid w:val="004D3528"/>
    <w:rsid w:val="004D39A8"/>
    <w:rsid w:val="004D3B99"/>
    <w:rsid w:val="004D3E82"/>
    <w:rsid w:val="004D3FD6"/>
    <w:rsid w:val="004D40C2"/>
    <w:rsid w:val="004D42B4"/>
    <w:rsid w:val="004D4330"/>
    <w:rsid w:val="004D465E"/>
    <w:rsid w:val="004D46A2"/>
    <w:rsid w:val="004D4A7B"/>
    <w:rsid w:val="004D4B3F"/>
    <w:rsid w:val="004D4DC8"/>
    <w:rsid w:val="004D509F"/>
    <w:rsid w:val="004D526D"/>
    <w:rsid w:val="004D5596"/>
    <w:rsid w:val="004D567D"/>
    <w:rsid w:val="004D5A89"/>
    <w:rsid w:val="004D5B90"/>
    <w:rsid w:val="004D5D01"/>
    <w:rsid w:val="004D5D5A"/>
    <w:rsid w:val="004D5DBA"/>
    <w:rsid w:val="004D5DD2"/>
    <w:rsid w:val="004D60E1"/>
    <w:rsid w:val="004D639B"/>
    <w:rsid w:val="004D656A"/>
    <w:rsid w:val="004D6609"/>
    <w:rsid w:val="004D675C"/>
    <w:rsid w:val="004D67C2"/>
    <w:rsid w:val="004D68FF"/>
    <w:rsid w:val="004D6B6D"/>
    <w:rsid w:val="004D6CD7"/>
    <w:rsid w:val="004D6E60"/>
    <w:rsid w:val="004D6FF3"/>
    <w:rsid w:val="004D733C"/>
    <w:rsid w:val="004D7423"/>
    <w:rsid w:val="004D743A"/>
    <w:rsid w:val="004D747F"/>
    <w:rsid w:val="004D77E6"/>
    <w:rsid w:val="004D789A"/>
    <w:rsid w:val="004D78C2"/>
    <w:rsid w:val="004D7A63"/>
    <w:rsid w:val="004D7ABE"/>
    <w:rsid w:val="004D7B1D"/>
    <w:rsid w:val="004D7B91"/>
    <w:rsid w:val="004D7DFE"/>
    <w:rsid w:val="004D7E3C"/>
    <w:rsid w:val="004D7EE1"/>
    <w:rsid w:val="004E0272"/>
    <w:rsid w:val="004E02FD"/>
    <w:rsid w:val="004E074A"/>
    <w:rsid w:val="004E0837"/>
    <w:rsid w:val="004E090C"/>
    <w:rsid w:val="004E096C"/>
    <w:rsid w:val="004E0A1D"/>
    <w:rsid w:val="004E0A8D"/>
    <w:rsid w:val="004E0AAB"/>
    <w:rsid w:val="004E0D13"/>
    <w:rsid w:val="004E10F7"/>
    <w:rsid w:val="004E11B8"/>
    <w:rsid w:val="004E1218"/>
    <w:rsid w:val="004E12A7"/>
    <w:rsid w:val="004E132E"/>
    <w:rsid w:val="004E135A"/>
    <w:rsid w:val="004E13FE"/>
    <w:rsid w:val="004E14E4"/>
    <w:rsid w:val="004E16CA"/>
    <w:rsid w:val="004E1772"/>
    <w:rsid w:val="004E1779"/>
    <w:rsid w:val="004E182F"/>
    <w:rsid w:val="004E1A4A"/>
    <w:rsid w:val="004E1C85"/>
    <w:rsid w:val="004E1F78"/>
    <w:rsid w:val="004E22B3"/>
    <w:rsid w:val="004E2342"/>
    <w:rsid w:val="004E237E"/>
    <w:rsid w:val="004E2496"/>
    <w:rsid w:val="004E2574"/>
    <w:rsid w:val="004E2585"/>
    <w:rsid w:val="004E25D8"/>
    <w:rsid w:val="004E25F9"/>
    <w:rsid w:val="004E268B"/>
    <w:rsid w:val="004E2826"/>
    <w:rsid w:val="004E28BB"/>
    <w:rsid w:val="004E2964"/>
    <w:rsid w:val="004E2B07"/>
    <w:rsid w:val="004E2BF7"/>
    <w:rsid w:val="004E2D54"/>
    <w:rsid w:val="004E2F51"/>
    <w:rsid w:val="004E341F"/>
    <w:rsid w:val="004E3452"/>
    <w:rsid w:val="004E386A"/>
    <w:rsid w:val="004E3900"/>
    <w:rsid w:val="004E3903"/>
    <w:rsid w:val="004E396C"/>
    <w:rsid w:val="004E3A79"/>
    <w:rsid w:val="004E3AB0"/>
    <w:rsid w:val="004E3AC9"/>
    <w:rsid w:val="004E3B68"/>
    <w:rsid w:val="004E3CBF"/>
    <w:rsid w:val="004E3D01"/>
    <w:rsid w:val="004E3DE2"/>
    <w:rsid w:val="004E3E79"/>
    <w:rsid w:val="004E3FA7"/>
    <w:rsid w:val="004E4056"/>
    <w:rsid w:val="004E412F"/>
    <w:rsid w:val="004E413F"/>
    <w:rsid w:val="004E41D4"/>
    <w:rsid w:val="004E4274"/>
    <w:rsid w:val="004E4530"/>
    <w:rsid w:val="004E4544"/>
    <w:rsid w:val="004E46EB"/>
    <w:rsid w:val="004E4A53"/>
    <w:rsid w:val="004E4AD0"/>
    <w:rsid w:val="004E4BCD"/>
    <w:rsid w:val="004E4E40"/>
    <w:rsid w:val="004E5011"/>
    <w:rsid w:val="004E50A1"/>
    <w:rsid w:val="004E510F"/>
    <w:rsid w:val="004E51EA"/>
    <w:rsid w:val="004E52AA"/>
    <w:rsid w:val="004E52F0"/>
    <w:rsid w:val="004E5393"/>
    <w:rsid w:val="004E5517"/>
    <w:rsid w:val="004E5654"/>
    <w:rsid w:val="004E5803"/>
    <w:rsid w:val="004E5A14"/>
    <w:rsid w:val="004E5B53"/>
    <w:rsid w:val="004E5C2A"/>
    <w:rsid w:val="004E5DA6"/>
    <w:rsid w:val="004E5FFF"/>
    <w:rsid w:val="004E6176"/>
    <w:rsid w:val="004E61EA"/>
    <w:rsid w:val="004E63FE"/>
    <w:rsid w:val="004E64CA"/>
    <w:rsid w:val="004E65A8"/>
    <w:rsid w:val="004E6774"/>
    <w:rsid w:val="004E69A5"/>
    <w:rsid w:val="004E6D9E"/>
    <w:rsid w:val="004E6DA1"/>
    <w:rsid w:val="004E7066"/>
    <w:rsid w:val="004E7377"/>
    <w:rsid w:val="004E73AC"/>
    <w:rsid w:val="004E76C7"/>
    <w:rsid w:val="004E794C"/>
    <w:rsid w:val="004E79D3"/>
    <w:rsid w:val="004E7CCD"/>
    <w:rsid w:val="004E7D35"/>
    <w:rsid w:val="004E7DA1"/>
    <w:rsid w:val="004E7DDC"/>
    <w:rsid w:val="004E7F10"/>
    <w:rsid w:val="004F0052"/>
    <w:rsid w:val="004F01DD"/>
    <w:rsid w:val="004F0288"/>
    <w:rsid w:val="004F02FD"/>
    <w:rsid w:val="004F0740"/>
    <w:rsid w:val="004F08B2"/>
    <w:rsid w:val="004F0982"/>
    <w:rsid w:val="004F0A42"/>
    <w:rsid w:val="004F0CF5"/>
    <w:rsid w:val="004F0E31"/>
    <w:rsid w:val="004F1023"/>
    <w:rsid w:val="004F1057"/>
    <w:rsid w:val="004F1119"/>
    <w:rsid w:val="004F11E8"/>
    <w:rsid w:val="004F1238"/>
    <w:rsid w:val="004F1300"/>
    <w:rsid w:val="004F1587"/>
    <w:rsid w:val="004F15A4"/>
    <w:rsid w:val="004F1CC3"/>
    <w:rsid w:val="004F1D5A"/>
    <w:rsid w:val="004F1E8B"/>
    <w:rsid w:val="004F1EC3"/>
    <w:rsid w:val="004F241C"/>
    <w:rsid w:val="004F2465"/>
    <w:rsid w:val="004F24E3"/>
    <w:rsid w:val="004F24EC"/>
    <w:rsid w:val="004F2515"/>
    <w:rsid w:val="004F2567"/>
    <w:rsid w:val="004F266B"/>
    <w:rsid w:val="004F27C3"/>
    <w:rsid w:val="004F2871"/>
    <w:rsid w:val="004F2898"/>
    <w:rsid w:val="004F2A81"/>
    <w:rsid w:val="004F2B7A"/>
    <w:rsid w:val="004F2BEC"/>
    <w:rsid w:val="004F31D5"/>
    <w:rsid w:val="004F3480"/>
    <w:rsid w:val="004F36A1"/>
    <w:rsid w:val="004F36F5"/>
    <w:rsid w:val="004F3AB4"/>
    <w:rsid w:val="004F3B29"/>
    <w:rsid w:val="004F3C1D"/>
    <w:rsid w:val="004F3C53"/>
    <w:rsid w:val="004F3E51"/>
    <w:rsid w:val="004F3E6F"/>
    <w:rsid w:val="004F3FAE"/>
    <w:rsid w:val="004F4016"/>
    <w:rsid w:val="004F413C"/>
    <w:rsid w:val="004F42B5"/>
    <w:rsid w:val="004F43D8"/>
    <w:rsid w:val="004F46EF"/>
    <w:rsid w:val="004F4A58"/>
    <w:rsid w:val="004F4B16"/>
    <w:rsid w:val="004F4E8F"/>
    <w:rsid w:val="004F504A"/>
    <w:rsid w:val="004F50AA"/>
    <w:rsid w:val="004F50B6"/>
    <w:rsid w:val="004F50F8"/>
    <w:rsid w:val="004F518D"/>
    <w:rsid w:val="004F51C1"/>
    <w:rsid w:val="004F524A"/>
    <w:rsid w:val="004F53B9"/>
    <w:rsid w:val="004F544F"/>
    <w:rsid w:val="004F55D6"/>
    <w:rsid w:val="004F5939"/>
    <w:rsid w:val="004F5B3A"/>
    <w:rsid w:val="004F5B55"/>
    <w:rsid w:val="004F5D32"/>
    <w:rsid w:val="004F609E"/>
    <w:rsid w:val="004F610F"/>
    <w:rsid w:val="004F659C"/>
    <w:rsid w:val="004F68AA"/>
    <w:rsid w:val="004F6982"/>
    <w:rsid w:val="004F6BEA"/>
    <w:rsid w:val="004F6FC3"/>
    <w:rsid w:val="004F70AA"/>
    <w:rsid w:val="004F7284"/>
    <w:rsid w:val="004F78E9"/>
    <w:rsid w:val="004F792F"/>
    <w:rsid w:val="004F7C3A"/>
    <w:rsid w:val="004F7C65"/>
    <w:rsid w:val="004F7DE5"/>
    <w:rsid w:val="004F7DF2"/>
    <w:rsid w:val="004F7E0E"/>
    <w:rsid w:val="004F7EF5"/>
    <w:rsid w:val="0050007E"/>
    <w:rsid w:val="00500199"/>
    <w:rsid w:val="0050037A"/>
    <w:rsid w:val="0050046D"/>
    <w:rsid w:val="0050047F"/>
    <w:rsid w:val="0050050D"/>
    <w:rsid w:val="005005B5"/>
    <w:rsid w:val="005008F3"/>
    <w:rsid w:val="00500C99"/>
    <w:rsid w:val="00500F9E"/>
    <w:rsid w:val="00501018"/>
    <w:rsid w:val="00501124"/>
    <w:rsid w:val="00501393"/>
    <w:rsid w:val="00501552"/>
    <w:rsid w:val="005017C2"/>
    <w:rsid w:val="005019B8"/>
    <w:rsid w:val="00501BC6"/>
    <w:rsid w:val="00501D92"/>
    <w:rsid w:val="00502172"/>
    <w:rsid w:val="00502274"/>
    <w:rsid w:val="00502376"/>
    <w:rsid w:val="00502437"/>
    <w:rsid w:val="005024BF"/>
    <w:rsid w:val="005027C1"/>
    <w:rsid w:val="005027D4"/>
    <w:rsid w:val="005028D2"/>
    <w:rsid w:val="00502929"/>
    <w:rsid w:val="005029F8"/>
    <w:rsid w:val="00502E30"/>
    <w:rsid w:val="00503068"/>
    <w:rsid w:val="00503168"/>
    <w:rsid w:val="005031B3"/>
    <w:rsid w:val="005032FE"/>
    <w:rsid w:val="005033B1"/>
    <w:rsid w:val="0050343E"/>
    <w:rsid w:val="0050364E"/>
    <w:rsid w:val="00503DE9"/>
    <w:rsid w:val="00503F69"/>
    <w:rsid w:val="0050402A"/>
    <w:rsid w:val="0050413B"/>
    <w:rsid w:val="005043FD"/>
    <w:rsid w:val="00504640"/>
    <w:rsid w:val="005046A5"/>
    <w:rsid w:val="005046D6"/>
    <w:rsid w:val="005046E7"/>
    <w:rsid w:val="0050480D"/>
    <w:rsid w:val="00504979"/>
    <w:rsid w:val="0050497C"/>
    <w:rsid w:val="00504B25"/>
    <w:rsid w:val="00504B87"/>
    <w:rsid w:val="00504C14"/>
    <w:rsid w:val="00504EC3"/>
    <w:rsid w:val="00504FA4"/>
    <w:rsid w:val="00505027"/>
    <w:rsid w:val="005055D2"/>
    <w:rsid w:val="005056EC"/>
    <w:rsid w:val="005057D0"/>
    <w:rsid w:val="00505A12"/>
    <w:rsid w:val="00505B77"/>
    <w:rsid w:val="00505C25"/>
    <w:rsid w:val="00505C2B"/>
    <w:rsid w:val="00506116"/>
    <w:rsid w:val="00506126"/>
    <w:rsid w:val="0050637D"/>
    <w:rsid w:val="00506493"/>
    <w:rsid w:val="0050655D"/>
    <w:rsid w:val="005067EE"/>
    <w:rsid w:val="005068D8"/>
    <w:rsid w:val="00506C91"/>
    <w:rsid w:val="00506FD0"/>
    <w:rsid w:val="00506FDF"/>
    <w:rsid w:val="00507036"/>
    <w:rsid w:val="00507068"/>
    <w:rsid w:val="00507108"/>
    <w:rsid w:val="005072F3"/>
    <w:rsid w:val="005073EA"/>
    <w:rsid w:val="00507417"/>
    <w:rsid w:val="0050749A"/>
    <w:rsid w:val="00507530"/>
    <w:rsid w:val="005075C7"/>
    <w:rsid w:val="0050772D"/>
    <w:rsid w:val="00507784"/>
    <w:rsid w:val="0050784E"/>
    <w:rsid w:val="00507900"/>
    <w:rsid w:val="0050796E"/>
    <w:rsid w:val="00507B0F"/>
    <w:rsid w:val="00507B80"/>
    <w:rsid w:val="00507D8F"/>
    <w:rsid w:val="00507F3C"/>
    <w:rsid w:val="005100BD"/>
    <w:rsid w:val="00510249"/>
    <w:rsid w:val="0051030F"/>
    <w:rsid w:val="005103DE"/>
    <w:rsid w:val="005108B8"/>
    <w:rsid w:val="00510905"/>
    <w:rsid w:val="005109A9"/>
    <w:rsid w:val="00510D39"/>
    <w:rsid w:val="00510ECF"/>
    <w:rsid w:val="00510EE6"/>
    <w:rsid w:val="00511132"/>
    <w:rsid w:val="00511343"/>
    <w:rsid w:val="0051134A"/>
    <w:rsid w:val="005113B5"/>
    <w:rsid w:val="005113C0"/>
    <w:rsid w:val="00511531"/>
    <w:rsid w:val="0051160B"/>
    <w:rsid w:val="00511693"/>
    <w:rsid w:val="005119CF"/>
    <w:rsid w:val="00511C7F"/>
    <w:rsid w:val="00511DD2"/>
    <w:rsid w:val="00511EB7"/>
    <w:rsid w:val="00511F4B"/>
    <w:rsid w:val="00511F99"/>
    <w:rsid w:val="00512076"/>
    <w:rsid w:val="00512182"/>
    <w:rsid w:val="00512186"/>
    <w:rsid w:val="005121D9"/>
    <w:rsid w:val="0051254B"/>
    <w:rsid w:val="0051270C"/>
    <w:rsid w:val="0051275B"/>
    <w:rsid w:val="00512865"/>
    <w:rsid w:val="00512D1A"/>
    <w:rsid w:val="00512D2B"/>
    <w:rsid w:val="00512D32"/>
    <w:rsid w:val="00512D40"/>
    <w:rsid w:val="00512D7E"/>
    <w:rsid w:val="00512E84"/>
    <w:rsid w:val="00513236"/>
    <w:rsid w:val="0051337E"/>
    <w:rsid w:val="00513399"/>
    <w:rsid w:val="0051354C"/>
    <w:rsid w:val="00513841"/>
    <w:rsid w:val="00513989"/>
    <w:rsid w:val="00513C9C"/>
    <w:rsid w:val="00513F82"/>
    <w:rsid w:val="00513FD1"/>
    <w:rsid w:val="005141FE"/>
    <w:rsid w:val="0051421B"/>
    <w:rsid w:val="005142C7"/>
    <w:rsid w:val="0051437A"/>
    <w:rsid w:val="00514559"/>
    <w:rsid w:val="0051463E"/>
    <w:rsid w:val="00514666"/>
    <w:rsid w:val="0051468B"/>
    <w:rsid w:val="005146FA"/>
    <w:rsid w:val="00514820"/>
    <w:rsid w:val="00514851"/>
    <w:rsid w:val="00514AEE"/>
    <w:rsid w:val="00514BCC"/>
    <w:rsid w:val="00514DB1"/>
    <w:rsid w:val="00514E12"/>
    <w:rsid w:val="00514ECD"/>
    <w:rsid w:val="00515127"/>
    <w:rsid w:val="0051519E"/>
    <w:rsid w:val="00515343"/>
    <w:rsid w:val="00515364"/>
    <w:rsid w:val="00515757"/>
    <w:rsid w:val="0051576D"/>
    <w:rsid w:val="00515987"/>
    <w:rsid w:val="005159C6"/>
    <w:rsid w:val="00515BD4"/>
    <w:rsid w:val="00515C01"/>
    <w:rsid w:val="00515CE0"/>
    <w:rsid w:val="00515E86"/>
    <w:rsid w:val="00515FEE"/>
    <w:rsid w:val="00515FEF"/>
    <w:rsid w:val="00516259"/>
    <w:rsid w:val="0051632F"/>
    <w:rsid w:val="005163F4"/>
    <w:rsid w:val="005164B0"/>
    <w:rsid w:val="00516692"/>
    <w:rsid w:val="005166B7"/>
    <w:rsid w:val="00516937"/>
    <w:rsid w:val="0051695E"/>
    <w:rsid w:val="00516A32"/>
    <w:rsid w:val="00516AA4"/>
    <w:rsid w:val="00516B86"/>
    <w:rsid w:val="00516FEC"/>
    <w:rsid w:val="0051706E"/>
    <w:rsid w:val="00517088"/>
    <w:rsid w:val="0051722B"/>
    <w:rsid w:val="005172F3"/>
    <w:rsid w:val="0051750D"/>
    <w:rsid w:val="00517733"/>
    <w:rsid w:val="0051795E"/>
    <w:rsid w:val="00517A96"/>
    <w:rsid w:val="00517C4B"/>
    <w:rsid w:val="00517E09"/>
    <w:rsid w:val="00517E0F"/>
    <w:rsid w:val="0052000A"/>
    <w:rsid w:val="00520210"/>
    <w:rsid w:val="005202F6"/>
    <w:rsid w:val="005206C1"/>
    <w:rsid w:val="0052091A"/>
    <w:rsid w:val="00520A19"/>
    <w:rsid w:val="00520A40"/>
    <w:rsid w:val="00520BC3"/>
    <w:rsid w:val="00520C50"/>
    <w:rsid w:val="00520E01"/>
    <w:rsid w:val="00520E9A"/>
    <w:rsid w:val="00520F66"/>
    <w:rsid w:val="00520FC5"/>
    <w:rsid w:val="00520FE5"/>
    <w:rsid w:val="005210CB"/>
    <w:rsid w:val="00521443"/>
    <w:rsid w:val="0052151C"/>
    <w:rsid w:val="00521580"/>
    <w:rsid w:val="005219C8"/>
    <w:rsid w:val="00521B73"/>
    <w:rsid w:val="00521D3A"/>
    <w:rsid w:val="00521E34"/>
    <w:rsid w:val="005220CB"/>
    <w:rsid w:val="0052217F"/>
    <w:rsid w:val="00522244"/>
    <w:rsid w:val="00522414"/>
    <w:rsid w:val="005224F7"/>
    <w:rsid w:val="00522506"/>
    <w:rsid w:val="00522621"/>
    <w:rsid w:val="005228BD"/>
    <w:rsid w:val="00522BFC"/>
    <w:rsid w:val="00522E25"/>
    <w:rsid w:val="00522E62"/>
    <w:rsid w:val="00522E81"/>
    <w:rsid w:val="00522EC4"/>
    <w:rsid w:val="00522FA3"/>
    <w:rsid w:val="005230D7"/>
    <w:rsid w:val="005231CB"/>
    <w:rsid w:val="0052324E"/>
    <w:rsid w:val="00523411"/>
    <w:rsid w:val="00523570"/>
    <w:rsid w:val="005235F3"/>
    <w:rsid w:val="00523918"/>
    <w:rsid w:val="005239B3"/>
    <w:rsid w:val="00523A83"/>
    <w:rsid w:val="00523B3E"/>
    <w:rsid w:val="00523B90"/>
    <w:rsid w:val="00523CD1"/>
    <w:rsid w:val="00523D7E"/>
    <w:rsid w:val="00523EB4"/>
    <w:rsid w:val="00523F00"/>
    <w:rsid w:val="00523F38"/>
    <w:rsid w:val="00524038"/>
    <w:rsid w:val="0052410E"/>
    <w:rsid w:val="00524120"/>
    <w:rsid w:val="0052435D"/>
    <w:rsid w:val="005245D8"/>
    <w:rsid w:val="00524784"/>
    <w:rsid w:val="00524AC6"/>
    <w:rsid w:val="00524CF8"/>
    <w:rsid w:val="00524E43"/>
    <w:rsid w:val="00524EDB"/>
    <w:rsid w:val="00525260"/>
    <w:rsid w:val="005254A8"/>
    <w:rsid w:val="00525651"/>
    <w:rsid w:val="0052565A"/>
    <w:rsid w:val="00525661"/>
    <w:rsid w:val="00525917"/>
    <w:rsid w:val="00525924"/>
    <w:rsid w:val="005259A9"/>
    <w:rsid w:val="005259C8"/>
    <w:rsid w:val="00525A29"/>
    <w:rsid w:val="00525EA7"/>
    <w:rsid w:val="00526228"/>
    <w:rsid w:val="00526402"/>
    <w:rsid w:val="00526495"/>
    <w:rsid w:val="005264E8"/>
    <w:rsid w:val="005265D8"/>
    <w:rsid w:val="00526630"/>
    <w:rsid w:val="00526702"/>
    <w:rsid w:val="00526773"/>
    <w:rsid w:val="00526869"/>
    <w:rsid w:val="00526A11"/>
    <w:rsid w:val="00526B49"/>
    <w:rsid w:val="00526B4F"/>
    <w:rsid w:val="00526B50"/>
    <w:rsid w:val="00526FFB"/>
    <w:rsid w:val="0052702F"/>
    <w:rsid w:val="00527339"/>
    <w:rsid w:val="005276FD"/>
    <w:rsid w:val="00527803"/>
    <w:rsid w:val="00527815"/>
    <w:rsid w:val="0052783C"/>
    <w:rsid w:val="0052799B"/>
    <w:rsid w:val="005279D5"/>
    <w:rsid w:val="00527C77"/>
    <w:rsid w:val="00527CEE"/>
    <w:rsid w:val="00527DCB"/>
    <w:rsid w:val="00527E09"/>
    <w:rsid w:val="00527E31"/>
    <w:rsid w:val="00527E49"/>
    <w:rsid w:val="00527E6B"/>
    <w:rsid w:val="00527EE8"/>
    <w:rsid w:val="00527EFE"/>
    <w:rsid w:val="0053031A"/>
    <w:rsid w:val="00530374"/>
    <w:rsid w:val="005304AE"/>
    <w:rsid w:val="00530503"/>
    <w:rsid w:val="00530919"/>
    <w:rsid w:val="00530CF7"/>
    <w:rsid w:val="00530D8D"/>
    <w:rsid w:val="00530DED"/>
    <w:rsid w:val="00530FA7"/>
    <w:rsid w:val="00530FAC"/>
    <w:rsid w:val="00530FB4"/>
    <w:rsid w:val="00531189"/>
    <w:rsid w:val="00531256"/>
    <w:rsid w:val="0053165F"/>
    <w:rsid w:val="00531665"/>
    <w:rsid w:val="0053178F"/>
    <w:rsid w:val="00531951"/>
    <w:rsid w:val="005319E2"/>
    <w:rsid w:val="00531B37"/>
    <w:rsid w:val="00531B99"/>
    <w:rsid w:val="00531C17"/>
    <w:rsid w:val="00531CB6"/>
    <w:rsid w:val="00531D7F"/>
    <w:rsid w:val="00531EC1"/>
    <w:rsid w:val="00531F46"/>
    <w:rsid w:val="00532040"/>
    <w:rsid w:val="00532061"/>
    <w:rsid w:val="005321A9"/>
    <w:rsid w:val="005323E1"/>
    <w:rsid w:val="00532594"/>
    <w:rsid w:val="005326AA"/>
    <w:rsid w:val="00532839"/>
    <w:rsid w:val="0053283D"/>
    <w:rsid w:val="0053294B"/>
    <w:rsid w:val="00532A28"/>
    <w:rsid w:val="00532C13"/>
    <w:rsid w:val="00532D1B"/>
    <w:rsid w:val="00532F22"/>
    <w:rsid w:val="00532F54"/>
    <w:rsid w:val="0053300D"/>
    <w:rsid w:val="005331F9"/>
    <w:rsid w:val="0053331E"/>
    <w:rsid w:val="0053345B"/>
    <w:rsid w:val="00533535"/>
    <w:rsid w:val="005337B2"/>
    <w:rsid w:val="005337F3"/>
    <w:rsid w:val="00533846"/>
    <w:rsid w:val="00533AA9"/>
    <w:rsid w:val="00533F52"/>
    <w:rsid w:val="0053418D"/>
    <w:rsid w:val="005341A5"/>
    <w:rsid w:val="005341ED"/>
    <w:rsid w:val="005343C0"/>
    <w:rsid w:val="005343EF"/>
    <w:rsid w:val="00534860"/>
    <w:rsid w:val="005348A8"/>
    <w:rsid w:val="005349B8"/>
    <w:rsid w:val="00534B82"/>
    <w:rsid w:val="00534B8D"/>
    <w:rsid w:val="00534BCD"/>
    <w:rsid w:val="00534C20"/>
    <w:rsid w:val="005350F4"/>
    <w:rsid w:val="00535117"/>
    <w:rsid w:val="00535181"/>
    <w:rsid w:val="005351D3"/>
    <w:rsid w:val="00535544"/>
    <w:rsid w:val="00535823"/>
    <w:rsid w:val="00535A3E"/>
    <w:rsid w:val="00535C76"/>
    <w:rsid w:val="00535E7E"/>
    <w:rsid w:val="00535F46"/>
    <w:rsid w:val="00536152"/>
    <w:rsid w:val="00536159"/>
    <w:rsid w:val="0053615C"/>
    <w:rsid w:val="00536272"/>
    <w:rsid w:val="00536697"/>
    <w:rsid w:val="0053670B"/>
    <w:rsid w:val="00536725"/>
    <w:rsid w:val="005367CE"/>
    <w:rsid w:val="0053684A"/>
    <w:rsid w:val="00536879"/>
    <w:rsid w:val="00536883"/>
    <w:rsid w:val="005368A0"/>
    <w:rsid w:val="005368F3"/>
    <w:rsid w:val="00536B90"/>
    <w:rsid w:val="00536E86"/>
    <w:rsid w:val="00537083"/>
    <w:rsid w:val="0053742C"/>
    <w:rsid w:val="00537489"/>
    <w:rsid w:val="005374EB"/>
    <w:rsid w:val="005375F1"/>
    <w:rsid w:val="0053765A"/>
    <w:rsid w:val="00537748"/>
    <w:rsid w:val="00537849"/>
    <w:rsid w:val="005378D7"/>
    <w:rsid w:val="00537AE1"/>
    <w:rsid w:val="00537B11"/>
    <w:rsid w:val="00537B61"/>
    <w:rsid w:val="00537DA8"/>
    <w:rsid w:val="00540346"/>
    <w:rsid w:val="0054059F"/>
    <w:rsid w:val="0054066D"/>
    <w:rsid w:val="0054079F"/>
    <w:rsid w:val="0054085C"/>
    <w:rsid w:val="005408DE"/>
    <w:rsid w:val="00540A91"/>
    <w:rsid w:val="00540DCE"/>
    <w:rsid w:val="00540E44"/>
    <w:rsid w:val="00540F38"/>
    <w:rsid w:val="00540F60"/>
    <w:rsid w:val="00541036"/>
    <w:rsid w:val="00541116"/>
    <w:rsid w:val="005412DF"/>
    <w:rsid w:val="005413A9"/>
    <w:rsid w:val="0054142D"/>
    <w:rsid w:val="00541820"/>
    <w:rsid w:val="00541AEF"/>
    <w:rsid w:val="00541BD4"/>
    <w:rsid w:val="00541BFA"/>
    <w:rsid w:val="00541C98"/>
    <w:rsid w:val="00541CC4"/>
    <w:rsid w:val="00541DB5"/>
    <w:rsid w:val="00541EDD"/>
    <w:rsid w:val="00541EEE"/>
    <w:rsid w:val="00541FDC"/>
    <w:rsid w:val="00541FDD"/>
    <w:rsid w:val="00542351"/>
    <w:rsid w:val="005423F0"/>
    <w:rsid w:val="0054249B"/>
    <w:rsid w:val="005425D6"/>
    <w:rsid w:val="005426A3"/>
    <w:rsid w:val="00542832"/>
    <w:rsid w:val="005428F2"/>
    <w:rsid w:val="00542967"/>
    <w:rsid w:val="005429F6"/>
    <w:rsid w:val="00542D10"/>
    <w:rsid w:val="00543060"/>
    <w:rsid w:val="005430D5"/>
    <w:rsid w:val="0054323E"/>
    <w:rsid w:val="00543360"/>
    <w:rsid w:val="00543544"/>
    <w:rsid w:val="0054357E"/>
    <w:rsid w:val="00543606"/>
    <w:rsid w:val="005436E4"/>
    <w:rsid w:val="00543736"/>
    <w:rsid w:val="00543749"/>
    <w:rsid w:val="00543750"/>
    <w:rsid w:val="005439C3"/>
    <w:rsid w:val="005439E6"/>
    <w:rsid w:val="00543C0C"/>
    <w:rsid w:val="00543D0E"/>
    <w:rsid w:val="00543D23"/>
    <w:rsid w:val="00543E3E"/>
    <w:rsid w:val="00543EC2"/>
    <w:rsid w:val="00543EE8"/>
    <w:rsid w:val="00543F94"/>
    <w:rsid w:val="005441AB"/>
    <w:rsid w:val="0054432C"/>
    <w:rsid w:val="005444AF"/>
    <w:rsid w:val="00544952"/>
    <w:rsid w:val="005449FC"/>
    <w:rsid w:val="00544AB2"/>
    <w:rsid w:val="00544B89"/>
    <w:rsid w:val="00544BBC"/>
    <w:rsid w:val="00544E89"/>
    <w:rsid w:val="00544FE5"/>
    <w:rsid w:val="0054544F"/>
    <w:rsid w:val="00545554"/>
    <w:rsid w:val="00545607"/>
    <w:rsid w:val="0054578E"/>
    <w:rsid w:val="00545853"/>
    <w:rsid w:val="00545A13"/>
    <w:rsid w:val="00545A62"/>
    <w:rsid w:val="00545AD3"/>
    <w:rsid w:val="00545B67"/>
    <w:rsid w:val="00545E3F"/>
    <w:rsid w:val="00545EDA"/>
    <w:rsid w:val="00545FAB"/>
    <w:rsid w:val="00545FD2"/>
    <w:rsid w:val="00546121"/>
    <w:rsid w:val="00546181"/>
    <w:rsid w:val="005465B0"/>
    <w:rsid w:val="00546AC9"/>
    <w:rsid w:val="00546B7F"/>
    <w:rsid w:val="00546E05"/>
    <w:rsid w:val="00546E86"/>
    <w:rsid w:val="00546F30"/>
    <w:rsid w:val="00546F91"/>
    <w:rsid w:val="00546FC3"/>
    <w:rsid w:val="0054714C"/>
    <w:rsid w:val="0054715A"/>
    <w:rsid w:val="005471E9"/>
    <w:rsid w:val="00547206"/>
    <w:rsid w:val="0054729E"/>
    <w:rsid w:val="0054735F"/>
    <w:rsid w:val="0054762F"/>
    <w:rsid w:val="00547688"/>
    <w:rsid w:val="00547707"/>
    <w:rsid w:val="005477B0"/>
    <w:rsid w:val="00547A48"/>
    <w:rsid w:val="00547A4C"/>
    <w:rsid w:val="00547AF9"/>
    <w:rsid w:val="00547CC2"/>
    <w:rsid w:val="00547DAA"/>
    <w:rsid w:val="00547DDD"/>
    <w:rsid w:val="005500F9"/>
    <w:rsid w:val="005502C0"/>
    <w:rsid w:val="005508D7"/>
    <w:rsid w:val="00550A36"/>
    <w:rsid w:val="00550BCA"/>
    <w:rsid w:val="00550BFA"/>
    <w:rsid w:val="00550ED4"/>
    <w:rsid w:val="00550FEC"/>
    <w:rsid w:val="00551070"/>
    <w:rsid w:val="0055119D"/>
    <w:rsid w:val="00551357"/>
    <w:rsid w:val="005513A8"/>
    <w:rsid w:val="005513CE"/>
    <w:rsid w:val="00551401"/>
    <w:rsid w:val="0055147B"/>
    <w:rsid w:val="0055163C"/>
    <w:rsid w:val="0055185B"/>
    <w:rsid w:val="00551A3E"/>
    <w:rsid w:val="00551D05"/>
    <w:rsid w:val="00551DF7"/>
    <w:rsid w:val="00551E19"/>
    <w:rsid w:val="00551EEE"/>
    <w:rsid w:val="005521DE"/>
    <w:rsid w:val="0055237E"/>
    <w:rsid w:val="0055238D"/>
    <w:rsid w:val="00552596"/>
    <w:rsid w:val="005527CC"/>
    <w:rsid w:val="005528B6"/>
    <w:rsid w:val="00552999"/>
    <w:rsid w:val="00552A1E"/>
    <w:rsid w:val="00552A9F"/>
    <w:rsid w:val="00552D96"/>
    <w:rsid w:val="00552DD2"/>
    <w:rsid w:val="00552EDB"/>
    <w:rsid w:val="00552EDC"/>
    <w:rsid w:val="00553096"/>
    <w:rsid w:val="005533CB"/>
    <w:rsid w:val="00553581"/>
    <w:rsid w:val="005537A3"/>
    <w:rsid w:val="005538ED"/>
    <w:rsid w:val="00553A46"/>
    <w:rsid w:val="00553AE2"/>
    <w:rsid w:val="00553BFB"/>
    <w:rsid w:val="00553CBC"/>
    <w:rsid w:val="00553F24"/>
    <w:rsid w:val="005541C9"/>
    <w:rsid w:val="00554483"/>
    <w:rsid w:val="005544D3"/>
    <w:rsid w:val="0055459E"/>
    <w:rsid w:val="00554668"/>
    <w:rsid w:val="005549E0"/>
    <w:rsid w:val="00554B67"/>
    <w:rsid w:val="00554C42"/>
    <w:rsid w:val="00554EBD"/>
    <w:rsid w:val="00554EE2"/>
    <w:rsid w:val="00554F1A"/>
    <w:rsid w:val="00555017"/>
    <w:rsid w:val="005553E3"/>
    <w:rsid w:val="0055588E"/>
    <w:rsid w:val="005558C4"/>
    <w:rsid w:val="005558F2"/>
    <w:rsid w:val="00555AE5"/>
    <w:rsid w:val="00555C69"/>
    <w:rsid w:val="00555CAD"/>
    <w:rsid w:val="00556097"/>
    <w:rsid w:val="00556274"/>
    <w:rsid w:val="00556302"/>
    <w:rsid w:val="0055631E"/>
    <w:rsid w:val="0055640E"/>
    <w:rsid w:val="0055642E"/>
    <w:rsid w:val="0055643D"/>
    <w:rsid w:val="00556443"/>
    <w:rsid w:val="0055646C"/>
    <w:rsid w:val="00556591"/>
    <w:rsid w:val="005565CE"/>
    <w:rsid w:val="00556849"/>
    <w:rsid w:val="00556906"/>
    <w:rsid w:val="005569AE"/>
    <w:rsid w:val="00556D23"/>
    <w:rsid w:val="00556D32"/>
    <w:rsid w:val="00556E44"/>
    <w:rsid w:val="00556F0D"/>
    <w:rsid w:val="00556FC1"/>
    <w:rsid w:val="00557128"/>
    <w:rsid w:val="0055717C"/>
    <w:rsid w:val="0055719C"/>
    <w:rsid w:val="0055723A"/>
    <w:rsid w:val="00557256"/>
    <w:rsid w:val="00557564"/>
    <w:rsid w:val="005576EB"/>
    <w:rsid w:val="00557811"/>
    <w:rsid w:val="00557BBA"/>
    <w:rsid w:val="00557CE8"/>
    <w:rsid w:val="00557CFB"/>
    <w:rsid w:val="00557D7E"/>
    <w:rsid w:val="00557E9D"/>
    <w:rsid w:val="00557EDF"/>
    <w:rsid w:val="00557F47"/>
    <w:rsid w:val="005600CC"/>
    <w:rsid w:val="00560159"/>
    <w:rsid w:val="0056015C"/>
    <w:rsid w:val="005602B1"/>
    <w:rsid w:val="00560387"/>
    <w:rsid w:val="00560695"/>
    <w:rsid w:val="005609AB"/>
    <w:rsid w:val="00560C20"/>
    <w:rsid w:val="00560C5F"/>
    <w:rsid w:val="00560CBE"/>
    <w:rsid w:val="00560CE9"/>
    <w:rsid w:val="00560D46"/>
    <w:rsid w:val="00560E96"/>
    <w:rsid w:val="00560EBB"/>
    <w:rsid w:val="00561063"/>
    <w:rsid w:val="0056139A"/>
    <w:rsid w:val="0056145F"/>
    <w:rsid w:val="005614FF"/>
    <w:rsid w:val="0056169F"/>
    <w:rsid w:val="00561752"/>
    <w:rsid w:val="00561879"/>
    <w:rsid w:val="00561BAA"/>
    <w:rsid w:val="00561C61"/>
    <w:rsid w:val="00561E82"/>
    <w:rsid w:val="00561E84"/>
    <w:rsid w:val="00561EE4"/>
    <w:rsid w:val="0056230D"/>
    <w:rsid w:val="005625F1"/>
    <w:rsid w:val="0056277D"/>
    <w:rsid w:val="005628EE"/>
    <w:rsid w:val="00562963"/>
    <w:rsid w:val="00562A34"/>
    <w:rsid w:val="00562AF3"/>
    <w:rsid w:val="00562BBA"/>
    <w:rsid w:val="00563043"/>
    <w:rsid w:val="005630A5"/>
    <w:rsid w:val="005631C1"/>
    <w:rsid w:val="005632EA"/>
    <w:rsid w:val="0056335E"/>
    <w:rsid w:val="0056349A"/>
    <w:rsid w:val="0056350C"/>
    <w:rsid w:val="00563578"/>
    <w:rsid w:val="00563589"/>
    <w:rsid w:val="0056399B"/>
    <w:rsid w:val="00563C2B"/>
    <w:rsid w:val="005640C6"/>
    <w:rsid w:val="0056435E"/>
    <w:rsid w:val="0056477A"/>
    <w:rsid w:val="00564942"/>
    <w:rsid w:val="00564B4A"/>
    <w:rsid w:val="00564BE8"/>
    <w:rsid w:val="00564C4A"/>
    <w:rsid w:val="00564C4B"/>
    <w:rsid w:val="00564CE5"/>
    <w:rsid w:val="00564F9B"/>
    <w:rsid w:val="00565186"/>
    <w:rsid w:val="0056526F"/>
    <w:rsid w:val="00565695"/>
    <w:rsid w:val="0056573A"/>
    <w:rsid w:val="0056574F"/>
    <w:rsid w:val="005658DD"/>
    <w:rsid w:val="00565997"/>
    <w:rsid w:val="00565A0B"/>
    <w:rsid w:val="00565B7C"/>
    <w:rsid w:val="00565E5B"/>
    <w:rsid w:val="00565ECD"/>
    <w:rsid w:val="00566377"/>
    <w:rsid w:val="005663C7"/>
    <w:rsid w:val="005663D2"/>
    <w:rsid w:val="00566431"/>
    <w:rsid w:val="0056666D"/>
    <w:rsid w:val="00566A57"/>
    <w:rsid w:val="00566B99"/>
    <w:rsid w:val="00566BD9"/>
    <w:rsid w:val="00566C7B"/>
    <w:rsid w:val="00566CBE"/>
    <w:rsid w:val="00566D20"/>
    <w:rsid w:val="00566DEF"/>
    <w:rsid w:val="00566DF6"/>
    <w:rsid w:val="00566E70"/>
    <w:rsid w:val="00566F77"/>
    <w:rsid w:val="005670B8"/>
    <w:rsid w:val="005671FA"/>
    <w:rsid w:val="0056736E"/>
    <w:rsid w:val="00567462"/>
    <w:rsid w:val="00567502"/>
    <w:rsid w:val="00567548"/>
    <w:rsid w:val="00567AE1"/>
    <w:rsid w:val="00567AE5"/>
    <w:rsid w:val="00567C79"/>
    <w:rsid w:val="00567CD2"/>
    <w:rsid w:val="00567EA8"/>
    <w:rsid w:val="00567EC2"/>
    <w:rsid w:val="00570170"/>
    <w:rsid w:val="005702AB"/>
    <w:rsid w:val="005704E2"/>
    <w:rsid w:val="005706EF"/>
    <w:rsid w:val="0057070E"/>
    <w:rsid w:val="00570738"/>
    <w:rsid w:val="005707C4"/>
    <w:rsid w:val="00570809"/>
    <w:rsid w:val="005709DF"/>
    <w:rsid w:val="00570A9E"/>
    <w:rsid w:val="00570B09"/>
    <w:rsid w:val="00570BBD"/>
    <w:rsid w:val="00570DD0"/>
    <w:rsid w:val="00571059"/>
    <w:rsid w:val="00571304"/>
    <w:rsid w:val="00571360"/>
    <w:rsid w:val="0057150E"/>
    <w:rsid w:val="00571519"/>
    <w:rsid w:val="005717A1"/>
    <w:rsid w:val="005717B9"/>
    <w:rsid w:val="00571866"/>
    <w:rsid w:val="00571952"/>
    <w:rsid w:val="005719AA"/>
    <w:rsid w:val="00571B7F"/>
    <w:rsid w:val="00571BA1"/>
    <w:rsid w:val="00571C1B"/>
    <w:rsid w:val="00571EA7"/>
    <w:rsid w:val="00571EAF"/>
    <w:rsid w:val="0057219B"/>
    <w:rsid w:val="0057229C"/>
    <w:rsid w:val="005724B7"/>
    <w:rsid w:val="0057258F"/>
    <w:rsid w:val="005727FB"/>
    <w:rsid w:val="00572847"/>
    <w:rsid w:val="005728E2"/>
    <w:rsid w:val="0057297F"/>
    <w:rsid w:val="005729A6"/>
    <w:rsid w:val="005729D8"/>
    <w:rsid w:val="00572C3F"/>
    <w:rsid w:val="00572EA2"/>
    <w:rsid w:val="00572EDE"/>
    <w:rsid w:val="00572F14"/>
    <w:rsid w:val="00572F84"/>
    <w:rsid w:val="005730FA"/>
    <w:rsid w:val="0057327E"/>
    <w:rsid w:val="005732B6"/>
    <w:rsid w:val="0057360E"/>
    <w:rsid w:val="005736E7"/>
    <w:rsid w:val="00573714"/>
    <w:rsid w:val="00573799"/>
    <w:rsid w:val="00573916"/>
    <w:rsid w:val="0057396C"/>
    <w:rsid w:val="005739B2"/>
    <w:rsid w:val="00573A08"/>
    <w:rsid w:val="00573ABB"/>
    <w:rsid w:val="00573C86"/>
    <w:rsid w:val="00573CDA"/>
    <w:rsid w:val="00573CF7"/>
    <w:rsid w:val="00573DF9"/>
    <w:rsid w:val="00573EA3"/>
    <w:rsid w:val="00573FED"/>
    <w:rsid w:val="0057433B"/>
    <w:rsid w:val="0057437A"/>
    <w:rsid w:val="0057473F"/>
    <w:rsid w:val="00574902"/>
    <w:rsid w:val="0057498A"/>
    <w:rsid w:val="00574A26"/>
    <w:rsid w:val="00574A35"/>
    <w:rsid w:val="00574AC7"/>
    <w:rsid w:val="00574C67"/>
    <w:rsid w:val="00574CD9"/>
    <w:rsid w:val="00574D7D"/>
    <w:rsid w:val="00574E79"/>
    <w:rsid w:val="00574F25"/>
    <w:rsid w:val="00574F26"/>
    <w:rsid w:val="00574F9D"/>
    <w:rsid w:val="005751F5"/>
    <w:rsid w:val="005753E8"/>
    <w:rsid w:val="00575461"/>
    <w:rsid w:val="005754C1"/>
    <w:rsid w:val="00575A73"/>
    <w:rsid w:val="00575BB3"/>
    <w:rsid w:val="00575D0A"/>
    <w:rsid w:val="00575D15"/>
    <w:rsid w:val="00575E36"/>
    <w:rsid w:val="00575E9C"/>
    <w:rsid w:val="00576025"/>
    <w:rsid w:val="0057606F"/>
    <w:rsid w:val="005760FB"/>
    <w:rsid w:val="00576108"/>
    <w:rsid w:val="0057614A"/>
    <w:rsid w:val="00576466"/>
    <w:rsid w:val="0057682C"/>
    <w:rsid w:val="00576A2C"/>
    <w:rsid w:val="00576B4D"/>
    <w:rsid w:val="00576C40"/>
    <w:rsid w:val="00576D51"/>
    <w:rsid w:val="00576F03"/>
    <w:rsid w:val="00577022"/>
    <w:rsid w:val="00577234"/>
    <w:rsid w:val="00577524"/>
    <w:rsid w:val="0057757C"/>
    <w:rsid w:val="0057767E"/>
    <w:rsid w:val="00577829"/>
    <w:rsid w:val="00577871"/>
    <w:rsid w:val="00577AAC"/>
    <w:rsid w:val="00577B43"/>
    <w:rsid w:val="00577C53"/>
    <w:rsid w:val="00577CCD"/>
    <w:rsid w:val="00577D1F"/>
    <w:rsid w:val="00577E25"/>
    <w:rsid w:val="00580187"/>
    <w:rsid w:val="00580214"/>
    <w:rsid w:val="005802C6"/>
    <w:rsid w:val="0058034D"/>
    <w:rsid w:val="005803AE"/>
    <w:rsid w:val="00580460"/>
    <w:rsid w:val="005807E1"/>
    <w:rsid w:val="0058089F"/>
    <w:rsid w:val="00580942"/>
    <w:rsid w:val="005809D4"/>
    <w:rsid w:val="00580FBC"/>
    <w:rsid w:val="005811C6"/>
    <w:rsid w:val="005812DA"/>
    <w:rsid w:val="0058151E"/>
    <w:rsid w:val="00581629"/>
    <w:rsid w:val="0058175B"/>
    <w:rsid w:val="0058176E"/>
    <w:rsid w:val="005818A9"/>
    <w:rsid w:val="00581DBA"/>
    <w:rsid w:val="00581F30"/>
    <w:rsid w:val="00582077"/>
    <w:rsid w:val="00582517"/>
    <w:rsid w:val="0058259A"/>
    <w:rsid w:val="00582751"/>
    <w:rsid w:val="00582A20"/>
    <w:rsid w:val="00582DF2"/>
    <w:rsid w:val="0058303B"/>
    <w:rsid w:val="005830B3"/>
    <w:rsid w:val="005830BA"/>
    <w:rsid w:val="00583141"/>
    <w:rsid w:val="00583226"/>
    <w:rsid w:val="005838DC"/>
    <w:rsid w:val="005838DD"/>
    <w:rsid w:val="00583A5A"/>
    <w:rsid w:val="00583A91"/>
    <w:rsid w:val="00583CD5"/>
    <w:rsid w:val="00583CDF"/>
    <w:rsid w:val="00583E1D"/>
    <w:rsid w:val="00583F99"/>
    <w:rsid w:val="00584033"/>
    <w:rsid w:val="0058420F"/>
    <w:rsid w:val="00584250"/>
    <w:rsid w:val="005842E7"/>
    <w:rsid w:val="00584413"/>
    <w:rsid w:val="0058444A"/>
    <w:rsid w:val="005845A1"/>
    <w:rsid w:val="0058470D"/>
    <w:rsid w:val="0058471F"/>
    <w:rsid w:val="00584BFC"/>
    <w:rsid w:val="00584F80"/>
    <w:rsid w:val="005850B7"/>
    <w:rsid w:val="005850C1"/>
    <w:rsid w:val="005852CE"/>
    <w:rsid w:val="00585426"/>
    <w:rsid w:val="005854F1"/>
    <w:rsid w:val="00585501"/>
    <w:rsid w:val="005855E1"/>
    <w:rsid w:val="0058589D"/>
    <w:rsid w:val="00585CAC"/>
    <w:rsid w:val="00585D1B"/>
    <w:rsid w:val="00585DA7"/>
    <w:rsid w:val="00585F21"/>
    <w:rsid w:val="0058604B"/>
    <w:rsid w:val="00586122"/>
    <w:rsid w:val="005862B1"/>
    <w:rsid w:val="00586365"/>
    <w:rsid w:val="0058685E"/>
    <w:rsid w:val="0058686C"/>
    <w:rsid w:val="005868DD"/>
    <w:rsid w:val="005869AB"/>
    <w:rsid w:val="00586A30"/>
    <w:rsid w:val="00586A5A"/>
    <w:rsid w:val="00586AB0"/>
    <w:rsid w:val="00586B6F"/>
    <w:rsid w:val="00586D7C"/>
    <w:rsid w:val="00586F76"/>
    <w:rsid w:val="00587234"/>
    <w:rsid w:val="00587262"/>
    <w:rsid w:val="00587598"/>
    <w:rsid w:val="005876C1"/>
    <w:rsid w:val="005877CF"/>
    <w:rsid w:val="00587884"/>
    <w:rsid w:val="005878D6"/>
    <w:rsid w:val="0058796C"/>
    <w:rsid w:val="00587AA1"/>
    <w:rsid w:val="00587B62"/>
    <w:rsid w:val="00587ED4"/>
    <w:rsid w:val="0059008D"/>
    <w:rsid w:val="0059025A"/>
    <w:rsid w:val="0059044D"/>
    <w:rsid w:val="00590548"/>
    <w:rsid w:val="0059069C"/>
    <w:rsid w:val="00590790"/>
    <w:rsid w:val="005908D9"/>
    <w:rsid w:val="00590939"/>
    <w:rsid w:val="005909DA"/>
    <w:rsid w:val="00590A2C"/>
    <w:rsid w:val="00590AC3"/>
    <w:rsid w:val="00590B44"/>
    <w:rsid w:val="00590E4C"/>
    <w:rsid w:val="00590E50"/>
    <w:rsid w:val="00590ED6"/>
    <w:rsid w:val="00590ED9"/>
    <w:rsid w:val="00590F1B"/>
    <w:rsid w:val="005911C0"/>
    <w:rsid w:val="00591389"/>
    <w:rsid w:val="00591423"/>
    <w:rsid w:val="00591FC1"/>
    <w:rsid w:val="00592056"/>
    <w:rsid w:val="00592193"/>
    <w:rsid w:val="0059221D"/>
    <w:rsid w:val="00592234"/>
    <w:rsid w:val="00592348"/>
    <w:rsid w:val="005923FD"/>
    <w:rsid w:val="00592473"/>
    <w:rsid w:val="005924A5"/>
    <w:rsid w:val="0059279E"/>
    <w:rsid w:val="00592964"/>
    <w:rsid w:val="00592AA1"/>
    <w:rsid w:val="00592AA8"/>
    <w:rsid w:val="00592BF6"/>
    <w:rsid w:val="005931CF"/>
    <w:rsid w:val="005932DD"/>
    <w:rsid w:val="005935D2"/>
    <w:rsid w:val="00593690"/>
    <w:rsid w:val="00593946"/>
    <w:rsid w:val="00593982"/>
    <w:rsid w:val="00593A60"/>
    <w:rsid w:val="00593B06"/>
    <w:rsid w:val="00593ED3"/>
    <w:rsid w:val="005940FD"/>
    <w:rsid w:val="005942FE"/>
    <w:rsid w:val="005945E4"/>
    <w:rsid w:val="00594799"/>
    <w:rsid w:val="00594820"/>
    <w:rsid w:val="00594853"/>
    <w:rsid w:val="0059489A"/>
    <w:rsid w:val="005948BF"/>
    <w:rsid w:val="00594B7E"/>
    <w:rsid w:val="00594D0C"/>
    <w:rsid w:val="00594DE6"/>
    <w:rsid w:val="00595019"/>
    <w:rsid w:val="0059508C"/>
    <w:rsid w:val="005950D0"/>
    <w:rsid w:val="0059533D"/>
    <w:rsid w:val="00595676"/>
    <w:rsid w:val="00595678"/>
    <w:rsid w:val="0059578F"/>
    <w:rsid w:val="00595877"/>
    <w:rsid w:val="005958B1"/>
    <w:rsid w:val="00595A57"/>
    <w:rsid w:val="00595C0D"/>
    <w:rsid w:val="00596089"/>
    <w:rsid w:val="00596101"/>
    <w:rsid w:val="0059619D"/>
    <w:rsid w:val="00596453"/>
    <w:rsid w:val="0059648E"/>
    <w:rsid w:val="00596573"/>
    <w:rsid w:val="00596600"/>
    <w:rsid w:val="00596616"/>
    <w:rsid w:val="0059663C"/>
    <w:rsid w:val="005966D9"/>
    <w:rsid w:val="00596714"/>
    <w:rsid w:val="0059687B"/>
    <w:rsid w:val="005968A7"/>
    <w:rsid w:val="005969AB"/>
    <w:rsid w:val="00596A8A"/>
    <w:rsid w:val="00596B3D"/>
    <w:rsid w:val="00596C97"/>
    <w:rsid w:val="005970C4"/>
    <w:rsid w:val="00597195"/>
    <w:rsid w:val="00597325"/>
    <w:rsid w:val="005974B6"/>
    <w:rsid w:val="005974C9"/>
    <w:rsid w:val="005975E5"/>
    <w:rsid w:val="0059774C"/>
    <w:rsid w:val="005978BD"/>
    <w:rsid w:val="00597C41"/>
    <w:rsid w:val="00597EAD"/>
    <w:rsid w:val="00597F4F"/>
    <w:rsid w:val="005A01ED"/>
    <w:rsid w:val="005A0366"/>
    <w:rsid w:val="005A0516"/>
    <w:rsid w:val="005A0656"/>
    <w:rsid w:val="005A0728"/>
    <w:rsid w:val="005A07C5"/>
    <w:rsid w:val="005A0802"/>
    <w:rsid w:val="005A0898"/>
    <w:rsid w:val="005A08CE"/>
    <w:rsid w:val="005A0B48"/>
    <w:rsid w:val="005A0EB3"/>
    <w:rsid w:val="005A0ECA"/>
    <w:rsid w:val="005A101D"/>
    <w:rsid w:val="005A10B9"/>
    <w:rsid w:val="005A1141"/>
    <w:rsid w:val="005A11C9"/>
    <w:rsid w:val="005A126A"/>
    <w:rsid w:val="005A1637"/>
    <w:rsid w:val="005A19A4"/>
    <w:rsid w:val="005A1A36"/>
    <w:rsid w:val="005A1C79"/>
    <w:rsid w:val="005A1F00"/>
    <w:rsid w:val="005A1FA6"/>
    <w:rsid w:val="005A1FF6"/>
    <w:rsid w:val="005A2035"/>
    <w:rsid w:val="005A20BE"/>
    <w:rsid w:val="005A2170"/>
    <w:rsid w:val="005A21AB"/>
    <w:rsid w:val="005A2226"/>
    <w:rsid w:val="005A23E9"/>
    <w:rsid w:val="005A248E"/>
    <w:rsid w:val="005A252E"/>
    <w:rsid w:val="005A26EA"/>
    <w:rsid w:val="005A27FA"/>
    <w:rsid w:val="005A282E"/>
    <w:rsid w:val="005A28FE"/>
    <w:rsid w:val="005A2A34"/>
    <w:rsid w:val="005A2B7B"/>
    <w:rsid w:val="005A2D98"/>
    <w:rsid w:val="005A303B"/>
    <w:rsid w:val="005A306B"/>
    <w:rsid w:val="005A3372"/>
    <w:rsid w:val="005A33FC"/>
    <w:rsid w:val="005A349A"/>
    <w:rsid w:val="005A36B9"/>
    <w:rsid w:val="005A378D"/>
    <w:rsid w:val="005A395C"/>
    <w:rsid w:val="005A39EA"/>
    <w:rsid w:val="005A3BF8"/>
    <w:rsid w:val="005A3CDF"/>
    <w:rsid w:val="005A3DD8"/>
    <w:rsid w:val="005A3F15"/>
    <w:rsid w:val="005A3FDB"/>
    <w:rsid w:val="005A44C5"/>
    <w:rsid w:val="005A4753"/>
    <w:rsid w:val="005A4792"/>
    <w:rsid w:val="005A47C6"/>
    <w:rsid w:val="005A47FC"/>
    <w:rsid w:val="005A493B"/>
    <w:rsid w:val="005A4975"/>
    <w:rsid w:val="005A4978"/>
    <w:rsid w:val="005A4A15"/>
    <w:rsid w:val="005A4A85"/>
    <w:rsid w:val="005A4A8E"/>
    <w:rsid w:val="005A4B4B"/>
    <w:rsid w:val="005A4D73"/>
    <w:rsid w:val="005A4DE6"/>
    <w:rsid w:val="005A4DFE"/>
    <w:rsid w:val="005A4E76"/>
    <w:rsid w:val="005A51E7"/>
    <w:rsid w:val="005A5327"/>
    <w:rsid w:val="005A53A8"/>
    <w:rsid w:val="005A53C1"/>
    <w:rsid w:val="005A541A"/>
    <w:rsid w:val="005A543D"/>
    <w:rsid w:val="005A5498"/>
    <w:rsid w:val="005A54D4"/>
    <w:rsid w:val="005A569D"/>
    <w:rsid w:val="005A56C2"/>
    <w:rsid w:val="005A5879"/>
    <w:rsid w:val="005A58D1"/>
    <w:rsid w:val="005A58E4"/>
    <w:rsid w:val="005A5963"/>
    <w:rsid w:val="005A5968"/>
    <w:rsid w:val="005A5A49"/>
    <w:rsid w:val="005A5ABD"/>
    <w:rsid w:val="005A5B20"/>
    <w:rsid w:val="005A5DFD"/>
    <w:rsid w:val="005A5F48"/>
    <w:rsid w:val="005A6237"/>
    <w:rsid w:val="005A64D8"/>
    <w:rsid w:val="005A6507"/>
    <w:rsid w:val="005A6826"/>
    <w:rsid w:val="005A6A2B"/>
    <w:rsid w:val="005A6ABF"/>
    <w:rsid w:val="005A6C24"/>
    <w:rsid w:val="005A6D1D"/>
    <w:rsid w:val="005A6E0C"/>
    <w:rsid w:val="005A6F0F"/>
    <w:rsid w:val="005A6FD0"/>
    <w:rsid w:val="005A6FFF"/>
    <w:rsid w:val="005A70F6"/>
    <w:rsid w:val="005A72B7"/>
    <w:rsid w:val="005A7592"/>
    <w:rsid w:val="005A78E2"/>
    <w:rsid w:val="005A7975"/>
    <w:rsid w:val="005A7BB9"/>
    <w:rsid w:val="005A7F62"/>
    <w:rsid w:val="005A7FF0"/>
    <w:rsid w:val="005B0128"/>
    <w:rsid w:val="005B0256"/>
    <w:rsid w:val="005B02E4"/>
    <w:rsid w:val="005B035A"/>
    <w:rsid w:val="005B0448"/>
    <w:rsid w:val="005B04C9"/>
    <w:rsid w:val="005B0633"/>
    <w:rsid w:val="005B09E7"/>
    <w:rsid w:val="005B0ACA"/>
    <w:rsid w:val="005B0C79"/>
    <w:rsid w:val="005B0D9C"/>
    <w:rsid w:val="005B0FB0"/>
    <w:rsid w:val="005B1140"/>
    <w:rsid w:val="005B116E"/>
    <w:rsid w:val="005B138D"/>
    <w:rsid w:val="005B138E"/>
    <w:rsid w:val="005B13A0"/>
    <w:rsid w:val="005B1591"/>
    <w:rsid w:val="005B1611"/>
    <w:rsid w:val="005B1A77"/>
    <w:rsid w:val="005B1AAC"/>
    <w:rsid w:val="005B1EB5"/>
    <w:rsid w:val="005B1FA3"/>
    <w:rsid w:val="005B204B"/>
    <w:rsid w:val="005B2175"/>
    <w:rsid w:val="005B21AA"/>
    <w:rsid w:val="005B27F1"/>
    <w:rsid w:val="005B28D5"/>
    <w:rsid w:val="005B2951"/>
    <w:rsid w:val="005B29C2"/>
    <w:rsid w:val="005B29CE"/>
    <w:rsid w:val="005B2AA6"/>
    <w:rsid w:val="005B2C0A"/>
    <w:rsid w:val="005B2C0E"/>
    <w:rsid w:val="005B2CD5"/>
    <w:rsid w:val="005B2D80"/>
    <w:rsid w:val="005B2EE9"/>
    <w:rsid w:val="005B3071"/>
    <w:rsid w:val="005B3118"/>
    <w:rsid w:val="005B3121"/>
    <w:rsid w:val="005B3175"/>
    <w:rsid w:val="005B33B3"/>
    <w:rsid w:val="005B3461"/>
    <w:rsid w:val="005B356A"/>
    <w:rsid w:val="005B36CC"/>
    <w:rsid w:val="005B38E8"/>
    <w:rsid w:val="005B3A92"/>
    <w:rsid w:val="005B3C49"/>
    <w:rsid w:val="005B3D3C"/>
    <w:rsid w:val="005B3DDB"/>
    <w:rsid w:val="005B3EE2"/>
    <w:rsid w:val="005B4137"/>
    <w:rsid w:val="005B4308"/>
    <w:rsid w:val="005B4490"/>
    <w:rsid w:val="005B4645"/>
    <w:rsid w:val="005B46CD"/>
    <w:rsid w:val="005B487F"/>
    <w:rsid w:val="005B4BF1"/>
    <w:rsid w:val="005B500D"/>
    <w:rsid w:val="005B507E"/>
    <w:rsid w:val="005B56CF"/>
    <w:rsid w:val="005B5797"/>
    <w:rsid w:val="005B5897"/>
    <w:rsid w:val="005B592D"/>
    <w:rsid w:val="005B5EC3"/>
    <w:rsid w:val="005B6286"/>
    <w:rsid w:val="005B6291"/>
    <w:rsid w:val="005B6448"/>
    <w:rsid w:val="005B64FD"/>
    <w:rsid w:val="005B67DF"/>
    <w:rsid w:val="005B68E9"/>
    <w:rsid w:val="005B69C0"/>
    <w:rsid w:val="005B6D0D"/>
    <w:rsid w:val="005B6D9D"/>
    <w:rsid w:val="005B6E12"/>
    <w:rsid w:val="005B7032"/>
    <w:rsid w:val="005B718E"/>
    <w:rsid w:val="005B723D"/>
    <w:rsid w:val="005B7366"/>
    <w:rsid w:val="005B73FF"/>
    <w:rsid w:val="005B7447"/>
    <w:rsid w:val="005B7576"/>
    <w:rsid w:val="005B7802"/>
    <w:rsid w:val="005B7966"/>
    <w:rsid w:val="005B79C2"/>
    <w:rsid w:val="005B7DE5"/>
    <w:rsid w:val="005B7E82"/>
    <w:rsid w:val="005B7E88"/>
    <w:rsid w:val="005C03AC"/>
    <w:rsid w:val="005C062B"/>
    <w:rsid w:val="005C0794"/>
    <w:rsid w:val="005C0801"/>
    <w:rsid w:val="005C0864"/>
    <w:rsid w:val="005C0B0E"/>
    <w:rsid w:val="005C0B8D"/>
    <w:rsid w:val="005C0BD2"/>
    <w:rsid w:val="005C0C38"/>
    <w:rsid w:val="005C0C52"/>
    <w:rsid w:val="005C0E47"/>
    <w:rsid w:val="005C0F27"/>
    <w:rsid w:val="005C12DE"/>
    <w:rsid w:val="005C136D"/>
    <w:rsid w:val="005C15FC"/>
    <w:rsid w:val="005C16DD"/>
    <w:rsid w:val="005C17EE"/>
    <w:rsid w:val="005C18F5"/>
    <w:rsid w:val="005C19E5"/>
    <w:rsid w:val="005C1A9C"/>
    <w:rsid w:val="005C1AB4"/>
    <w:rsid w:val="005C1C1D"/>
    <w:rsid w:val="005C1C1E"/>
    <w:rsid w:val="005C1EF6"/>
    <w:rsid w:val="005C217A"/>
    <w:rsid w:val="005C220F"/>
    <w:rsid w:val="005C2224"/>
    <w:rsid w:val="005C25E6"/>
    <w:rsid w:val="005C2669"/>
    <w:rsid w:val="005C284A"/>
    <w:rsid w:val="005C2B5F"/>
    <w:rsid w:val="005C2BFC"/>
    <w:rsid w:val="005C2DE0"/>
    <w:rsid w:val="005C2F5E"/>
    <w:rsid w:val="005C326B"/>
    <w:rsid w:val="005C3576"/>
    <w:rsid w:val="005C3965"/>
    <w:rsid w:val="005C3B05"/>
    <w:rsid w:val="005C3CC4"/>
    <w:rsid w:val="005C3E27"/>
    <w:rsid w:val="005C3EDA"/>
    <w:rsid w:val="005C3EED"/>
    <w:rsid w:val="005C3F71"/>
    <w:rsid w:val="005C3FA1"/>
    <w:rsid w:val="005C43EF"/>
    <w:rsid w:val="005C4563"/>
    <w:rsid w:val="005C45C8"/>
    <w:rsid w:val="005C46C1"/>
    <w:rsid w:val="005C4760"/>
    <w:rsid w:val="005C481E"/>
    <w:rsid w:val="005C48AA"/>
    <w:rsid w:val="005C4C09"/>
    <w:rsid w:val="005C4CBC"/>
    <w:rsid w:val="005C4D1F"/>
    <w:rsid w:val="005C4E03"/>
    <w:rsid w:val="005C4E5F"/>
    <w:rsid w:val="005C50CD"/>
    <w:rsid w:val="005C50D1"/>
    <w:rsid w:val="005C515D"/>
    <w:rsid w:val="005C53DD"/>
    <w:rsid w:val="005C5560"/>
    <w:rsid w:val="005C594A"/>
    <w:rsid w:val="005C5EC2"/>
    <w:rsid w:val="005C5FB6"/>
    <w:rsid w:val="005C5FC8"/>
    <w:rsid w:val="005C6127"/>
    <w:rsid w:val="005C61FB"/>
    <w:rsid w:val="005C6259"/>
    <w:rsid w:val="005C63C8"/>
    <w:rsid w:val="005C64CF"/>
    <w:rsid w:val="005C65F6"/>
    <w:rsid w:val="005C66EA"/>
    <w:rsid w:val="005C6765"/>
    <w:rsid w:val="005C6970"/>
    <w:rsid w:val="005C6985"/>
    <w:rsid w:val="005C69B7"/>
    <w:rsid w:val="005C6A53"/>
    <w:rsid w:val="005C6A61"/>
    <w:rsid w:val="005C6B6A"/>
    <w:rsid w:val="005C6CD1"/>
    <w:rsid w:val="005C6CFD"/>
    <w:rsid w:val="005C6D23"/>
    <w:rsid w:val="005C6E20"/>
    <w:rsid w:val="005C6E35"/>
    <w:rsid w:val="005C70FE"/>
    <w:rsid w:val="005C710B"/>
    <w:rsid w:val="005C737B"/>
    <w:rsid w:val="005C74AE"/>
    <w:rsid w:val="005C76D2"/>
    <w:rsid w:val="005C7766"/>
    <w:rsid w:val="005C77A0"/>
    <w:rsid w:val="005C7C5A"/>
    <w:rsid w:val="005C7CD4"/>
    <w:rsid w:val="005C7D47"/>
    <w:rsid w:val="005C7E48"/>
    <w:rsid w:val="005D0216"/>
    <w:rsid w:val="005D0378"/>
    <w:rsid w:val="005D0471"/>
    <w:rsid w:val="005D05BA"/>
    <w:rsid w:val="005D0758"/>
    <w:rsid w:val="005D087E"/>
    <w:rsid w:val="005D0898"/>
    <w:rsid w:val="005D08F3"/>
    <w:rsid w:val="005D0907"/>
    <w:rsid w:val="005D093B"/>
    <w:rsid w:val="005D0AF6"/>
    <w:rsid w:val="005D0BC1"/>
    <w:rsid w:val="005D1083"/>
    <w:rsid w:val="005D120A"/>
    <w:rsid w:val="005D1257"/>
    <w:rsid w:val="005D1301"/>
    <w:rsid w:val="005D137B"/>
    <w:rsid w:val="005D13F9"/>
    <w:rsid w:val="005D153B"/>
    <w:rsid w:val="005D16AE"/>
    <w:rsid w:val="005D16F0"/>
    <w:rsid w:val="005D17E4"/>
    <w:rsid w:val="005D1B85"/>
    <w:rsid w:val="005D1DA2"/>
    <w:rsid w:val="005D1DA4"/>
    <w:rsid w:val="005D1DC3"/>
    <w:rsid w:val="005D21EE"/>
    <w:rsid w:val="005D22E1"/>
    <w:rsid w:val="005D2351"/>
    <w:rsid w:val="005D2392"/>
    <w:rsid w:val="005D24A0"/>
    <w:rsid w:val="005D257F"/>
    <w:rsid w:val="005D266D"/>
    <w:rsid w:val="005D2803"/>
    <w:rsid w:val="005D2831"/>
    <w:rsid w:val="005D2861"/>
    <w:rsid w:val="005D2C86"/>
    <w:rsid w:val="005D2C91"/>
    <w:rsid w:val="005D2E36"/>
    <w:rsid w:val="005D2E41"/>
    <w:rsid w:val="005D2F47"/>
    <w:rsid w:val="005D307B"/>
    <w:rsid w:val="005D3329"/>
    <w:rsid w:val="005D34EE"/>
    <w:rsid w:val="005D385D"/>
    <w:rsid w:val="005D38A5"/>
    <w:rsid w:val="005D3965"/>
    <w:rsid w:val="005D3DBC"/>
    <w:rsid w:val="005D3DD0"/>
    <w:rsid w:val="005D3E25"/>
    <w:rsid w:val="005D4012"/>
    <w:rsid w:val="005D4086"/>
    <w:rsid w:val="005D41A1"/>
    <w:rsid w:val="005D41C0"/>
    <w:rsid w:val="005D44F7"/>
    <w:rsid w:val="005D4594"/>
    <w:rsid w:val="005D46B8"/>
    <w:rsid w:val="005D478C"/>
    <w:rsid w:val="005D4889"/>
    <w:rsid w:val="005D4BA2"/>
    <w:rsid w:val="005D4D6A"/>
    <w:rsid w:val="005D4EFD"/>
    <w:rsid w:val="005D4F85"/>
    <w:rsid w:val="005D5045"/>
    <w:rsid w:val="005D5307"/>
    <w:rsid w:val="005D5440"/>
    <w:rsid w:val="005D58BA"/>
    <w:rsid w:val="005D593F"/>
    <w:rsid w:val="005D5941"/>
    <w:rsid w:val="005D5AAB"/>
    <w:rsid w:val="005D5C33"/>
    <w:rsid w:val="005D5CE1"/>
    <w:rsid w:val="005D5E56"/>
    <w:rsid w:val="005D5E6B"/>
    <w:rsid w:val="005D6227"/>
    <w:rsid w:val="005D66AE"/>
    <w:rsid w:val="005D68BC"/>
    <w:rsid w:val="005D69CE"/>
    <w:rsid w:val="005D6B3E"/>
    <w:rsid w:val="005D6DDC"/>
    <w:rsid w:val="005D70BA"/>
    <w:rsid w:val="005D719A"/>
    <w:rsid w:val="005D71E0"/>
    <w:rsid w:val="005D7206"/>
    <w:rsid w:val="005D7290"/>
    <w:rsid w:val="005D7291"/>
    <w:rsid w:val="005D7464"/>
    <w:rsid w:val="005D7540"/>
    <w:rsid w:val="005D765F"/>
    <w:rsid w:val="005D7739"/>
    <w:rsid w:val="005D7750"/>
    <w:rsid w:val="005D776D"/>
    <w:rsid w:val="005D77B2"/>
    <w:rsid w:val="005D7A61"/>
    <w:rsid w:val="005D7A98"/>
    <w:rsid w:val="005D7C4A"/>
    <w:rsid w:val="005D7EED"/>
    <w:rsid w:val="005E008F"/>
    <w:rsid w:val="005E0161"/>
    <w:rsid w:val="005E01B1"/>
    <w:rsid w:val="005E01E3"/>
    <w:rsid w:val="005E0356"/>
    <w:rsid w:val="005E0400"/>
    <w:rsid w:val="005E053F"/>
    <w:rsid w:val="005E0717"/>
    <w:rsid w:val="005E0821"/>
    <w:rsid w:val="005E08A9"/>
    <w:rsid w:val="005E08C3"/>
    <w:rsid w:val="005E0933"/>
    <w:rsid w:val="005E09B4"/>
    <w:rsid w:val="005E09CC"/>
    <w:rsid w:val="005E0A0A"/>
    <w:rsid w:val="005E0A34"/>
    <w:rsid w:val="005E0B2B"/>
    <w:rsid w:val="005E0BAF"/>
    <w:rsid w:val="005E0DAC"/>
    <w:rsid w:val="005E10DC"/>
    <w:rsid w:val="005E1121"/>
    <w:rsid w:val="005E1163"/>
    <w:rsid w:val="005E1430"/>
    <w:rsid w:val="005E1557"/>
    <w:rsid w:val="005E15DA"/>
    <w:rsid w:val="005E166B"/>
    <w:rsid w:val="005E1858"/>
    <w:rsid w:val="005E1915"/>
    <w:rsid w:val="005E1C01"/>
    <w:rsid w:val="005E1E65"/>
    <w:rsid w:val="005E20A2"/>
    <w:rsid w:val="005E20D7"/>
    <w:rsid w:val="005E2466"/>
    <w:rsid w:val="005E2489"/>
    <w:rsid w:val="005E2603"/>
    <w:rsid w:val="005E26B4"/>
    <w:rsid w:val="005E2707"/>
    <w:rsid w:val="005E2735"/>
    <w:rsid w:val="005E2AB5"/>
    <w:rsid w:val="005E2D9B"/>
    <w:rsid w:val="005E32F3"/>
    <w:rsid w:val="005E33E9"/>
    <w:rsid w:val="005E349E"/>
    <w:rsid w:val="005E35BC"/>
    <w:rsid w:val="005E3609"/>
    <w:rsid w:val="005E39F7"/>
    <w:rsid w:val="005E3AE9"/>
    <w:rsid w:val="005E3B91"/>
    <w:rsid w:val="005E44DD"/>
    <w:rsid w:val="005E4743"/>
    <w:rsid w:val="005E4A1E"/>
    <w:rsid w:val="005E4D44"/>
    <w:rsid w:val="005E4E31"/>
    <w:rsid w:val="005E4EC9"/>
    <w:rsid w:val="005E50C4"/>
    <w:rsid w:val="005E5110"/>
    <w:rsid w:val="005E5258"/>
    <w:rsid w:val="005E52EC"/>
    <w:rsid w:val="005E55ED"/>
    <w:rsid w:val="005E5783"/>
    <w:rsid w:val="005E5D62"/>
    <w:rsid w:val="005E5EF8"/>
    <w:rsid w:val="005E62ED"/>
    <w:rsid w:val="005E66E5"/>
    <w:rsid w:val="005E6826"/>
    <w:rsid w:val="005E6A24"/>
    <w:rsid w:val="005E6A6E"/>
    <w:rsid w:val="005E6ABF"/>
    <w:rsid w:val="005E6AF2"/>
    <w:rsid w:val="005E6B56"/>
    <w:rsid w:val="005E6C41"/>
    <w:rsid w:val="005E6C43"/>
    <w:rsid w:val="005E700B"/>
    <w:rsid w:val="005E74AB"/>
    <w:rsid w:val="005E74EC"/>
    <w:rsid w:val="005E7595"/>
    <w:rsid w:val="005E7626"/>
    <w:rsid w:val="005E76AE"/>
    <w:rsid w:val="005E79AB"/>
    <w:rsid w:val="005E79C6"/>
    <w:rsid w:val="005E7B68"/>
    <w:rsid w:val="005E7B71"/>
    <w:rsid w:val="005E7D54"/>
    <w:rsid w:val="005F003E"/>
    <w:rsid w:val="005F01B1"/>
    <w:rsid w:val="005F022E"/>
    <w:rsid w:val="005F029F"/>
    <w:rsid w:val="005F0737"/>
    <w:rsid w:val="005F090C"/>
    <w:rsid w:val="005F0AF1"/>
    <w:rsid w:val="005F0B06"/>
    <w:rsid w:val="005F0C6F"/>
    <w:rsid w:val="005F0CEF"/>
    <w:rsid w:val="005F0F42"/>
    <w:rsid w:val="005F123C"/>
    <w:rsid w:val="005F1714"/>
    <w:rsid w:val="005F18F0"/>
    <w:rsid w:val="005F19A2"/>
    <w:rsid w:val="005F19A7"/>
    <w:rsid w:val="005F1A62"/>
    <w:rsid w:val="005F1C44"/>
    <w:rsid w:val="005F1EE5"/>
    <w:rsid w:val="005F2013"/>
    <w:rsid w:val="005F2059"/>
    <w:rsid w:val="005F21EA"/>
    <w:rsid w:val="005F23DD"/>
    <w:rsid w:val="005F2484"/>
    <w:rsid w:val="005F2491"/>
    <w:rsid w:val="005F24DD"/>
    <w:rsid w:val="005F2533"/>
    <w:rsid w:val="005F264E"/>
    <w:rsid w:val="005F27A6"/>
    <w:rsid w:val="005F2971"/>
    <w:rsid w:val="005F2972"/>
    <w:rsid w:val="005F298F"/>
    <w:rsid w:val="005F2AA3"/>
    <w:rsid w:val="005F2AED"/>
    <w:rsid w:val="005F300B"/>
    <w:rsid w:val="005F308F"/>
    <w:rsid w:val="005F30B9"/>
    <w:rsid w:val="005F32A4"/>
    <w:rsid w:val="005F33CA"/>
    <w:rsid w:val="005F3454"/>
    <w:rsid w:val="005F3583"/>
    <w:rsid w:val="005F361C"/>
    <w:rsid w:val="005F36EC"/>
    <w:rsid w:val="005F37BA"/>
    <w:rsid w:val="005F381C"/>
    <w:rsid w:val="005F3838"/>
    <w:rsid w:val="005F3B5B"/>
    <w:rsid w:val="005F3B7D"/>
    <w:rsid w:val="005F3D90"/>
    <w:rsid w:val="005F3DCA"/>
    <w:rsid w:val="005F3E15"/>
    <w:rsid w:val="005F3F92"/>
    <w:rsid w:val="005F4084"/>
    <w:rsid w:val="005F439B"/>
    <w:rsid w:val="005F43E0"/>
    <w:rsid w:val="005F45B0"/>
    <w:rsid w:val="005F467C"/>
    <w:rsid w:val="005F4812"/>
    <w:rsid w:val="005F485A"/>
    <w:rsid w:val="005F491D"/>
    <w:rsid w:val="005F4F39"/>
    <w:rsid w:val="005F4F3B"/>
    <w:rsid w:val="005F518F"/>
    <w:rsid w:val="005F52E8"/>
    <w:rsid w:val="005F5494"/>
    <w:rsid w:val="005F55C7"/>
    <w:rsid w:val="005F55DC"/>
    <w:rsid w:val="005F5D75"/>
    <w:rsid w:val="005F5EA4"/>
    <w:rsid w:val="005F6037"/>
    <w:rsid w:val="005F6296"/>
    <w:rsid w:val="005F6305"/>
    <w:rsid w:val="005F6432"/>
    <w:rsid w:val="005F646C"/>
    <w:rsid w:val="005F648A"/>
    <w:rsid w:val="005F6830"/>
    <w:rsid w:val="005F6AB9"/>
    <w:rsid w:val="005F6B2D"/>
    <w:rsid w:val="005F6D58"/>
    <w:rsid w:val="005F6ECA"/>
    <w:rsid w:val="005F6EE5"/>
    <w:rsid w:val="005F71F5"/>
    <w:rsid w:val="005F7553"/>
    <w:rsid w:val="005F766C"/>
    <w:rsid w:val="005F7670"/>
    <w:rsid w:val="005F784B"/>
    <w:rsid w:val="005F7B8A"/>
    <w:rsid w:val="005F7C6E"/>
    <w:rsid w:val="005F7D4A"/>
    <w:rsid w:val="005F7D8F"/>
    <w:rsid w:val="005F7DDA"/>
    <w:rsid w:val="006001D1"/>
    <w:rsid w:val="006001EF"/>
    <w:rsid w:val="0060025F"/>
    <w:rsid w:val="0060030D"/>
    <w:rsid w:val="00600313"/>
    <w:rsid w:val="00600386"/>
    <w:rsid w:val="0060050D"/>
    <w:rsid w:val="006005AF"/>
    <w:rsid w:val="00600A21"/>
    <w:rsid w:val="00600C62"/>
    <w:rsid w:val="00600F0F"/>
    <w:rsid w:val="006010AD"/>
    <w:rsid w:val="00601149"/>
    <w:rsid w:val="0060127B"/>
    <w:rsid w:val="006012E5"/>
    <w:rsid w:val="0060143E"/>
    <w:rsid w:val="006015BF"/>
    <w:rsid w:val="0060180F"/>
    <w:rsid w:val="00601AE3"/>
    <w:rsid w:val="00601BA7"/>
    <w:rsid w:val="00601C7E"/>
    <w:rsid w:val="00602044"/>
    <w:rsid w:val="00602054"/>
    <w:rsid w:val="00602145"/>
    <w:rsid w:val="0060249C"/>
    <w:rsid w:val="006029A0"/>
    <w:rsid w:val="00602A1B"/>
    <w:rsid w:val="00602B4F"/>
    <w:rsid w:val="00602C67"/>
    <w:rsid w:val="00602C9C"/>
    <w:rsid w:val="00602F46"/>
    <w:rsid w:val="00602F86"/>
    <w:rsid w:val="006030AC"/>
    <w:rsid w:val="006033C1"/>
    <w:rsid w:val="00603429"/>
    <w:rsid w:val="00603518"/>
    <w:rsid w:val="006035BF"/>
    <w:rsid w:val="00603775"/>
    <w:rsid w:val="0060390B"/>
    <w:rsid w:val="006039F3"/>
    <w:rsid w:val="00603A90"/>
    <w:rsid w:val="00603BBF"/>
    <w:rsid w:val="00603C11"/>
    <w:rsid w:val="00604263"/>
    <w:rsid w:val="006042E8"/>
    <w:rsid w:val="00604304"/>
    <w:rsid w:val="00604456"/>
    <w:rsid w:val="006045E8"/>
    <w:rsid w:val="006047B4"/>
    <w:rsid w:val="006049EC"/>
    <w:rsid w:val="00604AD0"/>
    <w:rsid w:val="00604C18"/>
    <w:rsid w:val="00604E3F"/>
    <w:rsid w:val="00605015"/>
    <w:rsid w:val="00605058"/>
    <w:rsid w:val="0060508A"/>
    <w:rsid w:val="00605136"/>
    <w:rsid w:val="006051AB"/>
    <w:rsid w:val="00605274"/>
    <w:rsid w:val="0060537B"/>
    <w:rsid w:val="006053D5"/>
    <w:rsid w:val="006054D7"/>
    <w:rsid w:val="006054EF"/>
    <w:rsid w:val="00605530"/>
    <w:rsid w:val="006056E1"/>
    <w:rsid w:val="0060580F"/>
    <w:rsid w:val="00605AE5"/>
    <w:rsid w:val="00605BD1"/>
    <w:rsid w:val="00605DEC"/>
    <w:rsid w:val="00605F94"/>
    <w:rsid w:val="00606107"/>
    <w:rsid w:val="006061B6"/>
    <w:rsid w:val="00606241"/>
    <w:rsid w:val="00606355"/>
    <w:rsid w:val="0060657D"/>
    <w:rsid w:val="00606666"/>
    <w:rsid w:val="00606683"/>
    <w:rsid w:val="00606A0A"/>
    <w:rsid w:val="00606BBE"/>
    <w:rsid w:val="00606E23"/>
    <w:rsid w:val="00606E76"/>
    <w:rsid w:val="00606F20"/>
    <w:rsid w:val="006070F2"/>
    <w:rsid w:val="0060719F"/>
    <w:rsid w:val="006071B0"/>
    <w:rsid w:val="00607311"/>
    <w:rsid w:val="00607402"/>
    <w:rsid w:val="00607652"/>
    <w:rsid w:val="006076B9"/>
    <w:rsid w:val="006078FD"/>
    <w:rsid w:val="00607C16"/>
    <w:rsid w:val="00607C2E"/>
    <w:rsid w:val="00607CEC"/>
    <w:rsid w:val="00607F16"/>
    <w:rsid w:val="006102AF"/>
    <w:rsid w:val="00610313"/>
    <w:rsid w:val="00610334"/>
    <w:rsid w:val="0061072E"/>
    <w:rsid w:val="00610E1D"/>
    <w:rsid w:val="0061101E"/>
    <w:rsid w:val="0061105E"/>
    <w:rsid w:val="006110AF"/>
    <w:rsid w:val="0061132F"/>
    <w:rsid w:val="0061151E"/>
    <w:rsid w:val="006116EF"/>
    <w:rsid w:val="006116F5"/>
    <w:rsid w:val="00611708"/>
    <w:rsid w:val="00611717"/>
    <w:rsid w:val="006118D5"/>
    <w:rsid w:val="00611D3D"/>
    <w:rsid w:val="00611D62"/>
    <w:rsid w:val="00611DAB"/>
    <w:rsid w:val="00611DED"/>
    <w:rsid w:val="00611E27"/>
    <w:rsid w:val="00611EA0"/>
    <w:rsid w:val="00611FC5"/>
    <w:rsid w:val="006120B2"/>
    <w:rsid w:val="006120C5"/>
    <w:rsid w:val="006120E8"/>
    <w:rsid w:val="006123D4"/>
    <w:rsid w:val="006124A9"/>
    <w:rsid w:val="00612516"/>
    <w:rsid w:val="006126DC"/>
    <w:rsid w:val="006127A2"/>
    <w:rsid w:val="006128DE"/>
    <w:rsid w:val="006128E1"/>
    <w:rsid w:val="006129CE"/>
    <w:rsid w:val="00613027"/>
    <w:rsid w:val="0061329B"/>
    <w:rsid w:val="006132C9"/>
    <w:rsid w:val="006132E3"/>
    <w:rsid w:val="006133FF"/>
    <w:rsid w:val="00613459"/>
    <w:rsid w:val="00613533"/>
    <w:rsid w:val="006138EB"/>
    <w:rsid w:val="006139F5"/>
    <w:rsid w:val="00613C8D"/>
    <w:rsid w:val="00613CD4"/>
    <w:rsid w:val="00613E69"/>
    <w:rsid w:val="0061402D"/>
    <w:rsid w:val="006140BA"/>
    <w:rsid w:val="006144A8"/>
    <w:rsid w:val="006144DC"/>
    <w:rsid w:val="00614892"/>
    <w:rsid w:val="00614A7D"/>
    <w:rsid w:val="00614CB8"/>
    <w:rsid w:val="00614CEF"/>
    <w:rsid w:val="00614E69"/>
    <w:rsid w:val="0061523C"/>
    <w:rsid w:val="006152C5"/>
    <w:rsid w:val="006154FB"/>
    <w:rsid w:val="00615564"/>
    <w:rsid w:val="006155AD"/>
    <w:rsid w:val="006156C8"/>
    <w:rsid w:val="00615867"/>
    <w:rsid w:val="00615B8D"/>
    <w:rsid w:val="00615C23"/>
    <w:rsid w:val="00615C27"/>
    <w:rsid w:val="00615CB0"/>
    <w:rsid w:val="00615D5E"/>
    <w:rsid w:val="00615D64"/>
    <w:rsid w:val="00615E05"/>
    <w:rsid w:val="00616060"/>
    <w:rsid w:val="0061614F"/>
    <w:rsid w:val="006161F8"/>
    <w:rsid w:val="00616346"/>
    <w:rsid w:val="00616363"/>
    <w:rsid w:val="006164E2"/>
    <w:rsid w:val="0061669D"/>
    <w:rsid w:val="00616A08"/>
    <w:rsid w:val="00616AE3"/>
    <w:rsid w:val="00616B97"/>
    <w:rsid w:val="00616BD7"/>
    <w:rsid w:val="00616C46"/>
    <w:rsid w:val="00616C84"/>
    <w:rsid w:val="00616CC2"/>
    <w:rsid w:val="006175A1"/>
    <w:rsid w:val="006178D1"/>
    <w:rsid w:val="00617A53"/>
    <w:rsid w:val="00617DEE"/>
    <w:rsid w:val="00617E6C"/>
    <w:rsid w:val="00617F67"/>
    <w:rsid w:val="00620325"/>
    <w:rsid w:val="0062035A"/>
    <w:rsid w:val="00620589"/>
    <w:rsid w:val="0062078E"/>
    <w:rsid w:val="006209A8"/>
    <w:rsid w:val="00620B12"/>
    <w:rsid w:val="00620B25"/>
    <w:rsid w:val="00620BA6"/>
    <w:rsid w:val="00620BB1"/>
    <w:rsid w:val="00620CBF"/>
    <w:rsid w:val="00620DFA"/>
    <w:rsid w:val="00620E1E"/>
    <w:rsid w:val="00620E27"/>
    <w:rsid w:val="00620F8C"/>
    <w:rsid w:val="00621142"/>
    <w:rsid w:val="0062118D"/>
    <w:rsid w:val="006213C6"/>
    <w:rsid w:val="006215AB"/>
    <w:rsid w:val="0062175D"/>
    <w:rsid w:val="00621C15"/>
    <w:rsid w:val="00621E97"/>
    <w:rsid w:val="006223F7"/>
    <w:rsid w:val="006224D8"/>
    <w:rsid w:val="0062254F"/>
    <w:rsid w:val="0062257E"/>
    <w:rsid w:val="0062282F"/>
    <w:rsid w:val="00622880"/>
    <w:rsid w:val="00622C96"/>
    <w:rsid w:val="0062315A"/>
    <w:rsid w:val="0062318B"/>
    <w:rsid w:val="006234C8"/>
    <w:rsid w:val="006234D2"/>
    <w:rsid w:val="00623508"/>
    <w:rsid w:val="00623688"/>
    <w:rsid w:val="00623940"/>
    <w:rsid w:val="006239DC"/>
    <w:rsid w:val="00623A4F"/>
    <w:rsid w:val="00623A6F"/>
    <w:rsid w:val="00623B51"/>
    <w:rsid w:val="00623E18"/>
    <w:rsid w:val="00624195"/>
    <w:rsid w:val="006241EA"/>
    <w:rsid w:val="00624274"/>
    <w:rsid w:val="00624329"/>
    <w:rsid w:val="00624784"/>
    <w:rsid w:val="0062496A"/>
    <w:rsid w:val="006249D1"/>
    <w:rsid w:val="00624B65"/>
    <w:rsid w:val="00624C72"/>
    <w:rsid w:val="00624FDA"/>
    <w:rsid w:val="00625110"/>
    <w:rsid w:val="00625436"/>
    <w:rsid w:val="0062556A"/>
    <w:rsid w:val="00625851"/>
    <w:rsid w:val="006258B6"/>
    <w:rsid w:val="00625A9C"/>
    <w:rsid w:val="00625B23"/>
    <w:rsid w:val="00626152"/>
    <w:rsid w:val="00626185"/>
    <w:rsid w:val="006261BE"/>
    <w:rsid w:val="006263D4"/>
    <w:rsid w:val="00626449"/>
    <w:rsid w:val="006264C5"/>
    <w:rsid w:val="00626556"/>
    <w:rsid w:val="006265AA"/>
    <w:rsid w:val="006269C0"/>
    <w:rsid w:val="00626A40"/>
    <w:rsid w:val="00626AD3"/>
    <w:rsid w:val="00626B8A"/>
    <w:rsid w:val="00626D98"/>
    <w:rsid w:val="00626E16"/>
    <w:rsid w:val="00626E3F"/>
    <w:rsid w:val="00626EAA"/>
    <w:rsid w:val="00626FED"/>
    <w:rsid w:val="006272E5"/>
    <w:rsid w:val="0062793C"/>
    <w:rsid w:val="006279FF"/>
    <w:rsid w:val="00627A28"/>
    <w:rsid w:val="00627A92"/>
    <w:rsid w:val="00627BED"/>
    <w:rsid w:val="00627CBB"/>
    <w:rsid w:val="0063006E"/>
    <w:rsid w:val="00630088"/>
    <w:rsid w:val="0063013C"/>
    <w:rsid w:val="0063031C"/>
    <w:rsid w:val="006305BD"/>
    <w:rsid w:val="00630635"/>
    <w:rsid w:val="00630752"/>
    <w:rsid w:val="006307B2"/>
    <w:rsid w:val="00630828"/>
    <w:rsid w:val="00630A00"/>
    <w:rsid w:val="00630B45"/>
    <w:rsid w:val="006311D5"/>
    <w:rsid w:val="006311E2"/>
    <w:rsid w:val="00631221"/>
    <w:rsid w:val="00631278"/>
    <w:rsid w:val="00631292"/>
    <w:rsid w:val="006313D4"/>
    <w:rsid w:val="006314AA"/>
    <w:rsid w:val="006314E3"/>
    <w:rsid w:val="0063152F"/>
    <w:rsid w:val="0063170C"/>
    <w:rsid w:val="006319AB"/>
    <w:rsid w:val="00631B71"/>
    <w:rsid w:val="00631C73"/>
    <w:rsid w:val="00632159"/>
    <w:rsid w:val="006321FF"/>
    <w:rsid w:val="0063244F"/>
    <w:rsid w:val="00632492"/>
    <w:rsid w:val="006325B1"/>
    <w:rsid w:val="0063265F"/>
    <w:rsid w:val="006326AC"/>
    <w:rsid w:val="00632806"/>
    <w:rsid w:val="00632A18"/>
    <w:rsid w:val="00632BBE"/>
    <w:rsid w:val="00632CA0"/>
    <w:rsid w:val="00632D83"/>
    <w:rsid w:val="00632E41"/>
    <w:rsid w:val="00632F2B"/>
    <w:rsid w:val="0063307B"/>
    <w:rsid w:val="00633152"/>
    <w:rsid w:val="006332DB"/>
    <w:rsid w:val="00633310"/>
    <w:rsid w:val="00633445"/>
    <w:rsid w:val="00633738"/>
    <w:rsid w:val="00633781"/>
    <w:rsid w:val="00633B42"/>
    <w:rsid w:val="00633DB2"/>
    <w:rsid w:val="00633E95"/>
    <w:rsid w:val="00634037"/>
    <w:rsid w:val="00634289"/>
    <w:rsid w:val="006342C8"/>
    <w:rsid w:val="006342C9"/>
    <w:rsid w:val="0063432A"/>
    <w:rsid w:val="00634354"/>
    <w:rsid w:val="006344DA"/>
    <w:rsid w:val="0063463F"/>
    <w:rsid w:val="00634675"/>
    <w:rsid w:val="006349B9"/>
    <w:rsid w:val="00634A02"/>
    <w:rsid w:val="00634A06"/>
    <w:rsid w:val="00634A0F"/>
    <w:rsid w:val="00634AA5"/>
    <w:rsid w:val="00634AE5"/>
    <w:rsid w:val="00634B9D"/>
    <w:rsid w:val="00634C49"/>
    <w:rsid w:val="00634E69"/>
    <w:rsid w:val="00634F3B"/>
    <w:rsid w:val="00634FD5"/>
    <w:rsid w:val="00635470"/>
    <w:rsid w:val="00635486"/>
    <w:rsid w:val="006354CA"/>
    <w:rsid w:val="006355AC"/>
    <w:rsid w:val="006356C7"/>
    <w:rsid w:val="006356CD"/>
    <w:rsid w:val="00635776"/>
    <w:rsid w:val="00635867"/>
    <w:rsid w:val="00635902"/>
    <w:rsid w:val="00635B3A"/>
    <w:rsid w:val="00635B6E"/>
    <w:rsid w:val="00635DCA"/>
    <w:rsid w:val="00635DFD"/>
    <w:rsid w:val="00635F27"/>
    <w:rsid w:val="0063613B"/>
    <w:rsid w:val="00636170"/>
    <w:rsid w:val="0063617B"/>
    <w:rsid w:val="00636222"/>
    <w:rsid w:val="00636525"/>
    <w:rsid w:val="00636743"/>
    <w:rsid w:val="00636A35"/>
    <w:rsid w:val="00636ABF"/>
    <w:rsid w:val="00636C13"/>
    <w:rsid w:val="00636CD7"/>
    <w:rsid w:val="00636EB6"/>
    <w:rsid w:val="00636EFE"/>
    <w:rsid w:val="00636F7F"/>
    <w:rsid w:val="0063720A"/>
    <w:rsid w:val="006372DB"/>
    <w:rsid w:val="0063730B"/>
    <w:rsid w:val="006373D2"/>
    <w:rsid w:val="0063745E"/>
    <w:rsid w:val="00637614"/>
    <w:rsid w:val="00637897"/>
    <w:rsid w:val="00637966"/>
    <w:rsid w:val="00637CD0"/>
    <w:rsid w:val="00637D98"/>
    <w:rsid w:val="00637E68"/>
    <w:rsid w:val="00640052"/>
    <w:rsid w:val="00640063"/>
    <w:rsid w:val="00640091"/>
    <w:rsid w:val="00640296"/>
    <w:rsid w:val="006403FA"/>
    <w:rsid w:val="00640451"/>
    <w:rsid w:val="00640546"/>
    <w:rsid w:val="006405C7"/>
    <w:rsid w:val="00640A9D"/>
    <w:rsid w:val="00640B00"/>
    <w:rsid w:val="00640BD9"/>
    <w:rsid w:val="00640DB6"/>
    <w:rsid w:val="00640EC4"/>
    <w:rsid w:val="00640F31"/>
    <w:rsid w:val="00640FAB"/>
    <w:rsid w:val="006410C1"/>
    <w:rsid w:val="00641128"/>
    <w:rsid w:val="00641159"/>
    <w:rsid w:val="00641379"/>
    <w:rsid w:val="00641394"/>
    <w:rsid w:val="006414B1"/>
    <w:rsid w:val="0064152B"/>
    <w:rsid w:val="006415F6"/>
    <w:rsid w:val="0064168A"/>
    <w:rsid w:val="0064177F"/>
    <w:rsid w:val="00641A9F"/>
    <w:rsid w:val="00641AFC"/>
    <w:rsid w:val="00641C1A"/>
    <w:rsid w:val="00641C20"/>
    <w:rsid w:val="00641CB8"/>
    <w:rsid w:val="00641D58"/>
    <w:rsid w:val="00641E7E"/>
    <w:rsid w:val="00641F2B"/>
    <w:rsid w:val="00642094"/>
    <w:rsid w:val="00642098"/>
    <w:rsid w:val="00642367"/>
    <w:rsid w:val="0064264D"/>
    <w:rsid w:val="00642857"/>
    <w:rsid w:val="0064289F"/>
    <w:rsid w:val="006428F3"/>
    <w:rsid w:val="00642C98"/>
    <w:rsid w:val="00642CBC"/>
    <w:rsid w:val="006430F2"/>
    <w:rsid w:val="0064315D"/>
    <w:rsid w:val="006431BF"/>
    <w:rsid w:val="00643507"/>
    <w:rsid w:val="0064357F"/>
    <w:rsid w:val="00643615"/>
    <w:rsid w:val="006437C0"/>
    <w:rsid w:val="006438D8"/>
    <w:rsid w:val="00643982"/>
    <w:rsid w:val="00643D63"/>
    <w:rsid w:val="00643DA3"/>
    <w:rsid w:val="00643FC1"/>
    <w:rsid w:val="00643FF5"/>
    <w:rsid w:val="00644115"/>
    <w:rsid w:val="006443A7"/>
    <w:rsid w:val="0064466D"/>
    <w:rsid w:val="006446C4"/>
    <w:rsid w:val="006446F4"/>
    <w:rsid w:val="00644730"/>
    <w:rsid w:val="00644A9E"/>
    <w:rsid w:val="00644AC6"/>
    <w:rsid w:val="00644AFD"/>
    <w:rsid w:val="00644DA1"/>
    <w:rsid w:val="00644E45"/>
    <w:rsid w:val="00644F74"/>
    <w:rsid w:val="00645085"/>
    <w:rsid w:val="00645252"/>
    <w:rsid w:val="006454E3"/>
    <w:rsid w:val="00645777"/>
    <w:rsid w:val="006457A1"/>
    <w:rsid w:val="0064595D"/>
    <w:rsid w:val="00645BD2"/>
    <w:rsid w:val="00645C5C"/>
    <w:rsid w:val="00645CAD"/>
    <w:rsid w:val="00645DF7"/>
    <w:rsid w:val="006461FA"/>
    <w:rsid w:val="00646281"/>
    <w:rsid w:val="006462BE"/>
    <w:rsid w:val="00646352"/>
    <w:rsid w:val="006468C2"/>
    <w:rsid w:val="006469C0"/>
    <w:rsid w:val="006469C4"/>
    <w:rsid w:val="00646BB1"/>
    <w:rsid w:val="00646DCD"/>
    <w:rsid w:val="00646F92"/>
    <w:rsid w:val="0064702B"/>
    <w:rsid w:val="00647133"/>
    <w:rsid w:val="00647170"/>
    <w:rsid w:val="00647313"/>
    <w:rsid w:val="00647373"/>
    <w:rsid w:val="006474B3"/>
    <w:rsid w:val="006475D2"/>
    <w:rsid w:val="00647657"/>
    <w:rsid w:val="0064765E"/>
    <w:rsid w:val="006476CC"/>
    <w:rsid w:val="006477A6"/>
    <w:rsid w:val="00647885"/>
    <w:rsid w:val="0064795E"/>
    <w:rsid w:val="00647A62"/>
    <w:rsid w:val="00647AC1"/>
    <w:rsid w:val="00647AF9"/>
    <w:rsid w:val="00647B21"/>
    <w:rsid w:val="00647BEE"/>
    <w:rsid w:val="00647F41"/>
    <w:rsid w:val="00647F55"/>
    <w:rsid w:val="0065014F"/>
    <w:rsid w:val="00650155"/>
    <w:rsid w:val="00650432"/>
    <w:rsid w:val="00650509"/>
    <w:rsid w:val="00650757"/>
    <w:rsid w:val="00650AAC"/>
    <w:rsid w:val="00650BEF"/>
    <w:rsid w:val="00650D79"/>
    <w:rsid w:val="00650EF3"/>
    <w:rsid w:val="00650F14"/>
    <w:rsid w:val="00650F3F"/>
    <w:rsid w:val="00651187"/>
    <w:rsid w:val="006511E7"/>
    <w:rsid w:val="006512F5"/>
    <w:rsid w:val="0065139D"/>
    <w:rsid w:val="00651404"/>
    <w:rsid w:val="0065147C"/>
    <w:rsid w:val="0065160C"/>
    <w:rsid w:val="00651772"/>
    <w:rsid w:val="006518CF"/>
    <w:rsid w:val="00651CBD"/>
    <w:rsid w:val="00651D3A"/>
    <w:rsid w:val="00651DEB"/>
    <w:rsid w:val="00651F8B"/>
    <w:rsid w:val="00652026"/>
    <w:rsid w:val="00652220"/>
    <w:rsid w:val="00652308"/>
    <w:rsid w:val="0065236B"/>
    <w:rsid w:val="006523EA"/>
    <w:rsid w:val="0065256A"/>
    <w:rsid w:val="006527D7"/>
    <w:rsid w:val="00652869"/>
    <w:rsid w:val="00652C60"/>
    <w:rsid w:val="00652CAA"/>
    <w:rsid w:val="00652CAB"/>
    <w:rsid w:val="00652E58"/>
    <w:rsid w:val="00652E95"/>
    <w:rsid w:val="00652F76"/>
    <w:rsid w:val="00653268"/>
    <w:rsid w:val="00653999"/>
    <w:rsid w:val="006539BF"/>
    <w:rsid w:val="00653A01"/>
    <w:rsid w:val="00653AC8"/>
    <w:rsid w:val="00653C94"/>
    <w:rsid w:val="00653E84"/>
    <w:rsid w:val="00653F8A"/>
    <w:rsid w:val="0065406C"/>
    <w:rsid w:val="0065407E"/>
    <w:rsid w:val="00654157"/>
    <w:rsid w:val="00654169"/>
    <w:rsid w:val="006541BC"/>
    <w:rsid w:val="00654341"/>
    <w:rsid w:val="0065452A"/>
    <w:rsid w:val="0065473B"/>
    <w:rsid w:val="00654834"/>
    <w:rsid w:val="00654931"/>
    <w:rsid w:val="00654C12"/>
    <w:rsid w:val="00654CF7"/>
    <w:rsid w:val="00654D54"/>
    <w:rsid w:val="00654DCA"/>
    <w:rsid w:val="00654E6F"/>
    <w:rsid w:val="00654F21"/>
    <w:rsid w:val="00654FB0"/>
    <w:rsid w:val="0065514A"/>
    <w:rsid w:val="006552A2"/>
    <w:rsid w:val="006552AB"/>
    <w:rsid w:val="006552AF"/>
    <w:rsid w:val="006555AA"/>
    <w:rsid w:val="00655956"/>
    <w:rsid w:val="00655A6D"/>
    <w:rsid w:val="00655AEE"/>
    <w:rsid w:val="00655CA4"/>
    <w:rsid w:val="00655DA5"/>
    <w:rsid w:val="00655EEF"/>
    <w:rsid w:val="00655F17"/>
    <w:rsid w:val="00656132"/>
    <w:rsid w:val="006561DC"/>
    <w:rsid w:val="0065626F"/>
    <w:rsid w:val="00656321"/>
    <w:rsid w:val="0065635F"/>
    <w:rsid w:val="00656399"/>
    <w:rsid w:val="006563AA"/>
    <w:rsid w:val="00656423"/>
    <w:rsid w:val="006567B3"/>
    <w:rsid w:val="00656ACF"/>
    <w:rsid w:val="00656C16"/>
    <w:rsid w:val="00656C44"/>
    <w:rsid w:val="00656C76"/>
    <w:rsid w:val="0065703E"/>
    <w:rsid w:val="00657296"/>
    <w:rsid w:val="006572E6"/>
    <w:rsid w:val="00657359"/>
    <w:rsid w:val="006575EB"/>
    <w:rsid w:val="006577B6"/>
    <w:rsid w:val="006578F6"/>
    <w:rsid w:val="00657B93"/>
    <w:rsid w:val="00657C65"/>
    <w:rsid w:val="00657D50"/>
    <w:rsid w:val="006600AA"/>
    <w:rsid w:val="006600F0"/>
    <w:rsid w:val="006602C5"/>
    <w:rsid w:val="00660362"/>
    <w:rsid w:val="006603F6"/>
    <w:rsid w:val="006604F6"/>
    <w:rsid w:val="00660733"/>
    <w:rsid w:val="00660AD0"/>
    <w:rsid w:val="00660E44"/>
    <w:rsid w:val="00660E5B"/>
    <w:rsid w:val="00661073"/>
    <w:rsid w:val="0066119A"/>
    <w:rsid w:val="00661316"/>
    <w:rsid w:val="006619EC"/>
    <w:rsid w:val="00661AA4"/>
    <w:rsid w:val="00661ADA"/>
    <w:rsid w:val="00661B5B"/>
    <w:rsid w:val="00661CB0"/>
    <w:rsid w:val="00661EF2"/>
    <w:rsid w:val="006620C5"/>
    <w:rsid w:val="00662227"/>
    <w:rsid w:val="006624EE"/>
    <w:rsid w:val="006625DE"/>
    <w:rsid w:val="00662642"/>
    <w:rsid w:val="006629DE"/>
    <w:rsid w:val="00662BBF"/>
    <w:rsid w:val="00662F70"/>
    <w:rsid w:val="00662FE0"/>
    <w:rsid w:val="006630A2"/>
    <w:rsid w:val="0066363E"/>
    <w:rsid w:val="00663691"/>
    <w:rsid w:val="00663816"/>
    <w:rsid w:val="00663961"/>
    <w:rsid w:val="00663AF4"/>
    <w:rsid w:val="00663B22"/>
    <w:rsid w:val="00663C21"/>
    <w:rsid w:val="00663D10"/>
    <w:rsid w:val="00663D27"/>
    <w:rsid w:val="00663DCB"/>
    <w:rsid w:val="00663F85"/>
    <w:rsid w:val="006641E0"/>
    <w:rsid w:val="00664399"/>
    <w:rsid w:val="0066447A"/>
    <w:rsid w:val="0066451F"/>
    <w:rsid w:val="00664564"/>
    <w:rsid w:val="006645BC"/>
    <w:rsid w:val="00664678"/>
    <w:rsid w:val="006646E8"/>
    <w:rsid w:val="006646EF"/>
    <w:rsid w:val="006647E4"/>
    <w:rsid w:val="0066487D"/>
    <w:rsid w:val="006648A4"/>
    <w:rsid w:val="00664AFF"/>
    <w:rsid w:val="00664DA3"/>
    <w:rsid w:val="00665082"/>
    <w:rsid w:val="0066574D"/>
    <w:rsid w:val="00665953"/>
    <w:rsid w:val="00665A13"/>
    <w:rsid w:val="00665A3E"/>
    <w:rsid w:val="00665A84"/>
    <w:rsid w:val="00665D22"/>
    <w:rsid w:val="00665D5B"/>
    <w:rsid w:val="00665F6E"/>
    <w:rsid w:val="00666116"/>
    <w:rsid w:val="006663EE"/>
    <w:rsid w:val="00666519"/>
    <w:rsid w:val="006668AB"/>
    <w:rsid w:val="00666A81"/>
    <w:rsid w:val="00666B45"/>
    <w:rsid w:val="00666CDE"/>
    <w:rsid w:val="00666E03"/>
    <w:rsid w:val="00666F09"/>
    <w:rsid w:val="00667077"/>
    <w:rsid w:val="00667102"/>
    <w:rsid w:val="0066717D"/>
    <w:rsid w:val="0066721C"/>
    <w:rsid w:val="006674AF"/>
    <w:rsid w:val="00667523"/>
    <w:rsid w:val="006676F1"/>
    <w:rsid w:val="0066787C"/>
    <w:rsid w:val="006678EA"/>
    <w:rsid w:val="006679EE"/>
    <w:rsid w:val="00667DAE"/>
    <w:rsid w:val="00667EC4"/>
    <w:rsid w:val="0067006B"/>
    <w:rsid w:val="00670181"/>
    <w:rsid w:val="0067030B"/>
    <w:rsid w:val="0067030F"/>
    <w:rsid w:val="006704C3"/>
    <w:rsid w:val="006704E4"/>
    <w:rsid w:val="00670589"/>
    <w:rsid w:val="006705E6"/>
    <w:rsid w:val="00670635"/>
    <w:rsid w:val="00670764"/>
    <w:rsid w:val="006707B9"/>
    <w:rsid w:val="00670996"/>
    <w:rsid w:val="006709BE"/>
    <w:rsid w:val="006709DE"/>
    <w:rsid w:val="00670A14"/>
    <w:rsid w:val="00670AF0"/>
    <w:rsid w:val="00670C31"/>
    <w:rsid w:val="00670D07"/>
    <w:rsid w:val="00670E03"/>
    <w:rsid w:val="00670F32"/>
    <w:rsid w:val="0067135D"/>
    <w:rsid w:val="0067141D"/>
    <w:rsid w:val="0067151F"/>
    <w:rsid w:val="00671588"/>
    <w:rsid w:val="006719C0"/>
    <w:rsid w:val="00671B06"/>
    <w:rsid w:val="00671B0E"/>
    <w:rsid w:val="00671BB6"/>
    <w:rsid w:val="00671C34"/>
    <w:rsid w:val="00671C6E"/>
    <w:rsid w:val="00671D05"/>
    <w:rsid w:val="00671E57"/>
    <w:rsid w:val="00671E97"/>
    <w:rsid w:val="00671ED4"/>
    <w:rsid w:val="00672007"/>
    <w:rsid w:val="00672108"/>
    <w:rsid w:val="006723D0"/>
    <w:rsid w:val="006724D2"/>
    <w:rsid w:val="0067254B"/>
    <w:rsid w:val="0067269F"/>
    <w:rsid w:val="006726E1"/>
    <w:rsid w:val="006726FA"/>
    <w:rsid w:val="00672BAB"/>
    <w:rsid w:val="00672D19"/>
    <w:rsid w:val="00672DB5"/>
    <w:rsid w:val="00672DF5"/>
    <w:rsid w:val="00673115"/>
    <w:rsid w:val="006731B5"/>
    <w:rsid w:val="00673311"/>
    <w:rsid w:val="0067334B"/>
    <w:rsid w:val="0067347E"/>
    <w:rsid w:val="006737CE"/>
    <w:rsid w:val="006737E9"/>
    <w:rsid w:val="00673AAB"/>
    <w:rsid w:val="00673BC8"/>
    <w:rsid w:val="00673BD3"/>
    <w:rsid w:val="00673BD6"/>
    <w:rsid w:val="00673CCB"/>
    <w:rsid w:val="00673DDC"/>
    <w:rsid w:val="00673DFE"/>
    <w:rsid w:val="00674074"/>
    <w:rsid w:val="00674102"/>
    <w:rsid w:val="00674528"/>
    <w:rsid w:val="006746A6"/>
    <w:rsid w:val="006747F8"/>
    <w:rsid w:val="006748AE"/>
    <w:rsid w:val="00674964"/>
    <w:rsid w:val="00674C9D"/>
    <w:rsid w:val="00674D75"/>
    <w:rsid w:val="00674EB4"/>
    <w:rsid w:val="00674FBC"/>
    <w:rsid w:val="00675108"/>
    <w:rsid w:val="0067520C"/>
    <w:rsid w:val="006752DB"/>
    <w:rsid w:val="00675398"/>
    <w:rsid w:val="006757C5"/>
    <w:rsid w:val="00675A6E"/>
    <w:rsid w:val="00675AA5"/>
    <w:rsid w:val="00675BAA"/>
    <w:rsid w:val="00675D96"/>
    <w:rsid w:val="00675DCD"/>
    <w:rsid w:val="00675E34"/>
    <w:rsid w:val="006760B5"/>
    <w:rsid w:val="00676377"/>
    <w:rsid w:val="00676531"/>
    <w:rsid w:val="006765C7"/>
    <w:rsid w:val="0067667C"/>
    <w:rsid w:val="00676832"/>
    <w:rsid w:val="00676A4F"/>
    <w:rsid w:val="00676AE9"/>
    <w:rsid w:val="006770AE"/>
    <w:rsid w:val="00677158"/>
    <w:rsid w:val="00677300"/>
    <w:rsid w:val="0067732B"/>
    <w:rsid w:val="006774EF"/>
    <w:rsid w:val="0067753D"/>
    <w:rsid w:val="006775FF"/>
    <w:rsid w:val="0067774A"/>
    <w:rsid w:val="0067775D"/>
    <w:rsid w:val="006777AB"/>
    <w:rsid w:val="0067790E"/>
    <w:rsid w:val="006779E5"/>
    <w:rsid w:val="00677A89"/>
    <w:rsid w:val="00677F2C"/>
    <w:rsid w:val="006802BE"/>
    <w:rsid w:val="006804D2"/>
    <w:rsid w:val="00680636"/>
    <w:rsid w:val="00680691"/>
    <w:rsid w:val="006806BE"/>
    <w:rsid w:val="00680840"/>
    <w:rsid w:val="0068087A"/>
    <w:rsid w:val="00680900"/>
    <w:rsid w:val="00680A43"/>
    <w:rsid w:val="00680B3A"/>
    <w:rsid w:val="00680C1E"/>
    <w:rsid w:val="00680C3C"/>
    <w:rsid w:val="00680C7D"/>
    <w:rsid w:val="00680FB4"/>
    <w:rsid w:val="006810E2"/>
    <w:rsid w:val="00681193"/>
    <w:rsid w:val="00681532"/>
    <w:rsid w:val="006815A6"/>
    <w:rsid w:val="006815E9"/>
    <w:rsid w:val="00681602"/>
    <w:rsid w:val="00681656"/>
    <w:rsid w:val="006819C8"/>
    <w:rsid w:val="00681A32"/>
    <w:rsid w:val="00681A8F"/>
    <w:rsid w:val="00681B24"/>
    <w:rsid w:val="00681B25"/>
    <w:rsid w:val="00681B29"/>
    <w:rsid w:val="00681C20"/>
    <w:rsid w:val="00681CA2"/>
    <w:rsid w:val="00681CA6"/>
    <w:rsid w:val="00682050"/>
    <w:rsid w:val="0068218C"/>
    <w:rsid w:val="006821D1"/>
    <w:rsid w:val="00682577"/>
    <w:rsid w:val="00682714"/>
    <w:rsid w:val="00682864"/>
    <w:rsid w:val="006828F3"/>
    <w:rsid w:val="00682A5D"/>
    <w:rsid w:val="00682BCB"/>
    <w:rsid w:val="00682C42"/>
    <w:rsid w:val="00682ED7"/>
    <w:rsid w:val="00683354"/>
    <w:rsid w:val="00683389"/>
    <w:rsid w:val="006834A9"/>
    <w:rsid w:val="006836B8"/>
    <w:rsid w:val="00683867"/>
    <w:rsid w:val="00683897"/>
    <w:rsid w:val="006838EF"/>
    <w:rsid w:val="00683A29"/>
    <w:rsid w:val="00683B9D"/>
    <w:rsid w:val="00683BF4"/>
    <w:rsid w:val="00683C18"/>
    <w:rsid w:val="00683D63"/>
    <w:rsid w:val="00683D9D"/>
    <w:rsid w:val="00683F2C"/>
    <w:rsid w:val="0068400E"/>
    <w:rsid w:val="006840BA"/>
    <w:rsid w:val="00684104"/>
    <w:rsid w:val="006843D5"/>
    <w:rsid w:val="00684631"/>
    <w:rsid w:val="006848A6"/>
    <w:rsid w:val="00684A20"/>
    <w:rsid w:val="00684AFF"/>
    <w:rsid w:val="00684C19"/>
    <w:rsid w:val="00684F87"/>
    <w:rsid w:val="00685064"/>
    <w:rsid w:val="006850E6"/>
    <w:rsid w:val="006850EC"/>
    <w:rsid w:val="00685207"/>
    <w:rsid w:val="00685236"/>
    <w:rsid w:val="00685317"/>
    <w:rsid w:val="00685552"/>
    <w:rsid w:val="00685923"/>
    <w:rsid w:val="00685AD0"/>
    <w:rsid w:val="00685C32"/>
    <w:rsid w:val="00685C3F"/>
    <w:rsid w:val="00685D29"/>
    <w:rsid w:val="0068652A"/>
    <w:rsid w:val="006865FA"/>
    <w:rsid w:val="0068664C"/>
    <w:rsid w:val="00686971"/>
    <w:rsid w:val="00686984"/>
    <w:rsid w:val="006869B1"/>
    <w:rsid w:val="00686CFA"/>
    <w:rsid w:val="00686EF5"/>
    <w:rsid w:val="00686FFB"/>
    <w:rsid w:val="006872F7"/>
    <w:rsid w:val="00687351"/>
    <w:rsid w:val="0068750C"/>
    <w:rsid w:val="00687538"/>
    <w:rsid w:val="006876CA"/>
    <w:rsid w:val="0068782C"/>
    <w:rsid w:val="00687AB3"/>
    <w:rsid w:val="00687ABE"/>
    <w:rsid w:val="00687D6A"/>
    <w:rsid w:val="00687DF4"/>
    <w:rsid w:val="00687FB0"/>
    <w:rsid w:val="00690209"/>
    <w:rsid w:val="00690211"/>
    <w:rsid w:val="006904AC"/>
    <w:rsid w:val="00690667"/>
    <w:rsid w:val="00690699"/>
    <w:rsid w:val="0069074D"/>
    <w:rsid w:val="006907E7"/>
    <w:rsid w:val="006908B9"/>
    <w:rsid w:val="00690CBC"/>
    <w:rsid w:val="00690D93"/>
    <w:rsid w:val="00690DAB"/>
    <w:rsid w:val="00691133"/>
    <w:rsid w:val="006913B6"/>
    <w:rsid w:val="0069191B"/>
    <w:rsid w:val="00691C51"/>
    <w:rsid w:val="00691C72"/>
    <w:rsid w:val="00691D93"/>
    <w:rsid w:val="00691E45"/>
    <w:rsid w:val="00692046"/>
    <w:rsid w:val="0069211B"/>
    <w:rsid w:val="00692143"/>
    <w:rsid w:val="006921B4"/>
    <w:rsid w:val="006921ED"/>
    <w:rsid w:val="006923BF"/>
    <w:rsid w:val="006924AD"/>
    <w:rsid w:val="00692AA0"/>
    <w:rsid w:val="00692B7C"/>
    <w:rsid w:val="00692F04"/>
    <w:rsid w:val="00692F75"/>
    <w:rsid w:val="006931AB"/>
    <w:rsid w:val="0069347E"/>
    <w:rsid w:val="006935C7"/>
    <w:rsid w:val="006936A2"/>
    <w:rsid w:val="006936CF"/>
    <w:rsid w:val="00693B32"/>
    <w:rsid w:val="00693B79"/>
    <w:rsid w:val="00693CE6"/>
    <w:rsid w:val="00693DC9"/>
    <w:rsid w:val="00693E7C"/>
    <w:rsid w:val="00694110"/>
    <w:rsid w:val="0069428B"/>
    <w:rsid w:val="0069448A"/>
    <w:rsid w:val="006945B7"/>
    <w:rsid w:val="00694A57"/>
    <w:rsid w:val="00694B9B"/>
    <w:rsid w:val="00694BE1"/>
    <w:rsid w:val="00694E19"/>
    <w:rsid w:val="00694E65"/>
    <w:rsid w:val="00695375"/>
    <w:rsid w:val="00695444"/>
    <w:rsid w:val="0069568C"/>
    <w:rsid w:val="0069577B"/>
    <w:rsid w:val="006958B4"/>
    <w:rsid w:val="0069594C"/>
    <w:rsid w:val="00695B61"/>
    <w:rsid w:val="00695BFA"/>
    <w:rsid w:val="00695D9B"/>
    <w:rsid w:val="00695DDE"/>
    <w:rsid w:val="00695E64"/>
    <w:rsid w:val="00695F35"/>
    <w:rsid w:val="00696046"/>
    <w:rsid w:val="0069607F"/>
    <w:rsid w:val="0069616C"/>
    <w:rsid w:val="0069628B"/>
    <w:rsid w:val="006963F7"/>
    <w:rsid w:val="006965E0"/>
    <w:rsid w:val="006966F6"/>
    <w:rsid w:val="0069682B"/>
    <w:rsid w:val="006968C5"/>
    <w:rsid w:val="00696A88"/>
    <w:rsid w:val="00696DB4"/>
    <w:rsid w:val="00696E59"/>
    <w:rsid w:val="00696EA2"/>
    <w:rsid w:val="00696F77"/>
    <w:rsid w:val="00697308"/>
    <w:rsid w:val="00697393"/>
    <w:rsid w:val="00697778"/>
    <w:rsid w:val="0069779C"/>
    <w:rsid w:val="006977CD"/>
    <w:rsid w:val="006978B5"/>
    <w:rsid w:val="00697A0E"/>
    <w:rsid w:val="00697B5F"/>
    <w:rsid w:val="00697D35"/>
    <w:rsid w:val="00697D52"/>
    <w:rsid w:val="00697D54"/>
    <w:rsid w:val="00697DEA"/>
    <w:rsid w:val="00697DFE"/>
    <w:rsid w:val="00697F27"/>
    <w:rsid w:val="00697F52"/>
    <w:rsid w:val="006A0191"/>
    <w:rsid w:val="006A02EA"/>
    <w:rsid w:val="006A0492"/>
    <w:rsid w:val="006A0683"/>
    <w:rsid w:val="006A0829"/>
    <w:rsid w:val="006A083E"/>
    <w:rsid w:val="006A0912"/>
    <w:rsid w:val="006A0A33"/>
    <w:rsid w:val="006A0B61"/>
    <w:rsid w:val="006A0C1A"/>
    <w:rsid w:val="006A0E46"/>
    <w:rsid w:val="006A0E6A"/>
    <w:rsid w:val="006A1180"/>
    <w:rsid w:val="006A11CB"/>
    <w:rsid w:val="006A11D0"/>
    <w:rsid w:val="006A13D8"/>
    <w:rsid w:val="006A147A"/>
    <w:rsid w:val="006A14C4"/>
    <w:rsid w:val="006A151E"/>
    <w:rsid w:val="006A1559"/>
    <w:rsid w:val="006A168D"/>
    <w:rsid w:val="006A1877"/>
    <w:rsid w:val="006A187C"/>
    <w:rsid w:val="006A1A22"/>
    <w:rsid w:val="006A1A39"/>
    <w:rsid w:val="006A1BFB"/>
    <w:rsid w:val="006A1C8A"/>
    <w:rsid w:val="006A1C92"/>
    <w:rsid w:val="006A1CC7"/>
    <w:rsid w:val="006A1D09"/>
    <w:rsid w:val="006A1EBA"/>
    <w:rsid w:val="006A1FEF"/>
    <w:rsid w:val="006A20C4"/>
    <w:rsid w:val="006A2190"/>
    <w:rsid w:val="006A22C8"/>
    <w:rsid w:val="006A22FF"/>
    <w:rsid w:val="006A24F7"/>
    <w:rsid w:val="006A263C"/>
    <w:rsid w:val="006A287F"/>
    <w:rsid w:val="006A28B5"/>
    <w:rsid w:val="006A2A23"/>
    <w:rsid w:val="006A2A39"/>
    <w:rsid w:val="006A2ADC"/>
    <w:rsid w:val="006A2B4C"/>
    <w:rsid w:val="006A2B55"/>
    <w:rsid w:val="006A2C3C"/>
    <w:rsid w:val="006A2D82"/>
    <w:rsid w:val="006A2DD9"/>
    <w:rsid w:val="006A2E43"/>
    <w:rsid w:val="006A2F5E"/>
    <w:rsid w:val="006A30A2"/>
    <w:rsid w:val="006A30C4"/>
    <w:rsid w:val="006A311C"/>
    <w:rsid w:val="006A322B"/>
    <w:rsid w:val="006A3246"/>
    <w:rsid w:val="006A32E0"/>
    <w:rsid w:val="006A341A"/>
    <w:rsid w:val="006A3484"/>
    <w:rsid w:val="006A3638"/>
    <w:rsid w:val="006A3932"/>
    <w:rsid w:val="006A3BB4"/>
    <w:rsid w:val="006A3D36"/>
    <w:rsid w:val="006A3EB9"/>
    <w:rsid w:val="006A3F11"/>
    <w:rsid w:val="006A402F"/>
    <w:rsid w:val="006A40E4"/>
    <w:rsid w:val="006A410C"/>
    <w:rsid w:val="006A41E0"/>
    <w:rsid w:val="006A4369"/>
    <w:rsid w:val="006A43E3"/>
    <w:rsid w:val="006A441B"/>
    <w:rsid w:val="006A4563"/>
    <w:rsid w:val="006A45E7"/>
    <w:rsid w:val="006A4A6C"/>
    <w:rsid w:val="006A4AED"/>
    <w:rsid w:val="006A4B55"/>
    <w:rsid w:val="006A4E51"/>
    <w:rsid w:val="006A4F2C"/>
    <w:rsid w:val="006A4F9A"/>
    <w:rsid w:val="006A5036"/>
    <w:rsid w:val="006A522B"/>
    <w:rsid w:val="006A531C"/>
    <w:rsid w:val="006A54E0"/>
    <w:rsid w:val="006A5543"/>
    <w:rsid w:val="006A5756"/>
    <w:rsid w:val="006A580B"/>
    <w:rsid w:val="006A5961"/>
    <w:rsid w:val="006A5976"/>
    <w:rsid w:val="006A59E7"/>
    <w:rsid w:val="006A5B2A"/>
    <w:rsid w:val="006A5B6C"/>
    <w:rsid w:val="006A5D85"/>
    <w:rsid w:val="006A5F28"/>
    <w:rsid w:val="006A5FE9"/>
    <w:rsid w:val="006A6251"/>
    <w:rsid w:val="006A6470"/>
    <w:rsid w:val="006A6643"/>
    <w:rsid w:val="006A66F7"/>
    <w:rsid w:val="006A679F"/>
    <w:rsid w:val="006A688E"/>
    <w:rsid w:val="006A6A53"/>
    <w:rsid w:val="006A6A9C"/>
    <w:rsid w:val="006A6D15"/>
    <w:rsid w:val="006A6DF8"/>
    <w:rsid w:val="006A6E36"/>
    <w:rsid w:val="006A711E"/>
    <w:rsid w:val="006A7148"/>
    <w:rsid w:val="006A71CE"/>
    <w:rsid w:val="006A727D"/>
    <w:rsid w:val="006A76D1"/>
    <w:rsid w:val="006A7701"/>
    <w:rsid w:val="006A77EE"/>
    <w:rsid w:val="006A783A"/>
    <w:rsid w:val="006A79A8"/>
    <w:rsid w:val="006A7B50"/>
    <w:rsid w:val="006A7D51"/>
    <w:rsid w:val="006A7D92"/>
    <w:rsid w:val="006A7E65"/>
    <w:rsid w:val="006B00F1"/>
    <w:rsid w:val="006B0110"/>
    <w:rsid w:val="006B0221"/>
    <w:rsid w:val="006B03E1"/>
    <w:rsid w:val="006B04D5"/>
    <w:rsid w:val="006B0687"/>
    <w:rsid w:val="006B0894"/>
    <w:rsid w:val="006B08AB"/>
    <w:rsid w:val="006B09D3"/>
    <w:rsid w:val="006B0B55"/>
    <w:rsid w:val="006B0B99"/>
    <w:rsid w:val="006B0C6C"/>
    <w:rsid w:val="006B0E94"/>
    <w:rsid w:val="006B1103"/>
    <w:rsid w:val="006B1269"/>
    <w:rsid w:val="006B1850"/>
    <w:rsid w:val="006B189E"/>
    <w:rsid w:val="006B19A2"/>
    <w:rsid w:val="006B1A0E"/>
    <w:rsid w:val="006B1BF2"/>
    <w:rsid w:val="006B1C12"/>
    <w:rsid w:val="006B1CEC"/>
    <w:rsid w:val="006B1DE5"/>
    <w:rsid w:val="006B1EF6"/>
    <w:rsid w:val="006B1FCE"/>
    <w:rsid w:val="006B23A3"/>
    <w:rsid w:val="006B2541"/>
    <w:rsid w:val="006B2561"/>
    <w:rsid w:val="006B26C4"/>
    <w:rsid w:val="006B2767"/>
    <w:rsid w:val="006B2849"/>
    <w:rsid w:val="006B28C0"/>
    <w:rsid w:val="006B2A36"/>
    <w:rsid w:val="006B2C0E"/>
    <w:rsid w:val="006B2CD4"/>
    <w:rsid w:val="006B2D32"/>
    <w:rsid w:val="006B2D54"/>
    <w:rsid w:val="006B2EA1"/>
    <w:rsid w:val="006B3099"/>
    <w:rsid w:val="006B354D"/>
    <w:rsid w:val="006B39F0"/>
    <w:rsid w:val="006B3C9A"/>
    <w:rsid w:val="006B3D42"/>
    <w:rsid w:val="006B40C4"/>
    <w:rsid w:val="006B40CF"/>
    <w:rsid w:val="006B41C9"/>
    <w:rsid w:val="006B41E9"/>
    <w:rsid w:val="006B496C"/>
    <w:rsid w:val="006B49DF"/>
    <w:rsid w:val="006B49E9"/>
    <w:rsid w:val="006B4C6C"/>
    <w:rsid w:val="006B4D3F"/>
    <w:rsid w:val="006B4E9D"/>
    <w:rsid w:val="006B4F8C"/>
    <w:rsid w:val="006B4FF2"/>
    <w:rsid w:val="006B5124"/>
    <w:rsid w:val="006B523D"/>
    <w:rsid w:val="006B5453"/>
    <w:rsid w:val="006B54B5"/>
    <w:rsid w:val="006B552C"/>
    <w:rsid w:val="006B5630"/>
    <w:rsid w:val="006B596B"/>
    <w:rsid w:val="006B5AB8"/>
    <w:rsid w:val="006B5EFC"/>
    <w:rsid w:val="006B5F6A"/>
    <w:rsid w:val="006B5FFB"/>
    <w:rsid w:val="006B6012"/>
    <w:rsid w:val="006B60BD"/>
    <w:rsid w:val="006B6141"/>
    <w:rsid w:val="006B61AF"/>
    <w:rsid w:val="006B6317"/>
    <w:rsid w:val="006B6B32"/>
    <w:rsid w:val="006B6B4C"/>
    <w:rsid w:val="006B6C15"/>
    <w:rsid w:val="006B6F41"/>
    <w:rsid w:val="006B6FBA"/>
    <w:rsid w:val="006B70F8"/>
    <w:rsid w:val="006B72C8"/>
    <w:rsid w:val="006B7341"/>
    <w:rsid w:val="006B784D"/>
    <w:rsid w:val="006B7901"/>
    <w:rsid w:val="006B7A35"/>
    <w:rsid w:val="006B7BE8"/>
    <w:rsid w:val="006B7EEC"/>
    <w:rsid w:val="006C00FE"/>
    <w:rsid w:val="006C011A"/>
    <w:rsid w:val="006C01B5"/>
    <w:rsid w:val="006C03BF"/>
    <w:rsid w:val="006C0402"/>
    <w:rsid w:val="006C0677"/>
    <w:rsid w:val="006C0767"/>
    <w:rsid w:val="006C07F3"/>
    <w:rsid w:val="006C09F8"/>
    <w:rsid w:val="006C0BE0"/>
    <w:rsid w:val="006C0BE9"/>
    <w:rsid w:val="006C0C06"/>
    <w:rsid w:val="006C0CA9"/>
    <w:rsid w:val="006C0FD5"/>
    <w:rsid w:val="006C1093"/>
    <w:rsid w:val="006C1120"/>
    <w:rsid w:val="006C1370"/>
    <w:rsid w:val="006C1411"/>
    <w:rsid w:val="006C15BF"/>
    <w:rsid w:val="006C15CC"/>
    <w:rsid w:val="006C1644"/>
    <w:rsid w:val="006C1999"/>
    <w:rsid w:val="006C1A9C"/>
    <w:rsid w:val="006C1AD9"/>
    <w:rsid w:val="006C1B4A"/>
    <w:rsid w:val="006C1B4D"/>
    <w:rsid w:val="006C1CAE"/>
    <w:rsid w:val="006C1EB0"/>
    <w:rsid w:val="006C1F44"/>
    <w:rsid w:val="006C1FD6"/>
    <w:rsid w:val="006C207C"/>
    <w:rsid w:val="006C2188"/>
    <w:rsid w:val="006C218D"/>
    <w:rsid w:val="006C2309"/>
    <w:rsid w:val="006C2431"/>
    <w:rsid w:val="006C243F"/>
    <w:rsid w:val="006C2712"/>
    <w:rsid w:val="006C27C0"/>
    <w:rsid w:val="006C27E7"/>
    <w:rsid w:val="006C288C"/>
    <w:rsid w:val="006C2E1C"/>
    <w:rsid w:val="006C2E5C"/>
    <w:rsid w:val="006C2E7A"/>
    <w:rsid w:val="006C2E90"/>
    <w:rsid w:val="006C2F41"/>
    <w:rsid w:val="006C3066"/>
    <w:rsid w:val="006C33B0"/>
    <w:rsid w:val="006C3459"/>
    <w:rsid w:val="006C35E0"/>
    <w:rsid w:val="006C368D"/>
    <w:rsid w:val="006C36A1"/>
    <w:rsid w:val="006C37A0"/>
    <w:rsid w:val="006C37D0"/>
    <w:rsid w:val="006C3944"/>
    <w:rsid w:val="006C3AA1"/>
    <w:rsid w:val="006C3B43"/>
    <w:rsid w:val="006C3C94"/>
    <w:rsid w:val="006C3DB4"/>
    <w:rsid w:val="006C3DCB"/>
    <w:rsid w:val="006C3E90"/>
    <w:rsid w:val="006C3FE0"/>
    <w:rsid w:val="006C44A5"/>
    <w:rsid w:val="006C462A"/>
    <w:rsid w:val="006C4656"/>
    <w:rsid w:val="006C4813"/>
    <w:rsid w:val="006C4859"/>
    <w:rsid w:val="006C48DD"/>
    <w:rsid w:val="006C48DE"/>
    <w:rsid w:val="006C4B3A"/>
    <w:rsid w:val="006C4B76"/>
    <w:rsid w:val="006C4BF4"/>
    <w:rsid w:val="006C4C04"/>
    <w:rsid w:val="006C4C78"/>
    <w:rsid w:val="006C52CB"/>
    <w:rsid w:val="006C53CC"/>
    <w:rsid w:val="006C53D6"/>
    <w:rsid w:val="006C5456"/>
    <w:rsid w:val="006C54AA"/>
    <w:rsid w:val="006C5549"/>
    <w:rsid w:val="006C5824"/>
    <w:rsid w:val="006C58A2"/>
    <w:rsid w:val="006C5A2E"/>
    <w:rsid w:val="006C5A75"/>
    <w:rsid w:val="006C5AF0"/>
    <w:rsid w:val="006C5BF3"/>
    <w:rsid w:val="006C5CC4"/>
    <w:rsid w:val="006C5D1D"/>
    <w:rsid w:val="006C636F"/>
    <w:rsid w:val="006C63ED"/>
    <w:rsid w:val="006C649E"/>
    <w:rsid w:val="006C66F4"/>
    <w:rsid w:val="006C6749"/>
    <w:rsid w:val="006C6822"/>
    <w:rsid w:val="006C6C20"/>
    <w:rsid w:val="006C6C23"/>
    <w:rsid w:val="006C6C41"/>
    <w:rsid w:val="006C728E"/>
    <w:rsid w:val="006C7364"/>
    <w:rsid w:val="006C7470"/>
    <w:rsid w:val="006C7564"/>
    <w:rsid w:val="006C7667"/>
    <w:rsid w:val="006C78E9"/>
    <w:rsid w:val="006C7A5D"/>
    <w:rsid w:val="006C7A60"/>
    <w:rsid w:val="006C7BE6"/>
    <w:rsid w:val="006C7C47"/>
    <w:rsid w:val="006C7DE9"/>
    <w:rsid w:val="006C7FB0"/>
    <w:rsid w:val="006D025A"/>
    <w:rsid w:val="006D02CD"/>
    <w:rsid w:val="006D035F"/>
    <w:rsid w:val="006D05A1"/>
    <w:rsid w:val="006D0B38"/>
    <w:rsid w:val="006D0E88"/>
    <w:rsid w:val="006D0EC1"/>
    <w:rsid w:val="006D12F1"/>
    <w:rsid w:val="006D1585"/>
    <w:rsid w:val="006D1803"/>
    <w:rsid w:val="006D226B"/>
    <w:rsid w:val="006D233D"/>
    <w:rsid w:val="006D2401"/>
    <w:rsid w:val="006D25BD"/>
    <w:rsid w:val="006D27EF"/>
    <w:rsid w:val="006D2937"/>
    <w:rsid w:val="006D2978"/>
    <w:rsid w:val="006D2B4F"/>
    <w:rsid w:val="006D2B7B"/>
    <w:rsid w:val="006D2BA5"/>
    <w:rsid w:val="006D2D0D"/>
    <w:rsid w:val="006D2DCC"/>
    <w:rsid w:val="006D321D"/>
    <w:rsid w:val="006D342E"/>
    <w:rsid w:val="006D34EA"/>
    <w:rsid w:val="006D3714"/>
    <w:rsid w:val="006D3A79"/>
    <w:rsid w:val="006D3B85"/>
    <w:rsid w:val="006D3BFC"/>
    <w:rsid w:val="006D3C0F"/>
    <w:rsid w:val="006D3E0B"/>
    <w:rsid w:val="006D3EC3"/>
    <w:rsid w:val="006D3F28"/>
    <w:rsid w:val="006D403F"/>
    <w:rsid w:val="006D42F9"/>
    <w:rsid w:val="006D433D"/>
    <w:rsid w:val="006D46CB"/>
    <w:rsid w:val="006D474F"/>
    <w:rsid w:val="006D47AE"/>
    <w:rsid w:val="006D486E"/>
    <w:rsid w:val="006D4AED"/>
    <w:rsid w:val="006D4B4B"/>
    <w:rsid w:val="006D4E0B"/>
    <w:rsid w:val="006D4F1D"/>
    <w:rsid w:val="006D51EB"/>
    <w:rsid w:val="006D5554"/>
    <w:rsid w:val="006D57BB"/>
    <w:rsid w:val="006D5890"/>
    <w:rsid w:val="006D5CBA"/>
    <w:rsid w:val="006D5CEA"/>
    <w:rsid w:val="006D5E0B"/>
    <w:rsid w:val="006D5F7D"/>
    <w:rsid w:val="006D5FA0"/>
    <w:rsid w:val="006D60B9"/>
    <w:rsid w:val="006D60E0"/>
    <w:rsid w:val="006D61FC"/>
    <w:rsid w:val="006D63CF"/>
    <w:rsid w:val="006D64D7"/>
    <w:rsid w:val="006D66E4"/>
    <w:rsid w:val="006D6745"/>
    <w:rsid w:val="006D67A6"/>
    <w:rsid w:val="006D67EC"/>
    <w:rsid w:val="006D6877"/>
    <w:rsid w:val="006D697D"/>
    <w:rsid w:val="006D6A8C"/>
    <w:rsid w:val="006D6CF5"/>
    <w:rsid w:val="006D7335"/>
    <w:rsid w:val="006D7346"/>
    <w:rsid w:val="006D736F"/>
    <w:rsid w:val="006D7435"/>
    <w:rsid w:val="006D743A"/>
    <w:rsid w:val="006D752D"/>
    <w:rsid w:val="006D78A6"/>
    <w:rsid w:val="006D78A8"/>
    <w:rsid w:val="006D7B14"/>
    <w:rsid w:val="006D7B5D"/>
    <w:rsid w:val="006D7B73"/>
    <w:rsid w:val="006D7CDE"/>
    <w:rsid w:val="006D7DD1"/>
    <w:rsid w:val="006D7F4C"/>
    <w:rsid w:val="006E016E"/>
    <w:rsid w:val="006E0870"/>
    <w:rsid w:val="006E0CA0"/>
    <w:rsid w:val="006E0D4F"/>
    <w:rsid w:val="006E0E2D"/>
    <w:rsid w:val="006E0E4A"/>
    <w:rsid w:val="006E10A1"/>
    <w:rsid w:val="006E1382"/>
    <w:rsid w:val="006E13CF"/>
    <w:rsid w:val="006E16FB"/>
    <w:rsid w:val="006E172D"/>
    <w:rsid w:val="006E186E"/>
    <w:rsid w:val="006E18FB"/>
    <w:rsid w:val="006E1928"/>
    <w:rsid w:val="006E19C3"/>
    <w:rsid w:val="006E1C5A"/>
    <w:rsid w:val="006E1F22"/>
    <w:rsid w:val="006E1FA0"/>
    <w:rsid w:val="006E20B9"/>
    <w:rsid w:val="006E21EE"/>
    <w:rsid w:val="006E2354"/>
    <w:rsid w:val="006E265B"/>
    <w:rsid w:val="006E2661"/>
    <w:rsid w:val="006E26A8"/>
    <w:rsid w:val="006E27AA"/>
    <w:rsid w:val="006E2829"/>
    <w:rsid w:val="006E289E"/>
    <w:rsid w:val="006E2A6D"/>
    <w:rsid w:val="006E2CBD"/>
    <w:rsid w:val="006E2D56"/>
    <w:rsid w:val="006E2DBF"/>
    <w:rsid w:val="006E2EBF"/>
    <w:rsid w:val="006E33D3"/>
    <w:rsid w:val="006E353D"/>
    <w:rsid w:val="006E3605"/>
    <w:rsid w:val="006E36AE"/>
    <w:rsid w:val="006E3776"/>
    <w:rsid w:val="006E379D"/>
    <w:rsid w:val="006E37E4"/>
    <w:rsid w:val="006E3897"/>
    <w:rsid w:val="006E39AF"/>
    <w:rsid w:val="006E3B63"/>
    <w:rsid w:val="006E3DB5"/>
    <w:rsid w:val="006E3E81"/>
    <w:rsid w:val="006E3F5E"/>
    <w:rsid w:val="006E3FF8"/>
    <w:rsid w:val="006E4255"/>
    <w:rsid w:val="006E455A"/>
    <w:rsid w:val="006E4797"/>
    <w:rsid w:val="006E4A82"/>
    <w:rsid w:val="006E4B44"/>
    <w:rsid w:val="006E4BF8"/>
    <w:rsid w:val="006E4CBB"/>
    <w:rsid w:val="006E4D26"/>
    <w:rsid w:val="006E4D7F"/>
    <w:rsid w:val="006E50D6"/>
    <w:rsid w:val="006E528F"/>
    <w:rsid w:val="006E52AD"/>
    <w:rsid w:val="006E5996"/>
    <w:rsid w:val="006E5C46"/>
    <w:rsid w:val="006E5C5F"/>
    <w:rsid w:val="006E5CF5"/>
    <w:rsid w:val="006E5E21"/>
    <w:rsid w:val="006E5E53"/>
    <w:rsid w:val="006E5F07"/>
    <w:rsid w:val="006E601F"/>
    <w:rsid w:val="006E60FA"/>
    <w:rsid w:val="006E6379"/>
    <w:rsid w:val="006E6382"/>
    <w:rsid w:val="006E64AD"/>
    <w:rsid w:val="006E657C"/>
    <w:rsid w:val="006E65DF"/>
    <w:rsid w:val="006E65E3"/>
    <w:rsid w:val="006E660C"/>
    <w:rsid w:val="006E6631"/>
    <w:rsid w:val="006E66B2"/>
    <w:rsid w:val="006E693A"/>
    <w:rsid w:val="006E6CA3"/>
    <w:rsid w:val="006E6CA7"/>
    <w:rsid w:val="006E6D88"/>
    <w:rsid w:val="006E6E57"/>
    <w:rsid w:val="006E730E"/>
    <w:rsid w:val="006E7351"/>
    <w:rsid w:val="006E764D"/>
    <w:rsid w:val="006E76BE"/>
    <w:rsid w:val="006E76D1"/>
    <w:rsid w:val="006E79F3"/>
    <w:rsid w:val="006E7B6B"/>
    <w:rsid w:val="006E7D06"/>
    <w:rsid w:val="006E7E47"/>
    <w:rsid w:val="006E7E76"/>
    <w:rsid w:val="006E7FA8"/>
    <w:rsid w:val="006F0120"/>
    <w:rsid w:val="006F024B"/>
    <w:rsid w:val="006F0356"/>
    <w:rsid w:val="006F0376"/>
    <w:rsid w:val="006F05E2"/>
    <w:rsid w:val="006F071C"/>
    <w:rsid w:val="006F0798"/>
    <w:rsid w:val="006F08F5"/>
    <w:rsid w:val="006F0ADD"/>
    <w:rsid w:val="006F0EDB"/>
    <w:rsid w:val="006F11A7"/>
    <w:rsid w:val="006F11B6"/>
    <w:rsid w:val="006F11E1"/>
    <w:rsid w:val="006F11F0"/>
    <w:rsid w:val="006F12A6"/>
    <w:rsid w:val="006F13C7"/>
    <w:rsid w:val="006F1418"/>
    <w:rsid w:val="006F16C0"/>
    <w:rsid w:val="006F1967"/>
    <w:rsid w:val="006F1968"/>
    <w:rsid w:val="006F1A51"/>
    <w:rsid w:val="006F1AF9"/>
    <w:rsid w:val="006F1B45"/>
    <w:rsid w:val="006F1B88"/>
    <w:rsid w:val="006F1BD1"/>
    <w:rsid w:val="006F1C70"/>
    <w:rsid w:val="006F1E22"/>
    <w:rsid w:val="006F21FC"/>
    <w:rsid w:val="006F226F"/>
    <w:rsid w:val="006F264C"/>
    <w:rsid w:val="006F26B7"/>
    <w:rsid w:val="006F26BC"/>
    <w:rsid w:val="006F29A6"/>
    <w:rsid w:val="006F2FA5"/>
    <w:rsid w:val="006F3009"/>
    <w:rsid w:val="006F3100"/>
    <w:rsid w:val="006F3109"/>
    <w:rsid w:val="006F33F9"/>
    <w:rsid w:val="006F35A6"/>
    <w:rsid w:val="006F374E"/>
    <w:rsid w:val="006F37C0"/>
    <w:rsid w:val="006F396E"/>
    <w:rsid w:val="006F3A24"/>
    <w:rsid w:val="006F3B8E"/>
    <w:rsid w:val="006F3B95"/>
    <w:rsid w:val="006F3BCD"/>
    <w:rsid w:val="006F3C24"/>
    <w:rsid w:val="006F3C6E"/>
    <w:rsid w:val="006F4084"/>
    <w:rsid w:val="006F428A"/>
    <w:rsid w:val="006F4767"/>
    <w:rsid w:val="006F48EA"/>
    <w:rsid w:val="006F49F1"/>
    <w:rsid w:val="006F4BE7"/>
    <w:rsid w:val="006F4D2A"/>
    <w:rsid w:val="006F4D9E"/>
    <w:rsid w:val="006F4DF4"/>
    <w:rsid w:val="006F4F96"/>
    <w:rsid w:val="006F5147"/>
    <w:rsid w:val="006F51B1"/>
    <w:rsid w:val="006F521F"/>
    <w:rsid w:val="006F5345"/>
    <w:rsid w:val="006F5540"/>
    <w:rsid w:val="006F590A"/>
    <w:rsid w:val="006F5A31"/>
    <w:rsid w:val="006F5F7B"/>
    <w:rsid w:val="006F5FCE"/>
    <w:rsid w:val="006F6238"/>
    <w:rsid w:val="006F626D"/>
    <w:rsid w:val="006F639E"/>
    <w:rsid w:val="006F660C"/>
    <w:rsid w:val="006F6616"/>
    <w:rsid w:val="006F6622"/>
    <w:rsid w:val="006F675A"/>
    <w:rsid w:val="006F67B5"/>
    <w:rsid w:val="006F67E7"/>
    <w:rsid w:val="006F67FC"/>
    <w:rsid w:val="006F6899"/>
    <w:rsid w:val="006F6AE9"/>
    <w:rsid w:val="006F6BA0"/>
    <w:rsid w:val="006F6F7A"/>
    <w:rsid w:val="006F6F83"/>
    <w:rsid w:val="006F700C"/>
    <w:rsid w:val="006F7184"/>
    <w:rsid w:val="006F7297"/>
    <w:rsid w:val="006F767D"/>
    <w:rsid w:val="006F77DB"/>
    <w:rsid w:val="006F7AF3"/>
    <w:rsid w:val="006F7EC5"/>
    <w:rsid w:val="006F7FBE"/>
    <w:rsid w:val="0070006A"/>
    <w:rsid w:val="00700127"/>
    <w:rsid w:val="007001D0"/>
    <w:rsid w:val="007002B0"/>
    <w:rsid w:val="007005B7"/>
    <w:rsid w:val="007006A3"/>
    <w:rsid w:val="007006FD"/>
    <w:rsid w:val="00700758"/>
    <w:rsid w:val="007007B8"/>
    <w:rsid w:val="0070086C"/>
    <w:rsid w:val="007009BA"/>
    <w:rsid w:val="00700C50"/>
    <w:rsid w:val="00700D66"/>
    <w:rsid w:val="00700E8E"/>
    <w:rsid w:val="0070103B"/>
    <w:rsid w:val="0070111D"/>
    <w:rsid w:val="007011D7"/>
    <w:rsid w:val="007011EF"/>
    <w:rsid w:val="007013D5"/>
    <w:rsid w:val="00701462"/>
    <w:rsid w:val="0070151A"/>
    <w:rsid w:val="00701650"/>
    <w:rsid w:val="007016B4"/>
    <w:rsid w:val="0070182B"/>
    <w:rsid w:val="00701CFB"/>
    <w:rsid w:val="007020D3"/>
    <w:rsid w:val="00702110"/>
    <w:rsid w:val="00702149"/>
    <w:rsid w:val="007024AC"/>
    <w:rsid w:val="007024B1"/>
    <w:rsid w:val="007025C6"/>
    <w:rsid w:val="007025D7"/>
    <w:rsid w:val="00702C4A"/>
    <w:rsid w:val="00702D9A"/>
    <w:rsid w:val="00702E1A"/>
    <w:rsid w:val="00702E21"/>
    <w:rsid w:val="00702EF5"/>
    <w:rsid w:val="00702F69"/>
    <w:rsid w:val="00702F9D"/>
    <w:rsid w:val="00702FEA"/>
    <w:rsid w:val="007030A8"/>
    <w:rsid w:val="00703137"/>
    <w:rsid w:val="007034BE"/>
    <w:rsid w:val="007034F1"/>
    <w:rsid w:val="00703521"/>
    <w:rsid w:val="00703652"/>
    <w:rsid w:val="00703766"/>
    <w:rsid w:val="0070390C"/>
    <w:rsid w:val="00703AD8"/>
    <w:rsid w:val="00703B09"/>
    <w:rsid w:val="00703B8C"/>
    <w:rsid w:val="00703D5A"/>
    <w:rsid w:val="00703DE4"/>
    <w:rsid w:val="00703DF0"/>
    <w:rsid w:val="00703E5C"/>
    <w:rsid w:val="00703E8C"/>
    <w:rsid w:val="007040FE"/>
    <w:rsid w:val="00704160"/>
    <w:rsid w:val="0070434C"/>
    <w:rsid w:val="0070448F"/>
    <w:rsid w:val="00704538"/>
    <w:rsid w:val="00704574"/>
    <w:rsid w:val="00704575"/>
    <w:rsid w:val="007045BB"/>
    <w:rsid w:val="00704791"/>
    <w:rsid w:val="00704A29"/>
    <w:rsid w:val="00704B76"/>
    <w:rsid w:val="00704DC9"/>
    <w:rsid w:val="007051C4"/>
    <w:rsid w:val="00705283"/>
    <w:rsid w:val="00705344"/>
    <w:rsid w:val="00705378"/>
    <w:rsid w:val="00705455"/>
    <w:rsid w:val="0070550E"/>
    <w:rsid w:val="00705722"/>
    <w:rsid w:val="00705747"/>
    <w:rsid w:val="007057D9"/>
    <w:rsid w:val="00705C5F"/>
    <w:rsid w:val="0070633B"/>
    <w:rsid w:val="00706395"/>
    <w:rsid w:val="0070641C"/>
    <w:rsid w:val="007064A3"/>
    <w:rsid w:val="00706640"/>
    <w:rsid w:val="0070674F"/>
    <w:rsid w:val="007067A4"/>
    <w:rsid w:val="00706842"/>
    <w:rsid w:val="00706B13"/>
    <w:rsid w:val="00706DDE"/>
    <w:rsid w:val="00706F72"/>
    <w:rsid w:val="007070C4"/>
    <w:rsid w:val="007070D0"/>
    <w:rsid w:val="007072B3"/>
    <w:rsid w:val="0070758D"/>
    <w:rsid w:val="00707602"/>
    <w:rsid w:val="0070760C"/>
    <w:rsid w:val="00707634"/>
    <w:rsid w:val="00707733"/>
    <w:rsid w:val="007077A0"/>
    <w:rsid w:val="007077EC"/>
    <w:rsid w:val="00707822"/>
    <w:rsid w:val="00707A05"/>
    <w:rsid w:val="00707B3C"/>
    <w:rsid w:val="00707C99"/>
    <w:rsid w:val="00707D89"/>
    <w:rsid w:val="00707E87"/>
    <w:rsid w:val="00707EDF"/>
    <w:rsid w:val="00707F57"/>
    <w:rsid w:val="00707F8B"/>
    <w:rsid w:val="00710076"/>
    <w:rsid w:val="007102A7"/>
    <w:rsid w:val="007102FA"/>
    <w:rsid w:val="007103F7"/>
    <w:rsid w:val="0071040E"/>
    <w:rsid w:val="0071048D"/>
    <w:rsid w:val="0071062A"/>
    <w:rsid w:val="0071070B"/>
    <w:rsid w:val="007107FA"/>
    <w:rsid w:val="00710A48"/>
    <w:rsid w:val="00710A91"/>
    <w:rsid w:val="00710AA4"/>
    <w:rsid w:val="00710CB9"/>
    <w:rsid w:val="00710F47"/>
    <w:rsid w:val="00710F81"/>
    <w:rsid w:val="0071108D"/>
    <w:rsid w:val="00711295"/>
    <w:rsid w:val="0071133E"/>
    <w:rsid w:val="0071136B"/>
    <w:rsid w:val="0071160B"/>
    <w:rsid w:val="0071180B"/>
    <w:rsid w:val="0071198C"/>
    <w:rsid w:val="00711B57"/>
    <w:rsid w:val="00711D7D"/>
    <w:rsid w:val="00711DE0"/>
    <w:rsid w:val="007120AE"/>
    <w:rsid w:val="0071218F"/>
    <w:rsid w:val="00712289"/>
    <w:rsid w:val="007124DF"/>
    <w:rsid w:val="0071265D"/>
    <w:rsid w:val="007127A5"/>
    <w:rsid w:val="007128BB"/>
    <w:rsid w:val="00712931"/>
    <w:rsid w:val="00712CB9"/>
    <w:rsid w:val="00712E04"/>
    <w:rsid w:val="00712E17"/>
    <w:rsid w:val="00712EA9"/>
    <w:rsid w:val="00712EFE"/>
    <w:rsid w:val="00712FA9"/>
    <w:rsid w:val="007130C3"/>
    <w:rsid w:val="00713272"/>
    <w:rsid w:val="0071338D"/>
    <w:rsid w:val="00713445"/>
    <w:rsid w:val="007135CA"/>
    <w:rsid w:val="00713677"/>
    <w:rsid w:val="0071384F"/>
    <w:rsid w:val="00713A07"/>
    <w:rsid w:val="00713C63"/>
    <w:rsid w:val="00713D53"/>
    <w:rsid w:val="0071401A"/>
    <w:rsid w:val="00714324"/>
    <w:rsid w:val="00714410"/>
    <w:rsid w:val="00714683"/>
    <w:rsid w:val="0071486A"/>
    <w:rsid w:val="00714A0F"/>
    <w:rsid w:val="00714A94"/>
    <w:rsid w:val="00714F7E"/>
    <w:rsid w:val="007151C3"/>
    <w:rsid w:val="007152F1"/>
    <w:rsid w:val="0071546B"/>
    <w:rsid w:val="00715560"/>
    <w:rsid w:val="007155A0"/>
    <w:rsid w:val="00715844"/>
    <w:rsid w:val="007158E3"/>
    <w:rsid w:val="007159AF"/>
    <w:rsid w:val="00715C06"/>
    <w:rsid w:val="00715D6D"/>
    <w:rsid w:val="00715E52"/>
    <w:rsid w:val="00715E75"/>
    <w:rsid w:val="00716033"/>
    <w:rsid w:val="007165B8"/>
    <w:rsid w:val="00716644"/>
    <w:rsid w:val="007166F2"/>
    <w:rsid w:val="00716985"/>
    <w:rsid w:val="00716B0D"/>
    <w:rsid w:val="00716C38"/>
    <w:rsid w:val="00716C89"/>
    <w:rsid w:val="00716EA5"/>
    <w:rsid w:val="00716FA1"/>
    <w:rsid w:val="00716FD0"/>
    <w:rsid w:val="007171F8"/>
    <w:rsid w:val="0071727C"/>
    <w:rsid w:val="00717642"/>
    <w:rsid w:val="0071794E"/>
    <w:rsid w:val="00717985"/>
    <w:rsid w:val="00717E62"/>
    <w:rsid w:val="00717E6E"/>
    <w:rsid w:val="00717F21"/>
    <w:rsid w:val="007200DC"/>
    <w:rsid w:val="00720149"/>
    <w:rsid w:val="00720284"/>
    <w:rsid w:val="0072057D"/>
    <w:rsid w:val="0072058E"/>
    <w:rsid w:val="007205A8"/>
    <w:rsid w:val="00720800"/>
    <w:rsid w:val="00720BE4"/>
    <w:rsid w:val="00721060"/>
    <w:rsid w:val="0072116B"/>
    <w:rsid w:val="0072130F"/>
    <w:rsid w:val="00721424"/>
    <w:rsid w:val="007214F8"/>
    <w:rsid w:val="0072158B"/>
    <w:rsid w:val="00721722"/>
    <w:rsid w:val="00721813"/>
    <w:rsid w:val="0072197B"/>
    <w:rsid w:val="007219DE"/>
    <w:rsid w:val="00721A3D"/>
    <w:rsid w:val="00721A47"/>
    <w:rsid w:val="00721AD9"/>
    <w:rsid w:val="00721B58"/>
    <w:rsid w:val="00721CB9"/>
    <w:rsid w:val="00721E4A"/>
    <w:rsid w:val="00721FAE"/>
    <w:rsid w:val="0072216E"/>
    <w:rsid w:val="0072278F"/>
    <w:rsid w:val="007227F5"/>
    <w:rsid w:val="00722AD9"/>
    <w:rsid w:val="00722B94"/>
    <w:rsid w:val="00722BB0"/>
    <w:rsid w:val="00722CDE"/>
    <w:rsid w:val="00722D5F"/>
    <w:rsid w:val="00722FA9"/>
    <w:rsid w:val="0072320D"/>
    <w:rsid w:val="007233E6"/>
    <w:rsid w:val="00723441"/>
    <w:rsid w:val="00723651"/>
    <w:rsid w:val="0072376B"/>
    <w:rsid w:val="00723788"/>
    <w:rsid w:val="007239A3"/>
    <w:rsid w:val="00723A7B"/>
    <w:rsid w:val="00723B05"/>
    <w:rsid w:val="00723DEF"/>
    <w:rsid w:val="00724026"/>
    <w:rsid w:val="00724138"/>
    <w:rsid w:val="00724179"/>
    <w:rsid w:val="007241A7"/>
    <w:rsid w:val="00724209"/>
    <w:rsid w:val="00724226"/>
    <w:rsid w:val="007247A6"/>
    <w:rsid w:val="0072482A"/>
    <w:rsid w:val="0072486F"/>
    <w:rsid w:val="00724A16"/>
    <w:rsid w:val="00724B21"/>
    <w:rsid w:val="00724BFA"/>
    <w:rsid w:val="00724C43"/>
    <w:rsid w:val="00724CBE"/>
    <w:rsid w:val="00724CBF"/>
    <w:rsid w:val="00724CF6"/>
    <w:rsid w:val="00724DA3"/>
    <w:rsid w:val="00724DD5"/>
    <w:rsid w:val="00724DE8"/>
    <w:rsid w:val="00724E21"/>
    <w:rsid w:val="0072538D"/>
    <w:rsid w:val="007253CA"/>
    <w:rsid w:val="007254FA"/>
    <w:rsid w:val="00725554"/>
    <w:rsid w:val="0072568B"/>
    <w:rsid w:val="007259B3"/>
    <w:rsid w:val="00725A7D"/>
    <w:rsid w:val="00725BF2"/>
    <w:rsid w:val="00725C35"/>
    <w:rsid w:val="00725E0E"/>
    <w:rsid w:val="00725E96"/>
    <w:rsid w:val="00725EFB"/>
    <w:rsid w:val="00726128"/>
    <w:rsid w:val="007261B4"/>
    <w:rsid w:val="00726264"/>
    <w:rsid w:val="007264C4"/>
    <w:rsid w:val="00726584"/>
    <w:rsid w:val="007265D3"/>
    <w:rsid w:val="00726657"/>
    <w:rsid w:val="00726970"/>
    <w:rsid w:val="00726A92"/>
    <w:rsid w:val="00726BF1"/>
    <w:rsid w:val="00726C29"/>
    <w:rsid w:val="00726D2D"/>
    <w:rsid w:val="00726FA5"/>
    <w:rsid w:val="00727009"/>
    <w:rsid w:val="00727039"/>
    <w:rsid w:val="0072738B"/>
    <w:rsid w:val="007273A6"/>
    <w:rsid w:val="00727459"/>
    <w:rsid w:val="007277C2"/>
    <w:rsid w:val="007279E1"/>
    <w:rsid w:val="00727A1A"/>
    <w:rsid w:val="00727A99"/>
    <w:rsid w:val="00727AD8"/>
    <w:rsid w:val="00727C12"/>
    <w:rsid w:val="00727D10"/>
    <w:rsid w:val="00727E8D"/>
    <w:rsid w:val="00730050"/>
    <w:rsid w:val="007302A3"/>
    <w:rsid w:val="007303DF"/>
    <w:rsid w:val="007304B3"/>
    <w:rsid w:val="0073051B"/>
    <w:rsid w:val="00730840"/>
    <w:rsid w:val="00730847"/>
    <w:rsid w:val="0073087A"/>
    <w:rsid w:val="007308CE"/>
    <w:rsid w:val="00730904"/>
    <w:rsid w:val="00730A11"/>
    <w:rsid w:val="00730A1E"/>
    <w:rsid w:val="00730A9C"/>
    <w:rsid w:val="00730C95"/>
    <w:rsid w:val="00730FE2"/>
    <w:rsid w:val="00731069"/>
    <w:rsid w:val="00731078"/>
    <w:rsid w:val="00731168"/>
    <w:rsid w:val="007312D9"/>
    <w:rsid w:val="0073148E"/>
    <w:rsid w:val="007314CA"/>
    <w:rsid w:val="007315C9"/>
    <w:rsid w:val="007316AF"/>
    <w:rsid w:val="00731740"/>
    <w:rsid w:val="0073177B"/>
    <w:rsid w:val="00731B5A"/>
    <w:rsid w:val="00731C04"/>
    <w:rsid w:val="00731F54"/>
    <w:rsid w:val="00732129"/>
    <w:rsid w:val="00732443"/>
    <w:rsid w:val="00732461"/>
    <w:rsid w:val="00732558"/>
    <w:rsid w:val="0073262E"/>
    <w:rsid w:val="00732724"/>
    <w:rsid w:val="00732896"/>
    <w:rsid w:val="0073289F"/>
    <w:rsid w:val="00732916"/>
    <w:rsid w:val="00732ACD"/>
    <w:rsid w:val="00732BB9"/>
    <w:rsid w:val="00732C43"/>
    <w:rsid w:val="00732CED"/>
    <w:rsid w:val="00732D20"/>
    <w:rsid w:val="00732DAD"/>
    <w:rsid w:val="00732E70"/>
    <w:rsid w:val="00733022"/>
    <w:rsid w:val="00733138"/>
    <w:rsid w:val="0073317E"/>
    <w:rsid w:val="007331D7"/>
    <w:rsid w:val="00733300"/>
    <w:rsid w:val="007333CE"/>
    <w:rsid w:val="0073348C"/>
    <w:rsid w:val="007334A7"/>
    <w:rsid w:val="007339B1"/>
    <w:rsid w:val="00733AC6"/>
    <w:rsid w:val="00733ACF"/>
    <w:rsid w:val="00733C1B"/>
    <w:rsid w:val="00733D7E"/>
    <w:rsid w:val="00734017"/>
    <w:rsid w:val="00734170"/>
    <w:rsid w:val="007342CF"/>
    <w:rsid w:val="0073463D"/>
    <w:rsid w:val="00734770"/>
    <w:rsid w:val="007347C1"/>
    <w:rsid w:val="00734CDD"/>
    <w:rsid w:val="00734DB1"/>
    <w:rsid w:val="00734F16"/>
    <w:rsid w:val="007350FC"/>
    <w:rsid w:val="0073510B"/>
    <w:rsid w:val="007351B0"/>
    <w:rsid w:val="007351E1"/>
    <w:rsid w:val="007352FE"/>
    <w:rsid w:val="0073544C"/>
    <w:rsid w:val="007354FF"/>
    <w:rsid w:val="00735556"/>
    <w:rsid w:val="007356BC"/>
    <w:rsid w:val="007356FC"/>
    <w:rsid w:val="007356FF"/>
    <w:rsid w:val="0073595F"/>
    <w:rsid w:val="00735B44"/>
    <w:rsid w:val="00735D27"/>
    <w:rsid w:val="00735EA9"/>
    <w:rsid w:val="00735F55"/>
    <w:rsid w:val="0073601A"/>
    <w:rsid w:val="00736175"/>
    <w:rsid w:val="0073648F"/>
    <w:rsid w:val="00736568"/>
    <w:rsid w:val="007366FA"/>
    <w:rsid w:val="0073681B"/>
    <w:rsid w:val="00736832"/>
    <w:rsid w:val="0073688A"/>
    <w:rsid w:val="007368EF"/>
    <w:rsid w:val="00736C5E"/>
    <w:rsid w:val="00736F01"/>
    <w:rsid w:val="007370D4"/>
    <w:rsid w:val="007371D1"/>
    <w:rsid w:val="00737223"/>
    <w:rsid w:val="00737329"/>
    <w:rsid w:val="0073751B"/>
    <w:rsid w:val="00737661"/>
    <w:rsid w:val="00737AAC"/>
    <w:rsid w:val="00737B25"/>
    <w:rsid w:val="00737C57"/>
    <w:rsid w:val="00737D95"/>
    <w:rsid w:val="00740384"/>
    <w:rsid w:val="00740409"/>
    <w:rsid w:val="00740497"/>
    <w:rsid w:val="00740F30"/>
    <w:rsid w:val="007410A2"/>
    <w:rsid w:val="007410B2"/>
    <w:rsid w:val="00741198"/>
    <w:rsid w:val="0074145A"/>
    <w:rsid w:val="007416E8"/>
    <w:rsid w:val="00741872"/>
    <w:rsid w:val="007418BA"/>
    <w:rsid w:val="007418E2"/>
    <w:rsid w:val="00741A03"/>
    <w:rsid w:val="00741C45"/>
    <w:rsid w:val="00741FBA"/>
    <w:rsid w:val="00741FBC"/>
    <w:rsid w:val="007422A5"/>
    <w:rsid w:val="00742319"/>
    <w:rsid w:val="00742357"/>
    <w:rsid w:val="00742370"/>
    <w:rsid w:val="007423E6"/>
    <w:rsid w:val="00742436"/>
    <w:rsid w:val="00742462"/>
    <w:rsid w:val="0074279F"/>
    <w:rsid w:val="0074282C"/>
    <w:rsid w:val="007428AB"/>
    <w:rsid w:val="00742A04"/>
    <w:rsid w:val="00742B3C"/>
    <w:rsid w:val="00742BBA"/>
    <w:rsid w:val="00742CB6"/>
    <w:rsid w:val="00742F22"/>
    <w:rsid w:val="00742FEA"/>
    <w:rsid w:val="007431CD"/>
    <w:rsid w:val="007432ED"/>
    <w:rsid w:val="00743357"/>
    <w:rsid w:val="00743480"/>
    <w:rsid w:val="0074356B"/>
    <w:rsid w:val="007435FB"/>
    <w:rsid w:val="007436BB"/>
    <w:rsid w:val="0074386A"/>
    <w:rsid w:val="00743C8D"/>
    <w:rsid w:val="00743D90"/>
    <w:rsid w:val="00743E89"/>
    <w:rsid w:val="00743EE4"/>
    <w:rsid w:val="00743F9B"/>
    <w:rsid w:val="00743FAB"/>
    <w:rsid w:val="00743FC8"/>
    <w:rsid w:val="00744043"/>
    <w:rsid w:val="007440A3"/>
    <w:rsid w:val="0074416B"/>
    <w:rsid w:val="007442AD"/>
    <w:rsid w:val="0074488E"/>
    <w:rsid w:val="00744A3E"/>
    <w:rsid w:val="00744AA7"/>
    <w:rsid w:val="00744C95"/>
    <w:rsid w:val="007450BD"/>
    <w:rsid w:val="00745227"/>
    <w:rsid w:val="007452DE"/>
    <w:rsid w:val="00745541"/>
    <w:rsid w:val="0074566F"/>
    <w:rsid w:val="00745883"/>
    <w:rsid w:val="00745884"/>
    <w:rsid w:val="00745BD9"/>
    <w:rsid w:val="00745CC3"/>
    <w:rsid w:val="00745EBD"/>
    <w:rsid w:val="00745F86"/>
    <w:rsid w:val="00745FF9"/>
    <w:rsid w:val="007460BA"/>
    <w:rsid w:val="0074610E"/>
    <w:rsid w:val="007462F4"/>
    <w:rsid w:val="007468DF"/>
    <w:rsid w:val="00746D6B"/>
    <w:rsid w:val="00746E08"/>
    <w:rsid w:val="00746F23"/>
    <w:rsid w:val="00746FFC"/>
    <w:rsid w:val="00747017"/>
    <w:rsid w:val="00747660"/>
    <w:rsid w:val="0074766A"/>
    <w:rsid w:val="00747751"/>
    <w:rsid w:val="00747846"/>
    <w:rsid w:val="00747944"/>
    <w:rsid w:val="00747978"/>
    <w:rsid w:val="00747A14"/>
    <w:rsid w:val="00747A7C"/>
    <w:rsid w:val="00747AF5"/>
    <w:rsid w:val="00747D6F"/>
    <w:rsid w:val="00747EBF"/>
    <w:rsid w:val="00750089"/>
    <w:rsid w:val="00750283"/>
    <w:rsid w:val="0075048F"/>
    <w:rsid w:val="00750555"/>
    <w:rsid w:val="00750606"/>
    <w:rsid w:val="007506FA"/>
    <w:rsid w:val="00750955"/>
    <w:rsid w:val="00750986"/>
    <w:rsid w:val="00750C64"/>
    <w:rsid w:val="00750CF0"/>
    <w:rsid w:val="00750E1E"/>
    <w:rsid w:val="00751170"/>
    <w:rsid w:val="00751239"/>
    <w:rsid w:val="00751267"/>
    <w:rsid w:val="007514A3"/>
    <w:rsid w:val="007516F1"/>
    <w:rsid w:val="00751858"/>
    <w:rsid w:val="00751ADC"/>
    <w:rsid w:val="00751AF0"/>
    <w:rsid w:val="00751E14"/>
    <w:rsid w:val="00752111"/>
    <w:rsid w:val="0075213F"/>
    <w:rsid w:val="00752316"/>
    <w:rsid w:val="0075249B"/>
    <w:rsid w:val="007524C4"/>
    <w:rsid w:val="0075256A"/>
    <w:rsid w:val="00752756"/>
    <w:rsid w:val="00752907"/>
    <w:rsid w:val="00752948"/>
    <w:rsid w:val="00752AFA"/>
    <w:rsid w:val="00752D22"/>
    <w:rsid w:val="00752D80"/>
    <w:rsid w:val="00752F81"/>
    <w:rsid w:val="00752FA0"/>
    <w:rsid w:val="00752FE0"/>
    <w:rsid w:val="007530A7"/>
    <w:rsid w:val="007533CA"/>
    <w:rsid w:val="00753405"/>
    <w:rsid w:val="00753511"/>
    <w:rsid w:val="0075351A"/>
    <w:rsid w:val="00753587"/>
    <w:rsid w:val="007537EC"/>
    <w:rsid w:val="0075385B"/>
    <w:rsid w:val="00753AD4"/>
    <w:rsid w:val="00753CAE"/>
    <w:rsid w:val="00753CB1"/>
    <w:rsid w:val="00753DBC"/>
    <w:rsid w:val="007541B4"/>
    <w:rsid w:val="0075422F"/>
    <w:rsid w:val="007543F6"/>
    <w:rsid w:val="0075464C"/>
    <w:rsid w:val="007546B6"/>
    <w:rsid w:val="00754E68"/>
    <w:rsid w:val="00755041"/>
    <w:rsid w:val="007550BA"/>
    <w:rsid w:val="007550D1"/>
    <w:rsid w:val="00755352"/>
    <w:rsid w:val="007555CD"/>
    <w:rsid w:val="00755713"/>
    <w:rsid w:val="0075572E"/>
    <w:rsid w:val="007557D5"/>
    <w:rsid w:val="0075580B"/>
    <w:rsid w:val="00755ACB"/>
    <w:rsid w:val="00755B60"/>
    <w:rsid w:val="00755D63"/>
    <w:rsid w:val="00755DA6"/>
    <w:rsid w:val="0075603A"/>
    <w:rsid w:val="007560A8"/>
    <w:rsid w:val="0075610F"/>
    <w:rsid w:val="00756289"/>
    <w:rsid w:val="007563B7"/>
    <w:rsid w:val="007566CC"/>
    <w:rsid w:val="00756878"/>
    <w:rsid w:val="007568AE"/>
    <w:rsid w:val="007568C8"/>
    <w:rsid w:val="007569D6"/>
    <w:rsid w:val="00756ABC"/>
    <w:rsid w:val="00756C04"/>
    <w:rsid w:val="00756D9C"/>
    <w:rsid w:val="00756F1E"/>
    <w:rsid w:val="00756FE6"/>
    <w:rsid w:val="0075706B"/>
    <w:rsid w:val="007570D3"/>
    <w:rsid w:val="0075726A"/>
    <w:rsid w:val="00757292"/>
    <w:rsid w:val="007573EF"/>
    <w:rsid w:val="007574B8"/>
    <w:rsid w:val="00757879"/>
    <w:rsid w:val="00757B71"/>
    <w:rsid w:val="00757C87"/>
    <w:rsid w:val="00760058"/>
    <w:rsid w:val="0076071D"/>
    <w:rsid w:val="00760795"/>
    <w:rsid w:val="00760889"/>
    <w:rsid w:val="0076089F"/>
    <w:rsid w:val="00760A7F"/>
    <w:rsid w:val="00760DFA"/>
    <w:rsid w:val="00761079"/>
    <w:rsid w:val="0076114A"/>
    <w:rsid w:val="007611F3"/>
    <w:rsid w:val="0076126B"/>
    <w:rsid w:val="00761617"/>
    <w:rsid w:val="0076161B"/>
    <w:rsid w:val="00761684"/>
    <w:rsid w:val="0076174C"/>
    <w:rsid w:val="007617F4"/>
    <w:rsid w:val="00761904"/>
    <w:rsid w:val="00761C2D"/>
    <w:rsid w:val="00761C2F"/>
    <w:rsid w:val="00761E26"/>
    <w:rsid w:val="00761F08"/>
    <w:rsid w:val="00761F63"/>
    <w:rsid w:val="0076200E"/>
    <w:rsid w:val="00762225"/>
    <w:rsid w:val="0076257D"/>
    <w:rsid w:val="00762616"/>
    <w:rsid w:val="00762694"/>
    <w:rsid w:val="007629F8"/>
    <w:rsid w:val="00762BBD"/>
    <w:rsid w:val="00762D59"/>
    <w:rsid w:val="00762DCE"/>
    <w:rsid w:val="00762E53"/>
    <w:rsid w:val="00762EAA"/>
    <w:rsid w:val="00762ED6"/>
    <w:rsid w:val="00763230"/>
    <w:rsid w:val="007632C9"/>
    <w:rsid w:val="00763594"/>
    <w:rsid w:val="0076363F"/>
    <w:rsid w:val="00763664"/>
    <w:rsid w:val="00763774"/>
    <w:rsid w:val="007637F5"/>
    <w:rsid w:val="007638A1"/>
    <w:rsid w:val="007638AA"/>
    <w:rsid w:val="007638AF"/>
    <w:rsid w:val="007639F1"/>
    <w:rsid w:val="00763A22"/>
    <w:rsid w:val="00763A5C"/>
    <w:rsid w:val="00763AD2"/>
    <w:rsid w:val="00763BEB"/>
    <w:rsid w:val="00763DC8"/>
    <w:rsid w:val="00763E43"/>
    <w:rsid w:val="00763FB0"/>
    <w:rsid w:val="007640B8"/>
    <w:rsid w:val="007641BD"/>
    <w:rsid w:val="007641D4"/>
    <w:rsid w:val="007645B8"/>
    <w:rsid w:val="00764A4A"/>
    <w:rsid w:val="00764B18"/>
    <w:rsid w:val="00764B55"/>
    <w:rsid w:val="00764C27"/>
    <w:rsid w:val="0076507F"/>
    <w:rsid w:val="007651B7"/>
    <w:rsid w:val="007652DA"/>
    <w:rsid w:val="0076533F"/>
    <w:rsid w:val="0076557F"/>
    <w:rsid w:val="007658E6"/>
    <w:rsid w:val="00765985"/>
    <w:rsid w:val="007659A3"/>
    <w:rsid w:val="00765CD7"/>
    <w:rsid w:val="00765D5A"/>
    <w:rsid w:val="00765D7D"/>
    <w:rsid w:val="00765F3F"/>
    <w:rsid w:val="00766024"/>
    <w:rsid w:val="0076604D"/>
    <w:rsid w:val="00766150"/>
    <w:rsid w:val="007661FE"/>
    <w:rsid w:val="0076634E"/>
    <w:rsid w:val="00766618"/>
    <w:rsid w:val="007667A2"/>
    <w:rsid w:val="007667CB"/>
    <w:rsid w:val="0076694D"/>
    <w:rsid w:val="00766951"/>
    <w:rsid w:val="00766C0E"/>
    <w:rsid w:val="00766DAE"/>
    <w:rsid w:val="00767000"/>
    <w:rsid w:val="007670FF"/>
    <w:rsid w:val="00767102"/>
    <w:rsid w:val="007672A9"/>
    <w:rsid w:val="00767411"/>
    <w:rsid w:val="00767426"/>
    <w:rsid w:val="00767880"/>
    <w:rsid w:val="007679D0"/>
    <w:rsid w:val="00767A95"/>
    <w:rsid w:val="00767DB0"/>
    <w:rsid w:val="00767E9E"/>
    <w:rsid w:val="00767EB7"/>
    <w:rsid w:val="00767FB0"/>
    <w:rsid w:val="00767FD4"/>
    <w:rsid w:val="0077006C"/>
    <w:rsid w:val="0077028B"/>
    <w:rsid w:val="0077037B"/>
    <w:rsid w:val="0077040E"/>
    <w:rsid w:val="007704EC"/>
    <w:rsid w:val="007706FB"/>
    <w:rsid w:val="0077082E"/>
    <w:rsid w:val="00770981"/>
    <w:rsid w:val="00770A41"/>
    <w:rsid w:val="00770E88"/>
    <w:rsid w:val="00770FDE"/>
    <w:rsid w:val="0077101C"/>
    <w:rsid w:val="007713D5"/>
    <w:rsid w:val="007713D8"/>
    <w:rsid w:val="0077144B"/>
    <w:rsid w:val="0077147C"/>
    <w:rsid w:val="00771612"/>
    <w:rsid w:val="00771771"/>
    <w:rsid w:val="007717B8"/>
    <w:rsid w:val="00771C6F"/>
    <w:rsid w:val="00771CC1"/>
    <w:rsid w:val="00771EEA"/>
    <w:rsid w:val="00771F48"/>
    <w:rsid w:val="0077265A"/>
    <w:rsid w:val="00772736"/>
    <w:rsid w:val="00772788"/>
    <w:rsid w:val="007728AD"/>
    <w:rsid w:val="007728E1"/>
    <w:rsid w:val="00772947"/>
    <w:rsid w:val="00772AD3"/>
    <w:rsid w:val="00772B8B"/>
    <w:rsid w:val="00772C0D"/>
    <w:rsid w:val="00772CFC"/>
    <w:rsid w:val="00772E2F"/>
    <w:rsid w:val="00772FE9"/>
    <w:rsid w:val="007731A0"/>
    <w:rsid w:val="007731C9"/>
    <w:rsid w:val="00773233"/>
    <w:rsid w:val="007732A8"/>
    <w:rsid w:val="00773392"/>
    <w:rsid w:val="00773418"/>
    <w:rsid w:val="0077345E"/>
    <w:rsid w:val="00773463"/>
    <w:rsid w:val="0077377B"/>
    <w:rsid w:val="00773ABE"/>
    <w:rsid w:val="00773ADB"/>
    <w:rsid w:val="00773AE8"/>
    <w:rsid w:val="00773B2B"/>
    <w:rsid w:val="00773C15"/>
    <w:rsid w:val="00773CAB"/>
    <w:rsid w:val="00773CE2"/>
    <w:rsid w:val="00773D83"/>
    <w:rsid w:val="00773FAC"/>
    <w:rsid w:val="00773FBC"/>
    <w:rsid w:val="007740F5"/>
    <w:rsid w:val="007741FF"/>
    <w:rsid w:val="00774562"/>
    <w:rsid w:val="007745AC"/>
    <w:rsid w:val="007745C4"/>
    <w:rsid w:val="0077471C"/>
    <w:rsid w:val="00774776"/>
    <w:rsid w:val="007748BE"/>
    <w:rsid w:val="00774A38"/>
    <w:rsid w:val="00774AC9"/>
    <w:rsid w:val="00774AFD"/>
    <w:rsid w:val="00774C49"/>
    <w:rsid w:val="00774C4B"/>
    <w:rsid w:val="00774D59"/>
    <w:rsid w:val="00774F12"/>
    <w:rsid w:val="00774F80"/>
    <w:rsid w:val="00775006"/>
    <w:rsid w:val="0077502B"/>
    <w:rsid w:val="007752C9"/>
    <w:rsid w:val="007752D5"/>
    <w:rsid w:val="00775608"/>
    <w:rsid w:val="0077560A"/>
    <w:rsid w:val="00775ACD"/>
    <w:rsid w:val="00775C7C"/>
    <w:rsid w:val="00775C89"/>
    <w:rsid w:val="00776018"/>
    <w:rsid w:val="00776374"/>
    <w:rsid w:val="007764B0"/>
    <w:rsid w:val="0077662F"/>
    <w:rsid w:val="00776738"/>
    <w:rsid w:val="00776869"/>
    <w:rsid w:val="00776ACD"/>
    <w:rsid w:val="00776AF9"/>
    <w:rsid w:val="00776B2F"/>
    <w:rsid w:val="00776B8D"/>
    <w:rsid w:val="00776B9E"/>
    <w:rsid w:val="00776D4D"/>
    <w:rsid w:val="00776E6A"/>
    <w:rsid w:val="00777037"/>
    <w:rsid w:val="007770C5"/>
    <w:rsid w:val="007770FE"/>
    <w:rsid w:val="00777190"/>
    <w:rsid w:val="0077726F"/>
    <w:rsid w:val="00777456"/>
    <w:rsid w:val="0077754A"/>
    <w:rsid w:val="0077764C"/>
    <w:rsid w:val="00777713"/>
    <w:rsid w:val="00777816"/>
    <w:rsid w:val="00777B10"/>
    <w:rsid w:val="00777B4B"/>
    <w:rsid w:val="00777D2F"/>
    <w:rsid w:val="00777EBE"/>
    <w:rsid w:val="0078005E"/>
    <w:rsid w:val="007801BB"/>
    <w:rsid w:val="007801C8"/>
    <w:rsid w:val="0078033B"/>
    <w:rsid w:val="00780381"/>
    <w:rsid w:val="007805EB"/>
    <w:rsid w:val="0078092C"/>
    <w:rsid w:val="00780AA2"/>
    <w:rsid w:val="00780B39"/>
    <w:rsid w:val="00780B40"/>
    <w:rsid w:val="00780BAA"/>
    <w:rsid w:val="00780C69"/>
    <w:rsid w:val="00780CB0"/>
    <w:rsid w:val="00780DAC"/>
    <w:rsid w:val="00780EB8"/>
    <w:rsid w:val="00780EE9"/>
    <w:rsid w:val="007810D9"/>
    <w:rsid w:val="007810DA"/>
    <w:rsid w:val="00781197"/>
    <w:rsid w:val="0078122D"/>
    <w:rsid w:val="007814EC"/>
    <w:rsid w:val="0078151E"/>
    <w:rsid w:val="00781883"/>
    <w:rsid w:val="007818D0"/>
    <w:rsid w:val="007818DB"/>
    <w:rsid w:val="007818E1"/>
    <w:rsid w:val="00781A00"/>
    <w:rsid w:val="00781AAF"/>
    <w:rsid w:val="00781D17"/>
    <w:rsid w:val="00782077"/>
    <w:rsid w:val="00782093"/>
    <w:rsid w:val="007820F4"/>
    <w:rsid w:val="007821E4"/>
    <w:rsid w:val="00782261"/>
    <w:rsid w:val="007822A1"/>
    <w:rsid w:val="00782435"/>
    <w:rsid w:val="007827E0"/>
    <w:rsid w:val="00782913"/>
    <w:rsid w:val="007829C6"/>
    <w:rsid w:val="007829DB"/>
    <w:rsid w:val="007829E7"/>
    <w:rsid w:val="00782B8C"/>
    <w:rsid w:val="00782BC2"/>
    <w:rsid w:val="00782DDC"/>
    <w:rsid w:val="00783122"/>
    <w:rsid w:val="007831B4"/>
    <w:rsid w:val="007833EC"/>
    <w:rsid w:val="007833F6"/>
    <w:rsid w:val="00783419"/>
    <w:rsid w:val="0078356E"/>
    <w:rsid w:val="007835E7"/>
    <w:rsid w:val="00783888"/>
    <w:rsid w:val="00783C38"/>
    <w:rsid w:val="00783E29"/>
    <w:rsid w:val="00783EB6"/>
    <w:rsid w:val="00784049"/>
    <w:rsid w:val="00784533"/>
    <w:rsid w:val="00784567"/>
    <w:rsid w:val="007848BE"/>
    <w:rsid w:val="00784D86"/>
    <w:rsid w:val="00784E39"/>
    <w:rsid w:val="00784FB6"/>
    <w:rsid w:val="0078505C"/>
    <w:rsid w:val="00785205"/>
    <w:rsid w:val="00785265"/>
    <w:rsid w:val="00785311"/>
    <w:rsid w:val="00785343"/>
    <w:rsid w:val="007853B6"/>
    <w:rsid w:val="007853F7"/>
    <w:rsid w:val="007854D5"/>
    <w:rsid w:val="00785512"/>
    <w:rsid w:val="00785527"/>
    <w:rsid w:val="0078566E"/>
    <w:rsid w:val="00785D04"/>
    <w:rsid w:val="00786072"/>
    <w:rsid w:val="00786150"/>
    <w:rsid w:val="0078631A"/>
    <w:rsid w:val="00786325"/>
    <w:rsid w:val="0078659C"/>
    <w:rsid w:val="00786710"/>
    <w:rsid w:val="007867EE"/>
    <w:rsid w:val="00786C3B"/>
    <w:rsid w:val="00786D17"/>
    <w:rsid w:val="00786D9F"/>
    <w:rsid w:val="00786ED3"/>
    <w:rsid w:val="0078709D"/>
    <w:rsid w:val="00787284"/>
    <w:rsid w:val="00787294"/>
    <w:rsid w:val="007873BF"/>
    <w:rsid w:val="007873F8"/>
    <w:rsid w:val="007874A7"/>
    <w:rsid w:val="007875A2"/>
    <w:rsid w:val="0078766A"/>
    <w:rsid w:val="007879F8"/>
    <w:rsid w:val="00787B28"/>
    <w:rsid w:val="00787D22"/>
    <w:rsid w:val="00787DB9"/>
    <w:rsid w:val="00787FC1"/>
    <w:rsid w:val="0079018B"/>
    <w:rsid w:val="0079021A"/>
    <w:rsid w:val="007902BC"/>
    <w:rsid w:val="0079036E"/>
    <w:rsid w:val="007903A9"/>
    <w:rsid w:val="0079049D"/>
    <w:rsid w:val="00790507"/>
    <w:rsid w:val="00790861"/>
    <w:rsid w:val="00790865"/>
    <w:rsid w:val="00790D9D"/>
    <w:rsid w:val="00790EB7"/>
    <w:rsid w:val="0079110F"/>
    <w:rsid w:val="007911D2"/>
    <w:rsid w:val="00791301"/>
    <w:rsid w:val="00791323"/>
    <w:rsid w:val="0079133B"/>
    <w:rsid w:val="00791442"/>
    <w:rsid w:val="007914BC"/>
    <w:rsid w:val="00791506"/>
    <w:rsid w:val="00791537"/>
    <w:rsid w:val="007915DF"/>
    <w:rsid w:val="00791627"/>
    <w:rsid w:val="0079164B"/>
    <w:rsid w:val="007918EF"/>
    <w:rsid w:val="00791C61"/>
    <w:rsid w:val="00791C80"/>
    <w:rsid w:val="00791DDC"/>
    <w:rsid w:val="00791DDE"/>
    <w:rsid w:val="00791F19"/>
    <w:rsid w:val="00792016"/>
    <w:rsid w:val="00792040"/>
    <w:rsid w:val="007921C6"/>
    <w:rsid w:val="007921E9"/>
    <w:rsid w:val="0079254A"/>
    <w:rsid w:val="007925B7"/>
    <w:rsid w:val="007926BE"/>
    <w:rsid w:val="007926EA"/>
    <w:rsid w:val="0079270E"/>
    <w:rsid w:val="0079279D"/>
    <w:rsid w:val="007928C6"/>
    <w:rsid w:val="007928CC"/>
    <w:rsid w:val="007929C3"/>
    <w:rsid w:val="00792CF1"/>
    <w:rsid w:val="00792EA0"/>
    <w:rsid w:val="00792EBB"/>
    <w:rsid w:val="00792F6D"/>
    <w:rsid w:val="00793046"/>
    <w:rsid w:val="007930BE"/>
    <w:rsid w:val="007930FE"/>
    <w:rsid w:val="00793113"/>
    <w:rsid w:val="00793257"/>
    <w:rsid w:val="00793289"/>
    <w:rsid w:val="007934CA"/>
    <w:rsid w:val="0079352F"/>
    <w:rsid w:val="007935F3"/>
    <w:rsid w:val="00793627"/>
    <w:rsid w:val="00793A37"/>
    <w:rsid w:val="00793A39"/>
    <w:rsid w:val="00793B19"/>
    <w:rsid w:val="00793BF6"/>
    <w:rsid w:val="00793C40"/>
    <w:rsid w:val="00793C9B"/>
    <w:rsid w:val="00793CB2"/>
    <w:rsid w:val="00793DCB"/>
    <w:rsid w:val="00793E30"/>
    <w:rsid w:val="00793E6B"/>
    <w:rsid w:val="00793EC2"/>
    <w:rsid w:val="00793F63"/>
    <w:rsid w:val="00793FEF"/>
    <w:rsid w:val="0079400A"/>
    <w:rsid w:val="00794200"/>
    <w:rsid w:val="0079424A"/>
    <w:rsid w:val="00794288"/>
    <w:rsid w:val="007942DF"/>
    <w:rsid w:val="007945F2"/>
    <w:rsid w:val="007946B0"/>
    <w:rsid w:val="00794724"/>
    <w:rsid w:val="0079482A"/>
    <w:rsid w:val="007948BB"/>
    <w:rsid w:val="00794A2F"/>
    <w:rsid w:val="00794AB5"/>
    <w:rsid w:val="00794EFD"/>
    <w:rsid w:val="00794F02"/>
    <w:rsid w:val="00794FE9"/>
    <w:rsid w:val="00795160"/>
    <w:rsid w:val="007951EC"/>
    <w:rsid w:val="00795289"/>
    <w:rsid w:val="00795311"/>
    <w:rsid w:val="007954C5"/>
    <w:rsid w:val="007955A1"/>
    <w:rsid w:val="00795803"/>
    <w:rsid w:val="0079595D"/>
    <w:rsid w:val="00795BB9"/>
    <w:rsid w:val="00795E38"/>
    <w:rsid w:val="00795FB9"/>
    <w:rsid w:val="00796064"/>
    <w:rsid w:val="0079609F"/>
    <w:rsid w:val="007960CB"/>
    <w:rsid w:val="00796247"/>
    <w:rsid w:val="00796352"/>
    <w:rsid w:val="0079650F"/>
    <w:rsid w:val="00796549"/>
    <w:rsid w:val="0079661F"/>
    <w:rsid w:val="00796797"/>
    <w:rsid w:val="007967D6"/>
    <w:rsid w:val="00796827"/>
    <w:rsid w:val="00796847"/>
    <w:rsid w:val="0079699A"/>
    <w:rsid w:val="00796A14"/>
    <w:rsid w:val="00796A20"/>
    <w:rsid w:val="00796F49"/>
    <w:rsid w:val="00796F59"/>
    <w:rsid w:val="0079709F"/>
    <w:rsid w:val="0079714B"/>
    <w:rsid w:val="0079727A"/>
    <w:rsid w:val="007972E6"/>
    <w:rsid w:val="007973CD"/>
    <w:rsid w:val="0079770D"/>
    <w:rsid w:val="0079778C"/>
    <w:rsid w:val="00797818"/>
    <w:rsid w:val="00797A69"/>
    <w:rsid w:val="00797C4F"/>
    <w:rsid w:val="007A00DB"/>
    <w:rsid w:val="007A01DD"/>
    <w:rsid w:val="007A0214"/>
    <w:rsid w:val="007A0226"/>
    <w:rsid w:val="007A02E2"/>
    <w:rsid w:val="007A03B7"/>
    <w:rsid w:val="007A04A0"/>
    <w:rsid w:val="007A0534"/>
    <w:rsid w:val="007A0543"/>
    <w:rsid w:val="007A0B26"/>
    <w:rsid w:val="007A0C7D"/>
    <w:rsid w:val="007A0CEF"/>
    <w:rsid w:val="007A0EB4"/>
    <w:rsid w:val="007A0EDB"/>
    <w:rsid w:val="007A0F11"/>
    <w:rsid w:val="007A0FDD"/>
    <w:rsid w:val="007A13B4"/>
    <w:rsid w:val="007A145D"/>
    <w:rsid w:val="007A16A3"/>
    <w:rsid w:val="007A1C3E"/>
    <w:rsid w:val="007A1D27"/>
    <w:rsid w:val="007A1D91"/>
    <w:rsid w:val="007A1FF6"/>
    <w:rsid w:val="007A2252"/>
    <w:rsid w:val="007A22C0"/>
    <w:rsid w:val="007A2393"/>
    <w:rsid w:val="007A239B"/>
    <w:rsid w:val="007A263B"/>
    <w:rsid w:val="007A27A3"/>
    <w:rsid w:val="007A289B"/>
    <w:rsid w:val="007A2A5B"/>
    <w:rsid w:val="007A2CAC"/>
    <w:rsid w:val="007A2EED"/>
    <w:rsid w:val="007A2EFE"/>
    <w:rsid w:val="007A2FF6"/>
    <w:rsid w:val="007A3003"/>
    <w:rsid w:val="007A3035"/>
    <w:rsid w:val="007A322E"/>
    <w:rsid w:val="007A3591"/>
    <w:rsid w:val="007A3BBB"/>
    <w:rsid w:val="007A3BDB"/>
    <w:rsid w:val="007A3D76"/>
    <w:rsid w:val="007A3E60"/>
    <w:rsid w:val="007A3EC0"/>
    <w:rsid w:val="007A3EC1"/>
    <w:rsid w:val="007A3F29"/>
    <w:rsid w:val="007A3FD0"/>
    <w:rsid w:val="007A43C5"/>
    <w:rsid w:val="007A4485"/>
    <w:rsid w:val="007A46AE"/>
    <w:rsid w:val="007A46DF"/>
    <w:rsid w:val="007A4792"/>
    <w:rsid w:val="007A4EF8"/>
    <w:rsid w:val="007A531F"/>
    <w:rsid w:val="007A5364"/>
    <w:rsid w:val="007A5399"/>
    <w:rsid w:val="007A5538"/>
    <w:rsid w:val="007A5609"/>
    <w:rsid w:val="007A561A"/>
    <w:rsid w:val="007A56F5"/>
    <w:rsid w:val="007A5974"/>
    <w:rsid w:val="007A5BE3"/>
    <w:rsid w:val="007A5D63"/>
    <w:rsid w:val="007A5EAC"/>
    <w:rsid w:val="007A5FBF"/>
    <w:rsid w:val="007A61D1"/>
    <w:rsid w:val="007A64EA"/>
    <w:rsid w:val="007A671B"/>
    <w:rsid w:val="007A6838"/>
    <w:rsid w:val="007A684E"/>
    <w:rsid w:val="007A6A0C"/>
    <w:rsid w:val="007A6D03"/>
    <w:rsid w:val="007A6E4A"/>
    <w:rsid w:val="007A6F08"/>
    <w:rsid w:val="007A6F46"/>
    <w:rsid w:val="007A6F49"/>
    <w:rsid w:val="007A7126"/>
    <w:rsid w:val="007A739F"/>
    <w:rsid w:val="007A7434"/>
    <w:rsid w:val="007A7514"/>
    <w:rsid w:val="007A7A4A"/>
    <w:rsid w:val="007A7BE6"/>
    <w:rsid w:val="007A7C6E"/>
    <w:rsid w:val="007A7CD2"/>
    <w:rsid w:val="007B01DC"/>
    <w:rsid w:val="007B02B4"/>
    <w:rsid w:val="007B0391"/>
    <w:rsid w:val="007B0641"/>
    <w:rsid w:val="007B0747"/>
    <w:rsid w:val="007B0DA3"/>
    <w:rsid w:val="007B0DDB"/>
    <w:rsid w:val="007B0DFE"/>
    <w:rsid w:val="007B1035"/>
    <w:rsid w:val="007B1057"/>
    <w:rsid w:val="007B157B"/>
    <w:rsid w:val="007B15AD"/>
    <w:rsid w:val="007B15E0"/>
    <w:rsid w:val="007B163F"/>
    <w:rsid w:val="007B1827"/>
    <w:rsid w:val="007B1833"/>
    <w:rsid w:val="007B1884"/>
    <w:rsid w:val="007B18AF"/>
    <w:rsid w:val="007B1AAD"/>
    <w:rsid w:val="007B1CC0"/>
    <w:rsid w:val="007B1D03"/>
    <w:rsid w:val="007B1D09"/>
    <w:rsid w:val="007B1D86"/>
    <w:rsid w:val="007B1EE3"/>
    <w:rsid w:val="007B20E5"/>
    <w:rsid w:val="007B2144"/>
    <w:rsid w:val="007B225A"/>
    <w:rsid w:val="007B25E8"/>
    <w:rsid w:val="007B26BF"/>
    <w:rsid w:val="007B2843"/>
    <w:rsid w:val="007B2890"/>
    <w:rsid w:val="007B2C55"/>
    <w:rsid w:val="007B2C6B"/>
    <w:rsid w:val="007B32D9"/>
    <w:rsid w:val="007B3510"/>
    <w:rsid w:val="007B365D"/>
    <w:rsid w:val="007B3827"/>
    <w:rsid w:val="007B396C"/>
    <w:rsid w:val="007B3AD4"/>
    <w:rsid w:val="007B3BBB"/>
    <w:rsid w:val="007B3C01"/>
    <w:rsid w:val="007B3D75"/>
    <w:rsid w:val="007B3EB2"/>
    <w:rsid w:val="007B4062"/>
    <w:rsid w:val="007B4284"/>
    <w:rsid w:val="007B4322"/>
    <w:rsid w:val="007B47E0"/>
    <w:rsid w:val="007B4A26"/>
    <w:rsid w:val="007B4A8F"/>
    <w:rsid w:val="007B4D5B"/>
    <w:rsid w:val="007B4DF3"/>
    <w:rsid w:val="007B4EF7"/>
    <w:rsid w:val="007B4F55"/>
    <w:rsid w:val="007B4FAA"/>
    <w:rsid w:val="007B504A"/>
    <w:rsid w:val="007B506F"/>
    <w:rsid w:val="007B518C"/>
    <w:rsid w:val="007B5376"/>
    <w:rsid w:val="007B5455"/>
    <w:rsid w:val="007B56B7"/>
    <w:rsid w:val="007B5808"/>
    <w:rsid w:val="007B580E"/>
    <w:rsid w:val="007B5851"/>
    <w:rsid w:val="007B5A30"/>
    <w:rsid w:val="007B5A6A"/>
    <w:rsid w:val="007B5C87"/>
    <w:rsid w:val="007B5D14"/>
    <w:rsid w:val="007B615F"/>
    <w:rsid w:val="007B6276"/>
    <w:rsid w:val="007B6314"/>
    <w:rsid w:val="007B6586"/>
    <w:rsid w:val="007B66B8"/>
    <w:rsid w:val="007B6785"/>
    <w:rsid w:val="007B67E6"/>
    <w:rsid w:val="007B67F6"/>
    <w:rsid w:val="007B68A7"/>
    <w:rsid w:val="007B68CC"/>
    <w:rsid w:val="007B6946"/>
    <w:rsid w:val="007B698F"/>
    <w:rsid w:val="007B6A50"/>
    <w:rsid w:val="007B6B2C"/>
    <w:rsid w:val="007B6CC1"/>
    <w:rsid w:val="007B6D60"/>
    <w:rsid w:val="007B6F04"/>
    <w:rsid w:val="007B6F3F"/>
    <w:rsid w:val="007B70BD"/>
    <w:rsid w:val="007B7216"/>
    <w:rsid w:val="007B7409"/>
    <w:rsid w:val="007B7454"/>
    <w:rsid w:val="007B763A"/>
    <w:rsid w:val="007B7655"/>
    <w:rsid w:val="007B7882"/>
    <w:rsid w:val="007B7B83"/>
    <w:rsid w:val="007B7BC0"/>
    <w:rsid w:val="007B7C0E"/>
    <w:rsid w:val="007B7EBF"/>
    <w:rsid w:val="007B7F3F"/>
    <w:rsid w:val="007B7F76"/>
    <w:rsid w:val="007B7FCC"/>
    <w:rsid w:val="007C0020"/>
    <w:rsid w:val="007C0214"/>
    <w:rsid w:val="007C0465"/>
    <w:rsid w:val="007C0495"/>
    <w:rsid w:val="007C05D2"/>
    <w:rsid w:val="007C07A1"/>
    <w:rsid w:val="007C0A17"/>
    <w:rsid w:val="007C0ACF"/>
    <w:rsid w:val="007C1004"/>
    <w:rsid w:val="007C10A1"/>
    <w:rsid w:val="007C10D4"/>
    <w:rsid w:val="007C14CC"/>
    <w:rsid w:val="007C1804"/>
    <w:rsid w:val="007C1A1D"/>
    <w:rsid w:val="007C1A24"/>
    <w:rsid w:val="007C1CFA"/>
    <w:rsid w:val="007C1F03"/>
    <w:rsid w:val="007C1F3E"/>
    <w:rsid w:val="007C1FC4"/>
    <w:rsid w:val="007C201A"/>
    <w:rsid w:val="007C2107"/>
    <w:rsid w:val="007C2281"/>
    <w:rsid w:val="007C228C"/>
    <w:rsid w:val="007C229C"/>
    <w:rsid w:val="007C269E"/>
    <w:rsid w:val="007C26E7"/>
    <w:rsid w:val="007C2773"/>
    <w:rsid w:val="007C2839"/>
    <w:rsid w:val="007C2894"/>
    <w:rsid w:val="007C2B22"/>
    <w:rsid w:val="007C2FC8"/>
    <w:rsid w:val="007C2FD1"/>
    <w:rsid w:val="007C3031"/>
    <w:rsid w:val="007C306C"/>
    <w:rsid w:val="007C32B0"/>
    <w:rsid w:val="007C341F"/>
    <w:rsid w:val="007C347D"/>
    <w:rsid w:val="007C36DD"/>
    <w:rsid w:val="007C3753"/>
    <w:rsid w:val="007C38B3"/>
    <w:rsid w:val="007C3E59"/>
    <w:rsid w:val="007C3FB5"/>
    <w:rsid w:val="007C4132"/>
    <w:rsid w:val="007C415D"/>
    <w:rsid w:val="007C42C7"/>
    <w:rsid w:val="007C43BE"/>
    <w:rsid w:val="007C43E6"/>
    <w:rsid w:val="007C4495"/>
    <w:rsid w:val="007C4745"/>
    <w:rsid w:val="007C47F0"/>
    <w:rsid w:val="007C4957"/>
    <w:rsid w:val="007C4C0E"/>
    <w:rsid w:val="007C4EC5"/>
    <w:rsid w:val="007C503B"/>
    <w:rsid w:val="007C55ED"/>
    <w:rsid w:val="007C5B0A"/>
    <w:rsid w:val="007C5B59"/>
    <w:rsid w:val="007C5C6A"/>
    <w:rsid w:val="007C5D9B"/>
    <w:rsid w:val="007C5E20"/>
    <w:rsid w:val="007C5E61"/>
    <w:rsid w:val="007C6203"/>
    <w:rsid w:val="007C6251"/>
    <w:rsid w:val="007C68DF"/>
    <w:rsid w:val="007C6ABA"/>
    <w:rsid w:val="007C6B85"/>
    <w:rsid w:val="007C6C60"/>
    <w:rsid w:val="007C6C8C"/>
    <w:rsid w:val="007C6D61"/>
    <w:rsid w:val="007C6DC1"/>
    <w:rsid w:val="007C6DE0"/>
    <w:rsid w:val="007C6EBD"/>
    <w:rsid w:val="007C700F"/>
    <w:rsid w:val="007C7185"/>
    <w:rsid w:val="007C72BC"/>
    <w:rsid w:val="007C72E1"/>
    <w:rsid w:val="007C743E"/>
    <w:rsid w:val="007C7470"/>
    <w:rsid w:val="007C76B4"/>
    <w:rsid w:val="007C77C2"/>
    <w:rsid w:val="007C7A32"/>
    <w:rsid w:val="007C7BF9"/>
    <w:rsid w:val="007C7CB3"/>
    <w:rsid w:val="007C7CB7"/>
    <w:rsid w:val="007C7CC6"/>
    <w:rsid w:val="007D005C"/>
    <w:rsid w:val="007D00CC"/>
    <w:rsid w:val="007D0187"/>
    <w:rsid w:val="007D028A"/>
    <w:rsid w:val="007D0849"/>
    <w:rsid w:val="007D0868"/>
    <w:rsid w:val="007D088C"/>
    <w:rsid w:val="007D0C44"/>
    <w:rsid w:val="007D0D5C"/>
    <w:rsid w:val="007D0E24"/>
    <w:rsid w:val="007D0EA4"/>
    <w:rsid w:val="007D0EBC"/>
    <w:rsid w:val="007D145A"/>
    <w:rsid w:val="007D14D7"/>
    <w:rsid w:val="007D1516"/>
    <w:rsid w:val="007D160A"/>
    <w:rsid w:val="007D16F7"/>
    <w:rsid w:val="007D187D"/>
    <w:rsid w:val="007D1A14"/>
    <w:rsid w:val="007D1C20"/>
    <w:rsid w:val="007D1CC0"/>
    <w:rsid w:val="007D1CF7"/>
    <w:rsid w:val="007D20DA"/>
    <w:rsid w:val="007D2604"/>
    <w:rsid w:val="007D2629"/>
    <w:rsid w:val="007D2681"/>
    <w:rsid w:val="007D27E8"/>
    <w:rsid w:val="007D2A9A"/>
    <w:rsid w:val="007D2AF4"/>
    <w:rsid w:val="007D2B20"/>
    <w:rsid w:val="007D2B49"/>
    <w:rsid w:val="007D3162"/>
    <w:rsid w:val="007D3176"/>
    <w:rsid w:val="007D3188"/>
    <w:rsid w:val="007D32FC"/>
    <w:rsid w:val="007D373D"/>
    <w:rsid w:val="007D38B6"/>
    <w:rsid w:val="007D391E"/>
    <w:rsid w:val="007D39BC"/>
    <w:rsid w:val="007D3CBE"/>
    <w:rsid w:val="007D3E27"/>
    <w:rsid w:val="007D4304"/>
    <w:rsid w:val="007D4372"/>
    <w:rsid w:val="007D43F2"/>
    <w:rsid w:val="007D4545"/>
    <w:rsid w:val="007D48A1"/>
    <w:rsid w:val="007D4B22"/>
    <w:rsid w:val="007D4E09"/>
    <w:rsid w:val="007D4E22"/>
    <w:rsid w:val="007D4FEC"/>
    <w:rsid w:val="007D51AB"/>
    <w:rsid w:val="007D5298"/>
    <w:rsid w:val="007D5403"/>
    <w:rsid w:val="007D5621"/>
    <w:rsid w:val="007D56F5"/>
    <w:rsid w:val="007D5801"/>
    <w:rsid w:val="007D596B"/>
    <w:rsid w:val="007D59AC"/>
    <w:rsid w:val="007D5A39"/>
    <w:rsid w:val="007D5ADC"/>
    <w:rsid w:val="007D5CE1"/>
    <w:rsid w:val="007D5D2D"/>
    <w:rsid w:val="007D5EFD"/>
    <w:rsid w:val="007D5F62"/>
    <w:rsid w:val="007D5F75"/>
    <w:rsid w:val="007D5FC5"/>
    <w:rsid w:val="007D6018"/>
    <w:rsid w:val="007D60FF"/>
    <w:rsid w:val="007D61FE"/>
    <w:rsid w:val="007D63A8"/>
    <w:rsid w:val="007D6809"/>
    <w:rsid w:val="007D6893"/>
    <w:rsid w:val="007D6895"/>
    <w:rsid w:val="007D68D9"/>
    <w:rsid w:val="007D6A66"/>
    <w:rsid w:val="007D6AFD"/>
    <w:rsid w:val="007D6B5D"/>
    <w:rsid w:val="007D6FB8"/>
    <w:rsid w:val="007D704D"/>
    <w:rsid w:val="007D704E"/>
    <w:rsid w:val="007D704F"/>
    <w:rsid w:val="007D7079"/>
    <w:rsid w:val="007D71E4"/>
    <w:rsid w:val="007D7234"/>
    <w:rsid w:val="007D7658"/>
    <w:rsid w:val="007D7673"/>
    <w:rsid w:val="007D791F"/>
    <w:rsid w:val="007D79D5"/>
    <w:rsid w:val="007D7A28"/>
    <w:rsid w:val="007D7C1F"/>
    <w:rsid w:val="007D7DC3"/>
    <w:rsid w:val="007DE0D2"/>
    <w:rsid w:val="007E0144"/>
    <w:rsid w:val="007E0355"/>
    <w:rsid w:val="007E04B8"/>
    <w:rsid w:val="007E05C8"/>
    <w:rsid w:val="007E0675"/>
    <w:rsid w:val="007E07C6"/>
    <w:rsid w:val="007E084D"/>
    <w:rsid w:val="007E0AAB"/>
    <w:rsid w:val="007E0D54"/>
    <w:rsid w:val="007E0D7F"/>
    <w:rsid w:val="007E0E5E"/>
    <w:rsid w:val="007E110C"/>
    <w:rsid w:val="007E1413"/>
    <w:rsid w:val="007E1448"/>
    <w:rsid w:val="007E14B2"/>
    <w:rsid w:val="007E1513"/>
    <w:rsid w:val="007E1589"/>
    <w:rsid w:val="007E1641"/>
    <w:rsid w:val="007E1769"/>
    <w:rsid w:val="007E18D2"/>
    <w:rsid w:val="007E18E7"/>
    <w:rsid w:val="007E1E7B"/>
    <w:rsid w:val="007E1F99"/>
    <w:rsid w:val="007E1FE4"/>
    <w:rsid w:val="007E1FF5"/>
    <w:rsid w:val="007E218A"/>
    <w:rsid w:val="007E2284"/>
    <w:rsid w:val="007E24C3"/>
    <w:rsid w:val="007E270A"/>
    <w:rsid w:val="007E2731"/>
    <w:rsid w:val="007E2835"/>
    <w:rsid w:val="007E297E"/>
    <w:rsid w:val="007E2B1D"/>
    <w:rsid w:val="007E2B9A"/>
    <w:rsid w:val="007E2D2E"/>
    <w:rsid w:val="007E2E4C"/>
    <w:rsid w:val="007E3055"/>
    <w:rsid w:val="007E31CA"/>
    <w:rsid w:val="007E34B9"/>
    <w:rsid w:val="007E3503"/>
    <w:rsid w:val="007E3553"/>
    <w:rsid w:val="007E373D"/>
    <w:rsid w:val="007E3B1C"/>
    <w:rsid w:val="007E3CCB"/>
    <w:rsid w:val="007E3CF9"/>
    <w:rsid w:val="007E3EB3"/>
    <w:rsid w:val="007E4046"/>
    <w:rsid w:val="007E4222"/>
    <w:rsid w:val="007E4298"/>
    <w:rsid w:val="007E4771"/>
    <w:rsid w:val="007E4787"/>
    <w:rsid w:val="007E47EE"/>
    <w:rsid w:val="007E48EB"/>
    <w:rsid w:val="007E494E"/>
    <w:rsid w:val="007E4A9C"/>
    <w:rsid w:val="007E4B43"/>
    <w:rsid w:val="007E4C34"/>
    <w:rsid w:val="007E4DAD"/>
    <w:rsid w:val="007E4F7D"/>
    <w:rsid w:val="007E4FB9"/>
    <w:rsid w:val="007E4FF7"/>
    <w:rsid w:val="007E50BC"/>
    <w:rsid w:val="007E52C7"/>
    <w:rsid w:val="007E52CF"/>
    <w:rsid w:val="007E54C2"/>
    <w:rsid w:val="007E5694"/>
    <w:rsid w:val="007E5909"/>
    <w:rsid w:val="007E5978"/>
    <w:rsid w:val="007E5A1D"/>
    <w:rsid w:val="007E5BCD"/>
    <w:rsid w:val="007E5CD2"/>
    <w:rsid w:val="007E5CD3"/>
    <w:rsid w:val="007E5D49"/>
    <w:rsid w:val="007E5D67"/>
    <w:rsid w:val="007E6368"/>
    <w:rsid w:val="007E64F7"/>
    <w:rsid w:val="007E6684"/>
    <w:rsid w:val="007E6718"/>
    <w:rsid w:val="007E690B"/>
    <w:rsid w:val="007E6938"/>
    <w:rsid w:val="007E6D47"/>
    <w:rsid w:val="007E6E75"/>
    <w:rsid w:val="007E6F22"/>
    <w:rsid w:val="007E6F27"/>
    <w:rsid w:val="007E6FFE"/>
    <w:rsid w:val="007E723C"/>
    <w:rsid w:val="007E7280"/>
    <w:rsid w:val="007E74FE"/>
    <w:rsid w:val="007E7664"/>
    <w:rsid w:val="007E76BB"/>
    <w:rsid w:val="007E76E8"/>
    <w:rsid w:val="007E77C0"/>
    <w:rsid w:val="007E79D5"/>
    <w:rsid w:val="007E7AF8"/>
    <w:rsid w:val="007E7BA6"/>
    <w:rsid w:val="007F0091"/>
    <w:rsid w:val="007F010C"/>
    <w:rsid w:val="007F0135"/>
    <w:rsid w:val="007F02D7"/>
    <w:rsid w:val="007F0614"/>
    <w:rsid w:val="007F0625"/>
    <w:rsid w:val="007F06F3"/>
    <w:rsid w:val="007F078A"/>
    <w:rsid w:val="007F07CC"/>
    <w:rsid w:val="007F0A1D"/>
    <w:rsid w:val="007F0A9B"/>
    <w:rsid w:val="007F0C75"/>
    <w:rsid w:val="007F115D"/>
    <w:rsid w:val="007F1165"/>
    <w:rsid w:val="007F138A"/>
    <w:rsid w:val="007F143E"/>
    <w:rsid w:val="007F1541"/>
    <w:rsid w:val="007F16C3"/>
    <w:rsid w:val="007F1783"/>
    <w:rsid w:val="007F18EB"/>
    <w:rsid w:val="007F1B8D"/>
    <w:rsid w:val="007F1BA9"/>
    <w:rsid w:val="007F1C55"/>
    <w:rsid w:val="007F1E4A"/>
    <w:rsid w:val="007F213D"/>
    <w:rsid w:val="007F229A"/>
    <w:rsid w:val="007F2422"/>
    <w:rsid w:val="007F27D1"/>
    <w:rsid w:val="007F2B95"/>
    <w:rsid w:val="007F2C46"/>
    <w:rsid w:val="007F2CAA"/>
    <w:rsid w:val="007F2E85"/>
    <w:rsid w:val="007F2E9D"/>
    <w:rsid w:val="007F312D"/>
    <w:rsid w:val="007F31D8"/>
    <w:rsid w:val="007F3282"/>
    <w:rsid w:val="007F32C0"/>
    <w:rsid w:val="007F337E"/>
    <w:rsid w:val="007F338E"/>
    <w:rsid w:val="007F35EC"/>
    <w:rsid w:val="007F378C"/>
    <w:rsid w:val="007F380A"/>
    <w:rsid w:val="007F39A9"/>
    <w:rsid w:val="007F3A88"/>
    <w:rsid w:val="007F3B72"/>
    <w:rsid w:val="007F3F6C"/>
    <w:rsid w:val="007F3FF9"/>
    <w:rsid w:val="007F4058"/>
    <w:rsid w:val="007F4194"/>
    <w:rsid w:val="007F41BD"/>
    <w:rsid w:val="007F4292"/>
    <w:rsid w:val="007F42A0"/>
    <w:rsid w:val="007F42E7"/>
    <w:rsid w:val="007F45CD"/>
    <w:rsid w:val="007F461D"/>
    <w:rsid w:val="007F467A"/>
    <w:rsid w:val="007F49C2"/>
    <w:rsid w:val="007F4C6E"/>
    <w:rsid w:val="007F4CA7"/>
    <w:rsid w:val="007F4DED"/>
    <w:rsid w:val="007F4EF9"/>
    <w:rsid w:val="007F4F64"/>
    <w:rsid w:val="007F5048"/>
    <w:rsid w:val="007F52AA"/>
    <w:rsid w:val="007F52F6"/>
    <w:rsid w:val="007F5357"/>
    <w:rsid w:val="007F5424"/>
    <w:rsid w:val="007F57E5"/>
    <w:rsid w:val="007F5A29"/>
    <w:rsid w:val="007F5BEF"/>
    <w:rsid w:val="007F5D1D"/>
    <w:rsid w:val="007F6067"/>
    <w:rsid w:val="007F608D"/>
    <w:rsid w:val="007F62F4"/>
    <w:rsid w:val="007F64D8"/>
    <w:rsid w:val="007F67CC"/>
    <w:rsid w:val="007F6884"/>
    <w:rsid w:val="007F68CF"/>
    <w:rsid w:val="007F697E"/>
    <w:rsid w:val="007F69BB"/>
    <w:rsid w:val="007F6C02"/>
    <w:rsid w:val="007F6EAB"/>
    <w:rsid w:val="007F7226"/>
    <w:rsid w:val="007F7449"/>
    <w:rsid w:val="007F74FD"/>
    <w:rsid w:val="007F755F"/>
    <w:rsid w:val="007F77E2"/>
    <w:rsid w:val="007F780F"/>
    <w:rsid w:val="007F7AA0"/>
    <w:rsid w:val="007F7AF2"/>
    <w:rsid w:val="007F7AFD"/>
    <w:rsid w:val="007F7B04"/>
    <w:rsid w:val="007F7E65"/>
    <w:rsid w:val="007F7EEC"/>
    <w:rsid w:val="00800018"/>
    <w:rsid w:val="00800064"/>
    <w:rsid w:val="00800188"/>
    <w:rsid w:val="00800198"/>
    <w:rsid w:val="00800200"/>
    <w:rsid w:val="00800226"/>
    <w:rsid w:val="008004C4"/>
    <w:rsid w:val="00800562"/>
    <w:rsid w:val="0080058F"/>
    <w:rsid w:val="0080059C"/>
    <w:rsid w:val="008005D0"/>
    <w:rsid w:val="00800691"/>
    <w:rsid w:val="008006DD"/>
    <w:rsid w:val="00800772"/>
    <w:rsid w:val="008007DC"/>
    <w:rsid w:val="008008B2"/>
    <w:rsid w:val="00800987"/>
    <w:rsid w:val="00800E46"/>
    <w:rsid w:val="00801558"/>
    <w:rsid w:val="00801879"/>
    <w:rsid w:val="00801AC5"/>
    <w:rsid w:val="00801AE2"/>
    <w:rsid w:val="00801AFF"/>
    <w:rsid w:val="00801CC0"/>
    <w:rsid w:val="00801EE0"/>
    <w:rsid w:val="00801F9E"/>
    <w:rsid w:val="00802597"/>
    <w:rsid w:val="008026AD"/>
    <w:rsid w:val="008026DC"/>
    <w:rsid w:val="00802874"/>
    <w:rsid w:val="0080291A"/>
    <w:rsid w:val="008029A5"/>
    <w:rsid w:val="00802A4C"/>
    <w:rsid w:val="00802CA7"/>
    <w:rsid w:val="00802DCE"/>
    <w:rsid w:val="008030E7"/>
    <w:rsid w:val="008033D3"/>
    <w:rsid w:val="00803485"/>
    <w:rsid w:val="0080350C"/>
    <w:rsid w:val="00803A85"/>
    <w:rsid w:val="00803BA2"/>
    <w:rsid w:val="00803BE6"/>
    <w:rsid w:val="00803F3A"/>
    <w:rsid w:val="00803F92"/>
    <w:rsid w:val="00804042"/>
    <w:rsid w:val="00804062"/>
    <w:rsid w:val="00804134"/>
    <w:rsid w:val="00804191"/>
    <w:rsid w:val="008043D7"/>
    <w:rsid w:val="00804898"/>
    <w:rsid w:val="00804AB7"/>
    <w:rsid w:val="00804AE9"/>
    <w:rsid w:val="00804E62"/>
    <w:rsid w:val="00804EB6"/>
    <w:rsid w:val="00804F4C"/>
    <w:rsid w:val="00804FFE"/>
    <w:rsid w:val="008051D9"/>
    <w:rsid w:val="008051DB"/>
    <w:rsid w:val="00805302"/>
    <w:rsid w:val="008053B2"/>
    <w:rsid w:val="0080556C"/>
    <w:rsid w:val="00805774"/>
    <w:rsid w:val="008057C3"/>
    <w:rsid w:val="00805948"/>
    <w:rsid w:val="00805A11"/>
    <w:rsid w:val="00805D38"/>
    <w:rsid w:val="00805E47"/>
    <w:rsid w:val="00805F05"/>
    <w:rsid w:val="00806017"/>
    <w:rsid w:val="008061ED"/>
    <w:rsid w:val="008062BB"/>
    <w:rsid w:val="008062D5"/>
    <w:rsid w:val="0080679C"/>
    <w:rsid w:val="00806825"/>
    <w:rsid w:val="00806A01"/>
    <w:rsid w:val="00806B06"/>
    <w:rsid w:val="00806BA2"/>
    <w:rsid w:val="00806C4C"/>
    <w:rsid w:val="00806DA4"/>
    <w:rsid w:val="00806F9E"/>
    <w:rsid w:val="00806F9F"/>
    <w:rsid w:val="00806FCD"/>
    <w:rsid w:val="00806FEE"/>
    <w:rsid w:val="0080709B"/>
    <w:rsid w:val="008072EC"/>
    <w:rsid w:val="008075C3"/>
    <w:rsid w:val="00807793"/>
    <w:rsid w:val="00807855"/>
    <w:rsid w:val="00807ACD"/>
    <w:rsid w:val="00807AF6"/>
    <w:rsid w:val="00807BDD"/>
    <w:rsid w:val="00807F58"/>
    <w:rsid w:val="00810188"/>
    <w:rsid w:val="008102E3"/>
    <w:rsid w:val="008103AE"/>
    <w:rsid w:val="008105C3"/>
    <w:rsid w:val="00810663"/>
    <w:rsid w:val="00810778"/>
    <w:rsid w:val="00810792"/>
    <w:rsid w:val="00810895"/>
    <w:rsid w:val="00810934"/>
    <w:rsid w:val="00810C0A"/>
    <w:rsid w:val="00810DD7"/>
    <w:rsid w:val="00810F16"/>
    <w:rsid w:val="008110E6"/>
    <w:rsid w:val="0081116E"/>
    <w:rsid w:val="00811205"/>
    <w:rsid w:val="008112A7"/>
    <w:rsid w:val="00811436"/>
    <w:rsid w:val="0081143E"/>
    <w:rsid w:val="008116DD"/>
    <w:rsid w:val="00811814"/>
    <w:rsid w:val="008118D0"/>
    <w:rsid w:val="00811970"/>
    <w:rsid w:val="008119F3"/>
    <w:rsid w:val="00811A61"/>
    <w:rsid w:val="00811C32"/>
    <w:rsid w:val="00811D3F"/>
    <w:rsid w:val="00811D48"/>
    <w:rsid w:val="00811F0B"/>
    <w:rsid w:val="00811FC7"/>
    <w:rsid w:val="0081223B"/>
    <w:rsid w:val="008123D4"/>
    <w:rsid w:val="008124BB"/>
    <w:rsid w:val="008124FC"/>
    <w:rsid w:val="008125F4"/>
    <w:rsid w:val="00812609"/>
    <w:rsid w:val="008128AF"/>
    <w:rsid w:val="00812951"/>
    <w:rsid w:val="008129AC"/>
    <w:rsid w:val="00812D08"/>
    <w:rsid w:val="00812F3F"/>
    <w:rsid w:val="00812F7C"/>
    <w:rsid w:val="00813050"/>
    <w:rsid w:val="0081328D"/>
    <w:rsid w:val="00813331"/>
    <w:rsid w:val="008133BB"/>
    <w:rsid w:val="00813486"/>
    <w:rsid w:val="008137AC"/>
    <w:rsid w:val="008137BC"/>
    <w:rsid w:val="00813B09"/>
    <w:rsid w:val="00813BD1"/>
    <w:rsid w:val="00813CC1"/>
    <w:rsid w:val="00813D1C"/>
    <w:rsid w:val="00813F12"/>
    <w:rsid w:val="00814979"/>
    <w:rsid w:val="00814AB0"/>
    <w:rsid w:val="00814BE1"/>
    <w:rsid w:val="00814CEF"/>
    <w:rsid w:val="00814F8B"/>
    <w:rsid w:val="008150E0"/>
    <w:rsid w:val="008151C1"/>
    <w:rsid w:val="0081535F"/>
    <w:rsid w:val="008154A6"/>
    <w:rsid w:val="00815833"/>
    <w:rsid w:val="00815A0E"/>
    <w:rsid w:val="00815A94"/>
    <w:rsid w:val="00815B39"/>
    <w:rsid w:val="00815C08"/>
    <w:rsid w:val="00815C18"/>
    <w:rsid w:val="00815C28"/>
    <w:rsid w:val="00815D73"/>
    <w:rsid w:val="00815E69"/>
    <w:rsid w:val="00816144"/>
    <w:rsid w:val="008161F4"/>
    <w:rsid w:val="008163DA"/>
    <w:rsid w:val="00816609"/>
    <w:rsid w:val="00816621"/>
    <w:rsid w:val="00816751"/>
    <w:rsid w:val="00816765"/>
    <w:rsid w:val="00816842"/>
    <w:rsid w:val="0081699A"/>
    <w:rsid w:val="00816B2C"/>
    <w:rsid w:val="00816BD5"/>
    <w:rsid w:val="00816D91"/>
    <w:rsid w:val="0081716B"/>
    <w:rsid w:val="0081728D"/>
    <w:rsid w:val="0081734F"/>
    <w:rsid w:val="008175BD"/>
    <w:rsid w:val="008177A2"/>
    <w:rsid w:val="00817968"/>
    <w:rsid w:val="00817AC1"/>
    <w:rsid w:val="00817BF7"/>
    <w:rsid w:val="00817CA9"/>
    <w:rsid w:val="00817EA3"/>
    <w:rsid w:val="00817FF3"/>
    <w:rsid w:val="00820047"/>
    <w:rsid w:val="00820087"/>
    <w:rsid w:val="008200C0"/>
    <w:rsid w:val="00820113"/>
    <w:rsid w:val="00820248"/>
    <w:rsid w:val="0082029D"/>
    <w:rsid w:val="0082037E"/>
    <w:rsid w:val="008204EC"/>
    <w:rsid w:val="008209DF"/>
    <w:rsid w:val="00820C9B"/>
    <w:rsid w:val="00820E1F"/>
    <w:rsid w:val="00820F6A"/>
    <w:rsid w:val="008211AA"/>
    <w:rsid w:val="0082134F"/>
    <w:rsid w:val="0082146C"/>
    <w:rsid w:val="008215F5"/>
    <w:rsid w:val="00821A28"/>
    <w:rsid w:val="00821B44"/>
    <w:rsid w:val="00821B8E"/>
    <w:rsid w:val="00821E80"/>
    <w:rsid w:val="00821F52"/>
    <w:rsid w:val="00822061"/>
    <w:rsid w:val="0082238E"/>
    <w:rsid w:val="008226A0"/>
    <w:rsid w:val="008227F7"/>
    <w:rsid w:val="0082287B"/>
    <w:rsid w:val="008229E7"/>
    <w:rsid w:val="00822B8A"/>
    <w:rsid w:val="00822E0A"/>
    <w:rsid w:val="00823357"/>
    <w:rsid w:val="00823360"/>
    <w:rsid w:val="008233B9"/>
    <w:rsid w:val="008233EE"/>
    <w:rsid w:val="00823446"/>
    <w:rsid w:val="00823654"/>
    <w:rsid w:val="0082372C"/>
    <w:rsid w:val="008239BC"/>
    <w:rsid w:val="00823D37"/>
    <w:rsid w:val="00823DF0"/>
    <w:rsid w:val="0082409F"/>
    <w:rsid w:val="008240ED"/>
    <w:rsid w:val="00824130"/>
    <w:rsid w:val="00824131"/>
    <w:rsid w:val="00824159"/>
    <w:rsid w:val="008242C2"/>
    <w:rsid w:val="008245C8"/>
    <w:rsid w:val="00824626"/>
    <w:rsid w:val="00824640"/>
    <w:rsid w:val="0082466E"/>
    <w:rsid w:val="008246AF"/>
    <w:rsid w:val="00824816"/>
    <w:rsid w:val="00824C9B"/>
    <w:rsid w:val="00824D7B"/>
    <w:rsid w:val="00824D91"/>
    <w:rsid w:val="008251FE"/>
    <w:rsid w:val="00825207"/>
    <w:rsid w:val="00825287"/>
    <w:rsid w:val="00825427"/>
    <w:rsid w:val="008254DC"/>
    <w:rsid w:val="008256FF"/>
    <w:rsid w:val="0082592B"/>
    <w:rsid w:val="00825C4D"/>
    <w:rsid w:val="00825DBC"/>
    <w:rsid w:val="00825E1C"/>
    <w:rsid w:val="008261A4"/>
    <w:rsid w:val="008261A8"/>
    <w:rsid w:val="008261B0"/>
    <w:rsid w:val="00826390"/>
    <w:rsid w:val="00826412"/>
    <w:rsid w:val="00826472"/>
    <w:rsid w:val="00826506"/>
    <w:rsid w:val="008265CC"/>
    <w:rsid w:val="008265D5"/>
    <w:rsid w:val="008267FE"/>
    <w:rsid w:val="00826AAA"/>
    <w:rsid w:val="00826D9C"/>
    <w:rsid w:val="00826EE6"/>
    <w:rsid w:val="00827053"/>
    <w:rsid w:val="008270D6"/>
    <w:rsid w:val="008273A3"/>
    <w:rsid w:val="0082761F"/>
    <w:rsid w:val="00827621"/>
    <w:rsid w:val="008277FB"/>
    <w:rsid w:val="0082796B"/>
    <w:rsid w:val="00827976"/>
    <w:rsid w:val="00827A17"/>
    <w:rsid w:val="00827B8E"/>
    <w:rsid w:val="00827F1C"/>
    <w:rsid w:val="00827FF3"/>
    <w:rsid w:val="008301E4"/>
    <w:rsid w:val="00830235"/>
    <w:rsid w:val="0083024A"/>
    <w:rsid w:val="0083044C"/>
    <w:rsid w:val="00830451"/>
    <w:rsid w:val="008304AF"/>
    <w:rsid w:val="0083061E"/>
    <w:rsid w:val="008307A8"/>
    <w:rsid w:val="00830807"/>
    <w:rsid w:val="00830919"/>
    <w:rsid w:val="00830990"/>
    <w:rsid w:val="00830B3A"/>
    <w:rsid w:val="00830C6D"/>
    <w:rsid w:val="00830D5F"/>
    <w:rsid w:val="00830E20"/>
    <w:rsid w:val="008310B2"/>
    <w:rsid w:val="0083116C"/>
    <w:rsid w:val="00831361"/>
    <w:rsid w:val="00831587"/>
    <w:rsid w:val="008315CB"/>
    <w:rsid w:val="008318C9"/>
    <w:rsid w:val="008319DF"/>
    <w:rsid w:val="00831C95"/>
    <w:rsid w:val="00831C9D"/>
    <w:rsid w:val="00831CC7"/>
    <w:rsid w:val="00831DD5"/>
    <w:rsid w:val="00831E3A"/>
    <w:rsid w:val="00831F1D"/>
    <w:rsid w:val="008321A7"/>
    <w:rsid w:val="00832333"/>
    <w:rsid w:val="0083262C"/>
    <w:rsid w:val="00832737"/>
    <w:rsid w:val="00832A4E"/>
    <w:rsid w:val="00832A61"/>
    <w:rsid w:val="00832A98"/>
    <w:rsid w:val="00832AF0"/>
    <w:rsid w:val="00832BD7"/>
    <w:rsid w:val="00832D60"/>
    <w:rsid w:val="00832D84"/>
    <w:rsid w:val="00833034"/>
    <w:rsid w:val="00833043"/>
    <w:rsid w:val="0083321D"/>
    <w:rsid w:val="0083335A"/>
    <w:rsid w:val="00833398"/>
    <w:rsid w:val="0083362C"/>
    <w:rsid w:val="008336C4"/>
    <w:rsid w:val="00833898"/>
    <w:rsid w:val="00833A69"/>
    <w:rsid w:val="00833AE9"/>
    <w:rsid w:val="00833BAC"/>
    <w:rsid w:val="00833BFD"/>
    <w:rsid w:val="00833ED5"/>
    <w:rsid w:val="0083406E"/>
    <w:rsid w:val="008340D0"/>
    <w:rsid w:val="00834151"/>
    <w:rsid w:val="0083417C"/>
    <w:rsid w:val="00834297"/>
    <w:rsid w:val="0083442C"/>
    <w:rsid w:val="008345DA"/>
    <w:rsid w:val="00834626"/>
    <w:rsid w:val="00834806"/>
    <w:rsid w:val="0083496B"/>
    <w:rsid w:val="00834AA9"/>
    <w:rsid w:val="00834CB8"/>
    <w:rsid w:val="00834D5B"/>
    <w:rsid w:val="00834F22"/>
    <w:rsid w:val="00835041"/>
    <w:rsid w:val="00835048"/>
    <w:rsid w:val="00835155"/>
    <w:rsid w:val="00835355"/>
    <w:rsid w:val="00835377"/>
    <w:rsid w:val="00835553"/>
    <w:rsid w:val="008355FE"/>
    <w:rsid w:val="008356CC"/>
    <w:rsid w:val="00835707"/>
    <w:rsid w:val="008357DC"/>
    <w:rsid w:val="00835806"/>
    <w:rsid w:val="00835C9D"/>
    <w:rsid w:val="00835DF6"/>
    <w:rsid w:val="00835F9F"/>
    <w:rsid w:val="0083604A"/>
    <w:rsid w:val="008360BB"/>
    <w:rsid w:val="008361F1"/>
    <w:rsid w:val="008362DA"/>
    <w:rsid w:val="0083633A"/>
    <w:rsid w:val="008363FB"/>
    <w:rsid w:val="0083653A"/>
    <w:rsid w:val="00836708"/>
    <w:rsid w:val="008367E4"/>
    <w:rsid w:val="0083684F"/>
    <w:rsid w:val="0083688C"/>
    <w:rsid w:val="00836A13"/>
    <w:rsid w:val="00836B20"/>
    <w:rsid w:val="00836DF0"/>
    <w:rsid w:val="00836E6D"/>
    <w:rsid w:val="00836EBF"/>
    <w:rsid w:val="00836EF0"/>
    <w:rsid w:val="00837048"/>
    <w:rsid w:val="0083706C"/>
    <w:rsid w:val="0083709F"/>
    <w:rsid w:val="00837269"/>
    <w:rsid w:val="008373EE"/>
    <w:rsid w:val="0083748D"/>
    <w:rsid w:val="008374BF"/>
    <w:rsid w:val="00837552"/>
    <w:rsid w:val="008376BE"/>
    <w:rsid w:val="0083781F"/>
    <w:rsid w:val="00837A37"/>
    <w:rsid w:val="00837AEE"/>
    <w:rsid w:val="00837B41"/>
    <w:rsid w:val="00837B5F"/>
    <w:rsid w:val="008400EC"/>
    <w:rsid w:val="00840397"/>
    <w:rsid w:val="008403A5"/>
    <w:rsid w:val="0084058A"/>
    <w:rsid w:val="0084060A"/>
    <w:rsid w:val="00840633"/>
    <w:rsid w:val="00840A0E"/>
    <w:rsid w:val="00840B47"/>
    <w:rsid w:val="00840B93"/>
    <w:rsid w:val="00840D25"/>
    <w:rsid w:val="00840DED"/>
    <w:rsid w:val="00840EBE"/>
    <w:rsid w:val="00841065"/>
    <w:rsid w:val="00841427"/>
    <w:rsid w:val="00841449"/>
    <w:rsid w:val="00841509"/>
    <w:rsid w:val="00841513"/>
    <w:rsid w:val="00841706"/>
    <w:rsid w:val="00841741"/>
    <w:rsid w:val="00841949"/>
    <w:rsid w:val="00841AC9"/>
    <w:rsid w:val="00841ACA"/>
    <w:rsid w:val="00841FD7"/>
    <w:rsid w:val="00842143"/>
    <w:rsid w:val="008421E0"/>
    <w:rsid w:val="0084233F"/>
    <w:rsid w:val="008424E8"/>
    <w:rsid w:val="0084251A"/>
    <w:rsid w:val="00842796"/>
    <w:rsid w:val="0084281F"/>
    <w:rsid w:val="00842942"/>
    <w:rsid w:val="008429E5"/>
    <w:rsid w:val="00842B30"/>
    <w:rsid w:val="00842B72"/>
    <w:rsid w:val="00842B99"/>
    <w:rsid w:val="00842BF2"/>
    <w:rsid w:val="00842C16"/>
    <w:rsid w:val="00842CEE"/>
    <w:rsid w:val="00842D0F"/>
    <w:rsid w:val="00842DE8"/>
    <w:rsid w:val="00842E02"/>
    <w:rsid w:val="00842FF8"/>
    <w:rsid w:val="0084316D"/>
    <w:rsid w:val="008431C9"/>
    <w:rsid w:val="00843210"/>
    <w:rsid w:val="00843332"/>
    <w:rsid w:val="0084340F"/>
    <w:rsid w:val="008435B3"/>
    <w:rsid w:val="0084376C"/>
    <w:rsid w:val="008438FA"/>
    <w:rsid w:val="00843930"/>
    <w:rsid w:val="00844002"/>
    <w:rsid w:val="008440C0"/>
    <w:rsid w:val="0084410A"/>
    <w:rsid w:val="00844198"/>
    <w:rsid w:val="00844374"/>
    <w:rsid w:val="008444BE"/>
    <w:rsid w:val="00844AA2"/>
    <w:rsid w:val="00844CE8"/>
    <w:rsid w:val="00844D21"/>
    <w:rsid w:val="00844D47"/>
    <w:rsid w:val="00844F20"/>
    <w:rsid w:val="00844F24"/>
    <w:rsid w:val="00844F92"/>
    <w:rsid w:val="00845055"/>
    <w:rsid w:val="008450E1"/>
    <w:rsid w:val="00845155"/>
    <w:rsid w:val="0084515D"/>
    <w:rsid w:val="008455F1"/>
    <w:rsid w:val="008457F8"/>
    <w:rsid w:val="00845AAD"/>
    <w:rsid w:val="00845E6D"/>
    <w:rsid w:val="008460AB"/>
    <w:rsid w:val="008461B6"/>
    <w:rsid w:val="008461D9"/>
    <w:rsid w:val="008464EA"/>
    <w:rsid w:val="008466D3"/>
    <w:rsid w:val="008466DE"/>
    <w:rsid w:val="008466EF"/>
    <w:rsid w:val="00846781"/>
    <w:rsid w:val="00846C41"/>
    <w:rsid w:val="00846E5F"/>
    <w:rsid w:val="00846FD0"/>
    <w:rsid w:val="00847046"/>
    <w:rsid w:val="0084716D"/>
    <w:rsid w:val="008471F2"/>
    <w:rsid w:val="00847358"/>
    <w:rsid w:val="008474FC"/>
    <w:rsid w:val="0084760F"/>
    <w:rsid w:val="0084795A"/>
    <w:rsid w:val="00847A56"/>
    <w:rsid w:val="00847A96"/>
    <w:rsid w:val="00847AAD"/>
    <w:rsid w:val="00847D74"/>
    <w:rsid w:val="00847E58"/>
    <w:rsid w:val="00847F42"/>
    <w:rsid w:val="0085002C"/>
    <w:rsid w:val="0085004C"/>
    <w:rsid w:val="0085014F"/>
    <w:rsid w:val="008502D8"/>
    <w:rsid w:val="0085062C"/>
    <w:rsid w:val="00850819"/>
    <w:rsid w:val="0085089C"/>
    <w:rsid w:val="008508D5"/>
    <w:rsid w:val="008508D8"/>
    <w:rsid w:val="0085097D"/>
    <w:rsid w:val="008509CD"/>
    <w:rsid w:val="00850A3D"/>
    <w:rsid w:val="00850A7B"/>
    <w:rsid w:val="00850BFB"/>
    <w:rsid w:val="00850C02"/>
    <w:rsid w:val="00850C7A"/>
    <w:rsid w:val="00850E3B"/>
    <w:rsid w:val="0085124A"/>
    <w:rsid w:val="0085126A"/>
    <w:rsid w:val="008512B3"/>
    <w:rsid w:val="008512D6"/>
    <w:rsid w:val="00851411"/>
    <w:rsid w:val="008515DE"/>
    <w:rsid w:val="0085188F"/>
    <w:rsid w:val="00851913"/>
    <w:rsid w:val="00851B2C"/>
    <w:rsid w:val="00851B5C"/>
    <w:rsid w:val="00851CFD"/>
    <w:rsid w:val="00851F83"/>
    <w:rsid w:val="00852007"/>
    <w:rsid w:val="00852056"/>
    <w:rsid w:val="008520B5"/>
    <w:rsid w:val="008522EC"/>
    <w:rsid w:val="00852639"/>
    <w:rsid w:val="008528DD"/>
    <w:rsid w:val="00852B42"/>
    <w:rsid w:val="00852B94"/>
    <w:rsid w:val="00852CF7"/>
    <w:rsid w:val="00852E49"/>
    <w:rsid w:val="00852E65"/>
    <w:rsid w:val="00853226"/>
    <w:rsid w:val="00853302"/>
    <w:rsid w:val="008533C9"/>
    <w:rsid w:val="008534BB"/>
    <w:rsid w:val="00853809"/>
    <w:rsid w:val="00853A63"/>
    <w:rsid w:val="00853C22"/>
    <w:rsid w:val="00853CD7"/>
    <w:rsid w:val="00853D5C"/>
    <w:rsid w:val="0085404E"/>
    <w:rsid w:val="0085419E"/>
    <w:rsid w:val="0085432C"/>
    <w:rsid w:val="0085447C"/>
    <w:rsid w:val="008544A6"/>
    <w:rsid w:val="0085451A"/>
    <w:rsid w:val="00854685"/>
    <w:rsid w:val="008549D2"/>
    <w:rsid w:val="00854A0C"/>
    <w:rsid w:val="00854E23"/>
    <w:rsid w:val="008551C5"/>
    <w:rsid w:val="00855373"/>
    <w:rsid w:val="00855403"/>
    <w:rsid w:val="00855493"/>
    <w:rsid w:val="008554CC"/>
    <w:rsid w:val="0085588C"/>
    <w:rsid w:val="00855920"/>
    <w:rsid w:val="0085593B"/>
    <w:rsid w:val="00855B72"/>
    <w:rsid w:val="00855BEB"/>
    <w:rsid w:val="00855C59"/>
    <w:rsid w:val="00855CAB"/>
    <w:rsid w:val="0085603E"/>
    <w:rsid w:val="00856539"/>
    <w:rsid w:val="008565B1"/>
    <w:rsid w:val="00856666"/>
    <w:rsid w:val="00856C50"/>
    <w:rsid w:val="00856D22"/>
    <w:rsid w:val="00856EDA"/>
    <w:rsid w:val="0085706A"/>
    <w:rsid w:val="00857091"/>
    <w:rsid w:val="0085735F"/>
    <w:rsid w:val="00857366"/>
    <w:rsid w:val="0085745D"/>
    <w:rsid w:val="008574FA"/>
    <w:rsid w:val="00857724"/>
    <w:rsid w:val="00857801"/>
    <w:rsid w:val="00857A4F"/>
    <w:rsid w:val="00857CEF"/>
    <w:rsid w:val="00857D56"/>
    <w:rsid w:val="00857EEC"/>
    <w:rsid w:val="00860030"/>
    <w:rsid w:val="0086030A"/>
    <w:rsid w:val="00860311"/>
    <w:rsid w:val="00860316"/>
    <w:rsid w:val="008603CB"/>
    <w:rsid w:val="00860450"/>
    <w:rsid w:val="0086049C"/>
    <w:rsid w:val="008604AE"/>
    <w:rsid w:val="00860602"/>
    <w:rsid w:val="00860901"/>
    <w:rsid w:val="00860C35"/>
    <w:rsid w:val="00861014"/>
    <w:rsid w:val="0086118B"/>
    <w:rsid w:val="008611A7"/>
    <w:rsid w:val="00861235"/>
    <w:rsid w:val="00861589"/>
    <w:rsid w:val="0086186E"/>
    <w:rsid w:val="00861876"/>
    <w:rsid w:val="00861BCA"/>
    <w:rsid w:val="00861D3F"/>
    <w:rsid w:val="00861D9B"/>
    <w:rsid w:val="00861D9D"/>
    <w:rsid w:val="00861FA9"/>
    <w:rsid w:val="0086220F"/>
    <w:rsid w:val="008623BE"/>
    <w:rsid w:val="0086247C"/>
    <w:rsid w:val="008624AE"/>
    <w:rsid w:val="008624EB"/>
    <w:rsid w:val="00862567"/>
    <w:rsid w:val="0086258F"/>
    <w:rsid w:val="00862848"/>
    <w:rsid w:val="00862909"/>
    <w:rsid w:val="00862958"/>
    <w:rsid w:val="00862F23"/>
    <w:rsid w:val="00863038"/>
    <w:rsid w:val="0086346A"/>
    <w:rsid w:val="008637A0"/>
    <w:rsid w:val="008638C9"/>
    <w:rsid w:val="008639DB"/>
    <w:rsid w:val="00863AF9"/>
    <w:rsid w:val="00863B34"/>
    <w:rsid w:val="00863DBB"/>
    <w:rsid w:val="00863E56"/>
    <w:rsid w:val="00863F98"/>
    <w:rsid w:val="00864019"/>
    <w:rsid w:val="008640EF"/>
    <w:rsid w:val="0086412C"/>
    <w:rsid w:val="0086422D"/>
    <w:rsid w:val="00864371"/>
    <w:rsid w:val="00864401"/>
    <w:rsid w:val="008645A4"/>
    <w:rsid w:val="00864A87"/>
    <w:rsid w:val="00864BB3"/>
    <w:rsid w:val="00864F19"/>
    <w:rsid w:val="00865264"/>
    <w:rsid w:val="008652FE"/>
    <w:rsid w:val="00865440"/>
    <w:rsid w:val="00865449"/>
    <w:rsid w:val="0086565B"/>
    <w:rsid w:val="00865A0B"/>
    <w:rsid w:val="00865DFB"/>
    <w:rsid w:val="00866242"/>
    <w:rsid w:val="008665FC"/>
    <w:rsid w:val="008666CA"/>
    <w:rsid w:val="008667B4"/>
    <w:rsid w:val="00866828"/>
    <w:rsid w:val="008668C4"/>
    <w:rsid w:val="008668C6"/>
    <w:rsid w:val="00866E56"/>
    <w:rsid w:val="00866E9F"/>
    <w:rsid w:val="0086709E"/>
    <w:rsid w:val="00867269"/>
    <w:rsid w:val="008672F9"/>
    <w:rsid w:val="00867506"/>
    <w:rsid w:val="00867835"/>
    <w:rsid w:val="00867929"/>
    <w:rsid w:val="0086792E"/>
    <w:rsid w:val="00867D44"/>
    <w:rsid w:val="00867D70"/>
    <w:rsid w:val="00867DE0"/>
    <w:rsid w:val="008701CD"/>
    <w:rsid w:val="00870212"/>
    <w:rsid w:val="00870472"/>
    <w:rsid w:val="008704EB"/>
    <w:rsid w:val="008707DC"/>
    <w:rsid w:val="00870A3E"/>
    <w:rsid w:val="00870B66"/>
    <w:rsid w:val="00870C7D"/>
    <w:rsid w:val="00870E4F"/>
    <w:rsid w:val="00870E5A"/>
    <w:rsid w:val="00870EAE"/>
    <w:rsid w:val="00870EC5"/>
    <w:rsid w:val="00870F72"/>
    <w:rsid w:val="00870F97"/>
    <w:rsid w:val="00870FFC"/>
    <w:rsid w:val="008710D8"/>
    <w:rsid w:val="0087115B"/>
    <w:rsid w:val="008713F7"/>
    <w:rsid w:val="00871431"/>
    <w:rsid w:val="008715ED"/>
    <w:rsid w:val="00871653"/>
    <w:rsid w:val="00871979"/>
    <w:rsid w:val="00871A0D"/>
    <w:rsid w:val="00871B11"/>
    <w:rsid w:val="00871ED6"/>
    <w:rsid w:val="00871ED7"/>
    <w:rsid w:val="00871EED"/>
    <w:rsid w:val="00871F3A"/>
    <w:rsid w:val="00872017"/>
    <w:rsid w:val="00872172"/>
    <w:rsid w:val="00872204"/>
    <w:rsid w:val="0087252A"/>
    <w:rsid w:val="00872AFA"/>
    <w:rsid w:val="00872B1A"/>
    <w:rsid w:val="00872BF8"/>
    <w:rsid w:val="00872D1E"/>
    <w:rsid w:val="0087309C"/>
    <w:rsid w:val="00873283"/>
    <w:rsid w:val="008733CA"/>
    <w:rsid w:val="00873487"/>
    <w:rsid w:val="008736E5"/>
    <w:rsid w:val="0087373E"/>
    <w:rsid w:val="00873787"/>
    <w:rsid w:val="008737F8"/>
    <w:rsid w:val="00873817"/>
    <w:rsid w:val="0087399B"/>
    <w:rsid w:val="00873FD5"/>
    <w:rsid w:val="00874017"/>
    <w:rsid w:val="00874143"/>
    <w:rsid w:val="008741E5"/>
    <w:rsid w:val="00874340"/>
    <w:rsid w:val="00874593"/>
    <w:rsid w:val="008748A2"/>
    <w:rsid w:val="00874A09"/>
    <w:rsid w:val="00874A65"/>
    <w:rsid w:val="00874FE8"/>
    <w:rsid w:val="00875286"/>
    <w:rsid w:val="008757E7"/>
    <w:rsid w:val="0087597D"/>
    <w:rsid w:val="00875A30"/>
    <w:rsid w:val="00875B39"/>
    <w:rsid w:val="00875BCA"/>
    <w:rsid w:val="00875C08"/>
    <w:rsid w:val="00875C9D"/>
    <w:rsid w:val="00875E34"/>
    <w:rsid w:val="00875F6A"/>
    <w:rsid w:val="00875F89"/>
    <w:rsid w:val="008760C3"/>
    <w:rsid w:val="0087629A"/>
    <w:rsid w:val="0087639A"/>
    <w:rsid w:val="008763ED"/>
    <w:rsid w:val="00876580"/>
    <w:rsid w:val="0087689E"/>
    <w:rsid w:val="008768A1"/>
    <w:rsid w:val="00876925"/>
    <w:rsid w:val="0087692E"/>
    <w:rsid w:val="008769DE"/>
    <w:rsid w:val="00876BC1"/>
    <w:rsid w:val="00876DAE"/>
    <w:rsid w:val="00876F97"/>
    <w:rsid w:val="00876FC9"/>
    <w:rsid w:val="0087708B"/>
    <w:rsid w:val="008771C0"/>
    <w:rsid w:val="008772DD"/>
    <w:rsid w:val="00877892"/>
    <w:rsid w:val="00877899"/>
    <w:rsid w:val="008778CF"/>
    <w:rsid w:val="0087799D"/>
    <w:rsid w:val="00877A1A"/>
    <w:rsid w:val="00877A1E"/>
    <w:rsid w:val="00877CEB"/>
    <w:rsid w:val="00877CEF"/>
    <w:rsid w:val="00877D3E"/>
    <w:rsid w:val="00877EDB"/>
    <w:rsid w:val="00880035"/>
    <w:rsid w:val="008800C9"/>
    <w:rsid w:val="008801C8"/>
    <w:rsid w:val="0088035C"/>
    <w:rsid w:val="008803A5"/>
    <w:rsid w:val="008803B2"/>
    <w:rsid w:val="008806B2"/>
    <w:rsid w:val="00880865"/>
    <w:rsid w:val="00880971"/>
    <w:rsid w:val="00880BA1"/>
    <w:rsid w:val="00880BC0"/>
    <w:rsid w:val="00880EF4"/>
    <w:rsid w:val="00881303"/>
    <w:rsid w:val="0088132D"/>
    <w:rsid w:val="00881393"/>
    <w:rsid w:val="008815AC"/>
    <w:rsid w:val="00881A0D"/>
    <w:rsid w:val="00881A31"/>
    <w:rsid w:val="00881DDF"/>
    <w:rsid w:val="00881E2E"/>
    <w:rsid w:val="00881EDD"/>
    <w:rsid w:val="00881FB4"/>
    <w:rsid w:val="00881FFA"/>
    <w:rsid w:val="008821B8"/>
    <w:rsid w:val="00882466"/>
    <w:rsid w:val="00882709"/>
    <w:rsid w:val="008827EC"/>
    <w:rsid w:val="008828D4"/>
    <w:rsid w:val="008829D9"/>
    <w:rsid w:val="00882B9B"/>
    <w:rsid w:val="00882DB3"/>
    <w:rsid w:val="00882DD3"/>
    <w:rsid w:val="0088315D"/>
    <w:rsid w:val="00883908"/>
    <w:rsid w:val="00883C18"/>
    <w:rsid w:val="00883C96"/>
    <w:rsid w:val="008840F7"/>
    <w:rsid w:val="0088468B"/>
    <w:rsid w:val="008848CC"/>
    <w:rsid w:val="008849E5"/>
    <w:rsid w:val="00884BCC"/>
    <w:rsid w:val="00884BF8"/>
    <w:rsid w:val="00884D66"/>
    <w:rsid w:val="00884EFA"/>
    <w:rsid w:val="0088517E"/>
    <w:rsid w:val="0088524D"/>
    <w:rsid w:val="008854AC"/>
    <w:rsid w:val="008854D6"/>
    <w:rsid w:val="0088557B"/>
    <w:rsid w:val="00885850"/>
    <w:rsid w:val="008858AE"/>
    <w:rsid w:val="008858EF"/>
    <w:rsid w:val="00885A72"/>
    <w:rsid w:val="00885B7C"/>
    <w:rsid w:val="00885DD1"/>
    <w:rsid w:val="00885FCF"/>
    <w:rsid w:val="0088715C"/>
    <w:rsid w:val="008871B2"/>
    <w:rsid w:val="008874C8"/>
    <w:rsid w:val="008874CF"/>
    <w:rsid w:val="00887578"/>
    <w:rsid w:val="008875DF"/>
    <w:rsid w:val="008876CA"/>
    <w:rsid w:val="00887BC8"/>
    <w:rsid w:val="00887CC6"/>
    <w:rsid w:val="00887DA4"/>
    <w:rsid w:val="00887DCD"/>
    <w:rsid w:val="00887DEB"/>
    <w:rsid w:val="00890030"/>
    <w:rsid w:val="0089020F"/>
    <w:rsid w:val="0089028C"/>
    <w:rsid w:val="00890422"/>
    <w:rsid w:val="008905DF"/>
    <w:rsid w:val="0089070B"/>
    <w:rsid w:val="00890A0A"/>
    <w:rsid w:val="00890CD1"/>
    <w:rsid w:val="00890D50"/>
    <w:rsid w:val="00890F03"/>
    <w:rsid w:val="00890F5A"/>
    <w:rsid w:val="008910C2"/>
    <w:rsid w:val="008914C3"/>
    <w:rsid w:val="00891713"/>
    <w:rsid w:val="008917B6"/>
    <w:rsid w:val="008918E2"/>
    <w:rsid w:val="00891BB8"/>
    <w:rsid w:val="00891BE6"/>
    <w:rsid w:val="00891C16"/>
    <w:rsid w:val="00891D06"/>
    <w:rsid w:val="00891E8F"/>
    <w:rsid w:val="00892016"/>
    <w:rsid w:val="0089206F"/>
    <w:rsid w:val="0089228B"/>
    <w:rsid w:val="008922B0"/>
    <w:rsid w:val="00892619"/>
    <w:rsid w:val="00892734"/>
    <w:rsid w:val="0089279E"/>
    <w:rsid w:val="008927D7"/>
    <w:rsid w:val="00892843"/>
    <w:rsid w:val="00892955"/>
    <w:rsid w:val="00892B2E"/>
    <w:rsid w:val="00892C19"/>
    <w:rsid w:val="0089304A"/>
    <w:rsid w:val="00893107"/>
    <w:rsid w:val="00893321"/>
    <w:rsid w:val="00893360"/>
    <w:rsid w:val="0089366C"/>
    <w:rsid w:val="008937C0"/>
    <w:rsid w:val="00893FBA"/>
    <w:rsid w:val="0089402D"/>
    <w:rsid w:val="008941AC"/>
    <w:rsid w:val="008941E4"/>
    <w:rsid w:val="00894406"/>
    <w:rsid w:val="0089450A"/>
    <w:rsid w:val="0089464A"/>
    <w:rsid w:val="0089496C"/>
    <w:rsid w:val="0089497F"/>
    <w:rsid w:val="008949BC"/>
    <w:rsid w:val="008949E2"/>
    <w:rsid w:val="00894A17"/>
    <w:rsid w:val="00894A41"/>
    <w:rsid w:val="00894E05"/>
    <w:rsid w:val="00894E66"/>
    <w:rsid w:val="00894E71"/>
    <w:rsid w:val="00894F24"/>
    <w:rsid w:val="00895067"/>
    <w:rsid w:val="008950A2"/>
    <w:rsid w:val="00895103"/>
    <w:rsid w:val="008951F2"/>
    <w:rsid w:val="0089525E"/>
    <w:rsid w:val="008953C8"/>
    <w:rsid w:val="008954F7"/>
    <w:rsid w:val="008954FC"/>
    <w:rsid w:val="00895660"/>
    <w:rsid w:val="00895685"/>
    <w:rsid w:val="00895A4E"/>
    <w:rsid w:val="00895C0A"/>
    <w:rsid w:val="00895CD0"/>
    <w:rsid w:val="00895DB5"/>
    <w:rsid w:val="00895FDE"/>
    <w:rsid w:val="00896008"/>
    <w:rsid w:val="008960C1"/>
    <w:rsid w:val="0089610A"/>
    <w:rsid w:val="00896318"/>
    <w:rsid w:val="00896332"/>
    <w:rsid w:val="0089654F"/>
    <w:rsid w:val="00896559"/>
    <w:rsid w:val="0089655F"/>
    <w:rsid w:val="0089666C"/>
    <w:rsid w:val="008969DB"/>
    <w:rsid w:val="00896ACF"/>
    <w:rsid w:val="00896C2B"/>
    <w:rsid w:val="00896DB9"/>
    <w:rsid w:val="00896F43"/>
    <w:rsid w:val="008970CD"/>
    <w:rsid w:val="008975F7"/>
    <w:rsid w:val="00897838"/>
    <w:rsid w:val="00897AE1"/>
    <w:rsid w:val="00897B51"/>
    <w:rsid w:val="00897CDE"/>
    <w:rsid w:val="00897DAC"/>
    <w:rsid w:val="00897E3D"/>
    <w:rsid w:val="00897F97"/>
    <w:rsid w:val="008A022F"/>
    <w:rsid w:val="008A030A"/>
    <w:rsid w:val="008A0310"/>
    <w:rsid w:val="008A03B6"/>
    <w:rsid w:val="008A0457"/>
    <w:rsid w:val="008A05CD"/>
    <w:rsid w:val="008A0838"/>
    <w:rsid w:val="008A0CB0"/>
    <w:rsid w:val="008A0D13"/>
    <w:rsid w:val="008A0E9F"/>
    <w:rsid w:val="008A0EED"/>
    <w:rsid w:val="008A10CB"/>
    <w:rsid w:val="008A110B"/>
    <w:rsid w:val="008A1293"/>
    <w:rsid w:val="008A139E"/>
    <w:rsid w:val="008A150C"/>
    <w:rsid w:val="008A165E"/>
    <w:rsid w:val="008A1A59"/>
    <w:rsid w:val="008A1C17"/>
    <w:rsid w:val="008A1C33"/>
    <w:rsid w:val="008A1EBB"/>
    <w:rsid w:val="008A1F6D"/>
    <w:rsid w:val="008A20DF"/>
    <w:rsid w:val="008A2160"/>
    <w:rsid w:val="008A22DD"/>
    <w:rsid w:val="008A2357"/>
    <w:rsid w:val="008A23F9"/>
    <w:rsid w:val="008A269C"/>
    <w:rsid w:val="008A2900"/>
    <w:rsid w:val="008A2B06"/>
    <w:rsid w:val="008A2C01"/>
    <w:rsid w:val="008A2CBD"/>
    <w:rsid w:val="008A2E3B"/>
    <w:rsid w:val="008A358B"/>
    <w:rsid w:val="008A3705"/>
    <w:rsid w:val="008A383A"/>
    <w:rsid w:val="008A3887"/>
    <w:rsid w:val="008A391D"/>
    <w:rsid w:val="008A3B56"/>
    <w:rsid w:val="008A3BD2"/>
    <w:rsid w:val="008A3D8C"/>
    <w:rsid w:val="008A3DF3"/>
    <w:rsid w:val="008A3EE3"/>
    <w:rsid w:val="008A406A"/>
    <w:rsid w:val="008A407A"/>
    <w:rsid w:val="008A4203"/>
    <w:rsid w:val="008A4771"/>
    <w:rsid w:val="008A4904"/>
    <w:rsid w:val="008A4B67"/>
    <w:rsid w:val="008A506B"/>
    <w:rsid w:val="008A5204"/>
    <w:rsid w:val="008A523D"/>
    <w:rsid w:val="008A5242"/>
    <w:rsid w:val="008A546F"/>
    <w:rsid w:val="008A5616"/>
    <w:rsid w:val="008A58AC"/>
    <w:rsid w:val="008A5BA9"/>
    <w:rsid w:val="008A5C60"/>
    <w:rsid w:val="008A5E4D"/>
    <w:rsid w:val="008A5E83"/>
    <w:rsid w:val="008A5ECA"/>
    <w:rsid w:val="008A5FAC"/>
    <w:rsid w:val="008A616D"/>
    <w:rsid w:val="008A63E9"/>
    <w:rsid w:val="008A642C"/>
    <w:rsid w:val="008A6491"/>
    <w:rsid w:val="008A64B5"/>
    <w:rsid w:val="008A650F"/>
    <w:rsid w:val="008A6950"/>
    <w:rsid w:val="008A6A00"/>
    <w:rsid w:val="008A6C72"/>
    <w:rsid w:val="008A6CF2"/>
    <w:rsid w:val="008A6ECF"/>
    <w:rsid w:val="008A6FD0"/>
    <w:rsid w:val="008A7069"/>
    <w:rsid w:val="008A733B"/>
    <w:rsid w:val="008A7398"/>
    <w:rsid w:val="008A7438"/>
    <w:rsid w:val="008A7618"/>
    <w:rsid w:val="008A77C5"/>
    <w:rsid w:val="008A7847"/>
    <w:rsid w:val="008A79D4"/>
    <w:rsid w:val="008A7A01"/>
    <w:rsid w:val="008A7AA1"/>
    <w:rsid w:val="008A7AE4"/>
    <w:rsid w:val="008A7B58"/>
    <w:rsid w:val="008A7CDF"/>
    <w:rsid w:val="008B01CC"/>
    <w:rsid w:val="008B0673"/>
    <w:rsid w:val="008B087D"/>
    <w:rsid w:val="008B0AE5"/>
    <w:rsid w:val="008B0B7C"/>
    <w:rsid w:val="008B0C94"/>
    <w:rsid w:val="008B0CBD"/>
    <w:rsid w:val="008B0D3B"/>
    <w:rsid w:val="008B10C4"/>
    <w:rsid w:val="008B10D7"/>
    <w:rsid w:val="008B117A"/>
    <w:rsid w:val="008B1369"/>
    <w:rsid w:val="008B139B"/>
    <w:rsid w:val="008B15C4"/>
    <w:rsid w:val="008B178B"/>
    <w:rsid w:val="008B1952"/>
    <w:rsid w:val="008B19AA"/>
    <w:rsid w:val="008B1AF6"/>
    <w:rsid w:val="008B1BEB"/>
    <w:rsid w:val="008B20E6"/>
    <w:rsid w:val="008B21F8"/>
    <w:rsid w:val="008B22CB"/>
    <w:rsid w:val="008B252B"/>
    <w:rsid w:val="008B25D4"/>
    <w:rsid w:val="008B26E1"/>
    <w:rsid w:val="008B26F0"/>
    <w:rsid w:val="008B279B"/>
    <w:rsid w:val="008B2AA4"/>
    <w:rsid w:val="008B2ADF"/>
    <w:rsid w:val="008B2D5F"/>
    <w:rsid w:val="008B2DB4"/>
    <w:rsid w:val="008B2DB7"/>
    <w:rsid w:val="008B2E3D"/>
    <w:rsid w:val="008B333B"/>
    <w:rsid w:val="008B35C1"/>
    <w:rsid w:val="008B362D"/>
    <w:rsid w:val="008B364A"/>
    <w:rsid w:val="008B3700"/>
    <w:rsid w:val="008B3724"/>
    <w:rsid w:val="008B3952"/>
    <w:rsid w:val="008B3DA5"/>
    <w:rsid w:val="008B3FE1"/>
    <w:rsid w:val="008B40E1"/>
    <w:rsid w:val="008B429A"/>
    <w:rsid w:val="008B42BC"/>
    <w:rsid w:val="008B42D1"/>
    <w:rsid w:val="008B4541"/>
    <w:rsid w:val="008B45FD"/>
    <w:rsid w:val="008B4642"/>
    <w:rsid w:val="008B474A"/>
    <w:rsid w:val="008B4765"/>
    <w:rsid w:val="008B48CC"/>
    <w:rsid w:val="008B495D"/>
    <w:rsid w:val="008B5236"/>
    <w:rsid w:val="008B53A7"/>
    <w:rsid w:val="008B5512"/>
    <w:rsid w:val="008B5595"/>
    <w:rsid w:val="008B56CF"/>
    <w:rsid w:val="008B56D2"/>
    <w:rsid w:val="008B5705"/>
    <w:rsid w:val="008B5873"/>
    <w:rsid w:val="008B593C"/>
    <w:rsid w:val="008B5B38"/>
    <w:rsid w:val="008B5E21"/>
    <w:rsid w:val="008B5E71"/>
    <w:rsid w:val="008B5F12"/>
    <w:rsid w:val="008B6023"/>
    <w:rsid w:val="008B615D"/>
    <w:rsid w:val="008B62D1"/>
    <w:rsid w:val="008B6378"/>
    <w:rsid w:val="008B64B1"/>
    <w:rsid w:val="008B654B"/>
    <w:rsid w:val="008B660F"/>
    <w:rsid w:val="008B66B3"/>
    <w:rsid w:val="008B698C"/>
    <w:rsid w:val="008B6AD8"/>
    <w:rsid w:val="008B6CA4"/>
    <w:rsid w:val="008B6D93"/>
    <w:rsid w:val="008B6E14"/>
    <w:rsid w:val="008B6E37"/>
    <w:rsid w:val="008B7022"/>
    <w:rsid w:val="008B7032"/>
    <w:rsid w:val="008B7576"/>
    <w:rsid w:val="008B75B7"/>
    <w:rsid w:val="008B778B"/>
    <w:rsid w:val="008B781D"/>
    <w:rsid w:val="008B788E"/>
    <w:rsid w:val="008B791B"/>
    <w:rsid w:val="008B79FE"/>
    <w:rsid w:val="008B7A2D"/>
    <w:rsid w:val="008B7ACD"/>
    <w:rsid w:val="008B7C58"/>
    <w:rsid w:val="008B7F89"/>
    <w:rsid w:val="008C026B"/>
    <w:rsid w:val="008C04B0"/>
    <w:rsid w:val="008C05B3"/>
    <w:rsid w:val="008C0631"/>
    <w:rsid w:val="008C06AA"/>
    <w:rsid w:val="008C06DE"/>
    <w:rsid w:val="008C09DF"/>
    <w:rsid w:val="008C0A8B"/>
    <w:rsid w:val="008C0B0C"/>
    <w:rsid w:val="008C0B9E"/>
    <w:rsid w:val="008C0C76"/>
    <w:rsid w:val="008C0DCD"/>
    <w:rsid w:val="008C0E4A"/>
    <w:rsid w:val="008C0E61"/>
    <w:rsid w:val="008C0E7A"/>
    <w:rsid w:val="008C1030"/>
    <w:rsid w:val="008C1187"/>
    <w:rsid w:val="008C118B"/>
    <w:rsid w:val="008C13E7"/>
    <w:rsid w:val="008C170D"/>
    <w:rsid w:val="008C1730"/>
    <w:rsid w:val="008C1735"/>
    <w:rsid w:val="008C1837"/>
    <w:rsid w:val="008C1934"/>
    <w:rsid w:val="008C1A84"/>
    <w:rsid w:val="008C1BFA"/>
    <w:rsid w:val="008C1E5F"/>
    <w:rsid w:val="008C1E7B"/>
    <w:rsid w:val="008C21AD"/>
    <w:rsid w:val="008C22B7"/>
    <w:rsid w:val="008C241E"/>
    <w:rsid w:val="008C25D0"/>
    <w:rsid w:val="008C27F5"/>
    <w:rsid w:val="008C28A4"/>
    <w:rsid w:val="008C2BA0"/>
    <w:rsid w:val="008C2BF0"/>
    <w:rsid w:val="008C2CF5"/>
    <w:rsid w:val="008C2E27"/>
    <w:rsid w:val="008C2E4F"/>
    <w:rsid w:val="008C31A2"/>
    <w:rsid w:val="008C349F"/>
    <w:rsid w:val="008C34C7"/>
    <w:rsid w:val="008C3805"/>
    <w:rsid w:val="008C3E24"/>
    <w:rsid w:val="008C3EAC"/>
    <w:rsid w:val="008C42A1"/>
    <w:rsid w:val="008C42E2"/>
    <w:rsid w:val="008C4366"/>
    <w:rsid w:val="008C48E1"/>
    <w:rsid w:val="008C48E6"/>
    <w:rsid w:val="008C4B09"/>
    <w:rsid w:val="008C4C1F"/>
    <w:rsid w:val="008C4DA1"/>
    <w:rsid w:val="008C4EC3"/>
    <w:rsid w:val="008C5136"/>
    <w:rsid w:val="008C5143"/>
    <w:rsid w:val="008C52F8"/>
    <w:rsid w:val="008C5611"/>
    <w:rsid w:val="008C5AA4"/>
    <w:rsid w:val="008C60B8"/>
    <w:rsid w:val="008C60E5"/>
    <w:rsid w:val="008C6203"/>
    <w:rsid w:val="008C6320"/>
    <w:rsid w:val="008C64A8"/>
    <w:rsid w:val="008C65E7"/>
    <w:rsid w:val="008C66AD"/>
    <w:rsid w:val="008C6803"/>
    <w:rsid w:val="008C6C35"/>
    <w:rsid w:val="008C6C4D"/>
    <w:rsid w:val="008C6CAC"/>
    <w:rsid w:val="008C6DA9"/>
    <w:rsid w:val="008C6DFD"/>
    <w:rsid w:val="008C6ECC"/>
    <w:rsid w:val="008C6FB9"/>
    <w:rsid w:val="008C747F"/>
    <w:rsid w:val="008C754F"/>
    <w:rsid w:val="008C7653"/>
    <w:rsid w:val="008C791C"/>
    <w:rsid w:val="008C799B"/>
    <w:rsid w:val="008C7A08"/>
    <w:rsid w:val="008C7B88"/>
    <w:rsid w:val="008C7C40"/>
    <w:rsid w:val="008C7EB8"/>
    <w:rsid w:val="008C7F41"/>
    <w:rsid w:val="008C7F95"/>
    <w:rsid w:val="008C7FC1"/>
    <w:rsid w:val="008C7FF1"/>
    <w:rsid w:val="008D0089"/>
    <w:rsid w:val="008D017D"/>
    <w:rsid w:val="008D0492"/>
    <w:rsid w:val="008D072A"/>
    <w:rsid w:val="008D09CF"/>
    <w:rsid w:val="008D0E00"/>
    <w:rsid w:val="008D0E14"/>
    <w:rsid w:val="008D0FF6"/>
    <w:rsid w:val="008D10AB"/>
    <w:rsid w:val="008D14BF"/>
    <w:rsid w:val="008D161C"/>
    <w:rsid w:val="008D16BC"/>
    <w:rsid w:val="008D16C7"/>
    <w:rsid w:val="008D171C"/>
    <w:rsid w:val="008D1760"/>
    <w:rsid w:val="008D18C3"/>
    <w:rsid w:val="008D1A27"/>
    <w:rsid w:val="008D1A58"/>
    <w:rsid w:val="008D1B3C"/>
    <w:rsid w:val="008D1B8E"/>
    <w:rsid w:val="008D1CB6"/>
    <w:rsid w:val="008D1CF3"/>
    <w:rsid w:val="008D1D41"/>
    <w:rsid w:val="008D1E57"/>
    <w:rsid w:val="008D1F3E"/>
    <w:rsid w:val="008D1F4A"/>
    <w:rsid w:val="008D20C9"/>
    <w:rsid w:val="008D232E"/>
    <w:rsid w:val="008D26D7"/>
    <w:rsid w:val="008D273A"/>
    <w:rsid w:val="008D280C"/>
    <w:rsid w:val="008D293C"/>
    <w:rsid w:val="008D29A8"/>
    <w:rsid w:val="008D2AA7"/>
    <w:rsid w:val="008D2BA0"/>
    <w:rsid w:val="008D2C80"/>
    <w:rsid w:val="008D2C9C"/>
    <w:rsid w:val="008D2F7C"/>
    <w:rsid w:val="008D3229"/>
    <w:rsid w:val="008D3484"/>
    <w:rsid w:val="008D34CB"/>
    <w:rsid w:val="008D3581"/>
    <w:rsid w:val="008D3589"/>
    <w:rsid w:val="008D38CE"/>
    <w:rsid w:val="008D3D30"/>
    <w:rsid w:val="008D3D44"/>
    <w:rsid w:val="008D3EC3"/>
    <w:rsid w:val="008D439A"/>
    <w:rsid w:val="008D44E7"/>
    <w:rsid w:val="008D45A4"/>
    <w:rsid w:val="008D46E2"/>
    <w:rsid w:val="008D4728"/>
    <w:rsid w:val="008D4765"/>
    <w:rsid w:val="008D490E"/>
    <w:rsid w:val="008D4C75"/>
    <w:rsid w:val="008D4F0A"/>
    <w:rsid w:val="008D4F22"/>
    <w:rsid w:val="008D4F4C"/>
    <w:rsid w:val="008D4F84"/>
    <w:rsid w:val="008D5149"/>
    <w:rsid w:val="008D51D5"/>
    <w:rsid w:val="008D5299"/>
    <w:rsid w:val="008D54C8"/>
    <w:rsid w:val="008D56E9"/>
    <w:rsid w:val="008D572D"/>
    <w:rsid w:val="008D59E0"/>
    <w:rsid w:val="008D59F9"/>
    <w:rsid w:val="008D5AE9"/>
    <w:rsid w:val="008D5B23"/>
    <w:rsid w:val="008D5DD0"/>
    <w:rsid w:val="008D609D"/>
    <w:rsid w:val="008D60A5"/>
    <w:rsid w:val="008D60D7"/>
    <w:rsid w:val="008D647F"/>
    <w:rsid w:val="008D64FA"/>
    <w:rsid w:val="008D666E"/>
    <w:rsid w:val="008D6806"/>
    <w:rsid w:val="008D6811"/>
    <w:rsid w:val="008D68AD"/>
    <w:rsid w:val="008D6A14"/>
    <w:rsid w:val="008D6AD0"/>
    <w:rsid w:val="008D6BCF"/>
    <w:rsid w:val="008D6CA7"/>
    <w:rsid w:val="008D6D4F"/>
    <w:rsid w:val="008D6E1F"/>
    <w:rsid w:val="008D6F07"/>
    <w:rsid w:val="008D6F9D"/>
    <w:rsid w:val="008D70E0"/>
    <w:rsid w:val="008D758A"/>
    <w:rsid w:val="008D7790"/>
    <w:rsid w:val="008D7EF3"/>
    <w:rsid w:val="008D7F3F"/>
    <w:rsid w:val="008D7F89"/>
    <w:rsid w:val="008E02B4"/>
    <w:rsid w:val="008E0612"/>
    <w:rsid w:val="008E061F"/>
    <w:rsid w:val="008E062E"/>
    <w:rsid w:val="008E0A51"/>
    <w:rsid w:val="008E0BF5"/>
    <w:rsid w:val="008E0E29"/>
    <w:rsid w:val="008E0E5B"/>
    <w:rsid w:val="008E0E99"/>
    <w:rsid w:val="008E1133"/>
    <w:rsid w:val="008E123E"/>
    <w:rsid w:val="008E1407"/>
    <w:rsid w:val="008E15D8"/>
    <w:rsid w:val="008E15DF"/>
    <w:rsid w:val="008E160E"/>
    <w:rsid w:val="008E16C2"/>
    <w:rsid w:val="008E170C"/>
    <w:rsid w:val="008E197F"/>
    <w:rsid w:val="008E1996"/>
    <w:rsid w:val="008E1A25"/>
    <w:rsid w:val="008E1B63"/>
    <w:rsid w:val="008E1B7A"/>
    <w:rsid w:val="008E1C53"/>
    <w:rsid w:val="008E1C5E"/>
    <w:rsid w:val="008E1CDA"/>
    <w:rsid w:val="008E2139"/>
    <w:rsid w:val="008E22FE"/>
    <w:rsid w:val="008E23E8"/>
    <w:rsid w:val="008E2480"/>
    <w:rsid w:val="008E2493"/>
    <w:rsid w:val="008E258A"/>
    <w:rsid w:val="008E27A6"/>
    <w:rsid w:val="008E2918"/>
    <w:rsid w:val="008E294A"/>
    <w:rsid w:val="008E298B"/>
    <w:rsid w:val="008E2C62"/>
    <w:rsid w:val="008E2CD3"/>
    <w:rsid w:val="008E2E2F"/>
    <w:rsid w:val="008E3151"/>
    <w:rsid w:val="008E315B"/>
    <w:rsid w:val="008E323D"/>
    <w:rsid w:val="008E32B4"/>
    <w:rsid w:val="008E339D"/>
    <w:rsid w:val="008E361B"/>
    <w:rsid w:val="008E3A1B"/>
    <w:rsid w:val="008E3E69"/>
    <w:rsid w:val="008E41DF"/>
    <w:rsid w:val="008E4340"/>
    <w:rsid w:val="008E4485"/>
    <w:rsid w:val="008E4644"/>
    <w:rsid w:val="008E4724"/>
    <w:rsid w:val="008E48F2"/>
    <w:rsid w:val="008E4EB9"/>
    <w:rsid w:val="008E4F36"/>
    <w:rsid w:val="008E50A9"/>
    <w:rsid w:val="008E510C"/>
    <w:rsid w:val="008E5539"/>
    <w:rsid w:val="008E57AF"/>
    <w:rsid w:val="008E5846"/>
    <w:rsid w:val="008E59B2"/>
    <w:rsid w:val="008E59C6"/>
    <w:rsid w:val="008E59E1"/>
    <w:rsid w:val="008E59E8"/>
    <w:rsid w:val="008E5B76"/>
    <w:rsid w:val="008E5C5F"/>
    <w:rsid w:val="008E5CB8"/>
    <w:rsid w:val="008E5E0C"/>
    <w:rsid w:val="008E5F68"/>
    <w:rsid w:val="008E620D"/>
    <w:rsid w:val="008E626D"/>
    <w:rsid w:val="008E635E"/>
    <w:rsid w:val="008E6391"/>
    <w:rsid w:val="008E649A"/>
    <w:rsid w:val="008E69BF"/>
    <w:rsid w:val="008E69D9"/>
    <w:rsid w:val="008E6C0D"/>
    <w:rsid w:val="008E6D06"/>
    <w:rsid w:val="008E6DF7"/>
    <w:rsid w:val="008E6ED7"/>
    <w:rsid w:val="008E6EF4"/>
    <w:rsid w:val="008E6F0F"/>
    <w:rsid w:val="008E7129"/>
    <w:rsid w:val="008E72B3"/>
    <w:rsid w:val="008E72B5"/>
    <w:rsid w:val="008E72B7"/>
    <w:rsid w:val="008E7352"/>
    <w:rsid w:val="008E7441"/>
    <w:rsid w:val="008E76C2"/>
    <w:rsid w:val="008E7746"/>
    <w:rsid w:val="008E779E"/>
    <w:rsid w:val="008E783B"/>
    <w:rsid w:val="008E7A4E"/>
    <w:rsid w:val="008E7D98"/>
    <w:rsid w:val="008E7D9B"/>
    <w:rsid w:val="008E7DFF"/>
    <w:rsid w:val="008E7E77"/>
    <w:rsid w:val="008E7F26"/>
    <w:rsid w:val="008E7F4B"/>
    <w:rsid w:val="008E7F85"/>
    <w:rsid w:val="008E7F9E"/>
    <w:rsid w:val="008F00A7"/>
    <w:rsid w:val="008F00F1"/>
    <w:rsid w:val="008F0149"/>
    <w:rsid w:val="008F019C"/>
    <w:rsid w:val="008F01F3"/>
    <w:rsid w:val="008F02E4"/>
    <w:rsid w:val="008F032A"/>
    <w:rsid w:val="008F0446"/>
    <w:rsid w:val="008F04A9"/>
    <w:rsid w:val="008F0604"/>
    <w:rsid w:val="008F091C"/>
    <w:rsid w:val="008F0C26"/>
    <w:rsid w:val="008F0C7E"/>
    <w:rsid w:val="008F0C83"/>
    <w:rsid w:val="008F0CCC"/>
    <w:rsid w:val="008F0D78"/>
    <w:rsid w:val="008F0D7F"/>
    <w:rsid w:val="008F0E66"/>
    <w:rsid w:val="008F0EFB"/>
    <w:rsid w:val="008F0FD4"/>
    <w:rsid w:val="008F11C5"/>
    <w:rsid w:val="008F152E"/>
    <w:rsid w:val="008F1CC4"/>
    <w:rsid w:val="008F1D06"/>
    <w:rsid w:val="008F1D3D"/>
    <w:rsid w:val="008F1DEB"/>
    <w:rsid w:val="008F1E00"/>
    <w:rsid w:val="008F1F42"/>
    <w:rsid w:val="008F1FE6"/>
    <w:rsid w:val="008F2287"/>
    <w:rsid w:val="008F2580"/>
    <w:rsid w:val="008F2709"/>
    <w:rsid w:val="008F2ADD"/>
    <w:rsid w:val="008F2CB5"/>
    <w:rsid w:val="008F2CC5"/>
    <w:rsid w:val="008F2FBD"/>
    <w:rsid w:val="008F3527"/>
    <w:rsid w:val="008F3551"/>
    <w:rsid w:val="008F3698"/>
    <w:rsid w:val="008F374F"/>
    <w:rsid w:val="008F3836"/>
    <w:rsid w:val="008F395D"/>
    <w:rsid w:val="008F3A1D"/>
    <w:rsid w:val="008F3A7B"/>
    <w:rsid w:val="008F3B5C"/>
    <w:rsid w:val="008F3DBC"/>
    <w:rsid w:val="008F3F5A"/>
    <w:rsid w:val="008F3F69"/>
    <w:rsid w:val="008F4021"/>
    <w:rsid w:val="008F4207"/>
    <w:rsid w:val="008F438A"/>
    <w:rsid w:val="008F43E3"/>
    <w:rsid w:val="008F44EB"/>
    <w:rsid w:val="008F452B"/>
    <w:rsid w:val="008F470C"/>
    <w:rsid w:val="008F4A0B"/>
    <w:rsid w:val="008F541C"/>
    <w:rsid w:val="008F5482"/>
    <w:rsid w:val="008F57E6"/>
    <w:rsid w:val="008F5A38"/>
    <w:rsid w:val="008F5C94"/>
    <w:rsid w:val="008F5DAB"/>
    <w:rsid w:val="008F5E52"/>
    <w:rsid w:val="008F5F85"/>
    <w:rsid w:val="008F5FD0"/>
    <w:rsid w:val="008F604D"/>
    <w:rsid w:val="008F60BC"/>
    <w:rsid w:val="008F616F"/>
    <w:rsid w:val="008F63F1"/>
    <w:rsid w:val="008F646B"/>
    <w:rsid w:val="008F6526"/>
    <w:rsid w:val="008F676B"/>
    <w:rsid w:val="008F6774"/>
    <w:rsid w:val="008F67C4"/>
    <w:rsid w:val="008F69EE"/>
    <w:rsid w:val="008F6A19"/>
    <w:rsid w:val="008F6B92"/>
    <w:rsid w:val="008F6C0D"/>
    <w:rsid w:val="008F6E38"/>
    <w:rsid w:val="008F6E4F"/>
    <w:rsid w:val="008F7028"/>
    <w:rsid w:val="008F705F"/>
    <w:rsid w:val="008F716B"/>
    <w:rsid w:val="008F72E9"/>
    <w:rsid w:val="008F75B5"/>
    <w:rsid w:val="008F77BC"/>
    <w:rsid w:val="008F7965"/>
    <w:rsid w:val="008F7C19"/>
    <w:rsid w:val="008F7D31"/>
    <w:rsid w:val="008F7E38"/>
    <w:rsid w:val="008F7F4F"/>
    <w:rsid w:val="009001B8"/>
    <w:rsid w:val="0090064C"/>
    <w:rsid w:val="009006AF"/>
    <w:rsid w:val="009007A8"/>
    <w:rsid w:val="009007E3"/>
    <w:rsid w:val="009008B9"/>
    <w:rsid w:val="0090092F"/>
    <w:rsid w:val="00900B67"/>
    <w:rsid w:val="009010FA"/>
    <w:rsid w:val="00901655"/>
    <w:rsid w:val="00901939"/>
    <w:rsid w:val="00901A97"/>
    <w:rsid w:val="00901C43"/>
    <w:rsid w:val="00901DD2"/>
    <w:rsid w:val="00901DD3"/>
    <w:rsid w:val="00902176"/>
    <w:rsid w:val="0090256E"/>
    <w:rsid w:val="00902630"/>
    <w:rsid w:val="0090290A"/>
    <w:rsid w:val="0090293A"/>
    <w:rsid w:val="00902953"/>
    <w:rsid w:val="009029CE"/>
    <w:rsid w:val="00902A26"/>
    <w:rsid w:val="00902B3B"/>
    <w:rsid w:val="00902B58"/>
    <w:rsid w:val="00902CC2"/>
    <w:rsid w:val="00902D2C"/>
    <w:rsid w:val="00902F0D"/>
    <w:rsid w:val="009030E7"/>
    <w:rsid w:val="009032B2"/>
    <w:rsid w:val="0090353B"/>
    <w:rsid w:val="009035C5"/>
    <w:rsid w:val="0090367A"/>
    <w:rsid w:val="00903773"/>
    <w:rsid w:val="0090379A"/>
    <w:rsid w:val="0090380A"/>
    <w:rsid w:val="009038A1"/>
    <w:rsid w:val="009039FE"/>
    <w:rsid w:val="00903AD7"/>
    <w:rsid w:val="00903B2A"/>
    <w:rsid w:val="00903B89"/>
    <w:rsid w:val="00903BD5"/>
    <w:rsid w:val="00903F85"/>
    <w:rsid w:val="00904145"/>
    <w:rsid w:val="00904328"/>
    <w:rsid w:val="00904518"/>
    <w:rsid w:val="009045BA"/>
    <w:rsid w:val="00904706"/>
    <w:rsid w:val="0090498A"/>
    <w:rsid w:val="0090499D"/>
    <w:rsid w:val="00904B26"/>
    <w:rsid w:val="00904DBD"/>
    <w:rsid w:val="00904EA0"/>
    <w:rsid w:val="009050A6"/>
    <w:rsid w:val="009050B3"/>
    <w:rsid w:val="009051EE"/>
    <w:rsid w:val="00905300"/>
    <w:rsid w:val="00905474"/>
    <w:rsid w:val="00905A62"/>
    <w:rsid w:val="00905B5C"/>
    <w:rsid w:val="00905DBD"/>
    <w:rsid w:val="00905E74"/>
    <w:rsid w:val="00906080"/>
    <w:rsid w:val="00906171"/>
    <w:rsid w:val="00906344"/>
    <w:rsid w:val="009065B2"/>
    <w:rsid w:val="00906792"/>
    <w:rsid w:val="00906882"/>
    <w:rsid w:val="00906BCD"/>
    <w:rsid w:val="00906DB8"/>
    <w:rsid w:val="00906FA8"/>
    <w:rsid w:val="0090703F"/>
    <w:rsid w:val="009070CF"/>
    <w:rsid w:val="009071EF"/>
    <w:rsid w:val="009071F1"/>
    <w:rsid w:val="00907201"/>
    <w:rsid w:val="0090746F"/>
    <w:rsid w:val="00907496"/>
    <w:rsid w:val="00907601"/>
    <w:rsid w:val="0090770E"/>
    <w:rsid w:val="0090795F"/>
    <w:rsid w:val="00907A04"/>
    <w:rsid w:val="00907A66"/>
    <w:rsid w:val="00907AC4"/>
    <w:rsid w:val="00907AE7"/>
    <w:rsid w:val="00907B4B"/>
    <w:rsid w:val="00907CCD"/>
    <w:rsid w:val="00907D2B"/>
    <w:rsid w:val="00907D2F"/>
    <w:rsid w:val="00907ED0"/>
    <w:rsid w:val="00907F07"/>
    <w:rsid w:val="009102A4"/>
    <w:rsid w:val="0091057B"/>
    <w:rsid w:val="009105E0"/>
    <w:rsid w:val="00910B81"/>
    <w:rsid w:val="00910C1C"/>
    <w:rsid w:val="00910DA4"/>
    <w:rsid w:val="00911385"/>
    <w:rsid w:val="00911586"/>
    <w:rsid w:val="009115D8"/>
    <w:rsid w:val="009116F4"/>
    <w:rsid w:val="009117EC"/>
    <w:rsid w:val="009118CA"/>
    <w:rsid w:val="00911A35"/>
    <w:rsid w:val="00911A96"/>
    <w:rsid w:val="00911EBE"/>
    <w:rsid w:val="00912393"/>
    <w:rsid w:val="00912526"/>
    <w:rsid w:val="00912972"/>
    <w:rsid w:val="00912990"/>
    <w:rsid w:val="00912A33"/>
    <w:rsid w:val="00912AEE"/>
    <w:rsid w:val="00912BC5"/>
    <w:rsid w:val="00912E24"/>
    <w:rsid w:val="00912FEA"/>
    <w:rsid w:val="009130D5"/>
    <w:rsid w:val="009130E3"/>
    <w:rsid w:val="00913147"/>
    <w:rsid w:val="0091323A"/>
    <w:rsid w:val="00913550"/>
    <w:rsid w:val="00913668"/>
    <w:rsid w:val="00913725"/>
    <w:rsid w:val="009137AC"/>
    <w:rsid w:val="009137CC"/>
    <w:rsid w:val="009138F3"/>
    <w:rsid w:val="00913955"/>
    <w:rsid w:val="0091395D"/>
    <w:rsid w:val="00913A65"/>
    <w:rsid w:val="00913D04"/>
    <w:rsid w:val="00913DDC"/>
    <w:rsid w:val="00913F1B"/>
    <w:rsid w:val="00913F38"/>
    <w:rsid w:val="009141CD"/>
    <w:rsid w:val="0091435E"/>
    <w:rsid w:val="00914494"/>
    <w:rsid w:val="00914841"/>
    <w:rsid w:val="0091496B"/>
    <w:rsid w:val="009149D4"/>
    <w:rsid w:val="00914D55"/>
    <w:rsid w:val="00914E3B"/>
    <w:rsid w:val="00914F77"/>
    <w:rsid w:val="00914FBF"/>
    <w:rsid w:val="009157CF"/>
    <w:rsid w:val="00915E9C"/>
    <w:rsid w:val="00915F86"/>
    <w:rsid w:val="0091605E"/>
    <w:rsid w:val="0091662F"/>
    <w:rsid w:val="00916A59"/>
    <w:rsid w:val="00916A70"/>
    <w:rsid w:val="00916AFA"/>
    <w:rsid w:val="00916EBD"/>
    <w:rsid w:val="00917134"/>
    <w:rsid w:val="00917519"/>
    <w:rsid w:val="009175CF"/>
    <w:rsid w:val="0091764B"/>
    <w:rsid w:val="009177B5"/>
    <w:rsid w:val="009177DA"/>
    <w:rsid w:val="0091782B"/>
    <w:rsid w:val="009178CA"/>
    <w:rsid w:val="00917C38"/>
    <w:rsid w:val="00917D9E"/>
    <w:rsid w:val="00917EBB"/>
    <w:rsid w:val="00917F9C"/>
    <w:rsid w:val="00920070"/>
    <w:rsid w:val="0092007D"/>
    <w:rsid w:val="00920409"/>
    <w:rsid w:val="00920465"/>
    <w:rsid w:val="009205ED"/>
    <w:rsid w:val="009206BA"/>
    <w:rsid w:val="0092082B"/>
    <w:rsid w:val="0092086E"/>
    <w:rsid w:val="00920979"/>
    <w:rsid w:val="009209B1"/>
    <w:rsid w:val="00920A11"/>
    <w:rsid w:val="00920B75"/>
    <w:rsid w:val="00920B8F"/>
    <w:rsid w:val="00920D73"/>
    <w:rsid w:val="00920E3C"/>
    <w:rsid w:val="0092116B"/>
    <w:rsid w:val="009214BF"/>
    <w:rsid w:val="00921519"/>
    <w:rsid w:val="0092165F"/>
    <w:rsid w:val="0092166C"/>
    <w:rsid w:val="009216BE"/>
    <w:rsid w:val="009216E3"/>
    <w:rsid w:val="00921744"/>
    <w:rsid w:val="009219DC"/>
    <w:rsid w:val="00921A68"/>
    <w:rsid w:val="00921AB0"/>
    <w:rsid w:val="00921B89"/>
    <w:rsid w:val="00921BD9"/>
    <w:rsid w:val="00921C59"/>
    <w:rsid w:val="00921CC5"/>
    <w:rsid w:val="0092209A"/>
    <w:rsid w:val="0092214C"/>
    <w:rsid w:val="00922350"/>
    <w:rsid w:val="00922ADA"/>
    <w:rsid w:val="00922B45"/>
    <w:rsid w:val="00922C39"/>
    <w:rsid w:val="00922C4F"/>
    <w:rsid w:val="00922E68"/>
    <w:rsid w:val="00922EAF"/>
    <w:rsid w:val="00922ED6"/>
    <w:rsid w:val="00922F41"/>
    <w:rsid w:val="00922F9C"/>
    <w:rsid w:val="00922FF2"/>
    <w:rsid w:val="009230F4"/>
    <w:rsid w:val="0092311F"/>
    <w:rsid w:val="0092320D"/>
    <w:rsid w:val="009233B2"/>
    <w:rsid w:val="009233E5"/>
    <w:rsid w:val="0092347D"/>
    <w:rsid w:val="009236CF"/>
    <w:rsid w:val="009237F6"/>
    <w:rsid w:val="009237F7"/>
    <w:rsid w:val="00923A11"/>
    <w:rsid w:val="00923A60"/>
    <w:rsid w:val="00923C83"/>
    <w:rsid w:val="00923F23"/>
    <w:rsid w:val="00923F5E"/>
    <w:rsid w:val="00924051"/>
    <w:rsid w:val="009240ED"/>
    <w:rsid w:val="0092430A"/>
    <w:rsid w:val="0092446E"/>
    <w:rsid w:val="009247AF"/>
    <w:rsid w:val="00924B9B"/>
    <w:rsid w:val="00924CD5"/>
    <w:rsid w:val="00924CFF"/>
    <w:rsid w:val="00924FFD"/>
    <w:rsid w:val="0092511C"/>
    <w:rsid w:val="00925282"/>
    <w:rsid w:val="00925380"/>
    <w:rsid w:val="009255AE"/>
    <w:rsid w:val="009255D1"/>
    <w:rsid w:val="00925646"/>
    <w:rsid w:val="009257F2"/>
    <w:rsid w:val="00925809"/>
    <w:rsid w:val="0092583A"/>
    <w:rsid w:val="00925855"/>
    <w:rsid w:val="00925897"/>
    <w:rsid w:val="00925918"/>
    <w:rsid w:val="00925972"/>
    <w:rsid w:val="00925C53"/>
    <w:rsid w:val="00925CD5"/>
    <w:rsid w:val="00925D47"/>
    <w:rsid w:val="00925EAA"/>
    <w:rsid w:val="00925F64"/>
    <w:rsid w:val="009260F9"/>
    <w:rsid w:val="00926400"/>
    <w:rsid w:val="00926459"/>
    <w:rsid w:val="0092646E"/>
    <w:rsid w:val="0092647B"/>
    <w:rsid w:val="009265B0"/>
    <w:rsid w:val="00926702"/>
    <w:rsid w:val="009268AD"/>
    <w:rsid w:val="009268B5"/>
    <w:rsid w:val="009268C7"/>
    <w:rsid w:val="00926907"/>
    <w:rsid w:val="0092696E"/>
    <w:rsid w:val="009269B8"/>
    <w:rsid w:val="009269D8"/>
    <w:rsid w:val="00926BC7"/>
    <w:rsid w:val="00926CFD"/>
    <w:rsid w:val="00926D48"/>
    <w:rsid w:val="00926E4D"/>
    <w:rsid w:val="00927430"/>
    <w:rsid w:val="0092753C"/>
    <w:rsid w:val="00927555"/>
    <w:rsid w:val="0092760A"/>
    <w:rsid w:val="00927760"/>
    <w:rsid w:val="009277C9"/>
    <w:rsid w:val="00927A3C"/>
    <w:rsid w:val="00927B4C"/>
    <w:rsid w:val="00927E59"/>
    <w:rsid w:val="00927F3E"/>
    <w:rsid w:val="00927F46"/>
    <w:rsid w:val="00927F51"/>
    <w:rsid w:val="00927F83"/>
    <w:rsid w:val="00927FE2"/>
    <w:rsid w:val="00930116"/>
    <w:rsid w:val="0093022D"/>
    <w:rsid w:val="0093027C"/>
    <w:rsid w:val="00930369"/>
    <w:rsid w:val="0093043F"/>
    <w:rsid w:val="00930801"/>
    <w:rsid w:val="00930826"/>
    <w:rsid w:val="009308A5"/>
    <w:rsid w:val="009309BD"/>
    <w:rsid w:val="00930CC9"/>
    <w:rsid w:val="00930D9C"/>
    <w:rsid w:val="00930F93"/>
    <w:rsid w:val="00930FA5"/>
    <w:rsid w:val="009310D8"/>
    <w:rsid w:val="00931167"/>
    <w:rsid w:val="009312C2"/>
    <w:rsid w:val="00931367"/>
    <w:rsid w:val="0093149B"/>
    <w:rsid w:val="009316F3"/>
    <w:rsid w:val="00931923"/>
    <w:rsid w:val="00931B5D"/>
    <w:rsid w:val="00931C81"/>
    <w:rsid w:val="00931D34"/>
    <w:rsid w:val="00931D88"/>
    <w:rsid w:val="009320FE"/>
    <w:rsid w:val="00932191"/>
    <w:rsid w:val="00932228"/>
    <w:rsid w:val="00932664"/>
    <w:rsid w:val="009327C8"/>
    <w:rsid w:val="0093289D"/>
    <w:rsid w:val="00932B9F"/>
    <w:rsid w:val="00932C9F"/>
    <w:rsid w:val="00932FB7"/>
    <w:rsid w:val="009333B1"/>
    <w:rsid w:val="009334F5"/>
    <w:rsid w:val="00933579"/>
    <w:rsid w:val="00933732"/>
    <w:rsid w:val="00933906"/>
    <w:rsid w:val="00933A63"/>
    <w:rsid w:val="00933DC7"/>
    <w:rsid w:val="00934028"/>
    <w:rsid w:val="00934053"/>
    <w:rsid w:val="0093409B"/>
    <w:rsid w:val="009340ED"/>
    <w:rsid w:val="00934176"/>
    <w:rsid w:val="00934303"/>
    <w:rsid w:val="0093448C"/>
    <w:rsid w:val="00934575"/>
    <w:rsid w:val="00934837"/>
    <w:rsid w:val="00934B01"/>
    <w:rsid w:val="00934D4E"/>
    <w:rsid w:val="00934D4F"/>
    <w:rsid w:val="00934EB8"/>
    <w:rsid w:val="009350DB"/>
    <w:rsid w:val="009352EA"/>
    <w:rsid w:val="00935473"/>
    <w:rsid w:val="00935557"/>
    <w:rsid w:val="009358BA"/>
    <w:rsid w:val="009358D5"/>
    <w:rsid w:val="00935A6C"/>
    <w:rsid w:val="00935A8C"/>
    <w:rsid w:val="00935E70"/>
    <w:rsid w:val="00935FA6"/>
    <w:rsid w:val="00935FC6"/>
    <w:rsid w:val="0093608C"/>
    <w:rsid w:val="0093621C"/>
    <w:rsid w:val="00936387"/>
    <w:rsid w:val="009363F2"/>
    <w:rsid w:val="00936472"/>
    <w:rsid w:val="00936510"/>
    <w:rsid w:val="00936889"/>
    <w:rsid w:val="009369F3"/>
    <w:rsid w:val="00936BC4"/>
    <w:rsid w:val="00936C8B"/>
    <w:rsid w:val="009372FA"/>
    <w:rsid w:val="00937307"/>
    <w:rsid w:val="00937380"/>
    <w:rsid w:val="009374CE"/>
    <w:rsid w:val="009375E0"/>
    <w:rsid w:val="00937AEB"/>
    <w:rsid w:val="00937CC9"/>
    <w:rsid w:val="00937D58"/>
    <w:rsid w:val="00937FF9"/>
    <w:rsid w:val="009400B5"/>
    <w:rsid w:val="00940286"/>
    <w:rsid w:val="0094041C"/>
    <w:rsid w:val="009404AF"/>
    <w:rsid w:val="009405DE"/>
    <w:rsid w:val="009406D5"/>
    <w:rsid w:val="009407D0"/>
    <w:rsid w:val="00940BE9"/>
    <w:rsid w:val="00940CFB"/>
    <w:rsid w:val="00940DDC"/>
    <w:rsid w:val="00940E56"/>
    <w:rsid w:val="00940F2A"/>
    <w:rsid w:val="009410DB"/>
    <w:rsid w:val="009411FD"/>
    <w:rsid w:val="009413D2"/>
    <w:rsid w:val="00941435"/>
    <w:rsid w:val="0094143A"/>
    <w:rsid w:val="009416FA"/>
    <w:rsid w:val="00941747"/>
    <w:rsid w:val="00941E2D"/>
    <w:rsid w:val="00941EB2"/>
    <w:rsid w:val="0094202B"/>
    <w:rsid w:val="009421AE"/>
    <w:rsid w:val="009422CA"/>
    <w:rsid w:val="009424F5"/>
    <w:rsid w:val="0094274B"/>
    <w:rsid w:val="00942751"/>
    <w:rsid w:val="0094287C"/>
    <w:rsid w:val="009429BF"/>
    <w:rsid w:val="00942AC7"/>
    <w:rsid w:val="00942E73"/>
    <w:rsid w:val="00943108"/>
    <w:rsid w:val="0094312F"/>
    <w:rsid w:val="00943370"/>
    <w:rsid w:val="00943496"/>
    <w:rsid w:val="009435CB"/>
    <w:rsid w:val="009436DE"/>
    <w:rsid w:val="0094375A"/>
    <w:rsid w:val="0094388A"/>
    <w:rsid w:val="00943B0F"/>
    <w:rsid w:val="00943CB3"/>
    <w:rsid w:val="00943D11"/>
    <w:rsid w:val="00943D55"/>
    <w:rsid w:val="00944087"/>
    <w:rsid w:val="009440C7"/>
    <w:rsid w:val="009443D5"/>
    <w:rsid w:val="00944445"/>
    <w:rsid w:val="00944B6C"/>
    <w:rsid w:val="00944E60"/>
    <w:rsid w:val="009450F9"/>
    <w:rsid w:val="009451D0"/>
    <w:rsid w:val="009453E8"/>
    <w:rsid w:val="00945863"/>
    <w:rsid w:val="009458A3"/>
    <w:rsid w:val="00945900"/>
    <w:rsid w:val="00945937"/>
    <w:rsid w:val="00945ABE"/>
    <w:rsid w:val="00945C26"/>
    <w:rsid w:val="00945E42"/>
    <w:rsid w:val="0094601D"/>
    <w:rsid w:val="009460C4"/>
    <w:rsid w:val="009462BA"/>
    <w:rsid w:val="00946389"/>
    <w:rsid w:val="00946666"/>
    <w:rsid w:val="009466D7"/>
    <w:rsid w:val="009466F1"/>
    <w:rsid w:val="00946759"/>
    <w:rsid w:val="009469FE"/>
    <w:rsid w:val="00946EEA"/>
    <w:rsid w:val="00946F4E"/>
    <w:rsid w:val="00946F85"/>
    <w:rsid w:val="0094700B"/>
    <w:rsid w:val="00947112"/>
    <w:rsid w:val="00947189"/>
    <w:rsid w:val="009472DE"/>
    <w:rsid w:val="009473C9"/>
    <w:rsid w:val="009474E3"/>
    <w:rsid w:val="00947527"/>
    <w:rsid w:val="009475C2"/>
    <w:rsid w:val="009479B3"/>
    <w:rsid w:val="00947A33"/>
    <w:rsid w:val="00947AA4"/>
    <w:rsid w:val="00947B41"/>
    <w:rsid w:val="00947BA7"/>
    <w:rsid w:val="00947CD5"/>
    <w:rsid w:val="00947CDA"/>
    <w:rsid w:val="00947D15"/>
    <w:rsid w:val="00947D23"/>
    <w:rsid w:val="00947D71"/>
    <w:rsid w:val="00947E5C"/>
    <w:rsid w:val="00947E70"/>
    <w:rsid w:val="009500CB"/>
    <w:rsid w:val="00950147"/>
    <w:rsid w:val="009502CF"/>
    <w:rsid w:val="00950394"/>
    <w:rsid w:val="00950798"/>
    <w:rsid w:val="00950C7E"/>
    <w:rsid w:val="0095102C"/>
    <w:rsid w:val="00951114"/>
    <w:rsid w:val="00951235"/>
    <w:rsid w:val="00951265"/>
    <w:rsid w:val="00951671"/>
    <w:rsid w:val="009516EC"/>
    <w:rsid w:val="0095170F"/>
    <w:rsid w:val="009519F2"/>
    <w:rsid w:val="00951A2B"/>
    <w:rsid w:val="00951AA6"/>
    <w:rsid w:val="00951C1D"/>
    <w:rsid w:val="00951DCB"/>
    <w:rsid w:val="00951E23"/>
    <w:rsid w:val="00951E6B"/>
    <w:rsid w:val="00951FB8"/>
    <w:rsid w:val="00952078"/>
    <w:rsid w:val="00952210"/>
    <w:rsid w:val="00952261"/>
    <w:rsid w:val="009522E4"/>
    <w:rsid w:val="0095279F"/>
    <w:rsid w:val="00952800"/>
    <w:rsid w:val="00952A30"/>
    <w:rsid w:val="00952C04"/>
    <w:rsid w:val="00952D8D"/>
    <w:rsid w:val="00952FB1"/>
    <w:rsid w:val="00953099"/>
    <w:rsid w:val="009532F3"/>
    <w:rsid w:val="009533BA"/>
    <w:rsid w:val="009533DA"/>
    <w:rsid w:val="00953465"/>
    <w:rsid w:val="009534BC"/>
    <w:rsid w:val="009534D7"/>
    <w:rsid w:val="00953518"/>
    <w:rsid w:val="00953832"/>
    <w:rsid w:val="0095394A"/>
    <w:rsid w:val="00953ACB"/>
    <w:rsid w:val="00953B06"/>
    <w:rsid w:val="00953EB2"/>
    <w:rsid w:val="009542D0"/>
    <w:rsid w:val="009543DC"/>
    <w:rsid w:val="00954461"/>
    <w:rsid w:val="00954466"/>
    <w:rsid w:val="009544F1"/>
    <w:rsid w:val="00954640"/>
    <w:rsid w:val="0095465D"/>
    <w:rsid w:val="009546C6"/>
    <w:rsid w:val="0095475B"/>
    <w:rsid w:val="0095493F"/>
    <w:rsid w:val="00954AB8"/>
    <w:rsid w:val="00954DFF"/>
    <w:rsid w:val="00954E4A"/>
    <w:rsid w:val="00954F1C"/>
    <w:rsid w:val="00955079"/>
    <w:rsid w:val="00955107"/>
    <w:rsid w:val="0095525E"/>
    <w:rsid w:val="009552D4"/>
    <w:rsid w:val="00955392"/>
    <w:rsid w:val="00955490"/>
    <w:rsid w:val="00955549"/>
    <w:rsid w:val="00955764"/>
    <w:rsid w:val="0095593C"/>
    <w:rsid w:val="00955A4C"/>
    <w:rsid w:val="00955A64"/>
    <w:rsid w:val="00955DD5"/>
    <w:rsid w:val="00955E96"/>
    <w:rsid w:val="00955FFD"/>
    <w:rsid w:val="009561F0"/>
    <w:rsid w:val="00956304"/>
    <w:rsid w:val="00956584"/>
    <w:rsid w:val="0095679F"/>
    <w:rsid w:val="009568C9"/>
    <w:rsid w:val="009569DF"/>
    <w:rsid w:val="00956B38"/>
    <w:rsid w:val="00956BE0"/>
    <w:rsid w:val="00956C73"/>
    <w:rsid w:val="00956CC5"/>
    <w:rsid w:val="0095717B"/>
    <w:rsid w:val="009571BB"/>
    <w:rsid w:val="009573FD"/>
    <w:rsid w:val="00957501"/>
    <w:rsid w:val="00957562"/>
    <w:rsid w:val="009578CB"/>
    <w:rsid w:val="00957A16"/>
    <w:rsid w:val="00957EF0"/>
    <w:rsid w:val="009601CA"/>
    <w:rsid w:val="009602A8"/>
    <w:rsid w:val="009602BE"/>
    <w:rsid w:val="00960356"/>
    <w:rsid w:val="0096039C"/>
    <w:rsid w:val="009604C9"/>
    <w:rsid w:val="00960631"/>
    <w:rsid w:val="0096065E"/>
    <w:rsid w:val="009606A3"/>
    <w:rsid w:val="009606B0"/>
    <w:rsid w:val="00960CE7"/>
    <w:rsid w:val="00960D0F"/>
    <w:rsid w:val="00960EBC"/>
    <w:rsid w:val="0096113F"/>
    <w:rsid w:val="00961158"/>
    <w:rsid w:val="0096133A"/>
    <w:rsid w:val="009614A1"/>
    <w:rsid w:val="00961736"/>
    <w:rsid w:val="0096179C"/>
    <w:rsid w:val="00961897"/>
    <w:rsid w:val="009618DC"/>
    <w:rsid w:val="00961B11"/>
    <w:rsid w:val="00961B2D"/>
    <w:rsid w:val="00961BBC"/>
    <w:rsid w:val="00961D72"/>
    <w:rsid w:val="009620F7"/>
    <w:rsid w:val="00962164"/>
    <w:rsid w:val="009621E3"/>
    <w:rsid w:val="00962645"/>
    <w:rsid w:val="00962900"/>
    <w:rsid w:val="0096296F"/>
    <w:rsid w:val="00962BC5"/>
    <w:rsid w:val="00962BFA"/>
    <w:rsid w:val="00962C66"/>
    <w:rsid w:val="00962D10"/>
    <w:rsid w:val="00962D39"/>
    <w:rsid w:val="00962F07"/>
    <w:rsid w:val="00962FEE"/>
    <w:rsid w:val="009631DA"/>
    <w:rsid w:val="00963200"/>
    <w:rsid w:val="0096338E"/>
    <w:rsid w:val="009634A0"/>
    <w:rsid w:val="009634FD"/>
    <w:rsid w:val="00963540"/>
    <w:rsid w:val="00963703"/>
    <w:rsid w:val="0096373B"/>
    <w:rsid w:val="00963BEA"/>
    <w:rsid w:val="00963E3C"/>
    <w:rsid w:val="00963E43"/>
    <w:rsid w:val="00963F1E"/>
    <w:rsid w:val="00963FAF"/>
    <w:rsid w:val="0096415D"/>
    <w:rsid w:val="00964257"/>
    <w:rsid w:val="00964607"/>
    <w:rsid w:val="009646B3"/>
    <w:rsid w:val="0096470F"/>
    <w:rsid w:val="009647DD"/>
    <w:rsid w:val="009648B6"/>
    <w:rsid w:val="009648CD"/>
    <w:rsid w:val="009648ED"/>
    <w:rsid w:val="00964A5A"/>
    <w:rsid w:val="00964B70"/>
    <w:rsid w:val="00964B85"/>
    <w:rsid w:val="00964C55"/>
    <w:rsid w:val="00964CCA"/>
    <w:rsid w:val="00964CDB"/>
    <w:rsid w:val="00965006"/>
    <w:rsid w:val="009651FF"/>
    <w:rsid w:val="00965202"/>
    <w:rsid w:val="009655B4"/>
    <w:rsid w:val="009655CF"/>
    <w:rsid w:val="00965652"/>
    <w:rsid w:val="0096571E"/>
    <w:rsid w:val="009657B0"/>
    <w:rsid w:val="0096582F"/>
    <w:rsid w:val="0096588D"/>
    <w:rsid w:val="009659F2"/>
    <w:rsid w:val="00965A5A"/>
    <w:rsid w:val="00965A9C"/>
    <w:rsid w:val="00965CA4"/>
    <w:rsid w:val="00965F02"/>
    <w:rsid w:val="00965FE4"/>
    <w:rsid w:val="00966169"/>
    <w:rsid w:val="00966184"/>
    <w:rsid w:val="009662AC"/>
    <w:rsid w:val="00966383"/>
    <w:rsid w:val="0096650B"/>
    <w:rsid w:val="0096650D"/>
    <w:rsid w:val="00966672"/>
    <w:rsid w:val="009666E8"/>
    <w:rsid w:val="00966CF7"/>
    <w:rsid w:val="00966F69"/>
    <w:rsid w:val="0096707A"/>
    <w:rsid w:val="009670B3"/>
    <w:rsid w:val="009671CA"/>
    <w:rsid w:val="009671D1"/>
    <w:rsid w:val="009671E8"/>
    <w:rsid w:val="009671EB"/>
    <w:rsid w:val="009673CB"/>
    <w:rsid w:val="0096753F"/>
    <w:rsid w:val="009676CA"/>
    <w:rsid w:val="00967D89"/>
    <w:rsid w:val="00967DF8"/>
    <w:rsid w:val="00967F74"/>
    <w:rsid w:val="00967F9C"/>
    <w:rsid w:val="0097025A"/>
    <w:rsid w:val="00970271"/>
    <w:rsid w:val="00970295"/>
    <w:rsid w:val="0097036B"/>
    <w:rsid w:val="00970584"/>
    <w:rsid w:val="009707D6"/>
    <w:rsid w:val="00970836"/>
    <w:rsid w:val="00970973"/>
    <w:rsid w:val="00970FE5"/>
    <w:rsid w:val="009710CA"/>
    <w:rsid w:val="009712B0"/>
    <w:rsid w:val="009714C3"/>
    <w:rsid w:val="009714CB"/>
    <w:rsid w:val="009714D4"/>
    <w:rsid w:val="0097156F"/>
    <w:rsid w:val="0097163B"/>
    <w:rsid w:val="00971708"/>
    <w:rsid w:val="00971756"/>
    <w:rsid w:val="00971892"/>
    <w:rsid w:val="00971ADF"/>
    <w:rsid w:val="00971AEB"/>
    <w:rsid w:val="00971C0B"/>
    <w:rsid w:val="00971C3B"/>
    <w:rsid w:val="00971C4E"/>
    <w:rsid w:val="00971CD5"/>
    <w:rsid w:val="00971EDB"/>
    <w:rsid w:val="00971F32"/>
    <w:rsid w:val="00971FE8"/>
    <w:rsid w:val="009720C2"/>
    <w:rsid w:val="00972164"/>
    <w:rsid w:val="00972254"/>
    <w:rsid w:val="00972782"/>
    <w:rsid w:val="009727EB"/>
    <w:rsid w:val="00972A18"/>
    <w:rsid w:val="00972A8B"/>
    <w:rsid w:val="00972D70"/>
    <w:rsid w:val="00972EA3"/>
    <w:rsid w:val="00972ECC"/>
    <w:rsid w:val="009730E3"/>
    <w:rsid w:val="00973145"/>
    <w:rsid w:val="00973231"/>
    <w:rsid w:val="009732CA"/>
    <w:rsid w:val="00973613"/>
    <w:rsid w:val="009736B9"/>
    <w:rsid w:val="0097378B"/>
    <w:rsid w:val="0097383A"/>
    <w:rsid w:val="00973996"/>
    <w:rsid w:val="00973B16"/>
    <w:rsid w:val="00973B9C"/>
    <w:rsid w:val="00973D19"/>
    <w:rsid w:val="00973D27"/>
    <w:rsid w:val="00973ED9"/>
    <w:rsid w:val="00973F49"/>
    <w:rsid w:val="0097418E"/>
    <w:rsid w:val="00974200"/>
    <w:rsid w:val="00974243"/>
    <w:rsid w:val="00974542"/>
    <w:rsid w:val="009748B4"/>
    <w:rsid w:val="00974935"/>
    <w:rsid w:val="009749A5"/>
    <w:rsid w:val="00974A75"/>
    <w:rsid w:val="00974A89"/>
    <w:rsid w:val="00974AFD"/>
    <w:rsid w:val="00974BEE"/>
    <w:rsid w:val="00974CB0"/>
    <w:rsid w:val="00974D08"/>
    <w:rsid w:val="00974DCA"/>
    <w:rsid w:val="00974F82"/>
    <w:rsid w:val="0097500A"/>
    <w:rsid w:val="009751DA"/>
    <w:rsid w:val="009752D5"/>
    <w:rsid w:val="009753B9"/>
    <w:rsid w:val="009753BE"/>
    <w:rsid w:val="009754DF"/>
    <w:rsid w:val="0097571D"/>
    <w:rsid w:val="0097578F"/>
    <w:rsid w:val="0097580A"/>
    <w:rsid w:val="00975C42"/>
    <w:rsid w:val="00975CDB"/>
    <w:rsid w:val="00975E0B"/>
    <w:rsid w:val="00975F61"/>
    <w:rsid w:val="0097600C"/>
    <w:rsid w:val="00976051"/>
    <w:rsid w:val="00976056"/>
    <w:rsid w:val="00976071"/>
    <w:rsid w:val="00976245"/>
    <w:rsid w:val="0097625A"/>
    <w:rsid w:val="0097628C"/>
    <w:rsid w:val="00976355"/>
    <w:rsid w:val="009763F8"/>
    <w:rsid w:val="0097642C"/>
    <w:rsid w:val="009764B2"/>
    <w:rsid w:val="009764B6"/>
    <w:rsid w:val="00976600"/>
    <w:rsid w:val="0097673F"/>
    <w:rsid w:val="009767B0"/>
    <w:rsid w:val="00976A01"/>
    <w:rsid w:val="00976A33"/>
    <w:rsid w:val="00976B76"/>
    <w:rsid w:val="00976C8A"/>
    <w:rsid w:val="0097706A"/>
    <w:rsid w:val="009771C0"/>
    <w:rsid w:val="009772E8"/>
    <w:rsid w:val="0097731C"/>
    <w:rsid w:val="00977401"/>
    <w:rsid w:val="00977440"/>
    <w:rsid w:val="00977447"/>
    <w:rsid w:val="00977456"/>
    <w:rsid w:val="00977673"/>
    <w:rsid w:val="00977822"/>
    <w:rsid w:val="0097789D"/>
    <w:rsid w:val="00977968"/>
    <w:rsid w:val="00977AD0"/>
    <w:rsid w:val="00977DF5"/>
    <w:rsid w:val="00977FAE"/>
    <w:rsid w:val="009801EC"/>
    <w:rsid w:val="00980207"/>
    <w:rsid w:val="009805AA"/>
    <w:rsid w:val="0098061A"/>
    <w:rsid w:val="00980663"/>
    <w:rsid w:val="00980922"/>
    <w:rsid w:val="00980B8F"/>
    <w:rsid w:val="00980C87"/>
    <w:rsid w:val="00980D40"/>
    <w:rsid w:val="00980E5B"/>
    <w:rsid w:val="00980EEB"/>
    <w:rsid w:val="00980FBF"/>
    <w:rsid w:val="0098117C"/>
    <w:rsid w:val="009814C2"/>
    <w:rsid w:val="00981988"/>
    <w:rsid w:val="009819A2"/>
    <w:rsid w:val="00981C66"/>
    <w:rsid w:val="00981D72"/>
    <w:rsid w:val="00981DBA"/>
    <w:rsid w:val="00981EA5"/>
    <w:rsid w:val="00981EEF"/>
    <w:rsid w:val="00981F53"/>
    <w:rsid w:val="0098205D"/>
    <w:rsid w:val="00982146"/>
    <w:rsid w:val="00982182"/>
    <w:rsid w:val="00982185"/>
    <w:rsid w:val="009821A0"/>
    <w:rsid w:val="0098237F"/>
    <w:rsid w:val="009823E0"/>
    <w:rsid w:val="009827EE"/>
    <w:rsid w:val="0098299D"/>
    <w:rsid w:val="00982B31"/>
    <w:rsid w:val="00982B81"/>
    <w:rsid w:val="00982E50"/>
    <w:rsid w:val="00982E8F"/>
    <w:rsid w:val="00982F3F"/>
    <w:rsid w:val="0098320F"/>
    <w:rsid w:val="00983291"/>
    <w:rsid w:val="0098329D"/>
    <w:rsid w:val="009834EA"/>
    <w:rsid w:val="009835BB"/>
    <w:rsid w:val="00983709"/>
    <w:rsid w:val="00983741"/>
    <w:rsid w:val="009837E4"/>
    <w:rsid w:val="00983863"/>
    <w:rsid w:val="00983884"/>
    <w:rsid w:val="009838DE"/>
    <w:rsid w:val="0098391C"/>
    <w:rsid w:val="009839A5"/>
    <w:rsid w:val="00983B2E"/>
    <w:rsid w:val="00983B61"/>
    <w:rsid w:val="00983CD5"/>
    <w:rsid w:val="00984074"/>
    <w:rsid w:val="009843C8"/>
    <w:rsid w:val="00984529"/>
    <w:rsid w:val="009845BE"/>
    <w:rsid w:val="00984662"/>
    <w:rsid w:val="009848F9"/>
    <w:rsid w:val="00984EE2"/>
    <w:rsid w:val="00985159"/>
    <w:rsid w:val="00985178"/>
    <w:rsid w:val="009851A6"/>
    <w:rsid w:val="00985333"/>
    <w:rsid w:val="009853B5"/>
    <w:rsid w:val="009856EB"/>
    <w:rsid w:val="0098579E"/>
    <w:rsid w:val="009857A9"/>
    <w:rsid w:val="009857B2"/>
    <w:rsid w:val="009859CA"/>
    <w:rsid w:val="009859F5"/>
    <w:rsid w:val="00985A07"/>
    <w:rsid w:val="00985A5B"/>
    <w:rsid w:val="00985B14"/>
    <w:rsid w:val="00985BC9"/>
    <w:rsid w:val="00985CA5"/>
    <w:rsid w:val="00985E4B"/>
    <w:rsid w:val="00985EBD"/>
    <w:rsid w:val="00985F19"/>
    <w:rsid w:val="00986033"/>
    <w:rsid w:val="00986048"/>
    <w:rsid w:val="009860D9"/>
    <w:rsid w:val="00986249"/>
    <w:rsid w:val="009865A9"/>
    <w:rsid w:val="00986691"/>
    <w:rsid w:val="00986742"/>
    <w:rsid w:val="00986829"/>
    <w:rsid w:val="00986A87"/>
    <w:rsid w:val="00986B75"/>
    <w:rsid w:val="00986BA0"/>
    <w:rsid w:val="00986D21"/>
    <w:rsid w:val="00986DAD"/>
    <w:rsid w:val="00986F2A"/>
    <w:rsid w:val="00987033"/>
    <w:rsid w:val="00987092"/>
    <w:rsid w:val="009870C6"/>
    <w:rsid w:val="009872A7"/>
    <w:rsid w:val="009872DC"/>
    <w:rsid w:val="0098742A"/>
    <w:rsid w:val="00987528"/>
    <w:rsid w:val="00987658"/>
    <w:rsid w:val="0098772C"/>
    <w:rsid w:val="00987839"/>
    <w:rsid w:val="00987A96"/>
    <w:rsid w:val="00987E14"/>
    <w:rsid w:val="00990058"/>
    <w:rsid w:val="009905AB"/>
    <w:rsid w:val="009906F0"/>
    <w:rsid w:val="009908A3"/>
    <w:rsid w:val="009909C0"/>
    <w:rsid w:val="00990BA9"/>
    <w:rsid w:val="00990BFB"/>
    <w:rsid w:val="00990F56"/>
    <w:rsid w:val="0099104A"/>
    <w:rsid w:val="00991ACE"/>
    <w:rsid w:val="00991AEA"/>
    <w:rsid w:val="00991B3E"/>
    <w:rsid w:val="00991DD4"/>
    <w:rsid w:val="00991F90"/>
    <w:rsid w:val="009920E6"/>
    <w:rsid w:val="0099217B"/>
    <w:rsid w:val="009921CF"/>
    <w:rsid w:val="0099256C"/>
    <w:rsid w:val="009925F2"/>
    <w:rsid w:val="009928A0"/>
    <w:rsid w:val="009928D8"/>
    <w:rsid w:val="00992AB8"/>
    <w:rsid w:val="00992AD1"/>
    <w:rsid w:val="00992DA4"/>
    <w:rsid w:val="00992E7E"/>
    <w:rsid w:val="00992EA5"/>
    <w:rsid w:val="00992F7A"/>
    <w:rsid w:val="00992FAF"/>
    <w:rsid w:val="00993040"/>
    <w:rsid w:val="009931D7"/>
    <w:rsid w:val="009932FF"/>
    <w:rsid w:val="009933FC"/>
    <w:rsid w:val="009934A3"/>
    <w:rsid w:val="00993657"/>
    <w:rsid w:val="00993751"/>
    <w:rsid w:val="0099375A"/>
    <w:rsid w:val="0099383F"/>
    <w:rsid w:val="009939FA"/>
    <w:rsid w:val="00993A55"/>
    <w:rsid w:val="00993F4D"/>
    <w:rsid w:val="00993FFD"/>
    <w:rsid w:val="00994042"/>
    <w:rsid w:val="0099420C"/>
    <w:rsid w:val="0099427B"/>
    <w:rsid w:val="009944B9"/>
    <w:rsid w:val="009945E8"/>
    <w:rsid w:val="009947DA"/>
    <w:rsid w:val="00994986"/>
    <w:rsid w:val="009949C8"/>
    <w:rsid w:val="009949D1"/>
    <w:rsid w:val="00994D1D"/>
    <w:rsid w:val="00994E1D"/>
    <w:rsid w:val="00994EE8"/>
    <w:rsid w:val="00995052"/>
    <w:rsid w:val="00995095"/>
    <w:rsid w:val="0099525E"/>
    <w:rsid w:val="0099526B"/>
    <w:rsid w:val="0099555D"/>
    <w:rsid w:val="00995578"/>
    <w:rsid w:val="0099559D"/>
    <w:rsid w:val="009955B9"/>
    <w:rsid w:val="0099569E"/>
    <w:rsid w:val="00995AD5"/>
    <w:rsid w:val="00995CBA"/>
    <w:rsid w:val="00995E28"/>
    <w:rsid w:val="00995EA2"/>
    <w:rsid w:val="00995EE0"/>
    <w:rsid w:val="00995EF4"/>
    <w:rsid w:val="00995F60"/>
    <w:rsid w:val="00996002"/>
    <w:rsid w:val="00996022"/>
    <w:rsid w:val="0099605A"/>
    <w:rsid w:val="00996283"/>
    <w:rsid w:val="0099632E"/>
    <w:rsid w:val="00996391"/>
    <w:rsid w:val="009963AC"/>
    <w:rsid w:val="009965B0"/>
    <w:rsid w:val="00996641"/>
    <w:rsid w:val="00996887"/>
    <w:rsid w:val="00996991"/>
    <w:rsid w:val="0099699D"/>
    <w:rsid w:val="009969EC"/>
    <w:rsid w:val="00996E5A"/>
    <w:rsid w:val="00996EC6"/>
    <w:rsid w:val="00996F14"/>
    <w:rsid w:val="009970B4"/>
    <w:rsid w:val="009971E1"/>
    <w:rsid w:val="00997264"/>
    <w:rsid w:val="009972F1"/>
    <w:rsid w:val="00997343"/>
    <w:rsid w:val="0099765B"/>
    <w:rsid w:val="009979B9"/>
    <w:rsid w:val="00997C73"/>
    <w:rsid w:val="00997CBD"/>
    <w:rsid w:val="00997DE9"/>
    <w:rsid w:val="00997E0B"/>
    <w:rsid w:val="00997E13"/>
    <w:rsid w:val="009A0036"/>
    <w:rsid w:val="009A0100"/>
    <w:rsid w:val="009A01E4"/>
    <w:rsid w:val="009A041C"/>
    <w:rsid w:val="009A04BD"/>
    <w:rsid w:val="009A059D"/>
    <w:rsid w:val="009A05DE"/>
    <w:rsid w:val="009A0676"/>
    <w:rsid w:val="009A0D6F"/>
    <w:rsid w:val="009A0E7B"/>
    <w:rsid w:val="009A0FE8"/>
    <w:rsid w:val="009A1340"/>
    <w:rsid w:val="009A13AF"/>
    <w:rsid w:val="009A14F0"/>
    <w:rsid w:val="009A15BF"/>
    <w:rsid w:val="009A15DF"/>
    <w:rsid w:val="009A16E0"/>
    <w:rsid w:val="009A1714"/>
    <w:rsid w:val="009A18B1"/>
    <w:rsid w:val="009A1908"/>
    <w:rsid w:val="009A1AC3"/>
    <w:rsid w:val="009A1BDA"/>
    <w:rsid w:val="009A1C93"/>
    <w:rsid w:val="009A1DEA"/>
    <w:rsid w:val="009A1E48"/>
    <w:rsid w:val="009A1E8B"/>
    <w:rsid w:val="009A2009"/>
    <w:rsid w:val="009A2115"/>
    <w:rsid w:val="009A2231"/>
    <w:rsid w:val="009A263C"/>
    <w:rsid w:val="009A2810"/>
    <w:rsid w:val="009A2A19"/>
    <w:rsid w:val="009A2CE4"/>
    <w:rsid w:val="009A2D77"/>
    <w:rsid w:val="009A2DA7"/>
    <w:rsid w:val="009A2DB0"/>
    <w:rsid w:val="009A2ED5"/>
    <w:rsid w:val="009A31E6"/>
    <w:rsid w:val="009A320E"/>
    <w:rsid w:val="009A3368"/>
    <w:rsid w:val="009A3385"/>
    <w:rsid w:val="009A3401"/>
    <w:rsid w:val="009A3422"/>
    <w:rsid w:val="009A3817"/>
    <w:rsid w:val="009A3AFB"/>
    <w:rsid w:val="009A3BC3"/>
    <w:rsid w:val="009A3D81"/>
    <w:rsid w:val="009A3F84"/>
    <w:rsid w:val="009A3FE5"/>
    <w:rsid w:val="009A4101"/>
    <w:rsid w:val="009A4657"/>
    <w:rsid w:val="009A46D4"/>
    <w:rsid w:val="009A48E4"/>
    <w:rsid w:val="009A4A1C"/>
    <w:rsid w:val="009A4A8D"/>
    <w:rsid w:val="009A4B3D"/>
    <w:rsid w:val="009A4B46"/>
    <w:rsid w:val="009A4B4B"/>
    <w:rsid w:val="009A4C90"/>
    <w:rsid w:val="009A4F6A"/>
    <w:rsid w:val="009A5048"/>
    <w:rsid w:val="009A50C7"/>
    <w:rsid w:val="009A515E"/>
    <w:rsid w:val="009A5269"/>
    <w:rsid w:val="009A5298"/>
    <w:rsid w:val="009A5367"/>
    <w:rsid w:val="009A5380"/>
    <w:rsid w:val="009A55B1"/>
    <w:rsid w:val="009A55F7"/>
    <w:rsid w:val="009A5667"/>
    <w:rsid w:val="009A568E"/>
    <w:rsid w:val="009A5731"/>
    <w:rsid w:val="009A585E"/>
    <w:rsid w:val="009A597A"/>
    <w:rsid w:val="009A5A6E"/>
    <w:rsid w:val="009A5BBF"/>
    <w:rsid w:val="009A5BC6"/>
    <w:rsid w:val="009A5C79"/>
    <w:rsid w:val="009A5EB2"/>
    <w:rsid w:val="009A5FDB"/>
    <w:rsid w:val="009A611C"/>
    <w:rsid w:val="009A652C"/>
    <w:rsid w:val="009A6558"/>
    <w:rsid w:val="009A67D3"/>
    <w:rsid w:val="009A6884"/>
    <w:rsid w:val="009A68EB"/>
    <w:rsid w:val="009A6B49"/>
    <w:rsid w:val="009A7061"/>
    <w:rsid w:val="009A7088"/>
    <w:rsid w:val="009A70C4"/>
    <w:rsid w:val="009A71BC"/>
    <w:rsid w:val="009A735C"/>
    <w:rsid w:val="009A7424"/>
    <w:rsid w:val="009A756B"/>
    <w:rsid w:val="009A76B9"/>
    <w:rsid w:val="009A77DA"/>
    <w:rsid w:val="009A78B8"/>
    <w:rsid w:val="009A7A08"/>
    <w:rsid w:val="009A7E28"/>
    <w:rsid w:val="009B006D"/>
    <w:rsid w:val="009B0622"/>
    <w:rsid w:val="009B0790"/>
    <w:rsid w:val="009B0811"/>
    <w:rsid w:val="009B0B4F"/>
    <w:rsid w:val="009B0B56"/>
    <w:rsid w:val="009B0C11"/>
    <w:rsid w:val="009B0CAE"/>
    <w:rsid w:val="009B0EC9"/>
    <w:rsid w:val="009B0FBA"/>
    <w:rsid w:val="009B105C"/>
    <w:rsid w:val="009B108C"/>
    <w:rsid w:val="009B109B"/>
    <w:rsid w:val="009B1134"/>
    <w:rsid w:val="009B1209"/>
    <w:rsid w:val="009B124D"/>
    <w:rsid w:val="009B1938"/>
    <w:rsid w:val="009B1D5F"/>
    <w:rsid w:val="009B1D89"/>
    <w:rsid w:val="009B1E0C"/>
    <w:rsid w:val="009B1E97"/>
    <w:rsid w:val="009B1F54"/>
    <w:rsid w:val="009B1FCE"/>
    <w:rsid w:val="009B2240"/>
    <w:rsid w:val="009B2258"/>
    <w:rsid w:val="009B245A"/>
    <w:rsid w:val="009B251C"/>
    <w:rsid w:val="009B2717"/>
    <w:rsid w:val="009B2861"/>
    <w:rsid w:val="009B2944"/>
    <w:rsid w:val="009B296A"/>
    <w:rsid w:val="009B2BF7"/>
    <w:rsid w:val="009B2DF3"/>
    <w:rsid w:val="009B2F17"/>
    <w:rsid w:val="009B31DE"/>
    <w:rsid w:val="009B3302"/>
    <w:rsid w:val="009B33B0"/>
    <w:rsid w:val="009B33CD"/>
    <w:rsid w:val="009B3452"/>
    <w:rsid w:val="009B34C4"/>
    <w:rsid w:val="009B3577"/>
    <w:rsid w:val="009B36BB"/>
    <w:rsid w:val="009B382A"/>
    <w:rsid w:val="009B3AE2"/>
    <w:rsid w:val="009B3C99"/>
    <w:rsid w:val="009B3D14"/>
    <w:rsid w:val="009B3D47"/>
    <w:rsid w:val="009B4182"/>
    <w:rsid w:val="009B4269"/>
    <w:rsid w:val="009B42EE"/>
    <w:rsid w:val="009B43E3"/>
    <w:rsid w:val="009B4402"/>
    <w:rsid w:val="009B444B"/>
    <w:rsid w:val="009B455F"/>
    <w:rsid w:val="009B45CB"/>
    <w:rsid w:val="009B46FF"/>
    <w:rsid w:val="009B48AF"/>
    <w:rsid w:val="009B4B01"/>
    <w:rsid w:val="009B4B89"/>
    <w:rsid w:val="009B4C3C"/>
    <w:rsid w:val="009B4C99"/>
    <w:rsid w:val="009B5008"/>
    <w:rsid w:val="009B5147"/>
    <w:rsid w:val="009B5470"/>
    <w:rsid w:val="009B548D"/>
    <w:rsid w:val="009B54BA"/>
    <w:rsid w:val="009B55D7"/>
    <w:rsid w:val="009B560B"/>
    <w:rsid w:val="009B5611"/>
    <w:rsid w:val="009B58AD"/>
    <w:rsid w:val="009B59C7"/>
    <w:rsid w:val="009B5A03"/>
    <w:rsid w:val="009B5B50"/>
    <w:rsid w:val="009B5BB8"/>
    <w:rsid w:val="009B5C3A"/>
    <w:rsid w:val="009B5CB2"/>
    <w:rsid w:val="009B5D53"/>
    <w:rsid w:val="009B5E44"/>
    <w:rsid w:val="009B5F73"/>
    <w:rsid w:val="009B625D"/>
    <w:rsid w:val="009B63C0"/>
    <w:rsid w:val="009B63F6"/>
    <w:rsid w:val="009B65DD"/>
    <w:rsid w:val="009B66AD"/>
    <w:rsid w:val="009B6A5F"/>
    <w:rsid w:val="009B6A82"/>
    <w:rsid w:val="009B6B2A"/>
    <w:rsid w:val="009B6C24"/>
    <w:rsid w:val="009B6DDC"/>
    <w:rsid w:val="009B6E1C"/>
    <w:rsid w:val="009B6EDC"/>
    <w:rsid w:val="009B6F66"/>
    <w:rsid w:val="009B6FD2"/>
    <w:rsid w:val="009B710D"/>
    <w:rsid w:val="009B72E2"/>
    <w:rsid w:val="009B7355"/>
    <w:rsid w:val="009B7417"/>
    <w:rsid w:val="009B7518"/>
    <w:rsid w:val="009B768E"/>
    <w:rsid w:val="009B76EF"/>
    <w:rsid w:val="009B7778"/>
    <w:rsid w:val="009B78B8"/>
    <w:rsid w:val="009B78C2"/>
    <w:rsid w:val="009B7B05"/>
    <w:rsid w:val="009B7D81"/>
    <w:rsid w:val="009B7E21"/>
    <w:rsid w:val="009B7EF0"/>
    <w:rsid w:val="009B7F16"/>
    <w:rsid w:val="009BEFDF"/>
    <w:rsid w:val="009C0267"/>
    <w:rsid w:val="009C02AF"/>
    <w:rsid w:val="009C02DD"/>
    <w:rsid w:val="009C0374"/>
    <w:rsid w:val="009C0434"/>
    <w:rsid w:val="009C04D9"/>
    <w:rsid w:val="009C05ED"/>
    <w:rsid w:val="009C0B6F"/>
    <w:rsid w:val="009C0C92"/>
    <w:rsid w:val="009C0DEB"/>
    <w:rsid w:val="009C0FB0"/>
    <w:rsid w:val="009C128F"/>
    <w:rsid w:val="009C12CD"/>
    <w:rsid w:val="009C141A"/>
    <w:rsid w:val="009C1428"/>
    <w:rsid w:val="009C148A"/>
    <w:rsid w:val="009C178A"/>
    <w:rsid w:val="009C1812"/>
    <w:rsid w:val="009C1813"/>
    <w:rsid w:val="009C1BFC"/>
    <w:rsid w:val="009C1C75"/>
    <w:rsid w:val="009C1D25"/>
    <w:rsid w:val="009C1E9B"/>
    <w:rsid w:val="009C1FF1"/>
    <w:rsid w:val="009C203D"/>
    <w:rsid w:val="009C20AC"/>
    <w:rsid w:val="009C2128"/>
    <w:rsid w:val="009C218B"/>
    <w:rsid w:val="009C21EC"/>
    <w:rsid w:val="009C2685"/>
    <w:rsid w:val="009C2820"/>
    <w:rsid w:val="009C2AF9"/>
    <w:rsid w:val="009C2B60"/>
    <w:rsid w:val="009C2B64"/>
    <w:rsid w:val="009C2FCD"/>
    <w:rsid w:val="009C30A0"/>
    <w:rsid w:val="009C30C1"/>
    <w:rsid w:val="009C3151"/>
    <w:rsid w:val="009C32AC"/>
    <w:rsid w:val="009C33B8"/>
    <w:rsid w:val="009C33F5"/>
    <w:rsid w:val="009C34FE"/>
    <w:rsid w:val="009C3548"/>
    <w:rsid w:val="009C3764"/>
    <w:rsid w:val="009C394F"/>
    <w:rsid w:val="009C396B"/>
    <w:rsid w:val="009C3A0D"/>
    <w:rsid w:val="009C3A35"/>
    <w:rsid w:val="009C3A3B"/>
    <w:rsid w:val="009C3BCA"/>
    <w:rsid w:val="009C3F42"/>
    <w:rsid w:val="009C4008"/>
    <w:rsid w:val="009C40EA"/>
    <w:rsid w:val="009C43DE"/>
    <w:rsid w:val="009C4513"/>
    <w:rsid w:val="009C463B"/>
    <w:rsid w:val="009C46B8"/>
    <w:rsid w:val="009C48B0"/>
    <w:rsid w:val="009C490D"/>
    <w:rsid w:val="009C4A2A"/>
    <w:rsid w:val="009C4B0A"/>
    <w:rsid w:val="009C4E72"/>
    <w:rsid w:val="009C50C5"/>
    <w:rsid w:val="009C5294"/>
    <w:rsid w:val="009C569F"/>
    <w:rsid w:val="009C57F5"/>
    <w:rsid w:val="009C5852"/>
    <w:rsid w:val="009C5A08"/>
    <w:rsid w:val="009C5AB5"/>
    <w:rsid w:val="009C5C36"/>
    <w:rsid w:val="009C5EA6"/>
    <w:rsid w:val="009C5EDB"/>
    <w:rsid w:val="009C5EE1"/>
    <w:rsid w:val="009C606F"/>
    <w:rsid w:val="009C60DD"/>
    <w:rsid w:val="009C6121"/>
    <w:rsid w:val="009C6180"/>
    <w:rsid w:val="009C61A8"/>
    <w:rsid w:val="009C63B4"/>
    <w:rsid w:val="009C6677"/>
    <w:rsid w:val="009C67D9"/>
    <w:rsid w:val="009C6A96"/>
    <w:rsid w:val="009C6B1E"/>
    <w:rsid w:val="009C6E9B"/>
    <w:rsid w:val="009C7065"/>
    <w:rsid w:val="009C7272"/>
    <w:rsid w:val="009C7571"/>
    <w:rsid w:val="009C759C"/>
    <w:rsid w:val="009C7742"/>
    <w:rsid w:val="009C799D"/>
    <w:rsid w:val="009C7B98"/>
    <w:rsid w:val="009C7C9B"/>
    <w:rsid w:val="009C7D18"/>
    <w:rsid w:val="009C7D77"/>
    <w:rsid w:val="009D0158"/>
    <w:rsid w:val="009D0739"/>
    <w:rsid w:val="009D0816"/>
    <w:rsid w:val="009D0D4F"/>
    <w:rsid w:val="009D0DEF"/>
    <w:rsid w:val="009D109D"/>
    <w:rsid w:val="009D11E1"/>
    <w:rsid w:val="009D1423"/>
    <w:rsid w:val="009D147F"/>
    <w:rsid w:val="009D14A6"/>
    <w:rsid w:val="009D178C"/>
    <w:rsid w:val="009D1A52"/>
    <w:rsid w:val="009D1AD2"/>
    <w:rsid w:val="009D1B0C"/>
    <w:rsid w:val="009D1C08"/>
    <w:rsid w:val="009D1C39"/>
    <w:rsid w:val="009D1C6B"/>
    <w:rsid w:val="009D1D64"/>
    <w:rsid w:val="009D1DF2"/>
    <w:rsid w:val="009D1F05"/>
    <w:rsid w:val="009D1F0C"/>
    <w:rsid w:val="009D20AA"/>
    <w:rsid w:val="009D2216"/>
    <w:rsid w:val="009D2301"/>
    <w:rsid w:val="009D254C"/>
    <w:rsid w:val="009D260A"/>
    <w:rsid w:val="009D2734"/>
    <w:rsid w:val="009D2AD9"/>
    <w:rsid w:val="009D2C99"/>
    <w:rsid w:val="009D2D62"/>
    <w:rsid w:val="009D2E3D"/>
    <w:rsid w:val="009D303D"/>
    <w:rsid w:val="009D303E"/>
    <w:rsid w:val="009D30E7"/>
    <w:rsid w:val="009D30EB"/>
    <w:rsid w:val="009D30FC"/>
    <w:rsid w:val="009D31FA"/>
    <w:rsid w:val="009D376B"/>
    <w:rsid w:val="009D3C63"/>
    <w:rsid w:val="009D3E4F"/>
    <w:rsid w:val="009D3E85"/>
    <w:rsid w:val="009D3E8C"/>
    <w:rsid w:val="009D4210"/>
    <w:rsid w:val="009D4428"/>
    <w:rsid w:val="009D4724"/>
    <w:rsid w:val="009D47ED"/>
    <w:rsid w:val="009D47FC"/>
    <w:rsid w:val="009D4931"/>
    <w:rsid w:val="009D4CA5"/>
    <w:rsid w:val="009D4D21"/>
    <w:rsid w:val="009D4D45"/>
    <w:rsid w:val="009D50E0"/>
    <w:rsid w:val="009D513C"/>
    <w:rsid w:val="009D54DE"/>
    <w:rsid w:val="009D564E"/>
    <w:rsid w:val="009D5676"/>
    <w:rsid w:val="009D567A"/>
    <w:rsid w:val="009D58EC"/>
    <w:rsid w:val="009D5943"/>
    <w:rsid w:val="009D5D3D"/>
    <w:rsid w:val="009D5ED1"/>
    <w:rsid w:val="009D6033"/>
    <w:rsid w:val="009D637A"/>
    <w:rsid w:val="009D6554"/>
    <w:rsid w:val="009D6636"/>
    <w:rsid w:val="009D698D"/>
    <w:rsid w:val="009D6AB6"/>
    <w:rsid w:val="009D6AEF"/>
    <w:rsid w:val="009D6D78"/>
    <w:rsid w:val="009D6EEF"/>
    <w:rsid w:val="009D6F5D"/>
    <w:rsid w:val="009D71C4"/>
    <w:rsid w:val="009D725F"/>
    <w:rsid w:val="009D7294"/>
    <w:rsid w:val="009D750A"/>
    <w:rsid w:val="009D756E"/>
    <w:rsid w:val="009D764B"/>
    <w:rsid w:val="009D76DB"/>
    <w:rsid w:val="009D7951"/>
    <w:rsid w:val="009D7E35"/>
    <w:rsid w:val="009D7E58"/>
    <w:rsid w:val="009D7EA7"/>
    <w:rsid w:val="009E000A"/>
    <w:rsid w:val="009E0202"/>
    <w:rsid w:val="009E0349"/>
    <w:rsid w:val="009E047D"/>
    <w:rsid w:val="009E07E9"/>
    <w:rsid w:val="009E081E"/>
    <w:rsid w:val="009E082D"/>
    <w:rsid w:val="009E0B1C"/>
    <w:rsid w:val="009E0BA4"/>
    <w:rsid w:val="009E0C16"/>
    <w:rsid w:val="009E10C5"/>
    <w:rsid w:val="009E11DF"/>
    <w:rsid w:val="009E12CB"/>
    <w:rsid w:val="009E12DE"/>
    <w:rsid w:val="009E1374"/>
    <w:rsid w:val="009E13F4"/>
    <w:rsid w:val="009E1562"/>
    <w:rsid w:val="009E15F7"/>
    <w:rsid w:val="009E16A9"/>
    <w:rsid w:val="009E1710"/>
    <w:rsid w:val="009E17FB"/>
    <w:rsid w:val="009E1990"/>
    <w:rsid w:val="009E1AE0"/>
    <w:rsid w:val="009E1CA4"/>
    <w:rsid w:val="009E1D05"/>
    <w:rsid w:val="009E1D32"/>
    <w:rsid w:val="009E1D6D"/>
    <w:rsid w:val="009E1D8F"/>
    <w:rsid w:val="009E207F"/>
    <w:rsid w:val="009E20FF"/>
    <w:rsid w:val="009E227A"/>
    <w:rsid w:val="009E22D9"/>
    <w:rsid w:val="009E22E1"/>
    <w:rsid w:val="009E255C"/>
    <w:rsid w:val="009E25FB"/>
    <w:rsid w:val="009E2778"/>
    <w:rsid w:val="009E2877"/>
    <w:rsid w:val="009E28CF"/>
    <w:rsid w:val="009E2B06"/>
    <w:rsid w:val="009E2EE2"/>
    <w:rsid w:val="009E2EF0"/>
    <w:rsid w:val="009E2FB2"/>
    <w:rsid w:val="009E3107"/>
    <w:rsid w:val="009E318E"/>
    <w:rsid w:val="009E31FB"/>
    <w:rsid w:val="009E3610"/>
    <w:rsid w:val="009E3685"/>
    <w:rsid w:val="009E36FC"/>
    <w:rsid w:val="009E3754"/>
    <w:rsid w:val="009E384D"/>
    <w:rsid w:val="009E3860"/>
    <w:rsid w:val="009E38D3"/>
    <w:rsid w:val="009E3C45"/>
    <w:rsid w:val="009E3E64"/>
    <w:rsid w:val="009E4482"/>
    <w:rsid w:val="009E463D"/>
    <w:rsid w:val="009E4660"/>
    <w:rsid w:val="009E47CF"/>
    <w:rsid w:val="009E4922"/>
    <w:rsid w:val="009E4AA5"/>
    <w:rsid w:val="009E4C09"/>
    <w:rsid w:val="009E4CE0"/>
    <w:rsid w:val="009E4F61"/>
    <w:rsid w:val="009E51CD"/>
    <w:rsid w:val="009E51DE"/>
    <w:rsid w:val="009E56DA"/>
    <w:rsid w:val="009E56EA"/>
    <w:rsid w:val="009E571C"/>
    <w:rsid w:val="009E5789"/>
    <w:rsid w:val="009E598B"/>
    <w:rsid w:val="009E5CC0"/>
    <w:rsid w:val="009E5E5D"/>
    <w:rsid w:val="009E6234"/>
    <w:rsid w:val="009E62B2"/>
    <w:rsid w:val="009E6366"/>
    <w:rsid w:val="009E667D"/>
    <w:rsid w:val="009E699A"/>
    <w:rsid w:val="009E6C9B"/>
    <w:rsid w:val="009E6DFF"/>
    <w:rsid w:val="009E6E42"/>
    <w:rsid w:val="009E6E52"/>
    <w:rsid w:val="009E6F3E"/>
    <w:rsid w:val="009E6F7C"/>
    <w:rsid w:val="009E7125"/>
    <w:rsid w:val="009E76D5"/>
    <w:rsid w:val="009E76DF"/>
    <w:rsid w:val="009E79FD"/>
    <w:rsid w:val="009E7BE0"/>
    <w:rsid w:val="009E7BE7"/>
    <w:rsid w:val="009E7C70"/>
    <w:rsid w:val="009F0164"/>
    <w:rsid w:val="009F060B"/>
    <w:rsid w:val="009F0782"/>
    <w:rsid w:val="009F084B"/>
    <w:rsid w:val="009F0948"/>
    <w:rsid w:val="009F0F31"/>
    <w:rsid w:val="009F0F48"/>
    <w:rsid w:val="009F0FC0"/>
    <w:rsid w:val="009F1051"/>
    <w:rsid w:val="009F10AE"/>
    <w:rsid w:val="009F116D"/>
    <w:rsid w:val="009F12F9"/>
    <w:rsid w:val="009F14E0"/>
    <w:rsid w:val="009F16B0"/>
    <w:rsid w:val="009F183C"/>
    <w:rsid w:val="009F1850"/>
    <w:rsid w:val="009F1994"/>
    <w:rsid w:val="009F19BD"/>
    <w:rsid w:val="009F1A4D"/>
    <w:rsid w:val="009F1F58"/>
    <w:rsid w:val="009F20FF"/>
    <w:rsid w:val="009F23BE"/>
    <w:rsid w:val="009F2631"/>
    <w:rsid w:val="009F282B"/>
    <w:rsid w:val="009F2890"/>
    <w:rsid w:val="009F2AB6"/>
    <w:rsid w:val="009F2B45"/>
    <w:rsid w:val="009F2E46"/>
    <w:rsid w:val="009F2F02"/>
    <w:rsid w:val="009F305F"/>
    <w:rsid w:val="009F31B0"/>
    <w:rsid w:val="009F3315"/>
    <w:rsid w:val="009F33D5"/>
    <w:rsid w:val="009F3403"/>
    <w:rsid w:val="009F34A2"/>
    <w:rsid w:val="009F3630"/>
    <w:rsid w:val="009F3678"/>
    <w:rsid w:val="009F368A"/>
    <w:rsid w:val="009F3721"/>
    <w:rsid w:val="009F3761"/>
    <w:rsid w:val="009F384B"/>
    <w:rsid w:val="009F3896"/>
    <w:rsid w:val="009F39CA"/>
    <w:rsid w:val="009F3A30"/>
    <w:rsid w:val="009F3A50"/>
    <w:rsid w:val="009F3B03"/>
    <w:rsid w:val="009F3ED3"/>
    <w:rsid w:val="009F401C"/>
    <w:rsid w:val="009F4138"/>
    <w:rsid w:val="009F416B"/>
    <w:rsid w:val="009F4246"/>
    <w:rsid w:val="009F43B8"/>
    <w:rsid w:val="009F43BF"/>
    <w:rsid w:val="009F4A21"/>
    <w:rsid w:val="009F4A23"/>
    <w:rsid w:val="009F4B4C"/>
    <w:rsid w:val="009F4CC0"/>
    <w:rsid w:val="009F4CD8"/>
    <w:rsid w:val="009F4D04"/>
    <w:rsid w:val="009F4D7B"/>
    <w:rsid w:val="009F4DEB"/>
    <w:rsid w:val="009F4FA0"/>
    <w:rsid w:val="009F4FE2"/>
    <w:rsid w:val="009F5166"/>
    <w:rsid w:val="009F5279"/>
    <w:rsid w:val="009F53A3"/>
    <w:rsid w:val="009F5488"/>
    <w:rsid w:val="009F5489"/>
    <w:rsid w:val="009F55AB"/>
    <w:rsid w:val="009F57B1"/>
    <w:rsid w:val="009F5916"/>
    <w:rsid w:val="009F5B97"/>
    <w:rsid w:val="009F611D"/>
    <w:rsid w:val="009F6381"/>
    <w:rsid w:val="009F64DA"/>
    <w:rsid w:val="009F6574"/>
    <w:rsid w:val="009F6596"/>
    <w:rsid w:val="009F661F"/>
    <w:rsid w:val="009F6635"/>
    <w:rsid w:val="009F66E2"/>
    <w:rsid w:val="009F6993"/>
    <w:rsid w:val="009F6A75"/>
    <w:rsid w:val="009F6B46"/>
    <w:rsid w:val="009F6EC2"/>
    <w:rsid w:val="009F7002"/>
    <w:rsid w:val="009F708A"/>
    <w:rsid w:val="009F7173"/>
    <w:rsid w:val="009F73C2"/>
    <w:rsid w:val="009F74C3"/>
    <w:rsid w:val="009F76CE"/>
    <w:rsid w:val="009F79F6"/>
    <w:rsid w:val="009F7B02"/>
    <w:rsid w:val="009F7BAC"/>
    <w:rsid w:val="009F7C7B"/>
    <w:rsid w:val="009F7D1C"/>
    <w:rsid w:val="009F7E5C"/>
    <w:rsid w:val="009F7E79"/>
    <w:rsid w:val="009F7ECF"/>
    <w:rsid w:val="009F7F1D"/>
    <w:rsid w:val="009F7FE0"/>
    <w:rsid w:val="00A0017A"/>
    <w:rsid w:val="00A00201"/>
    <w:rsid w:val="00A0027B"/>
    <w:rsid w:val="00A00359"/>
    <w:rsid w:val="00A00419"/>
    <w:rsid w:val="00A0045C"/>
    <w:rsid w:val="00A0055D"/>
    <w:rsid w:val="00A0060E"/>
    <w:rsid w:val="00A006EF"/>
    <w:rsid w:val="00A007CD"/>
    <w:rsid w:val="00A009DE"/>
    <w:rsid w:val="00A00B5E"/>
    <w:rsid w:val="00A00BE1"/>
    <w:rsid w:val="00A00D62"/>
    <w:rsid w:val="00A012AB"/>
    <w:rsid w:val="00A01346"/>
    <w:rsid w:val="00A0148C"/>
    <w:rsid w:val="00A015E9"/>
    <w:rsid w:val="00A01881"/>
    <w:rsid w:val="00A01995"/>
    <w:rsid w:val="00A01B9D"/>
    <w:rsid w:val="00A01C8A"/>
    <w:rsid w:val="00A01CB2"/>
    <w:rsid w:val="00A01D15"/>
    <w:rsid w:val="00A01F07"/>
    <w:rsid w:val="00A02132"/>
    <w:rsid w:val="00A0241C"/>
    <w:rsid w:val="00A024C9"/>
    <w:rsid w:val="00A024DD"/>
    <w:rsid w:val="00A02A5D"/>
    <w:rsid w:val="00A02DF3"/>
    <w:rsid w:val="00A02E0E"/>
    <w:rsid w:val="00A03083"/>
    <w:rsid w:val="00A0313B"/>
    <w:rsid w:val="00A03187"/>
    <w:rsid w:val="00A0365F"/>
    <w:rsid w:val="00A037BF"/>
    <w:rsid w:val="00A037DA"/>
    <w:rsid w:val="00A038AA"/>
    <w:rsid w:val="00A038F4"/>
    <w:rsid w:val="00A03BC7"/>
    <w:rsid w:val="00A03C0C"/>
    <w:rsid w:val="00A03C94"/>
    <w:rsid w:val="00A03DBE"/>
    <w:rsid w:val="00A03DEF"/>
    <w:rsid w:val="00A03F7F"/>
    <w:rsid w:val="00A03F89"/>
    <w:rsid w:val="00A04016"/>
    <w:rsid w:val="00A0408D"/>
    <w:rsid w:val="00A04126"/>
    <w:rsid w:val="00A04587"/>
    <w:rsid w:val="00A04598"/>
    <w:rsid w:val="00A04B3B"/>
    <w:rsid w:val="00A04CA6"/>
    <w:rsid w:val="00A04CC3"/>
    <w:rsid w:val="00A04D23"/>
    <w:rsid w:val="00A04E4C"/>
    <w:rsid w:val="00A04F41"/>
    <w:rsid w:val="00A05129"/>
    <w:rsid w:val="00A051AC"/>
    <w:rsid w:val="00A05448"/>
    <w:rsid w:val="00A05473"/>
    <w:rsid w:val="00A05723"/>
    <w:rsid w:val="00A05844"/>
    <w:rsid w:val="00A05958"/>
    <w:rsid w:val="00A05AF1"/>
    <w:rsid w:val="00A05BAF"/>
    <w:rsid w:val="00A05BCB"/>
    <w:rsid w:val="00A05C2A"/>
    <w:rsid w:val="00A05CF2"/>
    <w:rsid w:val="00A05E02"/>
    <w:rsid w:val="00A05F3A"/>
    <w:rsid w:val="00A05FCD"/>
    <w:rsid w:val="00A0613D"/>
    <w:rsid w:val="00A061BD"/>
    <w:rsid w:val="00A06C1C"/>
    <w:rsid w:val="00A06D73"/>
    <w:rsid w:val="00A06E2C"/>
    <w:rsid w:val="00A06FAB"/>
    <w:rsid w:val="00A0711A"/>
    <w:rsid w:val="00A073EC"/>
    <w:rsid w:val="00A074A6"/>
    <w:rsid w:val="00A07535"/>
    <w:rsid w:val="00A07662"/>
    <w:rsid w:val="00A0766F"/>
    <w:rsid w:val="00A07750"/>
    <w:rsid w:val="00A0779B"/>
    <w:rsid w:val="00A0786A"/>
    <w:rsid w:val="00A07914"/>
    <w:rsid w:val="00A07AC7"/>
    <w:rsid w:val="00A07B15"/>
    <w:rsid w:val="00A07BB2"/>
    <w:rsid w:val="00A07C00"/>
    <w:rsid w:val="00A07CD6"/>
    <w:rsid w:val="00A07E73"/>
    <w:rsid w:val="00A07F4A"/>
    <w:rsid w:val="00A1001D"/>
    <w:rsid w:val="00A10163"/>
    <w:rsid w:val="00A101B6"/>
    <w:rsid w:val="00A10270"/>
    <w:rsid w:val="00A1051D"/>
    <w:rsid w:val="00A10544"/>
    <w:rsid w:val="00A105BE"/>
    <w:rsid w:val="00A107CA"/>
    <w:rsid w:val="00A108F1"/>
    <w:rsid w:val="00A1090A"/>
    <w:rsid w:val="00A10C84"/>
    <w:rsid w:val="00A11127"/>
    <w:rsid w:val="00A111CA"/>
    <w:rsid w:val="00A11744"/>
    <w:rsid w:val="00A11C1B"/>
    <w:rsid w:val="00A11C42"/>
    <w:rsid w:val="00A11D73"/>
    <w:rsid w:val="00A11EB0"/>
    <w:rsid w:val="00A1200F"/>
    <w:rsid w:val="00A12154"/>
    <w:rsid w:val="00A121BD"/>
    <w:rsid w:val="00A124D4"/>
    <w:rsid w:val="00A126BD"/>
    <w:rsid w:val="00A126C4"/>
    <w:rsid w:val="00A127FB"/>
    <w:rsid w:val="00A12993"/>
    <w:rsid w:val="00A12A10"/>
    <w:rsid w:val="00A12C76"/>
    <w:rsid w:val="00A12ED7"/>
    <w:rsid w:val="00A12EDF"/>
    <w:rsid w:val="00A131DB"/>
    <w:rsid w:val="00A13252"/>
    <w:rsid w:val="00A1329E"/>
    <w:rsid w:val="00A13327"/>
    <w:rsid w:val="00A133EB"/>
    <w:rsid w:val="00A13429"/>
    <w:rsid w:val="00A1345D"/>
    <w:rsid w:val="00A134BA"/>
    <w:rsid w:val="00A1350C"/>
    <w:rsid w:val="00A137E1"/>
    <w:rsid w:val="00A13B4E"/>
    <w:rsid w:val="00A13C3E"/>
    <w:rsid w:val="00A13CF7"/>
    <w:rsid w:val="00A13FCB"/>
    <w:rsid w:val="00A141D8"/>
    <w:rsid w:val="00A143D3"/>
    <w:rsid w:val="00A144BA"/>
    <w:rsid w:val="00A14669"/>
    <w:rsid w:val="00A14765"/>
    <w:rsid w:val="00A14870"/>
    <w:rsid w:val="00A14A20"/>
    <w:rsid w:val="00A14CBE"/>
    <w:rsid w:val="00A14D0A"/>
    <w:rsid w:val="00A14D8A"/>
    <w:rsid w:val="00A153D6"/>
    <w:rsid w:val="00A1544D"/>
    <w:rsid w:val="00A154A5"/>
    <w:rsid w:val="00A15501"/>
    <w:rsid w:val="00A1583D"/>
    <w:rsid w:val="00A1594A"/>
    <w:rsid w:val="00A15BD6"/>
    <w:rsid w:val="00A15C10"/>
    <w:rsid w:val="00A15CBE"/>
    <w:rsid w:val="00A15E2D"/>
    <w:rsid w:val="00A15FC8"/>
    <w:rsid w:val="00A1601D"/>
    <w:rsid w:val="00A1602E"/>
    <w:rsid w:val="00A1606F"/>
    <w:rsid w:val="00A1616A"/>
    <w:rsid w:val="00A16206"/>
    <w:rsid w:val="00A162CD"/>
    <w:rsid w:val="00A16364"/>
    <w:rsid w:val="00A164E5"/>
    <w:rsid w:val="00A167B5"/>
    <w:rsid w:val="00A17074"/>
    <w:rsid w:val="00A170C0"/>
    <w:rsid w:val="00A171BA"/>
    <w:rsid w:val="00A172C8"/>
    <w:rsid w:val="00A1731D"/>
    <w:rsid w:val="00A17356"/>
    <w:rsid w:val="00A1744C"/>
    <w:rsid w:val="00A17584"/>
    <w:rsid w:val="00A178D3"/>
    <w:rsid w:val="00A17924"/>
    <w:rsid w:val="00A17A2F"/>
    <w:rsid w:val="00A17AF7"/>
    <w:rsid w:val="00A17CC7"/>
    <w:rsid w:val="00A17D01"/>
    <w:rsid w:val="00A17D15"/>
    <w:rsid w:val="00A17E02"/>
    <w:rsid w:val="00A17EFF"/>
    <w:rsid w:val="00A200B7"/>
    <w:rsid w:val="00A2011A"/>
    <w:rsid w:val="00A201E1"/>
    <w:rsid w:val="00A202DC"/>
    <w:rsid w:val="00A2030F"/>
    <w:rsid w:val="00A2035B"/>
    <w:rsid w:val="00A2054E"/>
    <w:rsid w:val="00A2077D"/>
    <w:rsid w:val="00A209B2"/>
    <w:rsid w:val="00A20A41"/>
    <w:rsid w:val="00A20A50"/>
    <w:rsid w:val="00A20DEA"/>
    <w:rsid w:val="00A20E46"/>
    <w:rsid w:val="00A2104C"/>
    <w:rsid w:val="00A21488"/>
    <w:rsid w:val="00A2167E"/>
    <w:rsid w:val="00A21824"/>
    <w:rsid w:val="00A219DF"/>
    <w:rsid w:val="00A21D93"/>
    <w:rsid w:val="00A21EF7"/>
    <w:rsid w:val="00A21F3F"/>
    <w:rsid w:val="00A21F67"/>
    <w:rsid w:val="00A220DC"/>
    <w:rsid w:val="00A2244A"/>
    <w:rsid w:val="00A22595"/>
    <w:rsid w:val="00A22634"/>
    <w:rsid w:val="00A2263B"/>
    <w:rsid w:val="00A22706"/>
    <w:rsid w:val="00A2286D"/>
    <w:rsid w:val="00A228C2"/>
    <w:rsid w:val="00A22ACC"/>
    <w:rsid w:val="00A22CA9"/>
    <w:rsid w:val="00A22D5C"/>
    <w:rsid w:val="00A22E8D"/>
    <w:rsid w:val="00A22FBB"/>
    <w:rsid w:val="00A2311D"/>
    <w:rsid w:val="00A233D4"/>
    <w:rsid w:val="00A233F2"/>
    <w:rsid w:val="00A23483"/>
    <w:rsid w:val="00A2361F"/>
    <w:rsid w:val="00A23749"/>
    <w:rsid w:val="00A23798"/>
    <w:rsid w:val="00A23945"/>
    <w:rsid w:val="00A23A42"/>
    <w:rsid w:val="00A23E0F"/>
    <w:rsid w:val="00A23E8F"/>
    <w:rsid w:val="00A23EB4"/>
    <w:rsid w:val="00A241B1"/>
    <w:rsid w:val="00A24389"/>
    <w:rsid w:val="00A2441D"/>
    <w:rsid w:val="00A2457D"/>
    <w:rsid w:val="00A24889"/>
    <w:rsid w:val="00A248F2"/>
    <w:rsid w:val="00A24937"/>
    <w:rsid w:val="00A24A44"/>
    <w:rsid w:val="00A24ACB"/>
    <w:rsid w:val="00A24C61"/>
    <w:rsid w:val="00A24CA0"/>
    <w:rsid w:val="00A24CDD"/>
    <w:rsid w:val="00A24F2A"/>
    <w:rsid w:val="00A24F80"/>
    <w:rsid w:val="00A24FBA"/>
    <w:rsid w:val="00A251B5"/>
    <w:rsid w:val="00A25208"/>
    <w:rsid w:val="00A25631"/>
    <w:rsid w:val="00A25687"/>
    <w:rsid w:val="00A25848"/>
    <w:rsid w:val="00A25920"/>
    <w:rsid w:val="00A25932"/>
    <w:rsid w:val="00A25A4D"/>
    <w:rsid w:val="00A25AD3"/>
    <w:rsid w:val="00A25BA5"/>
    <w:rsid w:val="00A25BA8"/>
    <w:rsid w:val="00A25D1F"/>
    <w:rsid w:val="00A25FCF"/>
    <w:rsid w:val="00A26100"/>
    <w:rsid w:val="00A264B3"/>
    <w:rsid w:val="00A264ED"/>
    <w:rsid w:val="00A26678"/>
    <w:rsid w:val="00A26693"/>
    <w:rsid w:val="00A2689C"/>
    <w:rsid w:val="00A26ACD"/>
    <w:rsid w:val="00A26B8D"/>
    <w:rsid w:val="00A26C3C"/>
    <w:rsid w:val="00A26C87"/>
    <w:rsid w:val="00A26DA6"/>
    <w:rsid w:val="00A26DDD"/>
    <w:rsid w:val="00A26E4E"/>
    <w:rsid w:val="00A26EDB"/>
    <w:rsid w:val="00A2711C"/>
    <w:rsid w:val="00A27127"/>
    <w:rsid w:val="00A27188"/>
    <w:rsid w:val="00A2731C"/>
    <w:rsid w:val="00A2747C"/>
    <w:rsid w:val="00A274CC"/>
    <w:rsid w:val="00A27540"/>
    <w:rsid w:val="00A2764C"/>
    <w:rsid w:val="00A27894"/>
    <w:rsid w:val="00A2791D"/>
    <w:rsid w:val="00A3021D"/>
    <w:rsid w:val="00A30274"/>
    <w:rsid w:val="00A302FC"/>
    <w:rsid w:val="00A3074B"/>
    <w:rsid w:val="00A30764"/>
    <w:rsid w:val="00A307C6"/>
    <w:rsid w:val="00A30903"/>
    <w:rsid w:val="00A30A31"/>
    <w:rsid w:val="00A30BAD"/>
    <w:rsid w:val="00A30F9E"/>
    <w:rsid w:val="00A31050"/>
    <w:rsid w:val="00A3107A"/>
    <w:rsid w:val="00A313BF"/>
    <w:rsid w:val="00A3147E"/>
    <w:rsid w:val="00A314CE"/>
    <w:rsid w:val="00A31750"/>
    <w:rsid w:val="00A3177C"/>
    <w:rsid w:val="00A318A6"/>
    <w:rsid w:val="00A318C7"/>
    <w:rsid w:val="00A31AAD"/>
    <w:rsid w:val="00A31BF3"/>
    <w:rsid w:val="00A31C6F"/>
    <w:rsid w:val="00A31DD0"/>
    <w:rsid w:val="00A31EC4"/>
    <w:rsid w:val="00A32062"/>
    <w:rsid w:val="00A32369"/>
    <w:rsid w:val="00A32565"/>
    <w:rsid w:val="00A325F0"/>
    <w:rsid w:val="00A32750"/>
    <w:rsid w:val="00A32ACC"/>
    <w:rsid w:val="00A3307A"/>
    <w:rsid w:val="00A330AF"/>
    <w:rsid w:val="00A33129"/>
    <w:rsid w:val="00A33170"/>
    <w:rsid w:val="00A333B7"/>
    <w:rsid w:val="00A33442"/>
    <w:rsid w:val="00A33806"/>
    <w:rsid w:val="00A33880"/>
    <w:rsid w:val="00A3388F"/>
    <w:rsid w:val="00A33ACD"/>
    <w:rsid w:val="00A33B8F"/>
    <w:rsid w:val="00A33D29"/>
    <w:rsid w:val="00A33ECC"/>
    <w:rsid w:val="00A33EEA"/>
    <w:rsid w:val="00A34007"/>
    <w:rsid w:val="00A340E5"/>
    <w:rsid w:val="00A34224"/>
    <w:rsid w:val="00A34290"/>
    <w:rsid w:val="00A342F9"/>
    <w:rsid w:val="00A34316"/>
    <w:rsid w:val="00A3436A"/>
    <w:rsid w:val="00A3441A"/>
    <w:rsid w:val="00A345FF"/>
    <w:rsid w:val="00A346BF"/>
    <w:rsid w:val="00A34769"/>
    <w:rsid w:val="00A348E9"/>
    <w:rsid w:val="00A34AB6"/>
    <w:rsid w:val="00A34BF4"/>
    <w:rsid w:val="00A34C14"/>
    <w:rsid w:val="00A34D66"/>
    <w:rsid w:val="00A34DEC"/>
    <w:rsid w:val="00A34E4C"/>
    <w:rsid w:val="00A34F0A"/>
    <w:rsid w:val="00A34F87"/>
    <w:rsid w:val="00A3518A"/>
    <w:rsid w:val="00A355FD"/>
    <w:rsid w:val="00A35640"/>
    <w:rsid w:val="00A35930"/>
    <w:rsid w:val="00A35934"/>
    <w:rsid w:val="00A35A6F"/>
    <w:rsid w:val="00A35B2B"/>
    <w:rsid w:val="00A35B96"/>
    <w:rsid w:val="00A36158"/>
    <w:rsid w:val="00A36278"/>
    <w:rsid w:val="00A36308"/>
    <w:rsid w:val="00A363A0"/>
    <w:rsid w:val="00A363C9"/>
    <w:rsid w:val="00A3683C"/>
    <w:rsid w:val="00A36894"/>
    <w:rsid w:val="00A369C4"/>
    <w:rsid w:val="00A369E9"/>
    <w:rsid w:val="00A36A9D"/>
    <w:rsid w:val="00A36B41"/>
    <w:rsid w:val="00A36B44"/>
    <w:rsid w:val="00A36C78"/>
    <w:rsid w:val="00A36CB9"/>
    <w:rsid w:val="00A36EE3"/>
    <w:rsid w:val="00A370D7"/>
    <w:rsid w:val="00A3711E"/>
    <w:rsid w:val="00A3718D"/>
    <w:rsid w:val="00A37373"/>
    <w:rsid w:val="00A375CC"/>
    <w:rsid w:val="00A377ED"/>
    <w:rsid w:val="00A377F0"/>
    <w:rsid w:val="00A37A0E"/>
    <w:rsid w:val="00A37A92"/>
    <w:rsid w:val="00A37B37"/>
    <w:rsid w:val="00A37B7C"/>
    <w:rsid w:val="00A37D27"/>
    <w:rsid w:val="00A37E9C"/>
    <w:rsid w:val="00A37F34"/>
    <w:rsid w:val="00A400F4"/>
    <w:rsid w:val="00A403CF"/>
    <w:rsid w:val="00A40454"/>
    <w:rsid w:val="00A40460"/>
    <w:rsid w:val="00A40502"/>
    <w:rsid w:val="00A40591"/>
    <w:rsid w:val="00A4081E"/>
    <w:rsid w:val="00A4098A"/>
    <w:rsid w:val="00A40A72"/>
    <w:rsid w:val="00A40B79"/>
    <w:rsid w:val="00A40CA4"/>
    <w:rsid w:val="00A40DE8"/>
    <w:rsid w:val="00A40FD6"/>
    <w:rsid w:val="00A411A9"/>
    <w:rsid w:val="00A415BC"/>
    <w:rsid w:val="00A417FF"/>
    <w:rsid w:val="00A41828"/>
    <w:rsid w:val="00A419CD"/>
    <w:rsid w:val="00A41B32"/>
    <w:rsid w:val="00A41C6E"/>
    <w:rsid w:val="00A41D8A"/>
    <w:rsid w:val="00A41D8E"/>
    <w:rsid w:val="00A41DF6"/>
    <w:rsid w:val="00A41E08"/>
    <w:rsid w:val="00A41F8F"/>
    <w:rsid w:val="00A4202D"/>
    <w:rsid w:val="00A421EB"/>
    <w:rsid w:val="00A42354"/>
    <w:rsid w:val="00A423E3"/>
    <w:rsid w:val="00A42418"/>
    <w:rsid w:val="00A42429"/>
    <w:rsid w:val="00A424A7"/>
    <w:rsid w:val="00A4259A"/>
    <w:rsid w:val="00A425DB"/>
    <w:rsid w:val="00A4271F"/>
    <w:rsid w:val="00A429BA"/>
    <w:rsid w:val="00A42AE3"/>
    <w:rsid w:val="00A42B9E"/>
    <w:rsid w:val="00A42C52"/>
    <w:rsid w:val="00A42FE8"/>
    <w:rsid w:val="00A430D8"/>
    <w:rsid w:val="00A43200"/>
    <w:rsid w:val="00A43307"/>
    <w:rsid w:val="00A4336C"/>
    <w:rsid w:val="00A433A9"/>
    <w:rsid w:val="00A433C9"/>
    <w:rsid w:val="00A43507"/>
    <w:rsid w:val="00A4371F"/>
    <w:rsid w:val="00A43801"/>
    <w:rsid w:val="00A438E0"/>
    <w:rsid w:val="00A43AF8"/>
    <w:rsid w:val="00A43B15"/>
    <w:rsid w:val="00A43B21"/>
    <w:rsid w:val="00A43D2A"/>
    <w:rsid w:val="00A43DD6"/>
    <w:rsid w:val="00A44078"/>
    <w:rsid w:val="00A4475D"/>
    <w:rsid w:val="00A447A1"/>
    <w:rsid w:val="00A447B7"/>
    <w:rsid w:val="00A447D2"/>
    <w:rsid w:val="00A44B2C"/>
    <w:rsid w:val="00A44B67"/>
    <w:rsid w:val="00A44CEF"/>
    <w:rsid w:val="00A44D30"/>
    <w:rsid w:val="00A44D82"/>
    <w:rsid w:val="00A44D85"/>
    <w:rsid w:val="00A44DF5"/>
    <w:rsid w:val="00A44E00"/>
    <w:rsid w:val="00A44E40"/>
    <w:rsid w:val="00A44F6E"/>
    <w:rsid w:val="00A45033"/>
    <w:rsid w:val="00A4526F"/>
    <w:rsid w:val="00A455DA"/>
    <w:rsid w:val="00A4561F"/>
    <w:rsid w:val="00A4562F"/>
    <w:rsid w:val="00A45705"/>
    <w:rsid w:val="00A45841"/>
    <w:rsid w:val="00A4587E"/>
    <w:rsid w:val="00A458FB"/>
    <w:rsid w:val="00A459B0"/>
    <w:rsid w:val="00A45B23"/>
    <w:rsid w:val="00A45B7A"/>
    <w:rsid w:val="00A45D28"/>
    <w:rsid w:val="00A45EF7"/>
    <w:rsid w:val="00A46037"/>
    <w:rsid w:val="00A460B4"/>
    <w:rsid w:val="00A4627F"/>
    <w:rsid w:val="00A462AB"/>
    <w:rsid w:val="00A464BC"/>
    <w:rsid w:val="00A464FA"/>
    <w:rsid w:val="00A46627"/>
    <w:rsid w:val="00A4664C"/>
    <w:rsid w:val="00A46A03"/>
    <w:rsid w:val="00A46AA2"/>
    <w:rsid w:val="00A46BFB"/>
    <w:rsid w:val="00A46C67"/>
    <w:rsid w:val="00A46D44"/>
    <w:rsid w:val="00A46E98"/>
    <w:rsid w:val="00A46F36"/>
    <w:rsid w:val="00A46FFE"/>
    <w:rsid w:val="00A4704C"/>
    <w:rsid w:val="00A47327"/>
    <w:rsid w:val="00A47412"/>
    <w:rsid w:val="00A474BE"/>
    <w:rsid w:val="00A47714"/>
    <w:rsid w:val="00A478ED"/>
    <w:rsid w:val="00A47A07"/>
    <w:rsid w:val="00A47AC7"/>
    <w:rsid w:val="00A47AFB"/>
    <w:rsid w:val="00A47B39"/>
    <w:rsid w:val="00A47B45"/>
    <w:rsid w:val="00A47BB9"/>
    <w:rsid w:val="00A47D2C"/>
    <w:rsid w:val="00A47F5C"/>
    <w:rsid w:val="00A47F6F"/>
    <w:rsid w:val="00A5021C"/>
    <w:rsid w:val="00A50233"/>
    <w:rsid w:val="00A50494"/>
    <w:rsid w:val="00A5052E"/>
    <w:rsid w:val="00A5061B"/>
    <w:rsid w:val="00A506F6"/>
    <w:rsid w:val="00A50A56"/>
    <w:rsid w:val="00A50BF2"/>
    <w:rsid w:val="00A50BFC"/>
    <w:rsid w:val="00A50FAD"/>
    <w:rsid w:val="00A512C3"/>
    <w:rsid w:val="00A513E1"/>
    <w:rsid w:val="00A5147F"/>
    <w:rsid w:val="00A51533"/>
    <w:rsid w:val="00A515BF"/>
    <w:rsid w:val="00A515F2"/>
    <w:rsid w:val="00A51641"/>
    <w:rsid w:val="00A51857"/>
    <w:rsid w:val="00A51927"/>
    <w:rsid w:val="00A51A2E"/>
    <w:rsid w:val="00A51B2B"/>
    <w:rsid w:val="00A51B82"/>
    <w:rsid w:val="00A51F8E"/>
    <w:rsid w:val="00A5204C"/>
    <w:rsid w:val="00A5217C"/>
    <w:rsid w:val="00A521B8"/>
    <w:rsid w:val="00A522B3"/>
    <w:rsid w:val="00A52420"/>
    <w:rsid w:val="00A52669"/>
    <w:rsid w:val="00A52769"/>
    <w:rsid w:val="00A5281A"/>
    <w:rsid w:val="00A528A3"/>
    <w:rsid w:val="00A5298E"/>
    <w:rsid w:val="00A52A28"/>
    <w:rsid w:val="00A52A3C"/>
    <w:rsid w:val="00A52AEC"/>
    <w:rsid w:val="00A52B24"/>
    <w:rsid w:val="00A52C4B"/>
    <w:rsid w:val="00A52D10"/>
    <w:rsid w:val="00A52E24"/>
    <w:rsid w:val="00A52F20"/>
    <w:rsid w:val="00A52F38"/>
    <w:rsid w:val="00A535EA"/>
    <w:rsid w:val="00A53909"/>
    <w:rsid w:val="00A53A09"/>
    <w:rsid w:val="00A53E41"/>
    <w:rsid w:val="00A53F1B"/>
    <w:rsid w:val="00A54103"/>
    <w:rsid w:val="00A5435B"/>
    <w:rsid w:val="00A54493"/>
    <w:rsid w:val="00A544CF"/>
    <w:rsid w:val="00A545C5"/>
    <w:rsid w:val="00A5489D"/>
    <w:rsid w:val="00A54991"/>
    <w:rsid w:val="00A54B90"/>
    <w:rsid w:val="00A54D55"/>
    <w:rsid w:val="00A54E94"/>
    <w:rsid w:val="00A54FB5"/>
    <w:rsid w:val="00A55069"/>
    <w:rsid w:val="00A55124"/>
    <w:rsid w:val="00A5520C"/>
    <w:rsid w:val="00A553DA"/>
    <w:rsid w:val="00A55423"/>
    <w:rsid w:val="00A5573B"/>
    <w:rsid w:val="00A5589B"/>
    <w:rsid w:val="00A55B94"/>
    <w:rsid w:val="00A55D45"/>
    <w:rsid w:val="00A55D96"/>
    <w:rsid w:val="00A55DEC"/>
    <w:rsid w:val="00A55FC9"/>
    <w:rsid w:val="00A561DA"/>
    <w:rsid w:val="00A56433"/>
    <w:rsid w:val="00A56615"/>
    <w:rsid w:val="00A566A3"/>
    <w:rsid w:val="00A5670F"/>
    <w:rsid w:val="00A56811"/>
    <w:rsid w:val="00A56A24"/>
    <w:rsid w:val="00A56B10"/>
    <w:rsid w:val="00A56E1E"/>
    <w:rsid w:val="00A57306"/>
    <w:rsid w:val="00A5737D"/>
    <w:rsid w:val="00A57653"/>
    <w:rsid w:val="00A57877"/>
    <w:rsid w:val="00A5791C"/>
    <w:rsid w:val="00A57EF5"/>
    <w:rsid w:val="00A57FF7"/>
    <w:rsid w:val="00A60004"/>
    <w:rsid w:val="00A60195"/>
    <w:rsid w:val="00A60204"/>
    <w:rsid w:val="00A60217"/>
    <w:rsid w:val="00A60234"/>
    <w:rsid w:val="00A6025D"/>
    <w:rsid w:val="00A6041A"/>
    <w:rsid w:val="00A60474"/>
    <w:rsid w:val="00A60618"/>
    <w:rsid w:val="00A60655"/>
    <w:rsid w:val="00A60CDB"/>
    <w:rsid w:val="00A60CF3"/>
    <w:rsid w:val="00A60DFA"/>
    <w:rsid w:val="00A60E9A"/>
    <w:rsid w:val="00A60F9E"/>
    <w:rsid w:val="00A61054"/>
    <w:rsid w:val="00A6144F"/>
    <w:rsid w:val="00A61508"/>
    <w:rsid w:val="00A6163B"/>
    <w:rsid w:val="00A61664"/>
    <w:rsid w:val="00A617FE"/>
    <w:rsid w:val="00A61B89"/>
    <w:rsid w:val="00A61C6A"/>
    <w:rsid w:val="00A61D38"/>
    <w:rsid w:val="00A61DE6"/>
    <w:rsid w:val="00A61EA2"/>
    <w:rsid w:val="00A62054"/>
    <w:rsid w:val="00A6206B"/>
    <w:rsid w:val="00A6236B"/>
    <w:rsid w:val="00A624C5"/>
    <w:rsid w:val="00A625D2"/>
    <w:rsid w:val="00A62682"/>
    <w:rsid w:val="00A626EE"/>
    <w:rsid w:val="00A62879"/>
    <w:rsid w:val="00A6299C"/>
    <w:rsid w:val="00A62A22"/>
    <w:rsid w:val="00A62C16"/>
    <w:rsid w:val="00A62DB4"/>
    <w:rsid w:val="00A62DF3"/>
    <w:rsid w:val="00A62F13"/>
    <w:rsid w:val="00A62F90"/>
    <w:rsid w:val="00A630F9"/>
    <w:rsid w:val="00A63220"/>
    <w:rsid w:val="00A6344A"/>
    <w:rsid w:val="00A6351C"/>
    <w:rsid w:val="00A637BC"/>
    <w:rsid w:val="00A6382B"/>
    <w:rsid w:val="00A638C6"/>
    <w:rsid w:val="00A63B48"/>
    <w:rsid w:val="00A63B7B"/>
    <w:rsid w:val="00A63C8C"/>
    <w:rsid w:val="00A63C8E"/>
    <w:rsid w:val="00A63DC3"/>
    <w:rsid w:val="00A63DD0"/>
    <w:rsid w:val="00A63FAC"/>
    <w:rsid w:val="00A6415C"/>
    <w:rsid w:val="00A64173"/>
    <w:rsid w:val="00A6420F"/>
    <w:rsid w:val="00A6424F"/>
    <w:rsid w:val="00A64282"/>
    <w:rsid w:val="00A643B7"/>
    <w:rsid w:val="00A645F4"/>
    <w:rsid w:val="00A646A2"/>
    <w:rsid w:val="00A647CB"/>
    <w:rsid w:val="00A6481C"/>
    <w:rsid w:val="00A6493E"/>
    <w:rsid w:val="00A64BE8"/>
    <w:rsid w:val="00A64C96"/>
    <w:rsid w:val="00A64D2A"/>
    <w:rsid w:val="00A64DA2"/>
    <w:rsid w:val="00A65033"/>
    <w:rsid w:val="00A65135"/>
    <w:rsid w:val="00A65509"/>
    <w:rsid w:val="00A65684"/>
    <w:rsid w:val="00A6571F"/>
    <w:rsid w:val="00A658BC"/>
    <w:rsid w:val="00A65973"/>
    <w:rsid w:val="00A65A56"/>
    <w:rsid w:val="00A65AF4"/>
    <w:rsid w:val="00A65B78"/>
    <w:rsid w:val="00A65C59"/>
    <w:rsid w:val="00A65E8A"/>
    <w:rsid w:val="00A65E8D"/>
    <w:rsid w:val="00A66393"/>
    <w:rsid w:val="00A663FB"/>
    <w:rsid w:val="00A6658A"/>
    <w:rsid w:val="00A665B6"/>
    <w:rsid w:val="00A6664D"/>
    <w:rsid w:val="00A6665A"/>
    <w:rsid w:val="00A669B0"/>
    <w:rsid w:val="00A669C1"/>
    <w:rsid w:val="00A66A98"/>
    <w:rsid w:val="00A66BA9"/>
    <w:rsid w:val="00A66D4E"/>
    <w:rsid w:val="00A66EBA"/>
    <w:rsid w:val="00A67001"/>
    <w:rsid w:val="00A672AB"/>
    <w:rsid w:val="00A672AD"/>
    <w:rsid w:val="00A67302"/>
    <w:rsid w:val="00A6730C"/>
    <w:rsid w:val="00A674D1"/>
    <w:rsid w:val="00A674EF"/>
    <w:rsid w:val="00A675C3"/>
    <w:rsid w:val="00A67616"/>
    <w:rsid w:val="00A676BA"/>
    <w:rsid w:val="00A6783B"/>
    <w:rsid w:val="00A679F7"/>
    <w:rsid w:val="00A67A21"/>
    <w:rsid w:val="00A67BB7"/>
    <w:rsid w:val="00A67CC6"/>
    <w:rsid w:val="00A70040"/>
    <w:rsid w:val="00A701A2"/>
    <w:rsid w:val="00A701BB"/>
    <w:rsid w:val="00A7021F"/>
    <w:rsid w:val="00A7028F"/>
    <w:rsid w:val="00A7048B"/>
    <w:rsid w:val="00A704E2"/>
    <w:rsid w:val="00A7066C"/>
    <w:rsid w:val="00A70A33"/>
    <w:rsid w:val="00A70AB4"/>
    <w:rsid w:val="00A70AD4"/>
    <w:rsid w:val="00A70B5D"/>
    <w:rsid w:val="00A70CAC"/>
    <w:rsid w:val="00A70E25"/>
    <w:rsid w:val="00A70E8F"/>
    <w:rsid w:val="00A70ED0"/>
    <w:rsid w:val="00A71047"/>
    <w:rsid w:val="00A71062"/>
    <w:rsid w:val="00A71140"/>
    <w:rsid w:val="00A71275"/>
    <w:rsid w:val="00A7136E"/>
    <w:rsid w:val="00A71428"/>
    <w:rsid w:val="00A714B8"/>
    <w:rsid w:val="00A7152D"/>
    <w:rsid w:val="00A7156A"/>
    <w:rsid w:val="00A716D9"/>
    <w:rsid w:val="00A71762"/>
    <w:rsid w:val="00A717E2"/>
    <w:rsid w:val="00A71832"/>
    <w:rsid w:val="00A71CB4"/>
    <w:rsid w:val="00A71D45"/>
    <w:rsid w:val="00A71F64"/>
    <w:rsid w:val="00A720A0"/>
    <w:rsid w:val="00A72419"/>
    <w:rsid w:val="00A72434"/>
    <w:rsid w:val="00A72487"/>
    <w:rsid w:val="00A7248E"/>
    <w:rsid w:val="00A724B4"/>
    <w:rsid w:val="00A726B6"/>
    <w:rsid w:val="00A72C06"/>
    <w:rsid w:val="00A72C41"/>
    <w:rsid w:val="00A72DAC"/>
    <w:rsid w:val="00A72DDC"/>
    <w:rsid w:val="00A72E02"/>
    <w:rsid w:val="00A72E5A"/>
    <w:rsid w:val="00A72F33"/>
    <w:rsid w:val="00A73185"/>
    <w:rsid w:val="00A7322F"/>
    <w:rsid w:val="00A736DA"/>
    <w:rsid w:val="00A73A2E"/>
    <w:rsid w:val="00A73A85"/>
    <w:rsid w:val="00A73B71"/>
    <w:rsid w:val="00A74045"/>
    <w:rsid w:val="00A7435E"/>
    <w:rsid w:val="00A746D4"/>
    <w:rsid w:val="00A74796"/>
    <w:rsid w:val="00A747F5"/>
    <w:rsid w:val="00A74B76"/>
    <w:rsid w:val="00A74CB5"/>
    <w:rsid w:val="00A74EC9"/>
    <w:rsid w:val="00A7509A"/>
    <w:rsid w:val="00A750FC"/>
    <w:rsid w:val="00A75104"/>
    <w:rsid w:val="00A75306"/>
    <w:rsid w:val="00A75534"/>
    <w:rsid w:val="00A75F17"/>
    <w:rsid w:val="00A76084"/>
    <w:rsid w:val="00A760A0"/>
    <w:rsid w:val="00A76264"/>
    <w:rsid w:val="00A7628A"/>
    <w:rsid w:val="00A763E2"/>
    <w:rsid w:val="00A7664E"/>
    <w:rsid w:val="00A7674C"/>
    <w:rsid w:val="00A768A8"/>
    <w:rsid w:val="00A769C2"/>
    <w:rsid w:val="00A76A60"/>
    <w:rsid w:val="00A76D3D"/>
    <w:rsid w:val="00A76E93"/>
    <w:rsid w:val="00A76FA4"/>
    <w:rsid w:val="00A76FC7"/>
    <w:rsid w:val="00A770A5"/>
    <w:rsid w:val="00A773A7"/>
    <w:rsid w:val="00A773EF"/>
    <w:rsid w:val="00A775F2"/>
    <w:rsid w:val="00A775FB"/>
    <w:rsid w:val="00A77668"/>
    <w:rsid w:val="00A7773B"/>
    <w:rsid w:val="00A778A2"/>
    <w:rsid w:val="00A778D4"/>
    <w:rsid w:val="00A77978"/>
    <w:rsid w:val="00A77A31"/>
    <w:rsid w:val="00A77BD7"/>
    <w:rsid w:val="00A77EB2"/>
    <w:rsid w:val="00A77F07"/>
    <w:rsid w:val="00A77F87"/>
    <w:rsid w:val="00A77FF5"/>
    <w:rsid w:val="00A80033"/>
    <w:rsid w:val="00A8013F"/>
    <w:rsid w:val="00A8059F"/>
    <w:rsid w:val="00A806D9"/>
    <w:rsid w:val="00A80873"/>
    <w:rsid w:val="00A8091C"/>
    <w:rsid w:val="00A80A3D"/>
    <w:rsid w:val="00A80B36"/>
    <w:rsid w:val="00A81040"/>
    <w:rsid w:val="00A8112E"/>
    <w:rsid w:val="00A81134"/>
    <w:rsid w:val="00A81146"/>
    <w:rsid w:val="00A81191"/>
    <w:rsid w:val="00A811B6"/>
    <w:rsid w:val="00A81236"/>
    <w:rsid w:val="00A81314"/>
    <w:rsid w:val="00A81394"/>
    <w:rsid w:val="00A8143E"/>
    <w:rsid w:val="00A81575"/>
    <w:rsid w:val="00A81672"/>
    <w:rsid w:val="00A8178B"/>
    <w:rsid w:val="00A81810"/>
    <w:rsid w:val="00A81B52"/>
    <w:rsid w:val="00A81B7B"/>
    <w:rsid w:val="00A81EFA"/>
    <w:rsid w:val="00A81FE6"/>
    <w:rsid w:val="00A822DA"/>
    <w:rsid w:val="00A82559"/>
    <w:rsid w:val="00A82A68"/>
    <w:rsid w:val="00A82C00"/>
    <w:rsid w:val="00A82C4B"/>
    <w:rsid w:val="00A82D26"/>
    <w:rsid w:val="00A82E6A"/>
    <w:rsid w:val="00A8324B"/>
    <w:rsid w:val="00A8328D"/>
    <w:rsid w:val="00A832C3"/>
    <w:rsid w:val="00A8340D"/>
    <w:rsid w:val="00A83564"/>
    <w:rsid w:val="00A837BD"/>
    <w:rsid w:val="00A837D5"/>
    <w:rsid w:val="00A83A58"/>
    <w:rsid w:val="00A83D54"/>
    <w:rsid w:val="00A83E14"/>
    <w:rsid w:val="00A84200"/>
    <w:rsid w:val="00A842BC"/>
    <w:rsid w:val="00A8436D"/>
    <w:rsid w:val="00A843A0"/>
    <w:rsid w:val="00A845FE"/>
    <w:rsid w:val="00A8463D"/>
    <w:rsid w:val="00A8466F"/>
    <w:rsid w:val="00A84732"/>
    <w:rsid w:val="00A84792"/>
    <w:rsid w:val="00A847AE"/>
    <w:rsid w:val="00A84887"/>
    <w:rsid w:val="00A849FF"/>
    <w:rsid w:val="00A84B08"/>
    <w:rsid w:val="00A84CA3"/>
    <w:rsid w:val="00A8509B"/>
    <w:rsid w:val="00A85207"/>
    <w:rsid w:val="00A852FC"/>
    <w:rsid w:val="00A8546E"/>
    <w:rsid w:val="00A85514"/>
    <w:rsid w:val="00A85728"/>
    <w:rsid w:val="00A85926"/>
    <w:rsid w:val="00A85C69"/>
    <w:rsid w:val="00A85C94"/>
    <w:rsid w:val="00A85EF1"/>
    <w:rsid w:val="00A86188"/>
    <w:rsid w:val="00A861D0"/>
    <w:rsid w:val="00A8655E"/>
    <w:rsid w:val="00A865B3"/>
    <w:rsid w:val="00A865CB"/>
    <w:rsid w:val="00A8673C"/>
    <w:rsid w:val="00A86749"/>
    <w:rsid w:val="00A868A6"/>
    <w:rsid w:val="00A868B0"/>
    <w:rsid w:val="00A86A4C"/>
    <w:rsid w:val="00A86ED3"/>
    <w:rsid w:val="00A875B7"/>
    <w:rsid w:val="00A875DB"/>
    <w:rsid w:val="00A8773C"/>
    <w:rsid w:val="00A87772"/>
    <w:rsid w:val="00A8783C"/>
    <w:rsid w:val="00A87850"/>
    <w:rsid w:val="00A87A32"/>
    <w:rsid w:val="00A87BA9"/>
    <w:rsid w:val="00A87C05"/>
    <w:rsid w:val="00A87CE2"/>
    <w:rsid w:val="00A900E7"/>
    <w:rsid w:val="00A902D4"/>
    <w:rsid w:val="00A90396"/>
    <w:rsid w:val="00A904C7"/>
    <w:rsid w:val="00A9072B"/>
    <w:rsid w:val="00A9073F"/>
    <w:rsid w:val="00A9084F"/>
    <w:rsid w:val="00A90ADB"/>
    <w:rsid w:val="00A90DE6"/>
    <w:rsid w:val="00A91133"/>
    <w:rsid w:val="00A9114B"/>
    <w:rsid w:val="00A9133A"/>
    <w:rsid w:val="00A9148D"/>
    <w:rsid w:val="00A914F8"/>
    <w:rsid w:val="00A91516"/>
    <w:rsid w:val="00A9157A"/>
    <w:rsid w:val="00A91A8A"/>
    <w:rsid w:val="00A91DBB"/>
    <w:rsid w:val="00A91F80"/>
    <w:rsid w:val="00A920C2"/>
    <w:rsid w:val="00A92234"/>
    <w:rsid w:val="00A9225B"/>
    <w:rsid w:val="00A92686"/>
    <w:rsid w:val="00A929BF"/>
    <w:rsid w:val="00A92A29"/>
    <w:rsid w:val="00A92C0D"/>
    <w:rsid w:val="00A92E05"/>
    <w:rsid w:val="00A92E83"/>
    <w:rsid w:val="00A92EDE"/>
    <w:rsid w:val="00A930A6"/>
    <w:rsid w:val="00A93123"/>
    <w:rsid w:val="00A93198"/>
    <w:rsid w:val="00A933DD"/>
    <w:rsid w:val="00A93448"/>
    <w:rsid w:val="00A935BB"/>
    <w:rsid w:val="00A9364A"/>
    <w:rsid w:val="00A9381D"/>
    <w:rsid w:val="00A939C1"/>
    <w:rsid w:val="00A939E3"/>
    <w:rsid w:val="00A93A94"/>
    <w:rsid w:val="00A93AE3"/>
    <w:rsid w:val="00A93D2C"/>
    <w:rsid w:val="00A93E7B"/>
    <w:rsid w:val="00A93E9A"/>
    <w:rsid w:val="00A9415A"/>
    <w:rsid w:val="00A94240"/>
    <w:rsid w:val="00A94266"/>
    <w:rsid w:val="00A94326"/>
    <w:rsid w:val="00A943AB"/>
    <w:rsid w:val="00A943DE"/>
    <w:rsid w:val="00A9445D"/>
    <w:rsid w:val="00A948B1"/>
    <w:rsid w:val="00A948BF"/>
    <w:rsid w:val="00A948EC"/>
    <w:rsid w:val="00A9491A"/>
    <w:rsid w:val="00A94B8C"/>
    <w:rsid w:val="00A94E77"/>
    <w:rsid w:val="00A9504B"/>
    <w:rsid w:val="00A95087"/>
    <w:rsid w:val="00A95257"/>
    <w:rsid w:val="00A952E8"/>
    <w:rsid w:val="00A9553A"/>
    <w:rsid w:val="00A9553E"/>
    <w:rsid w:val="00A9580C"/>
    <w:rsid w:val="00A95A55"/>
    <w:rsid w:val="00A95AD5"/>
    <w:rsid w:val="00A95C19"/>
    <w:rsid w:val="00A95C51"/>
    <w:rsid w:val="00A95DB8"/>
    <w:rsid w:val="00A95DFC"/>
    <w:rsid w:val="00A96216"/>
    <w:rsid w:val="00A9659B"/>
    <w:rsid w:val="00A965AF"/>
    <w:rsid w:val="00A96684"/>
    <w:rsid w:val="00A966B4"/>
    <w:rsid w:val="00A96732"/>
    <w:rsid w:val="00A96855"/>
    <w:rsid w:val="00A968F3"/>
    <w:rsid w:val="00A96921"/>
    <w:rsid w:val="00A96A62"/>
    <w:rsid w:val="00A96B7D"/>
    <w:rsid w:val="00A96C05"/>
    <w:rsid w:val="00A96CD0"/>
    <w:rsid w:val="00A96CF4"/>
    <w:rsid w:val="00A96D21"/>
    <w:rsid w:val="00A96DA0"/>
    <w:rsid w:val="00A96E62"/>
    <w:rsid w:val="00A9713E"/>
    <w:rsid w:val="00A972A6"/>
    <w:rsid w:val="00A97711"/>
    <w:rsid w:val="00A97751"/>
    <w:rsid w:val="00A977E6"/>
    <w:rsid w:val="00A9784C"/>
    <w:rsid w:val="00A97857"/>
    <w:rsid w:val="00A979CB"/>
    <w:rsid w:val="00A97A2A"/>
    <w:rsid w:val="00A97BBD"/>
    <w:rsid w:val="00A97BF0"/>
    <w:rsid w:val="00A97C34"/>
    <w:rsid w:val="00A97D3D"/>
    <w:rsid w:val="00AA01D5"/>
    <w:rsid w:val="00AA02CF"/>
    <w:rsid w:val="00AA055F"/>
    <w:rsid w:val="00AA057D"/>
    <w:rsid w:val="00AA0665"/>
    <w:rsid w:val="00AA07E8"/>
    <w:rsid w:val="00AA09D6"/>
    <w:rsid w:val="00AA0AF2"/>
    <w:rsid w:val="00AA0B19"/>
    <w:rsid w:val="00AA0C2A"/>
    <w:rsid w:val="00AA0D2A"/>
    <w:rsid w:val="00AA0F4E"/>
    <w:rsid w:val="00AA10F8"/>
    <w:rsid w:val="00AA1157"/>
    <w:rsid w:val="00AA11AF"/>
    <w:rsid w:val="00AA1398"/>
    <w:rsid w:val="00AA13D5"/>
    <w:rsid w:val="00AA150C"/>
    <w:rsid w:val="00AA1631"/>
    <w:rsid w:val="00AA173C"/>
    <w:rsid w:val="00AA1EB0"/>
    <w:rsid w:val="00AA1EBC"/>
    <w:rsid w:val="00AA1F1D"/>
    <w:rsid w:val="00AA1F31"/>
    <w:rsid w:val="00AA1F54"/>
    <w:rsid w:val="00AA214C"/>
    <w:rsid w:val="00AA25C4"/>
    <w:rsid w:val="00AA2806"/>
    <w:rsid w:val="00AA2A10"/>
    <w:rsid w:val="00AA2B1C"/>
    <w:rsid w:val="00AA2D7E"/>
    <w:rsid w:val="00AA2D84"/>
    <w:rsid w:val="00AA2DBF"/>
    <w:rsid w:val="00AA2E0C"/>
    <w:rsid w:val="00AA2E1F"/>
    <w:rsid w:val="00AA2F04"/>
    <w:rsid w:val="00AA2F0A"/>
    <w:rsid w:val="00AA2F52"/>
    <w:rsid w:val="00AA2F9C"/>
    <w:rsid w:val="00AA3140"/>
    <w:rsid w:val="00AA346E"/>
    <w:rsid w:val="00AA36E8"/>
    <w:rsid w:val="00AA38F8"/>
    <w:rsid w:val="00AA3917"/>
    <w:rsid w:val="00AA3954"/>
    <w:rsid w:val="00AA3968"/>
    <w:rsid w:val="00AA3AD9"/>
    <w:rsid w:val="00AA3BA3"/>
    <w:rsid w:val="00AA3BD1"/>
    <w:rsid w:val="00AA3E07"/>
    <w:rsid w:val="00AA3E1E"/>
    <w:rsid w:val="00AA3EDC"/>
    <w:rsid w:val="00AA3F4A"/>
    <w:rsid w:val="00AA3F82"/>
    <w:rsid w:val="00AA3FB4"/>
    <w:rsid w:val="00AA4265"/>
    <w:rsid w:val="00AA430E"/>
    <w:rsid w:val="00AA440F"/>
    <w:rsid w:val="00AA45B9"/>
    <w:rsid w:val="00AA4B56"/>
    <w:rsid w:val="00AA4C34"/>
    <w:rsid w:val="00AA4E4D"/>
    <w:rsid w:val="00AA4E79"/>
    <w:rsid w:val="00AA5175"/>
    <w:rsid w:val="00AA5242"/>
    <w:rsid w:val="00AA5482"/>
    <w:rsid w:val="00AA54B5"/>
    <w:rsid w:val="00AA5609"/>
    <w:rsid w:val="00AA5666"/>
    <w:rsid w:val="00AA568B"/>
    <w:rsid w:val="00AA573A"/>
    <w:rsid w:val="00AA5D52"/>
    <w:rsid w:val="00AA5E68"/>
    <w:rsid w:val="00AA5F2B"/>
    <w:rsid w:val="00AA5FF7"/>
    <w:rsid w:val="00AA61D1"/>
    <w:rsid w:val="00AA6895"/>
    <w:rsid w:val="00AA6A89"/>
    <w:rsid w:val="00AA6B14"/>
    <w:rsid w:val="00AA6CDF"/>
    <w:rsid w:val="00AA6E8E"/>
    <w:rsid w:val="00AA6EC9"/>
    <w:rsid w:val="00AA6FF1"/>
    <w:rsid w:val="00AA7137"/>
    <w:rsid w:val="00AA718E"/>
    <w:rsid w:val="00AA78A0"/>
    <w:rsid w:val="00AA78C2"/>
    <w:rsid w:val="00AA7948"/>
    <w:rsid w:val="00AA7A16"/>
    <w:rsid w:val="00AA7A76"/>
    <w:rsid w:val="00AA7CB7"/>
    <w:rsid w:val="00AA7CBF"/>
    <w:rsid w:val="00AA7E4E"/>
    <w:rsid w:val="00AB00E8"/>
    <w:rsid w:val="00AB01AD"/>
    <w:rsid w:val="00AB035C"/>
    <w:rsid w:val="00AB0D02"/>
    <w:rsid w:val="00AB0D5D"/>
    <w:rsid w:val="00AB0DC0"/>
    <w:rsid w:val="00AB0FCB"/>
    <w:rsid w:val="00AB1370"/>
    <w:rsid w:val="00AB14D9"/>
    <w:rsid w:val="00AB158C"/>
    <w:rsid w:val="00AB15F8"/>
    <w:rsid w:val="00AB170D"/>
    <w:rsid w:val="00AB1771"/>
    <w:rsid w:val="00AB18F6"/>
    <w:rsid w:val="00AB1B66"/>
    <w:rsid w:val="00AB1CC2"/>
    <w:rsid w:val="00AB1EC3"/>
    <w:rsid w:val="00AB27F0"/>
    <w:rsid w:val="00AB2857"/>
    <w:rsid w:val="00AB2B40"/>
    <w:rsid w:val="00AB2C45"/>
    <w:rsid w:val="00AB2DCF"/>
    <w:rsid w:val="00AB3104"/>
    <w:rsid w:val="00AB3219"/>
    <w:rsid w:val="00AB33AF"/>
    <w:rsid w:val="00AB34AB"/>
    <w:rsid w:val="00AB36B7"/>
    <w:rsid w:val="00AB3AC0"/>
    <w:rsid w:val="00AB3B20"/>
    <w:rsid w:val="00AB3BF9"/>
    <w:rsid w:val="00AB3C8A"/>
    <w:rsid w:val="00AB3D63"/>
    <w:rsid w:val="00AB3DF8"/>
    <w:rsid w:val="00AB3EB9"/>
    <w:rsid w:val="00AB3EFA"/>
    <w:rsid w:val="00AB3FD8"/>
    <w:rsid w:val="00AB40B6"/>
    <w:rsid w:val="00AB417D"/>
    <w:rsid w:val="00AB420B"/>
    <w:rsid w:val="00AB45D1"/>
    <w:rsid w:val="00AB460B"/>
    <w:rsid w:val="00AB487E"/>
    <w:rsid w:val="00AB49EE"/>
    <w:rsid w:val="00AB4A3D"/>
    <w:rsid w:val="00AB4C42"/>
    <w:rsid w:val="00AB4DD7"/>
    <w:rsid w:val="00AB4F65"/>
    <w:rsid w:val="00AB54F2"/>
    <w:rsid w:val="00AB5581"/>
    <w:rsid w:val="00AB55D0"/>
    <w:rsid w:val="00AB566F"/>
    <w:rsid w:val="00AB5732"/>
    <w:rsid w:val="00AB574B"/>
    <w:rsid w:val="00AB5864"/>
    <w:rsid w:val="00AB58F3"/>
    <w:rsid w:val="00AB5975"/>
    <w:rsid w:val="00AB5BAB"/>
    <w:rsid w:val="00AB5BEB"/>
    <w:rsid w:val="00AB5C2F"/>
    <w:rsid w:val="00AB5C41"/>
    <w:rsid w:val="00AB5C92"/>
    <w:rsid w:val="00AB5E06"/>
    <w:rsid w:val="00AB5E08"/>
    <w:rsid w:val="00AB5E0C"/>
    <w:rsid w:val="00AB5F12"/>
    <w:rsid w:val="00AB615D"/>
    <w:rsid w:val="00AB61C2"/>
    <w:rsid w:val="00AB61D5"/>
    <w:rsid w:val="00AB6236"/>
    <w:rsid w:val="00AB636B"/>
    <w:rsid w:val="00AB6548"/>
    <w:rsid w:val="00AB659A"/>
    <w:rsid w:val="00AB65C7"/>
    <w:rsid w:val="00AB6644"/>
    <w:rsid w:val="00AB6B54"/>
    <w:rsid w:val="00AB6F54"/>
    <w:rsid w:val="00AB704B"/>
    <w:rsid w:val="00AB72DD"/>
    <w:rsid w:val="00AB734C"/>
    <w:rsid w:val="00AB7465"/>
    <w:rsid w:val="00AB76F4"/>
    <w:rsid w:val="00AB77D1"/>
    <w:rsid w:val="00AB78AC"/>
    <w:rsid w:val="00AB79D7"/>
    <w:rsid w:val="00AB7A99"/>
    <w:rsid w:val="00AB7BE2"/>
    <w:rsid w:val="00AB7C3A"/>
    <w:rsid w:val="00AB7C57"/>
    <w:rsid w:val="00AB7DA2"/>
    <w:rsid w:val="00AB7E64"/>
    <w:rsid w:val="00AC010C"/>
    <w:rsid w:val="00AC0224"/>
    <w:rsid w:val="00AC0746"/>
    <w:rsid w:val="00AC07B5"/>
    <w:rsid w:val="00AC0908"/>
    <w:rsid w:val="00AC09A8"/>
    <w:rsid w:val="00AC0B39"/>
    <w:rsid w:val="00AC0E83"/>
    <w:rsid w:val="00AC0EAB"/>
    <w:rsid w:val="00AC0F63"/>
    <w:rsid w:val="00AC10F6"/>
    <w:rsid w:val="00AC145F"/>
    <w:rsid w:val="00AC14B0"/>
    <w:rsid w:val="00AC15CD"/>
    <w:rsid w:val="00AC161D"/>
    <w:rsid w:val="00AC174F"/>
    <w:rsid w:val="00AC190D"/>
    <w:rsid w:val="00AC1BCB"/>
    <w:rsid w:val="00AC1DA8"/>
    <w:rsid w:val="00AC1E0C"/>
    <w:rsid w:val="00AC1E57"/>
    <w:rsid w:val="00AC2116"/>
    <w:rsid w:val="00AC2316"/>
    <w:rsid w:val="00AC23F7"/>
    <w:rsid w:val="00AC2400"/>
    <w:rsid w:val="00AC24F9"/>
    <w:rsid w:val="00AC25E3"/>
    <w:rsid w:val="00AC26C2"/>
    <w:rsid w:val="00AC2820"/>
    <w:rsid w:val="00AC2990"/>
    <w:rsid w:val="00AC29C7"/>
    <w:rsid w:val="00AC301C"/>
    <w:rsid w:val="00AC3035"/>
    <w:rsid w:val="00AC3052"/>
    <w:rsid w:val="00AC31BA"/>
    <w:rsid w:val="00AC320E"/>
    <w:rsid w:val="00AC3237"/>
    <w:rsid w:val="00AC329B"/>
    <w:rsid w:val="00AC32EC"/>
    <w:rsid w:val="00AC355E"/>
    <w:rsid w:val="00AC3664"/>
    <w:rsid w:val="00AC3A3F"/>
    <w:rsid w:val="00AC3B97"/>
    <w:rsid w:val="00AC3BEE"/>
    <w:rsid w:val="00AC3C9D"/>
    <w:rsid w:val="00AC3E14"/>
    <w:rsid w:val="00AC3F2D"/>
    <w:rsid w:val="00AC3F9E"/>
    <w:rsid w:val="00AC4107"/>
    <w:rsid w:val="00AC41C7"/>
    <w:rsid w:val="00AC4217"/>
    <w:rsid w:val="00AC43F7"/>
    <w:rsid w:val="00AC4513"/>
    <w:rsid w:val="00AC475D"/>
    <w:rsid w:val="00AC4773"/>
    <w:rsid w:val="00AC4866"/>
    <w:rsid w:val="00AC4A69"/>
    <w:rsid w:val="00AC4BD8"/>
    <w:rsid w:val="00AC4D5E"/>
    <w:rsid w:val="00AC4D8C"/>
    <w:rsid w:val="00AC4F73"/>
    <w:rsid w:val="00AC4F86"/>
    <w:rsid w:val="00AC50A7"/>
    <w:rsid w:val="00AC520F"/>
    <w:rsid w:val="00AC5257"/>
    <w:rsid w:val="00AC53A0"/>
    <w:rsid w:val="00AC53B3"/>
    <w:rsid w:val="00AC54DA"/>
    <w:rsid w:val="00AC54EA"/>
    <w:rsid w:val="00AC5525"/>
    <w:rsid w:val="00AC56A3"/>
    <w:rsid w:val="00AC59B5"/>
    <w:rsid w:val="00AC5ABC"/>
    <w:rsid w:val="00AC5E3C"/>
    <w:rsid w:val="00AC5F7C"/>
    <w:rsid w:val="00AC5FB2"/>
    <w:rsid w:val="00AC6060"/>
    <w:rsid w:val="00AC619C"/>
    <w:rsid w:val="00AC61E3"/>
    <w:rsid w:val="00AC628A"/>
    <w:rsid w:val="00AC6399"/>
    <w:rsid w:val="00AC639F"/>
    <w:rsid w:val="00AC63E2"/>
    <w:rsid w:val="00AC6495"/>
    <w:rsid w:val="00AC6610"/>
    <w:rsid w:val="00AC695B"/>
    <w:rsid w:val="00AC697B"/>
    <w:rsid w:val="00AC6C0C"/>
    <w:rsid w:val="00AC6DCA"/>
    <w:rsid w:val="00AC6E45"/>
    <w:rsid w:val="00AC6F89"/>
    <w:rsid w:val="00AC7243"/>
    <w:rsid w:val="00AC738D"/>
    <w:rsid w:val="00AC7435"/>
    <w:rsid w:val="00AC7485"/>
    <w:rsid w:val="00AC7A5E"/>
    <w:rsid w:val="00AC7E41"/>
    <w:rsid w:val="00AC7E9E"/>
    <w:rsid w:val="00AC7EC4"/>
    <w:rsid w:val="00AC7EF9"/>
    <w:rsid w:val="00AD0004"/>
    <w:rsid w:val="00AD0081"/>
    <w:rsid w:val="00AD013F"/>
    <w:rsid w:val="00AD0145"/>
    <w:rsid w:val="00AD016F"/>
    <w:rsid w:val="00AD01C0"/>
    <w:rsid w:val="00AD02D2"/>
    <w:rsid w:val="00AD03BB"/>
    <w:rsid w:val="00AD078A"/>
    <w:rsid w:val="00AD087D"/>
    <w:rsid w:val="00AD08D9"/>
    <w:rsid w:val="00AD0BD2"/>
    <w:rsid w:val="00AD0BEF"/>
    <w:rsid w:val="00AD0DB7"/>
    <w:rsid w:val="00AD0DBC"/>
    <w:rsid w:val="00AD0E1A"/>
    <w:rsid w:val="00AD0F53"/>
    <w:rsid w:val="00AD10B3"/>
    <w:rsid w:val="00AD11A1"/>
    <w:rsid w:val="00AD148D"/>
    <w:rsid w:val="00AD157E"/>
    <w:rsid w:val="00AD15D3"/>
    <w:rsid w:val="00AD16BF"/>
    <w:rsid w:val="00AD1968"/>
    <w:rsid w:val="00AD1D37"/>
    <w:rsid w:val="00AD1DCE"/>
    <w:rsid w:val="00AD1E8D"/>
    <w:rsid w:val="00AD20BF"/>
    <w:rsid w:val="00AD21C1"/>
    <w:rsid w:val="00AD2240"/>
    <w:rsid w:val="00AD251B"/>
    <w:rsid w:val="00AD2564"/>
    <w:rsid w:val="00AD29F4"/>
    <w:rsid w:val="00AD2A17"/>
    <w:rsid w:val="00AD2AFD"/>
    <w:rsid w:val="00AD2BC3"/>
    <w:rsid w:val="00AD2C44"/>
    <w:rsid w:val="00AD3190"/>
    <w:rsid w:val="00AD3322"/>
    <w:rsid w:val="00AD346F"/>
    <w:rsid w:val="00AD35E4"/>
    <w:rsid w:val="00AD39D0"/>
    <w:rsid w:val="00AD39DB"/>
    <w:rsid w:val="00AD3C21"/>
    <w:rsid w:val="00AD3D5A"/>
    <w:rsid w:val="00AD3E6D"/>
    <w:rsid w:val="00AD3E7C"/>
    <w:rsid w:val="00AD3EA8"/>
    <w:rsid w:val="00AD3ECC"/>
    <w:rsid w:val="00AD3F14"/>
    <w:rsid w:val="00AD3F2C"/>
    <w:rsid w:val="00AD3FEE"/>
    <w:rsid w:val="00AD4089"/>
    <w:rsid w:val="00AD40CB"/>
    <w:rsid w:val="00AD416E"/>
    <w:rsid w:val="00AD419A"/>
    <w:rsid w:val="00AD4774"/>
    <w:rsid w:val="00AD49DF"/>
    <w:rsid w:val="00AD4B11"/>
    <w:rsid w:val="00AD4BE7"/>
    <w:rsid w:val="00AD4CB6"/>
    <w:rsid w:val="00AD4CD4"/>
    <w:rsid w:val="00AD5111"/>
    <w:rsid w:val="00AD51FF"/>
    <w:rsid w:val="00AD532E"/>
    <w:rsid w:val="00AD5418"/>
    <w:rsid w:val="00AD5650"/>
    <w:rsid w:val="00AD5798"/>
    <w:rsid w:val="00AD5BB3"/>
    <w:rsid w:val="00AD5BC8"/>
    <w:rsid w:val="00AD5E05"/>
    <w:rsid w:val="00AD5EB2"/>
    <w:rsid w:val="00AD5EDD"/>
    <w:rsid w:val="00AD60F9"/>
    <w:rsid w:val="00AD66AB"/>
    <w:rsid w:val="00AD6725"/>
    <w:rsid w:val="00AD67AF"/>
    <w:rsid w:val="00AD6886"/>
    <w:rsid w:val="00AD6998"/>
    <w:rsid w:val="00AD6ADF"/>
    <w:rsid w:val="00AD6BFC"/>
    <w:rsid w:val="00AD6C20"/>
    <w:rsid w:val="00AD6F64"/>
    <w:rsid w:val="00AD7027"/>
    <w:rsid w:val="00AD717B"/>
    <w:rsid w:val="00AD73F2"/>
    <w:rsid w:val="00AD7687"/>
    <w:rsid w:val="00AD7848"/>
    <w:rsid w:val="00AD7904"/>
    <w:rsid w:val="00AD7992"/>
    <w:rsid w:val="00AD7BB6"/>
    <w:rsid w:val="00AD7C15"/>
    <w:rsid w:val="00AD7CF7"/>
    <w:rsid w:val="00AD7ECA"/>
    <w:rsid w:val="00AE0059"/>
    <w:rsid w:val="00AE0108"/>
    <w:rsid w:val="00AE0254"/>
    <w:rsid w:val="00AE0282"/>
    <w:rsid w:val="00AE031B"/>
    <w:rsid w:val="00AE04EA"/>
    <w:rsid w:val="00AE0528"/>
    <w:rsid w:val="00AE069F"/>
    <w:rsid w:val="00AE070C"/>
    <w:rsid w:val="00AE0769"/>
    <w:rsid w:val="00AE0842"/>
    <w:rsid w:val="00AE0886"/>
    <w:rsid w:val="00AE08DD"/>
    <w:rsid w:val="00AE08F2"/>
    <w:rsid w:val="00AE0B04"/>
    <w:rsid w:val="00AE0DC7"/>
    <w:rsid w:val="00AE0DD3"/>
    <w:rsid w:val="00AE0EBC"/>
    <w:rsid w:val="00AE0FC2"/>
    <w:rsid w:val="00AE1046"/>
    <w:rsid w:val="00AE10C8"/>
    <w:rsid w:val="00AE1150"/>
    <w:rsid w:val="00AE135F"/>
    <w:rsid w:val="00AE1561"/>
    <w:rsid w:val="00AE1675"/>
    <w:rsid w:val="00AE1AC4"/>
    <w:rsid w:val="00AE1B8D"/>
    <w:rsid w:val="00AE1E10"/>
    <w:rsid w:val="00AE1EEC"/>
    <w:rsid w:val="00AE1F9F"/>
    <w:rsid w:val="00AE2001"/>
    <w:rsid w:val="00AE202A"/>
    <w:rsid w:val="00AE244E"/>
    <w:rsid w:val="00AE24A3"/>
    <w:rsid w:val="00AE2522"/>
    <w:rsid w:val="00AE2754"/>
    <w:rsid w:val="00AE2758"/>
    <w:rsid w:val="00AE295E"/>
    <w:rsid w:val="00AE2969"/>
    <w:rsid w:val="00AE2EFE"/>
    <w:rsid w:val="00AE2F90"/>
    <w:rsid w:val="00AE3143"/>
    <w:rsid w:val="00AE340B"/>
    <w:rsid w:val="00AE343B"/>
    <w:rsid w:val="00AE355F"/>
    <w:rsid w:val="00AE3580"/>
    <w:rsid w:val="00AE3639"/>
    <w:rsid w:val="00AE3885"/>
    <w:rsid w:val="00AE38BB"/>
    <w:rsid w:val="00AE3A93"/>
    <w:rsid w:val="00AE3B98"/>
    <w:rsid w:val="00AE3C69"/>
    <w:rsid w:val="00AE3D2C"/>
    <w:rsid w:val="00AE3D33"/>
    <w:rsid w:val="00AE3EBB"/>
    <w:rsid w:val="00AE3FE9"/>
    <w:rsid w:val="00AE405A"/>
    <w:rsid w:val="00AE4290"/>
    <w:rsid w:val="00AE44E6"/>
    <w:rsid w:val="00AE45B2"/>
    <w:rsid w:val="00AE45D7"/>
    <w:rsid w:val="00AE4790"/>
    <w:rsid w:val="00AE482C"/>
    <w:rsid w:val="00AE490D"/>
    <w:rsid w:val="00AE4957"/>
    <w:rsid w:val="00AE4961"/>
    <w:rsid w:val="00AE4B08"/>
    <w:rsid w:val="00AE4C15"/>
    <w:rsid w:val="00AE4D4B"/>
    <w:rsid w:val="00AE4E40"/>
    <w:rsid w:val="00AE4E89"/>
    <w:rsid w:val="00AE4EFB"/>
    <w:rsid w:val="00AE4F38"/>
    <w:rsid w:val="00AE528B"/>
    <w:rsid w:val="00AE5295"/>
    <w:rsid w:val="00AE529A"/>
    <w:rsid w:val="00AE54D8"/>
    <w:rsid w:val="00AE555B"/>
    <w:rsid w:val="00AE5674"/>
    <w:rsid w:val="00AE58DA"/>
    <w:rsid w:val="00AE5A03"/>
    <w:rsid w:val="00AE5A05"/>
    <w:rsid w:val="00AE5B92"/>
    <w:rsid w:val="00AE5B9A"/>
    <w:rsid w:val="00AE5C1F"/>
    <w:rsid w:val="00AE5D9E"/>
    <w:rsid w:val="00AE5E91"/>
    <w:rsid w:val="00AE609E"/>
    <w:rsid w:val="00AE6113"/>
    <w:rsid w:val="00AE61D6"/>
    <w:rsid w:val="00AE63CD"/>
    <w:rsid w:val="00AE6446"/>
    <w:rsid w:val="00AE661C"/>
    <w:rsid w:val="00AE6787"/>
    <w:rsid w:val="00AE6A29"/>
    <w:rsid w:val="00AE6C05"/>
    <w:rsid w:val="00AE6ECD"/>
    <w:rsid w:val="00AE7063"/>
    <w:rsid w:val="00AE7223"/>
    <w:rsid w:val="00AE7252"/>
    <w:rsid w:val="00AE744E"/>
    <w:rsid w:val="00AE74AB"/>
    <w:rsid w:val="00AE74E1"/>
    <w:rsid w:val="00AE76D8"/>
    <w:rsid w:val="00AE77E5"/>
    <w:rsid w:val="00AE7898"/>
    <w:rsid w:val="00AE78F6"/>
    <w:rsid w:val="00AE7934"/>
    <w:rsid w:val="00AE7B44"/>
    <w:rsid w:val="00AE7B4C"/>
    <w:rsid w:val="00AE7F40"/>
    <w:rsid w:val="00AF00D5"/>
    <w:rsid w:val="00AF0122"/>
    <w:rsid w:val="00AF043B"/>
    <w:rsid w:val="00AF0514"/>
    <w:rsid w:val="00AF066C"/>
    <w:rsid w:val="00AF06A2"/>
    <w:rsid w:val="00AF07F3"/>
    <w:rsid w:val="00AF096B"/>
    <w:rsid w:val="00AF0E72"/>
    <w:rsid w:val="00AF0EFA"/>
    <w:rsid w:val="00AF1022"/>
    <w:rsid w:val="00AF1094"/>
    <w:rsid w:val="00AF1400"/>
    <w:rsid w:val="00AF149A"/>
    <w:rsid w:val="00AF155B"/>
    <w:rsid w:val="00AF1626"/>
    <w:rsid w:val="00AF1759"/>
    <w:rsid w:val="00AF1996"/>
    <w:rsid w:val="00AF1A64"/>
    <w:rsid w:val="00AF1CFA"/>
    <w:rsid w:val="00AF1E3C"/>
    <w:rsid w:val="00AF21FE"/>
    <w:rsid w:val="00AF2383"/>
    <w:rsid w:val="00AF2533"/>
    <w:rsid w:val="00AF2574"/>
    <w:rsid w:val="00AF25CA"/>
    <w:rsid w:val="00AF2884"/>
    <w:rsid w:val="00AF28E3"/>
    <w:rsid w:val="00AF290A"/>
    <w:rsid w:val="00AF2A1D"/>
    <w:rsid w:val="00AF2D38"/>
    <w:rsid w:val="00AF2D41"/>
    <w:rsid w:val="00AF2E12"/>
    <w:rsid w:val="00AF2F46"/>
    <w:rsid w:val="00AF3083"/>
    <w:rsid w:val="00AF3185"/>
    <w:rsid w:val="00AF34B1"/>
    <w:rsid w:val="00AF3575"/>
    <w:rsid w:val="00AF37E3"/>
    <w:rsid w:val="00AF3A0E"/>
    <w:rsid w:val="00AF3AA8"/>
    <w:rsid w:val="00AF3BA2"/>
    <w:rsid w:val="00AF3C6B"/>
    <w:rsid w:val="00AF3D76"/>
    <w:rsid w:val="00AF3DE2"/>
    <w:rsid w:val="00AF3DFB"/>
    <w:rsid w:val="00AF3E65"/>
    <w:rsid w:val="00AF3ED2"/>
    <w:rsid w:val="00AF3F61"/>
    <w:rsid w:val="00AF3FA9"/>
    <w:rsid w:val="00AF3FB0"/>
    <w:rsid w:val="00AF435C"/>
    <w:rsid w:val="00AF4698"/>
    <w:rsid w:val="00AF4768"/>
    <w:rsid w:val="00AF4934"/>
    <w:rsid w:val="00AF4947"/>
    <w:rsid w:val="00AF497C"/>
    <w:rsid w:val="00AF49CF"/>
    <w:rsid w:val="00AF4B2F"/>
    <w:rsid w:val="00AF4E55"/>
    <w:rsid w:val="00AF4FAA"/>
    <w:rsid w:val="00AF5281"/>
    <w:rsid w:val="00AF536E"/>
    <w:rsid w:val="00AF53F9"/>
    <w:rsid w:val="00AF59EE"/>
    <w:rsid w:val="00AF5C91"/>
    <w:rsid w:val="00AF5D91"/>
    <w:rsid w:val="00AF5E08"/>
    <w:rsid w:val="00AF642E"/>
    <w:rsid w:val="00AF65F6"/>
    <w:rsid w:val="00AF667D"/>
    <w:rsid w:val="00AF66D9"/>
    <w:rsid w:val="00AF690C"/>
    <w:rsid w:val="00AF6A15"/>
    <w:rsid w:val="00AF6E52"/>
    <w:rsid w:val="00AF6E78"/>
    <w:rsid w:val="00AF6F3A"/>
    <w:rsid w:val="00AF6F51"/>
    <w:rsid w:val="00AF6FC8"/>
    <w:rsid w:val="00AF735F"/>
    <w:rsid w:val="00AF766F"/>
    <w:rsid w:val="00AF7798"/>
    <w:rsid w:val="00AF7837"/>
    <w:rsid w:val="00AF78E6"/>
    <w:rsid w:val="00AF78E8"/>
    <w:rsid w:val="00AF7A3B"/>
    <w:rsid w:val="00AF7D39"/>
    <w:rsid w:val="00AF7EFD"/>
    <w:rsid w:val="00B001C7"/>
    <w:rsid w:val="00B00350"/>
    <w:rsid w:val="00B005CD"/>
    <w:rsid w:val="00B007DC"/>
    <w:rsid w:val="00B008F1"/>
    <w:rsid w:val="00B00A8B"/>
    <w:rsid w:val="00B00D3D"/>
    <w:rsid w:val="00B0101B"/>
    <w:rsid w:val="00B0121B"/>
    <w:rsid w:val="00B01276"/>
    <w:rsid w:val="00B0146B"/>
    <w:rsid w:val="00B01AAD"/>
    <w:rsid w:val="00B01AFF"/>
    <w:rsid w:val="00B01B7B"/>
    <w:rsid w:val="00B01C1B"/>
    <w:rsid w:val="00B01C9B"/>
    <w:rsid w:val="00B01F4C"/>
    <w:rsid w:val="00B020AE"/>
    <w:rsid w:val="00B02104"/>
    <w:rsid w:val="00B02230"/>
    <w:rsid w:val="00B02382"/>
    <w:rsid w:val="00B02A09"/>
    <w:rsid w:val="00B03786"/>
    <w:rsid w:val="00B03890"/>
    <w:rsid w:val="00B038C8"/>
    <w:rsid w:val="00B03B36"/>
    <w:rsid w:val="00B03B6E"/>
    <w:rsid w:val="00B0416C"/>
    <w:rsid w:val="00B041E1"/>
    <w:rsid w:val="00B0428D"/>
    <w:rsid w:val="00B0448C"/>
    <w:rsid w:val="00B04854"/>
    <w:rsid w:val="00B048AD"/>
    <w:rsid w:val="00B04995"/>
    <w:rsid w:val="00B04ABC"/>
    <w:rsid w:val="00B04B86"/>
    <w:rsid w:val="00B04D40"/>
    <w:rsid w:val="00B04F8C"/>
    <w:rsid w:val="00B04F90"/>
    <w:rsid w:val="00B0521F"/>
    <w:rsid w:val="00B0526F"/>
    <w:rsid w:val="00B052FE"/>
    <w:rsid w:val="00B0531E"/>
    <w:rsid w:val="00B053BB"/>
    <w:rsid w:val="00B05538"/>
    <w:rsid w:val="00B055C6"/>
    <w:rsid w:val="00B05701"/>
    <w:rsid w:val="00B057CD"/>
    <w:rsid w:val="00B059BD"/>
    <w:rsid w:val="00B05AAB"/>
    <w:rsid w:val="00B05BF5"/>
    <w:rsid w:val="00B05CCB"/>
    <w:rsid w:val="00B05D0D"/>
    <w:rsid w:val="00B06104"/>
    <w:rsid w:val="00B064E1"/>
    <w:rsid w:val="00B06568"/>
    <w:rsid w:val="00B068D6"/>
    <w:rsid w:val="00B06971"/>
    <w:rsid w:val="00B06BE5"/>
    <w:rsid w:val="00B06C29"/>
    <w:rsid w:val="00B06D30"/>
    <w:rsid w:val="00B06F33"/>
    <w:rsid w:val="00B07228"/>
    <w:rsid w:val="00B072E0"/>
    <w:rsid w:val="00B07392"/>
    <w:rsid w:val="00B07707"/>
    <w:rsid w:val="00B07730"/>
    <w:rsid w:val="00B0779E"/>
    <w:rsid w:val="00B07861"/>
    <w:rsid w:val="00B0788B"/>
    <w:rsid w:val="00B0792F"/>
    <w:rsid w:val="00B0799F"/>
    <w:rsid w:val="00B079C9"/>
    <w:rsid w:val="00B07A72"/>
    <w:rsid w:val="00B07BB6"/>
    <w:rsid w:val="00B07CBC"/>
    <w:rsid w:val="00B100DC"/>
    <w:rsid w:val="00B10140"/>
    <w:rsid w:val="00B1016E"/>
    <w:rsid w:val="00B1019A"/>
    <w:rsid w:val="00B10225"/>
    <w:rsid w:val="00B1024B"/>
    <w:rsid w:val="00B10342"/>
    <w:rsid w:val="00B104C9"/>
    <w:rsid w:val="00B10529"/>
    <w:rsid w:val="00B105F8"/>
    <w:rsid w:val="00B10725"/>
    <w:rsid w:val="00B10735"/>
    <w:rsid w:val="00B107C7"/>
    <w:rsid w:val="00B10897"/>
    <w:rsid w:val="00B10934"/>
    <w:rsid w:val="00B1104E"/>
    <w:rsid w:val="00B111D9"/>
    <w:rsid w:val="00B1125B"/>
    <w:rsid w:val="00B11DAE"/>
    <w:rsid w:val="00B11DBE"/>
    <w:rsid w:val="00B11E2E"/>
    <w:rsid w:val="00B11F54"/>
    <w:rsid w:val="00B120FE"/>
    <w:rsid w:val="00B12183"/>
    <w:rsid w:val="00B12297"/>
    <w:rsid w:val="00B124E8"/>
    <w:rsid w:val="00B12509"/>
    <w:rsid w:val="00B12588"/>
    <w:rsid w:val="00B128C1"/>
    <w:rsid w:val="00B128CC"/>
    <w:rsid w:val="00B12DF2"/>
    <w:rsid w:val="00B12F04"/>
    <w:rsid w:val="00B131FC"/>
    <w:rsid w:val="00B13204"/>
    <w:rsid w:val="00B133F0"/>
    <w:rsid w:val="00B1343B"/>
    <w:rsid w:val="00B1347F"/>
    <w:rsid w:val="00B134BD"/>
    <w:rsid w:val="00B1369B"/>
    <w:rsid w:val="00B13741"/>
    <w:rsid w:val="00B13BA7"/>
    <w:rsid w:val="00B13BEB"/>
    <w:rsid w:val="00B13C9A"/>
    <w:rsid w:val="00B13D04"/>
    <w:rsid w:val="00B13F93"/>
    <w:rsid w:val="00B14079"/>
    <w:rsid w:val="00B14227"/>
    <w:rsid w:val="00B142F1"/>
    <w:rsid w:val="00B1465A"/>
    <w:rsid w:val="00B146BA"/>
    <w:rsid w:val="00B14741"/>
    <w:rsid w:val="00B147AF"/>
    <w:rsid w:val="00B14856"/>
    <w:rsid w:val="00B14959"/>
    <w:rsid w:val="00B149E6"/>
    <w:rsid w:val="00B149F1"/>
    <w:rsid w:val="00B14A2F"/>
    <w:rsid w:val="00B14B6C"/>
    <w:rsid w:val="00B14BFF"/>
    <w:rsid w:val="00B14EB5"/>
    <w:rsid w:val="00B14F5B"/>
    <w:rsid w:val="00B152FC"/>
    <w:rsid w:val="00B15466"/>
    <w:rsid w:val="00B154CE"/>
    <w:rsid w:val="00B1565A"/>
    <w:rsid w:val="00B15690"/>
    <w:rsid w:val="00B15753"/>
    <w:rsid w:val="00B15861"/>
    <w:rsid w:val="00B1587F"/>
    <w:rsid w:val="00B15A09"/>
    <w:rsid w:val="00B15A44"/>
    <w:rsid w:val="00B15B9E"/>
    <w:rsid w:val="00B15CEA"/>
    <w:rsid w:val="00B15E95"/>
    <w:rsid w:val="00B15EAF"/>
    <w:rsid w:val="00B164E5"/>
    <w:rsid w:val="00B16513"/>
    <w:rsid w:val="00B1671C"/>
    <w:rsid w:val="00B1679E"/>
    <w:rsid w:val="00B16860"/>
    <w:rsid w:val="00B16935"/>
    <w:rsid w:val="00B16950"/>
    <w:rsid w:val="00B16951"/>
    <w:rsid w:val="00B16989"/>
    <w:rsid w:val="00B1698E"/>
    <w:rsid w:val="00B16ACA"/>
    <w:rsid w:val="00B16C83"/>
    <w:rsid w:val="00B16D0A"/>
    <w:rsid w:val="00B16DC0"/>
    <w:rsid w:val="00B170FD"/>
    <w:rsid w:val="00B17389"/>
    <w:rsid w:val="00B173AE"/>
    <w:rsid w:val="00B17661"/>
    <w:rsid w:val="00B176C4"/>
    <w:rsid w:val="00B17829"/>
    <w:rsid w:val="00B17AE7"/>
    <w:rsid w:val="00B17B62"/>
    <w:rsid w:val="00B17B8C"/>
    <w:rsid w:val="00B17DA6"/>
    <w:rsid w:val="00B17F65"/>
    <w:rsid w:val="00B17FAF"/>
    <w:rsid w:val="00B201D1"/>
    <w:rsid w:val="00B20266"/>
    <w:rsid w:val="00B2033F"/>
    <w:rsid w:val="00B203B4"/>
    <w:rsid w:val="00B2047E"/>
    <w:rsid w:val="00B20688"/>
    <w:rsid w:val="00B206BE"/>
    <w:rsid w:val="00B206E8"/>
    <w:rsid w:val="00B20820"/>
    <w:rsid w:val="00B209B3"/>
    <w:rsid w:val="00B20A94"/>
    <w:rsid w:val="00B20A9F"/>
    <w:rsid w:val="00B212DA"/>
    <w:rsid w:val="00B21425"/>
    <w:rsid w:val="00B21727"/>
    <w:rsid w:val="00B217A1"/>
    <w:rsid w:val="00B21A81"/>
    <w:rsid w:val="00B21B10"/>
    <w:rsid w:val="00B21C4D"/>
    <w:rsid w:val="00B21F81"/>
    <w:rsid w:val="00B220D9"/>
    <w:rsid w:val="00B22240"/>
    <w:rsid w:val="00B22391"/>
    <w:rsid w:val="00B22407"/>
    <w:rsid w:val="00B22490"/>
    <w:rsid w:val="00B224DB"/>
    <w:rsid w:val="00B2251E"/>
    <w:rsid w:val="00B22677"/>
    <w:rsid w:val="00B22692"/>
    <w:rsid w:val="00B227A3"/>
    <w:rsid w:val="00B227F9"/>
    <w:rsid w:val="00B22820"/>
    <w:rsid w:val="00B228E6"/>
    <w:rsid w:val="00B22A0C"/>
    <w:rsid w:val="00B22AA2"/>
    <w:rsid w:val="00B22B34"/>
    <w:rsid w:val="00B22BA9"/>
    <w:rsid w:val="00B22F53"/>
    <w:rsid w:val="00B2308D"/>
    <w:rsid w:val="00B23172"/>
    <w:rsid w:val="00B2324C"/>
    <w:rsid w:val="00B232FC"/>
    <w:rsid w:val="00B2338E"/>
    <w:rsid w:val="00B2340C"/>
    <w:rsid w:val="00B2343B"/>
    <w:rsid w:val="00B234F4"/>
    <w:rsid w:val="00B238E8"/>
    <w:rsid w:val="00B23960"/>
    <w:rsid w:val="00B23A6D"/>
    <w:rsid w:val="00B23E70"/>
    <w:rsid w:val="00B23E8D"/>
    <w:rsid w:val="00B2402F"/>
    <w:rsid w:val="00B2433D"/>
    <w:rsid w:val="00B24441"/>
    <w:rsid w:val="00B244AB"/>
    <w:rsid w:val="00B24500"/>
    <w:rsid w:val="00B24544"/>
    <w:rsid w:val="00B2460B"/>
    <w:rsid w:val="00B2481F"/>
    <w:rsid w:val="00B24851"/>
    <w:rsid w:val="00B24AC7"/>
    <w:rsid w:val="00B24BDE"/>
    <w:rsid w:val="00B24D47"/>
    <w:rsid w:val="00B24DB9"/>
    <w:rsid w:val="00B24DE3"/>
    <w:rsid w:val="00B24E84"/>
    <w:rsid w:val="00B24EE3"/>
    <w:rsid w:val="00B24F0D"/>
    <w:rsid w:val="00B24FBA"/>
    <w:rsid w:val="00B250C5"/>
    <w:rsid w:val="00B2512B"/>
    <w:rsid w:val="00B251A6"/>
    <w:rsid w:val="00B251BB"/>
    <w:rsid w:val="00B2534F"/>
    <w:rsid w:val="00B253BB"/>
    <w:rsid w:val="00B253DE"/>
    <w:rsid w:val="00B2551E"/>
    <w:rsid w:val="00B25564"/>
    <w:rsid w:val="00B256DA"/>
    <w:rsid w:val="00B257A4"/>
    <w:rsid w:val="00B258DF"/>
    <w:rsid w:val="00B2599A"/>
    <w:rsid w:val="00B25C76"/>
    <w:rsid w:val="00B25D33"/>
    <w:rsid w:val="00B25F77"/>
    <w:rsid w:val="00B2625B"/>
    <w:rsid w:val="00B26490"/>
    <w:rsid w:val="00B2657B"/>
    <w:rsid w:val="00B26773"/>
    <w:rsid w:val="00B26792"/>
    <w:rsid w:val="00B268AF"/>
    <w:rsid w:val="00B26D54"/>
    <w:rsid w:val="00B26F5C"/>
    <w:rsid w:val="00B2708A"/>
    <w:rsid w:val="00B27154"/>
    <w:rsid w:val="00B2715B"/>
    <w:rsid w:val="00B271EF"/>
    <w:rsid w:val="00B2746B"/>
    <w:rsid w:val="00B274A7"/>
    <w:rsid w:val="00B275AF"/>
    <w:rsid w:val="00B27620"/>
    <w:rsid w:val="00B2764D"/>
    <w:rsid w:val="00B27684"/>
    <w:rsid w:val="00B2768B"/>
    <w:rsid w:val="00B27787"/>
    <w:rsid w:val="00B277DE"/>
    <w:rsid w:val="00B277EC"/>
    <w:rsid w:val="00B27813"/>
    <w:rsid w:val="00B27B7B"/>
    <w:rsid w:val="00B27D17"/>
    <w:rsid w:val="00B27EA4"/>
    <w:rsid w:val="00B27F73"/>
    <w:rsid w:val="00B27FF2"/>
    <w:rsid w:val="00B3002A"/>
    <w:rsid w:val="00B30172"/>
    <w:rsid w:val="00B30253"/>
    <w:rsid w:val="00B303E8"/>
    <w:rsid w:val="00B30565"/>
    <w:rsid w:val="00B307F1"/>
    <w:rsid w:val="00B309A7"/>
    <w:rsid w:val="00B30B69"/>
    <w:rsid w:val="00B30B89"/>
    <w:rsid w:val="00B30CEE"/>
    <w:rsid w:val="00B30DE4"/>
    <w:rsid w:val="00B30E66"/>
    <w:rsid w:val="00B30F74"/>
    <w:rsid w:val="00B30F83"/>
    <w:rsid w:val="00B31000"/>
    <w:rsid w:val="00B3148B"/>
    <w:rsid w:val="00B31511"/>
    <w:rsid w:val="00B3184B"/>
    <w:rsid w:val="00B31A9C"/>
    <w:rsid w:val="00B31AED"/>
    <w:rsid w:val="00B31C21"/>
    <w:rsid w:val="00B31C22"/>
    <w:rsid w:val="00B31CBD"/>
    <w:rsid w:val="00B31EAF"/>
    <w:rsid w:val="00B3222C"/>
    <w:rsid w:val="00B322A3"/>
    <w:rsid w:val="00B32322"/>
    <w:rsid w:val="00B3245A"/>
    <w:rsid w:val="00B32468"/>
    <w:rsid w:val="00B324F6"/>
    <w:rsid w:val="00B32566"/>
    <w:rsid w:val="00B325E6"/>
    <w:rsid w:val="00B32842"/>
    <w:rsid w:val="00B328BF"/>
    <w:rsid w:val="00B32B30"/>
    <w:rsid w:val="00B32CE5"/>
    <w:rsid w:val="00B32E5E"/>
    <w:rsid w:val="00B32F8B"/>
    <w:rsid w:val="00B33113"/>
    <w:rsid w:val="00B33432"/>
    <w:rsid w:val="00B3348B"/>
    <w:rsid w:val="00B33601"/>
    <w:rsid w:val="00B3361E"/>
    <w:rsid w:val="00B3369A"/>
    <w:rsid w:val="00B33758"/>
    <w:rsid w:val="00B338B1"/>
    <w:rsid w:val="00B33935"/>
    <w:rsid w:val="00B339CD"/>
    <w:rsid w:val="00B33B9B"/>
    <w:rsid w:val="00B33C6D"/>
    <w:rsid w:val="00B33D4C"/>
    <w:rsid w:val="00B33E4C"/>
    <w:rsid w:val="00B340A9"/>
    <w:rsid w:val="00B3413D"/>
    <w:rsid w:val="00B342A6"/>
    <w:rsid w:val="00B343F5"/>
    <w:rsid w:val="00B3440C"/>
    <w:rsid w:val="00B344BB"/>
    <w:rsid w:val="00B3451C"/>
    <w:rsid w:val="00B3454C"/>
    <w:rsid w:val="00B34668"/>
    <w:rsid w:val="00B34956"/>
    <w:rsid w:val="00B34CD0"/>
    <w:rsid w:val="00B34DB2"/>
    <w:rsid w:val="00B34E46"/>
    <w:rsid w:val="00B34E4B"/>
    <w:rsid w:val="00B35101"/>
    <w:rsid w:val="00B35589"/>
    <w:rsid w:val="00B355AE"/>
    <w:rsid w:val="00B356D6"/>
    <w:rsid w:val="00B35728"/>
    <w:rsid w:val="00B35B4E"/>
    <w:rsid w:val="00B35C55"/>
    <w:rsid w:val="00B35DB6"/>
    <w:rsid w:val="00B35DE7"/>
    <w:rsid w:val="00B35E0A"/>
    <w:rsid w:val="00B36080"/>
    <w:rsid w:val="00B367CD"/>
    <w:rsid w:val="00B36831"/>
    <w:rsid w:val="00B36989"/>
    <w:rsid w:val="00B369C9"/>
    <w:rsid w:val="00B36AC1"/>
    <w:rsid w:val="00B36CAD"/>
    <w:rsid w:val="00B36DD1"/>
    <w:rsid w:val="00B36E49"/>
    <w:rsid w:val="00B37483"/>
    <w:rsid w:val="00B37496"/>
    <w:rsid w:val="00B37694"/>
    <w:rsid w:val="00B376FB"/>
    <w:rsid w:val="00B378B1"/>
    <w:rsid w:val="00B37F13"/>
    <w:rsid w:val="00B37F32"/>
    <w:rsid w:val="00B37FED"/>
    <w:rsid w:val="00B40143"/>
    <w:rsid w:val="00B40369"/>
    <w:rsid w:val="00B4061A"/>
    <w:rsid w:val="00B4074C"/>
    <w:rsid w:val="00B40783"/>
    <w:rsid w:val="00B40966"/>
    <w:rsid w:val="00B40995"/>
    <w:rsid w:val="00B409D3"/>
    <w:rsid w:val="00B40BA7"/>
    <w:rsid w:val="00B40BC5"/>
    <w:rsid w:val="00B40C6D"/>
    <w:rsid w:val="00B40D38"/>
    <w:rsid w:val="00B40DB6"/>
    <w:rsid w:val="00B40EF1"/>
    <w:rsid w:val="00B40FCF"/>
    <w:rsid w:val="00B41088"/>
    <w:rsid w:val="00B411C7"/>
    <w:rsid w:val="00B4137C"/>
    <w:rsid w:val="00B413AE"/>
    <w:rsid w:val="00B41456"/>
    <w:rsid w:val="00B414DD"/>
    <w:rsid w:val="00B41567"/>
    <w:rsid w:val="00B415BD"/>
    <w:rsid w:val="00B417AE"/>
    <w:rsid w:val="00B417E3"/>
    <w:rsid w:val="00B417F1"/>
    <w:rsid w:val="00B41C87"/>
    <w:rsid w:val="00B41D43"/>
    <w:rsid w:val="00B41D9D"/>
    <w:rsid w:val="00B41E1D"/>
    <w:rsid w:val="00B42024"/>
    <w:rsid w:val="00B427F1"/>
    <w:rsid w:val="00B4285C"/>
    <w:rsid w:val="00B4287B"/>
    <w:rsid w:val="00B428FC"/>
    <w:rsid w:val="00B42F17"/>
    <w:rsid w:val="00B433EE"/>
    <w:rsid w:val="00B435C1"/>
    <w:rsid w:val="00B43955"/>
    <w:rsid w:val="00B43E22"/>
    <w:rsid w:val="00B43E24"/>
    <w:rsid w:val="00B43E7E"/>
    <w:rsid w:val="00B442E2"/>
    <w:rsid w:val="00B4430F"/>
    <w:rsid w:val="00B443F0"/>
    <w:rsid w:val="00B44673"/>
    <w:rsid w:val="00B446F2"/>
    <w:rsid w:val="00B44AAA"/>
    <w:rsid w:val="00B44C76"/>
    <w:rsid w:val="00B44E07"/>
    <w:rsid w:val="00B44F7A"/>
    <w:rsid w:val="00B4516F"/>
    <w:rsid w:val="00B45254"/>
    <w:rsid w:val="00B4528F"/>
    <w:rsid w:val="00B4540D"/>
    <w:rsid w:val="00B45524"/>
    <w:rsid w:val="00B4580A"/>
    <w:rsid w:val="00B45831"/>
    <w:rsid w:val="00B4584D"/>
    <w:rsid w:val="00B45923"/>
    <w:rsid w:val="00B4593D"/>
    <w:rsid w:val="00B459D6"/>
    <w:rsid w:val="00B45AB8"/>
    <w:rsid w:val="00B45B79"/>
    <w:rsid w:val="00B45BF7"/>
    <w:rsid w:val="00B45CAA"/>
    <w:rsid w:val="00B45DC2"/>
    <w:rsid w:val="00B4623F"/>
    <w:rsid w:val="00B4629A"/>
    <w:rsid w:val="00B46555"/>
    <w:rsid w:val="00B46599"/>
    <w:rsid w:val="00B46655"/>
    <w:rsid w:val="00B4665C"/>
    <w:rsid w:val="00B46664"/>
    <w:rsid w:val="00B466FC"/>
    <w:rsid w:val="00B46C1E"/>
    <w:rsid w:val="00B46EF9"/>
    <w:rsid w:val="00B470AC"/>
    <w:rsid w:val="00B47142"/>
    <w:rsid w:val="00B471E6"/>
    <w:rsid w:val="00B47260"/>
    <w:rsid w:val="00B472DC"/>
    <w:rsid w:val="00B476F6"/>
    <w:rsid w:val="00B478D3"/>
    <w:rsid w:val="00B478E0"/>
    <w:rsid w:val="00B47A99"/>
    <w:rsid w:val="00B47E06"/>
    <w:rsid w:val="00B47E69"/>
    <w:rsid w:val="00B5023C"/>
    <w:rsid w:val="00B50262"/>
    <w:rsid w:val="00B50664"/>
    <w:rsid w:val="00B50784"/>
    <w:rsid w:val="00B508FF"/>
    <w:rsid w:val="00B50A47"/>
    <w:rsid w:val="00B50A8C"/>
    <w:rsid w:val="00B50B46"/>
    <w:rsid w:val="00B50C6C"/>
    <w:rsid w:val="00B50FD5"/>
    <w:rsid w:val="00B51027"/>
    <w:rsid w:val="00B51302"/>
    <w:rsid w:val="00B51523"/>
    <w:rsid w:val="00B51594"/>
    <w:rsid w:val="00B51773"/>
    <w:rsid w:val="00B51A38"/>
    <w:rsid w:val="00B51BB3"/>
    <w:rsid w:val="00B51E3B"/>
    <w:rsid w:val="00B51F43"/>
    <w:rsid w:val="00B521D1"/>
    <w:rsid w:val="00B5223C"/>
    <w:rsid w:val="00B52284"/>
    <w:rsid w:val="00B52326"/>
    <w:rsid w:val="00B5236C"/>
    <w:rsid w:val="00B52591"/>
    <w:rsid w:val="00B5265B"/>
    <w:rsid w:val="00B526E8"/>
    <w:rsid w:val="00B527B2"/>
    <w:rsid w:val="00B529A7"/>
    <w:rsid w:val="00B52AC8"/>
    <w:rsid w:val="00B52C17"/>
    <w:rsid w:val="00B52CE8"/>
    <w:rsid w:val="00B52E8A"/>
    <w:rsid w:val="00B52F23"/>
    <w:rsid w:val="00B530A2"/>
    <w:rsid w:val="00B530EA"/>
    <w:rsid w:val="00B531EA"/>
    <w:rsid w:val="00B532CC"/>
    <w:rsid w:val="00B533AA"/>
    <w:rsid w:val="00B533B7"/>
    <w:rsid w:val="00B533C5"/>
    <w:rsid w:val="00B5347A"/>
    <w:rsid w:val="00B5349F"/>
    <w:rsid w:val="00B534B4"/>
    <w:rsid w:val="00B53554"/>
    <w:rsid w:val="00B536A6"/>
    <w:rsid w:val="00B53BC6"/>
    <w:rsid w:val="00B53C18"/>
    <w:rsid w:val="00B53F36"/>
    <w:rsid w:val="00B54060"/>
    <w:rsid w:val="00B542C2"/>
    <w:rsid w:val="00B543B4"/>
    <w:rsid w:val="00B5481D"/>
    <w:rsid w:val="00B548C5"/>
    <w:rsid w:val="00B5493D"/>
    <w:rsid w:val="00B54BE5"/>
    <w:rsid w:val="00B54C5F"/>
    <w:rsid w:val="00B54D81"/>
    <w:rsid w:val="00B5518B"/>
    <w:rsid w:val="00B5533C"/>
    <w:rsid w:val="00B55419"/>
    <w:rsid w:val="00B554C8"/>
    <w:rsid w:val="00B55770"/>
    <w:rsid w:val="00B557F5"/>
    <w:rsid w:val="00B55824"/>
    <w:rsid w:val="00B55C04"/>
    <w:rsid w:val="00B55E79"/>
    <w:rsid w:val="00B55FE0"/>
    <w:rsid w:val="00B560A1"/>
    <w:rsid w:val="00B565FA"/>
    <w:rsid w:val="00B56636"/>
    <w:rsid w:val="00B5692F"/>
    <w:rsid w:val="00B56946"/>
    <w:rsid w:val="00B56B02"/>
    <w:rsid w:val="00B56E91"/>
    <w:rsid w:val="00B56F50"/>
    <w:rsid w:val="00B56F5C"/>
    <w:rsid w:val="00B57228"/>
    <w:rsid w:val="00B57411"/>
    <w:rsid w:val="00B5754F"/>
    <w:rsid w:val="00B575C2"/>
    <w:rsid w:val="00B577E0"/>
    <w:rsid w:val="00B578E4"/>
    <w:rsid w:val="00B57ACA"/>
    <w:rsid w:val="00B57AE2"/>
    <w:rsid w:val="00B57CB3"/>
    <w:rsid w:val="00B57CE2"/>
    <w:rsid w:val="00B57CE5"/>
    <w:rsid w:val="00B57D04"/>
    <w:rsid w:val="00B57D52"/>
    <w:rsid w:val="00B57E5C"/>
    <w:rsid w:val="00B57EB6"/>
    <w:rsid w:val="00B57F26"/>
    <w:rsid w:val="00B57FDA"/>
    <w:rsid w:val="00B60267"/>
    <w:rsid w:val="00B603A5"/>
    <w:rsid w:val="00B6053B"/>
    <w:rsid w:val="00B607B0"/>
    <w:rsid w:val="00B60F55"/>
    <w:rsid w:val="00B60F86"/>
    <w:rsid w:val="00B60FDF"/>
    <w:rsid w:val="00B61192"/>
    <w:rsid w:val="00B611A5"/>
    <w:rsid w:val="00B61263"/>
    <w:rsid w:val="00B612DB"/>
    <w:rsid w:val="00B6150C"/>
    <w:rsid w:val="00B61630"/>
    <w:rsid w:val="00B618A7"/>
    <w:rsid w:val="00B61B23"/>
    <w:rsid w:val="00B61C6E"/>
    <w:rsid w:val="00B61C83"/>
    <w:rsid w:val="00B61CD0"/>
    <w:rsid w:val="00B61DDF"/>
    <w:rsid w:val="00B61EA4"/>
    <w:rsid w:val="00B61F72"/>
    <w:rsid w:val="00B6208B"/>
    <w:rsid w:val="00B621BF"/>
    <w:rsid w:val="00B62245"/>
    <w:rsid w:val="00B6233E"/>
    <w:rsid w:val="00B625AB"/>
    <w:rsid w:val="00B6291C"/>
    <w:rsid w:val="00B62A83"/>
    <w:rsid w:val="00B62D75"/>
    <w:rsid w:val="00B62DEB"/>
    <w:rsid w:val="00B62E6D"/>
    <w:rsid w:val="00B62FD8"/>
    <w:rsid w:val="00B6301A"/>
    <w:rsid w:val="00B63319"/>
    <w:rsid w:val="00B6342F"/>
    <w:rsid w:val="00B63495"/>
    <w:rsid w:val="00B63630"/>
    <w:rsid w:val="00B63647"/>
    <w:rsid w:val="00B6374D"/>
    <w:rsid w:val="00B639D0"/>
    <w:rsid w:val="00B63BD0"/>
    <w:rsid w:val="00B63DE6"/>
    <w:rsid w:val="00B63EFB"/>
    <w:rsid w:val="00B63FBC"/>
    <w:rsid w:val="00B64094"/>
    <w:rsid w:val="00B6410F"/>
    <w:rsid w:val="00B64208"/>
    <w:rsid w:val="00B6455A"/>
    <w:rsid w:val="00B64574"/>
    <w:rsid w:val="00B646D4"/>
    <w:rsid w:val="00B6478B"/>
    <w:rsid w:val="00B6478F"/>
    <w:rsid w:val="00B6488E"/>
    <w:rsid w:val="00B648BC"/>
    <w:rsid w:val="00B64976"/>
    <w:rsid w:val="00B64A49"/>
    <w:rsid w:val="00B64A60"/>
    <w:rsid w:val="00B64A74"/>
    <w:rsid w:val="00B64BA3"/>
    <w:rsid w:val="00B650BC"/>
    <w:rsid w:val="00B6533B"/>
    <w:rsid w:val="00B654E6"/>
    <w:rsid w:val="00B6553A"/>
    <w:rsid w:val="00B656E0"/>
    <w:rsid w:val="00B65803"/>
    <w:rsid w:val="00B65814"/>
    <w:rsid w:val="00B6598D"/>
    <w:rsid w:val="00B65A0A"/>
    <w:rsid w:val="00B65CFD"/>
    <w:rsid w:val="00B65F39"/>
    <w:rsid w:val="00B6627F"/>
    <w:rsid w:val="00B664D8"/>
    <w:rsid w:val="00B66543"/>
    <w:rsid w:val="00B665D3"/>
    <w:rsid w:val="00B66845"/>
    <w:rsid w:val="00B6695A"/>
    <w:rsid w:val="00B66989"/>
    <w:rsid w:val="00B66A99"/>
    <w:rsid w:val="00B66C0D"/>
    <w:rsid w:val="00B66D58"/>
    <w:rsid w:val="00B66DBB"/>
    <w:rsid w:val="00B66E05"/>
    <w:rsid w:val="00B66FAC"/>
    <w:rsid w:val="00B66FBB"/>
    <w:rsid w:val="00B66FF7"/>
    <w:rsid w:val="00B67298"/>
    <w:rsid w:val="00B673CD"/>
    <w:rsid w:val="00B67453"/>
    <w:rsid w:val="00B67638"/>
    <w:rsid w:val="00B6763F"/>
    <w:rsid w:val="00B676E1"/>
    <w:rsid w:val="00B678BB"/>
    <w:rsid w:val="00B67990"/>
    <w:rsid w:val="00B679E6"/>
    <w:rsid w:val="00B67D26"/>
    <w:rsid w:val="00B67D75"/>
    <w:rsid w:val="00B67E74"/>
    <w:rsid w:val="00B67F04"/>
    <w:rsid w:val="00B67F5D"/>
    <w:rsid w:val="00B67FAF"/>
    <w:rsid w:val="00B703B8"/>
    <w:rsid w:val="00B70489"/>
    <w:rsid w:val="00B70495"/>
    <w:rsid w:val="00B707DE"/>
    <w:rsid w:val="00B707FE"/>
    <w:rsid w:val="00B70A71"/>
    <w:rsid w:val="00B70EBB"/>
    <w:rsid w:val="00B70F5B"/>
    <w:rsid w:val="00B71042"/>
    <w:rsid w:val="00B7118B"/>
    <w:rsid w:val="00B7157B"/>
    <w:rsid w:val="00B715BE"/>
    <w:rsid w:val="00B716F1"/>
    <w:rsid w:val="00B71736"/>
    <w:rsid w:val="00B71737"/>
    <w:rsid w:val="00B718C7"/>
    <w:rsid w:val="00B71A61"/>
    <w:rsid w:val="00B71F73"/>
    <w:rsid w:val="00B72038"/>
    <w:rsid w:val="00B72103"/>
    <w:rsid w:val="00B72135"/>
    <w:rsid w:val="00B721F1"/>
    <w:rsid w:val="00B7229A"/>
    <w:rsid w:val="00B723E6"/>
    <w:rsid w:val="00B725F2"/>
    <w:rsid w:val="00B72A19"/>
    <w:rsid w:val="00B72BF1"/>
    <w:rsid w:val="00B7317A"/>
    <w:rsid w:val="00B73279"/>
    <w:rsid w:val="00B737B3"/>
    <w:rsid w:val="00B737DC"/>
    <w:rsid w:val="00B7381B"/>
    <w:rsid w:val="00B73844"/>
    <w:rsid w:val="00B738EA"/>
    <w:rsid w:val="00B73959"/>
    <w:rsid w:val="00B7397F"/>
    <w:rsid w:val="00B73DAD"/>
    <w:rsid w:val="00B74472"/>
    <w:rsid w:val="00B745F7"/>
    <w:rsid w:val="00B74743"/>
    <w:rsid w:val="00B74917"/>
    <w:rsid w:val="00B74939"/>
    <w:rsid w:val="00B749B5"/>
    <w:rsid w:val="00B749B7"/>
    <w:rsid w:val="00B74A41"/>
    <w:rsid w:val="00B74AE4"/>
    <w:rsid w:val="00B74BDD"/>
    <w:rsid w:val="00B74C33"/>
    <w:rsid w:val="00B74DF7"/>
    <w:rsid w:val="00B74F88"/>
    <w:rsid w:val="00B75054"/>
    <w:rsid w:val="00B751DB"/>
    <w:rsid w:val="00B75324"/>
    <w:rsid w:val="00B75894"/>
    <w:rsid w:val="00B75910"/>
    <w:rsid w:val="00B75C51"/>
    <w:rsid w:val="00B75EEA"/>
    <w:rsid w:val="00B76032"/>
    <w:rsid w:val="00B76079"/>
    <w:rsid w:val="00B7617D"/>
    <w:rsid w:val="00B76270"/>
    <w:rsid w:val="00B76531"/>
    <w:rsid w:val="00B76688"/>
    <w:rsid w:val="00B768AB"/>
    <w:rsid w:val="00B768F7"/>
    <w:rsid w:val="00B76A8B"/>
    <w:rsid w:val="00B76AED"/>
    <w:rsid w:val="00B76CEB"/>
    <w:rsid w:val="00B76E84"/>
    <w:rsid w:val="00B76F5C"/>
    <w:rsid w:val="00B77072"/>
    <w:rsid w:val="00B774FC"/>
    <w:rsid w:val="00B77603"/>
    <w:rsid w:val="00B77A7B"/>
    <w:rsid w:val="00B77BEF"/>
    <w:rsid w:val="00B77CA6"/>
    <w:rsid w:val="00B77CDC"/>
    <w:rsid w:val="00B77F4F"/>
    <w:rsid w:val="00B80025"/>
    <w:rsid w:val="00B8005B"/>
    <w:rsid w:val="00B8041A"/>
    <w:rsid w:val="00B80453"/>
    <w:rsid w:val="00B80466"/>
    <w:rsid w:val="00B80570"/>
    <w:rsid w:val="00B805B9"/>
    <w:rsid w:val="00B8084E"/>
    <w:rsid w:val="00B80A45"/>
    <w:rsid w:val="00B80AC2"/>
    <w:rsid w:val="00B80D02"/>
    <w:rsid w:val="00B8119B"/>
    <w:rsid w:val="00B81298"/>
    <w:rsid w:val="00B81334"/>
    <w:rsid w:val="00B813A4"/>
    <w:rsid w:val="00B81659"/>
    <w:rsid w:val="00B817CB"/>
    <w:rsid w:val="00B8189E"/>
    <w:rsid w:val="00B81912"/>
    <w:rsid w:val="00B81964"/>
    <w:rsid w:val="00B81999"/>
    <w:rsid w:val="00B819F2"/>
    <w:rsid w:val="00B81A66"/>
    <w:rsid w:val="00B81A81"/>
    <w:rsid w:val="00B81B4D"/>
    <w:rsid w:val="00B81DD2"/>
    <w:rsid w:val="00B81F74"/>
    <w:rsid w:val="00B81FB0"/>
    <w:rsid w:val="00B81FB6"/>
    <w:rsid w:val="00B820F0"/>
    <w:rsid w:val="00B821B1"/>
    <w:rsid w:val="00B823AA"/>
    <w:rsid w:val="00B82479"/>
    <w:rsid w:val="00B824EC"/>
    <w:rsid w:val="00B82679"/>
    <w:rsid w:val="00B82955"/>
    <w:rsid w:val="00B82A66"/>
    <w:rsid w:val="00B82AD2"/>
    <w:rsid w:val="00B82D08"/>
    <w:rsid w:val="00B82DC7"/>
    <w:rsid w:val="00B82DF1"/>
    <w:rsid w:val="00B82EFC"/>
    <w:rsid w:val="00B830D2"/>
    <w:rsid w:val="00B831A2"/>
    <w:rsid w:val="00B8320F"/>
    <w:rsid w:val="00B83211"/>
    <w:rsid w:val="00B83263"/>
    <w:rsid w:val="00B83445"/>
    <w:rsid w:val="00B834B8"/>
    <w:rsid w:val="00B83A37"/>
    <w:rsid w:val="00B83CCE"/>
    <w:rsid w:val="00B83D2F"/>
    <w:rsid w:val="00B83E80"/>
    <w:rsid w:val="00B83F3E"/>
    <w:rsid w:val="00B8409A"/>
    <w:rsid w:val="00B84121"/>
    <w:rsid w:val="00B841CC"/>
    <w:rsid w:val="00B84452"/>
    <w:rsid w:val="00B846C9"/>
    <w:rsid w:val="00B84716"/>
    <w:rsid w:val="00B84724"/>
    <w:rsid w:val="00B84781"/>
    <w:rsid w:val="00B848B8"/>
    <w:rsid w:val="00B84AA1"/>
    <w:rsid w:val="00B84BB3"/>
    <w:rsid w:val="00B84C3C"/>
    <w:rsid w:val="00B84DA1"/>
    <w:rsid w:val="00B84DB6"/>
    <w:rsid w:val="00B84E16"/>
    <w:rsid w:val="00B84EE1"/>
    <w:rsid w:val="00B850C1"/>
    <w:rsid w:val="00B8521B"/>
    <w:rsid w:val="00B85534"/>
    <w:rsid w:val="00B85578"/>
    <w:rsid w:val="00B855A1"/>
    <w:rsid w:val="00B85798"/>
    <w:rsid w:val="00B85A60"/>
    <w:rsid w:val="00B85ABB"/>
    <w:rsid w:val="00B85B26"/>
    <w:rsid w:val="00B85D51"/>
    <w:rsid w:val="00B85E81"/>
    <w:rsid w:val="00B86079"/>
    <w:rsid w:val="00B860F5"/>
    <w:rsid w:val="00B865BC"/>
    <w:rsid w:val="00B86BBB"/>
    <w:rsid w:val="00B86C18"/>
    <w:rsid w:val="00B86C75"/>
    <w:rsid w:val="00B86DAC"/>
    <w:rsid w:val="00B86E6A"/>
    <w:rsid w:val="00B86ECB"/>
    <w:rsid w:val="00B87037"/>
    <w:rsid w:val="00B873D0"/>
    <w:rsid w:val="00B874E5"/>
    <w:rsid w:val="00B874E9"/>
    <w:rsid w:val="00B8769E"/>
    <w:rsid w:val="00B87762"/>
    <w:rsid w:val="00B8777F"/>
    <w:rsid w:val="00B878D2"/>
    <w:rsid w:val="00B8790A"/>
    <w:rsid w:val="00B87AF8"/>
    <w:rsid w:val="00B87B21"/>
    <w:rsid w:val="00B87B78"/>
    <w:rsid w:val="00B87BC7"/>
    <w:rsid w:val="00B87C3F"/>
    <w:rsid w:val="00B87CFF"/>
    <w:rsid w:val="00B87F45"/>
    <w:rsid w:val="00B900AE"/>
    <w:rsid w:val="00B900F0"/>
    <w:rsid w:val="00B90561"/>
    <w:rsid w:val="00B90588"/>
    <w:rsid w:val="00B908AD"/>
    <w:rsid w:val="00B90B0A"/>
    <w:rsid w:val="00B90B45"/>
    <w:rsid w:val="00B90E83"/>
    <w:rsid w:val="00B90EB1"/>
    <w:rsid w:val="00B90FD7"/>
    <w:rsid w:val="00B9113D"/>
    <w:rsid w:val="00B911A4"/>
    <w:rsid w:val="00B913D1"/>
    <w:rsid w:val="00B91576"/>
    <w:rsid w:val="00B91AAB"/>
    <w:rsid w:val="00B91B97"/>
    <w:rsid w:val="00B91BED"/>
    <w:rsid w:val="00B91C7C"/>
    <w:rsid w:val="00B91C80"/>
    <w:rsid w:val="00B91F67"/>
    <w:rsid w:val="00B92298"/>
    <w:rsid w:val="00B922CA"/>
    <w:rsid w:val="00B92585"/>
    <w:rsid w:val="00B92619"/>
    <w:rsid w:val="00B928B5"/>
    <w:rsid w:val="00B9294C"/>
    <w:rsid w:val="00B92AA8"/>
    <w:rsid w:val="00B92AB3"/>
    <w:rsid w:val="00B92AD3"/>
    <w:rsid w:val="00B92CFE"/>
    <w:rsid w:val="00B92D9D"/>
    <w:rsid w:val="00B92F39"/>
    <w:rsid w:val="00B92F60"/>
    <w:rsid w:val="00B92FDB"/>
    <w:rsid w:val="00B93009"/>
    <w:rsid w:val="00B9304B"/>
    <w:rsid w:val="00B9308A"/>
    <w:rsid w:val="00B931A2"/>
    <w:rsid w:val="00B93251"/>
    <w:rsid w:val="00B935A2"/>
    <w:rsid w:val="00B9389A"/>
    <w:rsid w:val="00B9397F"/>
    <w:rsid w:val="00B93B33"/>
    <w:rsid w:val="00B93CC1"/>
    <w:rsid w:val="00B93DB9"/>
    <w:rsid w:val="00B93DFB"/>
    <w:rsid w:val="00B93F3E"/>
    <w:rsid w:val="00B93F58"/>
    <w:rsid w:val="00B93F67"/>
    <w:rsid w:val="00B9403A"/>
    <w:rsid w:val="00B9410E"/>
    <w:rsid w:val="00B94155"/>
    <w:rsid w:val="00B941B2"/>
    <w:rsid w:val="00B941CB"/>
    <w:rsid w:val="00B942BC"/>
    <w:rsid w:val="00B9433D"/>
    <w:rsid w:val="00B94411"/>
    <w:rsid w:val="00B94554"/>
    <w:rsid w:val="00B946A3"/>
    <w:rsid w:val="00B94871"/>
    <w:rsid w:val="00B948A1"/>
    <w:rsid w:val="00B94A5D"/>
    <w:rsid w:val="00B94C37"/>
    <w:rsid w:val="00B94C56"/>
    <w:rsid w:val="00B94F1A"/>
    <w:rsid w:val="00B95814"/>
    <w:rsid w:val="00B95A9F"/>
    <w:rsid w:val="00B95ABC"/>
    <w:rsid w:val="00B95B0B"/>
    <w:rsid w:val="00B95C0D"/>
    <w:rsid w:val="00B95CF5"/>
    <w:rsid w:val="00B961E1"/>
    <w:rsid w:val="00B96483"/>
    <w:rsid w:val="00B964E4"/>
    <w:rsid w:val="00B96506"/>
    <w:rsid w:val="00B96552"/>
    <w:rsid w:val="00B965ED"/>
    <w:rsid w:val="00B966F7"/>
    <w:rsid w:val="00B967A7"/>
    <w:rsid w:val="00B967FA"/>
    <w:rsid w:val="00B9689C"/>
    <w:rsid w:val="00B968AC"/>
    <w:rsid w:val="00B96AFA"/>
    <w:rsid w:val="00B96C78"/>
    <w:rsid w:val="00B96C8B"/>
    <w:rsid w:val="00B96D15"/>
    <w:rsid w:val="00B96D4F"/>
    <w:rsid w:val="00B96D7A"/>
    <w:rsid w:val="00B96E1D"/>
    <w:rsid w:val="00B96E8C"/>
    <w:rsid w:val="00B96F58"/>
    <w:rsid w:val="00B96F9A"/>
    <w:rsid w:val="00B96FBF"/>
    <w:rsid w:val="00B97099"/>
    <w:rsid w:val="00B971FE"/>
    <w:rsid w:val="00B972D7"/>
    <w:rsid w:val="00B974A5"/>
    <w:rsid w:val="00B974E2"/>
    <w:rsid w:val="00B975A7"/>
    <w:rsid w:val="00B9760E"/>
    <w:rsid w:val="00B97686"/>
    <w:rsid w:val="00B97A92"/>
    <w:rsid w:val="00B97B92"/>
    <w:rsid w:val="00B97BEF"/>
    <w:rsid w:val="00B97D96"/>
    <w:rsid w:val="00B97E25"/>
    <w:rsid w:val="00B97E72"/>
    <w:rsid w:val="00B97F2B"/>
    <w:rsid w:val="00BA014B"/>
    <w:rsid w:val="00BA014E"/>
    <w:rsid w:val="00BA02CF"/>
    <w:rsid w:val="00BA042E"/>
    <w:rsid w:val="00BA04A7"/>
    <w:rsid w:val="00BA061A"/>
    <w:rsid w:val="00BA08C8"/>
    <w:rsid w:val="00BA0B6F"/>
    <w:rsid w:val="00BA0B8B"/>
    <w:rsid w:val="00BA1260"/>
    <w:rsid w:val="00BA1552"/>
    <w:rsid w:val="00BA165A"/>
    <w:rsid w:val="00BA1681"/>
    <w:rsid w:val="00BA16E0"/>
    <w:rsid w:val="00BA178E"/>
    <w:rsid w:val="00BA18A3"/>
    <w:rsid w:val="00BA19BC"/>
    <w:rsid w:val="00BA1ACB"/>
    <w:rsid w:val="00BA1C6B"/>
    <w:rsid w:val="00BA1C7B"/>
    <w:rsid w:val="00BA1C92"/>
    <w:rsid w:val="00BA1CBD"/>
    <w:rsid w:val="00BA21FB"/>
    <w:rsid w:val="00BA22EF"/>
    <w:rsid w:val="00BA2537"/>
    <w:rsid w:val="00BA2672"/>
    <w:rsid w:val="00BA2A8B"/>
    <w:rsid w:val="00BA2BAD"/>
    <w:rsid w:val="00BA2BEB"/>
    <w:rsid w:val="00BA2C4F"/>
    <w:rsid w:val="00BA2FF2"/>
    <w:rsid w:val="00BA3050"/>
    <w:rsid w:val="00BA31A5"/>
    <w:rsid w:val="00BA32F0"/>
    <w:rsid w:val="00BA3538"/>
    <w:rsid w:val="00BA3841"/>
    <w:rsid w:val="00BA3910"/>
    <w:rsid w:val="00BA393C"/>
    <w:rsid w:val="00BA3AB9"/>
    <w:rsid w:val="00BA3B50"/>
    <w:rsid w:val="00BA3D5B"/>
    <w:rsid w:val="00BA3DC0"/>
    <w:rsid w:val="00BA3DFC"/>
    <w:rsid w:val="00BA3FFC"/>
    <w:rsid w:val="00BA4381"/>
    <w:rsid w:val="00BA4431"/>
    <w:rsid w:val="00BA44DD"/>
    <w:rsid w:val="00BA4628"/>
    <w:rsid w:val="00BA4BC4"/>
    <w:rsid w:val="00BA4D2E"/>
    <w:rsid w:val="00BA4D7B"/>
    <w:rsid w:val="00BA4E41"/>
    <w:rsid w:val="00BA55C3"/>
    <w:rsid w:val="00BA5643"/>
    <w:rsid w:val="00BA5A1B"/>
    <w:rsid w:val="00BA5A8E"/>
    <w:rsid w:val="00BA5B26"/>
    <w:rsid w:val="00BA5BDD"/>
    <w:rsid w:val="00BA5C9D"/>
    <w:rsid w:val="00BA5E67"/>
    <w:rsid w:val="00BA603C"/>
    <w:rsid w:val="00BA6089"/>
    <w:rsid w:val="00BA61B3"/>
    <w:rsid w:val="00BA61BF"/>
    <w:rsid w:val="00BA637E"/>
    <w:rsid w:val="00BA641E"/>
    <w:rsid w:val="00BA642E"/>
    <w:rsid w:val="00BA645E"/>
    <w:rsid w:val="00BA6479"/>
    <w:rsid w:val="00BA64FB"/>
    <w:rsid w:val="00BA65F3"/>
    <w:rsid w:val="00BA67BD"/>
    <w:rsid w:val="00BA6940"/>
    <w:rsid w:val="00BA69E8"/>
    <w:rsid w:val="00BA6C73"/>
    <w:rsid w:val="00BA6C7E"/>
    <w:rsid w:val="00BA6E4A"/>
    <w:rsid w:val="00BA70D9"/>
    <w:rsid w:val="00BA71D8"/>
    <w:rsid w:val="00BA71E4"/>
    <w:rsid w:val="00BA74BC"/>
    <w:rsid w:val="00BA74FB"/>
    <w:rsid w:val="00BA75C9"/>
    <w:rsid w:val="00BA7786"/>
    <w:rsid w:val="00BA77F4"/>
    <w:rsid w:val="00BA7A48"/>
    <w:rsid w:val="00BA7C94"/>
    <w:rsid w:val="00BA7D13"/>
    <w:rsid w:val="00BA7EAA"/>
    <w:rsid w:val="00BA7FF4"/>
    <w:rsid w:val="00BB01D3"/>
    <w:rsid w:val="00BB0415"/>
    <w:rsid w:val="00BB048E"/>
    <w:rsid w:val="00BB04F6"/>
    <w:rsid w:val="00BB07CF"/>
    <w:rsid w:val="00BB08A9"/>
    <w:rsid w:val="00BB08CF"/>
    <w:rsid w:val="00BB0981"/>
    <w:rsid w:val="00BB09DF"/>
    <w:rsid w:val="00BB09E7"/>
    <w:rsid w:val="00BB09FF"/>
    <w:rsid w:val="00BB0EB0"/>
    <w:rsid w:val="00BB0FF4"/>
    <w:rsid w:val="00BB10F4"/>
    <w:rsid w:val="00BB1252"/>
    <w:rsid w:val="00BB12D4"/>
    <w:rsid w:val="00BB13FB"/>
    <w:rsid w:val="00BB166D"/>
    <w:rsid w:val="00BB1746"/>
    <w:rsid w:val="00BB1794"/>
    <w:rsid w:val="00BB1A8F"/>
    <w:rsid w:val="00BB1AB2"/>
    <w:rsid w:val="00BB1C33"/>
    <w:rsid w:val="00BB2101"/>
    <w:rsid w:val="00BB2238"/>
    <w:rsid w:val="00BB2240"/>
    <w:rsid w:val="00BB235B"/>
    <w:rsid w:val="00BB24D4"/>
    <w:rsid w:val="00BB255F"/>
    <w:rsid w:val="00BB25BB"/>
    <w:rsid w:val="00BB28B1"/>
    <w:rsid w:val="00BB2BEA"/>
    <w:rsid w:val="00BB2C53"/>
    <w:rsid w:val="00BB2C78"/>
    <w:rsid w:val="00BB2FB5"/>
    <w:rsid w:val="00BB305A"/>
    <w:rsid w:val="00BB321D"/>
    <w:rsid w:val="00BB32C0"/>
    <w:rsid w:val="00BB32D4"/>
    <w:rsid w:val="00BB3375"/>
    <w:rsid w:val="00BB33BA"/>
    <w:rsid w:val="00BB3409"/>
    <w:rsid w:val="00BB34E8"/>
    <w:rsid w:val="00BB351F"/>
    <w:rsid w:val="00BB35DA"/>
    <w:rsid w:val="00BB363C"/>
    <w:rsid w:val="00BB37F0"/>
    <w:rsid w:val="00BB38DC"/>
    <w:rsid w:val="00BB3983"/>
    <w:rsid w:val="00BB3AC3"/>
    <w:rsid w:val="00BB3BA4"/>
    <w:rsid w:val="00BB3EA7"/>
    <w:rsid w:val="00BB403D"/>
    <w:rsid w:val="00BB41B5"/>
    <w:rsid w:val="00BB4239"/>
    <w:rsid w:val="00BB425E"/>
    <w:rsid w:val="00BB429E"/>
    <w:rsid w:val="00BB42A0"/>
    <w:rsid w:val="00BB42C7"/>
    <w:rsid w:val="00BB42E7"/>
    <w:rsid w:val="00BB445F"/>
    <w:rsid w:val="00BB453A"/>
    <w:rsid w:val="00BB45DE"/>
    <w:rsid w:val="00BB4651"/>
    <w:rsid w:val="00BB469E"/>
    <w:rsid w:val="00BB47F7"/>
    <w:rsid w:val="00BB489C"/>
    <w:rsid w:val="00BB4934"/>
    <w:rsid w:val="00BB4948"/>
    <w:rsid w:val="00BB498C"/>
    <w:rsid w:val="00BB4A31"/>
    <w:rsid w:val="00BB4B64"/>
    <w:rsid w:val="00BB4C46"/>
    <w:rsid w:val="00BB4CF2"/>
    <w:rsid w:val="00BB52BC"/>
    <w:rsid w:val="00BB5422"/>
    <w:rsid w:val="00BB55C5"/>
    <w:rsid w:val="00BB56C8"/>
    <w:rsid w:val="00BB59F2"/>
    <w:rsid w:val="00BB5AE9"/>
    <w:rsid w:val="00BB5AF4"/>
    <w:rsid w:val="00BB5B9F"/>
    <w:rsid w:val="00BB5BE6"/>
    <w:rsid w:val="00BB5CE3"/>
    <w:rsid w:val="00BB5E9E"/>
    <w:rsid w:val="00BB5EB0"/>
    <w:rsid w:val="00BB5F2F"/>
    <w:rsid w:val="00BB5FFD"/>
    <w:rsid w:val="00BB6060"/>
    <w:rsid w:val="00BB6130"/>
    <w:rsid w:val="00BB6356"/>
    <w:rsid w:val="00BB6460"/>
    <w:rsid w:val="00BB65AF"/>
    <w:rsid w:val="00BB68D7"/>
    <w:rsid w:val="00BB6BCE"/>
    <w:rsid w:val="00BB6C76"/>
    <w:rsid w:val="00BB6ED8"/>
    <w:rsid w:val="00BB6FAB"/>
    <w:rsid w:val="00BB7098"/>
    <w:rsid w:val="00BB7291"/>
    <w:rsid w:val="00BB75CD"/>
    <w:rsid w:val="00BB7718"/>
    <w:rsid w:val="00BB7790"/>
    <w:rsid w:val="00BB79B1"/>
    <w:rsid w:val="00BB7B22"/>
    <w:rsid w:val="00BC04A2"/>
    <w:rsid w:val="00BC07AD"/>
    <w:rsid w:val="00BC07C9"/>
    <w:rsid w:val="00BC07EE"/>
    <w:rsid w:val="00BC0A59"/>
    <w:rsid w:val="00BC0B3F"/>
    <w:rsid w:val="00BC0C6C"/>
    <w:rsid w:val="00BC0D47"/>
    <w:rsid w:val="00BC0F03"/>
    <w:rsid w:val="00BC1065"/>
    <w:rsid w:val="00BC1091"/>
    <w:rsid w:val="00BC12E8"/>
    <w:rsid w:val="00BC13EB"/>
    <w:rsid w:val="00BC1505"/>
    <w:rsid w:val="00BC17A2"/>
    <w:rsid w:val="00BC17A5"/>
    <w:rsid w:val="00BC17EF"/>
    <w:rsid w:val="00BC1986"/>
    <w:rsid w:val="00BC1C13"/>
    <w:rsid w:val="00BC1E8E"/>
    <w:rsid w:val="00BC2354"/>
    <w:rsid w:val="00BC2497"/>
    <w:rsid w:val="00BC2749"/>
    <w:rsid w:val="00BC2BB5"/>
    <w:rsid w:val="00BC2D25"/>
    <w:rsid w:val="00BC3093"/>
    <w:rsid w:val="00BC326B"/>
    <w:rsid w:val="00BC3630"/>
    <w:rsid w:val="00BC38A0"/>
    <w:rsid w:val="00BC3AB5"/>
    <w:rsid w:val="00BC3ECA"/>
    <w:rsid w:val="00BC3F83"/>
    <w:rsid w:val="00BC418B"/>
    <w:rsid w:val="00BC447D"/>
    <w:rsid w:val="00BC45FB"/>
    <w:rsid w:val="00BC47BB"/>
    <w:rsid w:val="00BC47D4"/>
    <w:rsid w:val="00BC4B27"/>
    <w:rsid w:val="00BC4F57"/>
    <w:rsid w:val="00BC5557"/>
    <w:rsid w:val="00BC56D8"/>
    <w:rsid w:val="00BC57D6"/>
    <w:rsid w:val="00BC5808"/>
    <w:rsid w:val="00BC591A"/>
    <w:rsid w:val="00BC59F1"/>
    <w:rsid w:val="00BC5B32"/>
    <w:rsid w:val="00BC5EF5"/>
    <w:rsid w:val="00BC6158"/>
    <w:rsid w:val="00BC640C"/>
    <w:rsid w:val="00BC6606"/>
    <w:rsid w:val="00BC67BC"/>
    <w:rsid w:val="00BC6888"/>
    <w:rsid w:val="00BC6A1F"/>
    <w:rsid w:val="00BC6B50"/>
    <w:rsid w:val="00BC6EF6"/>
    <w:rsid w:val="00BC705C"/>
    <w:rsid w:val="00BC7345"/>
    <w:rsid w:val="00BC7388"/>
    <w:rsid w:val="00BC738E"/>
    <w:rsid w:val="00BC740E"/>
    <w:rsid w:val="00BC74A8"/>
    <w:rsid w:val="00BC7522"/>
    <w:rsid w:val="00BC7582"/>
    <w:rsid w:val="00BC7651"/>
    <w:rsid w:val="00BC775A"/>
    <w:rsid w:val="00BC78A4"/>
    <w:rsid w:val="00BC7938"/>
    <w:rsid w:val="00BC7969"/>
    <w:rsid w:val="00BC7A42"/>
    <w:rsid w:val="00BC7FE1"/>
    <w:rsid w:val="00BC7FE6"/>
    <w:rsid w:val="00BD0280"/>
    <w:rsid w:val="00BD030D"/>
    <w:rsid w:val="00BD05BF"/>
    <w:rsid w:val="00BD0876"/>
    <w:rsid w:val="00BD0943"/>
    <w:rsid w:val="00BD096D"/>
    <w:rsid w:val="00BD09A0"/>
    <w:rsid w:val="00BD0B67"/>
    <w:rsid w:val="00BD0CA3"/>
    <w:rsid w:val="00BD0D6F"/>
    <w:rsid w:val="00BD0F43"/>
    <w:rsid w:val="00BD0FCE"/>
    <w:rsid w:val="00BD0FD4"/>
    <w:rsid w:val="00BD0FF3"/>
    <w:rsid w:val="00BD1071"/>
    <w:rsid w:val="00BD1080"/>
    <w:rsid w:val="00BD10F8"/>
    <w:rsid w:val="00BD1164"/>
    <w:rsid w:val="00BD1357"/>
    <w:rsid w:val="00BD1387"/>
    <w:rsid w:val="00BD13B4"/>
    <w:rsid w:val="00BD1527"/>
    <w:rsid w:val="00BD1533"/>
    <w:rsid w:val="00BD171A"/>
    <w:rsid w:val="00BD186A"/>
    <w:rsid w:val="00BD19B2"/>
    <w:rsid w:val="00BD1A30"/>
    <w:rsid w:val="00BD1A37"/>
    <w:rsid w:val="00BD1ADB"/>
    <w:rsid w:val="00BD1B9E"/>
    <w:rsid w:val="00BD1FCF"/>
    <w:rsid w:val="00BD2002"/>
    <w:rsid w:val="00BD20B6"/>
    <w:rsid w:val="00BD212E"/>
    <w:rsid w:val="00BD21CB"/>
    <w:rsid w:val="00BD2203"/>
    <w:rsid w:val="00BD220C"/>
    <w:rsid w:val="00BD2332"/>
    <w:rsid w:val="00BD242D"/>
    <w:rsid w:val="00BD24B8"/>
    <w:rsid w:val="00BD2614"/>
    <w:rsid w:val="00BD293B"/>
    <w:rsid w:val="00BD2BCF"/>
    <w:rsid w:val="00BD2FFA"/>
    <w:rsid w:val="00BD3004"/>
    <w:rsid w:val="00BD31CA"/>
    <w:rsid w:val="00BD3345"/>
    <w:rsid w:val="00BD33EA"/>
    <w:rsid w:val="00BD33F8"/>
    <w:rsid w:val="00BD3406"/>
    <w:rsid w:val="00BD3479"/>
    <w:rsid w:val="00BD34C4"/>
    <w:rsid w:val="00BD3662"/>
    <w:rsid w:val="00BD39C4"/>
    <w:rsid w:val="00BD3A5C"/>
    <w:rsid w:val="00BD40D8"/>
    <w:rsid w:val="00BD41AD"/>
    <w:rsid w:val="00BD4229"/>
    <w:rsid w:val="00BD4231"/>
    <w:rsid w:val="00BD424E"/>
    <w:rsid w:val="00BD4279"/>
    <w:rsid w:val="00BD4584"/>
    <w:rsid w:val="00BD458E"/>
    <w:rsid w:val="00BD48D3"/>
    <w:rsid w:val="00BD491B"/>
    <w:rsid w:val="00BD4EFB"/>
    <w:rsid w:val="00BD5298"/>
    <w:rsid w:val="00BD5575"/>
    <w:rsid w:val="00BD5C07"/>
    <w:rsid w:val="00BD5D21"/>
    <w:rsid w:val="00BD5D9D"/>
    <w:rsid w:val="00BD5DC2"/>
    <w:rsid w:val="00BD5ECD"/>
    <w:rsid w:val="00BD5F2B"/>
    <w:rsid w:val="00BD5F92"/>
    <w:rsid w:val="00BD60EC"/>
    <w:rsid w:val="00BD65CA"/>
    <w:rsid w:val="00BD68B5"/>
    <w:rsid w:val="00BD6994"/>
    <w:rsid w:val="00BD6A06"/>
    <w:rsid w:val="00BD6A29"/>
    <w:rsid w:val="00BD6C0F"/>
    <w:rsid w:val="00BD6D1E"/>
    <w:rsid w:val="00BD6E04"/>
    <w:rsid w:val="00BD6E39"/>
    <w:rsid w:val="00BD6F5A"/>
    <w:rsid w:val="00BD700B"/>
    <w:rsid w:val="00BD705C"/>
    <w:rsid w:val="00BD7249"/>
    <w:rsid w:val="00BD72E9"/>
    <w:rsid w:val="00BD7326"/>
    <w:rsid w:val="00BD7379"/>
    <w:rsid w:val="00BD7551"/>
    <w:rsid w:val="00BD7607"/>
    <w:rsid w:val="00BD784A"/>
    <w:rsid w:val="00BD7AD0"/>
    <w:rsid w:val="00BD7B6D"/>
    <w:rsid w:val="00BD7C54"/>
    <w:rsid w:val="00BD7C78"/>
    <w:rsid w:val="00BD7CD7"/>
    <w:rsid w:val="00BD7DD1"/>
    <w:rsid w:val="00BE0091"/>
    <w:rsid w:val="00BE01F2"/>
    <w:rsid w:val="00BE0278"/>
    <w:rsid w:val="00BE02C1"/>
    <w:rsid w:val="00BE0361"/>
    <w:rsid w:val="00BE0523"/>
    <w:rsid w:val="00BE064C"/>
    <w:rsid w:val="00BE0732"/>
    <w:rsid w:val="00BE0AC1"/>
    <w:rsid w:val="00BE0CD5"/>
    <w:rsid w:val="00BE0D43"/>
    <w:rsid w:val="00BE0EE2"/>
    <w:rsid w:val="00BE0F75"/>
    <w:rsid w:val="00BE10FF"/>
    <w:rsid w:val="00BE12AE"/>
    <w:rsid w:val="00BE130E"/>
    <w:rsid w:val="00BE13D0"/>
    <w:rsid w:val="00BE142B"/>
    <w:rsid w:val="00BE15B7"/>
    <w:rsid w:val="00BE16FD"/>
    <w:rsid w:val="00BE1CB3"/>
    <w:rsid w:val="00BE1D3D"/>
    <w:rsid w:val="00BE1DDC"/>
    <w:rsid w:val="00BE1FD1"/>
    <w:rsid w:val="00BE2199"/>
    <w:rsid w:val="00BE2210"/>
    <w:rsid w:val="00BE23E2"/>
    <w:rsid w:val="00BE24DF"/>
    <w:rsid w:val="00BE255B"/>
    <w:rsid w:val="00BE25D0"/>
    <w:rsid w:val="00BE28BA"/>
    <w:rsid w:val="00BE2AEE"/>
    <w:rsid w:val="00BE2C0D"/>
    <w:rsid w:val="00BE2CBA"/>
    <w:rsid w:val="00BE2E2C"/>
    <w:rsid w:val="00BE2EA6"/>
    <w:rsid w:val="00BE3191"/>
    <w:rsid w:val="00BE31A7"/>
    <w:rsid w:val="00BE35E0"/>
    <w:rsid w:val="00BE372A"/>
    <w:rsid w:val="00BE38AC"/>
    <w:rsid w:val="00BE3932"/>
    <w:rsid w:val="00BE3D93"/>
    <w:rsid w:val="00BE3EFD"/>
    <w:rsid w:val="00BE4136"/>
    <w:rsid w:val="00BE4254"/>
    <w:rsid w:val="00BE44AA"/>
    <w:rsid w:val="00BE44E0"/>
    <w:rsid w:val="00BE4BCF"/>
    <w:rsid w:val="00BE4D7B"/>
    <w:rsid w:val="00BE4E62"/>
    <w:rsid w:val="00BE4E8B"/>
    <w:rsid w:val="00BE5094"/>
    <w:rsid w:val="00BE51B1"/>
    <w:rsid w:val="00BE52A1"/>
    <w:rsid w:val="00BE52EA"/>
    <w:rsid w:val="00BE52FE"/>
    <w:rsid w:val="00BE544F"/>
    <w:rsid w:val="00BE55EF"/>
    <w:rsid w:val="00BE560D"/>
    <w:rsid w:val="00BE578B"/>
    <w:rsid w:val="00BE5AD6"/>
    <w:rsid w:val="00BE5D3A"/>
    <w:rsid w:val="00BE5E9A"/>
    <w:rsid w:val="00BE5EE4"/>
    <w:rsid w:val="00BE6049"/>
    <w:rsid w:val="00BE6199"/>
    <w:rsid w:val="00BE61F7"/>
    <w:rsid w:val="00BE65D3"/>
    <w:rsid w:val="00BE6618"/>
    <w:rsid w:val="00BE6902"/>
    <w:rsid w:val="00BE69FC"/>
    <w:rsid w:val="00BE6AA6"/>
    <w:rsid w:val="00BE6B66"/>
    <w:rsid w:val="00BE6C4F"/>
    <w:rsid w:val="00BE6DD2"/>
    <w:rsid w:val="00BE6E0A"/>
    <w:rsid w:val="00BE6F6D"/>
    <w:rsid w:val="00BE7098"/>
    <w:rsid w:val="00BE71A3"/>
    <w:rsid w:val="00BE732D"/>
    <w:rsid w:val="00BE73C9"/>
    <w:rsid w:val="00BE73DB"/>
    <w:rsid w:val="00BE7439"/>
    <w:rsid w:val="00BE75EF"/>
    <w:rsid w:val="00BE7666"/>
    <w:rsid w:val="00BE7857"/>
    <w:rsid w:val="00BE78EC"/>
    <w:rsid w:val="00BE7A59"/>
    <w:rsid w:val="00BE7AF2"/>
    <w:rsid w:val="00BE7B72"/>
    <w:rsid w:val="00BE7CE5"/>
    <w:rsid w:val="00BF00D6"/>
    <w:rsid w:val="00BF00F5"/>
    <w:rsid w:val="00BF02B5"/>
    <w:rsid w:val="00BF038E"/>
    <w:rsid w:val="00BF0554"/>
    <w:rsid w:val="00BF07BF"/>
    <w:rsid w:val="00BF0A12"/>
    <w:rsid w:val="00BF0AEF"/>
    <w:rsid w:val="00BF0BE1"/>
    <w:rsid w:val="00BF0DFD"/>
    <w:rsid w:val="00BF0E47"/>
    <w:rsid w:val="00BF0EAC"/>
    <w:rsid w:val="00BF0EC1"/>
    <w:rsid w:val="00BF1037"/>
    <w:rsid w:val="00BF1267"/>
    <w:rsid w:val="00BF13F2"/>
    <w:rsid w:val="00BF1420"/>
    <w:rsid w:val="00BF149B"/>
    <w:rsid w:val="00BF14EE"/>
    <w:rsid w:val="00BF1984"/>
    <w:rsid w:val="00BF1C60"/>
    <w:rsid w:val="00BF1CD4"/>
    <w:rsid w:val="00BF1E4B"/>
    <w:rsid w:val="00BF1F56"/>
    <w:rsid w:val="00BF2003"/>
    <w:rsid w:val="00BF2018"/>
    <w:rsid w:val="00BF2089"/>
    <w:rsid w:val="00BF2151"/>
    <w:rsid w:val="00BF21ED"/>
    <w:rsid w:val="00BF2403"/>
    <w:rsid w:val="00BF2518"/>
    <w:rsid w:val="00BF26A3"/>
    <w:rsid w:val="00BF2739"/>
    <w:rsid w:val="00BF297E"/>
    <w:rsid w:val="00BF29CD"/>
    <w:rsid w:val="00BF2BF2"/>
    <w:rsid w:val="00BF2BF5"/>
    <w:rsid w:val="00BF2CDB"/>
    <w:rsid w:val="00BF2D5B"/>
    <w:rsid w:val="00BF2E3D"/>
    <w:rsid w:val="00BF2E49"/>
    <w:rsid w:val="00BF2E62"/>
    <w:rsid w:val="00BF2E73"/>
    <w:rsid w:val="00BF2ECF"/>
    <w:rsid w:val="00BF2EE8"/>
    <w:rsid w:val="00BF3019"/>
    <w:rsid w:val="00BF315F"/>
    <w:rsid w:val="00BF3318"/>
    <w:rsid w:val="00BF3461"/>
    <w:rsid w:val="00BF356F"/>
    <w:rsid w:val="00BF371C"/>
    <w:rsid w:val="00BF3867"/>
    <w:rsid w:val="00BF3AD8"/>
    <w:rsid w:val="00BF3B34"/>
    <w:rsid w:val="00BF3C3B"/>
    <w:rsid w:val="00BF3C60"/>
    <w:rsid w:val="00BF3D8E"/>
    <w:rsid w:val="00BF3ED1"/>
    <w:rsid w:val="00BF4159"/>
    <w:rsid w:val="00BF41C7"/>
    <w:rsid w:val="00BF4202"/>
    <w:rsid w:val="00BF4579"/>
    <w:rsid w:val="00BF46B2"/>
    <w:rsid w:val="00BF47F6"/>
    <w:rsid w:val="00BF489E"/>
    <w:rsid w:val="00BF4A14"/>
    <w:rsid w:val="00BF4DA6"/>
    <w:rsid w:val="00BF4E8E"/>
    <w:rsid w:val="00BF512B"/>
    <w:rsid w:val="00BF5193"/>
    <w:rsid w:val="00BF558A"/>
    <w:rsid w:val="00BF5BBB"/>
    <w:rsid w:val="00BF5BD8"/>
    <w:rsid w:val="00BF5CC7"/>
    <w:rsid w:val="00BF621D"/>
    <w:rsid w:val="00BF6247"/>
    <w:rsid w:val="00BF659C"/>
    <w:rsid w:val="00BF6B2B"/>
    <w:rsid w:val="00BF6E74"/>
    <w:rsid w:val="00BF6ED3"/>
    <w:rsid w:val="00BF6F45"/>
    <w:rsid w:val="00BF6FFF"/>
    <w:rsid w:val="00BF70DC"/>
    <w:rsid w:val="00BF71AE"/>
    <w:rsid w:val="00BF7279"/>
    <w:rsid w:val="00BF72F0"/>
    <w:rsid w:val="00BF763F"/>
    <w:rsid w:val="00BF7647"/>
    <w:rsid w:val="00BF774A"/>
    <w:rsid w:val="00BF7879"/>
    <w:rsid w:val="00BF7AC8"/>
    <w:rsid w:val="00BF7C40"/>
    <w:rsid w:val="00BF7E4B"/>
    <w:rsid w:val="00BF7E7D"/>
    <w:rsid w:val="00BF7EAF"/>
    <w:rsid w:val="00C000AC"/>
    <w:rsid w:val="00C000D7"/>
    <w:rsid w:val="00C0015A"/>
    <w:rsid w:val="00C00216"/>
    <w:rsid w:val="00C004CE"/>
    <w:rsid w:val="00C00519"/>
    <w:rsid w:val="00C005B9"/>
    <w:rsid w:val="00C006BD"/>
    <w:rsid w:val="00C00978"/>
    <w:rsid w:val="00C009F0"/>
    <w:rsid w:val="00C00A59"/>
    <w:rsid w:val="00C00C32"/>
    <w:rsid w:val="00C0101B"/>
    <w:rsid w:val="00C01159"/>
    <w:rsid w:val="00C01289"/>
    <w:rsid w:val="00C01495"/>
    <w:rsid w:val="00C01606"/>
    <w:rsid w:val="00C01724"/>
    <w:rsid w:val="00C01890"/>
    <w:rsid w:val="00C01928"/>
    <w:rsid w:val="00C01A0B"/>
    <w:rsid w:val="00C01A3F"/>
    <w:rsid w:val="00C01F39"/>
    <w:rsid w:val="00C01F49"/>
    <w:rsid w:val="00C01F69"/>
    <w:rsid w:val="00C02054"/>
    <w:rsid w:val="00C022CC"/>
    <w:rsid w:val="00C02314"/>
    <w:rsid w:val="00C02338"/>
    <w:rsid w:val="00C02369"/>
    <w:rsid w:val="00C0257C"/>
    <w:rsid w:val="00C025C1"/>
    <w:rsid w:val="00C02762"/>
    <w:rsid w:val="00C02BC7"/>
    <w:rsid w:val="00C02BE1"/>
    <w:rsid w:val="00C02F10"/>
    <w:rsid w:val="00C02F8D"/>
    <w:rsid w:val="00C030D8"/>
    <w:rsid w:val="00C030FD"/>
    <w:rsid w:val="00C0339B"/>
    <w:rsid w:val="00C0348F"/>
    <w:rsid w:val="00C0378B"/>
    <w:rsid w:val="00C038E3"/>
    <w:rsid w:val="00C03ABC"/>
    <w:rsid w:val="00C03C49"/>
    <w:rsid w:val="00C03F15"/>
    <w:rsid w:val="00C03F55"/>
    <w:rsid w:val="00C04074"/>
    <w:rsid w:val="00C0420A"/>
    <w:rsid w:val="00C04259"/>
    <w:rsid w:val="00C042B5"/>
    <w:rsid w:val="00C044D0"/>
    <w:rsid w:val="00C04835"/>
    <w:rsid w:val="00C0486D"/>
    <w:rsid w:val="00C0492E"/>
    <w:rsid w:val="00C04992"/>
    <w:rsid w:val="00C04A6C"/>
    <w:rsid w:val="00C04ADB"/>
    <w:rsid w:val="00C04B0F"/>
    <w:rsid w:val="00C04B1B"/>
    <w:rsid w:val="00C04D65"/>
    <w:rsid w:val="00C04E43"/>
    <w:rsid w:val="00C04E94"/>
    <w:rsid w:val="00C04F79"/>
    <w:rsid w:val="00C051EA"/>
    <w:rsid w:val="00C05221"/>
    <w:rsid w:val="00C054A4"/>
    <w:rsid w:val="00C055CA"/>
    <w:rsid w:val="00C0564E"/>
    <w:rsid w:val="00C056C0"/>
    <w:rsid w:val="00C057D7"/>
    <w:rsid w:val="00C0593C"/>
    <w:rsid w:val="00C0598A"/>
    <w:rsid w:val="00C05D84"/>
    <w:rsid w:val="00C05E35"/>
    <w:rsid w:val="00C05E64"/>
    <w:rsid w:val="00C0625F"/>
    <w:rsid w:val="00C0629E"/>
    <w:rsid w:val="00C065CB"/>
    <w:rsid w:val="00C065FA"/>
    <w:rsid w:val="00C068FC"/>
    <w:rsid w:val="00C06A11"/>
    <w:rsid w:val="00C0706C"/>
    <w:rsid w:val="00C07153"/>
    <w:rsid w:val="00C071D4"/>
    <w:rsid w:val="00C07288"/>
    <w:rsid w:val="00C072DA"/>
    <w:rsid w:val="00C07394"/>
    <w:rsid w:val="00C07752"/>
    <w:rsid w:val="00C078E5"/>
    <w:rsid w:val="00C07A7F"/>
    <w:rsid w:val="00C07B1D"/>
    <w:rsid w:val="00C07D4F"/>
    <w:rsid w:val="00C07D8A"/>
    <w:rsid w:val="00C07FE5"/>
    <w:rsid w:val="00C10075"/>
    <w:rsid w:val="00C100F4"/>
    <w:rsid w:val="00C100F8"/>
    <w:rsid w:val="00C10367"/>
    <w:rsid w:val="00C103B2"/>
    <w:rsid w:val="00C103DC"/>
    <w:rsid w:val="00C10408"/>
    <w:rsid w:val="00C10421"/>
    <w:rsid w:val="00C10513"/>
    <w:rsid w:val="00C105A1"/>
    <w:rsid w:val="00C1064F"/>
    <w:rsid w:val="00C10714"/>
    <w:rsid w:val="00C108C5"/>
    <w:rsid w:val="00C10A4F"/>
    <w:rsid w:val="00C10ABD"/>
    <w:rsid w:val="00C10B28"/>
    <w:rsid w:val="00C10B2B"/>
    <w:rsid w:val="00C10C69"/>
    <w:rsid w:val="00C10DF3"/>
    <w:rsid w:val="00C112CE"/>
    <w:rsid w:val="00C11430"/>
    <w:rsid w:val="00C1162B"/>
    <w:rsid w:val="00C1170E"/>
    <w:rsid w:val="00C11733"/>
    <w:rsid w:val="00C1173C"/>
    <w:rsid w:val="00C1180D"/>
    <w:rsid w:val="00C1188B"/>
    <w:rsid w:val="00C118A7"/>
    <w:rsid w:val="00C11BF6"/>
    <w:rsid w:val="00C11D56"/>
    <w:rsid w:val="00C1200E"/>
    <w:rsid w:val="00C12122"/>
    <w:rsid w:val="00C12128"/>
    <w:rsid w:val="00C12263"/>
    <w:rsid w:val="00C122CC"/>
    <w:rsid w:val="00C1230A"/>
    <w:rsid w:val="00C125AD"/>
    <w:rsid w:val="00C127B1"/>
    <w:rsid w:val="00C1290D"/>
    <w:rsid w:val="00C1294C"/>
    <w:rsid w:val="00C12D53"/>
    <w:rsid w:val="00C12FA5"/>
    <w:rsid w:val="00C1324F"/>
    <w:rsid w:val="00C132A8"/>
    <w:rsid w:val="00C1343B"/>
    <w:rsid w:val="00C13644"/>
    <w:rsid w:val="00C136D5"/>
    <w:rsid w:val="00C13728"/>
    <w:rsid w:val="00C138E5"/>
    <w:rsid w:val="00C1391D"/>
    <w:rsid w:val="00C13B12"/>
    <w:rsid w:val="00C13CA1"/>
    <w:rsid w:val="00C13CA3"/>
    <w:rsid w:val="00C13D5A"/>
    <w:rsid w:val="00C13DB1"/>
    <w:rsid w:val="00C13E0D"/>
    <w:rsid w:val="00C13E36"/>
    <w:rsid w:val="00C1401B"/>
    <w:rsid w:val="00C1426D"/>
    <w:rsid w:val="00C144E8"/>
    <w:rsid w:val="00C145B5"/>
    <w:rsid w:val="00C145FF"/>
    <w:rsid w:val="00C14656"/>
    <w:rsid w:val="00C14C69"/>
    <w:rsid w:val="00C14C89"/>
    <w:rsid w:val="00C14D77"/>
    <w:rsid w:val="00C14E4B"/>
    <w:rsid w:val="00C15038"/>
    <w:rsid w:val="00C150CB"/>
    <w:rsid w:val="00C1525B"/>
    <w:rsid w:val="00C15270"/>
    <w:rsid w:val="00C15321"/>
    <w:rsid w:val="00C15523"/>
    <w:rsid w:val="00C15732"/>
    <w:rsid w:val="00C1579C"/>
    <w:rsid w:val="00C15915"/>
    <w:rsid w:val="00C1597D"/>
    <w:rsid w:val="00C15AD3"/>
    <w:rsid w:val="00C15C7E"/>
    <w:rsid w:val="00C15E01"/>
    <w:rsid w:val="00C15E10"/>
    <w:rsid w:val="00C15E1F"/>
    <w:rsid w:val="00C15F03"/>
    <w:rsid w:val="00C15F6D"/>
    <w:rsid w:val="00C16060"/>
    <w:rsid w:val="00C16066"/>
    <w:rsid w:val="00C1625D"/>
    <w:rsid w:val="00C1675B"/>
    <w:rsid w:val="00C168B2"/>
    <w:rsid w:val="00C16983"/>
    <w:rsid w:val="00C16C14"/>
    <w:rsid w:val="00C16ECE"/>
    <w:rsid w:val="00C16EE2"/>
    <w:rsid w:val="00C171C5"/>
    <w:rsid w:val="00C1727C"/>
    <w:rsid w:val="00C1766D"/>
    <w:rsid w:val="00C176C9"/>
    <w:rsid w:val="00C17ABE"/>
    <w:rsid w:val="00C17B53"/>
    <w:rsid w:val="00C17DF5"/>
    <w:rsid w:val="00C200E5"/>
    <w:rsid w:val="00C20153"/>
    <w:rsid w:val="00C20516"/>
    <w:rsid w:val="00C206A3"/>
    <w:rsid w:val="00C206F1"/>
    <w:rsid w:val="00C2071B"/>
    <w:rsid w:val="00C20D45"/>
    <w:rsid w:val="00C20D8E"/>
    <w:rsid w:val="00C20DC3"/>
    <w:rsid w:val="00C20DDE"/>
    <w:rsid w:val="00C20EC0"/>
    <w:rsid w:val="00C20EC9"/>
    <w:rsid w:val="00C20F17"/>
    <w:rsid w:val="00C21331"/>
    <w:rsid w:val="00C213A6"/>
    <w:rsid w:val="00C215A8"/>
    <w:rsid w:val="00C215C8"/>
    <w:rsid w:val="00C216E0"/>
    <w:rsid w:val="00C2174F"/>
    <w:rsid w:val="00C21873"/>
    <w:rsid w:val="00C218C7"/>
    <w:rsid w:val="00C2197E"/>
    <w:rsid w:val="00C21AFE"/>
    <w:rsid w:val="00C21B85"/>
    <w:rsid w:val="00C21BB4"/>
    <w:rsid w:val="00C21C02"/>
    <w:rsid w:val="00C21C48"/>
    <w:rsid w:val="00C21EE9"/>
    <w:rsid w:val="00C220D9"/>
    <w:rsid w:val="00C22196"/>
    <w:rsid w:val="00C22592"/>
    <w:rsid w:val="00C22596"/>
    <w:rsid w:val="00C22646"/>
    <w:rsid w:val="00C2275A"/>
    <w:rsid w:val="00C22883"/>
    <w:rsid w:val="00C22963"/>
    <w:rsid w:val="00C22977"/>
    <w:rsid w:val="00C229CA"/>
    <w:rsid w:val="00C22F6C"/>
    <w:rsid w:val="00C22FDC"/>
    <w:rsid w:val="00C230D8"/>
    <w:rsid w:val="00C23150"/>
    <w:rsid w:val="00C2325C"/>
    <w:rsid w:val="00C233E7"/>
    <w:rsid w:val="00C2341A"/>
    <w:rsid w:val="00C234B6"/>
    <w:rsid w:val="00C235BE"/>
    <w:rsid w:val="00C235E0"/>
    <w:rsid w:val="00C2388F"/>
    <w:rsid w:val="00C23B39"/>
    <w:rsid w:val="00C23B8D"/>
    <w:rsid w:val="00C23D2D"/>
    <w:rsid w:val="00C2407C"/>
    <w:rsid w:val="00C241FB"/>
    <w:rsid w:val="00C24344"/>
    <w:rsid w:val="00C2436E"/>
    <w:rsid w:val="00C24427"/>
    <w:rsid w:val="00C24627"/>
    <w:rsid w:val="00C248B6"/>
    <w:rsid w:val="00C24D05"/>
    <w:rsid w:val="00C24D80"/>
    <w:rsid w:val="00C24D82"/>
    <w:rsid w:val="00C24E39"/>
    <w:rsid w:val="00C250EF"/>
    <w:rsid w:val="00C2528E"/>
    <w:rsid w:val="00C25327"/>
    <w:rsid w:val="00C2537A"/>
    <w:rsid w:val="00C2587D"/>
    <w:rsid w:val="00C2587F"/>
    <w:rsid w:val="00C259BB"/>
    <w:rsid w:val="00C25F46"/>
    <w:rsid w:val="00C262F6"/>
    <w:rsid w:val="00C26381"/>
    <w:rsid w:val="00C26383"/>
    <w:rsid w:val="00C263B8"/>
    <w:rsid w:val="00C26565"/>
    <w:rsid w:val="00C26637"/>
    <w:rsid w:val="00C26673"/>
    <w:rsid w:val="00C267D7"/>
    <w:rsid w:val="00C268C7"/>
    <w:rsid w:val="00C26C04"/>
    <w:rsid w:val="00C26D5E"/>
    <w:rsid w:val="00C26DBF"/>
    <w:rsid w:val="00C26F84"/>
    <w:rsid w:val="00C270E1"/>
    <w:rsid w:val="00C270F1"/>
    <w:rsid w:val="00C2734E"/>
    <w:rsid w:val="00C273EF"/>
    <w:rsid w:val="00C27783"/>
    <w:rsid w:val="00C2782D"/>
    <w:rsid w:val="00C2783B"/>
    <w:rsid w:val="00C27844"/>
    <w:rsid w:val="00C27880"/>
    <w:rsid w:val="00C2788C"/>
    <w:rsid w:val="00C279CD"/>
    <w:rsid w:val="00C27B90"/>
    <w:rsid w:val="00C27C4A"/>
    <w:rsid w:val="00C27CE8"/>
    <w:rsid w:val="00C27E61"/>
    <w:rsid w:val="00C27EEA"/>
    <w:rsid w:val="00C30048"/>
    <w:rsid w:val="00C30050"/>
    <w:rsid w:val="00C30157"/>
    <w:rsid w:val="00C3029D"/>
    <w:rsid w:val="00C302EE"/>
    <w:rsid w:val="00C30307"/>
    <w:rsid w:val="00C30394"/>
    <w:rsid w:val="00C303AA"/>
    <w:rsid w:val="00C30818"/>
    <w:rsid w:val="00C30925"/>
    <w:rsid w:val="00C30A6A"/>
    <w:rsid w:val="00C30AD1"/>
    <w:rsid w:val="00C30BBF"/>
    <w:rsid w:val="00C30C03"/>
    <w:rsid w:val="00C30C3C"/>
    <w:rsid w:val="00C30D84"/>
    <w:rsid w:val="00C30DEC"/>
    <w:rsid w:val="00C30E57"/>
    <w:rsid w:val="00C313ED"/>
    <w:rsid w:val="00C314BC"/>
    <w:rsid w:val="00C31622"/>
    <w:rsid w:val="00C31682"/>
    <w:rsid w:val="00C316AA"/>
    <w:rsid w:val="00C316F9"/>
    <w:rsid w:val="00C318C6"/>
    <w:rsid w:val="00C318EA"/>
    <w:rsid w:val="00C31B0A"/>
    <w:rsid w:val="00C31EF1"/>
    <w:rsid w:val="00C31FE2"/>
    <w:rsid w:val="00C32110"/>
    <w:rsid w:val="00C321EB"/>
    <w:rsid w:val="00C32230"/>
    <w:rsid w:val="00C322E3"/>
    <w:rsid w:val="00C32564"/>
    <w:rsid w:val="00C325C4"/>
    <w:rsid w:val="00C32609"/>
    <w:rsid w:val="00C3270D"/>
    <w:rsid w:val="00C32879"/>
    <w:rsid w:val="00C32D85"/>
    <w:rsid w:val="00C32DA7"/>
    <w:rsid w:val="00C32EC6"/>
    <w:rsid w:val="00C32EE7"/>
    <w:rsid w:val="00C330C8"/>
    <w:rsid w:val="00C3324E"/>
    <w:rsid w:val="00C3329C"/>
    <w:rsid w:val="00C332FD"/>
    <w:rsid w:val="00C3348B"/>
    <w:rsid w:val="00C33C5A"/>
    <w:rsid w:val="00C33C64"/>
    <w:rsid w:val="00C33D9B"/>
    <w:rsid w:val="00C33DB4"/>
    <w:rsid w:val="00C33E21"/>
    <w:rsid w:val="00C33F03"/>
    <w:rsid w:val="00C33F83"/>
    <w:rsid w:val="00C3403A"/>
    <w:rsid w:val="00C341FA"/>
    <w:rsid w:val="00C3427A"/>
    <w:rsid w:val="00C347B0"/>
    <w:rsid w:val="00C34870"/>
    <w:rsid w:val="00C348B0"/>
    <w:rsid w:val="00C34996"/>
    <w:rsid w:val="00C34B77"/>
    <w:rsid w:val="00C34DF2"/>
    <w:rsid w:val="00C34E25"/>
    <w:rsid w:val="00C34F25"/>
    <w:rsid w:val="00C35082"/>
    <w:rsid w:val="00C350F9"/>
    <w:rsid w:val="00C35189"/>
    <w:rsid w:val="00C35198"/>
    <w:rsid w:val="00C3519A"/>
    <w:rsid w:val="00C35323"/>
    <w:rsid w:val="00C35551"/>
    <w:rsid w:val="00C35689"/>
    <w:rsid w:val="00C35D05"/>
    <w:rsid w:val="00C35EFB"/>
    <w:rsid w:val="00C35F8F"/>
    <w:rsid w:val="00C35FE7"/>
    <w:rsid w:val="00C3643A"/>
    <w:rsid w:val="00C36596"/>
    <w:rsid w:val="00C3688D"/>
    <w:rsid w:val="00C369F2"/>
    <w:rsid w:val="00C36AF4"/>
    <w:rsid w:val="00C36CBA"/>
    <w:rsid w:val="00C36DC9"/>
    <w:rsid w:val="00C37042"/>
    <w:rsid w:val="00C37048"/>
    <w:rsid w:val="00C370C3"/>
    <w:rsid w:val="00C370E3"/>
    <w:rsid w:val="00C37220"/>
    <w:rsid w:val="00C37261"/>
    <w:rsid w:val="00C379BA"/>
    <w:rsid w:val="00C37A76"/>
    <w:rsid w:val="00C37A7E"/>
    <w:rsid w:val="00C37B42"/>
    <w:rsid w:val="00C37BE6"/>
    <w:rsid w:val="00C37FC1"/>
    <w:rsid w:val="00C40068"/>
    <w:rsid w:val="00C40115"/>
    <w:rsid w:val="00C401C4"/>
    <w:rsid w:val="00C401FA"/>
    <w:rsid w:val="00C40287"/>
    <w:rsid w:val="00C4029C"/>
    <w:rsid w:val="00C404DB"/>
    <w:rsid w:val="00C40691"/>
    <w:rsid w:val="00C406D7"/>
    <w:rsid w:val="00C4074D"/>
    <w:rsid w:val="00C408E9"/>
    <w:rsid w:val="00C4091B"/>
    <w:rsid w:val="00C409BD"/>
    <w:rsid w:val="00C40C30"/>
    <w:rsid w:val="00C40CD6"/>
    <w:rsid w:val="00C40DC1"/>
    <w:rsid w:val="00C40E06"/>
    <w:rsid w:val="00C41043"/>
    <w:rsid w:val="00C41298"/>
    <w:rsid w:val="00C412E5"/>
    <w:rsid w:val="00C413B0"/>
    <w:rsid w:val="00C41447"/>
    <w:rsid w:val="00C4145E"/>
    <w:rsid w:val="00C41537"/>
    <w:rsid w:val="00C415A0"/>
    <w:rsid w:val="00C41616"/>
    <w:rsid w:val="00C4166B"/>
    <w:rsid w:val="00C417B7"/>
    <w:rsid w:val="00C419E2"/>
    <w:rsid w:val="00C41A1B"/>
    <w:rsid w:val="00C41A8A"/>
    <w:rsid w:val="00C41FCF"/>
    <w:rsid w:val="00C42226"/>
    <w:rsid w:val="00C422E7"/>
    <w:rsid w:val="00C4247C"/>
    <w:rsid w:val="00C4279B"/>
    <w:rsid w:val="00C42869"/>
    <w:rsid w:val="00C42BD9"/>
    <w:rsid w:val="00C42F26"/>
    <w:rsid w:val="00C43043"/>
    <w:rsid w:val="00C4338D"/>
    <w:rsid w:val="00C43398"/>
    <w:rsid w:val="00C433AE"/>
    <w:rsid w:val="00C4347E"/>
    <w:rsid w:val="00C434C2"/>
    <w:rsid w:val="00C436AE"/>
    <w:rsid w:val="00C436FF"/>
    <w:rsid w:val="00C43777"/>
    <w:rsid w:val="00C439E0"/>
    <w:rsid w:val="00C43A8A"/>
    <w:rsid w:val="00C43AD7"/>
    <w:rsid w:val="00C43BCA"/>
    <w:rsid w:val="00C43BEA"/>
    <w:rsid w:val="00C43C9F"/>
    <w:rsid w:val="00C43D26"/>
    <w:rsid w:val="00C43FE8"/>
    <w:rsid w:val="00C44237"/>
    <w:rsid w:val="00C44297"/>
    <w:rsid w:val="00C44383"/>
    <w:rsid w:val="00C443F5"/>
    <w:rsid w:val="00C44437"/>
    <w:rsid w:val="00C4468B"/>
    <w:rsid w:val="00C446B7"/>
    <w:rsid w:val="00C4479B"/>
    <w:rsid w:val="00C448B0"/>
    <w:rsid w:val="00C44932"/>
    <w:rsid w:val="00C4498C"/>
    <w:rsid w:val="00C44A76"/>
    <w:rsid w:val="00C44B21"/>
    <w:rsid w:val="00C44E7C"/>
    <w:rsid w:val="00C44E7D"/>
    <w:rsid w:val="00C44E9A"/>
    <w:rsid w:val="00C44F5D"/>
    <w:rsid w:val="00C45036"/>
    <w:rsid w:val="00C450D9"/>
    <w:rsid w:val="00C452B9"/>
    <w:rsid w:val="00C45362"/>
    <w:rsid w:val="00C453AA"/>
    <w:rsid w:val="00C453AB"/>
    <w:rsid w:val="00C4546B"/>
    <w:rsid w:val="00C456E9"/>
    <w:rsid w:val="00C45A0F"/>
    <w:rsid w:val="00C45C88"/>
    <w:rsid w:val="00C45DC3"/>
    <w:rsid w:val="00C45E18"/>
    <w:rsid w:val="00C45F3A"/>
    <w:rsid w:val="00C4608D"/>
    <w:rsid w:val="00C4610A"/>
    <w:rsid w:val="00C4612A"/>
    <w:rsid w:val="00C46133"/>
    <w:rsid w:val="00C4616C"/>
    <w:rsid w:val="00C4618D"/>
    <w:rsid w:val="00C46190"/>
    <w:rsid w:val="00C4631C"/>
    <w:rsid w:val="00C4637C"/>
    <w:rsid w:val="00C4637D"/>
    <w:rsid w:val="00C465A9"/>
    <w:rsid w:val="00C46624"/>
    <w:rsid w:val="00C46806"/>
    <w:rsid w:val="00C46A17"/>
    <w:rsid w:val="00C46ADB"/>
    <w:rsid w:val="00C46B29"/>
    <w:rsid w:val="00C46F6E"/>
    <w:rsid w:val="00C4708C"/>
    <w:rsid w:val="00C471B7"/>
    <w:rsid w:val="00C4732E"/>
    <w:rsid w:val="00C47341"/>
    <w:rsid w:val="00C47835"/>
    <w:rsid w:val="00C47955"/>
    <w:rsid w:val="00C47AF8"/>
    <w:rsid w:val="00C47B19"/>
    <w:rsid w:val="00C47C52"/>
    <w:rsid w:val="00C47D94"/>
    <w:rsid w:val="00C47F5E"/>
    <w:rsid w:val="00C47FD0"/>
    <w:rsid w:val="00C50031"/>
    <w:rsid w:val="00C500E7"/>
    <w:rsid w:val="00C5027B"/>
    <w:rsid w:val="00C50666"/>
    <w:rsid w:val="00C50779"/>
    <w:rsid w:val="00C509B8"/>
    <w:rsid w:val="00C509CA"/>
    <w:rsid w:val="00C509F1"/>
    <w:rsid w:val="00C50BA0"/>
    <w:rsid w:val="00C50BEE"/>
    <w:rsid w:val="00C50D45"/>
    <w:rsid w:val="00C50E91"/>
    <w:rsid w:val="00C50F2B"/>
    <w:rsid w:val="00C5114C"/>
    <w:rsid w:val="00C512BC"/>
    <w:rsid w:val="00C512EA"/>
    <w:rsid w:val="00C51664"/>
    <w:rsid w:val="00C51722"/>
    <w:rsid w:val="00C51735"/>
    <w:rsid w:val="00C517F0"/>
    <w:rsid w:val="00C51B4F"/>
    <w:rsid w:val="00C51C7D"/>
    <w:rsid w:val="00C51E7B"/>
    <w:rsid w:val="00C51E99"/>
    <w:rsid w:val="00C51F89"/>
    <w:rsid w:val="00C5235D"/>
    <w:rsid w:val="00C52630"/>
    <w:rsid w:val="00C52646"/>
    <w:rsid w:val="00C5270F"/>
    <w:rsid w:val="00C52889"/>
    <w:rsid w:val="00C528C3"/>
    <w:rsid w:val="00C529DC"/>
    <w:rsid w:val="00C52AC7"/>
    <w:rsid w:val="00C52B14"/>
    <w:rsid w:val="00C52DAA"/>
    <w:rsid w:val="00C530E6"/>
    <w:rsid w:val="00C5319C"/>
    <w:rsid w:val="00C5327D"/>
    <w:rsid w:val="00C53316"/>
    <w:rsid w:val="00C53445"/>
    <w:rsid w:val="00C534C6"/>
    <w:rsid w:val="00C53577"/>
    <w:rsid w:val="00C535A0"/>
    <w:rsid w:val="00C53616"/>
    <w:rsid w:val="00C53718"/>
    <w:rsid w:val="00C53823"/>
    <w:rsid w:val="00C53960"/>
    <w:rsid w:val="00C53CD5"/>
    <w:rsid w:val="00C53E8E"/>
    <w:rsid w:val="00C53ED7"/>
    <w:rsid w:val="00C54129"/>
    <w:rsid w:val="00C54172"/>
    <w:rsid w:val="00C541B8"/>
    <w:rsid w:val="00C541CD"/>
    <w:rsid w:val="00C5483A"/>
    <w:rsid w:val="00C5486E"/>
    <w:rsid w:val="00C54A07"/>
    <w:rsid w:val="00C54CE8"/>
    <w:rsid w:val="00C54D0F"/>
    <w:rsid w:val="00C54D63"/>
    <w:rsid w:val="00C550F4"/>
    <w:rsid w:val="00C5543C"/>
    <w:rsid w:val="00C554EC"/>
    <w:rsid w:val="00C55541"/>
    <w:rsid w:val="00C55781"/>
    <w:rsid w:val="00C559A2"/>
    <w:rsid w:val="00C559C5"/>
    <w:rsid w:val="00C559EF"/>
    <w:rsid w:val="00C55ABA"/>
    <w:rsid w:val="00C5625D"/>
    <w:rsid w:val="00C5629C"/>
    <w:rsid w:val="00C563B9"/>
    <w:rsid w:val="00C56414"/>
    <w:rsid w:val="00C56643"/>
    <w:rsid w:val="00C567F5"/>
    <w:rsid w:val="00C56861"/>
    <w:rsid w:val="00C56B2C"/>
    <w:rsid w:val="00C56B83"/>
    <w:rsid w:val="00C56D69"/>
    <w:rsid w:val="00C56DD2"/>
    <w:rsid w:val="00C56DEE"/>
    <w:rsid w:val="00C56EAA"/>
    <w:rsid w:val="00C56F2A"/>
    <w:rsid w:val="00C570E8"/>
    <w:rsid w:val="00C57118"/>
    <w:rsid w:val="00C57213"/>
    <w:rsid w:val="00C572E4"/>
    <w:rsid w:val="00C57436"/>
    <w:rsid w:val="00C576B5"/>
    <w:rsid w:val="00C5780F"/>
    <w:rsid w:val="00C57819"/>
    <w:rsid w:val="00C57829"/>
    <w:rsid w:val="00C579B9"/>
    <w:rsid w:val="00C57A08"/>
    <w:rsid w:val="00C57D90"/>
    <w:rsid w:val="00C57E29"/>
    <w:rsid w:val="00C60094"/>
    <w:rsid w:val="00C600EE"/>
    <w:rsid w:val="00C6022E"/>
    <w:rsid w:val="00C602BE"/>
    <w:rsid w:val="00C6035D"/>
    <w:rsid w:val="00C60405"/>
    <w:rsid w:val="00C60590"/>
    <w:rsid w:val="00C6069F"/>
    <w:rsid w:val="00C60744"/>
    <w:rsid w:val="00C6097D"/>
    <w:rsid w:val="00C609F6"/>
    <w:rsid w:val="00C60CEA"/>
    <w:rsid w:val="00C60F3B"/>
    <w:rsid w:val="00C60F70"/>
    <w:rsid w:val="00C60F7C"/>
    <w:rsid w:val="00C6111B"/>
    <w:rsid w:val="00C61281"/>
    <w:rsid w:val="00C612FC"/>
    <w:rsid w:val="00C613B3"/>
    <w:rsid w:val="00C61857"/>
    <w:rsid w:val="00C6190C"/>
    <w:rsid w:val="00C61956"/>
    <w:rsid w:val="00C61AD0"/>
    <w:rsid w:val="00C61D94"/>
    <w:rsid w:val="00C61DD6"/>
    <w:rsid w:val="00C61E48"/>
    <w:rsid w:val="00C61E8D"/>
    <w:rsid w:val="00C61EC6"/>
    <w:rsid w:val="00C61F74"/>
    <w:rsid w:val="00C61F91"/>
    <w:rsid w:val="00C62174"/>
    <w:rsid w:val="00C62690"/>
    <w:rsid w:val="00C62733"/>
    <w:rsid w:val="00C628F5"/>
    <w:rsid w:val="00C62B8E"/>
    <w:rsid w:val="00C62DB9"/>
    <w:rsid w:val="00C62F6F"/>
    <w:rsid w:val="00C63217"/>
    <w:rsid w:val="00C636E6"/>
    <w:rsid w:val="00C6375C"/>
    <w:rsid w:val="00C637A1"/>
    <w:rsid w:val="00C63A6A"/>
    <w:rsid w:val="00C63C12"/>
    <w:rsid w:val="00C63E37"/>
    <w:rsid w:val="00C63F35"/>
    <w:rsid w:val="00C63FBA"/>
    <w:rsid w:val="00C641F7"/>
    <w:rsid w:val="00C64207"/>
    <w:rsid w:val="00C643DB"/>
    <w:rsid w:val="00C64589"/>
    <w:rsid w:val="00C6458E"/>
    <w:rsid w:val="00C6476C"/>
    <w:rsid w:val="00C64770"/>
    <w:rsid w:val="00C649AD"/>
    <w:rsid w:val="00C64B30"/>
    <w:rsid w:val="00C64C5F"/>
    <w:rsid w:val="00C64CD6"/>
    <w:rsid w:val="00C64D83"/>
    <w:rsid w:val="00C64DC0"/>
    <w:rsid w:val="00C64E29"/>
    <w:rsid w:val="00C65018"/>
    <w:rsid w:val="00C651E9"/>
    <w:rsid w:val="00C65650"/>
    <w:rsid w:val="00C65BAC"/>
    <w:rsid w:val="00C65CE7"/>
    <w:rsid w:val="00C65F50"/>
    <w:rsid w:val="00C6617B"/>
    <w:rsid w:val="00C66254"/>
    <w:rsid w:val="00C663C5"/>
    <w:rsid w:val="00C66455"/>
    <w:rsid w:val="00C6662E"/>
    <w:rsid w:val="00C66785"/>
    <w:rsid w:val="00C667CB"/>
    <w:rsid w:val="00C66A67"/>
    <w:rsid w:val="00C66BAA"/>
    <w:rsid w:val="00C66C12"/>
    <w:rsid w:val="00C66C2B"/>
    <w:rsid w:val="00C66C7B"/>
    <w:rsid w:val="00C66DE5"/>
    <w:rsid w:val="00C66E92"/>
    <w:rsid w:val="00C66EE7"/>
    <w:rsid w:val="00C66FED"/>
    <w:rsid w:val="00C670D3"/>
    <w:rsid w:val="00C67349"/>
    <w:rsid w:val="00C675DD"/>
    <w:rsid w:val="00C675EA"/>
    <w:rsid w:val="00C67797"/>
    <w:rsid w:val="00C67B29"/>
    <w:rsid w:val="00C67EC9"/>
    <w:rsid w:val="00C7057D"/>
    <w:rsid w:val="00C7067C"/>
    <w:rsid w:val="00C708D0"/>
    <w:rsid w:val="00C708E1"/>
    <w:rsid w:val="00C70C0E"/>
    <w:rsid w:val="00C70CEA"/>
    <w:rsid w:val="00C710AD"/>
    <w:rsid w:val="00C710ED"/>
    <w:rsid w:val="00C71107"/>
    <w:rsid w:val="00C7124B"/>
    <w:rsid w:val="00C7131A"/>
    <w:rsid w:val="00C71352"/>
    <w:rsid w:val="00C713FE"/>
    <w:rsid w:val="00C715C8"/>
    <w:rsid w:val="00C71808"/>
    <w:rsid w:val="00C71BCC"/>
    <w:rsid w:val="00C71DA8"/>
    <w:rsid w:val="00C71DAC"/>
    <w:rsid w:val="00C71E2B"/>
    <w:rsid w:val="00C72371"/>
    <w:rsid w:val="00C723E0"/>
    <w:rsid w:val="00C723E7"/>
    <w:rsid w:val="00C724CC"/>
    <w:rsid w:val="00C725D3"/>
    <w:rsid w:val="00C727C8"/>
    <w:rsid w:val="00C7289E"/>
    <w:rsid w:val="00C72931"/>
    <w:rsid w:val="00C72942"/>
    <w:rsid w:val="00C7298B"/>
    <w:rsid w:val="00C72F61"/>
    <w:rsid w:val="00C72FD0"/>
    <w:rsid w:val="00C72FE7"/>
    <w:rsid w:val="00C730EC"/>
    <w:rsid w:val="00C7325C"/>
    <w:rsid w:val="00C73350"/>
    <w:rsid w:val="00C733F6"/>
    <w:rsid w:val="00C7344E"/>
    <w:rsid w:val="00C7366E"/>
    <w:rsid w:val="00C738A2"/>
    <w:rsid w:val="00C738B8"/>
    <w:rsid w:val="00C738E1"/>
    <w:rsid w:val="00C73AFB"/>
    <w:rsid w:val="00C73BDC"/>
    <w:rsid w:val="00C73BF2"/>
    <w:rsid w:val="00C73C57"/>
    <w:rsid w:val="00C73DD4"/>
    <w:rsid w:val="00C73E1E"/>
    <w:rsid w:val="00C73E51"/>
    <w:rsid w:val="00C73FCA"/>
    <w:rsid w:val="00C7403E"/>
    <w:rsid w:val="00C7404D"/>
    <w:rsid w:val="00C7408B"/>
    <w:rsid w:val="00C740BF"/>
    <w:rsid w:val="00C7413A"/>
    <w:rsid w:val="00C74513"/>
    <w:rsid w:val="00C7453C"/>
    <w:rsid w:val="00C745EA"/>
    <w:rsid w:val="00C74821"/>
    <w:rsid w:val="00C74828"/>
    <w:rsid w:val="00C74A38"/>
    <w:rsid w:val="00C74C79"/>
    <w:rsid w:val="00C74C86"/>
    <w:rsid w:val="00C74CC7"/>
    <w:rsid w:val="00C74FA9"/>
    <w:rsid w:val="00C7507C"/>
    <w:rsid w:val="00C75309"/>
    <w:rsid w:val="00C7530B"/>
    <w:rsid w:val="00C753D3"/>
    <w:rsid w:val="00C75422"/>
    <w:rsid w:val="00C7550F"/>
    <w:rsid w:val="00C7553F"/>
    <w:rsid w:val="00C75550"/>
    <w:rsid w:val="00C755C9"/>
    <w:rsid w:val="00C7594F"/>
    <w:rsid w:val="00C75960"/>
    <w:rsid w:val="00C759A4"/>
    <w:rsid w:val="00C759E2"/>
    <w:rsid w:val="00C75B41"/>
    <w:rsid w:val="00C75D11"/>
    <w:rsid w:val="00C75E24"/>
    <w:rsid w:val="00C75EF9"/>
    <w:rsid w:val="00C75F4A"/>
    <w:rsid w:val="00C76013"/>
    <w:rsid w:val="00C760B0"/>
    <w:rsid w:val="00C760DD"/>
    <w:rsid w:val="00C76133"/>
    <w:rsid w:val="00C76155"/>
    <w:rsid w:val="00C76368"/>
    <w:rsid w:val="00C7661F"/>
    <w:rsid w:val="00C766B6"/>
    <w:rsid w:val="00C76B9F"/>
    <w:rsid w:val="00C76E3F"/>
    <w:rsid w:val="00C76F5C"/>
    <w:rsid w:val="00C774B9"/>
    <w:rsid w:val="00C7757F"/>
    <w:rsid w:val="00C775E8"/>
    <w:rsid w:val="00C7797B"/>
    <w:rsid w:val="00C779E8"/>
    <w:rsid w:val="00C77A36"/>
    <w:rsid w:val="00C77E46"/>
    <w:rsid w:val="00C77F2A"/>
    <w:rsid w:val="00C8003B"/>
    <w:rsid w:val="00C800FD"/>
    <w:rsid w:val="00C80138"/>
    <w:rsid w:val="00C80A4E"/>
    <w:rsid w:val="00C80B91"/>
    <w:rsid w:val="00C80C26"/>
    <w:rsid w:val="00C80E65"/>
    <w:rsid w:val="00C80EF7"/>
    <w:rsid w:val="00C80F28"/>
    <w:rsid w:val="00C80FF0"/>
    <w:rsid w:val="00C8117D"/>
    <w:rsid w:val="00C81215"/>
    <w:rsid w:val="00C813AB"/>
    <w:rsid w:val="00C815A0"/>
    <w:rsid w:val="00C815D4"/>
    <w:rsid w:val="00C81925"/>
    <w:rsid w:val="00C81A60"/>
    <w:rsid w:val="00C81DC1"/>
    <w:rsid w:val="00C81E9A"/>
    <w:rsid w:val="00C81EA6"/>
    <w:rsid w:val="00C81F78"/>
    <w:rsid w:val="00C81F8C"/>
    <w:rsid w:val="00C82015"/>
    <w:rsid w:val="00C8224C"/>
    <w:rsid w:val="00C82251"/>
    <w:rsid w:val="00C823F9"/>
    <w:rsid w:val="00C8247B"/>
    <w:rsid w:val="00C824D6"/>
    <w:rsid w:val="00C824F6"/>
    <w:rsid w:val="00C8256A"/>
    <w:rsid w:val="00C825AC"/>
    <w:rsid w:val="00C825B7"/>
    <w:rsid w:val="00C82816"/>
    <w:rsid w:val="00C828C7"/>
    <w:rsid w:val="00C829F5"/>
    <w:rsid w:val="00C82ED1"/>
    <w:rsid w:val="00C82ED8"/>
    <w:rsid w:val="00C82EDF"/>
    <w:rsid w:val="00C82F38"/>
    <w:rsid w:val="00C82F47"/>
    <w:rsid w:val="00C82FEB"/>
    <w:rsid w:val="00C830FA"/>
    <w:rsid w:val="00C831C0"/>
    <w:rsid w:val="00C83256"/>
    <w:rsid w:val="00C8337B"/>
    <w:rsid w:val="00C83463"/>
    <w:rsid w:val="00C83556"/>
    <w:rsid w:val="00C83567"/>
    <w:rsid w:val="00C83569"/>
    <w:rsid w:val="00C835B2"/>
    <w:rsid w:val="00C836CC"/>
    <w:rsid w:val="00C837AD"/>
    <w:rsid w:val="00C839EF"/>
    <w:rsid w:val="00C83D6C"/>
    <w:rsid w:val="00C8404C"/>
    <w:rsid w:val="00C844CE"/>
    <w:rsid w:val="00C849B4"/>
    <w:rsid w:val="00C84D5E"/>
    <w:rsid w:val="00C85006"/>
    <w:rsid w:val="00C8518A"/>
    <w:rsid w:val="00C851FA"/>
    <w:rsid w:val="00C85363"/>
    <w:rsid w:val="00C85593"/>
    <w:rsid w:val="00C856FD"/>
    <w:rsid w:val="00C85761"/>
    <w:rsid w:val="00C8578A"/>
    <w:rsid w:val="00C85932"/>
    <w:rsid w:val="00C85A64"/>
    <w:rsid w:val="00C85B66"/>
    <w:rsid w:val="00C85BAC"/>
    <w:rsid w:val="00C85DAC"/>
    <w:rsid w:val="00C85E0C"/>
    <w:rsid w:val="00C85E10"/>
    <w:rsid w:val="00C85E45"/>
    <w:rsid w:val="00C85E88"/>
    <w:rsid w:val="00C86037"/>
    <w:rsid w:val="00C862AD"/>
    <w:rsid w:val="00C862B6"/>
    <w:rsid w:val="00C864A8"/>
    <w:rsid w:val="00C866F6"/>
    <w:rsid w:val="00C867F4"/>
    <w:rsid w:val="00C86BB6"/>
    <w:rsid w:val="00C86C01"/>
    <w:rsid w:val="00C86DD4"/>
    <w:rsid w:val="00C86E5F"/>
    <w:rsid w:val="00C8733E"/>
    <w:rsid w:val="00C87866"/>
    <w:rsid w:val="00C87984"/>
    <w:rsid w:val="00C87ACB"/>
    <w:rsid w:val="00C87B38"/>
    <w:rsid w:val="00C87D18"/>
    <w:rsid w:val="00C87D1F"/>
    <w:rsid w:val="00C87DC5"/>
    <w:rsid w:val="00C87DE2"/>
    <w:rsid w:val="00C87EA4"/>
    <w:rsid w:val="00C87F21"/>
    <w:rsid w:val="00C9039B"/>
    <w:rsid w:val="00C904AF"/>
    <w:rsid w:val="00C90556"/>
    <w:rsid w:val="00C90792"/>
    <w:rsid w:val="00C9083C"/>
    <w:rsid w:val="00C90C18"/>
    <w:rsid w:val="00C90C60"/>
    <w:rsid w:val="00C90E0F"/>
    <w:rsid w:val="00C91050"/>
    <w:rsid w:val="00C910EA"/>
    <w:rsid w:val="00C91189"/>
    <w:rsid w:val="00C91465"/>
    <w:rsid w:val="00C9155B"/>
    <w:rsid w:val="00C91778"/>
    <w:rsid w:val="00C91ABC"/>
    <w:rsid w:val="00C91E2A"/>
    <w:rsid w:val="00C91E95"/>
    <w:rsid w:val="00C91EF4"/>
    <w:rsid w:val="00C91F8D"/>
    <w:rsid w:val="00C9221D"/>
    <w:rsid w:val="00C923DA"/>
    <w:rsid w:val="00C92650"/>
    <w:rsid w:val="00C927D4"/>
    <w:rsid w:val="00C928AB"/>
    <w:rsid w:val="00C92E30"/>
    <w:rsid w:val="00C92EB8"/>
    <w:rsid w:val="00C92F04"/>
    <w:rsid w:val="00C93094"/>
    <w:rsid w:val="00C93177"/>
    <w:rsid w:val="00C931D6"/>
    <w:rsid w:val="00C9322D"/>
    <w:rsid w:val="00C93482"/>
    <w:rsid w:val="00C935D3"/>
    <w:rsid w:val="00C93674"/>
    <w:rsid w:val="00C937B8"/>
    <w:rsid w:val="00C937ED"/>
    <w:rsid w:val="00C938EA"/>
    <w:rsid w:val="00C938FA"/>
    <w:rsid w:val="00C93A05"/>
    <w:rsid w:val="00C93AAE"/>
    <w:rsid w:val="00C93BB1"/>
    <w:rsid w:val="00C93D03"/>
    <w:rsid w:val="00C93EFD"/>
    <w:rsid w:val="00C93F6D"/>
    <w:rsid w:val="00C94179"/>
    <w:rsid w:val="00C94389"/>
    <w:rsid w:val="00C943EC"/>
    <w:rsid w:val="00C94436"/>
    <w:rsid w:val="00C94492"/>
    <w:rsid w:val="00C94549"/>
    <w:rsid w:val="00C9457F"/>
    <w:rsid w:val="00C94727"/>
    <w:rsid w:val="00C94932"/>
    <w:rsid w:val="00C949A4"/>
    <w:rsid w:val="00C94B50"/>
    <w:rsid w:val="00C94DF2"/>
    <w:rsid w:val="00C94F36"/>
    <w:rsid w:val="00C94FC4"/>
    <w:rsid w:val="00C9514C"/>
    <w:rsid w:val="00C951DB"/>
    <w:rsid w:val="00C95370"/>
    <w:rsid w:val="00C954AE"/>
    <w:rsid w:val="00C956D5"/>
    <w:rsid w:val="00C957E0"/>
    <w:rsid w:val="00C95A14"/>
    <w:rsid w:val="00C95B8B"/>
    <w:rsid w:val="00C95C9F"/>
    <w:rsid w:val="00C95EDF"/>
    <w:rsid w:val="00C96027"/>
    <w:rsid w:val="00C96293"/>
    <w:rsid w:val="00C9636B"/>
    <w:rsid w:val="00C96391"/>
    <w:rsid w:val="00C964F9"/>
    <w:rsid w:val="00C96633"/>
    <w:rsid w:val="00C96726"/>
    <w:rsid w:val="00C968FA"/>
    <w:rsid w:val="00C9692A"/>
    <w:rsid w:val="00C969E5"/>
    <w:rsid w:val="00C969FF"/>
    <w:rsid w:val="00C96D88"/>
    <w:rsid w:val="00C96DB8"/>
    <w:rsid w:val="00C96E81"/>
    <w:rsid w:val="00C97009"/>
    <w:rsid w:val="00C970A3"/>
    <w:rsid w:val="00C971F6"/>
    <w:rsid w:val="00C97243"/>
    <w:rsid w:val="00C9728B"/>
    <w:rsid w:val="00C97375"/>
    <w:rsid w:val="00C9737C"/>
    <w:rsid w:val="00C9759D"/>
    <w:rsid w:val="00C97688"/>
    <w:rsid w:val="00C9771A"/>
    <w:rsid w:val="00C97A16"/>
    <w:rsid w:val="00C97A3A"/>
    <w:rsid w:val="00CA060F"/>
    <w:rsid w:val="00CA070E"/>
    <w:rsid w:val="00CA09A8"/>
    <w:rsid w:val="00CA0C32"/>
    <w:rsid w:val="00CA0E35"/>
    <w:rsid w:val="00CA0EDF"/>
    <w:rsid w:val="00CA0F58"/>
    <w:rsid w:val="00CA1047"/>
    <w:rsid w:val="00CA11CC"/>
    <w:rsid w:val="00CA126C"/>
    <w:rsid w:val="00CA14CC"/>
    <w:rsid w:val="00CA1640"/>
    <w:rsid w:val="00CA16FF"/>
    <w:rsid w:val="00CA1855"/>
    <w:rsid w:val="00CA1AEA"/>
    <w:rsid w:val="00CA1CBA"/>
    <w:rsid w:val="00CA1D44"/>
    <w:rsid w:val="00CA1F1C"/>
    <w:rsid w:val="00CA20E8"/>
    <w:rsid w:val="00CA2179"/>
    <w:rsid w:val="00CA23D5"/>
    <w:rsid w:val="00CA2429"/>
    <w:rsid w:val="00CA26B5"/>
    <w:rsid w:val="00CA26B7"/>
    <w:rsid w:val="00CA27B4"/>
    <w:rsid w:val="00CA288D"/>
    <w:rsid w:val="00CA2BB5"/>
    <w:rsid w:val="00CA2BC3"/>
    <w:rsid w:val="00CA2CC4"/>
    <w:rsid w:val="00CA2D27"/>
    <w:rsid w:val="00CA2F47"/>
    <w:rsid w:val="00CA31C0"/>
    <w:rsid w:val="00CA32CD"/>
    <w:rsid w:val="00CA3452"/>
    <w:rsid w:val="00CA34A3"/>
    <w:rsid w:val="00CA3525"/>
    <w:rsid w:val="00CA35DA"/>
    <w:rsid w:val="00CA37E3"/>
    <w:rsid w:val="00CA389A"/>
    <w:rsid w:val="00CA3929"/>
    <w:rsid w:val="00CA3A57"/>
    <w:rsid w:val="00CA3B3E"/>
    <w:rsid w:val="00CA3C51"/>
    <w:rsid w:val="00CA3C66"/>
    <w:rsid w:val="00CA3F5C"/>
    <w:rsid w:val="00CA414D"/>
    <w:rsid w:val="00CA41CA"/>
    <w:rsid w:val="00CA4270"/>
    <w:rsid w:val="00CA4352"/>
    <w:rsid w:val="00CA43B3"/>
    <w:rsid w:val="00CA442A"/>
    <w:rsid w:val="00CA4472"/>
    <w:rsid w:val="00CA44E3"/>
    <w:rsid w:val="00CA454F"/>
    <w:rsid w:val="00CA4586"/>
    <w:rsid w:val="00CA462C"/>
    <w:rsid w:val="00CA4873"/>
    <w:rsid w:val="00CA4C3F"/>
    <w:rsid w:val="00CA4ED0"/>
    <w:rsid w:val="00CA4F8C"/>
    <w:rsid w:val="00CA4FB9"/>
    <w:rsid w:val="00CA4FCC"/>
    <w:rsid w:val="00CA50D8"/>
    <w:rsid w:val="00CA50FF"/>
    <w:rsid w:val="00CA532B"/>
    <w:rsid w:val="00CA53E6"/>
    <w:rsid w:val="00CA5450"/>
    <w:rsid w:val="00CA5601"/>
    <w:rsid w:val="00CA5775"/>
    <w:rsid w:val="00CA58C0"/>
    <w:rsid w:val="00CA5988"/>
    <w:rsid w:val="00CA59B3"/>
    <w:rsid w:val="00CA5A9B"/>
    <w:rsid w:val="00CA5B3E"/>
    <w:rsid w:val="00CA5B46"/>
    <w:rsid w:val="00CA5B47"/>
    <w:rsid w:val="00CA5C22"/>
    <w:rsid w:val="00CA5CF8"/>
    <w:rsid w:val="00CA607C"/>
    <w:rsid w:val="00CA61D9"/>
    <w:rsid w:val="00CA62FD"/>
    <w:rsid w:val="00CA631E"/>
    <w:rsid w:val="00CA6368"/>
    <w:rsid w:val="00CA65C0"/>
    <w:rsid w:val="00CA67FE"/>
    <w:rsid w:val="00CA68BB"/>
    <w:rsid w:val="00CA6B10"/>
    <w:rsid w:val="00CA6B63"/>
    <w:rsid w:val="00CA6D3C"/>
    <w:rsid w:val="00CA6D6F"/>
    <w:rsid w:val="00CA6E71"/>
    <w:rsid w:val="00CA6F29"/>
    <w:rsid w:val="00CA6FB2"/>
    <w:rsid w:val="00CA70F6"/>
    <w:rsid w:val="00CA7115"/>
    <w:rsid w:val="00CA731C"/>
    <w:rsid w:val="00CA743A"/>
    <w:rsid w:val="00CA756A"/>
    <w:rsid w:val="00CA7831"/>
    <w:rsid w:val="00CA78CF"/>
    <w:rsid w:val="00CA7A13"/>
    <w:rsid w:val="00CA7B10"/>
    <w:rsid w:val="00CA7CF7"/>
    <w:rsid w:val="00CA7E0C"/>
    <w:rsid w:val="00CB00DE"/>
    <w:rsid w:val="00CB0204"/>
    <w:rsid w:val="00CB039A"/>
    <w:rsid w:val="00CB03CC"/>
    <w:rsid w:val="00CB042E"/>
    <w:rsid w:val="00CB04E0"/>
    <w:rsid w:val="00CB06DD"/>
    <w:rsid w:val="00CB082B"/>
    <w:rsid w:val="00CB0842"/>
    <w:rsid w:val="00CB0C20"/>
    <w:rsid w:val="00CB0E32"/>
    <w:rsid w:val="00CB0E40"/>
    <w:rsid w:val="00CB1417"/>
    <w:rsid w:val="00CB14FC"/>
    <w:rsid w:val="00CB16B8"/>
    <w:rsid w:val="00CB176A"/>
    <w:rsid w:val="00CB17C7"/>
    <w:rsid w:val="00CB18F5"/>
    <w:rsid w:val="00CB1BED"/>
    <w:rsid w:val="00CB2188"/>
    <w:rsid w:val="00CB22A8"/>
    <w:rsid w:val="00CB236A"/>
    <w:rsid w:val="00CB2471"/>
    <w:rsid w:val="00CB255B"/>
    <w:rsid w:val="00CB2640"/>
    <w:rsid w:val="00CB26E5"/>
    <w:rsid w:val="00CB27BC"/>
    <w:rsid w:val="00CB2814"/>
    <w:rsid w:val="00CB2A44"/>
    <w:rsid w:val="00CB2E24"/>
    <w:rsid w:val="00CB2EDB"/>
    <w:rsid w:val="00CB3122"/>
    <w:rsid w:val="00CB3197"/>
    <w:rsid w:val="00CB31CB"/>
    <w:rsid w:val="00CB3367"/>
    <w:rsid w:val="00CB34CB"/>
    <w:rsid w:val="00CB37B9"/>
    <w:rsid w:val="00CB38CA"/>
    <w:rsid w:val="00CB38DF"/>
    <w:rsid w:val="00CB3A7E"/>
    <w:rsid w:val="00CB3ACC"/>
    <w:rsid w:val="00CB3AEB"/>
    <w:rsid w:val="00CB3F48"/>
    <w:rsid w:val="00CB40E8"/>
    <w:rsid w:val="00CB426F"/>
    <w:rsid w:val="00CB4336"/>
    <w:rsid w:val="00CB4374"/>
    <w:rsid w:val="00CB447B"/>
    <w:rsid w:val="00CB4587"/>
    <w:rsid w:val="00CB4752"/>
    <w:rsid w:val="00CB4AA2"/>
    <w:rsid w:val="00CB4D76"/>
    <w:rsid w:val="00CB4EBE"/>
    <w:rsid w:val="00CB4EF2"/>
    <w:rsid w:val="00CB50DE"/>
    <w:rsid w:val="00CB51F9"/>
    <w:rsid w:val="00CB535B"/>
    <w:rsid w:val="00CB5384"/>
    <w:rsid w:val="00CB54D5"/>
    <w:rsid w:val="00CB5632"/>
    <w:rsid w:val="00CB56C9"/>
    <w:rsid w:val="00CB5887"/>
    <w:rsid w:val="00CB5CA8"/>
    <w:rsid w:val="00CB5D06"/>
    <w:rsid w:val="00CB5DE3"/>
    <w:rsid w:val="00CB5E5D"/>
    <w:rsid w:val="00CB5F96"/>
    <w:rsid w:val="00CB60CD"/>
    <w:rsid w:val="00CB614C"/>
    <w:rsid w:val="00CB61AC"/>
    <w:rsid w:val="00CB61E7"/>
    <w:rsid w:val="00CB63DA"/>
    <w:rsid w:val="00CB66FF"/>
    <w:rsid w:val="00CB6718"/>
    <w:rsid w:val="00CB692D"/>
    <w:rsid w:val="00CB69B5"/>
    <w:rsid w:val="00CB6A28"/>
    <w:rsid w:val="00CB6B97"/>
    <w:rsid w:val="00CB6CC9"/>
    <w:rsid w:val="00CB70E3"/>
    <w:rsid w:val="00CB71A1"/>
    <w:rsid w:val="00CB7594"/>
    <w:rsid w:val="00CB75EF"/>
    <w:rsid w:val="00CB761C"/>
    <w:rsid w:val="00CB76F8"/>
    <w:rsid w:val="00CB775A"/>
    <w:rsid w:val="00CB7791"/>
    <w:rsid w:val="00CB78A0"/>
    <w:rsid w:val="00CB78ED"/>
    <w:rsid w:val="00CB798C"/>
    <w:rsid w:val="00CB799C"/>
    <w:rsid w:val="00CB7A37"/>
    <w:rsid w:val="00CB7B8D"/>
    <w:rsid w:val="00CB7C6A"/>
    <w:rsid w:val="00CB7D59"/>
    <w:rsid w:val="00CB7DB4"/>
    <w:rsid w:val="00CB7DB9"/>
    <w:rsid w:val="00CB7F60"/>
    <w:rsid w:val="00CC0096"/>
    <w:rsid w:val="00CC03A2"/>
    <w:rsid w:val="00CC06AD"/>
    <w:rsid w:val="00CC086F"/>
    <w:rsid w:val="00CC0BF4"/>
    <w:rsid w:val="00CC0DEE"/>
    <w:rsid w:val="00CC0DFB"/>
    <w:rsid w:val="00CC0F0A"/>
    <w:rsid w:val="00CC103C"/>
    <w:rsid w:val="00CC10BB"/>
    <w:rsid w:val="00CC1147"/>
    <w:rsid w:val="00CC1168"/>
    <w:rsid w:val="00CC118F"/>
    <w:rsid w:val="00CC11B2"/>
    <w:rsid w:val="00CC1247"/>
    <w:rsid w:val="00CC1252"/>
    <w:rsid w:val="00CC129A"/>
    <w:rsid w:val="00CC1303"/>
    <w:rsid w:val="00CC17EB"/>
    <w:rsid w:val="00CC1890"/>
    <w:rsid w:val="00CC194D"/>
    <w:rsid w:val="00CC1A00"/>
    <w:rsid w:val="00CC1A9D"/>
    <w:rsid w:val="00CC1C1C"/>
    <w:rsid w:val="00CC1F5E"/>
    <w:rsid w:val="00CC2060"/>
    <w:rsid w:val="00CC2087"/>
    <w:rsid w:val="00CC2274"/>
    <w:rsid w:val="00CC22AE"/>
    <w:rsid w:val="00CC231C"/>
    <w:rsid w:val="00CC2321"/>
    <w:rsid w:val="00CC2371"/>
    <w:rsid w:val="00CC24EF"/>
    <w:rsid w:val="00CC262A"/>
    <w:rsid w:val="00CC2D28"/>
    <w:rsid w:val="00CC2DAF"/>
    <w:rsid w:val="00CC2EEA"/>
    <w:rsid w:val="00CC2F63"/>
    <w:rsid w:val="00CC2FDC"/>
    <w:rsid w:val="00CC31CF"/>
    <w:rsid w:val="00CC32FD"/>
    <w:rsid w:val="00CC333F"/>
    <w:rsid w:val="00CC3A5D"/>
    <w:rsid w:val="00CC3DB0"/>
    <w:rsid w:val="00CC3ECC"/>
    <w:rsid w:val="00CC4053"/>
    <w:rsid w:val="00CC42A9"/>
    <w:rsid w:val="00CC4804"/>
    <w:rsid w:val="00CC4B82"/>
    <w:rsid w:val="00CC4B9B"/>
    <w:rsid w:val="00CC4E1D"/>
    <w:rsid w:val="00CC4EC9"/>
    <w:rsid w:val="00CC4EF7"/>
    <w:rsid w:val="00CC4F67"/>
    <w:rsid w:val="00CC4FAC"/>
    <w:rsid w:val="00CC5112"/>
    <w:rsid w:val="00CC51AA"/>
    <w:rsid w:val="00CC535D"/>
    <w:rsid w:val="00CC53A7"/>
    <w:rsid w:val="00CC5481"/>
    <w:rsid w:val="00CC55B2"/>
    <w:rsid w:val="00CC596E"/>
    <w:rsid w:val="00CC596F"/>
    <w:rsid w:val="00CC5C66"/>
    <w:rsid w:val="00CC5D60"/>
    <w:rsid w:val="00CC5D7E"/>
    <w:rsid w:val="00CC5E68"/>
    <w:rsid w:val="00CC612F"/>
    <w:rsid w:val="00CC623B"/>
    <w:rsid w:val="00CC6302"/>
    <w:rsid w:val="00CC63B5"/>
    <w:rsid w:val="00CC64DC"/>
    <w:rsid w:val="00CC69B1"/>
    <w:rsid w:val="00CC69D3"/>
    <w:rsid w:val="00CC6F66"/>
    <w:rsid w:val="00CC6F6B"/>
    <w:rsid w:val="00CC6F71"/>
    <w:rsid w:val="00CC7305"/>
    <w:rsid w:val="00CC73B2"/>
    <w:rsid w:val="00CC742E"/>
    <w:rsid w:val="00CC75D1"/>
    <w:rsid w:val="00CC7C39"/>
    <w:rsid w:val="00CC7CAF"/>
    <w:rsid w:val="00CC7DDD"/>
    <w:rsid w:val="00CC7DE7"/>
    <w:rsid w:val="00CC7E81"/>
    <w:rsid w:val="00CD022C"/>
    <w:rsid w:val="00CD0433"/>
    <w:rsid w:val="00CD04DA"/>
    <w:rsid w:val="00CD050A"/>
    <w:rsid w:val="00CD0541"/>
    <w:rsid w:val="00CD0658"/>
    <w:rsid w:val="00CD0994"/>
    <w:rsid w:val="00CD0B11"/>
    <w:rsid w:val="00CD0B47"/>
    <w:rsid w:val="00CD0CBF"/>
    <w:rsid w:val="00CD0E66"/>
    <w:rsid w:val="00CD1002"/>
    <w:rsid w:val="00CD108F"/>
    <w:rsid w:val="00CD12E7"/>
    <w:rsid w:val="00CD1468"/>
    <w:rsid w:val="00CD1796"/>
    <w:rsid w:val="00CD188E"/>
    <w:rsid w:val="00CD19BB"/>
    <w:rsid w:val="00CD1D49"/>
    <w:rsid w:val="00CD1F51"/>
    <w:rsid w:val="00CD20F9"/>
    <w:rsid w:val="00CD2235"/>
    <w:rsid w:val="00CD2262"/>
    <w:rsid w:val="00CD22A6"/>
    <w:rsid w:val="00CD2331"/>
    <w:rsid w:val="00CD253B"/>
    <w:rsid w:val="00CD2591"/>
    <w:rsid w:val="00CD28FE"/>
    <w:rsid w:val="00CD2A96"/>
    <w:rsid w:val="00CD2AE2"/>
    <w:rsid w:val="00CD2C04"/>
    <w:rsid w:val="00CD2C3E"/>
    <w:rsid w:val="00CD2F37"/>
    <w:rsid w:val="00CD31EE"/>
    <w:rsid w:val="00CD3262"/>
    <w:rsid w:val="00CD370F"/>
    <w:rsid w:val="00CD3716"/>
    <w:rsid w:val="00CD3751"/>
    <w:rsid w:val="00CD3850"/>
    <w:rsid w:val="00CD386D"/>
    <w:rsid w:val="00CD3B2A"/>
    <w:rsid w:val="00CD3EC7"/>
    <w:rsid w:val="00CD3F42"/>
    <w:rsid w:val="00CD3F63"/>
    <w:rsid w:val="00CD4213"/>
    <w:rsid w:val="00CD42CA"/>
    <w:rsid w:val="00CD43DA"/>
    <w:rsid w:val="00CD4533"/>
    <w:rsid w:val="00CD45C2"/>
    <w:rsid w:val="00CD470B"/>
    <w:rsid w:val="00CD4A01"/>
    <w:rsid w:val="00CD4C4B"/>
    <w:rsid w:val="00CD4DF6"/>
    <w:rsid w:val="00CD4FED"/>
    <w:rsid w:val="00CD5084"/>
    <w:rsid w:val="00CD50DA"/>
    <w:rsid w:val="00CD5100"/>
    <w:rsid w:val="00CD51AF"/>
    <w:rsid w:val="00CD51F3"/>
    <w:rsid w:val="00CD5272"/>
    <w:rsid w:val="00CD53A6"/>
    <w:rsid w:val="00CD549E"/>
    <w:rsid w:val="00CD54C4"/>
    <w:rsid w:val="00CD573E"/>
    <w:rsid w:val="00CD579C"/>
    <w:rsid w:val="00CD5A94"/>
    <w:rsid w:val="00CD5AEA"/>
    <w:rsid w:val="00CD5B80"/>
    <w:rsid w:val="00CD5BCE"/>
    <w:rsid w:val="00CD5C01"/>
    <w:rsid w:val="00CD5CDB"/>
    <w:rsid w:val="00CD5DD6"/>
    <w:rsid w:val="00CD5DFD"/>
    <w:rsid w:val="00CD5F28"/>
    <w:rsid w:val="00CD5FD2"/>
    <w:rsid w:val="00CD60A7"/>
    <w:rsid w:val="00CD615E"/>
    <w:rsid w:val="00CD61EB"/>
    <w:rsid w:val="00CD632E"/>
    <w:rsid w:val="00CD63BD"/>
    <w:rsid w:val="00CD64C1"/>
    <w:rsid w:val="00CD6552"/>
    <w:rsid w:val="00CD6693"/>
    <w:rsid w:val="00CD687C"/>
    <w:rsid w:val="00CD687E"/>
    <w:rsid w:val="00CD6BF1"/>
    <w:rsid w:val="00CD6EAD"/>
    <w:rsid w:val="00CD6ECB"/>
    <w:rsid w:val="00CD6F49"/>
    <w:rsid w:val="00CD720F"/>
    <w:rsid w:val="00CD72BB"/>
    <w:rsid w:val="00CD73E1"/>
    <w:rsid w:val="00CD75A9"/>
    <w:rsid w:val="00CD75BD"/>
    <w:rsid w:val="00CD7617"/>
    <w:rsid w:val="00CD77AE"/>
    <w:rsid w:val="00CD7851"/>
    <w:rsid w:val="00CD7A8F"/>
    <w:rsid w:val="00CD7BC5"/>
    <w:rsid w:val="00CD7CE2"/>
    <w:rsid w:val="00CD7D64"/>
    <w:rsid w:val="00CD7E9B"/>
    <w:rsid w:val="00CE00F1"/>
    <w:rsid w:val="00CE03C2"/>
    <w:rsid w:val="00CE03DD"/>
    <w:rsid w:val="00CE05B8"/>
    <w:rsid w:val="00CE060F"/>
    <w:rsid w:val="00CE0714"/>
    <w:rsid w:val="00CE07A0"/>
    <w:rsid w:val="00CE0843"/>
    <w:rsid w:val="00CE08EC"/>
    <w:rsid w:val="00CE0A69"/>
    <w:rsid w:val="00CE0A89"/>
    <w:rsid w:val="00CE0F9F"/>
    <w:rsid w:val="00CE10AE"/>
    <w:rsid w:val="00CE13CD"/>
    <w:rsid w:val="00CE13F9"/>
    <w:rsid w:val="00CE1456"/>
    <w:rsid w:val="00CE146B"/>
    <w:rsid w:val="00CE1582"/>
    <w:rsid w:val="00CE15FA"/>
    <w:rsid w:val="00CE1668"/>
    <w:rsid w:val="00CE1C6A"/>
    <w:rsid w:val="00CE1E88"/>
    <w:rsid w:val="00CE1E9C"/>
    <w:rsid w:val="00CE20E1"/>
    <w:rsid w:val="00CE226E"/>
    <w:rsid w:val="00CE2291"/>
    <w:rsid w:val="00CE2342"/>
    <w:rsid w:val="00CE25AF"/>
    <w:rsid w:val="00CE262E"/>
    <w:rsid w:val="00CE2631"/>
    <w:rsid w:val="00CE2780"/>
    <w:rsid w:val="00CE281B"/>
    <w:rsid w:val="00CE2903"/>
    <w:rsid w:val="00CE2E85"/>
    <w:rsid w:val="00CE34A3"/>
    <w:rsid w:val="00CE34BB"/>
    <w:rsid w:val="00CE35B9"/>
    <w:rsid w:val="00CE3799"/>
    <w:rsid w:val="00CE37C8"/>
    <w:rsid w:val="00CE37F7"/>
    <w:rsid w:val="00CE397D"/>
    <w:rsid w:val="00CE3CAA"/>
    <w:rsid w:val="00CE3D03"/>
    <w:rsid w:val="00CE3E93"/>
    <w:rsid w:val="00CE415F"/>
    <w:rsid w:val="00CE4618"/>
    <w:rsid w:val="00CE4A44"/>
    <w:rsid w:val="00CE4CEC"/>
    <w:rsid w:val="00CE4D93"/>
    <w:rsid w:val="00CE4E33"/>
    <w:rsid w:val="00CE4FB2"/>
    <w:rsid w:val="00CE52B0"/>
    <w:rsid w:val="00CE53E5"/>
    <w:rsid w:val="00CE566C"/>
    <w:rsid w:val="00CE56E9"/>
    <w:rsid w:val="00CE592B"/>
    <w:rsid w:val="00CE5D17"/>
    <w:rsid w:val="00CE5DB8"/>
    <w:rsid w:val="00CE5E61"/>
    <w:rsid w:val="00CE607B"/>
    <w:rsid w:val="00CE612B"/>
    <w:rsid w:val="00CE63A1"/>
    <w:rsid w:val="00CE641F"/>
    <w:rsid w:val="00CE64E3"/>
    <w:rsid w:val="00CE6506"/>
    <w:rsid w:val="00CE652C"/>
    <w:rsid w:val="00CE664F"/>
    <w:rsid w:val="00CE68DB"/>
    <w:rsid w:val="00CE6C45"/>
    <w:rsid w:val="00CE6E7B"/>
    <w:rsid w:val="00CE6E81"/>
    <w:rsid w:val="00CE70F3"/>
    <w:rsid w:val="00CE7262"/>
    <w:rsid w:val="00CE72AB"/>
    <w:rsid w:val="00CE72EC"/>
    <w:rsid w:val="00CE7780"/>
    <w:rsid w:val="00CE77E6"/>
    <w:rsid w:val="00CE7929"/>
    <w:rsid w:val="00CE7AD6"/>
    <w:rsid w:val="00CE7F15"/>
    <w:rsid w:val="00CE7F5D"/>
    <w:rsid w:val="00CE7F80"/>
    <w:rsid w:val="00CF0139"/>
    <w:rsid w:val="00CF0242"/>
    <w:rsid w:val="00CF03E9"/>
    <w:rsid w:val="00CF09AC"/>
    <w:rsid w:val="00CF0A54"/>
    <w:rsid w:val="00CF0B2A"/>
    <w:rsid w:val="00CF0E0D"/>
    <w:rsid w:val="00CF0E1C"/>
    <w:rsid w:val="00CF0EB3"/>
    <w:rsid w:val="00CF0F8C"/>
    <w:rsid w:val="00CF106F"/>
    <w:rsid w:val="00CF10AD"/>
    <w:rsid w:val="00CF12A1"/>
    <w:rsid w:val="00CF13EC"/>
    <w:rsid w:val="00CF153A"/>
    <w:rsid w:val="00CF1545"/>
    <w:rsid w:val="00CF17C1"/>
    <w:rsid w:val="00CF194A"/>
    <w:rsid w:val="00CF1AE3"/>
    <w:rsid w:val="00CF1BE1"/>
    <w:rsid w:val="00CF1BFE"/>
    <w:rsid w:val="00CF1D15"/>
    <w:rsid w:val="00CF1E43"/>
    <w:rsid w:val="00CF2117"/>
    <w:rsid w:val="00CF221A"/>
    <w:rsid w:val="00CF25AB"/>
    <w:rsid w:val="00CF2902"/>
    <w:rsid w:val="00CF2929"/>
    <w:rsid w:val="00CF2A6A"/>
    <w:rsid w:val="00CF2B98"/>
    <w:rsid w:val="00CF2CA0"/>
    <w:rsid w:val="00CF2D41"/>
    <w:rsid w:val="00CF2DC1"/>
    <w:rsid w:val="00CF2F54"/>
    <w:rsid w:val="00CF3190"/>
    <w:rsid w:val="00CF31D1"/>
    <w:rsid w:val="00CF31F5"/>
    <w:rsid w:val="00CF332F"/>
    <w:rsid w:val="00CF348C"/>
    <w:rsid w:val="00CF34B1"/>
    <w:rsid w:val="00CF34E7"/>
    <w:rsid w:val="00CF3812"/>
    <w:rsid w:val="00CF399C"/>
    <w:rsid w:val="00CF4103"/>
    <w:rsid w:val="00CF4117"/>
    <w:rsid w:val="00CF422E"/>
    <w:rsid w:val="00CF42BA"/>
    <w:rsid w:val="00CF42E7"/>
    <w:rsid w:val="00CF4393"/>
    <w:rsid w:val="00CF44A6"/>
    <w:rsid w:val="00CF4725"/>
    <w:rsid w:val="00CF4A6F"/>
    <w:rsid w:val="00CF4ADD"/>
    <w:rsid w:val="00CF4B2F"/>
    <w:rsid w:val="00CF4B85"/>
    <w:rsid w:val="00CF4C0D"/>
    <w:rsid w:val="00CF4C77"/>
    <w:rsid w:val="00CF4CD5"/>
    <w:rsid w:val="00CF4D0F"/>
    <w:rsid w:val="00CF50DC"/>
    <w:rsid w:val="00CF515F"/>
    <w:rsid w:val="00CF517F"/>
    <w:rsid w:val="00CF5239"/>
    <w:rsid w:val="00CF58C6"/>
    <w:rsid w:val="00CF58C9"/>
    <w:rsid w:val="00CF58D8"/>
    <w:rsid w:val="00CF5A48"/>
    <w:rsid w:val="00CF5A5A"/>
    <w:rsid w:val="00CF5ACC"/>
    <w:rsid w:val="00CF5CC7"/>
    <w:rsid w:val="00CF5DC7"/>
    <w:rsid w:val="00CF5F3E"/>
    <w:rsid w:val="00CF5FB0"/>
    <w:rsid w:val="00CF6546"/>
    <w:rsid w:val="00CF6978"/>
    <w:rsid w:val="00CF6A29"/>
    <w:rsid w:val="00CF6B31"/>
    <w:rsid w:val="00CF6E9D"/>
    <w:rsid w:val="00CF6F87"/>
    <w:rsid w:val="00CF7090"/>
    <w:rsid w:val="00CF71D7"/>
    <w:rsid w:val="00CF72AE"/>
    <w:rsid w:val="00CF72FE"/>
    <w:rsid w:val="00CF73DF"/>
    <w:rsid w:val="00CF74A5"/>
    <w:rsid w:val="00CF7543"/>
    <w:rsid w:val="00CF76B1"/>
    <w:rsid w:val="00CF77AC"/>
    <w:rsid w:val="00CF7A3E"/>
    <w:rsid w:val="00CF7A98"/>
    <w:rsid w:val="00CF7C0E"/>
    <w:rsid w:val="00CF7CA6"/>
    <w:rsid w:val="00CF7D54"/>
    <w:rsid w:val="00CF7F85"/>
    <w:rsid w:val="00D00010"/>
    <w:rsid w:val="00D00174"/>
    <w:rsid w:val="00D00224"/>
    <w:rsid w:val="00D0047F"/>
    <w:rsid w:val="00D00AEF"/>
    <w:rsid w:val="00D00D6E"/>
    <w:rsid w:val="00D00E2E"/>
    <w:rsid w:val="00D00FE1"/>
    <w:rsid w:val="00D01134"/>
    <w:rsid w:val="00D0119A"/>
    <w:rsid w:val="00D015C7"/>
    <w:rsid w:val="00D01663"/>
    <w:rsid w:val="00D016D6"/>
    <w:rsid w:val="00D0172A"/>
    <w:rsid w:val="00D01730"/>
    <w:rsid w:val="00D01815"/>
    <w:rsid w:val="00D018A6"/>
    <w:rsid w:val="00D01AC0"/>
    <w:rsid w:val="00D01C76"/>
    <w:rsid w:val="00D01CF8"/>
    <w:rsid w:val="00D01DD8"/>
    <w:rsid w:val="00D01E92"/>
    <w:rsid w:val="00D021DA"/>
    <w:rsid w:val="00D02230"/>
    <w:rsid w:val="00D02322"/>
    <w:rsid w:val="00D025F3"/>
    <w:rsid w:val="00D02689"/>
    <w:rsid w:val="00D02A7F"/>
    <w:rsid w:val="00D02B40"/>
    <w:rsid w:val="00D02C2B"/>
    <w:rsid w:val="00D02DE2"/>
    <w:rsid w:val="00D02FA3"/>
    <w:rsid w:val="00D03090"/>
    <w:rsid w:val="00D030A3"/>
    <w:rsid w:val="00D030C5"/>
    <w:rsid w:val="00D03223"/>
    <w:rsid w:val="00D033A8"/>
    <w:rsid w:val="00D033FA"/>
    <w:rsid w:val="00D034A0"/>
    <w:rsid w:val="00D034CD"/>
    <w:rsid w:val="00D03578"/>
    <w:rsid w:val="00D03635"/>
    <w:rsid w:val="00D03754"/>
    <w:rsid w:val="00D03A59"/>
    <w:rsid w:val="00D03ACA"/>
    <w:rsid w:val="00D03BD7"/>
    <w:rsid w:val="00D03D14"/>
    <w:rsid w:val="00D03D23"/>
    <w:rsid w:val="00D0416C"/>
    <w:rsid w:val="00D041ED"/>
    <w:rsid w:val="00D04211"/>
    <w:rsid w:val="00D04312"/>
    <w:rsid w:val="00D04344"/>
    <w:rsid w:val="00D043CC"/>
    <w:rsid w:val="00D04622"/>
    <w:rsid w:val="00D04797"/>
    <w:rsid w:val="00D04879"/>
    <w:rsid w:val="00D048A5"/>
    <w:rsid w:val="00D048B2"/>
    <w:rsid w:val="00D048DC"/>
    <w:rsid w:val="00D04AE9"/>
    <w:rsid w:val="00D04B7C"/>
    <w:rsid w:val="00D04BC3"/>
    <w:rsid w:val="00D04CCA"/>
    <w:rsid w:val="00D04DC4"/>
    <w:rsid w:val="00D050F2"/>
    <w:rsid w:val="00D052D7"/>
    <w:rsid w:val="00D05419"/>
    <w:rsid w:val="00D0557D"/>
    <w:rsid w:val="00D055DB"/>
    <w:rsid w:val="00D05905"/>
    <w:rsid w:val="00D05AEA"/>
    <w:rsid w:val="00D05BF5"/>
    <w:rsid w:val="00D05C72"/>
    <w:rsid w:val="00D05E1C"/>
    <w:rsid w:val="00D05EB3"/>
    <w:rsid w:val="00D05FCF"/>
    <w:rsid w:val="00D05FD7"/>
    <w:rsid w:val="00D06035"/>
    <w:rsid w:val="00D062A1"/>
    <w:rsid w:val="00D0635E"/>
    <w:rsid w:val="00D06561"/>
    <w:rsid w:val="00D0658B"/>
    <w:rsid w:val="00D06608"/>
    <w:rsid w:val="00D06771"/>
    <w:rsid w:val="00D06A87"/>
    <w:rsid w:val="00D06C81"/>
    <w:rsid w:val="00D06F3C"/>
    <w:rsid w:val="00D07116"/>
    <w:rsid w:val="00D0716C"/>
    <w:rsid w:val="00D071EA"/>
    <w:rsid w:val="00D07429"/>
    <w:rsid w:val="00D07438"/>
    <w:rsid w:val="00D07624"/>
    <w:rsid w:val="00D07760"/>
    <w:rsid w:val="00D07A85"/>
    <w:rsid w:val="00D07B1D"/>
    <w:rsid w:val="00D07D59"/>
    <w:rsid w:val="00D07EF1"/>
    <w:rsid w:val="00D1018C"/>
    <w:rsid w:val="00D10588"/>
    <w:rsid w:val="00D10598"/>
    <w:rsid w:val="00D108DD"/>
    <w:rsid w:val="00D109BB"/>
    <w:rsid w:val="00D109F5"/>
    <w:rsid w:val="00D10CBC"/>
    <w:rsid w:val="00D10D51"/>
    <w:rsid w:val="00D10D99"/>
    <w:rsid w:val="00D10E0A"/>
    <w:rsid w:val="00D10E4A"/>
    <w:rsid w:val="00D10F81"/>
    <w:rsid w:val="00D11159"/>
    <w:rsid w:val="00D11197"/>
    <w:rsid w:val="00D117FA"/>
    <w:rsid w:val="00D119D3"/>
    <w:rsid w:val="00D11C4D"/>
    <w:rsid w:val="00D11CE9"/>
    <w:rsid w:val="00D11D04"/>
    <w:rsid w:val="00D11D05"/>
    <w:rsid w:val="00D11DD2"/>
    <w:rsid w:val="00D120B2"/>
    <w:rsid w:val="00D12107"/>
    <w:rsid w:val="00D1217E"/>
    <w:rsid w:val="00D121CE"/>
    <w:rsid w:val="00D1231D"/>
    <w:rsid w:val="00D123AD"/>
    <w:rsid w:val="00D12662"/>
    <w:rsid w:val="00D12689"/>
    <w:rsid w:val="00D12704"/>
    <w:rsid w:val="00D12C05"/>
    <w:rsid w:val="00D12F68"/>
    <w:rsid w:val="00D13010"/>
    <w:rsid w:val="00D1301D"/>
    <w:rsid w:val="00D130C6"/>
    <w:rsid w:val="00D1321A"/>
    <w:rsid w:val="00D132BB"/>
    <w:rsid w:val="00D13449"/>
    <w:rsid w:val="00D134A0"/>
    <w:rsid w:val="00D13948"/>
    <w:rsid w:val="00D13DEC"/>
    <w:rsid w:val="00D13EF3"/>
    <w:rsid w:val="00D1400A"/>
    <w:rsid w:val="00D1429A"/>
    <w:rsid w:val="00D146C2"/>
    <w:rsid w:val="00D14823"/>
    <w:rsid w:val="00D14880"/>
    <w:rsid w:val="00D148D7"/>
    <w:rsid w:val="00D148F6"/>
    <w:rsid w:val="00D14931"/>
    <w:rsid w:val="00D149B0"/>
    <w:rsid w:val="00D14AB2"/>
    <w:rsid w:val="00D14DDE"/>
    <w:rsid w:val="00D14E76"/>
    <w:rsid w:val="00D14F8F"/>
    <w:rsid w:val="00D152CE"/>
    <w:rsid w:val="00D153C4"/>
    <w:rsid w:val="00D15909"/>
    <w:rsid w:val="00D159F2"/>
    <w:rsid w:val="00D15A49"/>
    <w:rsid w:val="00D15ACD"/>
    <w:rsid w:val="00D15B12"/>
    <w:rsid w:val="00D15BC8"/>
    <w:rsid w:val="00D15D9F"/>
    <w:rsid w:val="00D15F3D"/>
    <w:rsid w:val="00D1603F"/>
    <w:rsid w:val="00D165A7"/>
    <w:rsid w:val="00D16A02"/>
    <w:rsid w:val="00D16BC8"/>
    <w:rsid w:val="00D16C08"/>
    <w:rsid w:val="00D16D58"/>
    <w:rsid w:val="00D16D87"/>
    <w:rsid w:val="00D1701D"/>
    <w:rsid w:val="00D170F7"/>
    <w:rsid w:val="00D17245"/>
    <w:rsid w:val="00D17249"/>
    <w:rsid w:val="00D173B4"/>
    <w:rsid w:val="00D17948"/>
    <w:rsid w:val="00D17AAC"/>
    <w:rsid w:val="00D17B3E"/>
    <w:rsid w:val="00D17C1D"/>
    <w:rsid w:val="00D17C66"/>
    <w:rsid w:val="00D17CC0"/>
    <w:rsid w:val="00D17DB4"/>
    <w:rsid w:val="00D17E94"/>
    <w:rsid w:val="00D17EA5"/>
    <w:rsid w:val="00D17F6E"/>
    <w:rsid w:val="00D17FF1"/>
    <w:rsid w:val="00D204BB"/>
    <w:rsid w:val="00D205B6"/>
    <w:rsid w:val="00D207A8"/>
    <w:rsid w:val="00D2080C"/>
    <w:rsid w:val="00D208A1"/>
    <w:rsid w:val="00D20951"/>
    <w:rsid w:val="00D20B17"/>
    <w:rsid w:val="00D20BC3"/>
    <w:rsid w:val="00D20D1F"/>
    <w:rsid w:val="00D20E42"/>
    <w:rsid w:val="00D20E71"/>
    <w:rsid w:val="00D20F3A"/>
    <w:rsid w:val="00D21024"/>
    <w:rsid w:val="00D21278"/>
    <w:rsid w:val="00D213AE"/>
    <w:rsid w:val="00D213F3"/>
    <w:rsid w:val="00D215A3"/>
    <w:rsid w:val="00D21617"/>
    <w:rsid w:val="00D21B83"/>
    <w:rsid w:val="00D21DCB"/>
    <w:rsid w:val="00D22025"/>
    <w:rsid w:val="00D220B7"/>
    <w:rsid w:val="00D22166"/>
    <w:rsid w:val="00D2218A"/>
    <w:rsid w:val="00D22498"/>
    <w:rsid w:val="00D225FC"/>
    <w:rsid w:val="00D227C3"/>
    <w:rsid w:val="00D22837"/>
    <w:rsid w:val="00D22C40"/>
    <w:rsid w:val="00D22DE6"/>
    <w:rsid w:val="00D22E3A"/>
    <w:rsid w:val="00D23202"/>
    <w:rsid w:val="00D233EF"/>
    <w:rsid w:val="00D23646"/>
    <w:rsid w:val="00D236D8"/>
    <w:rsid w:val="00D23A58"/>
    <w:rsid w:val="00D23C62"/>
    <w:rsid w:val="00D23D0E"/>
    <w:rsid w:val="00D23D86"/>
    <w:rsid w:val="00D23D94"/>
    <w:rsid w:val="00D23E05"/>
    <w:rsid w:val="00D23E2A"/>
    <w:rsid w:val="00D23FEB"/>
    <w:rsid w:val="00D24119"/>
    <w:rsid w:val="00D24198"/>
    <w:rsid w:val="00D24233"/>
    <w:rsid w:val="00D244A2"/>
    <w:rsid w:val="00D24808"/>
    <w:rsid w:val="00D2490B"/>
    <w:rsid w:val="00D2498A"/>
    <w:rsid w:val="00D24BDE"/>
    <w:rsid w:val="00D24D37"/>
    <w:rsid w:val="00D24D41"/>
    <w:rsid w:val="00D24F85"/>
    <w:rsid w:val="00D25010"/>
    <w:rsid w:val="00D25209"/>
    <w:rsid w:val="00D252BF"/>
    <w:rsid w:val="00D252C8"/>
    <w:rsid w:val="00D25412"/>
    <w:rsid w:val="00D255B7"/>
    <w:rsid w:val="00D2575E"/>
    <w:rsid w:val="00D2580F"/>
    <w:rsid w:val="00D259B3"/>
    <w:rsid w:val="00D259FC"/>
    <w:rsid w:val="00D25A86"/>
    <w:rsid w:val="00D25A91"/>
    <w:rsid w:val="00D25AB8"/>
    <w:rsid w:val="00D25BB3"/>
    <w:rsid w:val="00D25C66"/>
    <w:rsid w:val="00D25FB1"/>
    <w:rsid w:val="00D264AD"/>
    <w:rsid w:val="00D26809"/>
    <w:rsid w:val="00D26856"/>
    <w:rsid w:val="00D2693C"/>
    <w:rsid w:val="00D2698D"/>
    <w:rsid w:val="00D26AA6"/>
    <w:rsid w:val="00D26AAE"/>
    <w:rsid w:val="00D26BF9"/>
    <w:rsid w:val="00D26DA8"/>
    <w:rsid w:val="00D26ECC"/>
    <w:rsid w:val="00D27093"/>
    <w:rsid w:val="00D2745B"/>
    <w:rsid w:val="00D27A5F"/>
    <w:rsid w:val="00D27B4A"/>
    <w:rsid w:val="00D27B87"/>
    <w:rsid w:val="00D27D9F"/>
    <w:rsid w:val="00D27E7A"/>
    <w:rsid w:val="00D303ED"/>
    <w:rsid w:val="00D30585"/>
    <w:rsid w:val="00D3089A"/>
    <w:rsid w:val="00D308C0"/>
    <w:rsid w:val="00D30961"/>
    <w:rsid w:val="00D309D5"/>
    <w:rsid w:val="00D30C35"/>
    <w:rsid w:val="00D30E3D"/>
    <w:rsid w:val="00D30EB9"/>
    <w:rsid w:val="00D31118"/>
    <w:rsid w:val="00D311A0"/>
    <w:rsid w:val="00D311C7"/>
    <w:rsid w:val="00D312DC"/>
    <w:rsid w:val="00D315D7"/>
    <w:rsid w:val="00D31773"/>
    <w:rsid w:val="00D3178B"/>
    <w:rsid w:val="00D317F5"/>
    <w:rsid w:val="00D31A69"/>
    <w:rsid w:val="00D31AA3"/>
    <w:rsid w:val="00D31BF6"/>
    <w:rsid w:val="00D31D95"/>
    <w:rsid w:val="00D31DBB"/>
    <w:rsid w:val="00D31EC1"/>
    <w:rsid w:val="00D31F2A"/>
    <w:rsid w:val="00D31FEB"/>
    <w:rsid w:val="00D32150"/>
    <w:rsid w:val="00D32391"/>
    <w:rsid w:val="00D3239C"/>
    <w:rsid w:val="00D32417"/>
    <w:rsid w:val="00D324AA"/>
    <w:rsid w:val="00D325A1"/>
    <w:rsid w:val="00D328A7"/>
    <w:rsid w:val="00D32A44"/>
    <w:rsid w:val="00D32DCD"/>
    <w:rsid w:val="00D32E51"/>
    <w:rsid w:val="00D32EF4"/>
    <w:rsid w:val="00D3314B"/>
    <w:rsid w:val="00D3321A"/>
    <w:rsid w:val="00D33261"/>
    <w:rsid w:val="00D3332B"/>
    <w:rsid w:val="00D333C5"/>
    <w:rsid w:val="00D3349F"/>
    <w:rsid w:val="00D336C1"/>
    <w:rsid w:val="00D337FF"/>
    <w:rsid w:val="00D339EF"/>
    <w:rsid w:val="00D339FE"/>
    <w:rsid w:val="00D33B36"/>
    <w:rsid w:val="00D33BEE"/>
    <w:rsid w:val="00D33E23"/>
    <w:rsid w:val="00D33E8A"/>
    <w:rsid w:val="00D33F01"/>
    <w:rsid w:val="00D341EB"/>
    <w:rsid w:val="00D3459C"/>
    <w:rsid w:val="00D345B6"/>
    <w:rsid w:val="00D345F9"/>
    <w:rsid w:val="00D346AF"/>
    <w:rsid w:val="00D34799"/>
    <w:rsid w:val="00D3489E"/>
    <w:rsid w:val="00D348BF"/>
    <w:rsid w:val="00D34978"/>
    <w:rsid w:val="00D34E3A"/>
    <w:rsid w:val="00D34EC0"/>
    <w:rsid w:val="00D34F31"/>
    <w:rsid w:val="00D34F94"/>
    <w:rsid w:val="00D35067"/>
    <w:rsid w:val="00D35226"/>
    <w:rsid w:val="00D35239"/>
    <w:rsid w:val="00D35252"/>
    <w:rsid w:val="00D35333"/>
    <w:rsid w:val="00D3579F"/>
    <w:rsid w:val="00D358E9"/>
    <w:rsid w:val="00D359F0"/>
    <w:rsid w:val="00D359F8"/>
    <w:rsid w:val="00D35A85"/>
    <w:rsid w:val="00D35CA8"/>
    <w:rsid w:val="00D35DF4"/>
    <w:rsid w:val="00D35EB8"/>
    <w:rsid w:val="00D35F8A"/>
    <w:rsid w:val="00D363D2"/>
    <w:rsid w:val="00D366B9"/>
    <w:rsid w:val="00D368B8"/>
    <w:rsid w:val="00D3691D"/>
    <w:rsid w:val="00D36A9C"/>
    <w:rsid w:val="00D36C51"/>
    <w:rsid w:val="00D36E31"/>
    <w:rsid w:val="00D371D2"/>
    <w:rsid w:val="00D373DF"/>
    <w:rsid w:val="00D3772F"/>
    <w:rsid w:val="00D377C2"/>
    <w:rsid w:val="00D37967"/>
    <w:rsid w:val="00D379C0"/>
    <w:rsid w:val="00D379FC"/>
    <w:rsid w:val="00D37A40"/>
    <w:rsid w:val="00D37A6A"/>
    <w:rsid w:val="00D37BFA"/>
    <w:rsid w:val="00D37DD7"/>
    <w:rsid w:val="00D4046E"/>
    <w:rsid w:val="00D405D2"/>
    <w:rsid w:val="00D40721"/>
    <w:rsid w:val="00D4079B"/>
    <w:rsid w:val="00D40946"/>
    <w:rsid w:val="00D40A98"/>
    <w:rsid w:val="00D40ABC"/>
    <w:rsid w:val="00D40ACD"/>
    <w:rsid w:val="00D40D7C"/>
    <w:rsid w:val="00D40E8E"/>
    <w:rsid w:val="00D40EE8"/>
    <w:rsid w:val="00D41256"/>
    <w:rsid w:val="00D413C3"/>
    <w:rsid w:val="00D41473"/>
    <w:rsid w:val="00D414D0"/>
    <w:rsid w:val="00D41580"/>
    <w:rsid w:val="00D416A3"/>
    <w:rsid w:val="00D417EA"/>
    <w:rsid w:val="00D41858"/>
    <w:rsid w:val="00D41BD8"/>
    <w:rsid w:val="00D41D7F"/>
    <w:rsid w:val="00D41F8C"/>
    <w:rsid w:val="00D424EA"/>
    <w:rsid w:val="00D424F8"/>
    <w:rsid w:val="00D426B0"/>
    <w:rsid w:val="00D426B8"/>
    <w:rsid w:val="00D42882"/>
    <w:rsid w:val="00D4290D"/>
    <w:rsid w:val="00D42978"/>
    <w:rsid w:val="00D42A36"/>
    <w:rsid w:val="00D42C01"/>
    <w:rsid w:val="00D42C07"/>
    <w:rsid w:val="00D42C84"/>
    <w:rsid w:val="00D42FC9"/>
    <w:rsid w:val="00D430B7"/>
    <w:rsid w:val="00D4310F"/>
    <w:rsid w:val="00D43137"/>
    <w:rsid w:val="00D4322E"/>
    <w:rsid w:val="00D434D4"/>
    <w:rsid w:val="00D43586"/>
    <w:rsid w:val="00D43720"/>
    <w:rsid w:val="00D43979"/>
    <w:rsid w:val="00D4397B"/>
    <w:rsid w:val="00D43CF6"/>
    <w:rsid w:val="00D44098"/>
    <w:rsid w:val="00D4418B"/>
    <w:rsid w:val="00D442DF"/>
    <w:rsid w:val="00D4446D"/>
    <w:rsid w:val="00D447B1"/>
    <w:rsid w:val="00D4491D"/>
    <w:rsid w:val="00D44A7D"/>
    <w:rsid w:val="00D44BCA"/>
    <w:rsid w:val="00D44CA1"/>
    <w:rsid w:val="00D44CB8"/>
    <w:rsid w:val="00D45199"/>
    <w:rsid w:val="00D4557F"/>
    <w:rsid w:val="00D4560F"/>
    <w:rsid w:val="00D4570E"/>
    <w:rsid w:val="00D45A63"/>
    <w:rsid w:val="00D45B1A"/>
    <w:rsid w:val="00D45B4C"/>
    <w:rsid w:val="00D45C05"/>
    <w:rsid w:val="00D45D75"/>
    <w:rsid w:val="00D45F27"/>
    <w:rsid w:val="00D45FEB"/>
    <w:rsid w:val="00D4634B"/>
    <w:rsid w:val="00D46530"/>
    <w:rsid w:val="00D465E8"/>
    <w:rsid w:val="00D4672C"/>
    <w:rsid w:val="00D4697E"/>
    <w:rsid w:val="00D46C7A"/>
    <w:rsid w:val="00D46DA7"/>
    <w:rsid w:val="00D46E5A"/>
    <w:rsid w:val="00D47002"/>
    <w:rsid w:val="00D4730C"/>
    <w:rsid w:val="00D47455"/>
    <w:rsid w:val="00D4746E"/>
    <w:rsid w:val="00D474C6"/>
    <w:rsid w:val="00D47666"/>
    <w:rsid w:val="00D47717"/>
    <w:rsid w:val="00D47737"/>
    <w:rsid w:val="00D479E0"/>
    <w:rsid w:val="00D47AA6"/>
    <w:rsid w:val="00D47C8F"/>
    <w:rsid w:val="00D47E52"/>
    <w:rsid w:val="00D47E65"/>
    <w:rsid w:val="00D47EB4"/>
    <w:rsid w:val="00D47EC6"/>
    <w:rsid w:val="00D47F3F"/>
    <w:rsid w:val="00D502C0"/>
    <w:rsid w:val="00D50633"/>
    <w:rsid w:val="00D50738"/>
    <w:rsid w:val="00D507D6"/>
    <w:rsid w:val="00D508F5"/>
    <w:rsid w:val="00D509B8"/>
    <w:rsid w:val="00D50B9B"/>
    <w:rsid w:val="00D50C1E"/>
    <w:rsid w:val="00D50F11"/>
    <w:rsid w:val="00D51323"/>
    <w:rsid w:val="00D51422"/>
    <w:rsid w:val="00D5145B"/>
    <w:rsid w:val="00D515D1"/>
    <w:rsid w:val="00D517AF"/>
    <w:rsid w:val="00D51B99"/>
    <w:rsid w:val="00D51C31"/>
    <w:rsid w:val="00D51D7A"/>
    <w:rsid w:val="00D52079"/>
    <w:rsid w:val="00D5224F"/>
    <w:rsid w:val="00D5226C"/>
    <w:rsid w:val="00D522CE"/>
    <w:rsid w:val="00D52793"/>
    <w:rsid w:val="00D5284B"/>
    <w:rsid w:val="00D528A5"/>
    <w:rsid w:val="00D528CC"/>
    <w:rsid w:val="00D5295A"/>
    <w:rsid w:val="00D529FE"/>
    <w:rsid w:val="00D52A2F"/>
    <w:rsid w:val="00D52F41"/>
    <w:rsid w:val="00D53004"/>
    <w:rsid w:val="00D530A3"/>
    <w:rsid w:val="00D532A1"/>
    <w:rsid w:val="00D532A6"/>
    <w:rsid w:val="00D532E8"/>
    <w:rsid w:val="00D534B8"/>
    <w:rsid w:val="00D536F7"/>
    <w:rsid w:val="00D538CB"/>
    <w:rsid w:val="00D5393A"/>
    <w:rsid w:val="00D53948"/>
    <w:rsid w:val="00D53961"/>
    <w:rsid w:val="00D53ACC"/>
    <w:rsid w:val="00D53BE7"/>
    <w:rsid w:val="00D53E04"/>
    <w:rsid w:val="00D53E26"/>
    <w:rsid w:val="00D53E2B"/>
    <w:rsid w:val="00D53F16"/>
    <w:rsid w:val="00D53F61"/>
    <w:rsid w:val="00D53F8F"/>
    <w:rsid w:val="00D54435"/>
    <w:rsid w:val="00D54459"/>
    <w:rsid w:val="00D545B0"/>
    <w:rsid w:val="00D54D34"/>
    <w:rsid w:val="00D55080"/>
    <w:rsid w:val="00D55165"/>
    <w:rsid w:val="00D551FB"/>
    <w:rsid w:val="00D55237"/>
    <w:rsid w:val="00D55410"/>
    <w:rsid w:val="00D5554B"/>
    <w:rsid w:val="00D5555B"/>
    <w:rsid w:val="00D5559C"/>
    <w:rsid w:val="00D55A83"/>
    <w:rsid w:val="00D55C6F"/>
    <w:rsid w:val="00D55EC7"/>
    <w:rsid w:val="00D55F6D"/>
    <w:rsid w:val="00D55F9E"/>
    <w:rsid w:val="00D56023"/>
    <w:rsid w:val="00D560A6"/>
    <w:rsid w:val="00D561A9"/>
    <w:rsid w:val="00D561B3"/>
    <w:rsid w:val="00D561C2"/>
    <w:rsid w:val="00D561ED"/>
    <w:rsid w:val="00D56236"/>
    <w:rsid w:val="00D5625C"/>
    <w:rsid w:val="00D56357"/>
    <w:rsid w:val="00D56576"/>
    <w:rsid w:val="00D565DA"/>
    <w:rsid w:val="00D565EA"/>
    <w:rsid w:val="00D56626"/>
    <w:rsid w:val="00D5684C"/>
    <w:rsid w:val="00D56854"/>
    <w:rsid w:val="00D56868"/>
    <w:rsid w:val="00D56925"/>
    <w:rsid w:val="00D56949"/>
    <w:rsid w:val="00D56991"/>
    <w:rsid w:val="00D56AA7"/>
    <w:rsid w:val="00D56CD4"/>
    <w:rsid w:val="00D56D78"/>
    <w:rsid w:val="00D56F9A"/>
    <w:rsid w:val="00D57019"/>
    <w:rsid w:val="00D570C9"/>
    <w:rsid w:val="00D57153"/>
    <w:rsid w:val="00D57181"/>
    <w:rsid w:val="00D573F4"/>
    <w:rsid w:val="00D5743A"/>
    <w:rsid w:val="00D574DD"/>
    <w:rsid w:val="00D57CC0"/>
    <w:rsid w:val="00D57D37"/>
    <w:rsid w:val="00D57DB2"/>
    <w:rsid w:val="00D57F36"/>
    <w:rsid w:val="00D6022D"/>
    <w:rsid w:val="00D60301"/>
    <w:rsid w:val="00D6039C"/>
    <w:rsid w:val="00D603ED"/>
    <w:rsid w:val="00D604E8"/>
    <w:rsid w:val="00D605F3"/>
    <w:rsid w:val="00D6078A"/>
    <w:rsid w:val="00D6083C"/>
    <w:rsid w:val="00D6084D"/>
    <w:rsid w:val="00D6089A"/>
    <w:rsid w:val="00D60CF0"/>
    <w:rsid w:val="00D60D6E"/>
    <w:rsid w:val="00D60EF3"/>
    <w:rsid w:val="00D61034"/>
    <w:rsid w:val="00D611DB"/>
    <w:rsid w:val="00D611E2"/>
    <w:rsid w:val="00D6138D"/>
    <w:rsid w:val="00D613CF"/>
    <w:rsid w:val="00D61440"/>
    <w:rsid w:val="00D61482"/>
    <w:rsid w:val="00D61568"/>
    <w:rsid w:val="00D61797"/>
    <w:rsid w:val="00D619C7"/>
    <w:rsid w:val="00D61A37"/>
    <w:rsid w:val="00D61B6E"/>
    <w:rsid w:val="00D6201B"/>
    <w:rsid w:val="00D62232"/>
    <w:rsid w:val="00D62435"/>
    <w:rsid w:val="00D62451"/>
    <w:rsid w:val="00D62770"/>
    <w:rsid w:val="00D6284E"/>
    <w:rsid w:val="00D62890"/>
    <w:rsid w:val="00D6293C"/>
    <w:rsid w:val="00D62A19"/>
    <w:rsid w:val="00D62AAF"/>
    <w:rsid w:val="00D62D9D"/>
    <w:rsid w:val="00D6307F"/>
    <w:rsid w:val="00D630D5"/>
    <w:rsid w:val="00D63117"/>
    <w:rsid w:val="00D63131"/>
    <w:rsid w:val="00D63153"/>
    <w:rsid w:val="00D63171"/>
    <w:rsid w:val="00D6350F"/>
    <w:rsid w:val="00D63638"/>
    <w:rsid w:val="00D6365F"/>
    <w:rsid w:val="00D636CD"/>
    <w:rsid w:val="00D63D34"/>
    <w:rsid w:val="00D63DA7"/>
    <w:rsid w:val="00D642F7"/>
    <w:rsid w:val="00D64416"/>
    <w:rsid w:val="00D6446C"/>
    <w:rsid w:val="00D645FC"/>
    <w:rsid w:val="00D64C00"/>
    <w:rsid w:val="00D64C35"/>
    <w:rsid w:val="00D64D94"/>
    <w:rsid w:val="00D64DE2"/>
    <w:rsid w:val="00D64E51"/>
    <w:rsid w:val="00D64E6A"/>
    <w:rsid w:val="00D64F31"/>
    <w:rsid w:val="00D6511B"/>
    <w:rsid w:val="00D651C9"/>
    <w:rsid w:val="00D652CA"/>
    <w:rsid w:val="00D652D2"/>
    <w:rsid w:val="00D6535C"/>
    <w:rsid w:val="00D653B2"/>
    <w:rsid w:val="00D65407"/>
    <w:rsid w:val="00D655D5"/>
    <w:rsid w:val="00D658CF"/>
    <w:rsid w:val="00D65925"/>
    <w:rsid w:val="00D659EC"/>
    <w:rsid w:val="00D65C25"/>
    <w:rsid w:val="00D65C55"/>
    <w:rsid w:val="00D6602C"/>
    <w:rsid w:val="00D660EB"/>
    <w:rsid w:val="00D66361"/>
    <w:rsid w:val="00D6679A"/>
    <w:rsid w:val="00D6681F"/>
    <w:rsid w:val="00D66C67"/>
    <w:rsid w:val="00D66CF1"/>
    <w:rsid w:val="00D66D1A"/>
    <w:rsid w:val="00D66D1E"/>
    <w:rsid w:val="00D670B2"/>
    <w:rsid w:val="00D673EA"/>
    <w:rsid w:val="00D67449"/>
    <w:rsid w:val="00D675D3"/>
    <w:rsid w:val="00D67703"/>
    <w:rsid w:val="00D6771A"/>
    <w:rsid w:val="00D67730"/>
    <w:rsid w:val="00D6776B"/>
    <w:rsid w:val="00D679D7"/>
    <w:rsid w:val="00D67AE8"/>
    <w:rsid w:val="00D67B1B"/>
    <w:rsid w:val="00D67C12"/>
    <w:rsid w:val="00D67CAF"/>
    <w:rsid w:val="00D67CEB"/>
    <w:rsid w:val="00D67D5A"/>
    <w:rsid w:val="00D67DB3"/>
    <w:rsid w:val="00D70183"/>
    <w:rsid w:val="00D702DC"/>
    <w:rsid w:val="00D703C2"/>
    <w:rsid w:val="00D703D2"/>
    <w:rsid w:val="00D70692"/>
    <w:rsid w:val="00D7076A"/>
    <w:rsid w:val="00D70966"/>
    <w:rsid w:val="00D70A7B"/>
    <w:rsid w:val="00D70BAC"/>
    <w:rsid w:val="00D70DDA"/>
    <w:rsid w:val="00D70F4F"/>
    <w:rsid w:val="00D70FF4"/>
    <w:rsid w:val="00D7102A"/>
    <w:rsid w:val="00D712D0"/>
    <w:rsid w:val="00D713F6"/>
    <w:rsid w:val="00D714A0"/>
    <w:rsid w:val="00D715FC"/>
    <w:rsid w:val="00D71C7A"/>
    <w:rsid w:val="00D71CEE"/>
    <w:rsid w:val="00D71DB1"/>
    <w:rsid w:val="00D71E0A"/>
    <w:rsid w:val="00D71E65"/>
    <w:rsid w:val="00D71E77"/>
    <w:rsid w:val="00D71F30"/>
    <w:rsid w:val="00D72044"/>
    <w:rsid w:val="00D7205A"/>
    <w:rsid w:val="00D72216"/>
    <w:rsid w:val="00D7228E"/>
    <w:rsid w:val="00D722FA"/>
    <w:rsid w:val="00D723CF"/>
    <w:rsid w:val="00D72550"/>
    <w:rsid w:val="00D725BE"/>
    <w:rsid w:val="00D7294D"/>
    <w:rsid w:val="00D72A92"/>
    <w:rsid w:val="00D72B42"/>
    <w:rsid w:val="00D72C06"/>
    <w:rsid w:val="00D72E1D"/>
    <w:rsid w:val="00D7301E"/>
    <w:rsid w:val="00D731C5"/>
    <w:rsid w:val="00D731FE"/>
    <w:rsid w:val="00D73202"/>
    <w:rsid w:val="00D73355"/>
    <w:rsid w:val="00D733C6"/>
    <w:rsid w:val="00D73469"/>
    <w:rsid w:val="00D7370C"/>
    <w:rsid w:val="00D73835"/>
    <w:rsid w:val="00D73A2C"/>
    <w:rsid w:val="00D73D09"/>
    <w:rsid w:val="00D73F2F"/>
    <w:rsid w:val="00D73F46"/>
    <w:rsid w:val="00D74088"/>
    <w:rsid w:val="00D7437B"/>
    <w:rsid w:val="00D74513"/>
    <w:rsid w:val="00D747F2"/>
    <w:rsid w:val="00D7481C"/>
    <w:rsid w:val="00D7489D"/>
    <w:rsid w:val="00D74D89"/>
    <w:rsid w:val="00D75478"/>
    <w:rsid w:val="00D754FC"/>
    <w:rsid w:val="00D755E8"/>
    <w:rsid w:val="00D75A45"/>
    <w:rsid w:val="00D75A90"/>
    <w:rsid w:val="00D75B15"/>
    <w:rsid w:val="00D75BA1"/>
    <w:rsid w:val="00D75C7A"/>
    <w:rsid w:val="00D75FA7"/>
    <w:rsid w:val="00D76298"/>
    <w:rsid w:val="00D76325"/>
    <w:rsid w:val="00D76345"/>
    <w:rsid w:val="00D764A8"/>
    <w:rsid w:val="00D76645"/>
    <w:rsid w:val="00D766B4"/>
    <w:rsid w:val="00D76895"/>
    <w:rsid w:val="00D76A9D"/>
    <w:rsid w:val="00D76AF4"/>
    <w:rsid w:val="00D76B38"/>
    <w:rsid w:val="00D76BC8"/>
    <w:rsid w:val="00D76D04"/>
    <w:rsid w:val="00D76DCF"/>
    <w:rsid w:val="00D76EA1"/>
    <w:rsid w:val="00D76EAC"/>
    <w:rsid w:val="00D77091"/>
    <w:rsid w:val="00D77202"/>
    <w:rsid w:val="00D7743F"/>
    <w:rsid w:val="00D7744A"/>
    <w:rsid w:val="00D7763B"/>
    <w:rsid w:val="00D776CA"/>
    <w:rsid w:val="00D777F1"/>
    <w:rsid w:val="00D77884"/>
    <w:rsid w:val="00D77886"/>
    <w:rsid w:val="00D77AAC"/>
    <w:rsid w:val="00D77C77"/>
    <w:rsid w:val="00D77E05"/>
    <w:rsid w:val="00D77EB2"/>
    <w:rsid w:val="00D80028"/>
    <w:rsid w:val="00D80136"/>
    <w:rsid w:val="00D801A4"/>
    <w:rsid w:val="00D80272"/>
    <w:rsid w:val="00D80588"/>
    <w:rsid w:val="00D80625"/>
    <w:rsid w:val="00D8081F"/>
    <w:rsid w:val="00D8099A"/>
    <w:rsid w:val="00D80AB8"/>
    <w:rsid w:val="00D80B54"/>
    <w:rsid w:val="00D80C31"/>
    <w:rsid w:val="00D81030"/>
    <w:rsid w:val="00D81414"/>
    <w:rsid w:val="00D8145E"/>
    <w:rsid w:val="00D814ED"/>
    <w:rsid w:val="00D81658"/>
    <w:rsid w:val="00D816FB"/>
    <w:rsid w:val="00D8193E"/>
    <w:rsid w:val="00D81998"/>
    <w:rsid w:val="00D819E2"/>
    <w:rsid w:val="00D81D49"/>
    <w:rsid w:val="00D81DEE"/>
    <w:rsid w:val="00D81EAF"/>
    <w:rsid w:val="00D81F4E"/>
    <w:rsid w:val="00D81F82"/>
    <w:rsid w:val="00D81FB8"/>
    <w:rsid w:val="00D820F1"/>
    <w:rsid w:val="00D82292"/>
    <w:rsid w:val="00D822AC"/>
    <w:rsid w:val="00D822EA"/>
    <w:rsid w:val="00D822F3"/>
    <w:rsid w:val="00D826C9"/>
    <w:rsid w:val="00D8292B"/>
    <w:rsid w:val="00D82982"/>
    <w:rsid w:val="00D83078"/>
    <w:rsid w:val="00D83227"/>
    <w:rsid w:val="00D83597"/>
    <w:rsid w:val="00D83927"/>
    <w:rsid w:val="00D839E0"/>
    <w:rsid w:val="00D83AF8"/>
    <w:rsid w:val="00D83B3E"/>
    <w:rsid w:val="00D83C04"/>
    <w:rsid w:val="00D83D88"/>
    <w:rsid w:val="00D83E58"/>
    <w:rsid w:val="00D84095"/>
    <w:rsid w:val="00D840CB"/>
    <w:rsid w:val="00D84111"/>
    <w:rsid w:val="00D841FC"/>
    <w:rsid w:val="00D8422A"/>
    <w:rsid w:val="00D84355"/>
    <w:rsid w:val="00D847C2"/>
    <w:rsid w:val="00D84854"/>
    <w:rsid w:val="00D84A49"/>
    <w:rsid w:val="00D84B0E"/>
    <w:rsid w:val="00D84EC2"/>
    <w:rsid w:val="00D84ED5"/>
    <w:rsid w:val="00D84F49"/>
    <w:rsid w:val="00D85181"/>
    <w:rsid w:val="00D851F7"/>
    <w:rsid w:val="00D85570"/>
    <w:rsid w:val="00D85884"/>
    <w:rsid w:val="00D85DD7"/>
    <w:rsid w:val="00D85E3D"/>
    <w:rsid w:val="00D85F3F"/>
    <w:rsid w:val="00D85F4E"/>
    <w:rsid w:val="00D8615C"/>
    <w:rsid w:val="00D862BA"/>
    <w:rsid w:val="00D864E9"/>
    <w:rsid w:val="00D865EB"/>
    <w:rsid w:val="00D86669"/>
    <w:rsid w:val="00D866E8"/>
    <w:rsid w:val="00D86740"/>
    <w:rsid w:val="00D867CC"/>
    <w:rsid w:val="00D86908"/>
    <w:rsid w:val="00D8692E"/>
    <w:rsid w:val="00D86933"/>
    <w:rsid w:val="00D86954"/>
    <w:rsid w:val="00D8696B"/>
    <w:rsid w:val="00D86B8F"/>
    <w:rsid w:val="00D86F98"/>
    <w:rsid w:val="00D87039"/>
    <w:rsid w:val="00D8704D"/>
    <w:rsid w:val="00D870D5"/>
    <w:rsid w:val="00D870DE"/>
    <w:rsid w:val="00D87235"/>
    <w:rsid w:val="00D872F5"/>
    <w:rsid w:val="00D87329"/>
    <w:rsid w:val="00D87370"/>
    <w:rsid w:val="00D87621"/>
    <w:rsid w:val="00D879C9"/>
    <w:rsid w:val="00D87B3E"/>
    <w:rsid w:val="00D87E45"/>
    <w:rsid w:val="00D87EB1"/>
    <w:rsid w:val="00D900E9"/>
    <w:rsid w:val="00D901DD"/>
    <w:rsid w:val="00D9027C"/>
    <w:rsid w:val="00D90534"/>
    <w:rsid w:val="00D907A2"/>
    <w:rsid w:val="00D907C3"/>
    <w:rsid w:val="00D9087D"/>
    <w:rsid w:val="00D908D9"/>
    <w:rsid w:val="00D90A52"/>
    <w:rsid w:val="00D90AD9"/>
    <w:rsid w:val="00D90B61"/>
    <w:rsid w:val="00D90C23"/>
    <w:rsid w:val="00D90C34"/>
    <w:rsid w:val="00D90C8C"/>
    <w:rsid w:val="00D90D20"/>
    <w:rsid w:val="00D90D86"/>
    <w:rsid w:val="00D90DF6"/>
    <w:rsid w:val="00D90E3C"/>
    <w:rsid w:val="00D91021"/>
    <w:rsid w:val="00D910C7"/>
    <w:rsid w:val="00D9124F"/>
    <w:rsid w:val="00D91718"/>
    <w:rsid w:val="00D9186E"/>
    <w:rsid w:val="00D919DF"/>
    <w:rsid w:val="00D91D52"/>
    <w:rsid w:val="00D91DB8"/>
    <w:rsid w:val="00D91E59"/>
    <w:rsid w:val="00D91E91"/>
    <w:rsid w:val="00D92020"/>
    <w:rsid w:val="00D92170"/>
    <w:rsid w:val="00D921D9"/>
    <w:rsid w:val="00D92428"/>
    <w:rsid w:val="00D92562"/>
    <w:rsid w:val="00D92650"/>
    <w:rsid w:val="00D926BC"/>
    <w:rsid w:val="00D929EE"/>
    <w:rsid w:val="00D92ADA"/>
    <w:rsid w:val="00D92B5E"/>
    <w:rsid w:val="00D92CCE"/>
    <w:rsid w:val="00D92E58"/>
    <w:rsid w:val="00D92E69"/>
    <w:rsid w:val="00D9318C"/>
    <w:rsid w:val="00D931A6"/>
    <w:rsid w:val="00D93566"/>
    <w:rsid w:val="00D937B7"/>
    <w:rsid w:val="00D9380E"/>
    <w:rsid w:val="00D93903"/>
    <w:rsid w:val="00D93A1D"/>
    <w:rsid w:val="00D93CFB"/>
    <w:rsid w:val="00D93F2A"/>
    <w:rsid w:val="00D9400B"/>
    <w:rsid w:val="00D9428D"/>
    <w:rsid w:val="00D942DC"/>
    <w:rsid w:val="00D9447E"/>
    <w:rsid w:val="00D9449A"/>
    <w:rsid w:val="00D94576"/>
    <w:rsid w:val="00D9474D"/>
    <w:rsid w:val="00D94778"/>
    <w:rsid w:val="00D9495A"/>
    <w:rsid w:val="00D94ACE"/>
    <w:rsid w:val="00D94DD5"/>
    <w:rsid w:val="00D95080"/>
    <w:rsid w:val="00D95141"/>
    <w:rsid w:val="00D953BC"/>
    <w:rsid w:val="00D95574"/>
    <w:rsid w:val="00D955FF"/>
    <w:rsid w:val="00D956CC"/>
    <w:rsid w:val="00D956EA"/>
    <w:rsid w:val="00D95925"/>
    <w:rsid w:val="00D95D17"/>
    <w:rsid w:val="00D95EAF"/>
    <w:rsid w:val="00D95F6F"/>
    <w:rsid w:val="00D95FAF"/>
    <w:rsid w:val="00D9622E"/>
    <w:rsid w:val="00D963F1"/>
    <w:rsid w:val="00D96409"/>
    <w:rsid w:val="00D964D5"/>
    <w:rsid w:val="00D9655F"/>
    <w:rsid w:val="00D965F0"/>
    <w:rsid w:val="00D96741"/>
    <w:rsid w:val="00D9686F"/>
    <w:rsid w:val="00D969FC"/>
    <w:rsid w:val="00D96A51"/>
    <w:rsid w:val="00D96B06"/>
    <w:rsid w:val="00D96C60"/>
    <w:rsid w:val="00D96F10"/>
    <w:rsid w:val="00D96F20"/>
    <w:rsid w:val="00D970E5"/>
    <w:rsid w:val="00D97389"/>
    <w:rsid w:val="00D9756E"/>
    <w:rsid w:val="00D97638"/>
    <w:rsid w:val="00D9763B"/>
    <w:rsid w:val="00D9765B"/>
    <w:rsid w:val="00D976F2"/>
    <w:rsid w:val="00D97736"/>
    <w:rsid w:val="00D97A45"/>
    <w:rsid w:val="00D97AAF"/>
    <w:rsid w:val="00D97AC4"/>
    <w:rsid w:val="00D97C2B"/>
    <w:rsid w:val="00D97C3F"/>
    <w:rsid w:val="00D97C92"/>
    <w:rsid w:val="00D97D37"/>
    <w:rsid w:val="00D97EFF"/>
    <w:rsid w:val="00D97F36"/>
    <w:rsid w:val="00D97F5C"/>
    <w:rsid w:val="00DA0012"/>
    <w:rsid w:val="00DA0088"/>
    <w:rsid w:val="00DA01C1"/>
    <w:rsid w:val="00DA03D6"/>
    <w:rsid w:val="00DA0580"/>
    <w:rsid w:val="00DA06F0"/>
    <w:rsid w:val="00DA07AA"/>
    <w:rsid w:val="00DA09F4"/>
    <w:rsid w:val="00DA0A84"/>
    <w:rsid w:val="00DA0D5C"/>
    <w:rsid w:val="00DA0E3C"/>
    <w:rsid w:val="00DA0EB8"/>
    <w:rsid w:val="00DA0ECE"/>
    <w:rsid w:val="00DA0F13"/>
    <w:rsid w:val="00DA10C2"/>
    <w:rsid w:val="00DA119B"/>
    <w:rsid w:val="00DA12A4"/>
    <w:rsid w:val="00DA1380"/>
    <w:rsid w:val="00DA1407"/>
    <w:rsid w:val="00DA1486"/>
    <w:rsid w:val="00DA14A6"/>
    <w:rsid w:val="00DA164B"/>
    <w:rsid w:val="00DA1ADE"/>
    <w:rsid w:val="00DA1E08"/>
    <w:rsid w:val="00DA1F38"/>
    <w:rsid w:val="00DA2189"/>
    <w:rsid w:val="00DA21AA"/>
    <w:rsid w:val="00DA2231"/>
    <w:rsid w:val="00DA23A4"/>
    <w:rsid w:val="00DA24FF"/>
    <w:rsid w:val="00DA25F9"/>
    <w:rsid w:val="00DA269F"/>
    <w:rsid w:val="00DA2712"/>
    <w:rsid w:val="00DA2E35"/>
    <w:rsid w:val="00DA2ED4"/>
    <w:rsid w:val="00DA30F6"/>
    <w:rsid w:val="00DA327D"/>
    <w:rsid w:val="00DA32C4"/>
    <w:rsid w:val="00DA33A3"/>
    <w:rsid w:val="00DA33E1"/>
    <w:rsid w:val="00DA35D2"/>
    <w:rsid w:val="00DA369B"/>
    <w:rsid w:val="00DA3702"/>
    <w:rsid w:val="00DA3968"/>
    <w:rsid w:val="00DA39AC"/>
    <w:rsid w:val="00DA3A6C"/>
    <w:rsid w:val="00DA3AD1"/>
    <w:rsid w:val="00DA3BC9"/>
    <w:rsid w:val="00DA3DDD"/>
    <w:rsid w:val="00DA3DE2"/>
    <w:rsid w:val="00DA4113"/>
    <w:rsid w:val="00DA4188"/>
    <w:rsid w:val="00DA419D"/>
    <w:rsid w:val="00DA4270"/>
    <w:rsid w:val="00DA440C"/>
    <w:rsid w:val="00DA4520"/>
    <w:rsid w:val="00DA45A7"/>
    <w:rsid w:val="00DA4708"/>
    <w:rsid w:val="00DA489B"/>
    <w:rsid w:val="00DA4A23"/>
    <w:rsid w:val="00DA4F03"/>
    <w:rsid w:val="00DA50EF"/>
    <w:rsid w:val="00DA52C8"/>
    <w:rsid w:val="00DA52F5"/>
    <w:rsid w:val="00DA54D2"/>
    <w:rsid w:val="00DA55FB"/>
    <w:rsid w:val="00DA57C2"/>
    <w:rsid w:val="00DA588E"/>
    <w:rsid w:val="00DA58A5"/>
    <w:rsid w:val="00DA5910"/>
    <w:rsid w:val="00DA5C4D"/>
    <w:rsid w:val="00DA5EB7"/>
    <w:rsid w:val="00DA5FF2"/>
    <w:rsid w:val="00DA6076"/>
    <w:rsid w:val="00DA6446"/>
    <w:rsid w:val="00DA65ED"/>
    <w:rsid w:val="00DA6731"/>
    <w:rsid w:val="00DA6BF8"/>
    <w:rsid w:val="00DA6D8B"/>
    <w:rsid w:val="00DA72BF"/>
    <w:rsid w:val="00DA7421"/>
    <w:rsid w:val="00DA74AB"/>
    <w:rsid w:val="00DA74C3"/>
    <w:rsid w:val="00DA75C8"/>
    <w:rsid w:val="00DA760B"/>
    <w:rsid w:val="00DA7670"/>
    <w:rsid w:val="00DA784C"/>
    <w:rsid w:val="00DA7A33"/>
    <w:rsid w:val="00DA7AA8"/>
    <w:rsid w:val="00DA7AF5"/>
    <w:rsid w:val="00DA7D82"/>
    <w:rsid w:val="00DA7EE1"/>
    <w:rsid w:val="00DA7FDC"/>
    <w:rsid w:val="00DB0109"/>
    <w:rsid w:val="00DB0477"/>
    <w:rsid w:val="00DB0685"/>
    <w:rsid w:val="00DB0900"/>
    <w:rsid w:val="00DB0992"/>
    <w:rsid w:val="00DB099E"/>
    <w:rsid w:val="00DB09EC"/>
    <w:rsid w:val="00DB0C22"/>
    <w:rsid w:val="00DB0C4D"/>
    <w:rsid w:val="00DB0C63"/>
    <w:rsid w:val="00DB0C72"/>
    <w:rsid w:val="00DB0C78"/>
    <w:rsid w:val="00DB0CE7"/>
    <w:rsid w:val="00DB1072"/>
    <w:rsid w:val="00DB127F"/>
    <w:rsid w:val="00DB12FF"/>
    <w:rsid w:val="00DB137E"/>
    <w:rsid w:val="00DB1625"/>
    <w:rsid w:val="00DB1679"/>
    <w:rsid w:val="00DB16B9"/>
    <w:rsid w:val="00DB183A"/>
    <w:rsid w:val="00DB1914"/>
    <w:rsid w:val="00DB197C"/>
    <w:rsid w:val="00DB1D89"/>
    <w:rsid w:val="00DB1E71"/>
    <w:rsid w:val="00DB2017"/>
    <w:rsid w:val="00DB216A"/>
    <w:rsid w:val="00DB230C"/>
    <w:rsid w:val="00DB2510"/>
    <w:rsid w:val="00DB252A"/>
    <w:rsid w:val="00DB257B"/>
    <w:rsid w:val="00DB25EE"/>
    <w:rsid w:val="00DB26D3"/>
    <w:rsid w:val="00DB26D6"/>
    <w:rsid w:val="00DB27AF"/>
    <w:rsid w:val="00DB296F"/>
    <w:rsid w:val="00DB2B53"/>
    <w:rsid w:val="00DB3421"/>
    <w:rsid w:val="00DB3598"/>
    <w:rsid w:val="00DB35A9"/>
    <w:rsid w:val="00DB386A"/>
    <w:rsid w:val="00DB3940"/>
    <w:rsid w:val="00DB3988"/>
    <w:rsid w:val="00DB3B99"/>
    <w:rsid w:val="00DB3F8B"/>
    <w:rsid w:val="00DB4400"/>
    <w:rsid w:val="00DB4425"/>
    <w:rsid w:val="00DB44A4"/>
    <w:rsid w:val="00DB47BD"/>
    <w:rsid w:val="00DB496F"/>
    <w:rsid w:val="00DB4C98"/>
    <w:rsid w:val="00DB4E55"/>
    <w:rsid w:val="00DB504B"/>
    <w:rsid w:val="00DB5215"/>
    <w:rsid w:val="00DB5624"/>
    <w:rsid w:val="00DB5860"/>
    <w:rsid w:val="00DB5870"/>
    <w:rsid w:val="00DB58D6"/>
    <w:rsid w:val="00DB5BC1"/>
    <w:rsid w:val="00DB5D4B"/>
    <w:rsid w:val="00DB5FA7"/>
    <w:rsid w:val="00DB645F"/>
    <w:rsid w:val="00DB6523"/>
    <w:rsid w:val="00DB698B"/>
    <w:rsid w:val="00DB69A8"/>
    <w:rsid w:val="00DB6C50"/>
    <w:rsid w:val="00DB6C7E"/>
    <w:rsid w:val="00DB6E7B"/>
    <w:rsid w:val="00DB6EB0"/>
    <w:rsid w:val="00DB6F67"/>
    <w:rsid w:val="00DB70AB"/>
    <w:rsid w:val="00DB71CC"/>
    <w:rsid w:val="00DB725D"/>
    <w:rsid w:val="00DB7327"/>
    <w:rsid w:val="00DB738E"/>
    <w:rsid w:val="00DB75AB"/>
    <w:rsid w:val="00DB77DB"/>
    <w:rsid w:val="00DB77E8"/>
    <w:rsid w:val="00DB7804"/>
    <w:rsid w:val="00DB78ED"/>
    <w:rsid w:val="00DB79AC"/>
    <w:rsid w:val="00DB7B30"/>
    <w:rsid w:val="00DB7B54"/>
    <w:rsid w:val="00DC0032"/>
    <w:rsid w:val="00DC01D1"/>
    <w:rsid w:val="00DC03AC"/>
    <w:rsid w:val="00DC03B0"/>
    <w:rsid w:val="00DC04A9"/>
    <w:rsid w:val="00DC04E3"/>
    <w:rsid w:val="00DC0587"/>
    <w:rsid w:val="00DC09B6"/>
    <w:rsid w:val="00DC09D8"/>
    <w:rsid w:val="00DC0B22"/>
    <w:rsid w:val="00DC0CCC"/>
    <w:rsid w:val="00DC0D14"/>
    <w:rsid w:val="00DC0D39"/>
    <w:rsid w:val="00DC0E2B"/>
    <w:rsid w:val="00DC0E60"/>
    <w:rsid w:val="00DC0FF1"/>
    <w:rsid w:val="00DC103F"/>
    <w:rsid w:val="00DC1274"/>
    <w:rsid w:val="00DC1293"/>
    <w:rsid w:val="00DC13EC"/>
    <w:rsid w:val="00DC1485"/>
    <w:rsid w:val="00DC17B5"/>
    <w:rsid w:val="00DC184A"/>
    <w:rsid w:val="00DC194B"/>
    <w:rsid w:val="00DC1981"/>
    <w:rsid w:val="00DC19AC"/>
    <w:rsid w:val="00DC1AF1"/>
    <w:rsid w:val="00DC1DAC"/>
    <w:rsid w:val="00DC1DAE"/>
    <w:rsid w:val="00DC21B9"/>
    <w:rsid w:val="00DC22DE"/>
    <w:rsid w:val="00DC2380"/>
    <w:rsid w:val="00DC2386"/>
    <w:rsid w:val="00DC23E8"/>
    <w:rsid w:val="00DC2556"/>
    <w:rsid w:val="00DC25E0"/>
    <w:rsid w:val="00DC26F5"/>
    <w:rsid w:val="00DC2977"/>
    <w:rsid w:val="00DC2A15"/>
    <w:rsid w:val="00DC2A27"/>
    <w:rsid w:val="00DC2A47"/>
    <w:rsid w:val="00DC2AE1"/>
    <w:rsid w:val="00DC2BAC"/>
    <w:rsid w:val="00DC2CCF"/>
    <w:rsid w:val="00DC2D73"/>
    <w:rsid w:val="00DC2EFC"/>
    <w:rsid w:val="00DC2F28"/>
    <w:rsid w:val="00DC30FB"/>
    <w:rsid w:val="00DC3268"/>
    <w:rsid w:val="00DC3362"/>
    <w:rsid w:val="00DC33A6"/>
    <w:rsid w:val="00DC38AA"/>
    <w:rsid w:val="00DC38F1"/>
    <w:rsid w:val="00DC3A5F"/>
    <w:rsid w:val="00DC3BAB"/>
    <w:rsid w:val="00DC3CE9"/>
    <w:rsid w:val="00DC3D57"/>
    <w:rsid w:val="00DC3DC7"/>
    <w:rsid w:val="00DC3E77"/>
    <w:rsid w:val="00DC3F4C"/>
    <w:rsid w:val="00DC3F74"/>
    <w:rsid w:val="00DC3F7A"/>
    <w:rsid w:val="00DC3FD0"/>
    <w:rsid w:val="00DC40B1"/>
    <w:rsid w:val="00DC4346"/>
    <w:rsid w:val="00DC4612"/>
    <w:rsid w:val="00DC4794"/>
    <w:rsid w:val="00DC4797"/>
    <w:rsid w:val="00DC4859"/>
    <w:rsid w:val="00DC49D0"/>
    <w:rsid w:val="00DC4A97"/>
    <w:rsid w:val="00DC4CA9"/>
    <w:rsid w:val="00DC4CF1"/>
    <w:rsid w:val="00DC4D0E"/>
    <w:rsid w:val="00DC4DDC"/>
    <w:rsid w:val="00DC4ED1"/>
    <w:rsid w:val="00DC5272"/>
    <w:rsid w:val="00DC53E6"/>
    <w:rsid w:val="00DC5439"/>
    <w:rsid w:val="00DC5852"/>
    <w:rsid w:val="00DC5963"/>
    <w:rsid w:val="00DC5A2E"/>
    <w:rsid w:val="00DC5A51"/>
    <w:rsid w:val="00DC5B05"/>
    <w:rsid w:val="00DC5B2A"/>
    <w:rsid w:val="00DC5BE8"/>
    <w:rsid w:val="00DC5D88"/>
    <w:rsid w:val="00DC5DBE"/>
    <w:rsid w:val="00DC5F94"/>
    <w:rsid w:val="00DC61B7"/>
    <w:rsid w:val="00DC6941"/>
    <w:rsid w:val="00DC6ABB"/>
    <w:rsid w:val="00DC6ADA"/>
    <w:rsid w:val="00DC6AFC"/>
    <w:rsid w:val="00DC6BC3"/>
    <w:rsid w:val="00DC6BE5"/>
    <w:rsid w:val="00DC6CBB"/>
    <w:rsid w:val="00DC6D74"/>
    <w:rsid w:val="00DC6DD0"/>
    <w:rsid w:val="00DC6E1E"/>
    <w:rsid w:val="00DC6E77"/>
    <w:rsid w:val="00DC6F1F"/>
    <w:rsid w:val="00DC71D5"/>
    <w:rsid w:val="00DC72A3"/>
    <w:rsid w:val="00DC7450"/>
    <w:rsid w:val="00DC754A"/>
    <w:rsid w:val="00DC755E"/>
    <w:rsid w:val="00DC7657"/>
    <w:rsid w:val="00DC7713"/>
    <w:rsid w:val="00DC775F"/>
    <w:rsid w:val="00DC778B"/>
    <w:rsid w:val="00DC781B"/>
    <w:rsid w:val="00DC785D"/>
    <w:rsid w:val="00DC7D46"/>
    <w:rsid w:val="00DC7E51"/>
    <w:rsid w:val="00DD01FE"/>
    <w:rsid w:val="00DD02B0"/>
    <w:rsid w:val="00DD062A"/>
    <w:rsid w:val="00DD06D7"/>
    <w:rsid w:val="00DD0B22"/>
    <w:rsid w:val="00DD0B3B"/>
    <w:rsid w:val="00DD0C0F"/>
    <w:rsid w:val="00DD0C24"/>
    <w:rsid w:val="00DD0C5B"/>
    <w:rsid w:val="00DD0D78"/>
    <w:rsid w:val="00DD0F7F"/>
    <w:rsid w:val="00DD1008"/>
    <w:rsid w:val="00DD15D3"/>
    <w:rsid w:val="00DD19D8"/>
    <w:rsid w:val="00DD1F1F"/>
    <w:rsid w:val="00DD1F68"/>
    <w:rsid w:val="00DD211A"/>
    <w:rsid w:val="00DD2352"/>
    <w:rsid w:val="00DD2A7C"/>
    <w:rsid w:val="00DD2B82"/>
    <w:rsid w:val="00DD2C37"/>
    <w:rsid w:val="00DD2E13"/>
    <w:rsid w:val="00DD2E3A"/>
    <w:rsid w:val="00DD2F75"/>
    <w:rsid w:val="00DD3022"/>
    <w:rsid w:val="00DD3162"/>
    <w:rsid w:val="00DD3191"/>
    <w:rsid w:val="00DD334A"/>
    <w:rsid w:val="00DD33CF"/>
    <w:rsid w:val="00DD36BB"/>
    <w:rsid w:val="00DD3814"/>
    <w:rsid w:val="00DD3978"/>
    <w:rsid w:val="00DD3A95"/>
    <w:rsid w:val="00DD3B06"/>
    <w:rsid w:val="00DD3B26"/>
    <w:rsid w:val="00DD3EFE"/>
    <w:rsid w:val="00DD4196"/>
    <w:rsid w:val="00DD419A"/>
    <w:rsid w:val="00DD4403"/>
    <w:rsid w:val="00DD442B"/>
    <w:rsid w:val="00DD4448"/>
    <w:rsid w:val="00DD4467"/>
    <w:rsid w:val="00DD477A"/>
    <w:rsid w:val="00DD48D0"/>
    <w:rsid w:val="00DD4C37"/>
    <w:rsid w:val="00DD4E3E"/>
    <w:rsid w:val="00DD4E47"/>
    <w:rsid w:val="00DD4FAF"/>
    <w:rsid w:val="00DD50A1"/>
    <w:rsid w:val="00DD53C7"/>
    <w:rsid w:val="00DD5402"/>
    <w:rsid w:val="00DD5495"/>
    <w:rsid w:val="00DD54CE"/>
    <w:rsid w:val="00DD54F6"/>
    <w:rsid w:val="00DD562F"/>
    <w:rsid w:val="00DD5773"/>
    <w:rsid w:val="00DD5A28"/>
    <w:rsid w:val="00DD5BE8"/>
    <w:rsid w:val="00DD5CF2"/>
    <w:rsid w:val="00DD5F4E"/>
    <w:rsid w:val="00DD608B"/>
    <w:rsid w:val="00DD617B"/>
    <w:rsid w:val="00DD622E"/>
    <w:rsid w:val="00DD6334"/>
    <w:rsid w:val="00DD63A6"/>
    <w:rsid w:val="00DD648C"/>
    <w:rsid w:val="00DD6735"/>
    <w:rsid w:val="00DD69FB"/>
    <w:rsid w:val="00DD6A46"/>
    <w:rsid w:val="00DD6DA4"/>
    <w:rsid w:val="00DD6E30"/>
    <w:rsid w:val="00DD6E6C"/>
    <w:rsid w:val="00DD6F5F"/>
    <w:rsid w:val="00DD7226"/>
    <w:rsid w:val="00DD72BA"/>
    <w:rsid w:val="00DD7841"/>
    <w:rsid w:val="00DD78C7"/>
    <w:rsid w:val="00DD7AFE"/>
    <w:rsid w:val="00DD7B4E"/>
    <w:rsid w:val="00DD7CFF"/>
    <w:rsid w:val="00DD7EC2"/>
    <w:rsid w:val="00DE0071"/>
    <w:rsid w:val="00DE017F"/>
    <w:rsid w:val="00DE091B"/>
    <w:rsid w:val="00DE09EC"/>
    <w:rsid w:val="00DE0E49"/>
    <w:rsid w:val="00DE0EF0"/>
    <w:rsid w:val="00DE1075"/>
    <w:rsid w:val="00DE1144"/>
    <w:rsid w:val="00DE119A"/>
    <w:rsid w:val="00DE123F"/>
    <w:rsid w:val="00DE1511"/>
    <w:rsid w:val="00DE1605"/>
    <w:rsid w:val="00DE163E"/>
    <w:rsid w:val="00DE1855"/>
    <w:rsid w:val="00DE18D3"/>
    <w:rsid w:val="00DE1A60"/>
    <w:rsid w:val="00DE1C1D"/>
    <w:rsid w:val="00DE2058"/>
    <w:rsid w:val="00DE248E"/>
    <w:rsid w:val="00DE29A5"/>
    <w:rsid w:val="00DE29C5"/>
    <w:rsid w:val="00DE2BBD"/>
    <w:rsid w:val="00DE2EBC"/>
    <w:rsid w:val="00DE2ECA"/>
    <w:rsid w:val="00DE2F5F"/>
    <w:rsid w:val="00DE30A8"/>
    <w:rsid w:val="00DE30E7"/>
    <w:rsid w:val="00DE3367"/>
    <w:rsid w:val="00DE3379"/>
    <w:rsid w:val="00DE33F2"/>
    <w:rsid w:val="00DE344F"/>
    <w:rsid w:val="00DE34CA"/>
    <w:rsid w:val="00DE3562"/>
    <w:rsid w:val="00DE35B7"/>
    <w:rsid w:val="00DE393F"/>
    <w:rsid w:val="00DE3B76"/>
    <w:rsid w:val="00DE3B92"/>
    <w:rsid w:val="00DE3C1E"/>
    <w:rsid w:val="00DE3DFC"/>
    <w:rsid w:val="00DE3E89"/>
    <w:rsid w:val="00DE3F04"/>
    <w:rsid w:val="00DE4644"/>
    <w:rsid w:val="00DE46FA"/>
    <w:rsid w:val="00DE4736"/>
    <w:rsid w:val="00DE473D"/>
    <w:rsid w:val="00DE4786"/>
    <w:rsid w:val="00DE48C2"/>
    <w:rsid w:val="00DE4B65"/>
    <w:rsid w:val="00DE4C6E"/>
    <w:rsid w:val="00DE4F2A"/>
    <w:rsid w:val="00DE4F52"/>
    <w:rsid w:val="00DE5001"/>
    <w:rsid w:val="00DE5005"/>
    <w:rsid w:val="00DE51A2"/>
    <w:rsid w:val="00DE5316"/>
    <w:rsid w:val="00DE5822"/>
    <w:rsid w:val="00DE5B45"/>
    <w:rsid w:val="00DE5CC5"/>
    <w:rsid w:val="00DE5ECB"/>
    <w:rsid w:val="00DE60C3"/>
    <w:rsid w:val="00DE611C"/>
    <w:rsid w:val="00DE6274"/>
    <w:rsid w:val="00DE654E"/>
    <w:rsid w:val="00DE6603"/>
    <w:rsid w:val="00DE6633"/>
    <w:rsid w:val="00DE6660"/>
    <w:rsid w:val="00DE6702"/>
    <w:rsid w:val="00DE674C"/>
    <w:rsid w:val="00DE6796"/>
    <w:rsid w:val="00DE6888"/>
    <w:rsid w:val="00DE69D4"/>
    <w:rsid w:val="00DE6C87"/>
    <w:rsid w:val="00DE6D6C"/>
    <w:rsid w:val="00DE6DB0"/>
    <w:rsid w:val="00DE6E06"/>
    <w:rsid w:val="00DE6E34"/>
    <w:rsid w:val="00DE7030"/>
    <w:rsid w:val="00DE70C6"/>
    <w:rsid w:val="00DE70EF"/>
    <w:rsid w:val="00DE7134"/>
    <w:rsid w:val="00DE71F6"/>
    <w:rsid w:val="00DE727F"/>
    <w:rsid w:val="00DE7419"/>
    <w:rsid w:val="00DE75F6"/>
    <w:rsid w:val="00DE7621"/>
    <w:rsid w:val="00DE77D2"/>
    <w:rsid w:val="00DE7819"/>
    <w:rsid w:val="00DE7999"/>
    <w:rsid w:val="00DE7A95"/>
    <w:rsid w:val="00DE7C40"/>
    <w:rsid w:val="00DE7C72"/>
    <w:rsid w:val="00DE7CCF"/>
    <w:rsid w:val="00DF00C9"/>
    <w:rsid w:val="00DF017C"/>
    <w:rsid w:val="00DF0422"/>
    <w:rsid w:val="00DF04A0"/>
    <w:rsid w:val="00DF04F6"/>
    <w:rsid w:val="00DF0592"/>
    <w:rsid w:val="00DF07B5"/>
    <w:rsid w:val="00DF096D"/>
    <w:rsid w:val="00DF0A30"/>
    <w:rsid w:val="00DF0AA6"/>
    <w:rsid w:val="00DF0B8C"/>
    <w:rsid w:val="00DF0BDF"/>
    <w:rsid w:val="00DF0E4D"/>
    <w:rsid w:val="00DF0F94"/>
    <w:rsid w:val="00DF11E2"/>
    <w:rsid w:val="00DF128F"/>
    <w:rsid w:val="00DF1448"/>
    <w:rsid w:val="00DF1583"/>
    <w:rsid w:val="00DF16BC"/>
    <w:rsid w:val="00DF1A09"/>
    <w:rsid w:val="00DF1CCB"/>
    <w:rsid w:val="00DF1CD0"/>
    <w:rsid w:val="00DF1CDA"/>
    <w:rsid w:val="00DF1EA4"/>
    <w:rsid w:val="00DF2109"/>
    <w:rsid w:val="00DF22BE"/>
    <w:rsid w:val="00DF255C"/>
    <w:rsid w:val="00DF2D43"/>
    <w:rsid w:val="00DF2F34"/>
    <w:rsid w:val="00DF2FDF"/>
    <w:rsid w:val="00DF34AF"/>
    <w:rsid w:val="00DF3652"/>
    <w:rsid w:val="00DF379B"/>
    <w:rsid w:val="00DF3AFE"/>
    <w:rsid w:val="00DF3ECF"/>
    <w:rsid w:val="00DF3F40"/>
    <w:rsid w:val="00DF3FC5"/>
    <w:rsid w:val="00DF40E3"/>
    <w:rsid w:val="00DF43A4"/>
    <w:rsid w:val="00DF46E0"/>
    <w:rsid w:val="00DF4751"/>
    <w:rsid w:val="00DF476F"/>
    <w:rsid w:val="00DF47A7"/>
    <w:rsid w:val="00DF4965"/>
    <w:rsid w:val="00DF496A"/>
    <w:rsid w:val="00DF49A2"/>
    <w:rsid w:val="00DF4A6A"/>
    <w:rsid w:val="00DF4AB9"/>
    <w:rsid w:val="00DF4B22"/>
    <w:rsid w:val="00DF4EB9"/>
    <w:rsid w:val="00DF4F1B"/>
    <w:rsid w:val="00DF50EC"/>
    <w:rsid w:val="00DF527C"/>
    <w:rsid w:val="00DF54D0"/>
    <w:rsid w:val="00DF56A5"/>
    <w:rsid w:val="00DF5705"/>
    <w:rsid w:val="00DF59F3"/>
    <w:rsid w:val="00DF5A04"/>
    <w:rsid w:val="00DF5A80"/>
    <w:rsid w:val="00DF5AE5"/>
    <w:rsid w:val="00DF5BCB"/>
    <w:rsid w:val="00DF5D2C"/>
    <w:rsid w:val="00DF5D38"/>
    <w:rsid w:val="00DF5E40"/>
    <w:rsid w:val="00DF5EB7"/>
    <w:rsid w:val="00DF6027"/>
    <w:rsid w:val="00DF60D3"/>
    <w:rsid w:val="00DF61AD"/>
    <w:rsid w:val="00DF61CF"/>
    <w:rsid w:val="00DF62F2"/>
    <w:rsid w:val="00DF62F3"/>
    <w:rsid w:val="00DF6426"/>
    <w:rsid w:val="00DF6428"/>
    <w:rsid w:val="00DF64A3"/>
    <w:rsid w:val="00DF6645"/>
    <w:rsid w:val="00DF6B7C"/>
    <w:rsid w:val="00DF6BB9"/>
    <w:rsid w:val="00DF6CCC"/>
    <w:rsid w:val="00DF6D3A"/>
    <w:rsid w:val="00DF6ECE"/>
    <w:rsid w:val="00DF6EE4"/>
    <w:rsid w:val="00DF700C"/>
    <w:rsid w:val="00DF7123"/>
    <w:rsid w:val="00DF7134"/>
    <w:rsid w:val="00DF72FC"/>
    <w:rsid w:val="00DF7364"/>
    <w:rsid w:val="00DF73B6"/>
    <w:rsid w:val="00DF7415"/>
    <w:rsid w:val="00DF763E"/>
    <w:rsid w:val="00DF78CC"/>
    <w:rsid w:val="00DF7965"/>
    <w:rsid w:val="00DF79BE"/>
    <w:rsid w:val="00DF7A01"/>
    <w:rsid w:val="00DF7AE8"/>
    <w:rsid w:val="00DF7F19"/>
    <w:rsid w:val="00E00167"/>
    <w:rsid w:val="00E003DD"/>
    <w:rsid w:val="00E00408"/>
    <w:rsid w:val="00E008EA"/>
    <w:rsid w:val="00E00BC7"/>
    <w:rsid w:val="00E00C2A"/>
    <w:rsid w:val="00E00D6D"/>
    <w:rsid w:val="00E00D76"/>
    <w:rsid w:val="00E00DC6"/>
    <w:rsid w:val="00E00DEC"/>
    <w:rsid w:val="00E010E6"/>
    <w:rsid w:val="00E014B4"/>
    <w:rsid w:val="00E0170B"/>
    <w:rsid w:val="00E017BF"/>
    <w:rsid w:val="00E01B75"/>
    <w:rsid w:val="00E01C1E"/>
    <w:rsid w:val="00E0228B"/>
    <w:rsid w:val="00E02363"/>
    <w:rsid w:val="00E0261D"/>
    <w:rsid w:val="00E02700"/>
    <w:rsid w:val="00E02864"/>
    <w:rsid w:val="00E02933"/>
    <w:rsid w:val="00E02947"/>
    <w:rsid w:val="00E029B7"/>
    <w:rsid w:val="00E02A26"/>
    <w:rsid w:val="00E02A5A"/>
    <w:rsid w:val="00E02CE5"/>
    <w:rsid w:val="00E02ECE"/>
    <w:rsid w:val="00E03212"/>
    <w:rsid w:val="00E0326A"/>
    <w:rsid w:val="00E03300"/>
    <w:rsid w:val="00E03552"/>
    <w:rsid w:val="00E0363E"/>
    <w:rsid w:val="00E03DE5"/>
    <w:rsid w:val="00E03E9A"/>
    <w:rsid w:val="00E03EF0"/>
    <w:rsid w:val="00E03F2A"/>
    <w:rsid w:val="00E0401F"/>
    <w:rsid w:val="00E0403E"/>
    <w:rsid w:val="00E04203"/>
    <w:rsid w:val="00E045ED"/>
    <w:rsid w:val="00E046FC"/>
    <w:rsid w:val="00E048A3"/>
    <w:rsid w:val="00E04A37"/>
    <w:rsid w:val="00E04A5D"/>
    <w:rsid w:val="00E04CA8"/>
    <w:rsid w:val="00E04F72"/>
    <w:rsid w:val="00E051FE"/>
    <w:rsid w:val="00E05294"/>
    <w:rsid w:val="00E05401"/>
    <w:rsid w:val="00E055CF"/>
    <w:rsid w:val="00E05B44"/>
    <w:rsid w:val="00E05C15"/>
    <w:rsid w:val="00E05C95"/>
    <w:rsid w:val="00E05CB9"/>
    <w:rsid w:val="00E05D8E"/>
    <w:rsid w:val="00E0603E"/>
    <w:rsid w:val="00E0619B"/>
    <w:rsid w:val="00E0620B"/>
    <w:rsid w:val="00E06761"/>
    <w:rsid w:val="00E067D4"/>
    <w:rsid w:val="00E0696B"/>
    <w:rsid w:val="00E06A6B"/>
    <w:rsid w:val="00E06B99"/>
    <w:rsid w:val="00E06BFE"/>
    <w:rsid w:val="00E06C9D"/>
    <w:rsid w:val="00E06D73"/>
    <w:rsid w:val="00E06E30"/>
    <w:rsid w:val="00E06EEB"/>
    <w:rsid w:val="00E06F3A"/>
    <w:rsid w:val="00E07067"/>
    <w:rsid w:val="00E07081"/>
    <w:rsid w:val="00E0708D"/>
    <w:rsid w:val="00E07422"/>
    <w:rsid w:val="00E0749B"/>
    <w:rsid w:val="00E0756E"/>
    <w:rsid w:val="00E075EE"/>
    <w:rsid w:val="00E076E2"/>
    <w:rsid w:val="00E077EC"/>
    <w:rsid w:val="00E078D4"/>
    <w:rsid w:val="00E07DC2"/>
    <w:rsid w:val="00E07DD1"/>
    <w:rsid w:val="00E07F08"/>
    <w:rsid w:val="00E10155"/>
    <w:rsid w:val="00E1020D"/>
    <w:rsid w:val="00E10549"/>
    <w:rsid w:val="00E106D0"/>
    <w:rsid w:val="00E1075E"/>
    <w:rsid w:val="00E1078C"/>
    <w:rsid w:val="00E108E9"/>
    <w:rsid w:val="00E1092F"/>
    <w:rsid w:val="00E10A76"/>
    <w:rsid w:val="00E10D74"/>
    <w:rsid w:val="00E10E02"/>
    <w:rsid w:val="00E10E5C"/>
    <w:rsid w:val="00E10F2D"/>
    <w:rsid w:val="00E10F7B"/>
    <w:rsid w:val="00E1165C"/>
    <w:rsid w:val="00E1177D"/>
    <w:rsid w:val="00E11877"/>
    <w:rsid w:val="00E119A3"/>
    <w:rsid w:val="00E11BF1"/>
    <w:rsid w:val="00E11EC2"/>
    <w:rsid w:val="00E11F24"/>
    <w:rsid w:val="00E11F88"/>
    <w:rsid w:val="00E11F9D"/>
    <w:rsid w:val="00E11FBC"/>
    <w:rsid w:val="00E12216"/>
    <w:rsid w:val="00E12279"/>
    <w:rsid w:val="00E1228B"/>
    <w:rsid w:val="00E12398"/>
    <w:rsid w:val="00E12457"/>
    <w:rsid w:val="00E1255B"/>
    <w:rsid w:val="00E125B0"/>
    <w:rsid w:val="00E126A7"/>
    <w:rsid w:val="00E127D6"/>
    <w:rsid w:val="00E1280C"/>
    <w:rsid w:val="00E128B8"/>
    <w:rsid w:val="00E12B24"/>
    <w:rsid w:val="00E12E0E"/>
    <w:rsid w:val="00E12F49"/>
    <w:rsid w:val="00E13318"/>
    <w:rsid w:val="00E13771"/>
    <w:rsid w:val="00E13B18"/>
    <w:rsid w:val="00E13DAE"/>
    <w:rsid w:val="00E13DB8"/>
    <w:rsid w:val="00E13E7E"/>
    <w:rsid w:val="00E13EAA"/>
    <w:rsid w:val="00E13F5C"/>
    <w:rsid w:val="00E1428A"/>
    <w:rsid w:val="00E1454F"/>
    <w:rsid w:val="00E14982"/>
    <w:rsid w:val="00E14B78"/>
    <w:rsid w:val="00E14C9C"/>
    <w:rsid w:val="00E14E33"/>
    <w:rsid w:val="00E14E3B"/>
    <w:rsid w:val="00E14F8C"/>
    <w:rsid w:val="00E151F9"/>
    <w:rsid w:val="00E15302"/>
    <w:rsid w:val="00E15366"/>
    <w:rsid w:val="00E1567E"/>
    <w:rsid w:val="00E157C1"/>
    <w:rsid w:val="00E157DA"/>
    <w:rsid w:val="00E157F1"/>
    <w:rsid w:val="00E159EA"/>
    <w:rsid w:val="00E159F5"/>
    <w:rsid w:val="00E15A25"/>
    <w:rsid w:val="00E15B9A"/>
    <w:rsid w:val="00E15DE3"/>
    <w:rsid w:val="00E15E54"/>
    <w:rsid w:val="00E15EF2"/>
    <w:rsid w:val="00E15FA8"/>
    <w:rsid w:val="00E16170"/>
    <w:rsid w:val="00E16337"/>
    <w:rsid w:val="00E16497"/>
    <w:rsid w:val="00E16686"/>
    <w:rsid w:val="00E167A1"/>
    <w:rsid w:val="00E16ACD"/>
    <w:rsid w:val="00E16BD9"/>
    <w:rsid w:val="00E16D5F"/>
    <w:rsid w:val="00E16E28"/>
    <w:rsid w:val="00E16EC1"/>
    <w:rsid w:val="00E16F17"/>
    <w:rsid w:val="00E16FF7"/>
    <w:rsid w:val="00E17034"/>
    <w:rsid w:val="00E1723F"/>
    <w:rsid w:val="00E172D1"/>
    <w:rsid w:val="00E17372"/>
    <w:rsid w:val="00E17754"/>
    <w:rsid w:val="00E178DB"/>
    <w:rsid w:val="00E17A3F"/>
    <w:rsid w:val="00E17A6D"/>
    <w:rsid w:val="00E17D12"/>
    <w:rsid w:val="00E17E01"/>
    <w:rsid w:val="00E201EB"/>
    <w:rsid w:val="00E202E3"/>
    <w:rsid w:val="00E203DF"/>
    <w:rsid w:val="00E20682"/>
    <w:rsid w:val="00E20740"/>
    <w:rsid w:val="00E20980"/>
    <w:rsid w:val="00E20D04"/>
    <w:rsid w:val="00E20DFC"/>
    <w:rsid w:val="00E20F02"/>
    <w:rsid w:val="00E21029"/>
    <w:rsid w:val="00E21073"/>
    <w:rsid w:val="00E210A7"/>
    <w:rsid w:val="00E2115B"/>
    <w:rsid w:val="00E21165"/>
    <w:rsid w:val="00E211C2"/>
    <w:rsid w:val="00E211DC"/>
    <w:rsid w:val="00E212EC"/>
    <w:rsid w:val="00E21424"/>
    <w:rsid w:val="00E216D3"/>
    <w:rsid w:val="00E21735"/>
    <w:rsid w:val="00E21902"/>
    <w:rsid w:val="00E21A30"/>
    <w:rsid w:val="00E21C33"/>
    <w:rsid w:val="00E21D79"/>
    <w:rsid w:val="00E21E9D"/>
    <w:rsid w:val="00E21EE5"/>
    <w:rsid w:val="00E2211E"/>
    <w:rsid w:val="00E22373"/>
    <w:rsid w:val="00E22695"/>
    <w:rsid w:val="00E226CE"/>
    <w:rsid w:val="00E22911"/>
    <w:rsid w:val="00E2291C"/>
    <w:rsid w:val="00E22C23"/>
    <w:rsid w:val="00E22C4E"/>
    <w:rsid w:val="00E22D89"/>
    <w:rsid w:val="00E23103"/>
    <w:rsid w:val="00E23168"/>
    <w:rsid w:val="00E23187"/>
    <w:rsid w:val="00E23198"/>
    <w:rsid w:val="00E23417"/>
    <w:rsid w:val="00E235C0"/>
    <w:rsid w:val="00E235CE"/>
    <w:rsid w:val="00E23631"/>
    <w:rsid w:val="00E237F5"/>
    <w:rsid w:val="00E23A44"/>
    <w:rsid w:val="00E23A5D"/>
    <w:rsid w:val="00E23A7A"/>
    <w:rsid w:val="00E23BDA"/>
    <w:rsid w:val="00E23C3D"/>
    <w:rsid w:val="00E23CC1"/>
    <w:rsid w:val="00E23F23"/>
    <w:rsid w:val="00E23F44"/>
    <w:rsid w:val="00E24111"/>
    <w:rsid w:val="00E24366"/>
    <w:rsid w:val="00E24408"/>
    <w:rsid w:val="00E24599"/>
    <w:rsid w:val="00E24802"/>
    <w:rsid w:val="00E24823"/>
    <w:rsid w:val="00E24B59"/>
    <w:rsid w:val="00E24D19"/>
    <w:rsid w:val="00E24D44"/>
    <w:rsid w:val="00E24D7B"/>
    <w:rsid w:val="00E24DA1"/>
    <w:rsid w:val="00E25022"/>
    <w:rsid w:val="00E250B2"/>
    <w:rsid w:val="00E2521E"/>
    <w:rsid w:val="00E25233"/>
    <w:rsid w:val="00E2547C"/>
    <w:rsid w:val="00E25B03"/>
    <w:rsid w:val="00E25CFD"/>
    <w:rsid w:val="00E25E6C"/>
    <w:rsid w:val="00E260EA"/>
    <w:rsid w:val="00E26248"/>
    <w:rsid w:val="00E26505"/>
    <w:rsid w:val="00E26C8A"/>
    <w:rsid w:val="00E26EFA"/>
    <w:rsid w:val="00E26FCF"/>
    <w:rsid w:val="00E27008"/>
    <w:rsid w:val="00E2733C"/>
    <w:rsid w:val="00E274DB"/>
    <w:rsid w:val="00E2753E"/>
    <w:rsid w:val="00E2761A"/>
    <w:rsid w:val="00E2772B"/>
    <w:rsid w:val="00E278A6"/>
    <w:rsid w:val="00E279CC"/>
    <w:rsid w:val="00E27BB2"/>
    <w:rsid w:val="00E30124"/>
    <w:rsid w:val="00E301E6"/>
    <w:rsid w:val="00E3043E"/>
    <w:rsid w:val="00E306C8"/>
    <w:rsid w:val="00E30931"/>
    <w:rsid w:val="00E309B3"/>
    <w:rsid w:val="00E30A01"/>
    <w:rsid w:val="00E30BAB"/>
    <w:rsid w:val="00E30C0F"/>
    <w:rsid w:val="00E30DDD"/>
    <w:rsid w:val="00E30ED0"/>
    <w:rsid w:val="00E30ED5"/>
    <w:rsid w:val="00E31045"/>
    <w:rsid w:val="00E312F7"/>
    <w:rsid w:val="00E31342"/>
    <w:rsid w:val="00E313B5"/>
    <w:rsid w:val="00E31430"/>
    <w:rsid w:val="00E31459"/>
    <w:rsid w:val="00E314EE"/>
    <w:rsid w:val="00E315DE"/>
    <w:rsid w:val="00E31787"/>
    <w:rsid w:val="00E31792"/>
    <w:rsid w:val="00E318D4"/>
    <w:rsid w:val="00E31D22"/>
    <w:rsid w:val="00E31E50"/>
    <w:rsid w:val="00E31EB4"/>
    <w:rsid w:val="00E31F80"/>
    <w:rsid w:val="00E32090"/>
    <w:rsid w:val="00E3211C"/>
    <w:rsid w:val="00E3223B"/>
    <w:rsid w:val="00E32590"/>
    <w:rsid w:val="00E325C0"/>
    <w:rsid w:val="00E325F0"/>
    <w:rsid w:val="00E3279E"/>
    <w:rsid w:val="00E32954"/>
    <w:rsid w:val="00E32BE9"/>
    <w:rsid w:val="00E32C01"/>
    <w:rsid w:val="00E32E40"/>
    <w:rsid w:val="00E32E5B"/>
    <w:rsid w:val="00E32FA5"/>
    <w:rsid w:val="00E33040"/>
    <w:rsid w:val="00E3321D"/>
    <w:rsid w:val="00E3361F"/>
    <w:rsid w:val="00E3382F"/>
    <w:rsid w:val="00E339E9"/>
    <w:rsid w:val="00E33A7D"/>
    <w:rsid w:val="00E33AEB"/>
    <w:rsid w:val="00E33EBC"/>
    <w:rsid w:val="00E33EFC"/>
    <w:rsid w:val="00E33FEB"/>
    <w:rsid w:val="00E34070"/>
    <w:rsid w:val="00E340D2"/>
    <w:rsid w:val="00E34309"/>
    <w:rsid w:val="00E34394"/>
    <w:rsid w:val="00E344C3"/>
    <w:rsid w:val="00E349FD"/>
    <w:rsid w:val="00E34BFB"/>
    <w:rsid w:val="00E34E92"/>
    <w:rsid w:val="00E34F6D"/>
    <w:rsid w:val="00E35104"/>
    <w:rsid w:val="00E35161"/>
    <w:rsid w:val="00E3539D"/>
    <w:rsid w:val="00E354B6"/>
    <w:rsid w:val="00E357FE"/>
    <w:rsid w:val="00E358D5"/>
    <w:rsid w:val="00E35927"/>
    <w:rsid w:val="00E35ABE"/>
    <w:rsid w:val="00E35CDE"/>
    <w:rsid w:val="00E35D97"/>
    <w:rsid w:val="00E35E89"/>
    <w:rsid w:val="00E35EFA"/>
    <w:rsid w:val="00E35F42"/>
    <w:rsid w:val="00E35FAB"/>
    <w:rsid w:val="00E35FEA"/>
    <w:rsid w:val="00E36078"/>
    <w:rsid w:val="00E363DA"/>
    <w:rsid w:val="00E366B4"/>
    <w:rsid w:val="00E36768"/>
    <w:rsid w:val="00E36824"/>
    <w:rsid w:val="00E36880"/>
    <w:rsid w:val="00E368E4"/>
    <w:rsid w:val="00E36927"/>
    <w:rsid w:val="00E36DCF"/>
    <w:rsid w:val="00E36EB0"/>
    <w:rsid w:val="00E36EBE"/>
    <w:rsid w:val="00E37099"/>
    <w:rsid w:val="00E370A9"/>
    <w:rsid w:val="00E3712F"/>
    <w:rsid w:val="00E37366"/>
    <w:rsid w:val="00E37797"/>
    <w:rsid w:val="00E3786B"/>
    <w:rsid w:val="00E37AB5"/>
    <w:rsid w:val="00E37CD7"/>
    <w:rsid w:val="00E37D85"/>
    <w:rsid w:val="00E37F67"/>
    <w:rsid w:val="00E4018C"/>
    <w:rsid w:val="00E403ED"/>
    <w:rsid w:val="00E4064A"/>
    <w:rsid w:val="00E4091D"/>
    <w:rsid w:val="00E40A9A"/>
    <w:rsid w:val="00E40B13"/>
    <w:rsid w:val="00E40C92"/>
    <w:rsid w:val="00E40E58"/>
    <w:rsid w:val="00E40EC7"/>
    <w:rsid w:val="00E41168"/>
    <w:rsid w:val="00E412D8"/>
    <w:rsid w:val="00E413C7"/>
    <w:rsid w:val="00E4167C"/>
    <w:rsid w:val="00E416E1"/>
    <w:rsid w:val="00E41AB2"/>
    <w:rsid w:val="00E41F21"/>
    <w:rsid w:val="00E41F45"/>
    <w:rsid w:val="00E42036"/>
    <w:rsid w:val="00E4210F"/>
    <w:rsid w:val="00E4229E"/>
    <w:rsid w:val="00E42432"/>
    <w:rsid w:val="00E42569"/>
    <w:rsid w:val="00E4271D"/>
    <w:rsid w:val="00E42855"/>
    <w:rsid w:val="00E42980"/>
    <w:rsid w:val="00E42AC2"/>
    <w:rsid w:val="00E42AE7"/>
    <w:rsid w:val="00E42D5C"/>
    <w:rsid w:val="00E4300E"/>
    <w:rsid w:val="00E430CD"/>
    <w:rsid w:val="00E431B4"/>
    <w:rsid w:val="00E431FF"/>
    <w:rsid w:val="00E432D0"/>
    <w:rsid w:val="00E433C1"/>
    <w:rsid w:val="00E43548"/>
    <w:rsid w:val="00E435D1"/>
    <w:rsid w:val="00E4378D"/>
    <w:rsid w:val="00E43BEC"/>
    <w:rsid w:val="00E43CE2"/>
    <w:rsid w:val="00E43D74"/>
    <w:rsid w:val="00E43EBD"/>
    <w:rsid w:val="00E43FA9"/>
    <w:rsid w:val="00E4426B"/>
    <w:rsid w:val="00E444C3"/>
    <w:rsid w:val="00E446DA"/>
    <w:rsid w:val="00E44A2B"/>
    <w:rsid w:val="00E44A43"/>
    <w:rsid w:val="00E44AE0"/>
    <w:rsid w:val="00E44C8A"/>
    <w:rsid w:val="00E44DF9"/>
    <w:rsid w:val="00E45179"/>
    <w:rsid w:val="00E453D8"/>
    <w:rsid w:val="00E4554C"/>
    <w:rsid w:val="00E45587"/>
    <w:rsid w:val="00E45858"/>
    <w:rsid w:val="00E4588A"/>
    <w:rsid w:val="00E458A6"/>
    <w:rsid w:val="00E458FE"/>
    <w:rsid w:val="00E45AF9"/>
    <w:rsid w:val="00E45B89"/>
    <w:rsid w:val="00E45BDD"/>
    <w:rsid w:val="00E45C4B"/>
    <w:rsid w:val="00E45C7E"/>
    <w:rsid w:val="00E45DEE"/>
    <w:rsid w:val="00E45F20"/>
    <w:rsid w:val="00E46064"/>
    <w:rsid w:val="00E46178"/>
    <w:rsid w:val="00E4629A"/>
    <w:rsid w:val="00E467BE"/>
    <w:rsid w:val="00E468AE"/>
    <w:rsid w:val="00E469CB"/>
    <w:rsid w:val="00E46D9E"/>
    <w:rsid w:val="00E47132"/>
    <w:rsid w:val="00E47188"/>
    <w:rsid w:val="00E471E6"/>
    <w:rsid w:val="00E4725F"/>
    <w:rsid w:val="00E4742C"/>
    <w:rsid w:val="00E4744E"/>
    <w:rsid w:val="00E474EB"/>
    <w:rsid w:val="00E4750A"/>
    <w:rsid w:val="00E47749"/>
    <w:rsid w:val="00E47A1B"/>
    <w:rsid w:val="00E47B05"/>
    <w:rsid w:val="00E47BF6"/>
    <w:rsid w:val="00E47E64"/>
    <w:rsid w:val="00E47F0B"/>
    <w:rsid w:val="00E47F76"/>
    <w:rsid w:val="00E5010C"/>
    <w:rsid w:val="00E50139"/>
    <w:rsid w:val="00E503D6"/>
    <w:rsid w:val="00E503D9"/>
    <w:rsid w:val="00E503DB"/>
    <w:rsid w:val="00E506B8"/>
    <w:rsid w:val="00E507E3"/>
    <w:rsid w:val="00E50A3C"/>
    <w:rsid w:val="00E50B06"/>
    <w:rsid w:val="00E50D5D"/>
    <w:rsid w:val="00E50F12"/>
    <w:rsid w:val="00E50F6C"/>
    <w:rsid w:val="00E510DE"/>
    <w:rsid w:val="00E51208"/>
    <w:rsid w:val="00E51267"/>
    <w:rsid w:val="00E514B4"/>
    <w:rsid w:val="00E51534"/>
    <w:rsid w:val="00E51553"/>
    <w:rsid w:val="00E515C6"/>
    <w:rsid w:val="00E517DB"/>
    <w:rsid w:val="00E51C15"/>
    <w:rsid w:val="00E51D50"/>
    <w:rsid w:val="00E51D51"/>
    <w:rsid w:val="00E51DBA"/>
    <w:rsid w:val="00E51FB2"/>
    <w:rsid w:val="00E522DA"/>
    <w:rsid w:val="00E525C4"/>
    <w:rsid w:val="00E528E0"/>
    <w:rsid w:val="00E530D3"/>
    <w:rsid w:val="00E53196"/>
    <w:rsid w:val="00E53783"/>
    <w:rsid w:val="00E5379A"/>
    <w:rsid w:val="00E538CF"/>
    <w:rsid w:val="00E53AA4"/>
    <w:rsid w:val="00E53D04"/>
    <w:rsid w:val="00E53D61"/>
    <w:rsid w:val="00E53E0D"/>
    <w:rsid w:val="00E53E3A"/>
    <w:rsid w:val="00E53E6D"/>
    <w:rsid w:val="00E53FFD"/>
    <w:rsid w:val="00E5401D"/>
    <w:rsid w:val="00E540AD"/>
    <w:rsid w:val="00E54216"/>
    <w:rsid w:val="00E542A5"/>
    <w:rsid w:val="00E54873"/>
    <w:rsid w:val="00E54A82"/>
    <w:rsid w:val="00E54BAA"/>
    <w:rsid w:val="00E54D9E"/>
    <w:rsid w:val="00E54E0A"/>
    <w:rsid w:val="00E54E5D"/>
    <w:rsid w:val="00E54F15"/>
    <w:rsid w:val="00E550EB"/>
    <w:rsid w:val="00E5521B"/>
    <w:rsid w:val="00E55389"/>
    <w:rsid w:val="00E553F9"/>
    <w:rsid w:val="00E55707"/>
    <w:rsid w:val="00E55A10"/>
    <w:rsid w:val="00E55AFF"/>
    <w:rsid w:val="00E55D35"/>
    <w:rsid w:val="00E55E33"/>
    <w:rsid w:val="00E55E47"/>
    <w:rsid w:val="00E56083"/>
    <w:rsid w:val="00E56135"/>
    <w:rsid w:val="00E5630B"/>
    <w:rsid w:val="00E56362"/>
    <w:rsid w:val="00E563A2"/>
    <w:rsid w:val="00E563F0"/>
    <w:rsid w:val="00E56410"/>
    <w:rsid w:val="00E56413"/>
    <w:rsid w:val="00E564F7"/>
    <w:rsid w:val="00E56685"/>
    <w:rsid w:val="00E56978"/>
    <w:rsid w:val="00E569BA"/>
    <w:rsid w:val="00E56A24"/>
    <w:rsid w:val="00E56DDE"/>
    <w:rsid w:val="00E56EB4"/>
    <w:rsid w:val="00E56EFB"/>
    <w:rsid w:val="00E57023"/>
    <w:rsid w:val="00E5727E"/>
    <w:rsid w:val="00E5742F"/>
    <w:rsid w:val="00E57559"/>
    <w:rsid w:val="00E57628"/>
    <w:rsid w:val="00E576F5"/>
    <w:rsid w:val="00E577BB"/>
    <w:rsid w:val="00E57AF1"/>
    <w:rsid w:val="00E57B36"/>
    <w:rsid w:val="00E57B5D"/>
    <w:rsid w:val="00E57D77"/>
    <w:rsid w:val="00E57DEF"/>
    <w:rsid w:val="00E57E8D"/>
    <w:rsid w:val="00E57FC0"/>
    <w:rsid w:val="00E6012C"/>
    <w:rsid w:val="00E6020D"/>
    <w:rsid w:val="00E6023C"/>
    <w:rsid w:val="00E602EA"/>
    <w:rsid w:val="00E603AD"/>
    <w:rsid w:val="00E603B2"/>
    <w:rsid w:val="00E6046F"/>
    <w:rsid w:val="00E60505"/>
    <w:rsid w:val="00E60775"/>
    <w:rsid w:val="00E60795"/>
    <w:rsid w:val="00E60AFD"/>
    <w:rsid w:val="00E60D37"/>
    <w:rsid w:val="00E60E0F"/>
    <w:rsid w:val="00E61010"/>
    <w:rsid w:val="00E610BE"/>
    <w:rsid w:val="00E61213"/>
    <w:rsid w:val="00E6123A"/>
    <w:rsid w:val="00E6126B"/>
    <w:rsid w:val="00E612E6"/>
    <w:rsid w:val="00E614DC"/>
    <w:rsid w:val="00E617D5"/>
    <w:rsid w:val="00E617D7"/>
    <w:rsid w:val="00E6180F"/>
    <w:rsid w:val="00E61876"/>
    <w:rsid w:val="00E61B4B"/>
    <w:rsid w:val="00E61BAD"/>
    <w:rsid w:val="00E61E88"/>
    <w:rsid w:val="00E61EE3"/>
    <w:rsid w:val="00E62050"/>
    <w:rsid w:val="00E620D4"/>
    <w:rsid w:val="00E6237A"/>
    <w:rsid w:val="00E623F7"/>
    <w:rsid w:val="00E624B4"/>
    <w:rsid w:val="00E624CD"/>
    <w:rsid w:val="00E62711"/>
    <w:rsid w:val="00E6276F"/>
    <w:rsid w:val="00E6282F"/>
    <w:rsid w:val="00E6285C"/>
    <w:rsid w:val="00E6302A"/>
    <w:rsid w:val="00E6306E"/>
    <w:rsid w:val="00E630E8"/>
    <w:rsid w:val="00E63115"/>
    <w:rsid w:val="00E6312C"/>
    <w:rsid w:val="00E631A8"/>
    <w:rsid w:val="00E6334E"/>
    <w:rsid w:val="00E63421"/>
    <w:rsid w:val="00E6365F"/>
    <w:rsid w:val="00E63890"/>
    <w:rsid w:val="00E63968"/>
    <w:rsid w:val="00E639DE"/>
    <w:rsid w:val="00E63BFF"/>
    <w:rsid w:val="00E63CBF"/>
    <w:rsid w:val="00E63D9C"/>
    <w:rsid w:val="00E63DE9"/>
    <w:rsid w:val="00E63F61"/>
    <w:rsid w:val="00E63FAE"/>
    <w:rsid w:val="00E64077"/>
    <w:rsid w:val="00E643B1"/>
    <w:rsid w:val="00E644FE"/>
    <w:rsid w:val="00E64512"/>
    <w:rsid w:val="00E645DB"/>
    <w:rsid w:val="00E6469D"/>
    <w:rsid w:val="00E646E4"/>
    <w:rsid w:val="00E64AFE"/>
    <w:rsid w:val="00E64D65"/>
    <w:rsid w:val="00E64E27"/>
    <w:rsid w:val="00E64E30"/>
    <w:rsid w:val="00E64FDF"/>
    <w:rsid w:val="00E6530B"/>
    <w:rsid w:val="00E65683"/>
    <w:rsid w:val="00E65C1A"/>
    <w:rsid w:val="00E65D59"/>
    <w:rsid w:val="00E65D70"/>
    <w:rsid w:val="00E6609F"/>
    <w:rsid w:val="00E662D2"/>
    <w:rsid w:val="00E662F2"/>
    <w:rsid w:val="00E664FA"/>
    <w:rsid w:val="00E665D1"/>
    <w:rsid w:val="00E666E7"/>
    <w:rsid w:val="00E66910"/>
    <w:rsid w:val="00E66B38"/>
    <w:rsid w:val="00E66B50"/>
    <w:rsid w:val="00E66BE1"/>
    <w:rsid w:val="00E66D2F"/>
    <w:rsid w:val="00E66D5D"/>
    <w:rsid w:val="00E66F25"/>
    <w:rsid w:val="00E66FD1"/>
    <w:rsid w:val="00E67184"/>
    <w:rsid w:val="00E673C1"/>
    <w:rsid w:val="00E6743B"/>
    <w:rsid w:val="00E674DD"/>
    <w:rsid w:val="00E675A5"/>
    <w:rsid w:val="00E677C9"/>
    <w:rsid w:val="00E67854"/>
    <w:rsid w:val="00E67B67"/>
    <w:rsid w:val="00E67B83"/>
    <w:rsid w:val="00E67C1B"/>
    <w:rsid w:val="00E67EDD"/>
    <w:rsid w:val="00E705A9"/>
    <w:rsid w:val="00E705C3"/>
    <w:rsid w:val="00E7094A"/>
    <w:rsid w:val="00E709A2"/>
    <w:rsid w:val="00E70BBB"/>
    <w:rsid w:val="00E70C00"/>
    <w:rsid w:val="00E70C5A"/>
    <w:rsid w:val="00E70D3A"/>
    <w:rsid w:val="00E70FF2"/>
    <w:rsid w:val="00E71046"/>
    <w:rsid w:val="00E71081"/>
    <w:rsid w:val="00E7127C"/>
    <w:rsid w:val="00E7154A"/>
    <w:rsid w:val="00E7161D"/>
    <w:rsid w:val="00E717E6"/>
    <w:rsid w:val="00E719F2"/>
    <w:rsid w:val="00E71AB0"/>
    <w:rsid w:val="00E71B30"/>
    <w:rsid w:val="00E71BD6"/>
    <w:rsid w:val="00E71D09"/>
    <w:rsid w:val="00E71E4B"/>
    <w:rsid w:val="00E7202C"/>
    <w:rsid w:val="00E72213"/>
    <w:rsid w:val="00E7244E"/>
    <w:rsid w:val="00E7254E"/>
    <w:rsid w:val="00E72555"/>
    <w:rsid w:val="00E7267B"/>
    <w:rsid w:val="00E726BA"/>
    <w:rsid w:val="00E7272E"/>
    <w:rsid w:val="00E728F1"/>
    <w:rsid w:val="00E729DC"/>
    <w:rsid w:val="00E729EE"/>
    <w:rsid w:val="00E72B0B"/>
    <w:rsid w:val="00E72DCB"/>
    <w:rsid w:val="00E72E3F"/>
    <w:rsid w:val="00E73025"/>
    <w:rsid w:val="00E73031"/>
    <w:rsid w:val="00E7317F"/>
    <w:rsid w:val="00E731CE"/>
    <w:rsid w:val="00E732AF"/>
    <w:rsid w:val="00E732D4"/>
    <w:rsid w:val="00E73566"/>
    <w:rsid w:val="00E7378E"/>
    <w:rsid w:val="00E73838"/>
    <w:rsid w:val="00E73A14"/>
    <w:rsid w:val="00E73A17"/>
    <w:rsid w:val="00E73ADC"/>
    <w:rsid w:val="00E73D12"/>
    <w:rsid w:val="00E73EBB"/>
    <w:rsid w:val="00E73F4A"/>
    <w:rsid w:val="00E73FA9"/>
    <w:rsid w:val="00E7405D"/>
    <w:rsid w:val="00E740B0"/>
    <w:rsid w:val="00E740DE"/>
    <w:rsid w:val="00E742FC"/>
    <w:rsid w:val="00E7496E"/>
    <w:rsid w:val="00E749F9"/>
    <w:rsid w:val="00E74B7A"/>
    <w:rsid w:val="00E74C78"/>
    <w:rsid w:val="00E74DFB"/>
    <w:rsid w:val="00E74E6B"/>
    <w:rsid w:val="00E74E8A"/>
    <w:rsid w:val="00E74FAE"/>
    <w:rsid w:val="00E750E9"/>
    <w:rsid w:val="00E751C8"/>
    <w:rsid w:val="00E75379"/>
    <w:rsid w:val="00E754D2"/>
    <w:rsid w:val="00E75568"/>
    <w:rsid w:val="00E75664"/>
    <w:rsid w:val="00E75832"/>
    <w:rsid w:val="00E75835"/>
    <w:rsid w:val="00E758CD"/>
    <w:rsid w:val="00E759AE"/>
    <w:rsid w:val="00E75A1C"/>
    <w:rsid w:val="00E75CF5"/>
    <w:rsid w:val="00E75FCA"/>
    <w:rsid w:val="00E7603C"/>
    <w:rsid w:val="00E76091"/>
    <w:rsid w:val="00E762B6"/>
    <w:rsid w:val="00E76308"/>
    <w:rsid w:val="00E763FE"/>
    <w:rsid w:val="00E76470"/>
    <w:rsid w:val="00E76614"/>
    <w:rsid w:val="00E7677C"/>
    <w:rsid w:val="00E767EE"/>
    <w:rsid w:val="00E76932"/>
    <w:rsid w:val="00E769F8"/>
    <w:rsid w:val="00E76A39"/>
    <w:rsid w:val="00E76E36"/>
    <w:rsid w:val="00E76F86"/>
    <w:rsid w:val="00E770F8"/>
    <w:rsid w:val="00E7710C"/>
    <w:rsid w:val="00E77469"/>
    <w:rsid w:val="00E774C5"/>
    <w:rsid w:val="00E77882"/>
    <w:rsid w:val="00E779FC"/>
    <w:rsid w:val="00E77C09"/>
    <w:rsid w:val="00E77C1F"/>
    <w:rsid w:val="00E77CBB"/>
    <w:rsid w:val="00E77E0C"/>
    <w:rsid w:val="00E77E75"/>
    <w:rsid w:val="00E77F85"/>
    <w:rsid w:val="00E801B8"/>
    <w:rsid w:val="00E80284"/>
    <w:rsid w:val="00E802CF"/>
    <w:rsid w:val="00E80522"/>
    <w:rsid w:val="00E80614"/>
    <w:rsid w:val="00E80695"/>
    <w:rsid w:val="00E808FF"/>
    <w:rsid w:val="00E80FD6"/>
    <w:rsid w:val="00E81020"/>
    <w:rsid w:val="00E811B7"/>
    <w:rsid w:val="00E81201"/>
    <w:rsid w:val="00E816F4"/>
    <w:rsid w:val="00E81849"/>
    <w:rsid w:val="00E81857"/>
    <w:rsid w:val="00E819B8"/>
    <w:rsid w:val="00E81A54"/>
    <w:rsid w:val="00E81A88"/>
    <w:rsid w:val="00E81B1F"/>
    <w:rsid w:val="00E81C72"/>
    <w:rsid w:val="00E81F23"/>
    <w:rsid w:val="00E82121"/>
    <w:rsid w:val="00E82230"/>
    <w:rsid w:val="00E8279C"/>
    <w:rsid w:val="00E82A0F"/>
    <w:rsid w:val="00E82BAC"/>
    <w:rsid w:val="00E82E51"/>
    <w:rsid w:val="00E831A6"/>
    <w:rsid w:val="00E8322C"/>
    <w:rsid w:val="00E83424"/>
    <w:rsid w:val="00E835AF"/>
    <w:rsid w:val="00E837C8"/>
    <w:rsid w:val="00E83A40"/>
    <w:rsid w:val="00E83B41"/>
    <w:rsid w:val="00E83C42"/>
    <w:rsid w:val="00E83CE2"/>
    <w:rsid w:val="00E83FA7"/>
    <w:rsid w:val="00E83FB0"/>
    <w:rsid w:val="00E840BB"/>
    <w:rsid w:val="00E843A1"/>
    <w:rsid w:val="00E84685"/>
    <w:rsid w:val="00E8478A"/>
    <w:rsid w:val="00E84BDB"/>
    <w:rsid w:val="00E851FD"/>
    <w:rsid w:val="00E855F4"/>
    <w:rsid w:val="00E85773"/>
    <w:rsid w:val="00E85953"/>
    <w:rsid w:val="00E85988"/>
    <w:rsid w:val="00E85D48"/>
    <w:rsid w:val="00E85D6D"/>
    <w:rsid w:val="00E85EB1"/>
    <w:rsid w:val="00E85EE8"/>
    <w:rsid w:val="00E85F2F"/>
    <w:rsid w:val="00E85FF5"/>
    <w:rsid w:val="00E860A7"/>
    <w:rsid w:val="00E86178"/>
    <w:rsid w:val="00E8630C"/>
    <w:rsid w:val="00E86377"/>
    <w:rsid w:val="00E868E3"/>
    <w:rsid w:val="00E86C0A"/>
    <w:rsid w:val="00E86C2E"/>
    <w:rsid w:val="00E86D26"/>
    <w:rsid w:val="00E87446"/>
    <w:rsid w:val="00E874CF"/>
    <w:rsid w:val="00E87722"/>
    <w:rsid w:val="00E87A06"/>
    <w:rsid w:val="00E87BAD"/>
    <w:rsid w:val="00E87CAC"/>
    <w:rsid w:val="00E87E9D"/>
    <w:rsid w:val="00E9005A"/>
    <w:rsid w:val="00E90516"/>
    <w:rsid w:val="00E90614"/>
    <w:rsid w:val="00E907AC"/>
    <w:rsid w:val="00E907EE"/>
    <w:rsid w:val="00E907FA"/>
    <w:rsid w:val="00E90A8F"/>
    <w:rsid w:val="00E90BFA"/>
    <w:rsid w:val="00E90C83"/>
    <w:rsid w:val="00E911CB"/>
    <w:rsid w:val="00E911CF"/>
    <w:rsid w:val="00E91259"/>
    <w:rsid w:val="00E912C0"/>
    <w:rsid w:val="00E91318"/>
    <w:rsid w:val="00E9132B"/>
    <w:rsid w:val="00E91539"/>
    <w:rsid w:val="00E917AD"/>
    <w:rsid w:val="00E91867"/>
    <w:rsid w:val="00E918D5"/>
    <w:rsid w:val="00E9194E"/>
    <w:rsid w:val="00E91AE0"/>
    <w:rsid w:val="00E91BB2"/>
    <w:rsid w:val="00E91F1C"/>
    <w:rsid w:val="00E92032"/>
    <w:rsid w:val="00E9207F"/>
    <w:rsid w:val="00E92299"/>
    <w:rsid w:val="00E923E0"/>
    <w:rsid w:val="00E9249A"/>
    <w:rsid w:val="00E92508"/>
    <w:rsid w:val="00E9261B"/>
    <w:rsid w:val="00E9278D"/>
    <w:rsid w:val="00E9282D"/>
    <w:rsid w:val="00E92A05"/>
    <w:rsid w:val="00E92A85"/>
    <w:rsid w:val="00E92B4D"/>
    <w:rsid w:val="00E92BA5"/>
    <w:rsid w:val="00E92BAC"/>
    <w:rsid w:val="00E92DBE"/>
    <w:rsid w:val="00E92DE1"/>
    <w:rsid w:val="00E92ECF"/>
    <w:rsid w:val="00E92FA4"/>
    <w:rsid w:val="00E92FD2"/>
    <w:rsid w:val="00E9328E"/>
    <w:rsid w:val="00E9336F"/>
    <w:rsid w:val="00E934C3"/>
    <w:rsid w:val="00E934E1"/>
    <w:rsid w:val="00E937AA"/>
    <w:rsid w:val="00E939E5"/>
    <w:rsid w:val="00E93A07"/>
    <w:rsid w:val="00E93A0A"/>
    <w:rsid w:val="00E93A7A"/>
    <w:rsid w:val="00E93C55"/>
    <w:rsid w:val="00E93CDC"/>
    <w:rsid w:val="00E93E08"/>
    <w:rsid w:val="00E93F00"/>
    <w:rsid w:val="00E93F9E"/>
    <w:rsid w:val="00E9401C"/>
    <w:rsid w:val="00E94332"/>
    <w:rsid w:val="00E94425"/>
    <w:rsid w:val="00E9446E"/>
    <w:rsid w:val="00E947F3"/>
    <w:rsid w:val="00E94B83"/>
    <w:rsid w:val="00E94B89"/>
    <w:rsid w:val="00E94D0B"/>
    <w:rsid w:val="00E94E7B"/>
    <w:rsid w:val="00E95369"/>
    <w:rsid w:val="00E95553"/>
    <w:rsid w:val="00E9564E"/>
    <w:rsid w:val="00E95A92"/>
    <w:rsid w:val="00E95AC1"/>
    <w:rsid w:val="00E95BA9"/>
    <w:rsid w:val="00E95D65"/>
    <w:rsid w:val="00E9612E"/>
    <w:rsid w:val="00E961C4"/>
    <w:rsid w:val="00E961E8"/>
    <w:rsid w:val="00E9660C"/>
    <w:rsid w:val="00E9669A"/>
    <w:rsid w:val="00E966DD"/>
    <w:rsid w:val="00E967F9"/>
    <w:rsid w:val="00E96B0B"/>
    <w:rsid w:val="00E96ED7"/>
    <w:rsid w:val="00E96EF9"/>
    <w:rsid w:val="00E96FF5"/>
    <w:rsid w:val="00E9701F"/>
    <w:rsid w:val="00E97163"/>
    <w:rsid w:val="00E972D3"/>
    <w:rsid w:val="00E97463"/>
    <w:rsid w:val="00E97564"/>
    <w:rsid w:val="00E975E2"/>
    <w:rsid w:val="00E976AF"/>
    <w:rsid w:val="00E97CE8"/>
    <w:rsid w:val="00E97D0A"/>
    <w:rsid w:val="00E97EF5"/>
    <w:rsid w:val="00E97F6C"/>
    <w:rsid w:val="00EA05DD"/>
    <w:rsid w:val="00EA079E"/>
    <w:rsid w:val="00EA0AB0"/>
    <w:rsid w:val="00EA0AE6"/>
    <w:rsid w:val="00EA0F70"/>
    <w:rsid w:val="00EA107A"/>
    <w:rsid w:val="00EA10D1"/>
    <w:rsid w:val="00EA1364"/>
    <w:rsid w:val="00EA1544"/>
    <w:rsid w:val="00EA1592"/>
    <w:rsid w:val="00EA16BC"/>
    <w:rsid w:val="00EA1764"/>
    <w:rsid w:val="00EA1796"/>
    <w:rsid w:val="00EA186C"/>
    <w:rsid w:val="00EA1893"/>
    <w:rsid w:val="00EA1911"/>
    <w:rsid w:val="00EA191F"/>
    <w:rsid w:val="00EA1D9B"/>
    <w:rsid w:val="00EA1E5B"/>
    <w:rsid w:val="00EA1EC5"/>
    <w:rsid w:val="00EA1F71"/>
    <w:rsid w:val="00EA2209"/>
    <w:rsid w:val="00EA2539"/>
    <w:rsid w:val="00EA25F2"/>
    <w:rsid w:val="00EA2789"/>
    <w:rsid w:val="00EA2867"/>
    <w:rsid w:val="00EA2986"/>
    <w:rsid w:val="00EA2B01"/>
    <w:rsid w:val="00EA2B11"/>
    <w:rsid w:val="00EA2F00"/>
    <w:rsid w:val="00EA2FDA"/>
    <w:rsid w:val="00EA31FE"/>
    <w:rsid w:val="00EA3258"/>
    <w:rsid w:val="00EA325E"/>
    <w:rsid w:val="00EA332D"/>
    <w:rsid w:val="00EA3436"/>
    <w:rsid w:val="00EA36BD"/>
    <w:rsid w:val="00EA36C9"/>
    <w:rsid w:val="00EA3743"/>
    <w:rsid w:val="00EA3819"/>
    <w:rsid w:val="00EA4161"/>
    <w:rsid w:val="00EA417A"/>
    <w:rsid w:val="00EA42AA"/>
    <w:rsid w:val="00EA4724"/>
    <w:rsid w:val="00EA4774"/>
    <w:rsid w:val="00EA47F9"/>
    <w:rsid w:val="00EA4810"/>
    <w:rsid w:val="00EA48CA"/>
    <w:rsid w:val="00EA48CB"/>
    <w:rsid w:val="00EA48DA"/>
    <w:rsid w:val="00EA4FDE"/>
    <w:rsid w:val="00EA5096"/>
    <w:rsid w:val="00EA509B"/>
    <w:rsid w:val="00EA5104"/>
    <w:rsid w:val="00EA5322"/>
    <w:rsid w:val="00EA5532"/>
    <w:rsid w:val="00EA565E"/>
    <w:rsid w:val="00EA5BB9"/>
    <w:rsid w:val="00EA6087"/>
    <w:rsid w:val="00EA6142"/>
    <w:rsid w:val="00EA617E"/>
    <w:rsid w:val="00EA6505"/>
    <w:rsid w:val="00EA6645"/>
    <w:rsid w:val="00EA6788"/>
    <w:rsid w:val="00EA68D7"/>
    <w:rsid w:val="00EA6974"/>
    <w:rsid w:val="00EA6990"/>
    <w:rsid w:val="00EA6E0F"/>
    <w:rsid w:val="00EA74F4"/>
    <w:rsid w:val="00EA752E"/>
    <w:rsid w:val="00EA7739"/>
    <w:rsid w:val="00EA776B"/>
    <w:rsid w:val="00EA7B13"/>
    <w:rsid w:val="00EA7EA2"/>
    <w:rsid w:val="00EB0541"/>
    <w:rsid w:val="00EB05B1"/>
    <w:rsid w:val="00EB06A3"/>
    <w:rsid w:val="00EB070B"/>
    <w:rsid w:val="00EB07C3"/>
    <w:rsid w:val="00EB07C4"/>
    <w:rsid w:val="00EB0954"/>
    <w:rsid w:val="00EB0B45"/>
    <w:rsid w:val="00EB0B5C"/>
    <w:rsid w:val="00EB0E7F"/>
    <w:rsid w:val="00EB0EDC"/>
    <w:rsid w:val="00EB13BC"/>
    <w:rsid w:val="00EB1483"/>
    <w:rsid w:val="00EB14F1"/>
    <w:rsid w:val="00EB1586"/>
    <w:rsid w:val="00EB1699"/>
    <w:rsid w:val="00EB16D7"/>
    <w:rsid w:val="00EB1798"/>
    <w:rsid w:val="00EB17A5"/>
    <w:rsid w:val="00EB191B"/>
    <w:rsid w:val="00EB2134"/>
    <w:rsid w:val="00EB22BB"/>
    <w:rsid w:val="00EB22C6"/>
    <w:rsid w:val="00EB26B3"/>
    <w:rsid w:val="00EB276B"/>
    <w:rsid w:val="00EB2868"/>
    <w:rsid w:val="00EB2A2E"/>
    <w:rsid w:val="00EB2C8D"/>
    <w:rsid w:val="00EB2DE0"/>
    <w:rsid w:val="00EB32DB"/>
    <w:rsid w:val="00EB32E3"/>
    <w:rsid w:val="00EB35D5"/>
    <w:rsid w:val="00EB37D5"/>
    <w:rsid w:val="00EB3829"/>
    <w:rsid w:val="00EB3929"/>
    <w:rsid w:val="00EB3A11"/>
    <w:rsid w:val="00EB3A95"/>
    <w:rsid w:val="00EB42AB"/>
    <w:rsid w:val="00EB43E7"/>
    <w:rsid w:val="00EB4432"/>
    <w:rsid w:val="00EB45E2"/>
    <w:rsid w:val="00EB47BA"/>
    <w:rsid w:val="00EB484A"/>
    <w:rsid w:val="00EB49C8"/>
    <w:rsid w:val="00EB49F3"/>
    <w:rsid w:val="00EB4BEC"/>
    <w:rsid w:val="00EB4BF6"/>
    <w:rsid w:val="00EB4D1A"/>
    <w:rsid w:val="00EB511A"/>
    <w:rsid w:val="00EB524D"/>
    <w:rsid w:val="00EB5264"/>
    <w:rsid w:val="00EB5276"/>
    <w:rsid w:val="00EB534C"/>
    <w:rsid w:val="00EB5451"/>
    <w:rsid w:val="00EB546D"/>
    <w:rsid w:val="00EB54FA"/>
    <w:rsid w:val="00EB55F8"/>
    <w:rsid w:val="00EB583D"/>
    <w:rsid w:val="00EB5A43"/>
    <w:rsid w:val="00EB5AAB"/>
    <w:rsid w:val="00EB5C30"/>
    <w:rsid w:val="00EB5EFE"/>
    <w:rsid w:val="00EB5F3C"/>
    <w:rsid w:val="00EB6187"/>
    <w:rsid w:val="00EB6197"/>
    <w:rsid w:val="00EB6280"/>
    <w:rsid w:val="00EB630B"/>
    <w:rsid w:val="00EB6388"/>
    <w:rsid w:val="00EB6640"/>
    <w:rsid w:val="00EB6652"/>
    <w:rsid w:val="00EB68B5"/>
    <w:rsid w:val="00EB6C3E"/>
    <w:rsid w:val="00EB6CB6"/>
    <w:rsid w:val="00EB6E29"/>
    <w:rsid w:val="00EB6EC6"/>
    <w:rsid w:val="00EB6F23"/>
    <w:rsid w:val="00EB6F79"/>
    <w:rsid w:val="00EB73AE"/>
    <w:rsid w:val="00EB73E4"/>
    <w:rsid w:val="00EB78D5"/>
    <w:rsid w:val="00EB797B"/>
    <w:rsid w:val="00EB7985"/>
    <w:rsid w:val="00EB7A60"/>
    <w:rsid w:val="00EB7B8C"/>
    <w:rsid w:val="00EB7BC2"/>
    <w:rsid w:val="00EB7D56"/>
    <w:rsid w:val="00EC01D9"/>
    <w:rsid w:val="00EC01EA"/>
    <w:rsid w:val="00EC020F"/>
    <w:rsid w:val="00EC03AF"/>
    <w:rsid w:val="00EC064B"/>
    <w:rsid w:val="00EC079A"/>
    <w:rsid w:val="00EC0931"/>
    <w:rsid w:val="00EC0BD7"/>
    <w:rsid w:val="00EC0D6A"/>
    <w:rsid w:val="00EC0EB2"/>
    <w:rsid w:val="00EC0FEA"/>
    <w:rsid w:val="00EC1036"/>
    <w:rsid w:val="00EC1338"/>
    <w:rsid w:val="00EC14A7"/>
    <w:rsid w:val="00EC1765"/>
    <w:rsid w:val="00EC1840"/>
    <w:rsid w:val="00EC19E2"/>
    <w:rsid w:val="00EC1A3F"/>
    <w:rsid w:val="00EC1AE0"/>
    <w:rsid w:val="00EC1B9E"/>
    <w:rsid w:val="00EC1CC7"/>
    <w:rsid w:val="00EC1D78"/>
    <w:rsid w:val="00EC1E7E"/>
    <w:rsid w:val="00EC2188"/>
    <w:rsid w:val="00EC2321"/>
    <w:rsid w:val="00EC23DB"/>
    <w:rsid w:val="00EC2557"/>
    <w:rsid w:val="00EC258F"/>
    <w:rsid w:val="00EC25C1"/>
    <w:rsid w:val="00EC2760"/>
    <w:rsid w:val="00EC2789"/>
    <w:rsid w:val="00EC2901"/>
    <w:rsid w:val="00EC292F"/>
    <w:rsid w:val="00EC2A8E"/>
    <w:rsid w:val="00EC2C02"/>
    <w:rsid w:val="00EC2CE7"/>
    <w:rsid w:val="00EC2FB6"/>
    <w:rsid w:val="00EC330C"/>
    <w:rsid w:val="00EC333D"/>
    <w:rsid w:val="00EC3560"/>
    <w:rsid w:val="00EC3574"/>
    <w:rsid w:val="00EC35C4"/>
    <w:rsid w:val="00EC361F"/>
    <w:rsid w:val="00EC3854"/>
    <w:rsid w:val="00EC3867"/>
    <w:rsid w:val="00EC3A6D"/>
    <w:rsid w:val="00EC3EB8"/>
    <w:rsid w:val="00EC4059"/>
    <w:rsid w:val="00EC40AF"/>
    <w:rsid w:val="00EC425D"/>
    <w:rsid w:val="00EC42C3"/>
    <w:rsid w:val="00EC451B"/>
    <w:rsid w:val="00EC4979"/>
    <w:rsid w:val="00EC4BF7"/>
    <w:rsid w:val="00EC4D41"/>
    <w:rsid w:val="00EC4D62"/>
    <w:rsid w:val="00EC4F82"/>
    <w:rsid w:val="00EC51B9"/>
    <w:rsid w:val="00EC52A0"/>
    <w:rsid w:val="00EC52B2"/>
    <w:rsid w:val="00EC52C3"/>
    <w:rsid w:val="00EC5312"/>
    <w:rsid w:val="00EC59C0"/>
    <w:rsid w:val="00EC5A3C"/>
    <w:rsid w:val="00EC5B22"/>
    <w:rsid w:val="00EC5D26"/>
    <w:rsid w:val="00EC5E4A"/>
    <w:rsid w:val="00EC5FB6"/>
    <w:rsid w:val="00EC612B"/>
    <w:rsid w:val="00EC6162"/>
    <w:rsid w:val="00EC64B3"/>
    <w:rsid w:val="00EC65E6"/>
    <w:rsid w:val="00EC68EF"/>
    <w:rsid w:val="00EC6999"/>
    <w:rsid w:val="00EC6ABF"/>
    <w:rsid w:val="00EC6EFD"/>
    <w:rsid w:val="00EC6F64"/>
    <w:rsid w:val="00EC6FCA"/>
    <w:rsid w:val="00EC701E"/>
    <w:rsid w:val="00EC7049"/>
    <w:rsid w:val="00EC70B5"/>
    <w:rsid w:val="00EC716C"/>
    <w:rsid w:val="00EC7287"/>
    <w:rsid w:val="00EC74DB"/>
    <w:rsid w:val="00EC7813"/>
    <w:rsid w:val="00EC78E1"/>
    <w:rsid w:val="00EC78F3"/>
    <w:rsid w:val="00EC7C0A"/>
    <w:rsid w:val="00EC7EBE"/>
    <w:rsid w:val="00ED0178"/>
    <w:rsid w:val="00ED01AB"/>
    <w:rsid w:val="00ED01BD"/>
    <w:rsid w:val="00ED026B"/>
    <w:rsid w:val="00ED02CF"/>
    <w:rsid w:val="00ED066B"/>
    <w:rsid w:val="00ED09E8"/>
    <w:rsid w:val="00ED0ADC"/>
    <w:rsid w:val="00ED0CC7"/>
    <w:rsid w:val="00ED0CE8"/>
    <w:rsid w:val="00ED0FEA"/>
    <w:rsid w:val="00ED106E"/>
    <w:rsid w:val="00ED1827"/>
    <w:rsid w:val="00ED1C5C"/>
    <w:rsid w:val="00ED1F5C"/>
    <w:rsid w:val="00ED1F6A"/>
    <w:rsid w:val="00ED1F88"/>
    <w:rsid w:val="00ED204F"/>
    <w:rsid w:val="00ED231B"/>
    <w:rsid w:val="00ED2476"/>
    <w:rsid w:val="00ED24EE"/>
    <w:rsid w:val="00ED28EC"/>
    <w:rsid w:val="00ED2DD7"/>
    <w:rsid w:val="00ED3207"/>
    <w:rsid w:val="00ED3251"/>
    <w:rsid w:val="00ED3331"/>
    <w:rsid w:val="00ED336E"/>
    <w:rsid w:val="00ED33EC"/>
    <w:rsid w:val="00ED3418"/>
    <w:rsid w:val="00ED3656"/>
    <w:rsid w:val="00ED38C9"/>
    <w:rsid w:val="00ED38F1"/>
    <w:rsid w:val="00ED393B"/>
    <w:rsid w:val="00ED39C7"/>
    <w:rsid w:val="00ED3A50"/>
    <w:rsid w:val="00ED3A6D"/>
    <w:rsid w:val="00ED3A77"/>
    <w:rsid w:val="00ED3B6E"/>
    <w:rsid w:val="00ED3CD3"/>
    <w:rsid w:val="00ED3E1D"/>
    <w:rsid w:val="00ED3EC4"/>
    <w:rsid w:val="00ED3FCC"/>
    <w:rsid w:val="00ED43B1"/>
    <w:rsid w:val="00ED4583"/>
    <w:rsid w:val="00ED4A18"/>
    <w:rsid w:val="00ED4C0D"/>
    <w:rsid w:val="00ED4D95"/>
    <w:rsid w:val="00ED4F6D"/>
    <w:rsid w:val="00ED5595"/>
    <w:rsid w:val="00ED5847"/>
    <w:rsid w:val="00ED5B88"/>
    <w:rsid w:val="00ED5C92"/>
    <w:rsid w:val="00ED5F14"/>
    <w:rsid w:val="00ED5FD2"/>
    <w:rsid w:val="00ED6302"/>
    <w:rsid w:val="00ED6381"/>
    <w:rsid w:val="00ED64C1"/>
    <w:rsid w:val="00ED64E4"/>
    <w:rsid w:val="00ED6570"/>
    <w:rsid w:val="00ED6594"/>
    <w:rsid w:val="00ED6716"/>
    <w:rsid w:val="00ED6776"/>
    <w:rsid w:val="00ED6858"/>
    <w:rsid w:val="00ED6922"/>
    <w:rsid w:val="00ED6A13"/>
    <w:rsid w:val="00ED6BCA"/>
    <w:rsid w:val="00ED6C0A"/>
    <w:rsid w:val="00ED6C96"/>
    <w:rsid w:val="00ED743F"/>
    <w:rsid w:val="00ED744E"/>
    <w:rsid w:val="00ED7579"/>
    <w:rsid w:val="00ED7642"/>
    <w:rsid w:val="00ED77B8"/>
    <w:rsid w:val="00ED77EF"/>
    <w:rsid w:val="00ED7879"/>
    <w:rsid w:val="00ED78CE"/>
    <w:rsid w:val="00ED79B9"/>
    <w:rsid w:val="00ED79CA"/>
    <w:rsid w:val="00ED7B23"/>
    <w:rsid w:val="00ED7B37"/>
    <w:rsid w:val="00ED7C18"/>
    <w:rsid w:val="00ED7F20"/>
    <w:rsid w:val="00ED7FD4"/>
    <w:rsid w:val="00EE00CB"/>
    <w:rsid w:val="00EE01B3"/>
    <w:rsid w:val="00EE024C"/>
    <w:rsid w:val="00EE02CD"/>
    <w:rsid w:val="00EE03FB"/>
    <w:rsid w:val="00EE0818"/>
    <w:rsid w:val="00EE097C"/>
    <w:rsid w:val="00EE0A02"/>
    <w:rsid w:val="00EE0B1E"/>
    <w:rsid w:val="00EE0B77"/>
    <w:rsid w:val="00EE0BAE"/>
    <w:rsid w:val="00EE0CBF"/>
    <w:rsid w:val="00EE0DBB"/>
    <w:rsid w:val="00EE10D1"/>
    <w:rsid w:val="00EE11C3"/>
    <w:rsid w:val="00EE146F"/>
    <w:rsid w:val="00EE147A"/>
    <w:rsid w:val="00EE1552"/>
    <w:rsid w:val="00EE172E"/>
    <w:rsid w:val="00EE19C9"/>
    <w:rsid w:val="00EE1C38"/>
    <w:rsid w:val="00EE1D54"/>
    <w:rsid w:val="00EE1EC9"/>
    <w:rsid w:val="00EE2111"/>
    <w:rsid w:val="00EE226B"/>
    <w:rsid w:val="00EE246D"/>
    <w:rsid w:val="00EE25B1"/>
    <w:rsid w:val="00EE2881"/>
    <w:rsid w:val="00EE2961"/>
    <w:rsid w:val="00EE2A92"/>
    <w:rsid w:val="00EE2CD3"/>
    <w:rsid w:val="00EE2D25"/>
    <w:rsid w:val="00EE3181"/>
    <w:rsid w:val="00EE319D"/>
    <w:rsid w:val="00EE31A4"/>
    <w:rsid w:val="00EE3489"/>
    <w:rsid w:val="00EE3576"/>
    <w:rsid w:val="00EE3760"/>
    <w:rsid w:val="00EE3894"/>
    <w:rsid w:val="00EE3934"/>
    <w:rsid w:val="00EE39AA"/>
    <w:rsid w:val="00EE3CB3"/>
    <w:rsid w:val="00EE3D7F"/>
    <w:rsid w:val="00EE3E01"/>
    <w:rsid w:val="00EE3E3E"/>
    <w:rsid w:val="00EE3F6F"/>
    <w:rsid w:val="00EE3F9D"/>
    <w:rsid w:val="00EE3FDC"/>
    <w:rsid w:val="00EE3FE3"/>
    <w:rsid w:val="00EE42AF"/>
    <w:rsid w:val="00EE4458"/>
    <w:rsid w:val="00EE4B41"/>
    <w:rsid w:val="00EE4B5A"/>
    <w:rsid w:val="00EE4BA6"/>
    <w:rsid w:val="00EE4BB4"/>
    <w:rsid w:val="00EE4D5B"/>
    <w:rsid w:val="00EE4F92"/>
    <w:rsid w:val="00EE51F1"/>
    <w:rsid w:val="00EE532C"/>
    <w:rsid w:val="00EE5441"/>
    <w:rsid w:val="00EE5839"/>
    <w:rsid w:val="00EE5993"/>
    <w:rsid w:val="00EE59D6"/>
    <w:rsid w:val="00EE5D58"/>
    <w:rsid w:val="00EE5EDF"/>
    <w:rsid w:val="00EE6140"/>
    <w:rsid w:val="00EE6332"/>
    <w:rsid w:val="00EE644A"/>
    <w:rsid w:val="00EE6451"/>
    <w:rsid w:val="00EE66AD"/>
    <w:rsid w:val="00EE68DA"/>
    <w:rsid w:val="00EE6AB0"/>
    <w:rsid w:val="00EE6AD3"/>
    <w:rsid w:val="00EE6C38"/>
    <w:rsid w:val="00EE6C3B"/>
    <w:rsid w:val="00EE6F93"/>
    <w:rsid w:val="00EE7066"/>
    <w:rsid w:val="00EE71F9"/>
    <w:rsid w:val="00EE73C1"/>
    <w:rsid w:val="00EE7500"/>
    <w:rsid w:val="00EE7589"/>
    <w:rsid w:val="00EE7608"/>
    <w:rsid w:val="00EE7653"/>
    <w:rsid w:val="00EE767A"/>
    <w:rsid w:val="00EE798D"/>
    <w:rsid w:val="00EE7F48"/>
    <w:rsid w:val="00EE7F4E"/>
    <w:rsid w:val="00EF02AE"/>
    <w:rsid w:val="00EF03E7"/>
    <w:rsid w:val="00EF0447"/>
    <w:rsid w:val="00EF054F"/>
    <w:rsid w:val="00EF05FD"/>
    <w:rsid w:val="00EF0618"/>
    <w:rsid w:val="00EF071B"/>
    <w:rsid w:val="00EF07A7"/>
    <w:rsid w:val="00EF0A39"/>
    <w:rsid w:val="00EF0B4C"/>
    <w:rsid w:val="00EF0C68"/>
    <w:rsid w:val="00EF0F1E"/>
    <w:rsid w:val="00EF1132"/>
    <w:rsid w:val="00EF11BA"/>
    <w:rsid w:val="00EF12C6"/>
    <w:rsid w:val="00EF13DA"/>
    <w:rsid w:val="00EF1874"/>
    <w:rsid w:val="00EF18DF"/>
    <w:rsid w:val="00EF199E"/>
    <w:rsid w:val="00EF1AEF"/>
    <w:rsid w:val="00EF1B4E"/>
    <w:rsid w:val="00EF1B85"/>
    <w:rsid w:val="00EF1DDD"/>
    <w:rsid w:val="00EF1F31"/>
    <w:rsid w:val="00EF2157"/>
    <w:rsid w:val="00EF2387"/>
    <w:rsid w:val="00EF2454"/>
    <w:rsid w:val="00EF26C3"/>
    <w:rsid w:val="00EF2738"/>
    <w:rsid w:val="00EF2A66"/>
    <w:rsid w:val="00EF2ABD"/>
    <w:rsid w:val="00EF2B0E"/>
    <w:rsid w:val="00EF2BA5"/>
    <w:rsid w:val="00EF2CAC"/>
    <w:rsid w:val="00EF2DA4"/>
    <w:rsid w:val="00EF327D"/>
    <w:rsid w:val="00EF3295"/>
    <w:rsid w:val="00EF34DE"/>
    <w:rsid w:val="00EF3687"/>
    <w:rsid w:val="00EF37D8"/>
    <w:rsid w:val="00EF3936"/>
    <w:rsid w:val="00EF39AF"/>
    <w:rsid w:val="00EF3ADA"/>
    <w:rsid w:val="00EF3AF8"/>
    <w:rsid w:val="00EF3CA2"/>
    <w:rsid w:val="00EF3EC6"/>
    <w:rsid w:val="00EF41D2"/>
    <w:rsid w:val="00EF43A1"/>
    <w:rsid w:val="00EF4488"/>
    <w:rsid w:val="00EF451C"/>
    <w:rsid w:val="00EF45E5"/>
    <w:rsid w:val="00EF45F0"/>
    <w:rsid w:val="00EF46A6"/>
    <w:rsid w:val="00EF497C"/>
    <w:rsid w:val="00EF4A06"/>
    <w:rsid w:val="00EF4E4E"/>
    <w:rsid w:val="00EF4E9E"/>
    <w:rsid w:val="00EF53E5"/>
    <w:rsid w:val="00EF5746"/>
    <w:rsid w:val="00EF576C"/>
    <w:rsid w:val="00EF584A"/>
    <w:rsid w:val="00EF58E4"/>
    <w:rsid w:val="00EF59D4"/>
    <w:rsid w:val="00EF5C5B"/>
    <w:rsid w:val="00EF5CE1"/>
    <w:rsid w:val="00EF5E6E"/>
    <w:rsid w:val="00EF5EBD"/>
    <w:rsid w:val="00EF600A"/>
    <w:rsid w:val="00EF6130"/>
    <w:rsid w:val="00EF61D9"/>
    <w:rsid w:val="00EF6467"/>
    <w:rsid w:val="00EF6507"/>
    <w:rsid w:val="00EF6630"/>
    <w:rsid w:val="00EF6893"/>
    <w:rsid w:val="00EF6972"/>
    <w:rsid w:val="00EF6ABB"/>
    <w:rsid w:val="00EF6B34"/>
    <w:rsid w:val="00EF6C05"/>
    <w:rsid w:val="00EF6CFE"/>
    <w:rsid w:val="00EF6E05"/>
    <w:rsid w:val="00EF6E07"/>
    <w:rsid w:val="00EF7274"/>
    <w:rsid w:val="00EF7437"/>
    <w:rsid w:val="00EF7492"/>
    <w:rsid w:val="00EF78E0"/>
    <w:rsid w:val="00EF78FF"/>
    <w:rsid w:val="00EF791D"/>
    <w:rsid w:val="00EF79BD"/>
    <w:rsid w:val="00EF7A38"/>
    <w:rsid w:val="00EF7FD0"/>
    <w:rsid w:val="00F003C3"/>
    <w:rsid w:val="00F003D8"/>
    <w:rsid w:val="00F005D5"/>
    <w:rsid w:val="00F006A1"/>
    <w:rsid w:val="00F00735"/>
    <w:rsid w:val="00F00768"/>
    <w:rsid w:val="00F007AD"/>
    <w:rsid w:val="00F0080D"/>
    <w:rsid w:val="00F0087D"/>
    <w:rsid w:val="00F00A61"/>
    <w:rsid w:val="00F00AE4"/>
    <w:rsid w:val="00F00BB1"/>
    <w:rsid w:val="00F00BFD"/>
    <w:rsid w:val="00F00CEB"/>
    <w:rsid w:val="00F00D30"/>
    <w:rsid w:val="00F01105"/>
    <w:rsid w:val="00F015B6"/>
    <w:rsid w:val="00F0168D"/>
    <w:rsid w:val="00F01723"/>
    <w:rsid w:val="00F01964"/>
    <w:rsid w:val="00F019AA"/>
    <w:rsid w:val="00F01C98"/>
    <w:rsid w:val="00F01D8D"/>
    <w:rsid w:val="00F01F6A"/>
    <w:rsid w:val="00F01FD7"/>
    <w:rsid w:val="00F01FF2"/>
    <w:rsid w:val="00F01FF8"/>
    <w:rsid w:val="00F020B3"/>
    <w:rsid w:val="00F02175"/>
    <w:rsid w:val="00F0235D"/>
    <w:rsid w:val="00F0238F"/>
    <w:rsid w:val="00F02471"/>
    <w:rsid w:val="00F02495"/>
    <w:rsid w:val="00F024FF"/>
    <w:rsid w:val="00F0254A"/>
    <w:rsid w:val="00F0258D"/>
    <w:rsid w:val="00F0274A"/>
    <w:rsid w:val="00F0287B"/>
    <w:rsid w:val="00F02893"/>
    <w:rsid w:val="00F02992"/>
    <w:rsid w:val="00F029CF"/>
    <w:rsid w:val="00F02C84"/>
    <w:rsid w:val="00F02CDF"/>
    <w:rsid w:val="00F02CEE"/>
    <w:rsid w:val="00F02E54"/>
    <w:rsid w:val="00F03146"/>
    <w:rsid w:val="00F0329B"/>
    <w:rsid w:val="00F032D8"/>
    <w:rsid w:val="00F032F5"/>
    <w:rsid w:val="00F034EC"/>
    <w:rsid w:val="00F035FE"/>
    <w:rsid w:val="00F037D3"/>
    <w:rsid w:val="00F038A9"/>
    <w:rsid w:val="00F03973"/>
    <w:rsid w:val="00F03AF0"/>
    <w:rsid w:val="00F03BEF"/>
    <w:rsid w:val="00F03F40"/>
    <w:rsid w:val="00F04122"/>
    <w:rsid w:val="00F0430B"/>
    <w:rsid w:val="00F045F1"/>
    <w:rsid w:val="00F04892"/>
    <w:rsid w:val="00F049A0"/>
    <w:rsid w:val="00F04A10"/>
    <w:rsid w:val="00F04EBB"/>
    <w:rsid w:val="00F04FB0"/>
    <w:rsid w:val="00F050B7"/>
    <w:rsid w:val="00F05157"/>
    <w:rsid w:val="00F0523E"/>
    <w:rsid w:val="00F056A3"/>
    <w:rsid w:val="00F056E5"/>
    <w:rsid w:val="00F06032"/>
    <w:rsid w:val="00F060F3"/>
    <w:rsid w:val="00F0620E"/>
    <w:rsid w:val="00F06234"/>
    <w:rsid w:val="00F06390"/>
    <w:rsid w:val="00F063D8"/>
    <w:rsid w:val="00F06446"/>
    <w:rsid w:val="00F06679"/>
    <w:rsid w:val="00F067BC"/>
    <w:rsid w:val="00F06937"/>
    <w:rsid w:val="00F06A42"/>
    <w:rsid w:val="00F06B52"/>
    <w:rsid w:val="00F06BA9"/>
    <w:rsid w:val="00F06C15"/>
    <w:rsid w:val="00F06C8A"/>
    <w:rsid w:val="00F072C7"/>
    <w:rsid w:val="00F07399"/>
    <w:rsid w:val="00F078EA"/>
    <w:rsid w:val="00F07AAE"/>
    <w:rsid w:val="00F07E76"/>
    <w:rsid w:val="00F07F87"/>
    <w:rsid w:val="00F1014F"/>
    <w:rsid w:val="00F1016C"/>
    <w:rsid w:val="00F10241"/>
    <w:rsid w:val="00F1046E"/>
    <w:rsid w:val="00F10615"/>
    <w:rsid w:val="00F10AF0"/>
    <w:rsid w:val="00F10CDC"/>
    <w:rsid w:val="00F10D71"/>
    <w:rsid w:val="00F10F70"/>
    <w:rsid w:val="00F11008"/>
    <w:rsid w:val="00F110E9"/>
    <w:rsid w:val="00F110F4"/>
    <w:rsid w:val="00F11363"/>
    <w:rsid w:val="00F11536"/>
    <w:rsid w:val="00F1189E"/>
    <w:rsid w:val="00F1192B"/>
    <w:rsid w:val="00F11AC7"/>
    <w:rsid w:val="00F11B77"/>
    <w:rsid w:val="00F11B78"/>
    <w:rsid w:val="00F11CC6"/>
    <w:rsid w:val="00F11DD5"/>
    <w:rsid w:val="00F11FBF"/>
    <w:rsid w:val="00F1206B"/>
    <w:rsid w:val="00F1211E"/>
    <w:rsid w:val="00F12349"/>
    <w:rsid w:val="00F1258D"/>
    <w:rsid w:val="00F1264F"/>
    <w:rsid w:val="00F12742"/>
    <w:rsid w:val="00F12778"/>
    <w:rsid w:val="00F129FE"/>
    <w:rsid w:val="00F12BE1"/>
    <w:rsid w:val="00F12C96"/>
    <w:rsid w:val="00F12E3D"/>
    <w:rsid w:val="00F12ED5"/>
    <w:rsid w:val="00F1313B"/>
    <w:rsid w:val="00F1316F"/>
    <w:rsid w:val="00F13203"/>
    <w:rsid w:val="00F13210"/>
    <w:rsid w:val="00F136C9"/>
    <w:rsid w:val="00F136DC"/>
    <w:rsid w:val="00F138F5"/>
    <w:rsid w:val="00F1391A"/>
    <w:rsid w:val="00F13940"/>
    <w:rsid w:val="00F13F88"/>
    <w:rsid w:val="00F13FEA"/>
    <w:rsid w:val="00F140EB"/>
    <w:rsid w:val="00F141D1"/>
    <w:rsid w:val="00F141F5"/>
    <w:rsid w:val="00F147DD"/>
    <w:rsid w:val="00F148AC"/>
    <w:rsid w:val="00F14A01"/>
    <w:rsid w:val="00F14AEF"/>
    <w:rsid w:val="00F14B3F"/>
    <w:rsid w:val="00F14C7D"/>
    <w:rsid w:val="00F14D4F"/>
    <w:rsid w:val="00F14DB5"/>
    <w:rsid w:val="00F14ED6"/>
    <w:rsid w:val="00F15485"/>
    <w:rsid w:val="00F15591"/>
    <w:rsid w:val="00F1573A"/>
    <w:rsid w:val="00F157F1"/>
    <w:rsid w:val="00F158DC"/>
    <w:rsid w:val="00F1596C"/>
    <w:rsid w:val="00F159DE"/>
    <w:rsid w:val="00F15AEF"/>
    <w:rsid w:val="00F15BA1"/>
    <w:rsid w:val="00F15BC1"/>
    <w:rsid w:val="00F15D3F"/>
    <w:rsid w:val="00F15DB4"/>
    <w:rsid w:val="00F15F11"/>
    <w:rsid w:val="00F1620C"/>
    <w:rsid w:val="00F16213"/>
    <w:rsid w:val="00F16608"/>
    <w:rsid w:val="00F1661D"/>
    <w:rsid w:val="00F16790"/>
    <w:rsid w:val="00F16CB0"/>
    <w:rsid w:val="00F16EF3"/>
    <w:rsid w:val="00F16F89"/>
    <w:rsid w:val="00F1703E"/>
    <w:rsid w:val="00F17166"/>
    <w:rsid w:val="00F17336"/>
    <w:rsid w:val="00F1785E"/>
    <w:rsid w:val="00F17B72"/>
    <w:rsid w:val="00F17CCF"/>
    <w:rsid w:val="00F17EBE"/>
    <w:rsid w:val="00F17FE0"/>
    <w:rsid w:val="00F20071"/>
    <w:rsid w:val="00F200A7"/>
    <w:rsid w:val="00F203BB"/>
    <w:rsid w:val="00F205EB"/>
    <w:rsid w:val="00F206A8"/>
    <w:rsid w:val="00F20C1B"/>
    <w:rsid w:val="00F20C24"/>
    <w:rsid w:val="00F20E22"/>
    <w:rsid w:val="00F210FB"/>
    <w:rsid w:val="00F21155"/>
    <w:rsid w:val="00F21294"/>
    <w:rsid w:val="00F21330"/>
    <w:rsid w:val="00F213F1"/>
    <w:rsid w:val="00F21528"/>
    <w:rsid w:val="00F217EC"/>
    <w:rsid w:val="00F2188F"/>
    <w:rsid w:val="00F219FC"/>
    <w:rsid w:val="00F21BED"/>
    <w:rsid w:val="00F21BFE"/>
    <w:rsid w:val="00F21C40"/>
    <w:rsid w:val="00F21C67"/>
    <w:rsid w:val="00F21E3B"/>
    <w:rsid w:val="00F22077"/>
    <w:rsid w:val="00F22266"/>
    <w:rsid w:val="00F22322"/>
    <w:rsid w:val="00F22334"/>
    <w:rsid w:val="00F2243F"/>
    <w:rsid w:val="00F22717"/>
    <w:rsid w:val="00F22903"/>
    <w:rsid w:val="00F229BC"/>
    <w:rsid w:val="00F22AFC"/>
    <w:rsid w:val="00F22B28"/>
    <w:rsid w:val="00F22C8C"/>
    <w:rsid w:val="00F22CA6"/>
    <w:rsid w:val="00F22CE7"/>
    <w:rsid w:val="00F22DA0"/>
    <w:rsid w:val="00F22DB8"/>
    <w:rsid w:val="00F22DEA"/>
    <w:rsid w:val="00F22E6C"/>
    <w:rsid w:val="00F2318B"/>
    <w:rsid w:val="00F23374"/>
    <w:rsid w:val="00F23616"/>
    <w:rsid w:val="00F236E6"/>
    <w:rsid w:val="00F23770"/>
    <w:rsid w:val="00F23773"/>
    <w:rsid w:val="00F2381F"/>
    <w:rsid w:val="00F2391C"/>
    <w:rsid w:val="00F23952"/>
    <w:rsid w:val="00F23BE6"/>
    <w:rsid w:val="00F24265"/>
    <w:rsid w:val="00F24702"/>
    <w:rsid w:val="00F247E9"/>
    <w:rsid w:val="00F24E60"/>
    <w:rsid w:val="00F24FA9"/>
    <w:rsid w:val="00F25198"/>
    <w:rsid w:val="00F252A0"/>
    <w:rsid w:val="00F253A2"/>
    <w:rsid w:val="00F255C6"/>
    <w:rsid w:val="00F2578E"/>
    <w:rsid w:val="00F257C2"/>
    <w:rsid w:val="00F2591C"/>
    <w:rsid w:val="00F25923"/>
    <w:rsid w:val="00F25C14"/>
    <w:rsid w:val="00F25DB8"/>
    <w:rsid w:val="00F25FFA"/>
    <w:rsid w:val="00F260A0"/>
    <w:rsid w:val="00F2610E"/>
    <w:rsid w:val="00F2611D"/>
    <w:rsid w:val="00F261B5"/>
    <w:rsid w:val="00F26575"/>
    <w:rsid w:val="00F265BD"/>
    <w:rsid w:val="00F26926"/>
    <w:rsid w:val="00F26AC1"/>
    <w:rsid w:val="00F26C1C"/>
    <w:rsid w:val="00F26C55"/>
    <w:rsid w:val="00F26F02"/>
    <w:rsid w:val="00F26FA9"/>
    <w:rsid w:val="00F27078"/>
    <w:rsid w:val="00F270A7"/>
    <w:rsid w:val="00F27103"/>
    <w:rsid w:val="00F27105"/>
    <w:rsid w:val="00F27116"/>
    <w:rsid w:val="00F273A0"/>
    <w:rsid w:val="00F27549"/>
    <w:rsid w:val="00F276E1"/>
    <w:rsid w:val="00F278ED"/>
    <w:rsid w:val="00F2797F"/>
    <w:rsid w:val="00F27B12"/>
    <w:rsid w:val="00F303F9"/>
    <w:rsid w:val="00F3042A"/>
    <w:rsid w:val="00F3054B"/>
    <w:rsid w:val="00F30593"/>
    <w:rsid w:val="00F30A15"/>
    <w:rsid w:val="00F30A9B"/>
    <w:rsid w:val="00F30C5E"/>
    <w:rsid w:val="00F30C84"/>
    <w:rsid w:val="00F30FC1"/>
    <w:rsid w:val="00F3115E"/>
    <w:rsid w:val="00F311E1"/>
    <w:rsid w:val="00F31237"/>
    <w:rsid w:val="00F312DF"/>
    <w:rsid w:val="00F313D1"/>
    <w:rsid w:val="00F315A3"/>
    <w:rsid w:val="00F31735"/>
    <w:rsid w:val="00F3186C"/>
    <w:rsid w:val="00F31895"/>
    <w:rsid w:val="00F31B9F"/>
    <w:rsid w:val="00F31C1E"/>
    <w:rsid w:val="00F31DFC"/>
    <w:rsid w:val="00F31ECF"/>
    <w:rsid w:val="00F31F8F"/>
    <w:rsid w:val="00F31FDA"/>
    <w:rsid w:val="00F32102"/>
    <w:rsid w:val="00F32108"/>
    <w:rsid w:val="00F32242"/>
    <w:rsid w:val="00F322AF"/>
    <w:rsid w:val="00F3235C"/>
    <w:rsid w:val="00F324D2"/>
    <w:rsid w:val="00F326B0"/>
    <w:rsid w:val="00F32709"/>
    <w:rsid w:val="00F32809"/>
    <w:rsid w:val="00F32B06"/>
    <w:rsid w:val="00F32E1B"/>
    <w:rsid w:val="00F32FCE"/>
    <w:rsid w:val="00F33189"/>
    <w:rsid w:val="00F331DF"/>
    <w:rsid w:val="00F33324"/>
    <w:rsid w:val="00F33766"/>
    <w:rsid w:val="00F33943"/>
    <w:rsid w:val="00F33B44"/>
    <w:rsid w:val="00F33C35"/>
    <w:rsid w:val="00F33CD5"/>
    <w:rsid w:val="00F33EF1"/>
    <w:rsid w:val="00F33FF3"/>
    <w:rsid w:val="00F3412C"/>
    <w:rsid w:val="00F34138"/>
    <w:rsid w:val="00F341CF"/>
    <w:rsid w:val="00F34447"/>
    <w:rsid w:val="00F345BF"/>
    <w:rsid w:val="00F34694"/>
    <w:rsid w:val="00F347FF"/>
    <w:rsid w:val="00F34BAD"/>
    <w:rsid w:val="00F34CF7"/>
    <w:rsid w:val="00F34DA4"/>
    <w:rsid w:val="00F35223"/>
    <w:rsid w:val="00F3527A"/>
    <w:rsid w:val="00F35415"/>
    <w:rsid w:val="00F35542"/>
    <w:rsid w:val="00F356ED"/>
    <w:rsid w:val="00F358BB"/>
    <w:rsid w:val="00F35901"/>
    <w:rsid w:val="00F3593E"/>
    <w:rsid w:val="00F35ACE"/>
    <w:rsid w:val="00F35B43"/>
    <w:rsid w:val="00F35B86"/>
    <w:rsid w:val="00F35C5B"/>
    <w:rsid w:val="00F35FC6"/>
    <w:rsid w:val="00F361DB"/>
    <w:rsid w:val="00F364D6"/>
    <w:rsid w:val="00F3656A"/>
    <w:rsid w:val="00F3658E"/>
    <w:rsid w:val="00F366AB"/>
    <w:rsid w:val="00F366F6"/>
    <w:rsid w:val="00F369CA"/>
    <w:rsid w:val="00F37177"/>
    <w:rsid w:val="00F3793F"/>
    <w:rsid w:val="00F37B59"/>
    <w:rsid w:val="00F37E9C"/>
    <w:rsid w:val="00F37F4C"/>
    <w:rsid w:val="00F4000B"/>
    <w:rsid w:val="00F4002C"/>
    <w:rsid w:val="00F404A4"/>
    <w:rsid w:val="00F40628"/>
    <w:rsid w:val="00F4064D"/>
    <w:rsid w:val="00F406C6"/>
    <w:rsid w:val="00F406D2"/>
    <w:rsid w:val="00F40843"/>
    <w:rsid w:val="00F409C6"/>
    <w:rsid w:val="00F40B82"/>
    <w:rsid w:val="00F40BFC"/>
    <w:rsid w:val="00F40DF3"/>
    <w:rsid w:val="00F40FAF"/>
    <w:rsid w:val="00F41033"/>
    <w:rsid w:val="00F4108A"/>
    <w:rsid w:val="00F41094"/>
    <w:rsid w:val="00F41289"/>
    <w:rsid w:val="00F41369"/>
    <w:rsid w:val="00F4142D"/>
    <w:rsid w:val="00F41456"/>
    <w:rsid w:val="00F4163A"/>
    <w:rsid w:val="00F41790"/>
    <w:rsid w:val="00F417AE"/>
    <w:rsid w:val="00F417BF"/>
    <w:rsid w:val="00F417C1"/>
    <w:rsid w:val="00F4190B"/>
    <w:rsid w:val="00F41964"/>
    <w:rsid w:val="00F419E8"/>
    <w:rsid w:val="00F41B6F"/>
    <w:rsid w:val="00F41E5A"/>
    <w:rsid w:val="00F41E6F"/>
    <w:rsid w:val="00F41EAE"/>
    <w:rsid w:val="00F41F9F"/>
    <w:rsid w:val="00F41FEF"/>
    <w:rsid w:val="00F426FC"/>
    <w:rsid w:val="00F42713"/>
    <w:rsid w:val="00F4285A"/>
    <w:rsid w:val="00F42AF8"/>
    <w:rsid w:val="00F42B13"/>
    <w:rsid w:val="00F42C33"/>
    <w:rsid w:val="00F42CB0"/>
    <w:rsid w:val="00F42D6E"/>
    <w:rsid w:val="00F42F66"/>
    <w:rsid w:val="00F42FC1"/>
    <w:rsid w:val="00F4319C"/>
    <w:rsid w:val="00F4329B"/>
    <w:rsid w:val="00F43373"/>
    <w:rsid w:val="00F43450"/>
    <w:rsid w:val="00F43474"/>
    <w:rsid w:val="00F4350D"/>
    <w:rsid w:val="00F437A0"/>
    <w:rsid w:val="00F43A54"/>
    <w:rsid w:val="00F43BCE"/>
    <w:rsid w:val="00F43C33"/>
    <w:rsid w:val="00F43ED3"/>
    <w:rsid w:val="00F43FFA"/>
    <w:rsid w:val="00F440DD"/>
    <w:rsid w:val="00F44219"/>
    <w:rsid w:val="00F444D1"/>
    <w:rsid w:val="00F4450F"/>
    <w:rsid w:val="00F4455C"/>
    <w:rsid w:val="00F4462A"/>
    <w:rsid w:val="00F44B90"/>
    <w:rsid w:val="00F44D75"/>
    <w:rsid w:val="00F44F04"/>
    <w:rsid w:val="00F45088"/>
    <w:rsid w:val="00F45222"/>
    <w:rsid w:val="00F45231"/>
    <w:rsid w:val="00F45242"/>
    <w:rsid w:val="00F4537E"/>
    <w:rsid w:val="00F45474"/>
    <w:rsid w:val="00F454D8"/>
    <w:rsid w:val="00F45784"/>
    <w:rsid w:val="00F458A0"/>
    <w:rsid w:val="00F45D21"/>
    <w:rsid w:val="00F45EAE"/>
    <w:rsid w:val="00F46180"/>
    <w:rsid w:val="00F462FB"/>
    <w:rsid w:val="00F4670E"/>
    <w:rsid w:val="00F4682D"/>
    <w:rsid w:val="00F46851"/>
    <w:rsid w:val="00F46BA6"/>
    <w:rsid w:val="00F46BA9"/>
    <w:rsid w:val="00F470D6"/>
    <w:rsid w:val="00F471DF"/>
    <w:rsid w:val="00F475D3"/>
    <w:rsid w:val="00F47802"/>
    <w:rsid w:val="00F4789C"/>
    <w:rsid w:val="00F47A49"/>
    <w:rsid w:val="00F47B61"/>
    <w:rsid w:val="00F47B85"/>
    <w:rsid w:val="00F47DEC"/>
    <w:rsid w:val="00F503E5"/>
    <w:rsid w:val="00F50513"/>
    <w:rsid w:val="00F5053D"/>
    <w:rsid w:val="00F50782"/>
    <w:rsid w:val="00F50B4C"/>
    <w:rsid w:val="00F50B7D"/>
    <w:rsid w:val="00F50C65"/>
    <w:rsid w:val="00F50D12"/>
    <w:rsid w:val="00F50D66"/>
    <w:rsid w:val="00F50E74"/>
    <w:rsid w:val="00F50F96"/>
    <w:rsid w:val="00F51281"/>
    <w:rsid w:val="00F512B1"/>
    <w:rsid w:val="00F5144D"/>
    <w:rsid w:val="00F51482"/>
    <w:rsid w:val="00F518A0"/>
    <w:rsid w:val="00F5196C"/>
    <w:rsid w:val="00F51B05"/>
    <w:rsid w:val="00F51B64"/>
    <w:rsid w:val="00F51BC9"/>
    <w:rsid w:val="00F51CA9"/>
    <w:rsid w:val="00F51E0B"/>
    <w:rsid w:val="00F520EA"/>
    <w:rsid w:val="00F52460"/>
    <w:rsid w:val="00F525C0"/>
    <w:rsid w:val="00F5269D"/>
    <w:rsid w:val="00F52AD1"/>
    <w:rsid w:val="00F52B9C"/>
    <w:rsid w:val="00F52E8B"/>
    <w:rsid w:val="00F52E8E"/>
    <w:rsid w:val="00F52EDE"/>
    <w:rsid w:val="00F52FB1"/>
    <w:rsid w:val="00F53076"/>
    <w:rsid w:val="00F53174"/>
    <w:rsid w:val="00F53243"/>
    <w:rsid w:val="00F534EF"/>
    <w:rsid w:val="00F536C7"/>
    <w:rsid w:val="00F53A41"/>
    <w:rsid w:val="00F53A7B"/>
    <w:rsid w:val="00F53B2D"/>
    <w:rsid w:val="00F53D17"/>
    <w:rsid w:val="00F53EB0"/>
    <w:rsid w:val="00F53F1C"/>
    <w:rsid w:val="00F53F8E"/>
    <w:rsid w:val="00F54066"/>
    <w:rsid w:val="00F5409B"/>
    <w:rsid w:val="00F540EB"/>
    <w:rsid w:val="00F54126"/>
    <w:rsid w:val="00F54638"/>
    <w:rsid w:val="00F54754"/>
    <w:rsid w:val="00F5483A"/>
    <w:rsid w:val="00F54840"/>
    <w:rsid w:val="00F548C9"/>
    <w:rsid w:val="00F5497C"/>
    <w:rsid w:val="00F5497F"/>
    <w:rsid w:val="00F54993"/>
    <w:rsid w:val="00F54995"/>
    <w:rsid w:val="00F54BA0"/>
    <w:rsid w:val="00F54CFA"/>
    <w:rsid w:val="00F54D44"/>
    <w:rsid w:val="00F54D77"/>
    <w:rsid w:val="00F54F83"/>
    <w:rsid w:val="00F554E5"/>
    <w:rsid w:val="00F555F5"/>
    <w:rsid w:val="00F55710"/>
    <w:rsid w:val="00F55742"/>
    <w:rsid w:val="00F5575D"/>
    <w:rsid w:val="00F558E7"/>
    <w:rsid w:val="00F55BF3"/>
    <w:rsid w:val="00F55DC8"/>
    <w:rsid w:val="00F55EAD"/>
    <w:rsid w:val="00F55ED1"/>
    <w:rsid w:val="00F55F47"/>
    <w:rsid w:val="00F5605A"/>
    <w:rsid w:val="00F561C3"/>
    <w:rsid w:val="00F562FA"/>
    <w:rsid w:val="00F56412"/>
    <w:rsid w:val="00F5645E"/>
    <w:rsid w:val="00F56668"/>
    <w:rsid w:val="00F56B63"/>
    <w:rsid w:val="00F56B87"/>
    <w:rsid w:val="00F56F97"/>
    <w:rsid w:val="00F56FBB"/>
    <w:rsid w:val="00F57099"/>
    <w:rsid w:val="00F570C6"/>
    <w:rsid w:val="00F570DF"/>
    <w:rsid w:val="00F57269"/>
    <w:rsid w:val="00F57304"/>
    <w:rsid w:val="00F5737F"/>
    <w:rsid w:val="00F576B0"/>
    <w:rsid w:val="00F57750"/>
    <w:rsid w:val="00F577DC"/>
    <w:rsid w:val="00F57883"/>
    <w:rsid w:val="00F57970"/>
    <w:rsid w:val="00F5798D"/>
    <w:rsid w:val="00F57BB9"/>
    <w:rsid w:val="00F57DD1"/>
    <w:rsid w:val="00F57E0E"/>
    <w:rsid w:val="00F6012D"/>
    <w:rsid w:val="00F603BA"/>
    <w:rsid w:val="00F60434"/>
    <w:rsid w:val="00F604C6"/>
    <w:rsid w:val="00F60CC6"/>
    <w:rsid w:val="00F60CEA"/>
    <w:rsid w:val="00F60F3D"/>
    <w:rsid w:val="00F611C4"/>
    <w:rsid w:val="00F61306"/>
    <w:rsid w:val="00F6132A"/>
    <w:rsid w:val="00F61360"/>
    <w:rsid w:val="00F6140C"/>
    <w:rsid w:val="00F61517"/>
    <w:rsid w:val="00F616D9"/>
    <w:rsid w:val="00F616FE"/>
    <w:rsid w:val="00F61867"/>
    <w:rsid w:val="00F618A6"/>
    <w:rsid w:val="00F6193B"/>
    <w:rsid w:val="00F61ADB"/>
    <w:rsid w:val="00F61D66"/>
    <w:rsid w:val="00F61F33"/>
    <w:rsid w:val="00F61FD5"/>
    <w:rsid w:val="00F62162"/>
    <w:rsid w:val="00F621CD"/>
    <w:rsid w:val="00F623EC"/>
    <w:rsid w:val="00F62408"/>
    <w:rsid w:val="00F624A2"/>
    <w:rsid w:val="00F624C7"/>
    <w:rsid w:val="00F625C5"/>
    <w:rsid w:val="00F6274F"/>
    <w:rsid w:val="00F627DF"/>
    <w:rsid w:val="00F62AE3"/>
    <w:rsid w:val="00F62AEF"/>
    <w:rsid w:val="00F62CE8"/>
    <w:rsid w:val="00F6307C"/>
    <w:rsid w:val="00F6324E"/>
    <w:rsid w:val="00F632D0"/>
    <w:rsid w:val="00F632FE"/>
    <w:rsid w:val="00F635EF"/>
    <w:rsid w:val="00F639B9"/>
    <w:rsid w:val="00F63CAE"/>
    <w:rsid w:val="00F63D15"/>
    <w:rsid w:val="00F63D75"/>
    <w:rsid w:val="00F63E2F"/>
    <w:rsid w:val="00F63E76"/>
    <w:rsid w:val="00F640EC"/>
    <w:rsid w:val="00F643E4"/>
    <w:rsid w:val="00F6447A"/>
    <w:rsid w:val="00F6449F"/>
    <w:rsid w:val="00F644E7"/>
    <w:rsid w:val="00F64553"/>
    <w:rsid w:val="00F648DB"/>
    <w:rsid w:val="00F64A89"/>
    <w:rsid w:val="00F64AA1"/>
    <w:rsid w:val="00F64D64"/>
    <w:rsid w:val="00F64E34"/>
    <w:rsid w:val="00F64F55"/>
    <w:rsid w:val="00F64FF2"/>
    <w:rsid w:val="00F650A0"/>
    <w:rsid w:val="00F65181"/>
    <w:rsid w:val="00F651AA"/>
    <w:rsid w:val="00F65279"/>
    <w:rsid w:val="00F6533D"/>
    <w:rsid w:val="00F6545A"/>
    <w:rsid w:val="00F654C7"/>
    <w:rsid w:val="00F654E8"/>
    <w:rsid w:val="00F6563F"/>
    <w:rsid w:val="00F65882"/>
    <w:rsid w:val="00F6599C"/>
    <w:rsid w:val="00F65B84"/>
    <w:rsid w:val="00F65BF2"/>
    <w:rsid w:val="00F65CD0"/>
    <w:rsid w:val="00F65CE5"/>
    <w:rsid w:val="00F65D60"/>
    <w:rsid w:val="00F65DCC"/>
    <w:rsid w:val="00F66159"/>
    <w:rsid w:val="00F661C7"/>
    <w:rsid w:val="00F66327"/>
    <w:rsid w:val="00F6632E"/>
    <w:rsid w:val="00F6672F"/>
    <w:rsid w:val="00F66999"/>
    <w:rsid w:val="00F66C84"/>
    <w:rsid w:val="00F66CF7"/>
    <w:rsid w:val="00F66CF8"/>
    <w:rsid w:val="00F66D20"/>
    <w:rsid w:val="00F66E8C"/>
    <w:rsid w:val="00F66FC9"/>
    <w:rsid w:val="00F670F8"/>
    <w:rsid w:val="00F67141"/>
    <w:rsid w:val="00F672AB"/>
    <w:rsid w:val="00F67397"/>
    <w:rsid w:val="00F67434"/>
    <w:rsid w:val="00F67468"/>
    <w:rsid w:val="00F674A9"/>
    <w:rsid w:val="00F6765B"/>
    <w:rsid w:val="00F67678"/>
    <w:rsid w:val="00F678EF"/>
    <w:rsid w:val="00F67906"/>
    <w:rsid w:val="00F67C5E"/>
    <w:rsid w:val="00F67DCC"/>
    <w:rsid w:val="00F67DCE"/>
    <w:rsid w:val="00F67EE8"/>
    <w:rsid w:val="00F7011B"/>
    <w:rsid w:val="00F701B3"/>
    <w:rsid w:val="00F7037A"/>
    <w:rsid w:val="00F70529"/>
    <w:rsid w:val="00F7055E"/>
    <w:rsid w:val="00F70585"/>
    <w:rsid w:val="00F705EB"/>
    <w:rsid w:val="00F706A5"/>
    <w:rsid w:val="00F70739"/>
    <w:rsid w:val="00F70A1E"/>
    <w:rsid w:val="00F70A98"/>
    <w:rsid w:val="00F70AC1"/>
    <w:rsid w:val="00F70B5F"/>
    <w:rsid w:val="00F70BEC"/>
    <w:rsid w:val="00F70E16"/>
    <w:rsid w:val="00F70E64"/>
    <w:rsid w:val="00F70F41"/>
    <w:rsid w:val="00F710F5"/>
    <w:rsid w:val="00F711B0"/>
    <w:rsid w:val="00F71211"/>
    <w:rsid w:val="00F712CE"/>
    <w:rsid w:val="00F71490"/>
    <w:rsid w:val="00F7159F"/>
    <w:rsid w:val="00F7164C"/>
    <w:rsid w:val="00F71820"/>
    <w:rsid w:val="00F719B3"/>
    <w:rsid w:val="00F71A43"/>
    <w:rsid w:val="00F71BC1"/>
    <w:rsid w:val="00F71E62"/>
    <w:rsid w:val="00F71F6B"/>
    <w:rsid w:val="00F72028"/>
    <w:rsid w:val="00F720DD"/>
    <w:rsid w:val="00F723C6"/>
    <w:rsid w:val="00F7242E"/>
    <w:rsid w:val="00F72BD5"/>
    <w:rsid w:val="00F72BEE"/>
    <w:rsid w:val="00F72C58"/>
    <w:rsid w:val="00F72F9D"/>
    <w:rsid w:val="00F730E1"/>
    <w:rsid w:val="00F73674"/>
    <w:rsid w:val="00F7376B"/>
    <w:rsid w:val="00F73791"/>
    <w:rsid w:val="00F73A70"/>
    <w:rsid w:val="00F73AE1"/>
    <w:rsid w:val="00F73B9C"/>
    <w:rsid w:val="00F73CB4"/>
    <w:rsid w:val="00F73DFD"/>
    <w:rsid w:val="00F74057"/>
    <w:rsid w:val="00F74111"/>
    <w:rsid w:val="00F7417E"/>
    <w:rsid w:val="00F741E3"/>
    <w:rsid w:val="00F742B5"/>
    <w:rsid w:val="00F74310"/>
    <w:rsid w:val="00F743D5"/>
    <w:rsid w:val="00F74783"/>
    <w:rsid w:val="00F748B3"/>
    <w:rsid w:val="00F7493A"/>
    <w:rsid w:val="00F749F4"/>
    <w:rsid w:val="00F74B89"/>
    <w:rsid w:val="00F74BD1"/>
    <w:rsid w:val="00F74EA5"/>
    <w:rsid w:val="00F74FFB"/>
    <w:rsid w:val="00F75025"/>
    <w:rsid w:val="00F75152"/>
    <w:rsid w:val="00F75397"/>
    <w:rsid w:val="00F75509"/>
    <w:rsid w:val="00F7550F"/>
    <w:rsid w:val="00F75561"/>
    <w:rsid w:val="00F7566D"/>
    <w:rsid w:val="00F75773"/>
    <w:rsid w:val="00F75960"/>
    <w:rsid w:val="00F75E08"/>
    <w:rsid w:val="00F75E15"/>
    <w:rsid w:val="00F75E16"/>
    <w:rsid w:val="00F7631C"/>
    <w:rsid w:val="00F7634F"/>
    <w:rsid w:val="00F76453"/>
    <w:rsid w:val="00F7648C"/>
    <w:rsid w:val="00F76491"/>
    <w:rsid w:val="00F76555"/>
    <w:rsid w:val="00F76761"/>
    <w:rsid w:val="00F76880"/>
    <w:rsid w:val="00F76980"/>
    <w:rsid w:val="00F76A1E"/>
    <w:rsid w:val="00F76CAB"/>
    <w:rsid w:val="00F76DEA"/>
    <w:rsid w:val="00F76FBE"/>
    <w:rsid w:val="00F76FF0"/>
    <w:rsid w:val="00F770AC"/>
    <w:rsid w:val="00F7713E"/>
    <w:rsid w:val="00F772A4"/>
    <w:rsid w:val="00F773B9"/>
    <w:rsid w:val="00F7740A"/>
    <w:rsid w:val="00F77496"/>
    <w:rsid w:val="00F774F2"/>
    <w:rsid w:val="00F77685"/>
    <w:rsid w:val="00F776F9"/>
    <w:rsid w:val="00F7772D"/>
    <w:rsid w:val="00F7797D"/>
    <w:rsid w:val="00F77B9F"/>
    <w:rsid w:val="00F800EF"/>
    <w:rsid w:val="00F80207"/>
    <w:rsid w:val="00F80242"/>
    <w:rsid w:val="00F8034C"/>
    <w:rsid w:val="00F80357"/>
    <w:rsid w:val="00F8038D"/>
    <w:rsid w:val="00F80549"/>
    <w:rsid w:val="00F80A39"/>
    <w:rsid w:val="00F80D5D"/>
    <w:rsid w:val="00F8103B"/>
    <w:rsid w:val="00F810C8"/>
    <w:rsid w:val="00F810CA"/>
    <w:rsid w:val="00F811AF"/>
    <w:rsid w:val="00F812B2"/>
    <w:rsid w:val="00F81322"/>
    <w:rsid w:val="00F81488"/>
    <w:rsid w:val="00F81617"/>
    <w:rsid w:val="00F81625"/>
    <w:rsid w:val="00F81709"/>
    <w:rsid w:val="00F81A4C"/>
    <w:rsid w:val="00F81A9F"/>
    <w:rsid w:val="00F81C03"/>
    <w:rsid w:val="00F81D33"/>
    <w:rsid w:val="00F81DF1"/>
    <w:rsid w:val="00F81E3A"/>
    <w:rsid w:val="00F8201D"/>
    <w:rsid w:val="00F82082"/>
    <w:rsid w:val="00F8209B"/>
    <w:rsid w:val="00F820C1"/>
    <w:rsid w:val="00F822C6"/>
    <w:rsid w:val="00F8253E"/>
    <w:rsid w:val="00F825ED"/>
    <w:rsid w:val="00F828E0"/>
    <w:rsid w:val="00F82912"/>
    <w:rsid w:val="00F82A3A"/>
    <w:rsid w:val="00F82CB5"/>
    <w:rsid w:val="00F82D21"/>
    <w:rsid w:val="00F82D22"/>
    <w:rsid w:val="00F82DAF"/>
    <w:rsid w:val="00F8305F"/>
    <w:rsid w:val="00F83131"/>
    <w:rsid w:val="00F8314B"/>
    <w:rsid w:val="00F83333"/>
    <w:rsid w:val="00F83359"/>
    <w:rsid w:val="00F8338F"/>
    <w:rsid w:val="00F8342C"/>
    <w:rsid w:val="00F835A7"/>
    <w:rsid w:val="00F8362C"/>
    <w:rsid w:val="00F836EE"/>
    <w:rsid w:val="00F83988"/>
    <w:rsid w:val="00F839AE"/>
    <w:rsid w:val="00F839BB"/>
    <w:rsid w:val="00F83A1F"/>
    <w:rsid w:val="00F83B84"/>
    <w:rsid w:val="00F83BE5"/>
    <w:rsid w:val="00F83E09"/>
    <w:rsid w:val="00F840E8"/>
    <w:rsid w:val="00F8417F"/>
    <w:rsid w:val="00F8460E"/>
    <w:rsid w:val="00F8487C"/>
    <w:rsid w:val="00F848AC"/>
    <w:rsid w:val="00F8492F"/>
    <w:rsid w:val="00F849F4"/>
    <w:rsid w:val="00F84F13"/>
    <w:rsid w:val="00F850F1"/>
    <w:rsid w:val="00F85177"/>
    <w:rsid w:val="00F85225"/>
    <w:rsid w:val="00F8545A"/>
    <w:rsid w:val="00F8545E"/>
    <w:rsid w:val="00F854E6"/>
    <w:rsid w:val="00F85500"/>
    <w:rsid w:val="00F85505"/>
    <w:rsid w:val="00F85748"/>
    <w:rsid w:val="00F85A14"/>
    <w:rsid w:val="00F85AA3"/>
    <w:rsid w:val="00F85B4A"/>
    <w:rsid w:val="00F85B4B"/>
    <w:rsid w:val="00F85B7C"/>
    <w:rsid w:val="00F85E8C"/>
    <w:rsid w:val="00F860F5"/>
    <w:rsid w:val="00F861FF"/>
    <w:rsid w:val="00F86360"/>
    <w:rsid w:val="00F86502"/>
    <w:rsid w:val="00F8651A"/>
    <w:rsid w:val="00F865AC"/>
    <w:rsid w:val="00F866B4"/>
    <w:rsid w:val="00F8671F"/>
    <w:rsid w:val="00F86B4E"/>
    <w:rsid w:val="00F86C2F"/>
    <w:rsid w:val="00F86CE6"/>
    <w:rsid w:val="00F86DDE"/>
    <w:rsid w:val="00F86E74"/>
    <w:rsid w:val="00F86F71"/>
    <w:rsid w:val="00F870C7"/>
    <w:rsid w:val="00F872D6"/>
    <w:rsid w:val="00F873BC"/>
    <w:rsid w:val="00F8740A"/>
    <w:rsid w:val="00F874D1"/>
    <w:rsid w:val="00F87567"/>
    <w:rsid w:val="00F8758E"/>
    <w:rsid w:val="00F8760E"/>
    <w:rsid w:val="00F87664"/>
    <w:rsid w:val="00F87965"/>
    <w:rsid w:val="00F879AF"/>
    <w:rsid w:val="00F87A83"/>
    <w:rsid w:val="00F87B50"/>
    <w:rsid w:val="00F87B78"/>
    <w:rsid w:val="00F87C2C"/>
    <w:rsid w:val="00F87D18"/>
    <w:rsid w:val="00F87DF7"/>
    <w:rsid w:val="00F87E4E"/>
    <w:rsid w:val="00F9017E"/>
    <w:rsid w:val="00F9019C"/>
    <w:rsid w:val="00F9021A"/>
    <w:rsid w:val="00F902C3"/>
    <w:rsid w:val="00F902CE"/>
    <w:rsid w:val="00F902FB"/>
    <w:rsid w:val="00F90410"/>
    <w:rsid w:val="00F9073F"/>
    <w:rsid w:val="00F9081C"/>
    <w:rsid w:val="00F908E3"/>
    <w:rsid w:val="00F90A59"/>
    <w:rsid w:val="00F90AC4"/>
    <w:rsid w:val="00F90B43"/>
    <w:rsid w:val="00F90BDA"/>
    <w:rsid w:val="00F90C7C"/>
    <w:rsid w:val="00F90EDD"/>
    <w:rsid w:val="00F9112B"/>
    <w:rsid w:val="00F91165"/>
    <w:rsid w:val="00F91336"/>
    <w:rsid w:val="00F91556"/>
    <w:rsid w:val="00F915FA"/>
    <w:rsid w:val="00F916FD"/>
    <w:rsid w:val="00F91864"/>
    <w:rsid w:val="00F9189C"/>
    <w:rsid w:val="00F91963"/>
    <w:rsid w:val="00F91A4B"/>
    <w:rsid w:val="00F91A70"/>
    <w:rsid w:val="00F91BF0"/>
    <w:rsid w:val="00F91BFB"/>
    <w:rsid w:val="00F91EFD"/>
    <w:rsid w:val="00F91FC2"/>
    <w:rsid w:val="00F921E3"/>
    <w:rsid w:val="00F921ED"/>
    <w:rsid w:val="00F923E6"/>
    <w:rsid w:val="00F926EA"/>
    <w:rsid w:val="00F928C1"/>
    <w:rsid w:val="00F928EE"/>
    <w:rsid w:val="00F929D9"/>
    <w:rsid w:val="00F92A0D"/>
    <w:rsid w:val="00F92A99"/>
    <w:rsid w:val="00F92B54"/>
    <w:rsid w:val="00F9304C"/>
    <w:rsid w:val="00F93303"/>
    <w:rsid w:val="00F934D8"/>
    <w:rsid w:val="00F9393F"/>
    <w:rsid w:val="00F93D9F"/>
    <w:rsid w:val="00F93DC4"/>
    <w:rsid w:val="00F9400E"/>
    <w:rsid w:val="00F94099"/>
    <w:rsid w:val="00F941BB"/>
    <w:rsid w:val="00F94702"/>
    <w:rsid w:val="00F948A9"/>
    <w:rsid w:val="00F94C3D"/>
    <w:rsid w:val="00F94DB7"/>
    <w:rsid w:val="00F94DF0"/>
    <w:rsid w:val="00F95101"/>
    <w:rsid w:val="00F952D8"/>
    <w:rsid w:val="00F953B2"/>
    <w:rsid w:val="00F954AA"/>
    <w:rsid w:val="00F9555E"/>
    <w:rsid w:val="00F95576"/>
    <w:rsid w:val="00F9561F"/>
    <w:rsid w:val="00F9566C"/>
    <w:rsid w:val="00F95AAD"/>
    <w:rsid w:val="00F95B2A"/>
    <w:rsid w:val="00F95CC2"/>
    <w:rsid w:val="00F95EB2"/>
    <w:rsid w:val="00F96123"/>
    <w:rsid w:val="00F9615D"/>
    <w:rsid w:val="00F9629A"/>
    <w:rsid w:val="00F96464"/>
    <w:rsid w:val="00F96721"/>
    <w:rsid w:val="00F9678B"/>
    <w:rsid w:val="00F96796"/>
    <w:rsid w:val="00F96939"/>
    <w:rsid w:val="00F96DF9"/>
    <w:rsid w:val="00F97333"/>
    <w:rsid w:val="00F97369"/>
    <w:rsid w:val="00F973D4"/>
    <w:rsid w:val="00F9747D"/>
    <w:rsid w:val="00F97492"/>
    <w:rsid w:val="00F9788A"/>
    <w:rsid w:val="00F97957"/>
    <w:rsid w:val="00F97A48"/>
    <w:rsid w:val="00F97AE5"/>
    <w:rsid w:val="00F97F8F"/>
    <w:rsid w:val="00FA012A"/>
    <w:rsid w:val="00FA01CC"/>
    <w:rsid w:val="00FA020E"/>
    <w:rsid w:val="00FA0357"/>
    <w:rsid w:val="00FA06BE"/>
    <w:rsid w:val="00FA08E9"/>
    <w:rsid w:val="00FA0994"/>
    <w:rsid w:val="00FA0AAA"/>
    <w:rsid w:val="00FA0C99"/>
    <w:rsid w:val="00FA0CE4"/>
    <w:rsid w:val="00FA0E98"/>
    <w:rsid w:val="00FA0ECF"/>
    <w:rsid w:val="00FA109E"/>
    <w:rsid w:val="00FA126A"/>
    <w:rsid w:val="00FA1359"/>
    <w:rsid w:val="00FA1576"/>
    <w:rsid w:val="00FA15DA"/>
    <w:rsid w:val="00FA18F3"/>
    <w:rsid w:val="00FA196C"/>
    <w:rsid w:val="00FA1B17"/>
    <w:rsid w:val="00FA1DA0"/>
    <w:rsid w:val="00FA1E6A"/>
    <w:rsid w:val="00FA1EA0"/>
    <w:rsid w:val="00FA1EBE"/>
    <w:rsid w:val="00FA1FBA"/>
    <w:rsid w:val="00FA1FE6"/>
    <w:rsid w:val="00FA2199"/>
    <w:rsid w:val="00FA2218"/>
    <w:rsid w:val="00FA243E"/>
    <w:rsid w:val="00FA2576"/>
    <w:rsid w:val="00FA290B"/>
    <w:rsid w:val="00FA2924"/>
    <w:rsid w:val="00FA2A3B"/>
    <w:rsid w:val="00FA2B46"/>
    <w:rsid w:val="00FA2CD9"/>
    <w:rsid w:val="00FA2DCE"/>
    <w:rsid w:val="00FA2E4B"/>
    <w:rsid w:val="00FA2E5D"/>
    <w:rsid w:val="00FA2EC0"/>
    <w:rsid w:val="00FA2EE6"/>
    <w:rsid w:val="00FA2F76"/>
    <w:rsid w:val="00FA2F98"/>
    <w:rsid w:val="00FA3800"/>
    <w:rsid w:val="00FA3A4C"/>
    <w:rsid w:val="00FA3E03"/>
    <w:rsid w:val="00FA4249"/>
    <w:rsid w:val="00FA42DE"/>
    <w:rsid w:val="00FA4332"/>
    <w:rsid w:val="00FA440C"/>
    <w:rsid w:val="00FA4592"/>
    <w:rsid w:val="00FA4658"/>
    <w:rsid w:val="00FA4A6B"/>
    <w:rsid w:val="00FA4B9E"/>
    <w:rsid w:val="00FA4C1A"/>
    <w:rsid w:val="00FA4CDE"/>
    <w:rsid w:val="00FA4D68"/>
    <w:rsid w:val="00FA4F11"/>
    <w:rsid w:val="00FA5083"/>
    <w:rsid w:val="00FA5243"/>
    <w:rsid w:val="00FA5560"/>
    <w:rsid w:val="00FA565D"/>
    <w:rsid w:val="00FA56DA"/>
    <w:rsid w:val="00FA59BE"/>
    <w:rsid w:val="00FA5E0A"/>
    <w:rsid w:val="00FA5F3E"/>
    <w:rsid w:val="00FA5FA5"/>
    <w:rsid w:val="00FA5FF5"/>
    <w:rsid w:val="00FA601D"/>
    <w:rsid w:val="00FA6194"/>
    <w:rsid w:val="00FA61AC"/>
    <w:rsid w:val="00FA65BA"/>
    <w:rsid w:val="00FA65D8"/>
    <w:rsid w:val="00FA668D"/>
    <w:rsid w:val="00FA67CB"/>
    <w:rsid w:val="00FA68BB"/>
    <w:rsid w:val="00FA6AC2"/>
    <w:rsid w:val="00FA6C11"/>
    <w:rsid w:val="00FA6D12"/>
    <w:rsid w:val="00FA6E15"/>
    <w:rsid w:val="00FA7251"/>
    <w:rsid w:val="00FA7623"/>
    <w:rsid w:val="00FA78E0"/>
    <w:rsid w:val="00FA797B"/>
    <w:rsid w:val="00FA79D6"/>
    <w:rsid w:val="00FA7D41"/>
    <w:rsid w:val="00FA7D6E"/>
    <w:rsid w:val="00FA7D90"/>
    <w:rsid w:val="00FA7DA2"/>
    <w:rsid w:val="00FA7E0A"/>
    <w:rsid w:val="00FA7EF9"/>
    <w:rsid w:val="00FB001A"/>
    <w:rsid w:val="00FB0372"/>
    <w:rsid w:val="00FB03C2"/>
    <w:rsid w:val="00FB03E3"/>
    <w:rsid w:val="00FB04D6"/>
    <w:rsid w:val="00FB04DE"/>
    <w:rsid w:val="00FB0601"/>
    <w:rsid w:val="00FB0644"/>
    <w:rsid w:val="00FB083F"/>
    <w:rsid w:val="00FB084C"/>
    <w:rsid w:val="00FB08E0"/>
    <w:rsid w:val="00FB0B55"/>
    <w:rsid w:val="00FB0CB4"/>
    <w:rsid w:val="00FB125A"/>
    <w:rsid w:val="00FB15E3"/>
    <w:rsid w:val="00FB1680"/>
    <w:rsid w:val="00FB1902"/>
    <w:rsid w:val="00FB1A26"/>
    <w:rsid w:val="00FB1B0C"/>
    <w:rsid w:val="00FB1DA9"/>
    <w:rsid w:val="00FB1E79"/>
    <w:rsid w:val="00FB1F0B"/>
    <w:rsid w:val="00FB22D9"/>
    <w:rsid w:val="00FB2350"/>
    <w:rsid w:val="00FB23BB"/>
    <w:rsid w:val="00FB242D"/>
    <w:rsid w:val="00FB2495"/>
    <w:rsid w:val="00FB24D6"/>
    <w:rsid w:val="00FB25C9"/>
    <w:rsid w:val="00FB295A"/>
    <w:rsid w:val="00FB298F"/>
    <w:rsid w:val="00FB2E64"/>
    <w:rsid w:val="00FB3082"/>
    <w:rsid w:val="00FB322A"/>
    <w:rsid w:val="00FB3246"/>
    <w:rsid w:val="00FB330D"/>
    <w:rsid w:val="00FB3316"/>
    <w:rsid w:val="00FB34ED"/>
    <w:rsid w:val="00FB360F"/>
    <w:rsid w:val="00FB378D"/>
    <w:rsid w:val="00FB402D"/>
    <w:rsid w:val="00FB4036"/>
    <w:rsid w:val="00FB4113"/>
    <w:rsid w:val="00FB435A"/>
    <w:rsid w:val="00FB448B"/>
    <w:rsid w:val="00FB4747"/>
    <w:rsid w:val="00FB49F0"/>
    <w:rsid w:val="00FB4A79"/>
    <w:rsid w:val="00FB4AC4"/>
    <w:rsid w:val="00FB4C4B"/>
    <w:rsid w:val="00FB4D4F"/>
    <w:rsid w:val="00FB4EBC"/>
    <w:rsid w:val="00FB4F55"/>
    <w:rsid w:val="00FB5388"/>
    <w:rsid w:val="00FB540E"/>
    <w:rsid w:val="00FB554C"/>
    <w:rsid w:val="00FB5658"/>
    <w:rsid w:val="00FB56C4"/>
    <w:rsid w:val="00FB57FD"/>
    <w:rsid w:val="00FB5A4F"/>
    <w:rsid w:val="00FB5BE5"/>
    <w:rsid w:val="00FB6134"/>
    <w:rsid w:val="00FB627D"/>
    <w:rsid w:val="00FB62F2"/>
    <w:rsid w:val="00FB6557"/>
    <w:rsid w:val="00FB65CB"/>
    <w:rsid w:val="00FB676C"/>
    <w:rsid w:val="00FB68E3"/>
    <w:rsid w:val="00FB69A8"/>
    <w:rsid w:val="00FB69E3"/>
    <w:rsid w:val="00FB6A27"/>
    <w:rsid w:val="00FB6ACE"/>
    <w:rsid w:val="00FB6DAB"/>
    <w:rsid w:val="00FB6F28"/>
    <w:rsid w:val="00FB6F61"/>
    <w:rsid w:val="00FB711E"/>
    <w:rsid w:val="00FB727E"/>
    <w:rsid w:val="00FB7340"/>
    <w:rsid w:val="00FB736F"/>
    <w:rsid w:val="00FB759B"/>
    <w:rsid w:val="00FB771D"/>
    <w:rsid w:val="00FB777F"/>
    <w:rsid w:val="00FB77DD"/>
    <w:rsid w:val="00FB78DC"/>
    <w:rsid w:val="00FB7967"/>
    <w:rsid w:val="00FB7DBA"/>
    <w:rsid w:val="00FB7DC5"/>
    <w:rsid w:val="00FB7E74"/>
    <w:rsid w:val="00FB7F81"/>
    <w:rsid w:val="00FC02B9"/>
    <w:rsid w:val="00FC03E0"/>
    <w:rsid w:val="00FC0438"/>
    <w:rsid w:val="00FC04D4"/>
    <w:rsid w:val="00FC0777"/>
    <w:rsid w:val="00FC0BDA"/>
    <w:rsid w:val="00FC0D3F"/>
    <w:rsid w:val="00FC0F27"/>
    <w:rsid w:val="00FC119E"/>
    <w:rsid w:val="00FC143C"/>
    <w:rsid w:val="00FC156D"/>
    <w:rsid w:val="00FC164F"/>
    <w:rsid w:val="00FC1711"/>
    <w:rsid w:val="00FC17A6"/>
    <w:rsid w:val="00FC1851"/>
    <w:rsid w:val="00FC1C74"/>
    <w:rsid w:val="00FC2072"/>
    <w:rsid w:val="00FC2093"/>
    <w:rsid w:val="00FC2300"/>
    <w:rsid w:val="00FC2375"/>
    <w:rsid w:val="00FC24DB"/>
    <w:rsid w:val="00FC264D"/>
    <w:rsid w:val="00FC267B"/>
    <w:rsid w:val="00FC279F"/>
    <w:rsid w:val="00FC289C"/>
    <w:rsid w:val="00FC2978"/>
    <w:rsid w:val="00FC2B9B"/>
    <w:rsid w:val="00FC2C88"/>
    <w:rsid w:val="00FC2D46"/>
    <w:rsid w:val="00FC2EBE"/>
    <w:rsid w:val="00FC32D3"/>
    <w:rsid w:val="00FC33CD"/>
    <w:rsid w:val="00FC347E"/>
    <w:rsid w:val="00FC357B"/>
    <w:rsid w:val="00FC3B6F"/>
    <w:rsid w:val="00FC3BF9"/>
    <w:rsid w:val="00FC3FEB"/>
    <w:rsid w:val="00FC404B"/>
    <w:rsid w:val="00FC410A"/>
    <w:rsid w:val="00FC4223"/>
    <w:rsid w:val="00FC4225"/>
    <w:rsid w:val="00FC435E"/>
    <w:rsid w:val="00FC43B7"/>
    <w:rsid w:val="00FC458E"/>
    <w:rsid w:val="00FC465A"/>
    <w:rsid w:val="00FC46F3"/>
    <w:rsid w:val="00FC47FE"/>
    <w:rsid w:val="00FC483F"/>
    <w:rsid w:val="00FC4A3C"/>
    <w:rsid w:val="00FC4B80"/>
    <w:rsid w:val="00FC4BC1"/>
    <w:rsid w:val="00FC4DE7"/>
    <w:rsid w:val="00FC4F5D"/>
    <w:rsid w:val="00FC50CB"/>
    <w:rsid w:val="00FC5204"/>
    <w:rsid w:val="00FC5342"/>
    <w:rsid w:val="00FC5374"/>
    <w:rsid w:val="00FC5582"/>
    <w:rsid w:val="00FC55F6"/>
    <w:rsid w:val="00FC56B3"/>
    <w:rsid w:val="00FC56C6"/>
    <w:rsid w:val="00FC5811"/>
    <w:rsid w:val="00FC58E3"/>
    <w:rsid w:val="00FC58FA"/>
    <w:rsid w:val="00FC5A06"/>
    <w:rsid w:val="00FC5AC3"/>
    <w:rsid w:val="00FC5AE8"/>
    <w:rsid w:val="00FC5C11"/>
    <w:rsid w:val="00FC5C15"/>
    <w:rsid w:val="00FC5DE3"/>
    <w:rsid w:val="00FC5DE6"/>
    <w:rsid w:val="00FC6012"/>
    <w:rsid w:val="00FC61DA"/>
    <w:rsid w:val="00FC62EF"/>
    <w:rsid w:val="00FC64C4"/>
    <w:rsid w:val="00FC65DF"/>
    <w:rsid w:val="00FC661C"/>
    <w:rsid w:val="00FC6BAA"/>
    <w:rsid w:val="00FC6C20"/>
    <w:rsid w:val="00FC6C7A"/>
    <w:rsid w:val="00FC6CFB"/>
    <w:rsid w:val="00FC6E3D"/>
    <w:rsid w:val="00FC6F27"/>
    <w:rsid w:val="00FC6FDD"/>
    <w:rsid w:val="00FC70EA"/>
    <w:rsid w:val="00FC712A"/>
    <w:rsid w:val="00FC7174"/>
    <w:rsid w:val="00FC737A"/>
    <w:rsid w:val="00FC76C7"/>
    <w:rsid w:val="00FC7737"/>
    <w:rsid w:val="00FC77A3"/>
    <w:rsid w:val="00FC77F1"/>
    <w:rsid w:val="00FC782B"/>
    <w:rsid w:val="00FC7863"/>
    <w:rsid w:val="00FC795D"/>
    <w:rsid w:val="00FC79CD"/>
    <w:rsid w:val="00FC7A14"/>
    <w:rsid w:val="00FC7A34"/>
    <w:rsid w:val="00FC7A7C"/>
    <w:rsid w:val="00FC7BE7"/>
    <w:rsid w:val="00FC7D9E"/>
    <w:rsid w:val="00FC7DA6"/>
    <w:rsid w:val="00FC7EB8"/>
    <w:rsid w:val="00FC7F03"/>
    <w:rsid w:val="00FC7FBE"/>
    <w:rsid w:val="00FD050E"/>
    <w:rsid w:val="00FD0610"/>
    <w:rsid w:val="00FD0687"/>
    <w:rsid w:val="00FD0695"/>
    <w:rsid w:val="00FD0750"/>
    <w:rsid w:val="00FD07EC"/>
    <w:rsid w:val="00FD0857"/>
    <w:rsid w:val="00FD09B6"/>
    <w:rsid w:val="00FD0AC5"/>
    <w:rsid w:val="00FD0B30"/>
    <w:rsid w:val="00FD0C0A"/>
    <w:rsid w:val="00FD0D07"/>
    <w:rsid w:val="00FD0E67"/>
    <w:rsid w:val="00FD116C"/>
    <w:rsid w:val="00FD128D"/>
    <w:rsid w:val="00FD151F"/>
    <w:rsid w:val="00FD180D"/>
    <w:rsid w:val="00FD197B"/>
    <w:rsid w:val="00FD1BF4"/>
    <w:rsid w:val="00FD1CA4"/>
    <w:rsid w:val="00FD1CBB"/>
    <w:rsid w:val="00FD1EC7"/>
    <w:rsid w:val="00FD1F2A"/>
    <w:rsid w:val="00FD1F6D"/>
    <w:rsid w:val="00FD227F"/>
    <w:rsid w:val="00FD2384"/>
    <w:rsid w:val="00FD23B6"/>
    <w:rsid w:val="00FD2447"/>
    <w:rsid w:val="00FD25E0"/>
    <w:rsid w:val="00FD2722"/>
    <w:rsid w:val="00FD290C"/>
    <w:rsid w:val="00FD2917"/>
    <w:rsid w:val="00FD2A38"/>
    <w:rsid w:val="00FD2A4E"/>
    <w:rsid w:val="00FD2B48"/>
    <w:rsid w:val="00FD2BF6"/>
    <w:rsid w:val="00FD2CB2"/>
    <w:rsid w:val="00FD2ED9"/>
    <w:rsid w:val="00FD2F9E"/>
    <w:rsid w:val="00FD3139"/>
    <w:rsid w:val="00FD3180"/>
    <w:rsid w:val="00FD3181"/>
    <w:rsid w:val="00FD320A"/>
    <w:rsid w:val="00FD33BC"/>
    <w:rsid w:val="00FD3508"/>
    <w:rsid w:val="00FD364C"/>
    <w:rsid w:val="00FD3671"/>
    <w:rsid w:val="00FD36AF"/>
    <w:rsid w:val="00FD39F8"/>
    <w:rsid w:val="00FD3A2C"/>
    <w:rsid w:val="00FD3A3B"/>
    <w:rsid w:val="00FD3B80"/>
    <w:rsid w:val="00FD3DEA"/>
    <w:rsid w:val="00FD3E57"/>
    <w:rsid w:val="00FD404F"/>
    <w:rsid w:val="00FD40F1"/>
    <w:rsid w:val="00FD4155"/>
    <w:rsid w:val="00FD4185"/>
    <w:rsid w:val="00FD41D2"/>
    <w:rsid w:val="00FD43E9"/>
    <w:rsid w:val="00FD46BD"/>
    <w:rsid w:val="00FD48B5"/>
    <w:rsid w:val="00FD49ED"/>
    <w:rsid w:val="00FD4F1C"/>
    <w:rsid w:val="00FD5187"/>
    <w:rsid w:val="00FD52A6"/>
    <w:rsid w:val="00FD5449"/>
    <w:rsid w:val="00FD553A"/>
    <w:rsid w:val="00FD57EA"/>
    <w:rsid w:val="00FD5951"/>
    <w:rsid w:val="00FD59D4"/>
    <w:rsid w:val="00FD5AEA"/>
    <w:rsid w:val="00FD5E57"/>
    <w:rsid w:val="00FD5E6E"/>
    <w:rsid w:val="00FD5EE6"/>
    <w:rsid w:val="00FD61C2"/>
    <w:rsid w:val="00FD62A4"/>
    <w:rsid w:val="00FD658E"/>
    <w:rsid w:val="00FD6615"/>
    <w:rsid w:val="00FD677E"/>
    <w:rsid w:val="00FD68A8"/>
    <w:rsid w:val="00FD6AC6"/>
    <w:rsid w:val="00FD6C8C"/>
    <w:rsid w:val="00FD6CD1"/>
    <w:rsid w:val="00FD6DF8"/>
    <w:rsid w:val="00FD710B"/>
    <w:rsid w:val="00FD7323"/>
    <w:rsid w:val="00FD73D7"/>
    <w:rsid w:val="00FD7437"/>
    <w:rsid w:val="00FD775C"/>
    <w:rsid w:val="00FD7851"/>
    <w:rsid w:val="00FD7A09"/>
    <w:rsid w:val="00FD7B3B"/>
    <w:rsid w:val="00FD7BDC"/>
    <w:rsid w:val="00FD7C58"/>
    <w:rsid w:val="00FD7D10"/>
    <w:rsid w:val="00FD7E42"/>
    <w:rsid w:val="00FD7EB8"/>
    <w:rsid w:val="00FE009F"/>
    <w:rsid w:val="00FE0148"/>
    <w:rsid w:val="00FE021F"/>
    <w:rsid w:val="00FE028C"/>
    <w:rsid w:val="00FE03DA"/>
    <w:rsid w:val="00FE06D9"/>
    <w:rsid w:val="00FE07B9"/>
    <w:rsid w:val="00FE094B"/>
    <w:rsid w:val="00FE0A2B"/>
    <w:rsid w:val="00FE0AE6"/>
    <w:rsid w:val="00FE0DDD"/>
    <w:rsid w:val="00FE0E65"/>
    <w:rsid w:val="00FE0E6D"/>
    <w:rsid w:val="00FE11ED"/>
    <w:rsid w:val="00FE12F9"/>
    <w:rsid w:val="00FE16CA"/>
    <w:rsid w:val="00FE16F1"/>
    <w:rsid w:val="00FE19C3"/>
    <w:rsid w:val="00FE1B55"/>
    <w:rsid w:val="00FE1C03"/>
    <w:rsid w:val="00FE1E3B"/>
    <w:rsid w:val="00FE1FE5"/>
    <w:rsid w:val="00FE20C2"/>
    <w:rsid w:val="00FE2185"/>
    <w:rsid w:val="00FE21A1"/>
    <w:rsid w:val="00FE2477"/>
    <w:rsid w:val="00FE24DD"/>
    <w:rsid w:val="00FE27EC"/>
    <w:rsid w:val="00FE2884"/>
    <w:rsid w:val="00FE299A"/>
    <w:rsid w:val="00FE2A59"/>
    <w:rsid w:val="00FE2C52"/>
    <w:rsid w:val="00FE2D88"/>
    <w:rsid w:val="00FE2DBE"/>
    <w:rsid w:val="00FE2F90"/>
    <w:rsid w:val="00FE2F9B"/>
    <w:rsid w:val="00FE33A2"/>
    <w:rsid w:val="00FE35E2"/>
    <w:rsid w:val="00FE3708"/>
    <w:rsid w:val="00FE38F0"/>
    <w:rsid w:val="00FE3A39"/>
    <w:rsid w:val="00FE3A97"/>
    <w:rsid w:val="00FE3ACA"/>
    <w:rsid w:val="00FE3BCE"/>
    <w:rsid w:val="00FE3C14"/>
    <w:rsid w:val="00FE3C2D"/>
    <w:rsid w:val="00FE3CB7"/>
    <w:rsid w:val="00FE3CBD"/>
    <w:rsid w:val="00FE3CD8"/>
    <w:rsid w:val="00FE3D20"/>
    <w:rsid w:val="00FE3D96"/>
    <w:rsid w:val="00FE3FB1"/>
    <w:rsid w:val="00FE4028"/>
    <w:rsid w:val="00FE40E9"/>
    <w:rsid w:val="00FE429B"/>
    <w:rsid w:val="00FE439F"/>
    <w:rsid w:val="00FE4476"/>
    <w:rsid w:val="00FE4653"/>
    <w:rsid w:val="00FE4A6B"/>
    <w:rsid w:val="00FE4C5F"/>
    <w:rsid w:val="00FE4CD3"/>
    <w:rsid w:val="00FE4CD8"/>
    <w:rsid w:val="00FE4ECB"/>
    <w:rsid w:val="00FE4F0B"/>
    <w:rsid w:val="00FE4F79"/>
    <w:rsid w:val="00FE5212"/>
    <w:rsid w:val="00FE5549"/>
    <w:rsid w:val="00FE5798"/>
    <w:rsid w:val="00FE5963"/>
    <w:rsid w:val="00FE5BB4"/>
    <w:rsid w:val="00FE5C6D"/>
    <w:rsid w:val="00FE5CDA"/>
    <w:rsid w:val="00FE5D25"/>
    <w:rsid w:val="00FE5D78"/>
    <w:rsid w:val="00FE5EF1"/>
    <w:rsid w:val="00FE5F50"/>
    <w:rsid w:val="00FE5FE3"/>
    <w:rsid w:val="00FE601F"/>
    <w:rsid w:val="00FE61CE"/>
    <w:rsid w:val="00FE639D"/>
    <w:rsid w:val="00FE659B"/>
    <w:rsid w:val="00FE66FF"/>
    <w:rsid w:val="00FE674F"/>
    <w:rsid w:val="00FE68BD"/>
    <w:rsid w:val="00FE6966"/>
    <w:rsid w:val="00FE6994"/>
    <w:rsid w:val="00FE6BA5"/>
    <w:rsid w:val="00FE70DC"/>
    <w:rsid w:val="00FE71A8"/>
    <w:rsid w:val="00FE74CC"/>
    <w:rsid w:val="00FE75A1"/>
    <w:rsid w:val="00FE7772"/>
    <w:rsid w:val="00FE7911"/>
    <w:rsid w:val="00FE798F"/>
    <w:rsid w:val="00FE7A82"/>
    <w:rsid w:val="00FE7C4C"/>
    <w:rsid w:val="00FE7E8E"/>
    <w:rsid w:val="00FE7E91"/>
    <w:rsid w:val="00FE7E93"/>
    <w:rsid w:val="00FE7F4E"/>
    <w:rsid w:val="00FF0570"/>
    <w:rsid w:val="00FF073A"/>
    <w:rsid w:val="00FF079E"/>
    <w:rsid w:val="00FF0B2F"/>
    <w:rsid w:val="00FF0BDA"/>
    <w:rsid w:val="00FF0C88"/>
    <w:rsid w:val="00FF0E47"/>
    <w:rsid w:val="00FF0EAB"/>
    <w:rsid w:val="00FF1351"/>
    <w:rsid w:val="00FF1449"/>
    <w:rsid w:val="00FF1677"/>
    <w:rsid w:val="00FF17C6"/>
    <w:rsid w:val="00FF1901"/>
    <w:rsid w:val="00FF19DA"/>
    <w:rsid w:val="00FF1B7B"/>
    <w:rsid w:val="00FF1D99"/>
    <w:rsid w:val="00FF1DE3"/>
    <w:rsid w:val="00FF1E97"/>
    <w:rsid w:val="00FF1F20"/>
    <w:rsid w:val="00FF1F74"/>
    <w:rsid w:val="00FF2008"/>
    <w:rsid w:val="00FF2139"/>
    <w:rsid w:val="00FF23FB"/>
    <w:rsid w:val="00FF241B"/>
    <w:rsid w:val="00FF248F"/>
    <w:rsid w:val="00FF2511"/>
    <w:rsid w:val="00FF2743"/>
    <w:rsid w:val="00FF2A25"/>
    <w:rsid w:val="00FF2A6C"/>
    <w:rsid w:val="00FF2BDB"/>
    <w:rsid w:val="00FF2D89"/>
    <w:rsid w:val="00FF3011"/>
    <w:rsid w:val="00FF3122"/>
    <w:rsid w:val="00FF3135"/>
    <w:rsid w:val="00FF3232"/>
    <w:rsid w:val="00FF329D"/>
    <w:rsid w:val="00FF3382"/>
    <w:rsid w:val="00FF3722"/>
    <w:rsid w:val="00FF377A"/>
    <w:rsid w:val="00FF3813"/>
    <w:rsid w:val="00FF3887"/>
    <w:rsid w:val="00FF388C"/>
    <w:rsid w:val="00FF397E"/>
    <w:rsid w:val="00FF3A5D"/>
    <w:rsid w:val="00FF3C8E"/>
    <w:rsid w:val="00FF3D09"/>
    <w:rsid w:val="00FF3E41"/>
    <w:rsid w:val="00FF3F84"/>
    <w:rsid w:val="00FF3FFB"/>
    <w:rsid w:val="00FF418C"/>
    <w:rsid w:val="00FF4739"/>
    <w:rsid w:val="00FF48A8"/>
    <w:rsid w:val="00FF48DE"/>
    <w:rsid w:val="00FF4A93"/>
    <w:rsid w:val="00FF4BF7"/>
    <w:rsid w:val="00FF4CF3"/>
    <w:rsid w:val="00FF4DC9"/>
    <w:rsid w:val="00FF4ECB"/>
    <w:rsid w:val="00FF4EEC"/>
    <w:rsid w:val="00FF4F0F"/>
    <w:rsid w:val="00FF50A6"/>
    <w:rsid w:val="00FF528B"/>
    <w:rsid w:val="00FF53CF"/>
    <w:rsid w:val="00FF550D"/>
    <w:rsid w:val="00FF55C8"/>
    <w:rsid w:val="00FF55DD"/>
    <w:rsid w:val="00FF574C"/>
    <w:rsid w:val="00FF583A"/>
    <w:rsid w:val="00FF5A6A"/>
    <w:rsid w:val="00FF5C04"/>
    <w:rsid w:val="00FF5D36"/>
    <w:rsid w:val="00FF5DDE"/>
    <w:rsid w:val="00FF5E7B"/>
    <w:rsid w:val="00FF5EBF"/>
    <w:rsid w:val="00FF5EFD"/>
    <w:rsid w:val="00FF5F84"/>
    <w:rsid w:val="00FF61D5"/>
    <w:rsid w:val="00FF6335"/>
    <w:rsid w:val="00FF63D7"/>
    <w:rsid w:val="00FF6454"/>
    <w:rsid w:val="00FF6887"/>
    <w:rsid w:val="00FF69BD"/>
    <w:rsid w:val="00FF6A24"/>
    <w:rsid w:val="00FF6AB0"/>
    <w:rsid w:val="00FF6C42"/>
    <w:rsid w:val="00FF6D66"/>
    <w:rsid w:val="00FF6D6D"/>
    <w:rsid w:val="00FF7176"/>
    <w:rsid w:val="00FF7375"/>
    <w:rsid w:val="00FF7441"/>
    <w:rsid w:val="00FF74EB"/>
    <w:rsid w:val="00FF7781"/>
    <w:rsid w:val="00FF7799"/>
    <w:rsid w:val="00FF7B28"/>
    <w:rsid w:val="00FF7C79"/>
    <w:rsid w:val="00FF7CF8"/>
    <w:rsid w:val="00FF7E7B"/>
    <w:rsid w:val="01013963"/>
    <w:rsid w:val="011A4FFC"/>
    <w:rsid w:val="0122C3E2"/>
    <w:rsid w:val="012AD49B"/>
    <w:rsid w:val="01387879"/>
    <w:rsid w:val="0146B5E3"/>
    <w:rsid w:val="0175F867"/>
    <w:rsid w:val="022A6845"/>
    <w:rsid w:val="02D01550"/>
    <w:rsid w:val="02D86C6F"/>
    <w:rsid w:val="02F50BEC"/>
    <w:rsid w:val="030F1A59"/>
    <w:rsid w:val="031E2043"/>
    <w:rsid w:val="0327F89B"/>
    <w:rsid w:val="032F21BA"/>
    <w:rsid w:val="033A7CD5"/>
    <w:rsid w:val="03465822"/>
    <w:rsid w:val="03B20250"/>
    <w:rsid w:val="03F8F574"/>
    <w:rsid w:val="043BF79B"/>
    <w:rsid w:val="0455B266"/>
    <w:rsid w:val="04698516"/>
    <w:rsid w:val="0469BC0F"/>
    <w:rsid w:val="04B5B1D0"/>
    <w:rsid w:val="04EAF030"/>
    <w:rsid w:val="04F9C7E4"/>
    <w:rsid w:val="05293359"/>
    <w:rsid w:val="052CA4B6"/>
    <w:rsid w:val="0553652F"/>
    <w:rsid w:val="055CFA7F"/>
    <w:rsid w:val="05774FA6"/>
    <w:rsid w:val="05A5C8AD"/>
    <w:rsid w:val="05C4ECFE"/>
    <w:rsid w:val="05F0B583"/>
    <w:rsid w:val="0621A33C"/>
    <w:rsid w:val="068AC5C1"/>
    <w:rsid w:val="06B86499"/>
    <w:rsid w:val="06E444FD"/>
    <w:rsid w:val="076D8CF1"/>
    <w:rsid w:val="07CA8E50"/>
    <w:rsid w:val="08113981"/>
    <w:rsid w:val="08170BBD"/>
    <w:rsid w:val="083A3B29"/>
    <w:rsid w:val="085E2C34"/>
    <w:rsid w:val="08706260"/>
    <w:rsid w:val="0894A9A9"/>
    <w:rsid w:val="08BB06D9"/>
    <w:rsid w:val="08D0258F"/>
    <w:rsid w:val="08D87A18"/>
    <w:rsid w:val="08DA6107"/>
    <w:rsid w:val="08E3F054"/>
    <w:rsid w:val="08EA0F49"/>
    <w:rsid w:val="08EF12AA"/>
    <w:rsid w:val="08F561EB"/>
    <w:rsid w:val="09348560"/>
    <w:rsid w:val="09391477"/>
    <w:rsid w:val="093D1378"/>
    <w:rsid w:val="094831F3"/>
    <w:rsid w:val="098F2305"/>
    <w:rsid w:val="09A4DA06"/>
    <w:rsid w:val="09BB1F18"/>
    <w:rsid w:val="0A07E4F0"/>
    <w:rsid w:val="0A0A12C4"/>
    <w:rsid w:val="0A160214"/>
    <w:rsid w:val="0A42B3C9"/>
    <w:rsid w:val="0A613A68"/>
    <w:rsid w:val="0A8A7CCB"/>
    <w:rsid w:val="0A8BBFD6"/>
    <w:rsid w:val="0AA046CD"/>
    <w:rsid w:val="0AC9F76A"/>
    <w:rsid w:val="0B13A413"/>
    <w:rsid w:val="0B5C4B45"/>
    <w:rsid w:val="0B76C312"/>
    <w:rsid w:val="0BA6A436"/>
    <w:rsid w:val="0BB26E93"/>
    <w:rsid w:val="0BB517A0"/>
    <w:rsid w:val="0BBA7D19"/>
    <w:rsid w:val="0BC27521"/>
    <w:rsid w:val="0C00B896"/>
    <w:rsid w:val="0C2C0F57"/>
    <w:rsid w:val="0C44C983"/>
    <w:rsid w:val="0C5F11E1"/>
    <w:rsid w:val="0CB96FAF"/>
    <w:rsid w:val="0D161225"/>
    <w:rsid w:val="0D1E8DB4"/>
    <w:rsid w:val="0D2574EF"/>
    <w:rsid w:val="0D3262C4"/>
    <w:rsid w:val="0D4A3AAC"/>
    <w:rsid w:val="0D63D141"/>
    <w:rsid w:val="0D84C8B8"/>
    <w:rsid w:val="0DB9BA86"/>
    <w:rsid w:val="0DCB80D1"/>
    <w:rsid w:val="0DD06702"/>
    <w:rsid w:val="0E0CFE6A"/>
    <w:rsid w:val="0E3276C4"/>
    <w:rsid w:val="0E5C13CB"/>
    <w:rsid w:val="0E78389C"/>
    <w:rsid w:val="0E7A49A3"/>
    <w:rsid w:val="0E9142F7"/>
    <w:rsid w:val="0EBB0FBF"/>
    <w:rsid w:val="0F114977"/>
    <w:rsid w:val="0F28FA54"/>
    <w:rsid w:val="0F309CDB"/>
    <w:rsid w:val="0F66AB8B"/>
    <w:rsid w:val="0F69184B"/>
    <w:rsid w:val="0F69F3CE"/>
    <w:rsid w:val="0F8CA682"/>
    <w:rsid w:val="0F9172FB"/>
    <w:rsid w:val="0FA18F5A"/>
    <w:rsid w:val="0FD4851E"/>
    <w:rsid w:val="0FE5CBB8"/>
    <w:rsid w:val="0FEBDAE0"/>
    <w:rsid w:val="0FF5A9B7"/>
    <w:rsid w:val="1016FCA4"/>
    <w:rsid w:val="1078C9FE"/>
    <w:rsid w:val="1083DE33"/>
    <w:rsid w:val="1096644F"/>
    <w:rsid w:val="10A9AEB6"/>
    <w:rsid w:val="10B9E8F4"/>
    <w:rsid w:val="10BB6A0C"/>
    <w:rsid w:val="10FB8B19"/>
    <w:rsid w:val="1101C83F"/>
    <w:rsid w:val="111E1620"/>
    <w:rsid w:val="11203AB6"/>
    <w:rsid w:val="114E4E4C"/>
    <w:rsid w:val="116308C8"/>
    <w:rsid w:val="119321F1"/>
    <w:rsid w:val="1194986C"/>
    <w:rsid w:val="11B6A3DB"/>
    <w:rsid w:val="11EC7FE0"/>
    <w:rsid w:val="11FF6D36"/>
    <w:rsid w:val="1213CDCF"/>
    <w:rsid w:val="1218E6A4"/>
    <w:rsid w:val="1227CB12"/>
    <w:rsid w:val="122855A4"/>
    <w:rsid w:val="12567447"/>
    <w:rsid w:val="128F8F9D"/>
    <w:rsid w:val="12AAB377"/>
    <w:rsid w:val="1314EEBF"/>
    <w:rsid w:val="132C6595"/>
    <w:rsid w:val="13667F21"/>
    <w:rsid w:val="137E1C28"/>
    <w:rsid w:val="13E47205"/>
    <w:rsid w:val="140E9AFD"/>
    <w:rsid w:val="14217ACA"/>
    <w:rsid w:val="145FC00B"/>
    <w:rsid w:val="14633CC6"/>
    <w:rsid w:val="14939B7F"/>
    <w:rsid w:val="14976D6F"/>
    <w:rsid w:val="14D690CF"/>
    <w:rsid w:val="14E00208"/>
    <w:rsid w:val="14FE7433"/>
    <w:rsid w:val="1519F5A0"/>
    <w:rsid w:val="153788CC"/>
    <w:rsid w:val="15435C83"/>
    <w:rsid w:val="154A4979"/>
    <w:rsid w:val="15834BAA"/>
    <w:rsid w:val="159DB520"/>
    <w:rsid w:val="15BEA8C9"/>
    <w:rsid w:val="15C2CC58"/>
    <w:rsid w:val="15D244B6"/>
    <w:rsid w:val="15FC9029"/>
    <w:rsid w:val="15FEF25C"/>
    <w:rsid w:val="1622722C"/>
    <w:rsid w:val="1660F88B"/>
    <w:rsid w:val="167D5038"/>
    <w:rsid w:val="168A4780"/>
    <w:rsid w:val="16A86903"/>
    <w:rsid w:val="16BA7774"/>
    <w:rsid w:val="17013658"/>
    <w:rsid w:val="1723872E"/>
    <w:rsid w:val="1742D613"/>
    <w:rsid w:val="1751A260"/>
    <w:rsid w:val="175E5BA7"/>
    <w:rsid w:val="1777EAC1"/>
    <w:rsid w:val="1779F8CE"/>
    <w:rsid w:val="1789068C"/>
    <w:rsid w:val="179BB0D8"/>
    <w:rsid w:val="17DF1C84"/>
    <w:rsid w:val="181F57C7"/>
    <w:rsid w:val="183322DD"/>
    <w:rsid w:val="184A16D8"/>
    <w:rsid w:val="1861DD7B"/>
    <w:rsid w:val="18747A7F"/>
    <w:rsid w:val="18773EF5"/>
    <w:rsid w:val="1886898B"/>
    <w:rsid w:val="18EAE482"/>
    <w:rsid w:val="1931CDDF"/>
    <w:rsid w:val="195CBE0A"/>
    <w:rsid w:val="196239CF"/>
    <w:rsid w:val="19641FBE"/>
    <w:rsid w:val="1973BD36"/>
    <w:rsid w:val="198C1AB0"/>
    <w:rsid w:val="198D103B"/>
    <w:rsid w:val="19A0CECA"/>
    <w:rsid w:val="19C28A6A"/>
    <w:rsid w:val="19C96756"/>
    <w:rsid w:val="19DF3063"/>
    <w:rsid w:val="19F61F3E"/>
    <w:rsid w:val="1A03E936"/>
    <w:rsid w:val="1A2C2F73"/>
    <w:rsid w:val="1A778134"/>
    <w:rsid w:val="1A949F02"/>
    <w:rsid w:val="1AED40B3"/>
    <w:rsid w:val="1AF68578"/>
    <w:rsid w:val="1B1E57E5"/>
    <w:rsid w:val="1B4A446D"/>
    <w:rsid w:val="1C8E6F15"/>
    <w:rsid w:val="1CBE0B4D"/>
    <w:rsid w:val="1CD64E09"/>
    <w:rsid w:val="1CE5260A"/>
    <w:rsid w:val="1D2D9563"/>
    <w:rsid w:val="1D5C519F"/>
    <w:rsid w:val="1D667645"/>
    <w:rsid w:val="1D732292"/>
    <w:rsid w:val="1D7BB672"/>
    <w:rsid w:val="1D853C58"/>
    <w:rsid w:val="1D8DD926"/>
    <w:rsid w:val="1DBF5748"/>
    <w:rsid w:val="1DFE1446"/>
    <w:rsid w:val="1E198D1F"/>
    <w:rsid w:val="1E2E5A57"/>
    <w:rsid w:val="1E4A2493"/>
    <w:rsid w:val="1E521E37"/>
    <w:rsid w:val="1E68D31A"/>
    <w:rsid w:val="1E731D8F"/>
    <w:rsid w:val="1E770F06"/>
    <w:rsid w:val="1E7D2E21"/>
    <w:rsid w:val="1ECAB375"/>
    <w:rsid w:val="1EF8F38E"/>
    <w:rsid w:val="1F094725"/>
    <w:rsid w:val="1FB0B2FA"/>
    <w:rsid w:val="1FDEA775"/>
    <w:rsid w:val="1FE1CD4E"/>
    <w:rsid w:val="20423A08"/>
    <w:rsid w:val="206422BA"/>
    <w:rsid w:val="206EA8AE"/>
    <w:rsid w:val="208B509D"/>
    <w:rsid w:val="209B839B"/>
    <w:rsid w:val="20AECAAA"/>
    <w:rsid w:val="20AF31DF"/>
    <w:rsid w:val="20B0ECF2"/>
    <w:rsid w:val="20B6E01F"/>
    <w:rsid w:val="20BC345B"/>
    <w:rsid w:val="20EC3ADE"/>
    <w:rsid w:val="210FE79D"/>
    <w:rsid w:val="2142A8E0"/>
    <w:rsid w:val="214C290E"/>
    <w:rsid w:val="2165E573"/>
    <w:rsid w:val="217921B2"/>
    <w:rsid w:val="2181AD93"/>
    <w:rsid w:val="21D4C950"/>
    <w:rsid w:val="21D69059"/>
    <w:rsid w:val="220C91D8"/>
    <w:rsid w:val="221F7BF1"/>
    <w:rsid w:val="2222985B"/>
    <w:rsid w:val="222D92F0"/>
    <w:rsid w:val="223EDA60"/>
    <w:rsid w:val="224439F1"/>
    <w:rsid w:val="22BC714C"/>
    <w:rsid w:val="22F1636D"/>
    <w:rsid w:val="22F1A7AD"/>
    <w:rsid w:val="2311A3E8"/>
    <w:rsid w:val="2338B90A"/>
    <w:rsid w:val="237F43C2"/>
    <w:rsid w:val="23925F66"/>
    <w:rsid w:val="2394CEF3"/>
    <w:rsid w:val="23ABC3AA"/>
    <w:rsid w:val="23B001DE"/>
    <w:rsid w:val="23BC444B"/>
    <w:rsid w:val="245D0A14"/>
    <w:rsid w:val="24704F58"/>
    <w:rsid w:val="247DFDAF"/>
    <w:rsid w:val="24A3D96D"/>
    <w:rsid w:val="24BEBB10"/>
    <w:rsid w:val="24EA11FF"/>
    <w:rsid w:val="253C7C1A"/>
    <w:rsid w:val="2544D6D6"/>
    <w:rsid w:val="258660F6"/>
    <w:rsid w:val="2595115F"/>
    <w:rsid w:val="25C2C81E"/>
    <w:rsid w:val="25EA950D"/>
    <w:rsid w:val="25F45198"/>
    <w:rsid w:val="2603AEAA"/>
    <w:rsid w:val="26089189"/>
    <w:rsid w:val="261DE27F"/>
    <w:rsid w:val="26211FA9"/>
    <w:rsid w:val="263011B5"/>
    <w:rsid w:val="263AD5B3"/>
    <w:rsid w:val="2655031C"/>
    <w:rsid w:val="2691FD65"/>
    <w:rsid w:val="26EDAE4D"/>
    <w:rsid w:val="26F7B4B1"/>
    <w:rsid w:val="2700D0BA"/>
    <w:rsid w:val="270DDC6E"/>
    <w:rsid w:val="270E9711"/>
    <w:rsid w:val="27372EC6"/>
    <w:rsid w:val="274AFC35"/>
    <w:rsid w:val="275855AC"/>
    <w:rsid w:val="2760D7D8"/>
    <w:rsid w:val="277D4212"/>
    <w:rsid w:val="278311A8"/>
    <w:rsid w:val="2793C9B3"/>
    <w:rsid w:val="27C6113A"/>
    <w:rsid w:val="27EB72EC"/>
    <w:rsid w:val="280F4750"/>
    <w:rsid w:val="281D2BB5"/>
    <w:rsid w:val="28471EDE"/>
    <w:rsid w:val="285539E4"/>
    <w:rsid w:val="286E4A13"/>
    <w:rsid w:val="287C6234"/>
    <w:rsid w:val="28D14C82"/>
    <w:rsid w:val="28D8002A"/>
    <w:rsid w:val="28DC2661"/>
    <w:rsid w:val="2905F87D"/>
    <w:rsid w:val="292869F2"/>
    <w:rsid w:val="295D6BCF"/>
    <w:rsid w:val="2961EF04"/>
    <w:rsid w:val="2994A857"/>
    <w:rsid w:val="29B13AC6"/>
    <w:rsid w:val="29C2D165"/>
    <w:rsid w:val="29C3FEEB"/>
    <w:rsid w:val="29D9DBF0"/>
    <w:rsid w:val="2A141463"/>
    <w:rsid w:val="2A337BDF"/>
    <w:rsid w:val="2A38BCD2"/>
    <w:rsid w:val="2A62DE54"/>
    <w:rsid w:val="2A6782BB"/>
    <w:rsid w:val="2A7F5ECA"/>
    <w:rsid w:val="2A811618"/>
    <w:rsid w:val="2B0C6729"/>
    <w:rsid w:val="2B1E2E9D"/>
    <w:rsid w:val="2B1E3244"/>
    <w:rsid w:val="2B5BA7C1"/>
    <w:rsid w:val="2B815AF9"/>
    <w:rsid w:val="2B9BCC68"/>
    <w:rsid w:val="2BAB2040"/>
    <w:rsid w:val="2BCBC329"/>
    <w:rsid w:val="2BF9F530"/>
    <w:rsid w:val="2C1B181B"/>
    <w:rsid w:val="2C24473C"/>
    <w:rsid w:val="2C54B3B3"/>
    <w:rsid w:val="2C8D02D8"/>
    <w:rsid w:val="2CC0083B"/>
    <w:rsid w:val="2CD06BD3"/>
    <w:rsid w:val="2D3AE729"/>
    <w:rsid w:val="2D6DF636"/>
    <w:rsid w:val="2DA3AEB6"/>
    <w:rsid w:val="2E3AD7D6"/>
    <w:rsid w:val="2E5C5935"/>
    <w:rsid w:val="2E6C0F2A"/>
    <w:rsid w:val="2E88D063"/>
    <w:rsid w:val="2EAA8760"/>
    <w:rsid w:val="2F016F00"/>
    <w:rsid w:val="2F1708FC"/>
    <w:rsid w:val="2F1CCBE2"/>
    <w:rsid w:val="2F41DBF2"/>
    <w:rsid w:val="2F43A623"/>
    <w:rsid w:val="2F5C3CAD"/>
    <w:rsid w:val="2F80B0EA"/>
    <w:rsid w:val="2FDC0528"/>
    <w:rsid w:val="300931DA"/>
    <w:rsid w:val="3010D057"/>
    <w:rsid w:val="3033324E"/>
    <w:rsid w:val="303A73A7"/>
    <w:rsid w:val="303DCED1"/>
    <w:rsid w:val="303E79C6"/>
    <w:rsid w:val="308A0ED7"/>
    <w:rsid w:val="30B29607"/>
    <w:rsid w:val="30B9347E"/>
    <w:rsid w:val="30C10238"/>
    <w:rsid w:val="30CA2CD4"/>
    <w:rsid w:val="30D205DA"/>
    <w:rsid w:val="30E658F7"/>
    <w:rsid w:val="3111DE31"/>
    <w:rsid w:val="314D33FF"/>
    <w:rsid w:val="3174D44B"/>
    <w:rsid w:val="317EAB92"/>
    <w:rsid w:val="31A3DADD"/>
    <w:rsid w:val="3202F31D"/>
    <w:rsid w:val="320B4EE5"/>
    <w:rsid w:val="3229C3E3"/>
    <w:rsid w:val="3243AE58"/>
    <w:rsid w:val="3259DAE0"/>
    <w:rsid w:val="32654D4C"/>
    <w:rsid w:val="327E9357"/>
    <w:rsid w:val="329EFDB7"/>
    <w:rsid w:val="32B0DB71"/>
    <w:rsid w:val="32FA1B81"/>
    <w:rsid w:val="33196856"/>
    <w:rsid w:val="3331EBA3"/>
    <w:rsid w:val="335182A0"/>
    <w:rsid w:val="33955D41"/>
    <w:rsid w:val="33C643F4"/>
    <w:rsid w:val="33C84DAF"/>
    <w:rsid w:val="33C8CF9B"/>
    <w:rsid w:val="33EFEEC5"/>
    <w:rsid w:val="33F8682E"/>
    <w:rsid w:val="33FDA715"/>
    <w:rsid w:val="340D5111"/>
    <w:rsid w:val="34266FE8"/>
    <w:rsid w:val="3453820B"/>
    <w:rsid w:val="3455B7B8"/>
    <w:rsid w:val="3479FB4C"/>
    <w:rsid w:val="347D4645"/>
    <w:rsid w:val="348B7455"/>
    <w:rsid w:val="34A64D95"/>
    <w:rsid w:val="34B5FAEA"/>
    <w:rsid w:val="34E30917"/>
    <w:rsid w:val="351210B1"/>
    <w:rsid w:val="35145D36"/>
    <w:rsid w:val="354CAA41"/>
    <w:rsid w:val="3551EB61"/>
    <w:rsid w:val="3563ACA6"/>
    <w:rsid w:val="357BD8CE"/>
    <w:rsid w:val="35891D05"/>
    <w:rsid w:val="362D9F55"/>
    <w:rsid w:val="3650DF16"/>
    <w:rsid w:val="3661B118"/>
    <w:rsid w:val="3668E34A"/>
    <w:rsid w:val="36D8C84B"/>
    <w:rsid w:val="36E1B7A4"/>
    <w:rsid w:val="3709BAF7"/>
    <w:rsid w:val="37192F68"/>
    <w:rsid w:val="375C7768"/>
    <w:rsid w:val="375C8830"/>
    <w:rsid w:val="379EB209"/>
    <w:rsid w:val="37BF290F"/>
    <w:rsid w:val="37D3661A"/>
    <w:rsid w:val="37FC6568"/>
    <w:rsid w:val="380A23C1"/>
    <w:rsid w:val="38284641"/>
    <w:rsid w:val="3855CFFB"/>
    <w:rsid w:val="387BC9E1"/>
    <w:rsid w:val="3884D975"/>
    <w:rsid w:val="3887D391"/>
    <w:rsid w:val="38AAF972"/>
    <w:rsid w:val="38B967F3"/>
    <w:rsid w:val="38D0441D"/>
    <w:rsid w:val="38D53A21"/>
    <w:rsid w:val="38F2BCEA"/>
    <w:rsid w:val="3928D5FE"/>
    <w:rsid w:val="392CE943"/>
    <w:rsid w:val="3932AA7D"/>
    <w:rsid w:val="3945B79A"/>
    <w:rsid w:val="395FB7F0"/>
    <w:rsid w:val="39643498"/>
    <w:rsid w:val="3976BA01"/>
    <w:rsid w:val="3987362F"/>
    <w:rsid w:val="399E4489"/>
    <w:rsid w:val="39C12899"/>
    <w:rsid w:val="39D1716D"/>
    <w:rsid w:val="39DDCC90"/>
    <w:rsid w:val="39FFC328"/>
    <w:rsid w:val="3A08C931"/>
    <w:rsid w:val="3A400A71"/>
    <w:rsid w:val="3A59AE1E"/>
    <w:rsid w:val="3AC04110"/>
    <w:rsid w:val="3AE75FC8"/>
    <w:rsid w:val="3B11E40C"/>
    <w:rsid w:val="3B5703A6"/>
    <w:rsid w:val="3B880515"/>
    <w:rsid w:val="3B9372F1"/>
    <w:rsid w:val="3BA61978"/>
    <w:rsid w:val="3BC37A83"/>
    <w:rsid w:val="3BE583D9"/>
    <w:rsid w:val="3BF37A37"/>
    <w:rsid w:val="3BF681CD"/>
    <w:rsid w:val="3CA4DCA8"/>
    <w:rsid w:val="3CB3F4FD"/>
    <w:rsid w:val="3CBF09B1"/>
    <w:rsid w:val="3CC6C7A8"/>
    <w:rsid w:val="3CE20AF6"/>
    <w:rsid w:val="3CE6C41C"/>
    <w:rsid w:val="3CF5ACB2"/>
    <w:rsid w:val="3CFAA361"/>
    <w:rsid w:val="3D11A4C9"/>
    <w:rsid w:val="3D22CDD5"/>
    <w:rsid w:val="3D82FCA8"/>
    <w:rsid w:val="3DA12ACB"/>
    <w:rsid w:val="3DB834F4"/>
    <w:rsid w:val="3DF28D8F"/>
    <w:rsid w:val="3E07D89A"/>
    <w:rsid w:val="3E171A4F"/>
    <w:rsid w:val="3E32C8B6"/>
    <w:rsid w:val="3E3E8CDF"/>
    <w:rsid w:val="3E401FDB"/>
    <w:rsid w:val="3E4F3114"/>
    <w:rsid w:val="3E88D9F8"/>
    <w:rsid w:val="3EB8183E"/>
    <w:rsid w:val="3EC5BFE2"/>
    <w:rsid w:val="3ECF3795"/>
    <w:rsid w:val="3F1332C8"/>
    <w:rsid w:val="3F2B56F4"/>
    <w:rsid w:val="3F45B45E"/>
    <w:rsid w:val="3FACB6AA"/>
    <w:rsid w:val="3FB658C0"/>
    <w:rsid w:val="3FDD23C3"/>
    <w:rsid w:val="404CD998"/>
    <w:rsid w:val="4051BE4A"/>
    <w:rsid w:val="40991434"/>
    <w:rsid w:val="40AAD9EE"/>
    <w:rsid w:val="40B2FE0C"/>
    <w:rsid w:val="40DFA655"/>
    <w:rsid w:val="40EB3BED"/>
    <w:rsid w:val="40F6765E"/>
    <w:rsid w:val="412485C4"/>
    <w:rsid w:val="412C9827"/>
    <w:rsid w:val="415312DA"/>
    <w:rsid w:val="415D6EF4"/>
    <w:rsid w:val="41730B05"/>
    <w:rsid w:val="41B1E3BF"/>
    <w:rsid w:val="41D7A2DD"/>
    <w:rsid w:val="41F1A635"/>
    <w:rsid w:val="422AD057"/>
    <w:rsid w:val="4231DEBF"/>
    <w:rsid w:val="423C7A15"/>
    <w:rsid w:val="425C6D8E"/>
    <w:rsid w:val="42689958"/>
    <w:rsid w:val="4269C3A6"/>
    <w:rsid w:val="42848D51"/>
    <w:rsid w:val="42A6F01A"/>
    <w:rsid w:val="42BBE0A8"/>
    <w:rsid w:val="42E0C1CF"/>
    <w:rsid w:val="42E67E2F"/>
    <w:rsid w:val="432908E6"/>
    <w:rsid w:val="433E672B"/>
    <w:rsid w:val="43FE58A2"/>
    <w:rsid w:val="4407F9EF"/>
    <w:rsid w:val="4419C47A"/>
    <w:rsid w:val="443BB794"/>
    <w:rsid w:val="444BF1A5"/>
    <w:rsid w:val="445F540E"/>
    <w:rsid w:val="44A663E3"/>
    <w:rsid w:val="44B35B6C"/>
    <w:rsid w:val="44E3999D"/>
    <w:rsid w:val="44FB0645"/>
    <w:rsid w:val="450CC1A2"/>
    <w:rsid w:val="4544D4BC"/>
    <w:rsid w:val="454F0785"/>
    <w:rsid w:val="45618FF7"/>
    <w:rsid w:val="456C6E66"/>
    <w:rsid w:val="458F2EAC"/>
    <w:rsid w:val="45E3D886"/>
    <w:rsid w:val="46045386"/>
    <w:rsid w:val="4606D1DD"/>
    <w:rsid w:val="461D0DFA"/>
    <w:rsid w:val="4637256F"/>
    <w:rsid w:val="463A20D7"/>
    <w:rsid w:val="46491F00"/>
    <w:rsid w:val="46562B28"/>
    <w:rsid w:val="465D9BBB"/>
    <w:rsid w:val="46656233"/>
    <w:rsid w:val="4681CF85"/>
    <w:rsid w:val="46940029"/>
    <w:rsid w:val="46B838F3"/>
    <w:rsid w:val="46D871F1"/>
    <w:rsid w:val="47064A83"/>
    <w:rsid w:val="470B0746"/>
    <w:rsid w:val="471C0E21"/>
    <w:rsid w:val="471D63C1"/>
    <w:rsid w:val="472271D4"/>
    <w:rsid w:val="472AA764"/>
    <w:rsid w:val="4740A7A1"/>
    <w:rsid w:val="4746495E"/>
    <w:rsid w:val="474A15FB"/>
    <w:rsid w:val="475CCED0"/>
    <w:rsid w:val="4770B272"/>
    <w:rsid w:val="47B5708B"/>
    <w:rsid w:val="47B8F9D8"/>
    <w:rsid w:val="47F033B8"/>
    <w:rsid w:val="4805549C"/>
    <w:rsid w:val="4840969C"/>
    <w:rsid w:val="4851C0AF"/>
    <w:rsid w:val="48564F11"/>
    <w:rsid w:val="488B847C"/>
    <w:rsid w:val="48E3299D"/>
    <w:rsid w:val="48F468CA"/>
    <w:rsid w:val="48F905BA"/>
    <w:rsid w:val="490C521F"/>
    <w:rsid w:val="49C346C6"/>
    <w:rsid w:val="49C434A3"/>
    <w:rsid w:val="49DA9803"/>
    <w:rsid w:val="49E53667"/>
    <w:rsid w:val="4A08779D"/>
    <w:rsid w:val="4A2048ED"/>
    <w:rsid w:val="4A78993A"/>
    <w:rsid w:val="4A96EEBC"/>
    <w:rsid w:val="4AA42847"/>
    <w:rsid w:val="4ABF0761"/>
    <w:rsid w:val="4ACD2991"/>
    <w:rsid w:val="4B2507DE"/>
    <w:rsid w:val="4B2F8C9A"/>
    <w:rsid w:val="4B60C9F0"/>
    <w:rsid w:val="4BC33C54"/>
    <w:rsid w:val="4BDF8477"/>
    <w:rsid w:val="4BE76B5D"/>
    <w:rsid w:val="4C29D73B"/>
    <w:rsid w:val="4C2AADA4"/>
    <w:rsid w:val="4C47A748"/>
    <w:rsid w:val="4C508C0B"/>
    <w:rsid w:val="4C62B71D"/>
    <w:rsid w:val="4C6A15C9"/>
    <w:rsid w:val="4CEACFA1"/>
    <w:rsid w:val="4D05EEA2"/>
    <w:rsid w:val="4D07CCA3"/>
    <w:rsid w:val="4D5F19C7"/>
    <w:rsid w:val="4DA44F18"/>
    <w:rsid w:val="4DD9F3D6"/>
    <w:rsid w:val="4DEEDEA9"/>
    <w:rsid w:val="4E17DF4E"/>
    <w:rsid w:val="4E2F0373"/>
    <w:rsid w:val="4E846ACA"/>
    <w:rsid w:val="4EA1AE38"/>
    <w:rsid w:val="4EBB0393"/>
    <w:rsid w:val="4EBC3823"/>
    <w:rsid w:val="4F0C9284"/>
    <w:rsid w:val="4F1A7677"/>
    <w:rsid w:val="4F2548EF"/>
    <w:rsid w:val="4F47CDC2"/>
    <w:rsid w:val="4F502939"/>
    <w:rsid w:val="4F927518"/>
    <w:rsid w:val="4FABD8E7"/>
    <w:rsid w:val="4FB2EC64"/>
    <w:rsid w:val="4FBF10D1"/>
    <w:rsid w:val="4FD5C9D4"/>
    <w:rsid w:val="4FE59039"/>
    <w:rsid w:val="5000A331"/>
    <w:rsid w:val="5001B1ED"/>
    <w:rsid w:val="5034B0E9"/>
    <w:rsid w:val="503EC038"/>
    <w:rsid w:val="506F9941"/>
    <w:rsid w:val="50AFEAF9"/>
    <w:rsid w:val="50B44AF2"/>
    <w:rsid w:val="50E52175"/>
    <w:rsid w:val="510D7874"/>
    <w:rsid w:val="51659FB2"/>
    <w:rsid w:val="516F9484"/>
    <w:rsid w:val="51A94411"/>
    <w:rsid w:val="51C3A33D"/>
    <w:rsid w:val="5241FC2C"/>
    <w:rsid w:val="5267B3F4"/>
    <w:rsid w:val="52693362"/>
    <w:rsid w:val="526E6733"/>
    <w:rsid w:val="5271724D"/>
    <w:rsid w:val="528AEC04"/>
    <w:rsid w:val="52AB2B83"/>
    <w:rsid w:val="52BA6F73"/>
    <w:rsid w:val="52C125A1"/>
    <w:rsid w:val="52EE9E0B"/>
    <w:rsid w:val="5304957A"/>
    <w:rsid w:val="531D6978"/>
    <w:rsid w:val="53339CF4"/>
    <w:rsid w:val="53394D0D"/>
    <w:rsid w:val="534C282C"/>
    <w:rsid w:val="537C002D"/>
    <w:rsid w:val="53C3B497"/>
    <w:rsid w:val="53CA35A1"/>
    <w:rsid w:val="53D2F811"/>
    <w:rsid w:val="53E1776E"/>
    <w:rsid w:val="54324156"/>
    <w:rsid w:val="54607787"/>
    <w:rsid w:val="546F6898"/>
    <w:rsid w:val="548C7306"/>
    <w:rsid w:val="549531A6"/>
    <w:rsid w:val="54CB46D2"/>
    <w:rsid w:val="54FE6DB0"/>
    <w:rsid w:val="552A4ABA"/>
    <w:rsid w:val="55EFF4F6"/>
    <w:rsid w:val="55F91B4B"/>
    <w:rsid w:val="56261003"/>
    <w:rsid w:val="5689AC2E"/>
    <w:rsid w:val="569D3209"/>
    <w:rsid w:val="56AC23B1"/>
    <w:rsid w:val="56BA4C1C"/>
    <w:rsid w:val="56CCA5FB"/>
    <w:rsid w:val="56F3DB52"/>
    <w:rsid w:val="570F1415"/>
    <w:rsid w:val="571B40EC"/>
    <w:rsid w:val="572F5C8A"/>
    <w:rsid w:val="572FC081"/>
    <w:rsid w:val="5732238E"/>
    <w:rsid w:val="573935B2"/>
    <w:rsid w:val="575F9673"/>
    <w:rsid w:val="579C15E4"/>
    <w:rsid w:val="57D61C13"/>
    <w:rsid w:val="57DC886D"/>
    <w:rsid w:val="57FF4FD2"/>
    <w:rsid w:val="581F85B7"/>
    <w:rsid w:val="58345262"/>
    <w:rsid w:val="5894C846"/>
    <w:rsid w:val="58A7E3EF"/>
    <w:rsid w:val="58BA36D4"/>
    <w:rsid w:val="58C9CAE6"/>
    <w:rsid w:val="5922E6D3"/>
    <w:rsid w:val="59388528"/>
    <w:rsid w:val="594E27F1"/>
    <w:rsid w:val="596304DD"/>
    <w:rsid w:val="596D47C8"/>
    <w:rsid w:val="5983B163"/>
    <w:rsid w:val="5989AAE6"/>
    <w:rsid w:val="599ABE63"/>
    <w:rsid w:val="59A19CAA"/>
    <w:rsid w:val="59E93B48"/>
    <w:rsid w:val="5A05EAD4"/>
    <w:rsid w:val="5A0FEE70"/>
    <w:rsid w:val="5A2B9148"/>
    <w:rsid w:val="5A3DFB4B"/>
    <w:rsid w:val="5A3FA0A3"/>
    <w:rsid w:val="5A604601"/>
    <w:rsid w:val="5A6E8CBE"/>
    <w:rsid w:val="5A777693"/>
    <w:rsid w:val="5A77B275"/>
    <w:rsid w:val="5ABA4F62"/>
    <w:rsid w:val="5AC5BC10"/>
    <w:rsid w:val="5B17D50C"/>
    <w:rsid w:val="5B18CDE1"/>
    <w:rsid w:val="5B192A27"/>
    <w:rsid w:val="5B43A51F"/>
    <w:rsid w:val="5B7D930B"/>
    <w:rsid w:val="5B8C997F"/>
    <w:rsid w:val="5BB1D78A"/>
    <w:rsid w:val="5C741B7C"/>
    <w:rsid w:val="5C782ACA"/>
    <w:rsid w:val="5CE177CD"/>
    <w:rsid w:val="5CEF6B4C"/>
    <w:rsid w:val="5D03F45C"/>
    <w:rsid w:val="5D444EDA"/>
    <w:rsid w:val="5D5CB777"/>
    <w:rsid w:val="5D64452F"/>
    <w:rsid w:val="5D744B35"/>
    <w:rsid w:val="5D9F87C4"/>
    <w:rsid w:val="5DAA40C2"/>
    <w:rsid w:val="5DC78411"/>
    <w:rsid w:val="5DE2AD61"/>
    <w:rsid w:val="5DF26300"/>
    <w:rsid w:val="5E12193C"/>
    <w:rsid w:val="5E2274D6"/>
    <w:rsid w:val="5E2EE471"/>
    <w:rsid w:val="5E4F11B2"/>
    <w:rsid w:val="5E78709A"/>
    <w:rsid w:val="5EA6CDEE"/>
    <w:rsid w:val="5EAA5744"/>
    <w:rsid w:val="5EB4B766"/>
    <w:rsid w:val="5ECFE694"/>
    <w:rsid w:val="5ED4D869"/>
    <w:rsid w:val="5F5779F3"/>
    <w:rsid w:val="5FB8F4C6"/>
    <w:rsid w:val="5FC9AD2B"/>
    <w:rsid w:val="5FE2BCBB"/>
    <w:rsid w:val="5FF79E8A"/>
    <w:rsid w:val="6066EE18"/>
    <w:rsid w:val="60689FBE"/>
    <w:rsid w:val="61402174"/>
    <w:rsid w:val="614260CD"/>
    <w:rsid w:val="616C22EB"/>
    <w:rsid w:val="6172819B"/>
    <w:rsid w:val="618D2E1B"/>
    <w:rsid w:val="61C78441"/>
    <w:rsid w:val="61ED0327"/>
    <w:rsid w:val="61F8FDD2"/>
    <w:rsid w:val="62328A4E"/>
    <w:rsid w:val="623E4A04"/>
    <w:rsid w:val="624D22BD"/>
    <w:rsid w:val="62691CD3"/>
    <w:rsid w:val="62A05563"/>
    <w:rsid w:val="62CC2D99"/>
    <w:rsid w:val="62DF68CA"/>
    <w:rsid w:val="62E044A8"/>
    <w:rsid w:val="62F1DFAE"/>
    <w:rsid w:val="6315E246"/>
    <w:rsid w:val="6331037C"/>
    <w:rsid w:val="633B47CA"/>
    <w:rsid w:val="63C7A173"/>
    <w:rsid w:val="63D9290A"/>
    <w:rsid w:val="63DD945C"/>
    <w:rsid w:val="63F3EE13"/>
    <w:rsid w:val="63FF39D3"/>
    <w:rsid w:val="640C8A3E"/>
    <w:rsid w:val="6420619E"/>
    <w:rsid w:val="64CA6C95"/>
    <w:rsid w:val="64DB8A65"/>
    <w:rsid w:val="6517470B"/>
    <w:rsid w:val="65659697"/>
    <w:rsid w:val="65BFF36D"/>
    <w:rsid w:val="660E3387"/>
    <w:rsid w:val="664D9DF0"/>
    <w:rsid w:val="66504120"/>
    <w:rsid w:val="669E7B7A"/>
    <w:rsid w:val="66B0B226"/>
    <w:rsid w:val="66CF97F7"/>
    <w:rsid w:val="66E8F584"/>
    <w:rsid w:val="670EF2B1"/>
    <w:rsid w:val="674A3752"/>
    <w:rsid w:val="67840C8C"/>
    <w:rsid w:val="6789D86A"/>
    <w:rsid w:val="679C33B2"/>
    <w:rsid w:val="67A36C88"/>
    <w:rsid w:val="67EE2DB0"/>
    <w:rsid w:val="67F5DF11"/>
    <w:rsid w:val="6848AA2E"/>
    <w:rsid w:val="6870FC58"/>
    <w:rsid w:val="687E93C7"/>
    <w:rsid w:val="68C33569"/>
    <w:rsid w:val="68C735EB"/>
    <w:rsid w:val="68FD1DE7"/>
    <w:rsid w:val="6904185C"/>
    <w:rsid w:val="691911C1"/>
    <w:rsid w:val="693C6D4D"/>
    <w:rsid w:val="694EC1BF"/>
    <w:rsid w:val="695492C6"/>
    <w:rsid w:val="696F2C9B"/>
    <w:rsid w:val="69B5963B"/>
    <w:rsid w:val="69C60B5F"/>
    <w:rsid w:val="69E827D0"/>
    <w:rsid w:val="69F62997"/>
    <w:rsid w:val="69FD9E2F"/>
    <w:rsid w:val="6A6BA86C"/>
    <w:rsid w:val="6AB58E87"/>
    <w:rsid w:val="6AC7D299"/>
    <w:rsid w:val="6AC9678E"/>
    <w:rsid w:val="6ADD782B"/>
    <w:rsid w:val="6ADE921E"/>
    <w:rsid w:val="6B595E94"/>
    <w:rsid w:val="6B62FAE5"/>
    <w:rsid w:val="6B7D63B2"/>
    <w:rsid w:val="6BDC26C9"/>
    <w:rsid w:val="6C131DD6"/>
    <w:rsid w:val="6C2CD920"/>
    <w:rsid w:val="6C3CEE55"/>
    <w:rsid w:val="6C3F2CDD"/>
    <w:rsid w:val="6C7D7DF1"/>
    <w:rsid w:val="6C8FEC88"/>
    <w:rsid w:val="6CA82823"/>
    <w:rsid w:val="6CA9399E"/>
    <w:rsid w:val="6CAB764C"/>
    <w:rsid w:val="6CC5DD26"/>
    <w:rsid w:val="6CC9CA31"/>
    <w:rsid w:val="6CCEB6EF"/>
    <w:rsid w:val="6CD5DA36"/>
    <w:rsid w:val="6D099C98"/>
    <w:rsid w:val="6D190BCD"/>
    <w:rsid w:val="6E1078D2"/>
    <w:rsid w:val="6E2A189C"/>
    <w:rsid w:val="6E393FFC"/>
    <w:rsid w:val="6E73EBC9"/>
    <w:rsid w:val="6E826485"/>
    <w:rsid w:val="6EE2AA95"/>
    <w:rsid w:val="6EF0F609"/>
    <w:rsid w:val="6F001E84"/>
    <w:rsid w:val="6F1C8C04"/>
    <w:rsid w:val="6F2D3525"/>
    <w:rsid w:val="6F59C97F"/>
    <w:rsid w:val="6FD928E8"/>
    <w:rsid w:val="6FE52DF8"/>
    <w:rsid w:val="7005AB6D"/>
    <w:rsid w:val="70085C78"/>
    <w:rsid w:val="703750FE"/>
    <w:rsid w:val="70AAD40F"/>
    <w:rsid w:val="70C7A1D7"/>
    <w:rsid w:val="70CD04A2"/>
    <w:rsid w:val="70F6B82F"/>
    <w:rsid w:val="710E323B"/>
    <w:rsid w:val="711E9AF5"/>
    <w:rsid w:val="711FCD12"/>
    <w:rsid w:val="71483ED7"/>
    <w:rsid w:val="71807281"/>
    <w:rsid w:val="71B2A854"/>
    <w:rsid w:val="71D6F9E8"/>
    <w:rsid w:val="71F0D3E4"/>
    <w:rsid w:val="72367F95"/>
    <w:rsid w:val="725A9208"/>
    <w:rsid w:val="725B2A91"/>
    <w:rsid w:val="72776E03"/>
    <w:rsid w:val="727ACEF4"/>
    <w:rsid w:val="727DC692"/>
    <w:rsid w:val="72BA33CE"/>
    <w:rsid w:val="72BCBC1E"/>
    <w:rsid w:val="72F38AE8"/>
    <w:rsid w:val="72F9558F"/>
    <w:rsid w:val="731AB21E"/>
    <w:rsid w:val="7339FDF2"/>
    <w:rsid w:val="735F33A0"/>
    <w:rsid w:val="7395BD24"/>
    <w:rsid w:val="7397707C"/>
    <w:rsid w:val="73A631B6"/>
    <w:rsid w:val="73D1164D"/>
    <w:rsid w:val="73D43521"/>
    <w:rsid w:val="74186C8E"/>
    <w:rsid w:val="743E9490"/>
    <w:rsid w:val="74A29FEC"/>
    <w:rsid w:val="74C6EF94"/>
    <w:rsid w:val="74CC14F1"/>
    <w:rsid w:val="74D19974"/>
    <w:rsid w:val="74DCF2DE"/>
    <w:rsid w:val="74EEEC3D"/>
    <w:rsid w:val="7503A380"/>
    <w:rsid w:val="752BF3C9"/>
    <w:rsid w:val="75776A02"/>
    <w:rsid w:val="757F6885"/>
    <w:rsid w:val="7588DA5B"/>
    <w:rsid w:val="765BCAC1"/>
    <w:rsid w:val="765FF050"/>
    <w:rsid w:val="766D61B5"/>
    <w:rsid w:val="768E9371"/>
    <w:rsid w:val="76BAE5F2"/>
    <w:rsid w:val="76C1A6E9"/>
    <w:rsid w:val="76C94BF3"/>
    <w:rsid w:val="76F622E3"/>
    <w:rsid w:val="770EF3AD"/>
    <w:rsid w:val="77333109"/>
    <w:rsid w:val="7743909D"/>
    <w:rsid w:val="777B328A"/>
    <w:rsid w:val="777D7A24"/>
    <w:rsid w:val="7788A45C"/>
    <w:rsid w:val="7798BAF0"/>
    <w:rsid w:val="77D5E7DE"/>
    <w:rsid w:val="780A97AA"/>
    <w:rsid w:val="784E35A6"/>
    <w:rsid w:val="7873A458"/>
    <w:rsid w:val="7875AD62"/>
    <w:rsid w:val="78765B78"/>
    <w:rsid w:val="78865077"/>
    <w:rsid w:val="78869323"/>
    <w:rsid w:val="78C67561"/>
    <w:rsid w:val="790F7C9C"/>
    <w:rsid w:val="7916EB28"/>
    <w:rsid w:val="797A99C8"/>
    <w:rsid w:val="79839BE3"/>
    <w:rsid w:val="79DA00CC"/>
    <w:rsid w:val="79E656C3"/>
    <w:rsid w:val="7A00B8E0"/>
    <w:rsid w:val="7A133EF8"/>
    <w:rsid w:val="7A48A0FD"/>
    <w:rsid w:val="7A56A160"/>
    <w:rsid w:val="7A6B5B3E"/>
    <w:rsid w:val="7A7EB696"/>
    <w:rsid w:val="7A898FAF"/>
    <w:rsid w:val="7A975381"/>
    <w:rsid w:val="7AB4C8D6"/>
    <w:rsid w:val="7AF2A335"/>
    <w:rsid w:val="7B025681"/>
    <w:rsid w:val="7B1032B9"/>
    <w:rsid w:val="7B24A410"/>
    <w:rsid w:val="7B3AB7C5"/>
    <w:rsid w:val="7B49D6F1"/>
    <w:rsid w:val="7BA629B8"/>
    <w:rsid w:val="7BB037A6"/>
    <w:rsid w:val="7BC4D1BE"/>
    <w:rsid w:val="7C04C890"/>
    <w:rsid w:val="7C0CBAC5"/>
    <w:rsid w:val="7C16FD4C"/>
    <w:rsid w:val="7C260956"/>
    <w:rsid w:val="7C2B2761"/>
    <w:rsid w:val="7C472855"/>
    <w:rsid w:val="7CAF5022"/>
    <w:rsid w:val="7CD62AC4"/>
    <w:rsid w:val="7CF0CA20"/>
    <w:rsid w:val="7CF6E30B"/>
    <w:rsid w:val="7CFD470B"/>
    <w:rsid w:val="7D2FD255"/>
    <w:rsid w:val="7D510718"/>
    <w:rsid w:val="7D5A809D"/>
    <w:rsid w:val="7DAE158A"/>
    <w:rsid w:val="7DC26F3D"/>
    <w:rsid w:val="7DCE2FC4"/>
    <w:rsid w:val="7DD2A580"/>
    <w:rsid w:val="7DFA8544"/>
    <w:rsid w:val="7E04D3A6"/>
    <w:rsid w:val="7E25CC1E"/>
    <w:rsid w:val="7E7AFDA1"/>
    <w:rsid w:val="7E958092"/>
    <w:rsid w:val="7EB55C41"/>
    <w:rsid w:val="7EE7B1C9"/>
    <w:rsid w:val="7EFC91DD"/>
    <w:rsid w:val="7F1D7806"/>
    <w:rsid w:val="7F209791"/>
    <w:rsid w:val="7F271099"/>
    <w:rsid w:val="7F603089"/>
    <w:rsid w:val="7F631D1C"/>
    <w:rsid w:val="7F719484"/>
    <w:rsid w:val="7F937F86"/>
    <w:rsid w:val="7F96650B"/>
    <w:rsid w:val="7FBD0C78"/>
    <w:rsid w:val="7FE2C3A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7F62D6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24A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24A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24A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24A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4A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4A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4A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4A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4A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4A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24A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24A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24A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4A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4A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4A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4A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4A44"/>
    <w:rPr>
      <w:rFonts w:eastAsiaTheme="majorEastAsia" w:cstheme="majorBidi"/>
      <w:color w:val="272727" w:themeColor="text1" w:themeTint="D8"/>
    </w:rPr>
  </w:style>
  <w:style w:type="paragraph" w:styleId="Title">
    <w:name w:val="Title"/>
    <w:basedOn w:val="Normal"/>
    <w:next w:val="Normal"/>
    <w:link w:val="TitleChar"/>
    <w:uiPriority w:val="10"/>
    <w:qFormat/>
    <w:rsid w:val="00A24A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4A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4A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4A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4A44"/>
    <w:pPr>
      <w:spacing w:before="160"/>
      <w:jc w:val="center"/>
    </w:pPr>
    <w:rPr>
      <w:i/>
      <w:iCs/>
      <w:color w:val="404040" w:themeColor="text1" w:themeTint="BF"/>
    </w:rPr>
  </w:style>
  <w:style w:type="character" w:customStyle="1" w:styleId="QuoteChar">
    <w:name w:val="Quote Char"/>
    <w:basedOn w:val="DefaultParagraphFont"/>
    <w:link w:val="Quote"/>
    <w:uiPriority w:val="29"/>
    <w:rsid w:val="00A24A44"/>
    <w:rPr>
      <w:i/>
      <w:iCs/>
      <w:color w:val="404040" w:themeColor="text1" w:themeTint="BF"/>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2,L"/>
    <w:basedOn w:val="Normal"/>
    <w:link w:val="ListParagraphChar"/>
    <w:uiPriority w:val="34"/>
    <w:qFormat/>
    <w:rsid w:val="00A24A44"/>
    <w:pPr>
      <w:ind w:left="720"/>
      <w:contextualSpacing/>
    </w:pPr>
  </w:style>
  <w:style w:type="character" w:styleId="IntenseEmphasis">
    <w:name w:val="Intense Emphasis"/>
    <w:basedOn w:val="DefaultParagraphFont"/>
    <w:uiPriority w:val="21"/>
    <w:qFormat/>
    <w:rsid w:val="00A24A44"/>
    <w:rPr>
      <w:i/>
      <w:iCs/>
      <w:color w:val="0F4761" w:themeColor="accent1" w:themeShade="BF"/>
    </w:rPr>
  </w:style>
  <w:style w:type="paragraph" w:styleId="IntenseQuote">
    <w:name w:val="Intense Quote"/>
    <w:basedOn w:val="Normal"/>
    <w:next w:val="Normal"/>
    <w:link w:val="IntenseQuoteChar"/>
    <w:uiPriority w:val="30"/>
    <w:qFormat/>
    <w:rsid w:val="00A24A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4A44"/>
    <w:rPr>
      <w:i/>
      <w:iCs/>
      <w:color w:val="0F4761" w:themeColor="accent1" w:themeShade="BF"/>
    </w:rPr>
  </w:style>
  <w:style w:type="character" w:styleId="IntenseReference">
    <w:name w:val="Intense Reference"/>
    <w:basedOn w:val="DefaultParagraphFont"/>
    <w:uiPriority w:val="32"/>
    <w:qFormat/>
    <w:rsid w:val="00A24A44"/>
    <w:rPr>
      <w:b/>
      <w:bCs/>
      <w:smallCaps/>
      <w:color w:val="0F4761" w:themeColor="accent1" w:themeShade="BF"/>
      <w:spacing w:val="5"/>
    </w:rPr>
  </w:style>
  <w:style w:type="character" w:customStyle="1" w:styleId="Marker">
    <w:name w:val="Marker"/>
    <w:basedOn w:val="DefaultParagraphFont"/>
    <w:rsid w:val="008827EC"/>
    <w:rPr>
      <w:color w:val="0000FF"/>
      <w:shd w:val="clear" w:color="auto" w:fill="auto"/>
    </w:rPr>
  </w:style>
  <w:style w:type="paragraph" w:styleId="Header">
    <w:name w:val="header"/>
    <w:basedOn w:val="Normal"/>
    <w:link w:val="HeaderChar"/>
    <w:uiPriority w:val="99"/>
    <w:unhideWhenUsed/>
    <w:rsid w:val="000415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15EE"/>
  </w:style>
  <w:style w:type="paragraph" w:styleId="Footer">
    <w:name w:val="footer"/>
    <w:basedOn w:val="Normal"/>
    <w:link w:val="FooterChar"/>
    <w:uiPriority w:val="99"/>
    <w:unhideWhenUsed/>
    <w:rsid w:val="000415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15EE"/>
  </w:style>
  <w:style w:type="paragraph" w:customStyle="1" w:styleId="Pagedecouverture">
    <w:name w:val="Page de couverture"/>
    <w:basedOn w:val="Normal"/>
    <w:next w:val="Normal"/>
    <w:rsid w:val="004355E3"/>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251F3C"/>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51F3C"/>
    <w:rPr>
      <w:rFonts w:ascii="Times New Roman" w:hAnsi="Times New Roman" w:cs="Times New Roman"/>
      <w:sz w:val="24"/>
    </w:rPr>
  </w:style>
  <w:style w:type="paragraph" w:customStyle="1" w:styleId="FooterSensitivity">
    <w:name w:val="Footer Sensitivity"/>
    <w:basedOn w:val="Normal"/>
    <w:link w:val="FooterSensitivityChar"/>
    <w:rsid w:val="00251F3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51F3C"/>
    <w:rPr>
      <w:rFonts w:ascii="Times New Roman" w:hAnsi="Times New Roman" w:cs="Times New Roman"/>
      <w:b/>
      <w:sz w:val="32"/>
    </w:rPr>
  </w:style>
  <w:style w:type="paragraph" w:customStyle="1" w:styleId="HeaderCoverPage">
    <w:name w:val="Header Cover Page"/>
    <w:basedOn w:val="Normal"/>
    <w:link w:val="HeaderCoverPageChar"/>
    <w:rsid w:val="00251F3C"/>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51F3C"/>
    <w:rPr>
      <w:rFonts w:ascii="Times New Roman" w:hAnsi="Times New Roman" w:cs="Times New Roman"/>
      <w:sz w:val="24"/>
    </w:rPr>
  </w:style>
  <w:style w:type="paragraph" w:customStyle="1" w:styleId="HeaderSensitivity">
    <w:name w:val="Header Sensitivity"/>
    <w:basedOn w:val="Normal"/>
    <w:link w:val="HeaderSensitivityChar"/>
    <w:rsid w:val="00251F3C"/>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51F3C"/>
    <w:rPr>
      <w:rFonts w:ascii="Times New Roman" w:hAnsi="Times New Roman" w:cs="Times New Roman"/>
      <w:b/>
      <w:sz w:val="32"/>
    </w:rPr>
  </w:style>
  <w:style w:type="paragraph" w:customStyle="1" w:styleId="HeaderSensitivityRight">
    <w:name w:val="Header Sensitivity Right"/>
    <w:basedOn w:val="Normal"/>
    <w:link w:val="HeaderSensitivityRightChar"/>
    <w:rsid w:val="00AC1BC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51F3C"/>
    <w:rPr>
      <w:rFonts w:ascii="Times New Roman" w:hAnsi="Times New Roman" w:cs="Times New Roman"/>
      <w:sz w:val="28"/>
    </w:rPr>
  </w:style>
  <w:style w:type="paragraph" w:styleId="TOCHeading">
    <w:name w:val="TOC Heading"/>
    <w:basedOn w:val="Heading1"/>
    <w:next w:val="Normal"/>
    <w:uiPriority w:val="39"/>
    <w:unhideWhenUsed/>
    <w:qFormat/>
    <w:rsid w:val="00CE7F15"/>
    <w:pPr>
      <w:spacing w:before="240" w:after="0"/>
      <w:outlineLvl w:val="9"/>
    </w:pPr>
    <w:rPr>
      <w:kern w:val="0"/>
      <w:sz w:val="32"/>
      <w:szCs w:val="32"/>
      <w14:ligatures w14:val="none"/>
    </w:rPr>
  </w:style>
  <w:style w:type="paragraph" w:styleId="TOC2">
    <w:name w:val="toc 2"/>
    <w:basedOn w:val="Normal"/>
    <w:next w:val="Normal"/>
    <w:autoRedefine/>
    <w:uiPriority w:val="39"/>
    <w:unhideWhenUsed/>
    <w:rsid w:val="00CE7F15"/>
    <w:pPr>
      <w:spacing w:after="100"/>
      <w:ind w:left="220"/>
    </w:pPr>
    <w:rPr>
      <w:rFonts w:eastAsiaTheme="minorEastAsia" w:cs="Times New Roman"/>
      <w:kern w:val="0"/>
      <w14:ligatures w14:val="none"/>
    </w:rPr>
  </w:style>
  <w:style w:type="paragraph" w:styleId="TOC1">
    <w:name w:val="toc 1"/>
    <w:basedOn w:val="Normal"/>
    <w:next w:val="Normal"/>
    <w:autoRedefine/>
    <w:uiPriority w:val="39"/>
    <w:unhideWhenUsed/>
    <w:rsid w:val="00CE7F15"/>
    <w:pPr>
      <w:spacing w:after="100"/>
    </w:pPr>
    <w:rPr>
      <w:rFonts w:eastAsiaTheme="minorEastAsia" w:cs="Times New Roman"/>
      <w:kern w:val="0"/>
      <w14:ligatures w14:val="none"/>
    </w:rPr>
  </w:style>
  <w:style w:type="paragraph" w:styleId="TOC3">
    <w:name w:val="toc 3"/>
    <w:basedOn w:val="Normal"/>
    <w:next w:val="Normal"/>
    <w:autoRedefine/>
    <w:uiPriority w:val="39"/>
    <w:unhideWhenUsed/>
    <w:rsid w:val="00CE7F15"/>
    <w:pPr>
      <w:spacing w:after="100"/>
      <w:ind w:left="440"/>
    </w:pPr>
    <w:rPr>
      <w:rFonts w:eastAsiaTheme="minorEastAsia" w:cs="Times New Roman"/>
      <w:kern w:val="0"/>
      <w14:ligatures w14:val="none"/>
    </w:rPr>
  </w:style>
  <w:style w:type="paragraph" w:styleId="Revision">
    <w:name w:val="Revision"/>
    <w:hidden/>
    <w:uiPriority w:val="99"/>
    <w:semiHidden/>
    <w:rsid w:val="00CE7F15"/>
    <w:pPr>
      <w:spacing w:after="0" w:line="240" w:lineRule="auto"/>
    </w:pPr>
  </w:style>
  <w:style w:type="paragraph" w:styleId="FootnoteText">
    <w:name w:val="footnote text"/>
    <w:basedOn w:val="Normal"/>
    <w:link w:val="FootnoteTextChar"/>
    <w:uiPriority w:val="99"/>
    <w:unhideWhenUsed/>
    <w:rsid w:val="00CE7F15"/>
    <w:pPr>
      <w:spacing w:after="0" w:line="240" w:lineRule="auto"/>
    </w:pPr>
    <w:rPr>
      <w:sz w:val="20"/>
      <w:szCs w:val="20"/>
    </w:rPr>
  </w:style>
  <w:style w:type="character" w:customStyle="1" w:styleId="FootnoteTextChar">
    <w:name w:val="Footnote Text Char"/>
    <w:basedOn w:val="DefaultParagraphFont"/>
    <w:link w:val="FootnoteText"/>
    <w:uiPriority w:val="99"/>
    <w:rsid w:val="00CE7F15"/>
    <w:rPr>
      <w:sz w:val="20"/>
      <w:szCs w:val="20"/>
    </w:rPr>
  </w:style>
  <w:style w:type="character" w:styleId="FootnoteReference">
    <w:name w:val="footnote reference"/>
    <w:basedOn w:val="DefaultParagraphFont"/>
    <w:uiPriority w:val="99"/>
    <w:semiHidden/>
    <w:unhideWhenUsed/>
    <w:rsid w:val="00CE7F15"/>
    <w:rPr>
      <w:vertAlign w:val="superscript"/>
    </w:rPr>
  </w:style>
  <w:style w:type="character" w:styleId="CommentReference">
    <w:name w:val="annotation reference"/>
    <w:basedOn w:val="DefaultParagraphFont"/>
    <w:uiPriority w:val="99"/>
    <w:semiHidden/>
    <w:unhideWhenUsed/>
    <w:rsid w:val="00CE7F15"/>
    <w:rPr>
      <w:sz w:val="16"/>
      <w:szCs w:val="16"/>
    </w:rPr>
  </w:style>
  <w:style w:type="paragraph" w:styleId="CommentText">
    <w:name w:val="annotation text"/>
    <w:basedOn w:val="Normal"/>
    <w:link w:val="CommentTextChar"/>
    <w:uiPriority w:val="99"/>
    <w:unhideWhenUsed/>
    <w:rsid w:val="00CE7F15"/>
    <w:pPr>
      <w:spacing w:line="240" w:lineRule="auto"/>
    </w:pPr>
    <w:rPr>
      <w:sz w:val="20"/>
      <w:szCs w:val="20"/>
    </w:rPr>
  </w:style>
  <w:style w:type="character" w:customStyle="1" w:styleId="CommentTextChar">
    <w:name w:val="Comment Text Char"/>
    <w:basedOn w:val="DefaultParagraphFont"/>
    <w:link w:val="CommentText"/>
    <w:uiPriority w:val="99"/>
    <w:rsid w:val="00CE7F15"/>
    <w:rPr>
      <w:sz w:val="20"/>
      <w:szCs w:val="20"/>
    </w:rPr>
  </w:style>
  <w:style w:type="paragraph" w:styleId="CommentSubject">
    <w:name w:val="annotation subject"/>
    <w:basedOn w:val="CommentText"/>
    <w:next w:val="CommentText"/>
    <w:link w:val="CommentSubjectChar"/>
    <w:uiPriority w:val="99"/>
    <w:semiHidden/>
    <w:unhideWhenUsed/>
    <w:rsid w:val="00CE7F15"/>
    <w:rPr>
      <w:b/>
      <w:bCs/>
    </w:rPr>
  </w:style>
  <w:style w:type="character" w:customStyle="1" w:styleId="CommentSubjectChar">
    <w:name w:val="Comment Subject Char"/>
    <w:basedOn w:val="CommentTextChar"/>
    <w:link w:val="CommentSubject"/>
    <w:uiPriority w:val="99"/>
    <w:semiHidden/>
    <w:rsid w:val="00CE7F15"/>
    <w:rPr>
      <w:b/>
      <w:bCs/>
      <w:sz w:val="20"/>
      <w:szCs w:val="20"/>
    </w:rPr>
  </w:style>
  <w:style w:type="character" w:styleId="Hyperlink">
    <w:name w:val="Hyperlink"/>
    <w:basedOn w:val="DefaultParagraphFont"/>
    <w:uiPriority w:val="99"/>
    <w:unhideWhenUsed/>
    <w:rsid w:val="00CE7F15"/>
    <w:rPr>
      <w:color w:val="0000FF"/>
      <w:u w:val="single"/>
    </w:rPr>
  </w:style>
  <w:style w:type="character" w:customStyle="1" w:styleId="Mention1">
    <w:name w:val="Mention1"/>
    <w:basedOn w:val="DefaultParagraphFont"/>
    <w:uiPriority w:val="99"/>
    <w:unhideWhenUsed/>
    <w:rsid w:val="00CE7F15"/>
    <w:rPr>
      <w:color w:val="2B579A"/>
      <w:shd w:val="clear" w:color="auto" w:fill="E1DFDD"/>
    </w:rPr>
  </w:style>
  <w:style w:type="character" w:customStyle="1" w:styleId="UnresolvedMention1">
    <w:name w:val="Unresolved Mention1"/>
    <w:basedOn w:val="DefaultParagraphFont"/>
    <w:uiPriority w:val="99"/>
    <w:semiHidden/>
    <w:unhideWhenUsed/>
    <w:rsid w:val="00CE7F15"/>
    <w:rPr>
      <w:color w:val="605E5C"/>
      <w:shd w:val="clear" w:color="auto" w:fill="E1DFDD"/>
    </w:rPr>
  </w:style>
  <w:style w:type="character" w:styleId="FollowedHyperlink">
    <w:name w:val="FollowedHyperlink"/>
    <w:basedOn w:val="DefaultParagraphFont"/>
    <w:uiPriority w:val="99"/>
    <w:semiHidden/>
    <w:unhideWhenUsed/>
    <w:rsid w:val="00CE7F15"/>
    <w:rPr>
      <w:color w:val="96607D" w:themeColor="followedHyperlink"/>
      <w:u w:val="single"/>
    </w:rPr>
  </w:style>
  <w:style w:type="character" w:customStyle="1" w:styleId="eop">
    <w:name w:val="eop"/>
    <w:basedOn w:val="DefaultParagraphFont"/>
    <w:uiPriority w:val="1"/>
    <w:rsid w:val="00CE7F15"/>
    <w:rPr>
      <w:rFonts w:ascii="Times New Roman" w:eastAsia="Times New Roman" w:hAnsi="Times New Roman" w:cs="Times New Roman"/>
      <w:sz w:val="24"/>
      <w:szCs w:val="24"/>
    </w:rPr>
  </w:style>
  <w:style w:type="table" w:styleId="TableGrid">
    <w:name w:val="Table Grid"/>
    <w:basedOn w:val="TableNormal"/>
    <w:uiPriority w:val="39"/>
    <w:rsid w:val="00CE7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E7F15"/>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styleId="Strong">
    <w:name w:val="Strong"/>
    <w:basedOn w:val="DefaultParagraphFont"/>
    <w:uiPriority w:val="22"/>
    <w:qFormat/>
    <w:rsid w:val="00CE7F15"/>
    <w:rPr>
      <w:b/>
      <w:bCs/>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ListParagraph"/>
    <w:uiPriority w:val="34"/>
    <w:qFormat/>
    <w:locked/>
    <w:rsid w:val="00CE7F15"/>
  </w:style>
  <w:style w:type="paragraph" w:customStyle="1" w:styleId="Disclaimer">
    <w:name w:val="Disclaimer"/>
    <w:basedOn w:val="Normal"/>
    <w:rsid w:val="005A1A3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AC1BCB"/>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AC1BCB"/>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AC1BCB"/>
    <w:pPr>
      <w:spacing w:after="0" w:line="276" w:lineRule="auto"/>
      <w:ind w:left="5103"/>
    </w:pPr>
    <w:rPr>
      <w:rFonts w:ascii="Times New Roman" w:hAnsi="Times New Roman" w:cs="Times New Roman"/>
      <w:i/>
      <w:kern w:val="0"/>
      <w:sz w:val="28"/>
      <w14:ligatures w14:val="none"/>
    </w:rPr>
  </w:style>
  <w:style w:type="paragraph" w:styleId="PlainText">
    <w:name w:val="Plain Text"/>
    <w:basedOn w:val="Normal"/>
    <w:link w:val="PlainTextChar"/>
    <w:uiPriority w:val="99"/>
    <w:semiHidden/>
    <w:unhideWhenUsed/>
    <w:rsid w:val="002D2E6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2D2E6A"/>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68176">
      <w:bodyDiv w:val="1"/>
      <w:marLeft w:val="0"/>
      <w:marRight w:val="0"/>
      <w:marTop w:val="0"/>
      <w:marBottom w:val="0"/>
      <w:divBdr>
        <w:top w:val="none" w:sz="0" w:space="0" w:color="auto"/>
        <w:left w:val="none" w:sz="0" w:space="0" w:color="auto"/>
        <w:bottom w:val="none" w:sz="0" w:space="0" w:color="auto"/>
        <w:right w:val="none" w:sz="0" w:space="0" w:color="auto"/>
      </w:divBdr>
    </w:div>
    <w:div w:id="62531564">
      <w:bodyDiv w:val="1"/>
      <w:marLeft w:val="0"/>
      <w:marRight w:val="0"/>
      <w:marTop w:val="0"/>
      <w:marBottom w:val="0"/>
      <w:divBdr>
        <w:top w:val="none" w:sz="0" w:space="0" w:color="auto"/>
        <w:left w:val="none" w:sz="0" w:space="0" w:color="auto"/>
        <w:bottom w:val="none" w:sz="0" w:space="0" w:color="auto"/>
        <w:right w:val="none" w:sz="0" w:space="0" w:color="auto"/>
      </w:divBdr>
    </w:div>
    <w:div w:id="106045363">
      <w:bodyDiv w:val="1"/>
      <w:marLeft w:val="0"/>
      <w:marRight w:val="0"/>
      <w:marTop w:val="0"/>
      <w:marBottom w:val="0"/>
      <w:divBdr>
        <w:top w:val="none" w:sz="0" w:space="0" w:color="auto"/>
        <w:left w:val="none" w:sz="0" w:space="0" w:color="auto"/>
        <w:bottom w:val="none" w:sz="0" w:space="0" w:color="auto"/>
        <w:right w:val="none" w:sz="0" w:space="0" w:color="auto"/>
      </w:divBdr>
    </w:div>
    <w:div w:id="119954184">
      <w:bodyDiv w:val="1"/>
      <w:marLeft w:val="0"/>
      <w:marRight w:val="0"/>
      <w:marTop w:val="0"/>
      <w:marBottom w:val="0"/>
      <w:divBdr>
        <w:top w:val="none" w:sz="0" w:space="0" w:color="auto"/>
        <w:left w:val="none" w:sz="0" w:space="0" w:color="auto"/>
        <w:bottom w:val="none" w:sz="0" w:space="0" w:color="auto"/>
        <w:right w:val="none" w:sz="0" w:space="0" w:color="auto"/>
      </w:divBdr>
    </w:div>
    <w:div w:id="166407129">
      <w:bodyDiv w:val="1"/>
      <w:marLeft w:val="0"/>
      <w:marRight w:val="0"/>
      <w:marTop w:val="0"/>
      <w:marBottom w:val="0"/>
      <w:divBdr>
        <w:top w:val="none" w:sz="0" w:space="0" w:color="auto"/>
        <w:left w:val="none" w:sz="0" w:space="0" w:color="auto"/>
        <w:bottom w:val="none" w:sz="0" w:space="0" w:color="auto"/>
        <w:right w:val="none" w:sz="0" w:space="0" w:color="auto"/>
      </w:divBdr>
    </w:div>
    <w:div w:id="173960791">
      <w:bodyDiv w:val="1"/>
      <w:marLeft w:val="0"/>
      <w:marRight w:val="0"/>
      <w:marTop w:val="0"/>
      <w:marBottom w:val="0"/>
      <w:divBdr>
        <w:top w:val="none" w:sz="0" w:space="0" w:color="auto"/>
        <w:left w:val="none" w:sz="0" w:space="0" w:color="auto"/>
        <w:bottom w:val="none" w:sz="0" w:space="0" w:color="auto"/>
        <w:right w:val="none" w:sz="0" w:space="0" w:color="auto"/>
      </w:divBdr>
    </w:div>
    <w:div w:id="196091289">
      <w:bodyDiv w:val="1"/>
      <w:marLeft w:val="0"/>
      <w:marRight w:val="0"/>
      <w:marTop w:val="0"/>
      <w:marBottom w:val="0"/>
      <w:divBdr>
        <w:top w:val="none" w:sz="0" w:space="0" w:color="auto"/>
        <w:left w:val="none" w:sz="0" w:space="0" w:color="auto"/>
        <w:bottom w:val="none" w:sz="0" w:space="0" w:color="auto"/>
        <w:right w:val="none" w:sz="0" w:space="0" w:color="auto"/>
      </w:divBdr>
    </w:div>
    <w:div w:id="196936762">
      <w:bodyDiv w:val="1"/>
      <w:marLeft w:val="0"/>
      <w:marRight w:val="0"/>
      <w:marTop w:val="0"/>
      <w:marBottom w:val="0"/>
      <w:divBdr>
        <w:top w:val="none" w:sz="0" w:space="0" w:color="auto"/>
        <w:left w:val="none" w:sz="0" w:space="0" w:color="auto"/>
        <w:bottom w:val="none" w:sz="0" w:space="0" w:color="auto"/>
        <w:right w:val="none" w:sz="0" w:space="0" w:color="auto"/>
      </w:divBdr>
    </w:div>
    <w:div w:id="399251668">
      <w:bodyDiv w:val="1"/>
      <w:marLeft w:val="0"/>
      <w:marRight w:val="0"/>
      <w:marTop w:val="0"/>
      <w:marBottom w:val="0"/>
      <w:divBdr>
        <w:top w:val="none" w:sz="0" w:space="0" w:color="auto"/>
        <w:left w:val="none" w:sz="0" w:space="0" w:color="auto"/>
        <w:bottom w:val="none" w:sz="0" w:space="0" w:color="auto"/>
        <w:right w:val="none" w:sz="0" w:space="0" w:color="auto"/>
      </w:divBdr>
    </w:div>
    <w:div w:id="408381664">
      <w:bodyDiv w:val="1"/>
      <w:marLeft w:val="0"/>
      <w:marRight w:val="0"/>
      <w:marTop w:val="0"/>
      <w:marBottom w:val="0"/>
      <w:divBdr>
        <w:top w:val="none" w:sz="0" w:space="0" w:color="auto"/>
        <w:left w:val="none" w:sz="0" w:space="0" w:color="auto"/>
        <w:bottom w:val="none" w:sz="0" w:space="0" w:color="auto"/>
        <w:right w:val="none" w:sz="0" w:space="0" w:color="auto"/>
      </w:divBdr>
    </w:div>
    <w:div w:id="440344616">
      <w:bodyDiv w:val="1"/>
      <w:marLeft w:val="0"/>
      <w:marRight w:val="0"/>
      <w:marTop w:val="0"/>
      <w:marBottom w:val="0"/>
      <w:divBdr>
        <w:top w:val="none" w:sz="0" w:space="0" w:color="auto"/>
        <w:left w:val="none" w:sz="0" w:space="0" w:color="auto"/>
        <w:bottom w:val="none" w:sz="0" w:space="0" w:color="auto"/>
        <w:right w:val="none" w:sz="0" w:space="0" w:color="auto"/>
      </w:divBdr>
    </w:div>
    <w:div w:id="575633462">
      <w:bodyDiv w:val="1"/>
      <w:marLeft w:val="0"/>
      <w:marRight w:val="0"/>
      <w:marTop w:val="0"/>
      <w:marBottom w:val="0"/>
      <w:divBdr>
        <w:top w:val="none" w:sz="0" w:space="0" w:color="auto"/>
        <w:left w:val="none" w:sz="0" w:space="0" w:color="auto"/>
        <w:bottom w:val="none" w:sz="0" w:space="0" w:color="auto"/>
        <w:right w:val="none" w:sz="0" w:space="0" w:color="auto"/>
      </w:divBdr>
    </w:div>
    <w:div w:id="576525574">
      <w:bodyDiv w:val="1"/>
      <w:marLeft w:val="0"/>
      <w:marRight w:val="0"/>
      <w:marTop w:val="0"/>
      <w:marBottom w:val="0"/>
      <w:divBdr>
        <w:top w:val="none" w:sz="0" w:space="0" w:color="auto"/>
        <w:left w:val="none" w:sz="0" w:space="0" w:color="auto"/>
        <w:bottom w:val="none" w:sz="0" w:space="0" w:color="auto"/>
        <w:right w:val="none" w:sz="0" w:space="0" w:color="auto"/>
      </w:divBdr>
    </w:div>
    <w:div w:id="606549212">
      <w:bodyDiv w:val="1"/>
      <w:marLeft w:val="0"/>
      <w:marRight w:val="0"/>
      <w:marTop w:val="0"/>
      <w:marBottom w:val="0"/>
      <w:divBdr>
        <w:top w:val="none" w:sz="0" w:space="0" w:color="auto"/>
        <w:left w:val="none" w:sz="0" w:space="0" w:color="auto"/>
        <w:bottom w:val="none" w:sz="0" w:space="0" w:color="auto"/>
        <w:right w:val="none" w:sz="0" w:space="0" w:color="auto"/>
      </w:divBdr>
    </w:div>
    <w:div w:id="677660303">
      <w:bodyDiv w:val="1"/>
      <w:marLeft w:val="0"/>
      <w:marRight w:val="0"/>
      <w:marTop w:val="0"/>
      <w:marBottom w:val="0"/>
      <w:divBdr>
        <w:top w:val="none" w:sz="0" w:space="0" w:color="auto"/>
        <w:left w:val="none" w:sz="0" w:space="0" w:color="auto"/>
        <w:bottom w:val="none" w:sz="0" w:space="0" w:color="auto"/>
        <w:right w:val="none" w:sz="0" w:space="0" w:color="auto"/>
      </w:divBdr>
    </w:div>
    <w:div w:id="685794949">
      <w:bodyDiv w:val="1"/>
      <w:marLeft w:val="0"/>
      <w:marRight w:val="0"/>
      <w:marTop w:val="0"/>
      <w:marBottom w:val="0"/>
      <w:divBdr>
        <w:top w:val="none" w:sz="0" w:space="0" w:color="auto"/>
        <w:left w:val="none" w:sz="0" w:space="0" w:color="auto"/>
        <w:bottom w:val="none" w:sz="0" w:space="0" w:color="auto"/>
        <w:right w:val="none" w:sz="0" w:space="0" w:color="auto"/>
      </w:divBdr>
    </w:div>
    <w:div w:id="719477418">
      <w:bodyDiv w:val="1"/>
      <w:marLeft w:val="0"/>
      <w:marRight w:val="0"/>
      <w:marTop w:val="0"/>
      <w:marBottom w:val="0"/>
      <w:divBdr>
        <w:top w:val="none" w:sz="0" w:space="0" w:color="auto"/>
        <w:left w:val="none" w:sz="0" w:space="0" w:color="auto"/>
        <w:bottom w:val="none" w:sz="0" w:space="0" w:color="auto"/>
        <w:right w:val="none" w:sz="0" w:space="0" w:color="auto"/>
      </w:divBdr>
    </w:div>
    <w:div w:id="760030082">
      <w:bodyDiv w:val="1"/>
      <w:marLeft w:val="0"/>
      <w:marRight w:val="0"/>
      <w:marTop w:val="0"/>
      <w:marBottom w:val="0"/>
      <w:divBdr>
        <w:top w:val="none" w:sz="0" w:space="0" w:color="auto"/>
        <w:left w:val="none" w:sz="0" w:space="0" w:color="auto"/>
        <w:bottom w:val="none" w:sz="0" w:space="0" w:color="auto"/>
        <w:right w:val="none" w:sz="0" w:space="0" w:color="auto"/>
      </w:divBdr>
    </w:div>
    <w:div w:id="992683116">
      <w:bodyDiv w:val="1"/>
      <w:marLeft w:val="0"/>
      <w:marRight w:val="0"/>
      <w:marTop w:val="0"/>
      <w:marBottom w:val="0"/>
      <w:divBdr>
        <w:top w:val="none" w:sz="0" w:space="0" w:color="auto"/>
        <w:left w:val="none" w:sz="0" w:space="0" w:color="auto"/>
        <w:bottom w:val="none" w:sz="0" w:space="0" w:color="auto"/>
        <w:right w:val="none" w:sz="0" w:space="0" w:color="auto"/>
      </w:divBdr>
    </w:div>
    <w:div w:id="1008404263">
      <w:bodyDiv w:val="1"/>
      <w:marLeft w:val="0"/>
      <w:marRight w:val="0"/>
      <w:marTop w:val="0"/>
      <w:marBottom w:val="0"/>
      <w:divBdr>
        <w:top w:val="none" w:sz="0" w:space="0" w:color="auto"/>
        <w:left w:val="none" w:sz="0" w:space="0" w:color="auto"/>
        <w:bottom w:val="none" w:sz="0" w:space="0" w:color="auto"/>
        <w:right w:val="none" w:sz="0" w:space="0" w:color="auto"/>
      </w:divBdr>
    </w:div>
    <w:div w:id="1082028797">
      <w:bodyDiv w:val="1"/>
      <w:marLeft w:val="0"/>
      <w:marRight w:val="0"/>
      <w:marTop w:val="0"/>
      <w:marBottom w:val="0"/>
      <w:divBdr>
        <w:top w:val="none" w:sz="0" w:space="0" w:color="auto"/>
        <w:left w:val="none" w:sz="0" w:space="0" w:color="auto"/>
        <w:bottom w:val="none" w:sz="0" w:space="0" w:color="auto"/>
        <w:right w:val="none" w:sz="0" w:space="0" w:color="auto"/>
      </w:divBdr>
    </w:div>
    <w:div w:id="1331566760">
      <w:bodyDiv w:val="1"/>
      <w:marLeft w:val="0"/>
      <w:marRight w:val="0"/>
      <w:marTop w:val="0"/>
      <w:marBottom w:val="0"/>
      <w:divBdr>
        <w:top w:val="none" w:sz="0" w:space="0" w:color="auto"/>
        <w:left w:val="none" w:sz="0" w:space="0" w:color="auto"/>
        <w:bottom w:val="none" w:sz="0" w:space="0" w:color="auto"/>
        <w:right w:val="none" w:sz="0" w:space="0" w:color="auto"/>
      </w:divBdr>
    </w:div>
    <w:div w:id="1348216182">
      <w:bodyDiv w:val="1"/>
      <w:marLeft w:val="0"/>
      <w:marRight w:val="0"/>
      <w:marTop w:val="0"/>
      <w:marBottom w:val="0"/>
      <w:divBdr>
        <w:top w:val="none" w:sz="0" w:space="0" w:color="auto"/>
        <w:left w:val="none" w:sz="0" w:space="0" w:color="auto"/>
        <w:bottom w:val="none" w:sz="0" w:space="0" w:color="auto"/>
        <w:right w:val="none" w:sz="0" w:space="0" w:color="auto"/>
      </w:divBdr>
    </w:div>
    <w:div w:id="1376392127">
      <w:bodyDiv w:val="1"/>
      <w:marLeft w:val="0"/>
      <w:marRight w:val="0"/>
      <w:marTop w:val="0"/>
      <w:marBottom w:val="0"/>
      <w:divBdr>
        <w:top w:val="none" w:sz="0" w:space="0" w:color="auto"/>
        <w:left w:val="none" w:sz="0" w:space="0" w:color="auto"/>
        <w:bottom w:val="none" w:sz="0" w:space="0" w:color="auto"/>
        <w:right w:val="none" w:sz="0" w:space="0" w:color="auto"/>
      </w:divBdr>
    </w:div>
    <w:div w:id="1415860703">
      <w:bodyDiv w:val="1"/>
      <w:marLeft w:val="0"/>
      <w:marRight w:val="0"/>
      <w:marTop w:val="0"/>
      <w:marBottom w:val="0"/>
      <w:divBdr>
        <w:top w:val="none" w:sz="0" w:space="0" w:color="auto"/>
        <w:left w:val="none" w:sz="0" w:space="0" w:color="auto"/>
        <w:bottom w:val="none" w:sz="0" w:space="0" w:color="auto"/>
        <w:right w:val="none" w:sz="0" w:space="0" w:color="auto"/>
      </w:divBdr>
    </w:div>
    <w:div w:id="1420560448">
      <w:bodyDiv w:val="1"/>
      <w:marLeft w:val="0"/>
      <w:marRight w:val="0"/>
      <w:marTop w:val="0"/>
      <w:marBottom w:val="0"/>
      <w:divBdr>
        <w:top w:val="none" w:sz="0" w:space="0" w:color="auto"/>
        <w:left w:val="none" w:sz="0" w:space="0" w:color="auto"/>
        <w:bottom w:val="none" w:sz="0" w:space="0" w:color="auto"/>
        <w:right w:val="none" w:sz="0" w:space="0" w:color="auto"/>
      </w:divBdr>
    </w:div>
    <w:div w:id="1451049506">
      <w:bodyDiv w:val="1"/>
      <w:marLeft w:val="0"/>
      <w:marRight w:val="0"/>
      <w:marTop w:val="0"/>
      <w:marBottom w:val="0"/>
      <w:divBdr>
        <w:top w:val="none" w:sz="0" w:space="0" w:color="auto"/>
        <w:left w:val="none" w:sz="0" w:space="0" w:color="auto"/>
        <w:bottom w:val="none" w:sz="0" w:space="0" w:color="auto"/>
        <w:right w:val="none" w:sz="0" w:space="0" w:color="auto"/>
      </w:divBdr>
    </w:div>
    <w:div w:id="1475221521">
      <w:bodyDiv w:val="1"/>
      <w:marLeft w:val="0"/>
      <w:marRight w:val="0"/>
      <w:marTop w:val="0"/>
      <w:marBottom w:val="0"/>
      <w:divBdr>
        <w:top w:val="none" w:sz="0" w:space="0" w:color="auto"/>
        <w:left w:val="none" w:sz="0" w:space="0" w:color="auto"/>
        <w:bottom w:val="none" w:sz="0" w:space="0" w:color="auto"/>
        <w:right w:val="none" w:sz="0" w:space="0" w:color="auto"/>
      </w:divBdr>
    </w:div>
    <w:div w:id="1525904155">
      <w:bodyDiv w:val="1"/>
      <w:marLeft w:val="0"/>
      <w:marRight w:val="0"/>
      <w:marTop w:val="0"/>
      <w:marBottom w:val="0"/>
      <w:divBdr>
        <w:top w:val="none" w:sz="0" w:space="0" w:color="auto"/>
        <w:left w:val="none" w:sz="0" w:space="0" w:color="auto"/>
        <w:bottom w:val="none" w:sz="0" w:space="0" w:color="auto"/>
        <w:right w:val="none" w:sz="0" w:space="0" w:color="auto"/>
      </w:divBdr>
    </w:div>
    <w:div w:id="1587031502">
      <w:bodyDiv w:val="1"/>
      <w:marLeft w:val="0"/>
      <w:marRight w:val="0"/>
      <w:marTop w:val="0"/>
      <w:marBottom w:val="0"/>
      <w:divBdr>
        <w:top w:val="none" w:sz="0" w:space="0" w:color="auto"/>
        <w:left w:val="none" w:sz="0" w:space="0" w:color="auto"/>
        <w:bottom w:val="none" w:sz="0" w:space="0" w:color="auto"/>
        <w:right w:val="none" w:sz="0" w:space="0" w:color="auto"/>
      </w:divBdr>
    </w:div>
    <w:div w:id="1605454453">
      <w:bodyDiv w:val="1"/>
      <w:marLeft w:val="0"/>
      <w:marRight w:val="0"/>
      <w:marTop w:val="0"/>
      <w:marBottom w:val="0"/>
      <w:divBdr>
        <w:top w:val="none" w:sz="0" w:space="0" w:color="auto"/>
        <w:left w:val="none" w:sz="0" w:space="0" w:color="auto"/>
        <w:bottom w:val="none" w:sz="0" w:space="0" w:color="auto"/>
        <w:right w:val="none" w:sz="0" w:space="0" w:color="auto"/>
      </w:divBdr>
    </w:div>
    <w:div w:id="1680305737">
      <w:bodyDiv w:val="1"/>
      <w:marLeft w:val="0"/>
      <w:marRight w:val="0"/>
      <w:marTop w:val="0"/>
      <w:marBottom w:val="0"/>
      <w:divBdr>
        <w:top w:val="none" w:sz="0" w:space="0" w:color="auto"/>
        <w:left w:val="none" w:sz="0" w:space="0" w:color="auto"/>
        <w:bottom w:val="none" w:sz="0" w:space="0" w:color="auto"/>
        <w:right w:val="none" w:sz="0" w:space="0" w:color="auto"/>
      </w:divBdr>
    </w:div>
    <w:div w:id="1693333490">
      <w:bodyDiv w:val="1"/>
      <w:marLeft w:val="0"/>
      <w:marRight w:val="0"/>
      <w:marTop w:val="0"/>
      <w:marBottom w:val="0"/>
      <w:divBdr>
        <w:top w:val="none" w:sz="0" w:space="0" w:color="auto"/>
        <w:left w:val="none" w:sz="0" w:space="0" w:color="auto"/>
        <w:bottom w:val="none" w:sz="0" w:space="0" w:color="auto"/>
        <w:right w:val="none" w:sz="0" w:space="0" w:color="auto"/>
      </w:divBdr>
    </w:div>
    <w:div w:id="1755853729">
      <w:bodyDiv w:val="1"/>
      <w:marLeft w:val="0"/>
      <w:marRight w:val="0"/>
      <w:marTop w:val="0"/>
      <w:marBottom w:val="0"/>
      <w:divBdr>
        <w:top w:val="none" w:sz="0" w:space="0" w:color="auto"/>
        <w:left w:val="none" w:sz="0" w:space="0" w:color="auto"/>
        <w:bottom w:val="none" w:sz="0" w:space="0" w:color="auto"/>
        <w:right w:val="none" w:sz="0" w:space="0" w:color="auto"/>
      </w:divBdr>
    </w:div>
    <w:div w:id="1905750350">
      <w:bodyDiv w:val="1"/>
      <w:marLeft w:val="0"/>
      <w:marRight w:val="0"/>
      <w:marTop w:val="0"/>
      <w:marBottom w:val="0"/>
      <w:divBdr>
        <w:top w:val="none" w:sz="0" w:space="0" w:color="auto"/>
        <w:left w:val="none" w:sz="0" w:space="0" w:color="auto"/>
        <w:bottom w:val="none" w:sz="0" w:space="0" w:color="auto"/>
        <w:right w:val="none" w:sz="0" w:space="0" w:color="auto"/>
      </w:divBdr>
    </w:div>
    <w:div w:id="1922055889">
      <w:bodyDiv w:val="1"/>
      <w:marLeft w:val="0"/>
      <w:marRight w:val="0"/>
      <w:marTop w:val="0"/>
      <w:marBottom w:val="0"/>
      <w:divBdr>
        <w:top w:val="none" w:sz="0" w:space="0" w:color="auto"/>
        <w:left w:val="none" w:sz="0" w:space="0" w:color="auto"/>
        <w:bottom w:val="none" w:sz="0" w:space="0" w:color="auto"/>
        <w:right w:val="none" w:sz="0" w:space="0" w:color="auto"/>
      </w:divBdr>
    </w:div>
    <w:div w:id="1931547934">
      <w:bodyDiv w:val="1"/>
      <w:marLeft w:val="0"/>
      <w:marRight w:val="0"/>
      <w:marTop w:val="0"/>
      <w:marBottom w:val="0"/>
      <w:divBdr>
        <w:top w:val="none" w:sz="0" w:space="0" w:color="auto"/>
        <w:left w:val="none" w:sz="0" w:space="0" w:color="auto"/>
        <w:bottom w:val="none" w:sz="0" w:space="0" w:color="auto"/>
        <w:right w:val="none" w:sz="0" w:space="0" w:color="auto"/>
      </w:divBdr>
    </w:div>
    <w:div w:id="1955405365">
      <w:bodyDiv w:val="1"/>
      <w:marLeft w:val="0"/>
      <w:marRight w:val="0"/>
      <w:marTop w:val="0"/>
      <w:marBottom w:val="0"/>
      <w:divBdr>
        <w:top w:val="none" w:sz="0" w:space="0" w:color="auto"/>
        <w:left w:val="none" w:sz="0" w:space="0" w:color="auto"/>
        <w:bottom w:val="none" w:sz="0" w:space="0" w:color="auto"/>
        <w:right w:val="none" w:sz="0" w:space="0" w:color="auto"/>
      </w:divBdr>
    </w:div>
    <w:div w:id="1971594185">
      <w:bodyDiv w:val="1"/>
      <w:marLeft w:val="0"/>
      <w:marRight w:val="0"/>
      <w:marTop w:val="0"/>
      <w:marBottom w:val="0"/>
      <w:divBdr>
        <w:top w:val="none" w:sz="0" w:space="0" w:color="auto"/>
        <w:left w:val="none" w:sz="0" w:space="0" w:color="auto"/>
        <w:bottom w:val="none" w:sz="0" w:space="0" w:color="auto"/>
        <w:right w:val="none" w:sz="0" w:space="0" w:color="auto"/>
      </w:divBdr>
    </w:div>
    <w:div w:id="1988973718">
      <w:bodyDiv w:val="1"/>
      <w:marLeft w:val="0"/>
      <w:marRight w:val="0"/>
      <w:marTop w:val="0"/>
      <w:marBottom w:val="0"/>
      <w:divBdr>
        <w:top w:val="none" w:sz="0" w:space="0" w:color="auto"/>
        <w:left w:val="none" w:sz="0" w:space="0" w:color="auto"/>
        <w:bottom w:val="none" w:sz="0" w:space="0" w:color="auto"/>
        <w:right w:val="none" w:sz="0" w:space="0" w:color="auto"/>
      </w:divBdr>
    </w:div>
    <w:div w:id="2037729778">
      <w:bodyDiv w:val="1"/>
      <w:marLeft w:val="0"/>
      <w:marRight w:val="0"/>
      <w:marTop w:val="0"/>
      <w:marBottom w:val="0"/>
      <w:divBdr>
        <w:top w:val="none" w:sz="0" w:space="0" w:color="auto"/>
        <w:left w:val="none" w:sz="0" w:space="0" w:color="auto"/>
        <w:bottom w:val="none" w:sz="0" w:space="0" w:color="auto"/>
        <w:right w:val="none" w:sz="0" w:space="0" w:color="auto"/>
      </w:divBdr>
    </w:div>
    <w:div w:id="2056394432">
      <w:bodyDiv w:val="1"/>
      <w:marLeft w:val="0"/>
      <w:marRight w:val="0"/>
      <w:marTop w:val="0"/>
      <w:marBottom w:val="0"/>
      <w:divBdr>
        <w:top w:val="none" w:sz="0" w:space="0" w:color="auto"/>
        <w:left w:val="none" w:sz="0" w:space="0" w:color="auto"/>
        <w:bottom w:val="none" w:sz="0" w:space="0" w:color="auto"/>
        <w:right w:val="none" w:sz="0" w:space="0" w:color="auto"/>
      </w:divBdr>
    </w:div>
    <w:div w:id="2060477101">
      <w:bodyDiv w:val="1"/>
      <w:marLeft w:val="0"/>
      <w:marRight w:val="0"/>
      <w:marTop w:val="0"/>
      <w:marBottom w:val="0"/>
      <w:divBdr>
        <w:top w:val="none" w:sz="0" w:space="0" w:color="auto"/>
        <w:left w:val="none" w:sz="0" w:space="0" w:color="auto"/>
        <w:bottom w:val="none" w:sz="0" w:space="0" w:color="auto"/>
        <w:right w:val="none" w:sz="0" w:space="0" w:color="auto"/>
      </w:divBdr>
    </w:div>
    <w:div w:id="2111126134">
      <w:bodyDiv w:val="1"/>
      <w:marLeft w:val="0"/>
      <w:marRight w:val="0"/>
      <w:marTop w:val="0"/>
      <w:marBottom w:val="0"/>
      <w:divBdr>
        <w:top w:val="none" w:sz="0" w:space="0" w:color="auto"/>
        <w:left w:val="none" w:sz="0" w:space="0" w:color="auto"/>
        <w:bottom w:val="none" w:sz="0" w:space="0" w:color="auto"/>
        <w:right w:val="none" w:sz="0" w:space="0" w:color="auto"/>
      </w:divBdr>
    </w:div>
    <w:div w:id="2122991233">
      <w:bodyDiv w:val="1"/>
      <w:marLeft w:val="0"/>
      <w:marRight w:val="0"/>
      <w:marTop w:val="0"/>
      <w:marBottom w:val="0"/>
      <w:divBdr>
        <w:top w:val="none" w:sz="0" w:space="0" w:color="auto"/>
        <w:left w:val="none" w:sz="0" w:space="0" w:color="auto"/>
        <w:bottom w:val="none" w:sz="0" w:space="0" w:color="auto"/>
        <w:right w:val="none" w:sz="0" w:space="0" w:color="auto"/>
      </w:divBdr>
    </w:div>
    <w:div w:id="2136173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iea.org/reports/gas-market-report-q1-2025" TargetMode="External"/><Relationship Id="rId3" Type="http://schemas.openxmlformats.org/officeDocument/2006/relationships/hyperlink" Target="https://ec.europa.eu/commission/presscorner/detail/fr/ip_25_585" TargetMode="External"/><Relationship Id="rId7" Type="http://schemas.openxmlformats.org/officeDocument/2006/relationships/hyperlink" Target="https://www.iea.org/reports/world-energy-outlook-2024" TargetMode="External"/><Relationship Id="rId2" Type="http://schemas.openxmlformats.org/officeDocument/2006/relationships/hyperlink" Target="https://ec.europa.eu/eurostat/statistics-explained/index.php?title=Natural_gas_supply_statistics" TargetMode="External"/><Relationship Id="rId1" Type="http://schemas.openxmlformats.org/officeDocument/2006/relationships/hyperlink" Target="https://eur-lex.europa.eu/legal-content/FR/TXT/?uri=COM%3A2022%3A230%3AFIN" TargetMode="External"/><Relationship Id="rId6" Type="http://schemas.openxmlformats.org/officeDocument/2006/relationships/hyperlink" Target="http://www.enagas.es" TargetMode="External"/><Relationship Id="rId11" Type="http://schemas.openxmlformats.org/officeDocument/2006/relationships/hyperlink" Target="https://energy.ec.europa.eu/topics/international-cooperation/international-organisations-and-initiatives/energy-community_en" TargetMode="External"/><Relationship Id="rId5" Type="http://schemas.openxmlformats.org/officeDocument/2006/relationships/hyperlink" Target="https://eur-lex.europa.eu/legal-content/FR/TXT/?uri=CELEX%3A02013R0952-20221212" TargetMode="External"/><Relationship Id="rId10" Type="http://schemas.openxmlformats.org/officeDocument/2006/relationships/hyperlink" Target="https://energy.ec.europa.eu/topics/energy-security/eu-energy-platform/aggregateeu_en" TargetMode="External"/><Relationship Id="rId4" Type="http://schemas.openxmlformats.org/officeDocument/2006/relationships/hyperlink" Target="https://www.consilium.europa.eu/fr/policies/sanctions-against-russia/timeline-sanctions-against-russia/" TargetMode="External"/><Relationship Id="rId9" Type="http://schemas.openxmlformats.org/officeDocument/2006/relationships/hyperlink" Target="https://commission.europa.eu/strategy-and-policy/priorities-2019-2024/stronger-europe-world/global-gateway_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a9637e9-1c11-4ee9-91b8-f060e3608fb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4af8c89d-4332-4d32-84a3-abf4120a8008" xsi:nil="true"/>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97B7BFF882854783B2AFEB81A9CCE9" ma:contentTypeVersion="13" ma:contentTypeDescription="Create a new document." ma:contentTypeScope="" ma:versionID="00388482bb9e78f7ca6aa8243b455eda">
  <xs:schema xmlns:xsd="http://www.w3.org/2001/XMLSchema" xmlns:xs="http://www.w3.org/2001/XMLSchema" xmlns:p="http://schemas.microsoft.com/office/2006/metadata/properties" xmlns:ns2="9a9637e9-1c11-4ee9-91b8-f060e3608fb2" xmlns:ns3="4af8c89d-4332-4d32-84a3-abf4120a8008" targetNamespace="http://schemas.microsoft.com/office/2006/metadata/properties" ma:root="true" ma:fieldsID="de69d08298043c819539078c7c41dc4b" ns2:_="" ns3:_="">
    <xs:import namespace="9a9637e9-1c11-4ee9-91b8-f060e3608fb2"/>
    <xs:import namespace="4af8c89d-4332-4d32-84a3-abf4120a8008"/>
    <xs:element name="properties">
      <xs:complexType>
        <xs:sequence>
          <xs:element name="documentManagement">
            <xs:complexType>
              <xs:all>
                <xs:element ref="ns2:MediaServiceMetadata" minOccurs="0"/>
                <xs:element ref="ns2:MediaServiceFastMetadata" minOccurs="0"/>
                <xs:element ref="ns3:SharedWithUsers" minOccurs="0"/>
                <xs:element ref="ns3:SharedWithDetails" minOccurs="0"/>
                <xs:element ref="ns2:MediaServiceObjectDetectorVersions" minOccurs="0"/>
                <xs:element ref="ns2:MediaServiceSearchProperties" minOccurs="0"/>
                <xs:element ref="ns2:lcf76f155ced4ddcb4097134ff3c332f" minOccurs="0"/>
                <xs:element ref="ns3:TaxCatchAll" minOccurs="0"/>
                <xs:element ref="ns2:MediaServiceDateTaken" minOccurs="0"/>
                <xs:element ref="ns2:MediaServiceOCR" minOccurs="0"/>
                <xs:element ref="ns2:MediaServiceGenerationTime" minOccurs="0"/>
                <xs:element ref="ns2:MediaServiceEventHashCode" minOccurs="0"/>
              </xs:all>
            </xs:complexType>
          </xs:element>
        </xs:sequence>
      </xs:complexType>
    </xs:element>
  </xs:schema>
  <xs:schema xmlns:xsd="http://www.w3.org/2001/XMLSchema" xmlns:xs="http://www.w3.org/2001/XMLSchema" xmlns:dms="http://schemas.microsoft.com/office/2006/documentManagement/types" xmlns:pc="http://schemas.microsoft.com/office/infopath/2007/PartnerControls" targetNamespace="9a9637e9-1c11-4ee9-91b8-f060e3608fb2" elementFormDefault="qualified">
    <xs:import namespace="http://schemas.microsoft.com/office/2006/documentManagement/types"/>
    <xs:import namespace="http://schemas.microsoft.com/office/infopath/2007/PartnerControls"/>
    <xs:element name="MediaServiceMetadata" ma:index="8" nillable="true" ma:displayName="MediaServiceMetadata" ma:hidden="true" ma:internalName="MediaServiceMetadata" ma:readOnly="true">
      <xs:simpleType>
        <xs:restriction base="dms:Note"/>
      </xs:simpleType>
    </xs:element>
    <xs:element name="MediaServiceFastMetadata" ma:index="9" nillable="true" ma:displayName="MediaServiceFastMetadata" ma:hidden="true" ma:internalName="MediaServiceFastMetadata" ma:readOnly="true">
      <xs:simpleType>
        <xs:restriction base="dms:Note"/>
      </xs:simpleType>
    </xs:element>
    <xs:element name="MediaServiceObjectDetectorVersions" ma:index="12" nillable="true" ma:displayName="MediaServiceObjectDetectorVersions" ma:hidden="true" ma:indexed="true" ma:internalName="MediaServiceObjectDetectorVersions" ma:readOnly="true">
      <xs:simpleType>
        <xs:restriction base="dms:Text"/>
      </xs:simpleType>
    </xs:element>
    <xs:element name="MediaServiceSearchProperties" ma:index="13" nillable="true" ma:displayName="MediaServiceSearchProperties" ma:hidden="true" ma:internalName="MediaServiceSearchProperties" ma:readOnly="true">
      <xs:simpleType>
        <xs:restriction base="dms:Note"/>
      </xs:simpleType>
    </xs:element>
    <xs: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complexType>
        <xs:sequence>
          <xs:element ref="pc:Terms" minOccurs="0" maxOccurs="1"/>
        </xs:sequence>
      </xs:complexType>
    </xs:element>
    <xs:element name="MediaServiceDateTaken" ma:index="17" nillable="true" ma:displayName="MediaServiceDateTaken" ma:hidden="true" ma:indexed="true" ma:internalName="MediaServiceDateTaken" ma:readOnly="true">
      <xs:simpleType>
        <xs:restriction base="dms:Text"/>
      </xs:simpleType>
    </xs:element>
    <xs:element name="MediaServiceOCR" ma:index="18" nillable="true" ma:displayName="Extracted Text" ma:internalName="MediaServiceOCR" ma:readOnly="true">
      <xs:simpleType>
        <xs:restriction base="dms:Note">
          <xs:maxLength value="255"/>
        </xs:restriction>
      </xs:simpleType>
    </xs:element>
    <xs:element name="MediaServiceGenerationTime" ma:index="19" nillable="true" ma:displayName="MediaServiceGenerationTime" ma:hidden="true" ma:internalName="MediaServiceGenerationTime" ma:readOnly="true">
      <xs:simpleType>
        <xs:restriction base="dms:Text"/>
      </xs:simpleType>
    </xs:element>
    <xs:element name="MediaServiceEventHashCode" ma:index="20" nillable="true" ma:displayName="MediaServiceEventHashCode" ma:hidden="true" ma:internalName="MediaServiceEventHashCode" ma:readOnly="true">
      <xs:simpleType>
        <xs:restriction base="dms:Text"/>
      </xs:simpleType>
    </xs:element>
  </xs:schema>
  <xs:schema xmlns:xsd="http://www.w3.org/2001/XMLSchema" xmlns:xs="http://www.w3.org/2001/XMLSchema" xmlns:dms="http://schemas.microsoft.com/office/2006/documentManagement/types" xmlns:pc="http://schemas.microsoft.com/office/infopath/2007/PartnerControls" targetNamespace="4af8c89d-4332-4d32-84a3-abf4120a8008" elementFormDefault="qualified">
    <xs:import namespace="http://schemas.microsoft.com/office/2006/documentManagement/types"/>
    <xs:import namespace="http://schemas.microsoft.com/office/infopath/2007/PartnerControls"/>
    <xs:element name="SharedWithUsers" ma:index="10" nillable="true" ma:displayName="Shared With" ma:internalName="SharedWithUsers" ma:readOnly="true">
      <xs:complexType>
        <xs:complexContent>
          <xs:extension base="dms:UserMulti">
            <xs:sequence>
              <xs:element name="UserInfo" minOccurs="0" maxOccurs="unbounded">
                <xs:complexType>
                  <xs:sequence>
                    <xs:element name="DisplayName" type="xsd:string" minOccurs="0"/>
                    <xs:element name="AccountId" type="dms:UserId" minOccurs="0" nillable="true"/>
                    <xs:element name="AccountType" type="xsd:string" minOccurs="0"/>
                  </xs:sequence>
                </xs:complexType>
              </xs:element>
            </xs:sequence>
          </xs:extension>
        </xs:complexContent>
      </xs:complexType>
    </xs:element>
    <xs:element name="SharedWithDetails" ma:index="11" nillable="true" ma:displayName="Shared With Details" ma:internalName="SharedWithDetails" ma:readOnly="true">
      <xs:simpleType>
        <xs:restriction base="dms:Note">
          <xs:maxLength value="255"/>
        </xs:restriction>
      </xs:simpleType>
    </xs:element>
    <xs:element name="TaxCatchAll" ma:index="16" nillable="true" ma:displayName="Taxonomy Catch All Column" ma:hidden="true" ma:list="{1c834a39-b620-49ce-91ae-51588a323e85}" ma:internalName="TaxCatchAll" ma:showField="CatchAllData" ma:web="4af8c89d-4332-4d32-84a3-abf4120a8008">
      <xs:complexType>
        <xs:complexContent>
          <xs:extension base="dms:MultiChoiceLookup">
            <xs:sequence>
              <xs:element name="Value" type="dms:Lookup" maxOccurs="unbounded" minOccurs="0" nillable="true"/>
            </xs:sequence>
          </xs:extension>
        </xs:complexContent>
      </xs:complexType>
    </xs:element>
  </xs: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03EE7E-AFC1-42CC-883A-ED0B0387E4ED}">
  <ds:schemaRefs>
    <ds:schemaRef ds:uri="9a9637e9-1c11-4ee9-91b8-f060e3608fb2"/>
    <ds:schemaRef ds:uri="http://purl.org/dc/terms/"/>
    <ds:schemaRef ds:uri="http://schemas.microsoft.com/office/2006/documentManagement/types"/>
    <ds:schemaRef ds:uri="http://www.w3.org/XML/1998/namespace"/>
    <ds:schemaRef ds:uri="http://purl.org/dc/elements/1.1/"/>
    <ds:schemaRef ds:uri="http://purl.org/dc/dcmitype/"/>
    <ds:schemaRef ds:uri="http://schemas.openxmlformats.org/package/2006/metadata/core-properties"/>
    <ds:schemaRef ds:uri="4af8c89d-4332-4d32-84a3-abf4120a8008"/>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F636B1F6-F1DB-48F8-8251-EA79D9669B25}">
  <ds:schemaRefs>
    <ds:schemaRef ds:uri="http://schemas.microsoft.com/sharepoint/v3/contenttype/forms"/>
  </ds:schemaRefs>
</ds:datastoreItem>
</file>

<file path=customXml/itemProps3.xml><?xml version="1.0" encoding="utf-8"?>
<ds:datastoreItem xmlns:ds="http://schemas.openxmlformats.org/officeDocument/2006/customXml" ds:itemID="{75ADF85B-48DC-4769-8734-E40C4BF3C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637e9-1c11-4ee9-91b8-f060e3608fb2"/>
    <ds:schemaRef ds:uri="4af8c89d-4332-4d32-84a3-abf4120a80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935BF8-19FB-46A9-A00F-C728103A8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6836</Words>
  <Characters>38968</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45713</CharactersWithSpaces>
  <SharedDoc>false</SharedDoc>
  <HLinks>
    <vt:vector size="66" baseType="variant">
      <vt:variant>
        <vt:i4>7798790</vt:i4>
      </vt:variant>
      <vt:variant>
        <vt:i4>30</vt:i4>
      </vt:variant>
      <vt:variant>
        <vt:i4>0</vt:i4>
      </vt:variant>
      <vt:variant>
        <vt:i4>5</vt:i4>
      </vt:variant>
      <vt:variant>
        <vt:lpwstr>https://energy.ec.europa.eu/topics/international-cooperation/international-organisations-and-initiatives/energy-community_en</vt:lpwstr>
      </vt:variant>
      <vt:variant>
        <vt:lpwstr/>
      </vt:variant>
      <vt:variant>
        <vt:i4>6553616</vt:i4>
      </vt:variant>
      <vt:variant>
        <vt:i4>27</vt:i4>
      </vt:variant>
      <vt:variant>
        <vt:i4>0</vt:i4>
      </vt:variant>
      <vt:variant>
        <vt:i4>5</vt:i4>
      </vt:variant>
      <vt:variant>
        <vt:lpwstr>https://energy.ec.europa.eu/topics/energy-security/eu-energy-platform/aggregateeu_en</vt:lpwstr>
      </vt:variant>
      <vt:variant>
        <vt:lpwstr/>
      </vt:variant>
      <vt:variant>
        <vt:i4>5963899</vt:i4>
      </vt:variant>
      <vt:variant>
        <vt:i4>24</vt:i4>
      </vt:variant>
      <vt:variant>
        <vt:i4>0</vt:i4>
      </vt:variant>
      <vt:variant>
        <vt:i4>5</vt:i4>
      </vt:variant>
      <vt:variant>
        <vt:lpwstr>https://commission.europa.eu/strategy-and-policy/priorities-2019-2024/stronger-europe-world/global-gateway_en</vt:lpwstr>
      </vt:variant>
      <vt:variant>
        <vt:lpwstr/>
      </vt:variant>
      <vt:variant>
        <vt:i4>5308434</vt:i4>
      </vt:variant>
      <vt:variant>
        <vt:i4>21</vt:i4>
      </vt:variant>
      <vt:variant>
        <vt:i4>0</vt:i4>
      </vt:variant>
      <vt:variant>
        <vt:i4>5</vt:i4>
      </vt:variant>
      <vt:variant>
        <vt:lpwstr>https://www.iea.org/reports/gas-market-report-q1-2025</vt:lpwstr>
      </vt:variant>
      <vt:variant>
        <vt:lpwstr/>
      </vt:variant>
      <vt:variant>
        <vt:i4>5963779</vt:i4>
      </vt:variant>
      <vt:variant>
        <vt:i4>18</vt:i4>
      </vt:variant>
      <vt:variant>
        <vt:i4>0</vt:i4>
      </vt:variant>
      <vt:variant>
        <vt:i4>5</vt:i4>
      </vt:variant>
      <vt:variant>
        <vt:lpwstr>https://www.iea.org/reports/world-energy-outlook-2024</vt:lpwstr>
      </vt:variant>
      <vt:variant>
        <vt:lpwstr/>
      </vt:variant>
      <vt:variant>
        <vt:i4>1245263</vt:i4>
      </vt:variant>
      <vt:variant>
        <vt:i4>15</vt:i4>
      </vt:variant>
      <vt:variant>
        <vt:i4>0</vt:i4>
      </vt:variant>
      <vt:variant>
        <vt:i4>5</vt:i4>
      </vt:variant>
      <vt:variant>
        <vt:lpwstr>http://www.enagas.es/</vt:lpwstr>
      </vt:variant>
      <vt:variant>
        <vt:lpwstr/>
      </vt:variant>
      <vt:variant>
        <vt:i4>6291562</vt:i4>
      </vt:variant>
      <vt:variant>
        <vt:i4>12</vt:i4>
      </vt:variant>
      <vt:variant>
        <vt:i4>0</vt:i4>
      </vt:variant>
      <vt:variant>
        <vt:i4>5</vt:i4>
      </vt:variant>
      <vt:variant>
        <vt:lpwstr>https://eur-lex.europa.eu/legal-content/EN/TXT/?uri=CELEX%3A02013R0952-20221212</vt:lpwstr>
      </vt:variant>
      <vt:variant>
        <vt:lpwstr/>
      </vt:variant>
      <vt:variant>
        <vt:i4>4128869</vt:i4>
      </vt:variant>
      <vt:variant>
        <vt:i4>9</vt:i4>
      </vt:variant>
      <vt:variant>
        <vt:i4>0</vt:i4>
      </vt:variant>
      <vt:variant>
        <vt:i4>5</vt:i4>
      </vt:variant>
      <vt:variant>
        <vt:lpwstr>https://www.consilium.europa.eu/en/policies/sanctions-against-russia/timeline-sanctions-against-russia/</vt:lpwstr>
      </vt:variant>
      <vt:variant>
        <vt:lpwstr/>
      </vt:variant>
      <vt:variant>
        <vt:i4>4653130</vt:i4>
      </vt:variant>
      <vt:variant>
        <vt:i4>6</vt:i4>
      </vt:variant>
      <vt:variant>
        <vt:i4>0</vt:i4>
      </vt:variant>
      <vt:variant>
        <vt:i4>5</vt:i4>
      </vt:variant>
      <vt:variant>
        <vt:lpwstr>https://ec.europa.eu/commission/presscorner/detail/es/ip_25_585</vt:lpwstr>
      </vt:variant>
      <vt:variant>
        <vt:lpwstr/>
      </vt:variant>
      <vt:variant>
        <vt:i4>2752536</vt:i4>
      </vt:variant>
      <vt:variant>
        <vt:i4>3</vt:i4>
      </vt:variant>
      <vt:variant>
        <vt:i4>0</vt:i4>
      </vt:variant>
      <vt:variant>
        <vt:i4>5</vt:i4>
      </vt:variant>
      <vt:variant>
        <vt:lpwstr>https://ec.europa.eu/eurostat/statistics-explained/index.php?title=Natural_gas_supply_statistics</vt:lpwstr>
      </vt:variant>
      <vt:variant>
        <vt:lpwstr/>
      </vt:variant>
      <vt:variant>
        <vt:i4>8192098</vt:i4>
      </vt:variant>
      <vt:variant>
        <vt:i4>0</vt:i4>
      </vt:variant>
      <vt:variant>
        <vt:i4>0</vt:i4>
      </vt:variant>
      <vt:variant>
        <vt:i4>5</vt:i4>
      </vt:variant>
      <vt:variant>
        <vt:lpwstr>https://eur-lex.europa.eu/legal-content/EN/TXT/?uri=COM%3A2022%3A230%3AFIN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2025-05-12T13:37:00Z</dcterms:created>
  <dcterms:modified xsi:type="dcterms:W3CDTF">2025-05-29T06:55:00Z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Export_To">
    <vt:lpwstr>SECEM</vt:lpwstr>
  </property>
  <property fmtid="{D5CDD505-2E9C-101B-9397-08002B2CF9AE}" pid="3" name="EurolookExport_Date">
    <vt:lpwstr>2025-04-29T16:17:34.2102231Z</vt:lpwstr>
  </property>
  <property fmtid="{D5CDD505-2E9C-101B-9397-08002B2CF9AE}" pid="4" name="EurolookExport_RemovedLabel">
    <vt:lpwstr>Commission Use</vt:lpwstr>
  </property>
  <property fmtid="{D5CDD505-2E9C-101B-9397-08002B2CF9AE}" pid="5" name="ContentTypeId">
    <vt:lpwstr>0x0101007697B7BFF882854783B2AFEB81A9CCE9</vt:lpwstr>
  </property>
  <property fmtid="{D5CDD505-2E9C-101B-9397-08002B2CF9AE}" pid="6" name="Level of sensitivity">
    <vt:lpwstr>Standard treatment</vt:lpwstr>
  </property>
  <property fmtid="{D5CDD505-2E9C-101B-9397-08002B2CF9AE}" pid="7" name="DocStatus">
    <vt:lpwstr>Green</vt:lpwstr>
  </property>
  <property fmtid="{D5CDD505-2E9C-101B-9397-08002B2CF9AE}" pid="8" name="Last edited using">
    <vt:lpwstr>LW 9.1, Build 20240808</vt:lpwstr>
  </property>
  <property fmtid="{D5CDD505-2E9C-101B-9397-08002B2CF9AE}" pid="9" name="MediaServiceImageTags">
    <vt:lpwstr/>
  </property>
  <property fmtid="{D5CDD505-2E9C-101B-9397-08002B2CF9AE}" pid="10" name="MSIP_Label_6bd9ddd1-4d20-43f6-abfa-fc3c07406f94_Enabled">
    <vt:lpwstr>true</vt:lpwstr>
  </property>
  <property fmtid="{D5CDD505-2E9C-101B-9397-08002B2CF9AE}" pid="11" name="MSIP_Label_6bd9ddd1-4d20-43f6-abfa-fc3c07406f94_SetDate">
    <vt:lpwstr>2025-04-30T20:11:36Z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9607cc03-d843-420d-9a58-10078629133a</vt:lpwstr>
  </property>
  <property fmtid="{D5CDD505-2E9C-101B-9397-08002B2CF9AE}" pid="16" name="MSIP_Label_6bd9ddd1-4d20-43f6-abfa-fc3c07406f94_ContentBits">
    <vt:lpwstr>0</vt:lpwstr>
  </property>
  <property fmtid="{D5CDD505-2E9C-101B-9397-08002B2CF9AE}" pid="17" name="Part">
    <vt:lpwstr>1</vt:lpwstr>
  </property>
  <property fmtid="{D5CDD505-2E9C-101B-9397-08002B2CF9AE}" pid="18" name="Total parts">
    <vt:lpwstr>1</vt:lpwstr>
  </property>
  <property fmtid="{D5CDD505-2E9C-101B-9397-08002B2CF9AE}" pid="19" name="CPTemplateID">
    <vt:lpwstr>CP-014</vt:lpwstr>
  </property>
</Properties>
</file>