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65F44" w14:textId="509BF8BD" w:rsidR="00FA3320" w:rsidRPr="00FA3320" w:rsidRDefault="001B31D9" w:rsidP="001B31D9">
      <w:pPr>
        <w:pStyle w:val="Pagedecouverture"/>
        <w:rPr>
          <w:rStyle w:val="normaltextrun"/>
          <w:b/>
          <w:bCs/>
          <w:noProof/>
          <w:kern w:val="2"/>
          <w14:ligatures w14:val="standardContextual"/>
        </w:rPr>
      </w:pPr>
      <w:bookmarkStart w:id="0" w:name="LW_BM_COVERPAGE"/>
      <w:r>
        <w:rPr>
          <w:rStyle w:val="normaltextrun"/>
          <w:b/>
          <w:bCs/>
          <w:noProof/>
          <w:kern w:val="2"/>
          <w14:ligatures w14:val="standardContextual"/>
        </w:rPr>
        <w:pict w14:anchorId="4D2FA7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FEC599-BD53-49C3-A855-28C92601D1EA" style="width:455.25pt;height:351.75pt">
            <v:imagedata r:id="rId11" o:title=""/>
          </v:shape>
        </w:pict>
      </w:r>
    </w:p>
    <w:bookmarkEnd w:id="0"/>
    <w:p w14:paraId="3F2C8D4F" w14:textId="77777777" w:rsidR="00A30CE9" w:rsidRDefault="00A30CE9" w:rsidP="00A30CE9">
      <w:pPr>
        <w:rPr>
          <w:rStyle w:val="normaltextrun"/>
          <w:b/>
          <w:bCs/>
          <w:noProof/>
          <w:lang w:val="en-US"/>
        </w:rPr>
        <w:sectPr w:rsidR="00A30CE9" w:rsidSect="001B31D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F291546" w14:textId="0D9A2529" w:rsidR="00CE60AE" w:rsidRPr="00FA3320" w:rsidRDefault="00780170" w:rsidP="00227512">
      <w:pPr>
        <w:pStyle w:val="paragraph"/>
        <w:keepNext/>
        <w:numPr>
          <w:ilvl w:val="0"/>
          <w:numId w:val="41"/>
        </w:numPr>
        <w:spacing w:before="0" w:beforeAutospacing="0" w:after="120" w:afterAutospacing="0"/>
        <w:ind w:left="714" w:hanging="357"/>
        <w:jc w:val="both"/>
        <w:textAlignment w:val="baseline"/>
        <w:rPr>
          <w:noProof/>
        </w:rPr>
      </w:pPr>
      <w:bookmarkStart w:id="1" w:name="_GoBack"/>
      <w:bookmarkEnd w:id="1"/>
      <w:r>
        <w:rPr>
          <w:rStyle w:val="normaltextrun"/>
          <w:b/>
          <w:noProof/>
        </w:rPr>
        <w:lastRenderedPageBreak/>
        <w:t xml:space="preserve">INTRODUCERE: BUGETUL UE ÎN CENTRUL PRIORITĂȚILOR POLITICE ALE UE </w:t>
      </w:r>
    </w:p>
    <w:p w14:paraId="6BC1A838" w14:textId="2161A8D5" w:rsidR="001A3B6A" w:rsidRPr="00FA3320" w:rsidRDefault="00214258"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Bugetul UE se află în centrul acțiunii politice a Uniunii. </w:t>
      </w:r>
      <w:r>
        <w:rPr>
          <w:rFonts w:ascii="Times New Roman" w:hAnsi="Times New Roman"/>
          <w:noProof/>
          <w:sz w:val="24"/>
        </w:rPr>
        <w:t>Timp de decenii, bugetul UE a contribuit la îmbunătățirea calității vieții și a mijloacelor de subzistență ale cetățenilor, fermierilor, cercetătorilor, întreprinderilor și regiunilor din întreaga Europă și din afara acesteia. Bugetul UE și-a demonstrat adevărata valoare prin contribuția sa la depășirea unei pandemii și a unei crize energetice, prin salvarea a milioane de locuri de muncă în timpul restricțiilor de deplasare a persoanelor și prin investițiile realizate în viitorul nostru curat și digital. Privind retrospectiv, atunci când s-a confruntat cu una dintre cele mai semnificative crize din ultimii ani – pandemia de COVID-19 și consecințele acesteia – UE a răspuns prin elaborarea instrumentului NextGenerationEU și a cadrului financiar multianual 2021-2027. Acest lucru a pregătit terenul pentru o redresare economică rapidă, contribuind totodată la o Europă mai verde, mai digitală și mai adaptată exigențelor viitorului. Întrucât războiul de agresiune al Rusiei la frontierele europene a impus acțiuni rapide, bugetul UE și-a dovedit și mai mult eficacitatea pentru a sprijini Ucraina și a aborda creșterea costurilor energiei.</w:t>
      </w:r>
    </w:p>
    <w:p w14:paraId="310442AC" w14:textId="2EA37B24" w:rsidR="0052675C" w:rsidRPr="00FA3320" w:rsidRDefault="00A3103E"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Amploarea provocărilor cu care s-a confruntat UE în ultimii ani a necesitat un răspuns proporțional și comun din partea acesteia</w:t>
      </w:r>
      <w:r>
        <w:rPr>
          <w:rFonts w:ascii="Times New Roman" w:hAnsi="Times New Roman"/>
          <w:noProof/>
          <w:sz w:val="24"/>
        </w:rPr>
        <w:t xml:space="preserve">. Prioritățile politice emergente au fost sprijinite de fonduri considerabile, cheltuielile dedicate cercetării, migrației, apărării și acțiunii externe atingând cele mai ridicate niveluri în comparație cu bugetele multianuale anterioare. Pentru prima dată, s-a acordat finanțare la scară largă pentru reforme, în paralel cu investițiile, ceea ce a sporit și mai mult impactul NextGenerationEU. În mod similar, statul de drept a fost adus în prim-plan prin instituirea regimului general de condiționalitate care protejează fondurile UE împotriva încălcărilor principiilor statului de drept în statele membre. </w:t>
      </w:r>
    </w:p>
    <w:p w14:paraId="1358048E" w14:textId="648AD6E1" w:rsidR="00F72FAA" w:rsidRPr="00FA3320" w:rsidRDefault="003B14CE"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Totuși, creșterea nevoilor și a numărului de situații de urgență noi, precum și intensificarea apelurilor la acțiune la nivelul UE au atins limitele bugetului UE, fiind necesară o revizuire a acestuia la jumătatea perioadei în 2024. </w:t>
      </w:r>
      <w:r>
        <w:rPr>
          <w:rFonts w:ascii="Times New Roman" w:hAnsi="Times New Roman"/>
          <w:noProof/>
          <w:sz w:val="24"/>
        </w:rPr>
        <w:t xml:space="preserve">Un sprijin puternic și previzibil pentru Ucraina, consolidarea programelor de gestionare a migrației și a frontierelor, sprijinul pentru partenerii din vecinătatea UE și pentru țările implicate în procesul de aderare au reprezentat necesități geopolitice, iar tehnologiile critice au avut nevoie de un sprijin sporit. Volatilitatea ratelor dobânzilor și creșterea costurilor de finanțare au necesitat soluții ad-hoc și flexibilități sporite. Revizuirea pentru prima dată a plafoanelor de cheltuieli ale cadrului financiar multianual a fost însoțită de redistribuiri substanțiale și de crearea de noi instrumente speciale. </w:t>
      </w:r>
    </w:p>
    <w:p w14:paraId="020072BB" w14:textId="0CB1C641" w:rsidR="00A94D8E" w:rsidRPr="00FA3320" w:rsidRDefault="005C2FC1"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Așteptările tot mai mari în ceea ce privește acțiunea UE reflectă necesitatea regândirii bugetului Uniunii.</w:t>
      </w:r>
      <w:r>
        <w:rPr>
          <w:rFonts w:ascii="Times New Roman" w:hAnsi="Times New Roman"/>
          <w:noProof/>
          <w:sz w:val="24"/>
        </w:rPr>
        <w:t xml:space="preserve"> Obiectivul unei Europe libere, democratice, puternice, sigure, prospere și competitive, evidențiat în orientările politice ale noii Comisii și în Agenda strategică a Consiliului European pentru perioada 2024-2029, trebuie realizat într-un context geopolitic foarte dificil. Acest lucru va necesita un buget al UE reformat și consolidat. În plus, rambursarea împrumuturilor aferente NextGenerationEU, care a jucat un rol esențial pentru răspunsul bugetar unificat la criză, va începe în 2028. Această rambursare va spori nevoile financiare ale următorului cadru financiar. </w:t>
      </w:r>
    </w:p>
    <w:p w14:paraId="5D7634E6" w14:textId="73644BA5" w:rsidR="0045170F" w:rsidRPr="00FA3320" w:rsidRDefault="000744EF" w:rsidP="00780170">
      <w:p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Europa trebuie să rezolve această ecuație complexă: nu poate să existe un buget al UE care să fie adecvat pentru ambițiile noastre și care, în special, să asigure rambursarea NextGenerationEU și, în același timp, să se mențină neschimbate contribuțiile financiare naționale fără a introduce noi resurse proprii.  Trebuie făcute alegeri.</w:t>
      </w:r>
    </w:p>
    <w:p w14:paraId="45131FBC" w14:textId="76D0FFB5" w:rsidR="006F4EE9" w:rsidRPr="00FA3320" w:rsidRDefault="00632BEC" w:rsidP="00780170">
      <w:pPr>
        <w:spacing w:after="120" w:line="240" w:lineRule="auto"/>
        <w:jc w:val="both"/>
        <w:rPr>
          <w:rFonts w:ascii="Times New Roman" w:eastAsia="Times New Roman" w:hAnsi="Times New Roman" w:cs="Times New Roman"/>
          <w:b/>
          <w:bCs/>
          <w:noProof/>
          <w:sz w:val="24"/>
          <w:szCs w:val="24"/>
        </w:rPr>
      </w:pPr>
      <w:r>
        <w:rPr>
          <w:rFonts w:ascii="Times New Roman" w:hAnsi="Times New Roman"/>
          <w:noProof/>
          <w:sz w:val="24"/>
        </w:rPr>
        <w:t xml:space="preserve">Prezenta comunicare evidențiază unele dintre principalele provocări politice și bugetare pentru următorul cadru financiar, în vederea lansării </w:t>
      </w:r>
      <w:r>
        <w:rPr>
          <w:rFonts w:ascii="Times New Roman" w:hAnsi="Times New Roman"/>
          <w:b/>
          <w:noProof/>
          <w:sz w:val="24"/>
        </w:rPr>
        <w:t>unui dialog cuprinzător care să contribuie la pregătirea propunerii pentru următorul cadru financiar multianual</w:t>
      </w:r>
      <w:r>
        <w:rPr>
          <w:rFonts w:ascii="Times New Roman" w:hAnsi="Times New Roman"/>
          <w:noProof/>
          <w:sz w:val="24"/>
        </w:rPr>
        <w:t>.</w:t>
      </w:r>
    </w:p>
    <w:p w14:paraId="34EEA6FA" w14:textId="77777777" w:rsidR="00A720BD" w:rsidRDefault="00A720BD" w:rsidP="00A720BD">
      <w:pPr>
        <w:spacing w:after="120" w:line="240" w:lineRule="auto"/>
        <w:jc w:val="both"/>
        <w:rPr>
          <w:rFonts w:ascii="Times New Roman" w:hAnsi="Times New Roman" w:cs="Times New Roman"/>
          <w:b/>
          <w:noProof/>
          <w:sz w:val="24"/>
          <w:szCs w:val="24"/>
        </w:rPr>
      </w:pPr>
    </w:p>
    <w:p w14:paraId="4D634E6F" w14:textId="77777777" w:rsidR="00227512" w:rsidRPr="00FA3320" w:rsidRDefault="00227512" w:rsidP="00A720BD">
      <w:pPr>
        <w:spacing w:after="120" w:line="240" w:lineRule="auto"/>
        <w:jc w:val="both"/>
        <w:rPr>
          <w:rFonts w:ascii="Times New Roman" w:hAnsi="Times New Roman" w:cs="Times New Roman"/>
          <w:b/>
          <w:noProof/>
          <w:sz w:val="24"/>
          <w:szCs w:val="24"/>
        </w:rPr>
      </w:pPr>
    </w:p>
    <w:p w14:paraId="5DBD3D94" w14:textId="25DAFFE8" w:rsidR="00CE60AE" w:rsidRPr="00FA3320" w:rsidRDefault="4059CCCE" w:rsidP="00227512">
      <w:pPr>
        <w:pStyle w:val="paragraph"/>
        <w:keepNext/>
        <w:numPr>
          <w:ilvl w:val="0"/>
          <w:numId w:val="2"/>
        </w:numPr>
        <w:spacing w:before="0" w:beforeAutospacing="0" w:after="120" w:afterAutospacing="0"/>
        <w:ind w:left="714" w:hanging="357"/>
        <w:textAlignment w:val="baseline"/>
        <w:rPr>
          <w:rStyle w:val="eop"/>
          <w:noProof/>
        </w:rPr>
      </w:pPr>
      <w:r>
        <w:rPr>
          <w:rStyle w:val="eop"/>
          <w:noProof/>
        </w:rPr>
        <w:t xml:space="preserve"> </w:t>
      </w:r>
      <w:r>
        <w:rPr>
          <w:rStyle w:val="normaltextrun"/>
          <w:b/>
          <w:noProof/>
        </w:rPr>
        <w:t>PROVOCĂRI POLITICE</w:t>
      </w:r>
      <w:r>
        <w:rPr>
          <w:b/>
          <w:noProof/>
        </w:rPr>
        <w:t xml:space="preserve"> </w:t>
      </w:r>
      <w:r>
        <w:rPr>
          <w:rStyle w:val="eop"/>
          <w:b/>
          <w:noProof/>
        </w:rPr>
        <w:t>PENTRU URMĂTORUL CADRU FINANCIAR MULTIANUAL</w:t>
      </w:r>
    </w:p>
    <w:p w14:paraId="64518F59" w14:textId="17048CF8" w:rsidR="00F65D09" w:rsidRPr="00FA3320" w:rsidRDefault="22375153" w:rsidP="00780170">
      <w:pPr>
        <w:pStyle w:val="paragraph"/>
        <w:spacing w:before="0" w:beforeAutospacing="0" w:after="120" w:afterAutospacing="0"/>
        <w:jc w:val="both"/>
        <w:textAlignment w:val="baseline"/>
        <w:rPr>
          <w:rStyle w:val="eop"/>
          <w:noProof/>
          <w:color w:val="000000" w:themeColor="text1"/>
        </w:rPr>
      </w:pPr>
      <w:r>
        <w:rPr>
          <w:rStyle w:val="eop"/>
          <w:b/>
          <w:noProof/>
          <w:color w:val="000000" w:themeColor="text1"/>
        </w:rPr>
        <w:t xml:space="preserve">Viitorul buget al UE ar trebui să se concentreze asupra provocărilor comune în care cheltuielile la nivel european aduc cea mai mare valoare adăugată. </w:t>
      </w:r>
      <w:r>
        <w:rPr>
          <w:rStyle w:val="eop"/>
          <w:noProof/>
          <w:color w:val="000000" w:themeColor="text1"/>
        </w:rPr>
        <w:t xml:space="preserve">Un acord larg cu privire la „ce” trebuie să se finanțeze – și anume cu privire la nevoile de investiții pentru anii următori – este o condiție prealabilă fundamentală pentru a conveni asupra „modului” de finanțare a acestuia – prin mobilizarea investițiilor private, prin intermediul bugetelor naționale sau prin intermediul bugetului nostru comun al UE, precum și asupra instrumentelor care trebuie utilizate în bugetul UE. </w:t>
      </w:r>
    </w:p>
    <w:p w14:paraId="6F11B37C" w14:textId="44CA4D22" w:rsidR="00263DBA" w:rsidRPr="00FA3320" w:rsidRDefault="003D1743" w:rsidP="00780170">
      <w:pPr>
        <w:spacing w:after="120" w:line="24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b/>
          <w:noProof/>
          <w:sz w:val="24"/>
        </w:rPr>
        <w:t>Competitivitatea europeană</w:t>
      </w:r>
      <w:r>
        <w:rPr>
          <w:rFonts w:ascii="Times New Roman" w:hAnsi="Times New Roman"/>
          <w:noProof/>
          <w:sz w:val="24"/>
        </w:rPr>
        <w:t xml:space="preserve"> </w:t>
      </w:r>
      <w:r>
        <w:rPr>
          <w:rFonts w:ascii="Times New Roman" w:hAnsi="Times New Roman"/>
          <w:b/>
          <w:noProof/>
          <w:sz w:val="24"/>
        </w:rPr>
        <w:t xml:space="preserve">este afectată de barierele rămase în cadrul pieței unice, de concurența internațională neloială, de prețurile ridicate la energie, de deficitul de competențe și de forță de muncă și de dificultățile cu care se confruntă întreprinderile în ceea ce privește accesul la capitalul de care au nevoie. </w:t>
      </w:r>
      <w:r>
        <w:rPr>
          <w:rFonts w:ascii="Times New Roman" w:hAnsi="Times New Roman"/>
          <w:noProof/>
          <w:sz w:val="24"/>
        </w:rPr>
        <w:t>Economia europeană deține puncte forte importante – o economie deschisă, o concurență ridicată pe piață, un model puternic de bunăstare, cu niveluri scăzute de inegalitate și standarde ridicate în materie de guvernanță, sănătate, educație și protecție a mediului, precum și o bogăție culturală unică. Cu toate acestea, unele deficiențe devin evidente. Cheltuielile publice pentru cercetare și inovare în Europa sunt insuficiente – deoarece doar o zecime din acestea se realizează la nivel european și sunt răspândite în multe domenii – fiind insuficient concentrate pe inovația radicală</w:t>
      </w:r>
      <w:r>
        <w:rPr>
          <w:rStyle w:val="FootnoteReference"/>
          <w:rFonts w:ascii="Times New Roman" w:hAnsi="Times New Roman" w:cs="Times New Roman"/>
          <w:noProof/>
          <w:sz w:val="24"/>
          <w:szCs w:val="24"/>
        </w:rPr>
        <w:footnoteReference w:id="2"/>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În 2023, cheltuielile pentru cercetare și dezvoltare în UE s-au ridicat la 381 de miliarde EUR, adică 2,22 % din PIB-ul UE, situându-se sub obiectivul de 3 %</w:t>
      </w:r>
      <w:r>
        <w:rPr>
          <w:rStyle w:val="FootnoteReference"/>
          <w:rFonts w:ascii="Times New Roman" w:hAnsi="Times New Roman" w:cs="Times New Roman"/>
          <w:noProof/>
          <w:sz w:val="24"/>
          <w:szCs w:val="24"/>
        </w:rPr>
        <w:footnoteReference w:id="3"/>
      </w:r>
      <w:r>
        <w:rPr>
          <w:rFonts w:ascii="Times New Roman" w:hAnsi="Times New Roman"/>
          <w:noProof/>
          <w:sz w:val="24"/>
        </w:rPr>
        <w:t>. De asemenea, în 2021</w:t>
      </w:r>
      <w:r>
        <w:rPr>
          <w:rStyle w:val="FootnoteReference"/>
          <w:rFonts w:ascii="Times New Roman" w:hAnsi="Times New Roman" w:cs="Times New Roman"/>
          <w:bCs/>
          <w:noProof/>
          <w:sz w:val="24"/>
          <w:szCs w:val="24"/>
        </w:rPr>
        <w:footnoteReference w:id="4"/>
      </w:r>
      <w:r>
        <w:rPr>
          <w:rFonts w:ascii="Times New Roman" w:hAnsi="Times New Roman"/>
          <w:noProof/>
          <w:sz w:val="24"/>
        </w:rPr>
        <w:t>, întreprinderile din UE au cheltuit cu aproximativ 270 de miliarde EUR mai puțin pentru cercetare și dezvoltare decât întreprinderile omoloage din SUA. Structura industrială este statică: în ultimii cincizeci de ani nu a fost înființată în UE nicio întreprindere cu o capitalizare bursieră de peste 100 de miliarde EUR, în timp ce, în această perioadă, au fost create toate cele șase societăți americane cu o evaluare de peste o mie de miliarde EUR. Deficitul persistent în ceea ce privește finanțarea privată pentru investițiile care vizează faza avansată de creștere</w:t>
      </w:r>
      <w:r>
        <w:rPr>
          <w:rStyle w:val="FootnoteReference"/>
          <w:rFonts w:ascii="Times New Roman" w:hAnsi="Times New Roman" w:cs="Times New Roman"/>
          <w:bCs/>
          <w:noProof/>
          <w:sz w:val="24"/>
          <w:szCs w:val="24"/>
        </w:rPr>
        <w:footnoteReference w:id="5"/>
      </w:r>
      <w:r>
        <w:rPr>
          <w:rStyle w:val="FootnoteReference"/>
          <w:rFonts w:ascii="Times New Roman" w:hAnsi="Times New Roman" w:cs="Times New Roman"/>
          <w:noProof/>
          <w:sz w:val="24"/>
          <w:szCs w:val="24"/>
        </w:rPr>
        <w:t xml:space="preserve"> </w:t>
      </w:r>
      <w:r>
        <w:rPr>
          <w:rFonts w:ascii="Times New Roman" w:hAnsi="Times New Roman"/>
          <w:noProof/>
          <w:sz w:val="24"/>
        </w:rPr>
        <w:t xml:space="preserve"> afectează capacitatea întreprinderilor din UE de a se extinde. Europa suferă, de asemenea, în întreaga economie, din cauza lacunelor în materie de competențe, accentuate de scăderea forței de muncă</w:t>
      </w:r>
      <w:r>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xml:space="preserve">. În general, competitivitatea viitoare a Europei va depinde de capacitatea noastră de a demara o nouă eră a inventivității și a ingeniozității, plasând cercetarea și inovarea, știința și tehnologia în centrul economiei noastre. </w:t>
      </w:r>
    </w:p>
    <w:p w14:paraId="236376ED" w14:textId="4381F272" w:rsidR="004A6435" w:rsidRPr="00FA3320" w:rsidRDefault="003653A7" w:rsidP="00780170">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UE se confruntă cu amenințări tot mai mari la adresa securității în contextul tensiunilor geopolitice crescânde.</w:t>
      </w:r>
      <w:r>
        <w:rPr>
          <w:rFonts w:ascii="Times New Roman" w:hAnsi="Times New Roman"/>
          <w:noProof/>
          <w:color w:val="000000" w:themeColor="text1"/>
          <w:sz w:val="24"/>
        </w:rPr>
        <w:t xml:space="preserve"> Baza industrială și tehnologică de apărare europeană suferă de decenii din cauza investițiilor insuficiente: între 1999 și 2021, cheltuielile combinate ale UE pentru apărare au crescut cu 22 %, față de 66 % în SUA, 289 % în Rusia și 579 % în China</w:t>
      </w:r>
      <w:r>
        <w:rPr>
          <w:rStyle w:val="FootnoteReference"/>
          <w:rFonts w:ascii="Times New Roman" w:hAnsi="Times New Roman" w:cs="Times New Roman"/>
          <w:noProof/>
          <w:color w:val="000000" w:themeColor="text1"/>
          <w:sz w:val="24"/>
          <w:szCs w:val="24"/>
        </w:rPr>
        <w:footnoteReference w:id="7"/>
      </w:r>
      <w:r>
        <w:rPr>
          <w:rFonts w:ascii="Times New Roman" w:hAnsi="Times New Roman"/>
          <w:noProof/>
          <w:color w:val="000000" w:themeColor="text1"/>
          <w:sz w:val="24"/>
        </w:rPr>
        <w:t>. Statele membre care fac parte din NATO s-au angajat să cheltuiască cel puțin 2 % din PIB-ul lor pentru apărare, însă nu toate au atins acest obiectiv, în timp ce există reflecții cu privire la un obiectiv mai ambițios. Colaborarea este, de asemenea, limitată: statele membre sunt încă departe de a atinge criteriul de referință pe care și l-au stabilit în urmă cu peste 15 ani privind investirea în comun a 35 % din contribuția pentru apărare în proiecte europene de colaborare</w:t>
      </w:r>
      <w:r>
        <w:rPr>
          <w:rStyle w:val="FootnoteReference"/>
          <w:rFonts w:ascii="Times New Roman" w:hAnsi="Times New Roman" w:cs="Times New Roman"/>
          <w:noProof/>
          <w:color w:val="000000" w:themeColor="text1"/>
          <w:sz w:val="24"/>
          <w:szCs w:val="24"/>
        </w:rPr>
        <w:footnoteReference w:id="8"/>
      </w:r>
      <w:r>
        <w:rPr>
          <w:noProof/>
        </w:rPr>
        <w:t>.</w:t>
      </w:r>
      <w:r>
        <w:rPr>
          <w:rFonts w:ascii="Times New Roman" w:hAnsi="Times New Roman"/>
          <w:noProof/>
          <w:color w:val="000000" w:themeColor="text1"/>
          <w:sz w:val="24"/>
        </w:rPr>
        <w:t xml:space="preserve"> Fragmentarea de-a lungul frontierelor naționale, cu o cooperare limitată și suprapunerile aferente, afectează întreprinderile europene competitive din domeniul apărării și creează dependențe strategice. Este necesar să se consolideze pregătirea pentru apărare, inclusiv prin active spațiale, și mobilitatea militară atât pentru a descuraja agresiunile viitoare, cât și pentru a sprijini Ucraina în direcția păcii. Toate acestea necesită creșterea și optimizarea finanțării pentru apărare în întreaga UE. Ca parte a unei veritabile uniuni europene a apărării, statele membre ale UE vor trebui să cheltuiască mai mult, să cheltuiască mai bine și să cheltuiască împreună. În luna martie, Comisia urmează să prezinte Cartea albă privind viitorul apărării europene.</w:t>
      </w:r>
    </w:p>
    <w:p w14:paraId="6DB7051E" w14:textId="50EB04D2" w:rsidR="001C6EAB" w:rsidRPr="00FA3320" w:rsidRDefault="005E18D3" w:rsidP="0078017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sz w:val="24"/>
        </w:rPr>
        <w:t>Războiul, insecuritatea, sărăcia și lipsa de oportunități contribuie la strămutarea populației în interiorul statelor din vecinătatea sudică a UE și la migrația ilegală din aceste țări către Europa</w:t>
      </w:r>
      <w:r>
        <w:rPr>
          <w:rStyle w:val="FootnoteReference"/>
          <w:rFonts w:ascii="Times New Roman" w:eastAsia="Times New Roman" w:hAnsi="Times New Roman" w:cs="Times New Roman"/>
          <w:b/>
          <w:bCs/>
          <w:noProof/>
          <w:sz w:val="24"/>
          <w:szCs w:val="24"/>
          <w:lang w:val="en-GB"/>
        </w:rPr>
        <w:footnoteReference w:id="9"/>
      </w:r>
      <w:r>
        <w:rPr>
          <w:noProof/>
        </w:rPr>
        <w:t>.</w:t>
      </w:r>
      <w:r>
        <w:rPr>
          <w:rFonts w:ascii="Times New Roman" w:hAnsi="Times New Roman"/>
          <w:noProof/>
          <w:sz w:val="24"/>
        </w:rPr>
        <w:t xml:space="preserve"> </w:t>
      </w:r>
      <w:r>
        <w:rPr>
          <w:rStyle w:val="eop"/>
          <w:rFonts w:ascii="Times New Roman" w:hAnsi="Times New Roman"/>
          <w:noProof/>
          <w:color w:val="000000" w:themeColor="text1"/>
          <w:sz w:val="24"/>
        </w:rPr>
        <w:t>Europa a înregistrat numeroase progrese în ceea ce privește stabilirea unei abordări unitare în materie de migrație, azil și frontiere, însă migrația va continua să reprezinte o provocare, iar obținerea de rezultate în acest domeniu rămâne o prioritate pentru europeni. Introducerea ilegală de migranți și traficul de persoane generează profituri provenite din săvârșirea de infracțiuni. Utilizarea migrației ca armă la frontierele UE a ilustrat noi forme hibride de amenințări care seamănă discordie și neîncredere în societățile europene. Prin urmare, următorul buget pe termen lung ar trebui să contribuie la abordarea provocărilor legate de migrație, inclusiv protecția eficace a frontierelor externe ale UE și parteneriatele cuprinzătoare cu țările de origine și de tranzit. De asemenea, ar trebui să sprijine statele membre pentru a se asigura că acestea dispun de expertiza și de capacitatea operațională și financiară de care au nevoie pentru punerea în aplicare a noului Pact privind migrația și azilul.</w:t>
      </w:r>
    </w:p>
    <w:p w14:paraId="68BAC0D2" w14:textId="4F39992D" w:rsidR="00391306" w:rsidRPr="00FA3320" w:rsidRDefault="007A41C8" w:rsidP="001A21C7">
      <w:pPr>
        <w:spacing w:after="120" w:line="240" w:lineRule="auto"/>
        <w:jc w:val="both"/>
        <w:rPr>
          <w:rFonts w:ascii="Times New Roman" w:hAnsi="Times New Roman" w:cs="Times New Roman"/>
          <w:b/>
          <w:bCs/>
          <w:noProof/>
          <w:color w:val="000000" w:themeColor="text1"/>
          <w:sz w:val="24"/>
          <w:szCs w:val="24"/>
        </w:rPr>
      </w:pPr>
      <w:r>
        <w:rPr>
          <w:rStyle w:val="eop"/>
          <w:rFonts w:ascii="Times New Roman" w:hAnsi="Times New Roman"/>
          <w:b/>
          <w:noProof/>
          <w:color w:val="000000" w:themeColor="text1"/>
          <w:sz w:val="24"/>
        </w:rPr>
        <w:t xml:space="preserve">Succesul pieței unice depinde, de asemenea, de capacitatea acesteia de a aduce beneficii tuturor cetățenilor și întreprinderilor europene. </w:t>
      </w:r>
      <w:r>
        <w:rPr>
          <w:rStyle w:val="eop"/>
          <w:rFonts w:ascii="Times New Roman" w:hAnsi="Times New Roman"/>
          <w:noProof/>
          <w:color w:val="000000" w:themeColor="text1"/>
          <w:sz w:val="24"/>
        </w:rPr>
        <w:t>Deși disparitățile regionale și teritoriale au fost reduse substanțial, inclusiv prin politicile de coeziune ale UE, 29 % dintre cetățenii UE încă locuiesc în regiuni cu un PIB pe cap de locuitor mai mic de 75 % din media UE și aproximativ 135 de milioane de persoane trăiesc în locuri care, în ultimele două decenii, au rămas treptat în urmă</w:t>
      </w:r>
      <w:r>
        <w:rPr>
          <w:rStyle w:val="FootnoteReference"/>
          <w:rFonts w:ascii="Times New Roman" w:hAnsi="Times New Roman" w:cs="Times New Roman"/>
          <w:noProof/>
          <w:color w:val="000000" w:themeColor="text1"/>
          <w:sz w:val="24"/>
          <w:szCs w:val="24"/>
        </w:rPr>
        <w:footnoteReference w:id="10"/>
      </w:r>
      <w:r>
        <w:rPr>
          <w:rStyle w:val="eop"/>
          <w:rFonts w:ascii="Times New Roman" w:hAnsi="Times New Roman"/>
          <w:noProof/>
          <w:color w:val="000000" w:themeColor="text1"/>
          <w:sz w:val="24"/>
        </w:rPr>
        <w:t>. Întreprinderile mici și mijlocii angajează aproape două treimi din forța de muncă a UE și reprezintă puțin mai mult de jumătate din valoarea adăugată a acesteia, însă multe dintre întreprinderile respective se confruntă cu obstacole în ceea ce privește accesul la piața unică, inclusiv cu proceduri birocratice complexe, cu sarcini administrative ridicate și cu o lipsă de informații și de servicii de sprijin</w:t>
      </w:r>
      <w:r>
        <w:rPr>
          <w:rStyle w:val="FootnoteReference"/>
          <w:rFonts w:ascii="Times New Roman" w:hAnsi="Times New Roman" w:cs="Times New Roman"/>
          <w:noProof/>
          <w:color w:val="000000" w:themeColor="text1"/>
          <w:sz w:val="24"/>
          <w:szCs w:val="24"/>
        </w:rPr>
        <w:footnoteReference w:id="11"/>
      </w:r>
      <w:r>
        <w:rPr>
          <w:rStyle w:val="eop"/>
          <w:rFonts w:ascii="Times New Roman" w:hAnsi="Times New Roman"/>
          <w:noProof/>
          <w:color w:val="000000" w:themeColor="text1"/>
          <w:sz w:val="24"/>
        </w:rPr>
        <w:t>. Este necesară deblocarea investițiilor pentru a asigura dezvoltarea economică în întreaga Europă, însă trebuie realizate reforme și pentru a elimina obstacolele din calea dezvoltării regionale, de exemplu barierele în calea investițiilor, obstacolele de reglementare și deficiențele de pe piața forței de muncă și din mediul de afaceri</w:t>
      </w:r>
      <w:r>
        <w:rPr>
          <w:rStyle w:val="FootnoteReference"/>
          <w:rFonts w:ascii="Times New Roman" w:hAnsi="Times New Roman" w:cs="Times New Roman"/>
          <w:noProof/>
          <w:color w:val="000000"/>
          <w:sz w:val="24"/>
          <w:szCs w:val="24"/>
          <w:shd w:val="clear" w:color="auto" w:fill="FFFFFF"/>
        </w:rPr>
        <w:footnoteReference w:id="12"/>
      </w:r>
      <w:r>
        <w:rPr>
          <w:noProof/>
        </w:rPr>
        <w:t>.</w:t>
      </w:r>
      <w:r>
        <w:rPr>
          <w:rFonts w:ascii="Times New Roman" w:hAnsi="Times New Roman"/>
          <w:noProof/>
          <w:color w:val="000000" w:themeColor="text1"/>
          <w:sz w:val="24"/>
        </w:rPr>
        <w:t xml:space="preserve"> Trebuie să facem în așa fel încât să ne reunificăm societățile – prin educație și prin investiții în capitalul uman.</w:t>
      </w:r>
      <w:r w:rsidR="00F15F65">
        <w:rPr>
          <w:rFonts w:ascii="Times New Roman" w:hAnsi="Times New Roman"/>
          <w:noProof/>
          <w:color w:val="000000" w:themeColor="text1"/>
          <w:sz w:val="24"/>
        </w:rPr>
        <w:t xml:space="preserve"> </w:t>
      </w:r>
      <w:r>
        <w:rPr>
          <w:rFonts w:ascii="Times New Roman" w:hAnsi="Times New Roman"/>
          <w:noProof/>
          <w:color w:val="000000" w:themeColor="text1"/>
          <w:sz w:val="24"/>
        </w:rPr>
        <w:t xml:space="preserve">Aceste provocări trebuie abordate printr-o politică consolidată și modernizată de coeziune și creștere, lucrând în parteneriat cu autoritățile naționale, regionale și locale.  </w:t>
      </w:r>
    </w:p>
    <w:p w14:paraId="1330CB93" w14:textId="5B72B635" w:rsidR="005328A2" w:rsidRPr="00FA3320" w:rsidRDefault="00677102" w:rsidP="00780170">
      <w:pPr>
        <w:spacing w:after="120" w:line="240" w:lineRule="auto"/>
        <w:jc w:val="both"/>
        <w:rPr>
          <w:rFonts w:ascii="Times New Roman" w:hAnsi="Times New Roman" w:cs="Times New Roman"/>
          <w:noProof/>
          <w:sz w:val="24"/>
          <w:szCs w:val="24"/>
        </w:rPr>
      </w:pPr>
      <w:r>
        <w:rPr>
          <w:rFonts w:ascii="Times New Roman" w:hAnsi="Times New Roman"/>
          <w:b/>
          <w:noProof/>
          <w:color w:val="000000" w:themeColor="text1"/>
          <w:sz w:val="24"/>
        </w:rPr>
        <w:t xml:space="preserve">Securitatea alimentară și protecția naturii susțin calitatea vieții în Europa, dar se confruntă cu dificultăți specifice. </w:t>
      </w:r>
      <w:r>
        <w:rPr>
          <w:rFonts w:ascii="Times New Roman" w:hAnsi="Times New Roman"/>
          <w:noProof/>
          <w:color w:val="000000" w:themeColor="text1"/>
          <w:sz w:val="24"/>
        </w:rPr>
        <w:t>Fermierii, pescarii și zonele rurale sunt din ce în ce mai afectate de concurența neloială la nivel mondial, de creșterea prețurilor la energie, de lipsa fermierilor și a pescarilor mai tineri și de dificultățile privind accesul la capital.</w:t>
      </w:r>
      <w:r>
        <w:rPr>
          <w:rFonts w:ascii="Times New Roman" w:hAnsi="Times New Roman"/>
          <w:b/>
          <w:noProof/>
          <w:color w:val="000000" w:themeColor="text1"/>
          <w:sz w:val="24"/>
        </w:rPr>
        <w:t xml:space="preserve"> </w:t>
      </w:r>
      <w:r>
        <w:rPr>
          <w:rFonts w:ascii="Times New Roman" w:hAnsi="Times New Roman"/>
          <w:noProof/>
          <w:color w:val="000000" w:themeColor="text1"/>
          <w:sz w:val="24"/>
        </w:rPr>
        <w:t>În pofida sprijinului substanțial din partea politicii agricole comune, venitul agricol pe lucrător rămâne volatil și cu mult sub salariul mediu din economia UE (60 % în 2023).</w:t>
      </w:r>
      <w:r>
        <w:rPr>
          <w:rFonts w:ascii="Times New Roman" w:hAnsi="Times New Roman"/>
          <w:b/>
          <w:noProof/>
          <w:color w:val="000000" w:themeColor="text1"/>
          <w:sz w:val="24"/>
        </w:rPr>
        <w:t xml:space="preserve"> </w:t>
      </w:r>
      <w:r>
        <w:rPr>
          <w:rFonts w:ascii="Times New Roman" w:hAnsi="Times New Roman"/>
          <w:noProof/>
          <w:color w:val="000000" w:themeColor="text1"/>
          <w:sz w:val="24"/>
        </w:rPr>
        <w:t>În sectorul pescuitului costier la scară mică, salariul mediu în 2021 a fost de aproximativ jumătate din salariul mediu pe economie. Având în vedere că, în 2020, doar 6,5 % dintre fermieri aveau vârsta sub 35 de ani, agricultura UE îmbătrânește</w:t>
      </w:r>
      <w:r>
        <w:rPr>
          <w:rStyle w:val="FootnoteReference"/>
          <w:rFonts w:ascii="Times New Roman" w:hAnsi="Times New Roman" w:cs="Times New Roman"/>
          <w:noProof/>
          <w:color w:val="000000" w:themeColor="text1"/>
          <w:sz w:val="24"/>
          <w:szCs w:val="24"/>
        </w:rPr>
        <w:footnoteReference w:id="13"/>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 Ar fi necesare aproximativ 62 de miliarde EUR pentru a elimina deficitul de investiții în sectorul agricol și pentru a realiza tranziția digitală, verde și energetică a acestuia</w:t>
      </w:r>
      <w:r>
        <w:rPr>
          <w:rStyle w:val="FootnoteReference"/>
          <w:rFonts w:ascii="Times New Roman" w:hAnsi="Times New Roman" w:cs="Times New Roman"/>
          <w:noProof/>
          <w:color w:val="000000" w:themeColor="text1"/>
          <w:sz w:val="24"/>
          <w:szCs w:val="24"/>
        </w:rPr>
        <w:footnoteReference w:id="14"/>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sz w:val="24"/>
        </w:rPr>
        <w:t>În plus, schimbările climatice sporesc expunerea sistemului alimentar la riscuri. Pe baza recomandărilor dialogului strategic privind viitorul agriculturii și a viitoarei viziuni pentru agricultură și alimentație, o politică agricolă comună adecvată scopului trebuie să ofere sprijin specific fermierilor care au cea mai mare nevoie de acesta, să promoveze rezultate pozitive pe plan social și în domeniul mediului prin recompense și stimulente pentru serviciile ecosistemice și să sprijine condițiile favorabile propice pentru dezvoltarea unor zone rurale prospere. Politica agricolă comună trebuie să devină mai simplă și mai bine direcționată și să asigure echilibrul corect între stimulente, investiții și reglementare, precum și să garanteze un venit echitabil și suficient pentru fermieri.</w:t>
      </w:r>
    </w:p>
    <w:p w14:paraId="6B432B5F" w14:textId="2A5C8D09" w:rsidR="00081B53" w:rsidRPr="007B2E77" w:rsidRDefault="00FA1C18" w:rsidP="00780170">
      <w:pPr>
        <w:spacing w:after="120" w:line="240" w:lineRule="auto"/>
        <w:jc w:val="both"/>
        <w:rPr>
          <w:noProof/>
        </w:rPr>
      </w:pPr>
      <w:r>
        <w:rPr>
          <w:rFonts w:ascii="Times New Roman" w:hAnsi="Times New Roman"/>
          <w:b/>
          <w:noProof/>
          <w:sz w:val="24"/>
        </w:rPr>
        <w:t>Dezastrele tot mai frecvente și mai severe legate de climă au un impact social și economic puternic.</w:t>
      </w:r>
      <w:r>
        <w:rPr>
          <w:rStyle w:val="eop"/>
          <w:rFonts w:ascii="Times New Roman" w:hAnsi="Times New Roman"/>
          <w:noProof/>
          <w:color w:val="000000" w:themeColor="text1"/>
          <w:sz w:val="24"/>
        </w:rPr>
        <w:t>.</w:t>
      </w:r>
      <w:r>
        <w:rPr>
          <w:rStyle w:val="eop"/>
          <w:rFonts w:ascii="Times New Roman" w:hAnsi="Times New Roman" w:cs="Times New Roman"/>
          <w:noProof/>
          <w:color w:val="000000" w:themeColor="text1"/>
          <w:sz w:val="24"/>
          <w:szCs w:val="24"/>
          <w:vertAlign w:val="superscript"/>
        </w:rPr>
        <w:footnoteReference w:id="15"/>
      </w:r>
      <w:r>
        <w:rPr>
          <w:rStyle w:val="eop"/>
          <w:rFonts w:ascii="Times New Roman" w:hAnsi="Times New Roman"/>
          <w:noProof/>
          <w:color w:val="000000" w:themeColor="text1"/>
          <w:sz w:val="24"/>
        </w:rPr>
        <w:t xml:space="preserve"> </w:t>
      </w:r>
      <w:r>
        <w:rPr>
          <w:rFonts w:ascii="Times New Roman" w:hAnsi="Times New Roman"/>
          <w:noProof/>
          <w:color w:val="000000" w:themeColor="text1"/>
          <w:sz w:val="24"/>
        </w:rPr>
        <w:t>Costul mediu al consecințelor dezastrelor naturale s-a dublat, de la 8 miliarde EUR anual în anii 1980 la 16 miliarde EUR în ultimul deceniu.  În 2021 și 2022, costurile au depășit 50 de miliarde EUR în fiecare an și au ajuns la 40 de miliarde EUR în 2023, cel mai cald an înregistrat la nivel mondial. Potrivit raportului din 2024 intitulat „Evaluarea europeană a riscurilor climatice”, pierderile economice cumulate ar putea ajunge la 175 de miliarde EUR (adică aproximativ 1,4 % din PIB-ul UE) în cazul unui scenariu de încălzire cu 3° C.</w:t>
      </w:r>
      <w:r>
        <w:rPr>
          <w:rFonts w:ascii="Times New Roman" w:hAnsi="Times New Roman"/>
          <w:noProof/>
          <w:sz w:val="24"/>
        </w:rPr>
        <w:t xml:space="preserve"> De asemenea, având în vedere aceste riscuri, Curtea de Conturi Europeană a recomandat ca finanțarea UE pentru adaptarea la schimbările climatice să corespundă exigențelor viitorului</w:t>
      </w:r>
      <w:r>
        <w:rPr>
          <w:rStyle w:val="FootnoteReference"/>
          <w:rFonts w:ascii="Times New Roman" w:eastAsiaTheme="minorEastAsia" w:hAnsi="Times New Roman" w:cs="Times New Roman"/>
          <w:noProof/>
          <w:sz w:val="24"/>
          <w:szCs w:val="24"/>
        </w:rPr>
        <w:footnoteReference w:id="16"/>
      </w:r>
      <w:r>
        <w:rPr>
          <w:rFonts w:ascii="Times New Roman" w:hAnsi="Times New Roman"/>
          <w:noProof/>
          <w:sz w:val="24"/>
        </w:rPr>
        <w:t>. Acest lucru va necesita intensificarea activităților privind reziliența și pregătirea în domeniile climei și apei: deși atingerea obiectivelor Pactului verde este parte a strategiei noastre de creștere economică, pregătirea pentru riscurile climatice tot mai mari va trebui să reprezinte un obiectiv general pentru acțiunea UE, atât pe plan intern, cât și extern.</w:t>
      </w:r>
    </w:p>
    <w:p w14:paraId="437BE86C" w14:textId="6CAB6A66" w:rsidR="00FC1DBE" w:rsidRPr="00FA3320" w:rsidRDefault="00FC1DBE"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Peisajul politic și economic mondial prezintă provocări de o amploare fără precedent. </w:t>
      </w:r>
      <w:r>
        <w:rPr>
          <w:rFonts w:ascii="Times New Roman" w:hAnsi="Times New Roman"/>
          <w:noProof/>
          <w:sz w:val="24"/>
        </w:rPr>
        <w:t>Războiul de agresiune al Rusiei împotriva Ucrainei a însemnat o revenire a războiului pe continentul european. Sprijinul financiar, politic și militar al Europei pentru Ucraina trebuie să fie continuat atât timp cât este nevoie, acesta reprezentând o investiție în securitatea europeană. Situația din Orientul Mijlociu conduce la instabilitate în întreaga regiune și la nevoi umanitare suplimentare. Concurența neloială tot mai mare și orientarea economică și geopolitică mai agresivă au subminat sistemul multilateral mondial, reflectând trecerea de la cooperare la concurență și sporirea conflictelor. Mai puțin de 20 % din obiectivele de dezvoltare durabilă</w:t>
      </w:r>
      <w:r>
        <w:rPr>
          <w:rStyle w:val="FootnoteReference"/>
          <w:rFonts w:ascii="Times New Roman" w:eastAsia="Times New Roman" w:hAnsi="Times New Roman" w:cs="Times New Roman"/>
          <w:noProof/>
          <w:sz w:val="24"/>
          <w:szCs w:val="24"/>
          <w:lang w:val="en-GB"/>
        </w:rPr>
        <w:footnoteReference w:id="17"/>
      </w:r>
      <w:r>
        <w:rPr>
          <w:rFonts w:ascii="Times New Roman" w:hAnsi="Times New Roman"/>
          <w:noProof/>
          <w:sz w:val="24"/>
        </w:rPr>
        <w:t xml:space="preserve"> sunt pe cale de a fi atinse, existând un deficit persistent în materie de investiții în țările în curs de dezvoltare. Nevoile umanitare continuă să crească: în 2024, la nivel mondial, au fost necesare 45 de miliarde EUR pentru asistența umanitară, de peste două ori mai mult decât în 2019. </w:t>
      </w:r>
      <w:bookmarkStart w:id="2" w:name="_Hlk189925349"/>
      <w:r>
        <w:rPr>
          <w:rFonts w:ascii="Times New Roman" w:hAnsi="Times New Roman"/>
          <w:noProof/>
          <w:sz w:val="24"/>
        </w:rPr>
        <w:t>Pentru a avea parteneriate reciproc avantajoase este necesară o politică externă europeană care să prevadă o finanțare mai bine direcționată și cu un impact mai mare pentru partenerii noștri, precum și o mai bună aliniere la interesele strategice ale UE</w:t>
      </w:r>
      <w:bookmarkEnd w:id="2"/>
      <w:r>
        <w:rPr>
          <w:rFonts w:ascii="Times New Roman" w:hAnsi="Times New Roman"/>
          <w:noProof/>
          <w:sz w:val="24"/>
        </w:rPr>
        <w:t>.</w:t>
      </w:r>
    </w:p>
    <w:p w14:paraId="4E896B04" w14:textId="660E560A" w:rsidR="00483722" w:rsidRPr="00FA3320" w:rsidRDefault="000E7AFE"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Extinderea este un imperativ politic și geostrategic. </w:t>
      </w:r>
      <w:r>
        <w:rPr>
          <w:rFonts w:ascii="Times New Roman" w:hAnsi="Times New Roman"/>
          <w:noProof/>
          <w:sz w:val="24"/>
        </w:rPr>
        <w:t>Aderarea la UE va fi întotdeauna un proces bazat pe merite, iar fiecare țară candidată va fi evaluată pe baza progreselor sale în ceea ce privește îndeplinirea tuturor criteriilor.</w:t>
      </w:r>
      <w:r>
        <w:rPr>
          <w:rFonts w:ascii="Times New Roman" w:hAnsi="Times New Roman"/>
          <w:b/>
          <w:noProof/>
          <w:sz w:val="24"/>
        </w:rPr>
        <w:t xml:space="preserve"> </w:t>
      </w:r>
      <w:r>
        <w:rPr>
          <w:rFonts w:ascii="Times New Roman" w:hAnsi="Times New Roman"/>
          <w:noProof/>
          <w:sz w:val="24"/>
        </w:rPr>
        <w:t>UE va trebui să își intensifice sprijinul pentru pregătirea țărilor candidate, prin investiții și reforme, în perspectiva aderării lor. În Balcanii de Vest, Ucraina, Republica Moldova și Georgia, PIB-ul pe cap de locuitor este în continuare în jur de 50 % din PIB-ul UE sau sub această valoare, iar ritmul de realizare a convergenței este lent. Ucraina va avea nevoie de sprijinul UE și al aliaților săi pentru a rezista agresiunii brutale a Rusiei și pentru a face față consecințelor sale economice</w:t>
      </w:r>
      <w:r>
        <w:rPr>
          <w:rStyle w:val="FootnoteReference"/>
          <w:rFonts w:ascii="Times New Roman" w:eastAsia="Times New Roman" w:hAnsi="Times New Roman" w:cs="Times New Roman"/>
          <w:noProof/>
          <w:sz w:val="24"/>
          <w:szCs w:val="24"/>
          <w:lang w:val="en-GB"/>
        </w:rPr>
        <w:footnoteReference w:id="18"/>
      </w:r>
      <w:r>
        <w:rPr>
          <w:rFonts w:ascii="Times New Roman" w:hAnsi="Times New Roman"/>
          <w:noProof/>
          <w:sz w:val="24"/>
        </w:rPr>
        <w:t>. O Uniune mai mare și mai puternică prezintă avantaje socioeconomice, politice și de securitate semnificative.</w:t>
      </w:r>
    </w:p>
    <w:p w14:paraId="0BE8C992" w14:textId="1986CD07" w:rsidR="00EB6B92" w:rsidRPr="00FA3320" w:rsidRDefault="007B0AB7" w:rsidP="00780170">
      <w:p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Amploarea provocărilor viitoare necesită, prin urmare, un buget ambițios, atât în ceea ce privește dimensiunea, cât și concepția.</w:t>
      </w:r>
    </w:p>
    <w:p w14:paraId="7D5E5D26" w14:textId="77777777" w:rsidR="00315D3B" w:rsidRPr="00FA3320" w:rsidRDefault="00315D3B" w:rsidP="00780170">
      <w:pPr>
        <w:spacing w:after="120" w:line="240" w:lineRule="auto"/>
        <w:jc w:val="both"/>
        <w:rPr>
          <w:rFonts w:ascii="Times New Roman" w:eastAsia="Times New Roman" w:hAnsi="Times New Roman" w:cs="Times New Roman"/>
          <w:noProof/>
          <w:sz w:val="24"/>
          <w:szCs w:val="24"/>
        </w:rPr>
      </w:pPr>
    </w:p>
    <w:p w14:paraId="7D3DDCA9" w14:textId="5134D105" w:rsidR="00CE60AE" w:rsidRPr="00FA3320" w:rsidRDefault="00780170" w:rsidP="00227512">
      <w:pPr>
        <w:pStyle w:val="paragraph"/>
        <w:keepNext/>
        <w:numPr>
          <w:ilvl w:val="0"/>
          <w:numId w:val="2"/>
        </w:numPr>
        <w:spacing w:before="0" w:beforeAutospacing="0" w:after="120" w:afterAutospacing="0"/>
        <w:textAlignment w:val="baseline"/>
        <w:rPr>
          <w:noProof/>
        </w:rPr>
      </w:pPr>
      <w:r>
        <w:rPr>
          <w:rStyle w:val="normaltextrun"/>
          <w:b/>
          <w:noProof/>
        </w:rPr>
        <w:t>„EUROPA – ÎN FAȚA UNEI ALEGERI” PENTRU UN BUGET MAI SIMPLU, MAI BINE ORIENTAT ȘI CU UN IMPACT MAI MARE</w:t>
      </w:r>
      <w:r>
        <w:rPr>
          <w:rStyle w:val="eop"/>
          <w:noProof/>
        </w:rPr>
        <w:t xml:space="preserve"> </w:t>
      </w:r>
    </w:p>
    <w:p w14:paraId="4DB01EB5" w14:textId="0714D764" w:rsidR="00CE60AE" w:rsidRPr="00780170" w:rsidRDefault="72A3B489" w:rsidP="00227512">
      <w:pPr>
        <w:pStyle w:val="paragraph"/>
        <w:keepNext/>
        <w:spacing w:before="0" w:beforeAutospacing="0" w:after="120" w:afterAutospacing="0"/>
        <w:ind w:left="720"/>
        <w:jc w:val="both"/>
        <w:textAlignment w:val="baseline"/>
        <w:rPr>
          <w:rFonts w:eastAsia="Calibri"/>
          <w:i/>
          <w:iCs/>
          <w:noProof/>
        </w:rPr>
      </w:pPr>
      <w:r>
        <w:rPr>
          <w:i/>
          <w:noProof/>
        </w:rPr>
        <w:t xml:space="preserve">Un buget al UE mai bine orientat </w:t>
      </w:r>
    </w:p>
    <w:p w14:paraId="018E8E78" w14:textId="7DC11C14" w:rsidR="00206816" w:rsidRPr="00FA3320" w:rsidRDefault="00533993" w:rsidP="00780170">
      <w:pPr>
        <w:pStyle w:val="paragraph"/>
        <w:spacing w:before="0" w:beforeAutospacing="0" w:after="120" w:afterAutospacing="0"/>
        <w:jc w:val="both"/>
        <w:rPr>
          <w:b/>
          <w:noProof/>
        </w:rPr>
      </w:pPr>
      <w:r>
        <w:rPr>
          <w:b/>
          <w:noProof/>
        </w:rPr>
        <w:t xml:space="preserve">Punerea în aplicare în curs a actualului cadru financiar oferă câteva învățăminte cu privire la modalitățile de creștere a agilității bugetului UE și de aliniere mai bună a acestuia la prioritățile și obiectivele noastre. </w:t>
      </w:r>
      <w:r>
        <w:rPr>
          <w:noProof/>
        </w:rPr>
        <w:t>Flexibilitatea este esențială pentru garantarea capacității bugetului de a răspunde unei realități în schimbare. Totuși, acest lucru nu este posibil dacă aproape toate fondurile UE sunt programate în prealabil de la început; peste 90 % din fondurile aferente cadrului financiar multianual 2021-2027 și NextGenerationEU sunt prealocate pentru scopuri, programe sau pachete naționale specifice</w:t>
      </w:r>
      <w:r>
        <w:rPr>
          <w:rStyle w:val="FootnoteReference"/>
          <w:noProof/>
          <w:sz w:val="24"/>
        </w:rPr>
        <w:footnoteReference w:id="19"/>
      </w:r>
      <w:r>
        <w:rPr>
          <w:noProof/>
        </w:rPr>
        <w:t>. Prin urmare, pentru a răspunde nevoilor și crizelor în continuă evoluție începând din 2021, fondurile existente au fost reorientate și realocate, în cadrul unor proceduri uneori îndelungate, și au fost create noi fonduri, programe sau măsuri ad-hoc, ceea ce a agravat și mai mult problema dispersării fondurilor UE. Este nevoie de mai bună orientare și de o mai mare simplificare încă de la început pentru a maximiza impactul finanțării UE, într-un moment în care viitorul cadru financiar face obiectul unei reflecții.</w:t>
      </w:r>
    </w:p>
    <w:p w14:paraId="5A934C19" w14:textId="4AD7D599" w:rsidR="2D7A692D" w:rsidRPr="00FA3320" w:rsidRDefault="00B5698F"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Răspunsul UE la consecințele economice ale războiului de agresiune al Rusiei împotriva Ucrainei constituie un exemplu al modului în care un cadru care aliniază obiectivele noastre de politică la prioritățile noastre în materie de cheltuieli consolidează impactul acțiunii comune a UE.</w:t>
      </w:r>
      <w:r>
        <w:rPr>
          <w:rFonts w:ascii="Times New Roman" w:hAnsi="Times New Roman"/>
          <w:noProof/>
          <w:sz w:val="24"/>
        </w:rPr>
        <w:t xml:space="preserve"> Atunci când războiul de agresiune al Rusiei împotriva Ucrainei a condus la o creștere bruscă a prețurilor la energie, a devenit și mai necesar să se reducă suplimentar dependența de combustibilii fosili și să se accelereze utilizarea energiei din surse regenerabile. În cadrul semestrului european, s-a adresat tuturor statelor membre o recomandare specifică, pe care acestea au fost apoi în măsură să o pună în aplicare prin intermediul noilor capitole privind REPowerEU din planurile de redresare și reziliență, inclusiv cu fonduri suplimentare din partea UE. Acțiunea noastră comună a permis reducerea consumului de gaze cu 18 % între august 2022 și martie 2024, eliminarea dependenței noastre de combustibilii fosili din Rusia, asigurarea accesului la energie la prețuri accesibile și creșterea producției de energie din surse regenerabile</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w:t>
      </w:r>
    </w:p>
    <w:p w14:paraId="127DC30F" w14:textId="071DAD97" w:rsidR="00D4590A" w:rsidRPr="00FA3320" w:rsidRDefault="00DE7E3C" w:rsidP="0078017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sz w:val="24"/>
        </w:rPr>
        <w:t xml:space="preserve">Sunt necesare eforturi suplimentare pentru a avea un veritabil buget bazat pe politici în vederea asigurării de sinergii între politicile noastre și acțiunea financiară a Uniunii. </w:t>
      </w:r>
      <w:r>
        <w:rPr>
          <w:rFonts w:ascii="Times New Roman" w:hAnsi="Times New Roman"/>
          <w:noProof/>
          <w:sz w:val="24"/>
        </w:rPr>
        <w:t>Bugetul UE este în continuare axat în prea mare măsură pe structurile programelor de cheltuieli, și nu suficient pe politici.</w:t>
      </w:r>
      <w:r>
        <w:rPr>
          <w:rFonts w:ascii="Times New Roman" w:hAnsi="Times New Roman"/>
          <w:noProof/>
          <w:color w:val="000000" w:themeColor="text1"/>
          <w:sz w:val="24"/>
        </w:rPr>
        <w:t xml:space="preserve"> Prin urmare, finanțarea priorităților politice actuale ale UE este adesea dispersată în programe care uneori se suprapun. Există posibilitatea de a consolida legătura dintre coordonarea generală a politicilor și bugetul UE, prin intermediul unui nou mecanism de coordonare care să coreleze prioritățile Uniunii cu bugetul UE</w:t>
      </w:r>
      <w:r>
        <w:rPr>
          <w:rFonts w:ascii="Times New Roman" w:hAnsi="Times New Roman"/>
          <w:noProof/>
          <w:sz w:val="24"/>
        </w:rPr>
        <w:t>. În ceea ce privește competitivitatea, Instrumentul de coordonare a competitivității, împreună cu un semestru european raționalizat, axat pe reforme și investiții la nivel național, vor face parte dintr-un mecanism de coordonare coerent și simplificat care va sta la baza deciziilor privind investițiile și reformele la nivelul UE și la nivel național. În sens mai larg, modul în care politicile UE contribuie la prioritățile bugetare și le sprijină ar putea fi îmbunătățit, pentru a se asigura că bugetul UE sprijină bunurile publice europene, în special proiectele transfrontaliere.</w:t>
      </w:r>
    </w:p>
    <w:p w14:paraId="7909CD91" w14:textId="061E16DF" w:rsidR="005E1DD0" w:rsidRPr="00FA3320" w:rsidRDefault="002637CA" w:rsidP="00780170">
      <w:pPr>
        <w:pStyle w:val="paragraph"/>
        <w:spacing w:before="0" w:beforeAutospacing="0" w:after="120" w:afterAutospacing="0"/>
        <w:jc w:val="both"/>
        <w:rPr>
          <w:noProof/>
          <w:color w:val="000000" w:themeColor="text1"/>
        </w:rPr>
      </w:pPr>
      <w:r>
        <w:rPr>
          <w:b/>
          <w:noProof/>
        </w:rPr>
        <w:t xml:space="preserve">O mai mare coerență în finanțarea politicilor interne și externe este esențială pentru o mai bună promovare a </w:t>
      </w:r>
      <w:r>
        <w:rPr>
          <w:rStyle w:val="eop"/>
          <w:b/>
          <w:noProof/>
          <w:color w:val="000000" w:themeColor="text1"/>
        </w:rPr>
        <w:t>intereselor strategice ale Uniunii</w:t>
      </w:r>
      <w:r>
        <w:rPr>
          <w:b/>
          <w:noProof/>
        </w:rPr>
        <w:t>.</w:t>
      </w:r>
      <w:r>
        <w:rPr>
          <w:rStyle w:val="eop"/>
          <w:b/>
          <w:noProof/>
          <w:color w:val="000000" w:themeColor="text1"/>
        </w:rPr>
        <w:t xml:space="preserve"> </w:t>
      </w:r>
      <w:r>
        <w:rPr>
          <w:rStyle w:val="eop"/>
          <w:noProof/>
          <w:color w:val="000000" w:themeColor="text1"/>
        </w:rPr>
        <w:t xml:space="preserve">Complementaritatea cu acțiunea externă a statelor membre necesită coordonare pentru a maximiza eficacitatea și vizibilitatea investițiilor și a cooperării europene la nivel mondial. Din acest motiv, atunci când a izbucnit pandemia de COVID-19, a fost instituită „Echipa Europa” pentru a asigura un răspuns coordonat și cuprinzător la nivel mondial din partea UE, a statelor sale membre și a instituțiilor financiare publice europene. De atunci, abordarea „Echipa Europa” a devenit coloana vertebrală a finanțării UE pentru cooperarea internațională. Inițiativa „Global Gateway” urmează această abordare, unindu-și forțele pentru a identifica interesele comune și a coordona un nou val de investiții în infrastructură în întreaga lume. În același timp, finanțarea acțiunii externe acoperă, de asemenea, o gamă largă de domenii care prezintă legături semnificative între politica internă și cea externă – de la politica comercială generală la materiale, energie, climă și migrație. Revizuirea și aplicarea la scară largă a celor mai bune practici și a celor mai eficiente instrumente vor contribui la realizarea intereselor strategice și de securitate economică ale UE și vor consolida parteneriatele reciproc avantajoase în vecinătatea Europei și dincolo de aceasta. </w:t>
      </w:r>
    </w:p>
    <w:p w14:paraId="4FFB3128" w14:textId="6832616F" w:rsidR="00CE60AE" w:rsidRPr="00780170" w:rsidRDefault="05055211" w:rsidP="00227512">
      <w:pPr>
        <w:pStyle w:val="paragraph"/>
        <w:keepNext/>
        <w:spacing w:before="0" w:beforeAutospacing="0" w:after="120" w:afterAutospacing="0"/>
        <w:ind w:left="720"/>
        <w:jc w:val="both"/>
        <w:textAlignment w:val="baseline"/>
        <w:rPr>
          <w:rFonts w:eastAsia="Calibri"/>
          <w:i/>
          <w:iCs/>
          <w:noProof/>
        </w:rPr>
      </w:pPr>
      <w:r>
        <w:rPr>
          <w:i/>
          <w:noProof/>
        </w:rPr>
        <w:t xml:space="preserve">Un buget al UE mai simplu </w:t>
      </w:r>
    </w:p>
    <w:p w14:paraId="2E0745CA" w14:textId="469DF0DD" w:rsidR="00CA6526" w:rsidRPr="00FA3320" w:rsidRDefault="00534CEF" w:rsidP="00780170">
      <w:pPr>
        <w:pStyle w:val="paragraph"/>
        <w:spacing w:before="0" w:beforeAutospacing="0" w:after="120" w:afterAutospacing="0"/>
        <w:jc w:val="both"/>
        <w:rPr>
          <w:rFonts w:eastAsiaTheme="minorEastAsia"/>
          <w:noProof/>
        </w:rPr>
      </w:pPr>
      <w:r>
        <w:rPr>
          <w:b/>
          <w:noProof/>
          <w:color w:val="000000" w:themeColor="text1"/>
        </w:rPr>
        <w:t xml:space="preserve">Accesul la finanțarea UE este îngreunat de complexitatea existentă. </w:t>
      </w:r>
      <w:r>
        <w:rPr>
          <w:noProof/>
        </w:rPr>
        <w:t>Deși numărul programelor de cheltuieli a fost deja redus într-o anumită măsură la începutul perioadei actuale, în buget și în alte programe din afara acestuia există încă peste 50 de programe de cheltuieli</w:t>
      </w:r>
      <w:r>
        <w:rPr>
          <w:rStyle w:val="normaltextrun"/>
          <w:rFonts w:eastAsiaTheme="minorEastAsia"/>
          <w:noProof/>
          <w:vertAlign w:val="superscript"/>
        </w:rPr>
        <w:footnoteReference w:id="21"/>
      </w:r>
      <w:r>
        <w:rPr>
          <w:noProof/>
        </w:rPr>
        <w:t xml:space="preserve">.Cu toate că acest lucru ilustrează domeniul larg de aplicare al finanțării din partea UE, crește riscul de suprapuneri și sunt reduse impactul și transparența, apărând, în același timp, lacune din cauza lipsei unor abordări de finanțare cuprinzătoare și coordonate pentru prioritățile transversale, cum ar fi competitivitatea. În UE, </w:t>
      </w:r>
      <w:r>
        <w:rPr>
          <w:i/>
          <w:noProof/>
        </w:rPr>
        <w:t>„deficiențele de-a lungul «ciclului de viață al inovării» (...) împiedică apariția unor noi sectoare și noi concurenți [și] încep cu obstacole în calea rezervei de proiecte, de la inovare până la comercializare</w:t>
      </w:r>
      <w:r>
        <w:rPr>
          <w:rStyle w:val="FootnoteReference"/>
          <w:rFonts w:eastAsiaTheme="minorEastAsia"/>
          <w:noProof/>
          <w:sz w:val="24"/>
          <w:lang w:eastAsia="en-US"/>
        </w:rPr>
        <w:footnoteReference w:id="22"/>
      </w:r>
      <w:r>
        <w:rPr>
          <w:i/>
          <w:noProof/>
        </w:rPr>
        <w:t>”</w:t>
      </w:r>
      <w:r>
        <w:rPr>
          <w:noProof/>
        </w:rPr>
        <w:t xml:space="preserve">. Sunt vizate în special lacunele în ceea ce privește sprijinul de la </w:t>
      </w:r>
      <w:r>
        <w:rPr>
          <w:rStyle w:val="normaltextrun"/>
          <w:noProof/>
        </w:rPr>
        <w:t>bugetul UE, deoarece acesta nu oferă o finanțare neîntreruptă de la cercetare la inovare prin dezvoltare și implementare</w:t>
      </w:r>
      <w:r>
        <w:rPr>
          <w:noProof/>
        </w:rPr>
        <w:t>.</w:t>
      </w:r>
      <w:r>
        <w:rPr>
          <w:rStyle w:val="normaltextrun"/>
          <w:noProof/>
        </w:rPr>
        <w:t xml:space="preserve"> </w:t>
      </w:r>
      <w:r>
        <w:rPr>
          <w:noProof/>
        </w:rPr>
        <w:t xml:space="preserve">Fragmentarea respectivă, împreună cu complexitatea și rigiditățile aferente, afectează eficacitatea finanțării UE. </w:t>
      </w:r>
    </w:p>
    <w:p w14:paraId="000EE086" w14:textId="0C8E4FA8" w:rsidR="00E41923" w:rsidRPr="00FA3320" w:rsidRDefault="355E37F7" w:rsidP="00780170">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sz w:val="24"/>
        </w:rPr>
        <w:t>Beneficiarii întâmpină dificultăți în a parcurge multitudinea de norme și criterii, în pofida măsurilor de simplificare introduse în cadrul financiar actual</w:t>
      </w:r>
      <w:r>
        <w:rPr>
          <w:rStyle w:val="normaltextrun"/>
          <w:rFonts w:ascii="Times New Roman" w:eastAsiaTheme="minorEastAsia" w:hAnsi="Times New Roman" w:cs="Times New Roman"/>
          <w:noProof/>
          <w:color w:val="000000" w:themeColor="text1"/>
          <w:sz w:val="24"/>
          <w:szCs w:val="24"/>
          <w:vertAlign w:val="superscript"/>
        </w:rPr>
        <w:footnoteReference w:id="23"/>
      </w:r>
      <w:r>
        <w:rPr>
          <w:rFonts w:ascii="Times New Roman" w:hAnsi="Times New Roman"/>
          <w:b/>
          <w:noProof/>
          <w:sz w:val="24"/>
        </w:rPr>
        <w:t>.</w:t>
      </w:r>
      <w:r>
        <w:rPr>
          <w:rFonts w:ascii="Times New Roman" w:hAnsi="Times New Roman"/>
          <w:noProof/>
          <w:sz w:val="24"/>
        </w:rPr>
        <w:t xml:space="preserve"> Existența unor norme de eligibilitate, a unor procese de depunere a cererilor și a unor rate de cofinanțare diferite, precum și a mai multor puncte de intrare pentru potențialii solicitanți pune în pericol rapiditatea și calitatea punerii în aplicare și implicarea părților interesate. De asemenea, dacă sunt inconsecvente, acestea pot submina realizarea obiectivelor UE. A răspunde unei cereri de propuneri pentru accesarea fondurilor UE poate fi o acțiune complexă și deosebit de împovărătoare pentru întreprinderile mici și mijlocii</w:t>
      </w:r>
      <w:r>
        <w:rPr>
          <w:rStyle w:val="FootnoteReference"/>
          <w:rFonts w:ascii="Times New Roman" w:eastAsiaTheme="minorEastAsia" w:hAnsi="Times New Roman" w:cs="Times New Roman"/>
          <w:noProof/>
          <w:sz w:val="24"/>
          <w:szCs w:val="24"/>
        </w:rPr>
        <w:footnoteReference w:id="24"/>
      </w:r>
      <w:r>
        <w:rPr>
          <w:rFonts w:ascii="Times New Roman" w:hAnsi="Times New Roman"/>
          <w:noProof/>
          <w:sz w:val="24"/>
        </w:rPr>
        <w:t xml:space="preserve">. În prezent, există peste 30 de instrumente care oferă asistență tehnică și opțiuni de sprijin și este posibil ca acestea să fie simplificate, iar suprapunerile să fie eliminate. </w:t>
      </w:r>
      <w:r>
        <w:rPr>
          <w:rFonts w:ascii="Times New Roman" w:hAnsi="Times New Roman"/>
          <w:noProof/>
          <w:color w:val="000000" w:themeColor="text1"/>
          <w:sz w:val="24"/>
        </w:rPr>
        <w:t>În plus, cu cât normele sunt mai complexe, cu atât crește riscul de erori în materie de cheltuieli. Includerea în următorul cadru financiar a unui veritabil punct unic de acces la toate serviciile de finanțare și de consiliere ale UE ar putea facilita accesul beneficiarilor.</w:t>
      </w:r>
    </w:p>
    <w:p w14:paraId="1A14D7B4" w14:textId="342E1D7C" w:rsidR="00C72DD9" w:rsidRPr="00FA3320" w:rsidRDefault="00E744A3"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Fragmentarea peisajului financiar se traduce, de asemenea, prin numărul prea mare de documente de programare, care necesită utilizarea multor resurse de către toate administrațiile implicate și cauzează întârzieri.</w:t>
      </w:r>
      <w:r>
        <w:rPr>
          <w:rFonts w:ascii="Times New Roman" w:hAnsi="Times New Roman"/>
          <w:noProof/>
          <w:sz w:val="24"/>
        </w:rPr>
        <w:t xml:space="preserve"> Cadrul financiar actual include peste 10 fonduri prealocate</w:t>
      </w:r>
      <w:r>
        <w:rPr>
          <w:rStyle w:val="FootnoteReference"/>
          <w:rFonts w:ascii="Times New Roman" w:eastAsia="Times New Roman" w:hAnsi="Times New Roman" w:cs="Times New Roman"/>
          <w:noProof/>
          <w:sz w:val="24"/>
          <w:szCs w:val="24"/>
        </w:rPr>
        <w:footnoteReference w:id="25"/>
      </w:r>
      <w:r>
        <w:rPr>
          <w:rFonts w:ascii="Times New Roman" w:hAnsi="Times New Roman"/>
          <w:noProof/>
          <w:sz w:val="24"/>
        </w:rPr>
        <w:t>, pentru care sunt necesare eforturi separate de planificare și programare. Această situație creează o sarcină administrativă considerabilă pentru autoritățile de management și promotorii de proiecte la începutul fiecărei perioade financiare și conduce la un decalaj substanțial între pregătirea cadrului financiar și punerea în aplicare pe teren.  Acest lucru a fost valabil și în perioada de programare 2021-2027, când adoptarea tardivă a legislației sectoriale și procesul îndelungat de adoptare a documentelor de programare au condus la întârzieri în punerea în aplicare. De exemplu, programele operaționale ale fondurilor politicii de coeziune au fost adoptate abia la jumătatea anului 2022</w:t>
      </w:r>
      <w:r>
        <w:rPr>
          <w:rStyle w:val="FootnoteReference"/>
          <w:rFonts w:ascii="Times New Roman" w:eastAsiaTheme="minorEastAsia" w:hAnsi="Times New Roman" w:cs="Times New Roman"/>
          <w:noProof/>
          <w:sz w:val="24"/>
          <w:szCs w:val="24"/>
        </w:rPr>
        <w:footnoteReference w:id="26"/>
      </w:r>
      <w:r>
        <w:rPr>
          <w:rFonts w:ascii="Times New Roman" w:hAnsi="Times New Roman"/>
          <w:noProof/>
          <w:sz w:val="24"/>
        </w:rPr>
        <w:t xml:space="preserve">. </w:t>
      </w:r>
    </w:p>
    <w:p w14:paraId="192CA770" w14:textId="51BDC04E" w:rsidR="00C72DD9" w:rsidRPr="00FA3320" w:rsidRDefault="00AB5312" w:rsidP="00780170">
      <w:pPr>
        <w:spacing w:after="120" w:line="240" w:lineRule="auto"/>
        <w:jc w:val="both"/>
        <w:rPr>
          <w:rFonts w:ascii="Times New Roman" w:hAnsi="Times New Roman" w:cs="Times New Roman"/>
          <w:noProof/>
          <w:sz w:val="24"/>
          <w:szCs w:val="24"/>
        </w:rPr>
      </w:pPr>
      <w:bookmarkStart w:id="3" w:name="_Hlk189497558"/>
      <w:r>
        <w:rPr>
          <w:rFonts w:ascii="Times New Roman" w:hAnsi="Times New Roman"/>
          <w:noProof/>
          <w:sz w:val="24"/>
        </w:rPr>
        <w:t>Din cauza adoptării tardive a programelor operaționale și a</w:t>
      </w:r>
      <w:bookmarkEnd w:id="3"/>
      <w:r>
        <w:rPr>
          <w:noProof/>
        </w:rPr>
        <w:t xml:space="preserve"> </w:t>
      </w:r>
      <w:r>
        <w:rPr>
          <w:rFonts w:ascii="Times New Roman" w:hAnsi="Times New Roman"/>
          <w:noProof/>
          <w:sz w:val="24"/>
        </w:rPr>
        <w:t>coexistenței mai multor fonduri, cum ar fi Fondul pentru o tranziție justă și Mecanismul de redresare și reziliență, acesta din urmă având un calendar mai strâns, precum și a faptului că autoritățile naționale s-au concentrat mai întâi pe finalizarea execuției fondurilor în temeiul cadrului multianual 2014-2020 conform regulii „N+3”, au fost plătite mai puțin de 7 % din fondurile alocate pentru perioada 2021-2027</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din care mai mult de jumătate reprezintă prefinanțare. </w:t>
      </w:r>
    </w:p>
    <w:p w14:paraId="14DB5E28" w14:textId="6E8CAF49" w:rsidR="00032577" w:rsidRPr="00FA3320" w:rsidRDefault="005706DC" w:rsidP="00780170">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Programarea în cadrul finanțării acțiunii externe, în special pentru IVCDCI – Europa globală, a durat, de asemenea, aproximativ trei ani. </w:t>
      </w:r>
    </w:p>
    <w:p w14:paraId="161FB238" w14:textId="262D7EA1" w:rsidR="007763F5" w:rsidRPr="00FA3320" w:rsidRDefault="007763F5" w:rsidP="00780170">
      <w:pPr>
        <w:spacing w:after="120" w:line="240" w:lineRule="auto"/>
        <w:jc w:val="both"/>
        <w:rPr>
          <w:rFonts w:ascii="Times New Roman" w:hAnsi="Times New Roman" w:cs="Times New Roman"/>
          <w:b/>
          <w:noProof/>
          <w:sz w:val="24"/>
          <w:szCs w:val="24"/>
        </w:rPr>
      </w:pPr>
      <w:r>
        <w:rPr>
          <w:rFonts w:ascii="Times New Roman" w:hAnsi="Times New Roman"/>
          <w:noProof/>
          <w:sz w:val="24"/>
        </w:rPr>
        <w:t>Punerea în aplicare lentă a unor programe pe teren conduce la creșterea angajamentelor restante sau „</w:t>
      </w:r>
      <w:r>
        <w:rPr>
          <w:rFonts w:ascii="Times New Roman" w:hAnsi="Times New Roman"/>
          <w:i/>
          <w:noProof/>
          <w:sz w:val="24"/>
        </w:rPr>
        <w:t>Reste à liquider</w:t>
      </w:r>
      <w:r>
        <w:rPr>
          <w:rFonts w:ascii="Times New Roman" w:hAnsi="Times New Roman"/>
          <w:noProof/>
          <w:sz w:val="24"/>
        </w:rPr>
        <w:t>” (figura 1)</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și la un risc mai mare de dezangajări și poate cauza ineficiențe, deoarece prioritățile de politică se schimbă atunci când există un decalaj semnificativ de mai mulți ani între stabilirea priorităților, programare și punerea efectivă în aplicare a investițiilor. </w:t>
      </w:r>
    </w:p>
    <w:p w14:paraId="057AB78C" w14:textId="3403F5B5" w:rsidR="00FA3320" w:rsidRDefault="00FA3320" w:rsidP="007B2E77">
      <w:pPr>
        <w:spacing w:after="120" w:line="240" w:lineRule="auto"/>
        <w:jc w:val="center"/>
        <w:rPr>
          <w:rFonts w:ascii="Times New Roman" w:hAnsi="Times New Roman" w:cs="Times New Roman"/>
          <w:b/>
          <w:bCs/>
          <w:noProof/>
          <w:sz w:val="24"/>
          <w:szCs w:val="24"/>
        </w:rPr>
      </w:pPr>
    </w:p>
    <w:p w14:paraId="138CB353" w14:textId="7C5B4367" w:rsidR="000C5F1D" w:rsidRPr="00FA3320" w:rsidRDefault="000C5F1D" w:rsidP="00227512">
      <w:pPr>
        <w:keepNext/>
        <w:spacing w:after="120" w:line="240" w:lineRule="auto"/>
        <w:rPr>
          <w:rFonts w:ascii="Times New Roman" w:hAnsi="Times New Roman" w:cs="Times New Roman"/>
          <w:noProof/>
          <w:sz w:val="24"/>
          <w:szCs w:val="24"/>
        </w:rPr>
      </w:pPr>
      <w:r>
        <w:rPr>
          <w:rFonts w:ascii="Times New Roman" w:hAnsi="Times New Roman"/>
          <w:b/>
          <w:noProof/>
          <w:sz w:val="24"/>
        </w:rPr>
        <w:t>Figura 1.</w:t>
      </w:r>
      <w:r>
        <w:rPr>
          <w:rFonts w:ascii="Times New Roman" w:hAnsi="Times New Roman"/>
          <w:noProof/>
          <w:sz w:val="24"/>
        </w:rPr>
        <w:t xml:space="preserve"> Angajamente restante din bugetul UE </w:t>
      </w:r>
    </w:p>
    <w:p w14:paraId="5E9937EE" w14:textId="727D15D1" w:rsidR="000C5F1D" w:rsidRPr="00FA3320" w:rsidRDefault="00622D5E" w:rsidP="00780170">
      <w:pPr>
        <w:spacing w:after="120" w:line="240" w:lineRule="auto"/>
        <w:jc w:val="center"/>
        <w:rPr>
          <w:rFonts w:ascii="Times New Roman" w:hAnsi="Times New Roman" w:cs="Times New Roman"/>
          <w:noProof/>
          <w:sz w:val="24"/>
          <w:szCs w:val="24"/>
        </w:rPr>
      </w:pPr>
      <w:r w:rsidRPr="00622D5E">
        <w:rPr>
          <w:noProof/>
          <w:lang w:val="en-GB" w:eastAsia="en-GB"/>
        </w:rPr>
        <w:drawing>
          <wp:inline distT="0" distB="0" distL="0" distR="0" wp14:anchorId="28A1C681" wp14:editId="3FC653FC">
            <wp:extent cx="5731510" cy="2384425"/>
            <wp:effectExtent l="0" t="0" r="2540" b="0"/>
            <wp:docPr id="327520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384425"/>
                    </a:xfrm>
                    <a:prstGeom prst="rect">
                      <a:avLst/>
                    </a:prstGeom>
                    <a:noFill/>
                    <a:ln>
                      <a:noFill/>
                    </a:ln>
                  </pic:spPr>
                </pic:pic>
              </a:graphicData>
            </a:graphic>
          </wp:inline>
        </w:drawing>
      </w:r>
    </w:p>
    <w:p w14:paraId="3F34F3D4" w14:textId="5BA50794" w:rsidR="00A156B2" w:rsidRPr="00A720BD" w:rsidRDefault="00A156B2" w:rsidP="00780170">
      <w:pPr>
        <w:spacing w:after="120" w:line="240" w:lineRule="auto"/>
        <w:jc w:val="center"/>
        <w:rPr>
          <w:rFonts w:ascii="Times New Roman" w:hAnsi="Times New Roman" w:cs="Times New Roman"/>
          <w:i/>
          <w:iCs/>
          <w:noProof/>
          <w:sz w:val="16"/>
          <w:szCs w:val="16"/>
        </w:rPr>
      </w:pPr>
      <w:r>
        <w:rPr>
          <w:rFonts w:ascii="Times New Roman" w:hAnsi="Times New Roman"/>
          <w:i/>
          <w:noProof/>
          <w:sz w:val="16"/>
        </w:rPr>
        <w:t xml:space="preserve">Notă: EUR, prețuri curente, rotunjite la cel mai apropiat miliard. Anii 2024-2027 corespund previziunilor privind plățile pe termen lung. </w:t>
      </w:r>
    </w:p>
    <w:p w14:paraId="405CC7BD" w14:textId="77777777" w:rsidR="00A720BD" w:rsidRPr="00F15F65" w:rsidRDefault="00A720BD" w:rsidP="00780170">
      <w:pPr>
        <w:pStyle w:val="paragraph"/>
        <w:spacing w:before="0" w:beforeAutospacing="0" w:after="120" w:afterAutospacing="0"/>
        <w:ind w:left="720"/>
        <w:jc w:val="both"/>
        <w:textAlignment w:val="baseline"/>
        <w:rPr>
          <w:rFonts w:eastAsia="Calibri"/>
          <w:i/>
          <w:iCs/>
          <w:noProof/>
          <w:lang w:eastAsia="en-US"/>
        </w:rPr>
      </w:pPr>
    </w:p>
    <w:p w14:paraId="5AE33F4F" w14:textId="1E33B2BD" w:rsidR="00CE60AE" w:rsidRPr="00780170" w:rsidRDefault="438FEDDB" w:rsidP="00227512">
      <w:pPr>
        <w:pStyle w:val="paragraph"/>
        <w:keepNext/>
        <w:spacing w:before="0" w:beforeAutospacing="0" w:after="120" w:afterAutospacing="0"/>
        <w:ind w:left="720"/>
        <w:jc w:val="both"/>
        <w:textAlignment w:val="baseline"/>
        <w:rPr>
          <w:rFonts w:eastAsia="Calibri"/>
          <w:i/>
          <w:iCs/>
          <w:noProof/>
        </w:rPr>
      </w:pPr>
      <w:r>
        <w:rPr>
          <w:i/>
          <w:noProof/>
        </w:rPr>
        <w:t>Un buget al UE cu un impact mai mare</w:t>
      </w:r>
    </w:p>
    <w:p w14:paraId="15C303F7" w14:textId="19C7D95F" w:rsidR="00DB2272" w:rsidRPr="00FA3320" w:rsidRDefault="003D6AC4"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Bugetul UE mobilizează capacitatea financiară globală a Uniunii</w:t>
      </w:r>
      <w:r>
        <w:rPr>
          <w:rFonts w:ascii="Times New Roman" w:hAnsi="Times New Roman"/>
          <w:noProof/>
          <w:sz w:val="24"/>
        </w:rPr>
        <w:t xml:space="preserve">. Arhitectura financiară mai largă a programelor de cheltuieli ale </w:t>
      </w:r>
      <w:r>
        <w:rPr>
          <w:rStyle w:val="normaltextrun"/>
          <w:rFonts w:ascii="Times New Roman" w:hAnsi="Times New Roman"/>
          <w:noProof/>
          <w:color w:val="000000" w:themeColor="text1"/>
          <w:sz w:val="24"/>
        </w:rPr>
        <w:t>UE include împrumuturi, garanții și instrumente financiare sprijinite de bugetul UE și mobilizează cofinanțare din partea statelor membre și a beneficiarilor</w:t>
      </w:r>
      <w:r>
        <w:rPr>
          <w:rFonts w:ascii="Times New Roman" w:hAnsi="Times New Roman"/>
          <w:noProof/>
          <w:sz w:val="24"/>
        </w:rPr>
        <w:t>.</w:t>
      </w:r>
      <w:r>
        <w:rPr>
          <w:rStyle w:val="normaltextrun"/>
          <w:rFonts w:ascii="Times New Roman" w:hAnsi="Times New Roman"/>
          <w:noProof/>
          <w:color w:val="000000" w:themeColor="text1"/>
          <w:sz w:val="24"/>
        </w:rPr>
        <w:t xml:space="preserve"> </w:t>
      </w:r>
      <w:r>
        <w:rPr>
          <w:rFonts w:ascii="Times New Roman" w:hAnsi="Times New Roman"/>
          <w:noProof/>
          <w:sz w:val="24"/>
        </w:rPr>
        <w:t>Prin intermediul InvestEU și al Consiliului European pentru Inovare, bugetul UE reduce riscurile aferente proiectelor inovatoare și atrage investiții din sectorul privat.</w:t>
      </w:r>
      <w:r>
        <w:rPr>
          <w:rStyle w:val="normaltextrun"/>
          <w:rFonts w:ascii="Times New Roman" w:hAnsi="Times New Roman"/>
          <w:noProof/>
          <w:color w:val="000000" w:themeColor="text1"/>
          <w:sz w:val="24"/>
        </w:rPr>
        <w:t xml:space="preserve"> 95 % dintre promotorii de proiecte</w:t>
      </w:r>
      <w:r>
        <w:rPr>
          <w:rFonts w:ascii="Times New Roman" w:hAnsi="Times New Roman"/>
          <w:noProof/>
          <w:sz w:val="24"/>
        </w:rPr>
        <w:t xml:space="preserve"> au raportat că, în absența finanțării din partea InvestEU, proiectele lor fie nu ar fi fost realizate deloc, fie nu ar fi fost realizate astfel cum era prevăzut. În plus, 58 % dintre promotorii de proiecte au considerat că finanțarea garantată prin InvestEU a avut un impact asupra deciziilor altor finanțatori sau investitori de a participa la proiect. </w:t>
      </w:r>
    </w:p>
    <w:p w14:paraId="03362B7F" w14:textId="7EEAB841" w:rsidR="008A4A1F" w:rsidRPr="00FA3320" w:rsidRDefault="00E0203C"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Cu toate acestea, deblocarea investițiilor private se dovedește a fi în continuare dificilă în actualul buget pe termen lung.</w:t>
      </w:r>
      <w:r>
        <w:rPr>
          <w:rFonts w:ascii="Times New Roman" w:hAnsi="Times New Roman"/>
          <w:noProof/>
          <w:sz w:val="24"/>
        </w:rPr>
        <w:t xml:space="preserve"> Există posibilitatea de a optimiza capacitatea bugetului UE de a absorbi riscurile pentru a maximiza impactul resurselor publice. De exemplu, este necesară o provizionare mai mare pentru a sprijini sectoarele care se confruntă cu mai multe dificultăți în accesarea finanțării de pe piață, de exemplu sectoarele cu risc ridicat sau cele de nișă, cum ar fi biodiversitatea sau produsele sociale. Acest lucru ar putea fi contrabalansat de alte produse care necesită o provizionare mai redusă. Capacitatea bugetului UE de a mobiliza investiții private prin intermediul instrumentelor de partajare a riscurilor este afectată de apetitul limitat la risc, întrucât partenerii de implementare se concentrează în continuare în principal pe investiții cu risc relativ scăzut</w:t>
      </w:r>
      <w:r>
        <w:rPr>
          <w:rStyle w:val="FootnoteReference"/>
          <w:rFonts w:ascii="Times New Roman" w:hAnsi="Times New Roman" w:cs="Times New Roman"/>
          <w:noProof/>
          <w:sz w:val="24"/>
          <w:szCs w:val="24"/>
        </w:rPr>
        <w:footnoteReference w:id="29"/>
      </w:r>
      <w:r>
        <w:rPr>
          <w:rFonts w:ascii="Times New Roman" w:hAnsi="Times New Roman"/>
          <w:noProof/>
          <w:sz w:val="24"/>
        </w:rPr>
        <w:t>. Sprijinirea proiectelor din domeniul apărării prin intermediul InvestEU în actualul buget multianual s-a dovedit a fi dificilă din cauza normelor interne ale partenerilor de implementare. În plus, bugetul InvestEU a beneficiat de o finanțare suplimentară substanțială din NextGenerationEU. Din cauza termenelor mai stricte ale NextGenerationEU, aprobările au fost puternic concentrate la începutul perioadei, epuizându-se astfel disponibilitățile pentru multe produse financiare. Prin urmare, noile aprobări ale anumitor produse financiare, în special în domeniile cu risc ridicat, vor înceta după 2025</w:t>
      </w:r>
      <w:r>
        <w:rPr>
          <w:rFonts w:ascii="Times New Roman" w:eastAsiaTheme="minorEastAsia" w:hAnsi="Times New Roman" w:cs="Times New Roman"/>
          <w:noProof/>
          <w:sz w:val="24"/>
          <w:szCs w:val="24"/>
          <w:vertAlign w:val="superscript"/>
        </w:rPr>
        <w:footnoteReference w:id="30"/>
      </w:r>
      <w:r>
        <w:rPr>
          <w:rFonts w:ascii="Times New Roman" w:hAnsi="Times New Roman"/>
          <w:noProof/>
          <w:sz w:val="24"/>
        </w:rPr>
        <w:t>. Se recurge încă într-o măsură mai limitată decât este posibil la surse de finanțare diferite de finanțarea bancară: de exemplu, capitalul de risc al UE nu este suficient de dezvoltat, fondurile mobilizând doar 5 % din capitalul de risc la nivel mondial, față de 52 % în SUA. Finalizarea uniunii piețelor de capital va fi esențială pentru a atrage investiții private. În același timp, bugetul UE poate completa și mobiliza investiții private, facilitând astfel finanțarea de către băncile comerciale, investitori și capitalul de risc a întreprinderilor cu creștere rapidă și eliminarea barierelor care limitează capitalul european disponibil pentru finanțarea inovării. UE trebuie să își utilizeze mai bine bugetul pentru a reduce riscurile și a mobiliza în continuare finanțarea națională, privată și instituțională.</w:t>
      </w:r>
    </w:p>
    <w:p w14:paraId="2F04D356" w14:textId="732CBF6D" w:rsidR="00576485" w:rsidRPr="00FA3320" w:rsidRDefault="008D4DED"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Finanțarea tranziției verzi, digitale și sociale va necesita maximizarea investițiilor publice și mobilizarea capitalului privat. </w:t>
      </w:r>
      <w:r>
        <w:rPr>
          <w:rFonts w:ascii="Times New Roman" w:hAnsi="Times New Roman"/>
          <w:noProof/>
          <w:sz w:val="24"/>
        </w:rPr>
        <w:t>Investițiile pentru atingerea obiectivelor de decarbonizare ale UE și eliminarea barierelor din calea uniunii noastre energetice oferă Europei oportunitatea de a reduce prețurile la energie, de a-și spori securitatea energetică și de a-și asuma rolul de lider în domeniul tehnologiilor curate. Pentru atingerea acestui obiectiv, este necesar ca UE să își raționalizeze finanțarea pentru tehnologiile curate și să se axeze pe tehnologiile în care are un avantaj și un potențial puternic de creștere. În plus, sprijinul financiar din partea UE exclude în prezent costurile de exploatare, unde decalajele în materie de costuri sunt cele mai mari</w:t>
      </w:r>
      <w:r>
        <w:rPr>
          <w:rStyle w:val="FootnoteReference"/>
          <w:rFonts w:ascii="Times New Roman" w:hAnsi="Times New Roman" w:cs="Times New Roman"/>
          <w:noProof/>
          <w:sz w:val="24"/>
          <w:szCs w:val="24"/>
        </w:rPr>
        <w:footnoteReference w:id="31"/>
      </w:r>
      <w:r>
        <w:rPr>
          <w:rFonts w:ascii="Times New Roman" w:hAnsi="Times New Roman"/>
          <w:noProof/>
          <w:sz w:val="24"/>
        </w:rPr>
        <w:t>. Fragmentarea pieței unice și a oportunităților de finanțare împiedică întreprinderile inovatoare să se extindă, iar acest lucru este valabil în special pentru întreprinderile tehnologice tinere și inovatoare. Incapacitatea de a valorifica revoluția digitală este unul dintre factorii care ne afectează negativ competitivitatea și va necesita investiții substanțiale pentru a ține pasul cu principalii concurenți ai Europei: prin urmare, este esențială atingerea unei nivel suficient de sprijinire a proiectelor strategice pentru a reduce decalajul în materie de inovare din Europa. În acest sens, Fondul european de investiții poate interveni pentru a finanța în continuare întreprinderile europene cu potențial ridicat și cu creștere rapidă. În general, există posibilități suplimentare de creștere a adiționalității cheltuielilor UE pentru a se asigura că bugetul UE se concentrează pe investiții care nu s-ar fi materializat altfel.</w:t>
      </w:r>
    </w:p>
    <w:p w14:paraId="7A378C19" w14:textId="22EADBFE" w:rsidR="009E30EB" w:rsidRPr="00FA3320" w:rsidRDefault="00215F5D" w:rsidP="00780170">
      <w:pPr>
        <w:spacing w:after="120" w:line="240" w:lineRule="auto"/>
        <w:jc w:val="both"/>
        <w:rPr>
          <w:rStyle w:val="normaltextrun"/>
          <w:rFonts w:ascii="Times New Roman" w:hAnsi="Times New Roman" w:cs="Times New Roman"/>
          <w:b/>
          <w:noProof/>
          <w:sz w:val="24"/>
          <w:szCs w:val="24"/>
        </w:rPr>
      </w:pPr>
      <w:r>
        <w:rPr>
          <w:rStyle w:val="normaltextrun"/>
          <w:rFonts w:ascii="Times New Roman" w:hAnsi="Times New Roman"/>
          <w:b/>
          <w:noProof/>
          <w:sz w:val="24"/>
        </w:rPr>
        <w:t>Un accent mai puternic pe performanță a contribuit la alinierea obiectivelor de politică și a cheltuielilor UE.</w:t>
      </w:r>
      <w:r>
        <w:rPr>
          <w:rStyle w:val="normaltextrun"/>
          <w:rFonts w:ascii="Times New Roman" w:hAnsi="Times New Roman"/>
          <w:noProof/>
          <w:sz w:val="24"/>
        </w:rPr>
        <w:t xml:space="preserve"> Unele programe au trecut de la plățile bazate pe rambursarea costurilor</w:t>
      </w:r>
      <w:r>
        <w:rPr>
          <w:rFonts w:ascii="Times New Roman" w:hAnsi="Times New Roman"/>
          <w:noProof/>
          <w:sz w:val="24"/>
        </w:rPr>
        <w:t xml:space="preserve"> la modele de performanță care se axează mai mult pe obiectivele și rezultatele care trebuie atinse. Acest lucru este valabil nu numai pentru</w:t>
      </w:r>
      <w:r>
        <w:rPr>
          <w:noProof/>
        </w:rPr>
        <w:t xml:space="preserve"> </w:t>
      </w:r>
      <w:bookmarkStart w:id="4" w:name="_Hlk184206656"/>
      <w:r>
        <w:rPr>
          <w:rFonts w:ascii="Times New Roman" w:hAnsi="Times New Roman"/>
          <w:noProof/>
          <w:sz w:val="24"/>
        </w:rPr>
        <w:t>Mecanismul de redresare și reziliență</w:t>
      </w:r>
      <w:bookmarkEnd w:id="4"/>
      <w:r>
        <w:rPr>
          <w:noProof/>
        </w:rPr>
        <w:t xml:space="preserve"> </w:t>
      </w:r>
      <w:r>
        <w:rPr>
          <w:rFonts w:ascii="Times New Roman" w:hAnsi="Times New Roman"/>
          <w:noProof/>
          <w:sz w:val="24"/>
        </w:rPr>
        <w:t xml:space="preserve">– un program la scară largă în care plățile depind de îndeplinirea satisfăcătoare a obiectivelor predefinite – ci și pentru alte programe, cum ar fi Mecanismul pentru Ucraina și Mecanismul de creștere pentru Balcanii de Vest. </w:t>
      </w:r>
      <w:r>
        <w:rPr>
          <w:rStyle w:val="normaltextrun"/>
          <w:rFonts w:ascii="Times New Roman" w:hAnsi="Times New Roman"/>
          <w:noProof/>
          <w:sz w:val="24"/>
        </w:rPr>
        <w:t>Alte mecanisme au fost utilizate pentru a îmbunătăți performanța cheltuielilor UE, precum finanțarea nelegată de costuri</w:t>
      </w:r>
      <w:r>
        <w:rPr>
          <w:rStyle w:val="FootnoteReference"/>
          <w:rFonts w:ascii="Times New Roman" w:hAnsi="Times New Roman" w:cs="Times New Roman"/>
          <w:noProof/>
          <w:sz w:val="24"/>
          <w:szCs w:val="24"/>
        </w:rPr>
        <w:footnoteReference w:id="32"/>
      </w:r>
      <w:r>
        <w:rPr>
          <w:rStyle w:val="FootnoteReference"/>
          <w:rFonts w:ascii="Times New Roman" w:hAnsi="Times New Roman"/>
          <w:noProof/>
          <w:sz w:val="24"/>
        </w:rPr>
        <w:t xml:space="preserve"> </w:t>
      </w:r>
      <w:r>
        <w:rPr>
          <w:rFonts w:ascii="Times New Roman" w:hAnsi="Times New Roman"/>
          <w:noProof/>
          <w:sz w:val="24"/>
        </w:rPr>
        <w:t>și planificarea strategică.</w:t>
      </w:r>
      <w:r>
        <w:rPr>
          <w:rStyle w:val="normaltextrun"/>
          <w:rFonts w:ascii="Times New Roman" w:hAnsi="Times New Roman"/>
          <w:noProof/>
          <w:sz w:val="24"/>
        </w:rPr>
        <w:t>. De exemplu, o orientare mai puternică către performanță în cadrul politicii agricole comune a fost realizată prin intermediul planurilor strategice naționale elaborate în funcție de nevoile și capacitățile naționale, care corelează, de asemenea, toate intervențiile cu indicatori ce permit evaluarea progreselor înregistrate de statele membre în atingerea obiectivelor lor. Totuși, acest lucru nu a eliminat încă complexitatea excesivă cu care se confruntă fermierii individuali. În ceea ce privește coeziunea, Consiliul a subliniat necesitatea de a reflecta asupra modalităților de a face ca politica de coeziune să se axeze într-o mai mare măsură pe performanță, în vederea consolidării eficienței sale, pe baza propriilor experiențe, precum și a lecțiilor învățate de la alte instrumente ale UE și a punctelor sale forte – gestiunea partajată, guvernanța pe mai multe niveluri, abordarea bazată pe realitatea zonei și principiul parteneriatului</w:t>
      </w:r>
      <w:r>
        <w:rPr>
          <w:rStyle w:val="FootnoteReference"/>
          <w:rFonts w:ascii="Times New Roman" w:hAnsi="Times New Roman" w:cs="Times New Roman"/>
          <w:noProof/>
          <w:sz w:val="24"/>
          <w:szCs w:val="24"/>
        </w:rPr>
        <w:footnoteReference w:id="33"/>
      </w:r>
      <w:r>
        <w:rPr>
          <w:rStyle w:val="normaltextrun"/>
          <w:rFonts w:ascii="Times New Roman" w:hAnsi="Times New Roman"/>
          <w:noProof/>
          <w:sz w:val="24"/>
        </w:rPr>
        <w:t>. În avizele platformei „Pregătiți pentru viitor” privind evaluarea fondurilor de coeziune, rezultate în urma unei consultări a rețelei de centre regionale a Comitetului Regiunilor, s-a solicitat, de asemenea, punerea unui accent mai mare pe performanță</w:t>
      </w:r>
      <w:r>
        <w:rPr>
          <w:rStyle w:val="FootnoteReference"/>
          <w:rFonts w:ascii="Times New Roman" w:hAnsi="Times New Roman" w:cs="Times New Roman"/>
          <w:noProof/>
          <w:sz w:val="24"/>
          <w:szCs w:val="24"/>
        </w:rPr>
        <w:footnoteReference w:id="34"/>
      </w:r>
      <w:r>
        <w:rPr>
          <w:rStyle w:val="normaltextrun"/>
          <w:rFonts w:ascii="Times New Roman" w:hAnsi="Times New Roman"/>
          <w:noProof/>
          <w:sz w:val="24"/>
        </w:rPr>
        <w:t xml:space="preserve">. </w:t>
      </w:r>
    </w:p>
    <w:p w14:paraId="2D9CE01B" w14:textId="16B35F9A" w:rsidR="00BD167E" w:rsidRPr="00FA3320" w:rsidRDefault="00B922CB" w:rsidP="00780170">
      <w:pPr>
        <w:spacing w:after="120" w:line="240" w:lineRule="auto"/>
        <w:jc w:val="both"/>
        <w:rPr>
          <w:rStyle w:val="normaltextrun"/>
          <w:rFonts w:ascii="Times New Roman" w:hAnsi="Times New Roman" w:cs="Times New Roman"/>
          <w:noProof/>
          <w:sz w:val="24"/>
          <w:szCs w:val="24"/>
        </w:rPr>
      </w:pPr>
      <w:r>
        <w:rPr>
          <w:rStyle w:val="normaltextrun"/>
          <w:rFonts w:ascii="Times New Roman" w:hAnsi="Times New Roman"/>
          <w:b/>
          <w:noProof/>
          <w:sz w:val="24"/>
        </w:rPr>
        <w:t xml:space="preserve">Un accent mai puternic pe performanță trebuie să fie însoțit de simplificare și responsabilitate. </w:t>
      </w:r>
      <w:r>
        <w:rPr>
          <w:rStyle w:val="normaltextrun"/>
          <w:rFonts w:ascii="Times New Roman" w:hAnsi="Times New Roman"/>
          <w:noProof/>
          <w:sz w:val="24"/>
        </w:rPr>
        <w:t>Abordările bazate pe performanță au caracteristici pozitive importante legate de eficiență și de rapiditatea punerii în aplicare. În același timp, aceste abordări au creat costuri de intrare pentru administrațiile statelor membre, ceea ce indică necesitatea unor simplificări administrative suplimentare</w:t>
      </w:r>
      <w:r>
        <w:rPr>
          <w:rStyle w:val="FootnoteReference"/>
          <w:rFonts w:ascii="Times New Roman" w:hAnsi="Times New Roman" w:cs="Times New Roman"/>
          <w:noProof/>
          <w:sz w:val="24"/>
          <w:szCs w:val="24"/>
        </w:rPr>
        <w:footnoteReference w:id="35"/>
      </w:r>
      <w:r>
        <w:rPr>
          <w:rStyle w:val="normaltextrun"/>
          <w:rFonts w:ascii="Times New Roman" w:hAnsi="Times New Roman"/>
          <w:noProof/>
          <w:sz w:val="24"/>
        </w:rPr>
        <w:t>.</w:t>
      </w:r>
      <w:r>
        <w:rPr>
          <w:rStyle w:val="normaltextrun"/>
          <w:rFonts w:ascii="Times New Roman" w:hAnsi="Times New Roman"/>
          <w:b/>
          <w:noProof/>
          <w:sz w:val="24"/>
        </w:rPr>
        <w:t xml:space="preserve"> </w:t>
      </w:r>
      <w:r>
        <w:rPr>
          <w:rStyle w:val="normaltextrun"/>
          <w:rFonts w:ascii="Times New Roman" w:hAnsi="Times New Roman"/>
          <w:noProof/>
          <w:sz w:val="24"/>
        </w:rPr>
        <w:t>În plus, trebuie luați în considerare, de asemenea, factorii importanți privind responsabilitatea și trasabilitatea fondurilor UE. În acest sens, Curtea de Conturi Europeană a identificat domenii în care se pot aduce îmbunătățiri</w:t>
      </w:r>
      <w:r>
        <w:rPr>
          <w:rStyle w:val="FootnoteReference"/>
          <w:rFonts w:ascii="Times New Roman" w:hAnsi="Times New Roman" w:cs="Times New Roman"/>
          <w:noProof/>
          <w:sz w:val="24"/>
          <w:szCs w:val="24"/>
        </w:rPr>
        <w:footnoteReference w:id="36"/>
      </w:r>
      <w:r>
        <w:rPr>
          <w:rStyle w:val="normaltextrun"/>
          <w:rFonts w:ascii="Times New Roman" w:hAnsi="Times New Roman"/>
          <w:noProof/>
          <w:sz w:val="24"/>
          <w:vertAlign w:val="superscript"/>
        </w:rPr>
        <w:t>,</w:t>
      </w:r>
      <w:r>
        <w:rPr>
          <w:rStyle w:val="FootnoteReference"/>
          <w:rFonts w:ascii="Times New Roman" w:hAnsi="Times New Roman" w:cs="Times New Roman"/>
          <w:noProof/>
          <w:sz w:val="24"/>
          <w:szCs w:val="24"/>
        </w:rPr>
        <w:footnoteReference w:id="37"/>
      </w:r>
      <w:r>
        <w:rPr>
          <w:rStyle w:val="normaltextrun"/>
          <w:rFonts w:ascii="Times New Roman" w:hAnsi="Times New Roman"/>
          <w:noProof/>
          <w:sz w:val="24"/>
        </w:rPr>
        <w:t xml:space="preserve">. </w:t>
      </w:r>
    </w:p>
    <w:p w14:paraId="628E74AD" w14:textId="45534BE7" w:rsidR="00CD6EA7" w:rsidRPr="00FA3320" w:rsidRDefault="0009008D"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Deși bugetul UE a contribuit la promovarea priorităților orizontale, cum ar fi acțiunile climatice, biodiversitatea și egalitatea de gen, precum și la dezvoltarea unui cadru de performanță mai solid, pot fi aduse îmbunătățiri suplimentare.</w:t>
      </w:r>
      <w:r>
        <w:rPr>
          <w:rFonts w:ascii="Times New Roman" w:hAnsi="Times New Roman"/>
          <w:noProof/>
          <w:sz w:val="24"/>
        </w:rPr>
        <w:t xml:space="preserve"> În pofida progreselor înregistrate în ceea ce privește sprijinirea priorităților orizontale, există posibilitatea de a îmbunătăți coerența modului în care programele integrează aceste priorități în conceperea lor. În plus, Regulamentul financiar revizuit prevede că programele UE trebuie să țină seama, ori de câte ori este relevant și posibil, de principiul de „a nu prejudicia în mod semnificativ”, de condițiile de muncă și de angajare, precum și de principiul egalității de gen. Cadrul nostru de performanță este solid și asigură faptul că programele dispun de indicatori semnificativi care permit monitorizarea cheltuielilor UE și a rezultatelor acestora. Normele de monitorizare și de raportare rămân totuși complexe, cu metodologii și seturi de indicatori diferite în funcție de programe. </w:t>
      </w:r>
    </w:p>
    <w:p w14:paraId="408D8247" w14:textId="0DF94570" w:rsidR="00CE60AE" w:rsidRPr="00780170" w:rsidRDefault="79CA02CA" w:rsidP="00780170">
      <w:pPr>
        <w:pStyle w:val="paragraph"/>
        <w:spacing w:before="0" w:beforeAutospacing="0" w:after="120" w:afterAutospacing="0"/>
        <w:ind w:left="720"/>
        <w:jc w:val="both"/>
        <w:textAlignment w:val="baseline"/>
        <w:rPr>
          <w:rFonts w:eastAsia="Calibri"/>
          <w:i/>
          <w:iCs/>
          <w:noProof/>
        </w:rPr>
      </w:pPr>
      <w:r>
        <w:rPr>
          <w:i/>
          <w:noProof/>
        </w:rPr>
        <w:t>Un buget al UE mai flexibil  </w:t>
      </w:r>
    </w:p>
    <w:p w14:paraId="2CB1E0B0" w14:textId="3718E32D" w:rsidR="009D13D5" w:rsidRPr="00FA3320" w:rsidRDefault="009965EA" w:rsidP="00780170">
      <w:pPr>
        <w:pStyle w:val="paragraph"/>
        <w:spacing w:before="0" w:beforeAutospacing="0" w:after="120" w:afterAutospacing="0"/>
        <w:jc w:val="both"/>
        <w:textAlignment w:val="baseline"/>
        <w:rPr>
          <w:noProof/>
        </w:rPr>
      </w:pPr>
      <w:r>
        <w:rPr>
          <w:b/>
          <w:noProof/>
        </w:rPr>
        <w:t>Bugetul UE trebuie să asigure un echilibru între previzibilitatea investițiilor pe termen lung și flexibilitatea de a răspunde la crize</w:t>
      </w:r>
      <w:r>
        <w:rPr>
          <w:rStyle w:val="normaltextrun"/>
          <w:b/>
          <w:noProof/>
          <w:color w:val="000000"/>
          <w:shd w:val="clear" w:color="auto" w:fill="FFFFFF"/>
        </w:rPr>
        <w:t xml:space="preserve">. </w:t>
      </w:r>
      <w:r>
        <w:rPr>
          <w:noProof/>
        </w:rPr>
        <w:t xml:space="preserve">Bugetul UE este diferit de bugetele naționale întrucât este predominant un buget de investiții care face obiectul planificării multianuale. În același timp, acesta are nevoie de flexibilitate pentru a răspunde unor nevoi neprevăzute (de exemplu, crize economice de mare amploare sau dezastre naturale) sau pentru a finanța noi priorități în conformitate cu evoluția rapidă a situației la nivel mondial. </w:t>
      </w:r>
    </w:p>
    <w:p w14:paraId="3B9F9C7A" w14:textId="16F5F68D" w:rsidR="009E7CF0" w:rsidRPr="00FA3320" w:rsidRDefault="00437201" w:rsidP="00780170">
      <w:pPr>
        <w:spacing w:after="120" w:line="240" w:lineRule="auto"/>
        <w:jc w:val="both"/>
        <w:rPr>
          <w:rStyle w:val="Strong"/>
          <w:rFonts w:ascii="Times New Roman" w:hAnsi="Times New Roman" w:cs="Times New Roman"/>
          <w:b w:val="0"/>
          <w:noProof/>
          <w:sz w:val="24"/>
          <w:szCs w:val="24"/>
        </w:rPr>
      </w:pPr>
      <w:r>
        <w:rPr>
          <w:rFonts w:ascii="Times New Roman" w:hAnsi="Times New Roman"/>
          <w:b/>
          <w:noProof/>
          <w:sz w:val="24"/>
        </w:rPr>
        <w:t>Rigiditățile inerente ale cadrului financiar multianual trebuie atenuate.</w:t>
      </w:r>
      <w:r>
        <w:rPr>
          <w:rFonts w:ascii="Times New Roman" w:hAnsi="Times New Roman"/>
          <w:noProof/>
          <w:sz w:val="24"/>
        </w:rPr>
        <w:t xml:space="preserve"> În mod tradițional, bugetul UE depășește cu puțin 1 % din VNB-ul UE și, în prezent, împreună cu NextGenerationEU, atinge 1,7 % din VNB-ul UE (figura 2). În actualul cadru financiar, cheltuielile sunt blocate pentru o perioadă de 7 ani, ceea ce înseamnă un decalaj îndelungat între momentul elaborării politicii și punerea sa în aplicare. În plus, cheltuielile se încadrează în limitele globale anuale, precum și în limitele pentru domeniul principal de activitate (rubrici și subrubrici), </w:t>
      </w:r>
      <w:r>
        <w:rPr>
          <w:rStyle w:val="Strong"/>
          <w:rFonts w:ascii="Times New Roman" w:hAnsi="Times New Roman"/>
          <w:b w:val="0"/>
          <w:noProof/>
          <w:sz w:val="24"/>
        </w:rPr>
        <w:t>care sunt stabilite la începutul perioadei și restricționează transferul de resurse</w:t>
      </w:r>
      <w:r>
        <w:rPr>
          <w:rStyle w:val="FootnoteReference"/>
          <w:rFonts w:ascii="Times New Roman" w:hAnsi="Times New Roman" w:cs="Times New Roman"/>
          <w:bCs/>
          <w:noProof/>
          <w:sz w:val="24"/>
          <w:szCs w:val="24"/>
        </w:rPr>
        <w:footnoteReference w:id="38"/>
      </w:r>
      <w:r>
        <w:rPr>
          <w:rStyle w:val="Strong"/>
          <w:rFonts w:ascii="Times New Roman" w:hAnsi="Times New Roman"/>
          <w:b w:val="0"/>
          <w:noProof/>
          <w:sz w:val="24"/>
        </w:rPr>
        <w:t>. Actualul cadru financiar multianual are șapte rubrici și două subrubrici, ceea ce reprezintă cel mai mare număr de rubrici în raport cu cadrele anterioare.</w:t>
      </w:r>
    </w:p>
    <w:p w14:paraId="72772E87" w14:textId="750031DF" w:rsidR="009E7CF0" w:rsidRPr="00FA3320" w:rsidRDefault="009E7CF0" w:rsidP="00227512">
      <w:pPr>
        <w:keepNext/>
        <w:spacing w:after="120" w:line="240" w:lineRule="auto"/>
        <w:jc w:val="both"/>
        <w:rPr>
          <w:rStyle w:val="Strong"/>
          <w:rFonts w:ascii="Times New Roman" w:hAnsi="Times New Roman" w:cs="Times New Roman"/>
          <w:b w:val="0"/>
          <w:bCs w:val="0"/>
          <w:noProof/>
          <w:sz w:val="24"/>
          <w:szCs w:val="24"/>
        </w:rPr>
      </w:pPr>
      <w:r>
        <w:rPr>
          <w:rStyle w:val="Strong"/>
          <w:rFonts w:ascii="Times New Roman" w:hAnsi="Times New Roman"/>
          <w:noProof/>
          <w:sz w:val="24"/>
        </w:rPr>
        <w:t>Figura 2.</w:t>
      </w:r>
      <w:r>
        <w:rPr>
          <w:rStyle w:val="Strong"/>
          <w:rFonts w:ascii="Times New Roman" w:hAnsi="Times New Roman"/>
          <w:b w:val="0"/>
          <w:noProof/>
          <w:sz w:val="24"/>
        </w:rPr>
        <w:t xml:space="preserve"> Bugetul UE ca procent din VNB</w:t>
      </w:r>
      <w:r>
        <w:rPr>
          <w:rStyle w:val="FootnoteReference"/>
          <w:rFonts w:ascii="Times New Roman" w:hAnsi="Times New Roman" w:cs="Times New Roman"/>
          <w:bCs/>
          <w:noProof/>
          <w:sz w:val="24"/>
          <w:szCs w:val="24"/>
        </w:rPr>
        <w:footnoteReference w:id="39"/>
      </w:r>
    </w:p>
    <w:p w14:paraId="6140F271" w14:textId="4D1D9C45" w:rsidR="009E7CF0" w:rsidRPr="00FA3320" w:rsidRDefault="00622D5E" w:rsidP="00780170">
      <w:pPr>
        <w:spacing w:after="120" w:line="240" w:lineRule="auto"/>
        <w:jc w:val="center"/>
        <w:rPr>
          <w:rStyle w:val="Strong"/>
          <w:rFonts w:ascii="Times New Roman" w:hAnsi="Times New Roman" w:cs="Times New Roman"/>
          <w:b w:val="0"/>
          <w:noProof/>
          <w:sz w:val="24"/>
          <w:szCs w:val="24"/>
        </w:rPr>
      </w:pPr>
      <w:r w:rsidRPr="00622D5E">
        <w:rPr>
          <w:rStyle w:val="Strong"/>
          <w:b w:val="0"/>
          <w:bCs w:val="0"/>
          <w:noProof/>
          <w:lang w:val="en-GB" w:eastAsia="en-GB"/>
        </w:rPr>
        <w:drawing>
          <wp:inline distT="0" distB="0" distL="0" distR="0" wp14:anchorId="11C7BC20" wp14:editId="518E4D7D">
            <wp:extent cx="3457575" cy="2273474"/>
            <wp:effectExtent l="0" t="0" r="0" b="0"/>
            <wp:docPr id="1535380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66544" cy="2279371"/>
                    </a:xfrm>
                    <a:prstGeom prst="rect">
                      <a:avLst/>
                    </a:prstGeom>
                    <a:noFill/>
                    <a:ln>
                      <a:noFill/>
                    </a:ln>
                  </pic:spPr>
                </pic:pic>
              </a:graphicData>
            </a:graphic>
          </wp:inline>
        </w:drawing>
      </w:r>
    </w:p>
    <w:p w14:paraId="47A9C549" w14:textId="426777A6" w:rsidR="00437201" w:rsidRPr="00FA3320" w:rsidRDefault="00437201" w:rsidP="00780170">
      <w:pPr>
        <w:spacing w:after="120" w:line="240" w:lineRule="auto"/>
        <w:jc w:val="both"/>
        <w:rPr>
          <w:rStyle w:val="Strong"/>
          <w:rFonts w:ascii="Times New Roman" w:hAnsi="Times New Roman" w:cs="Times New Roman"/>
          <w:b w:val="0"/>
          <w:noProof/>
          <w:sz w:val="24"/>
          <w:szCs w:val="24"/>
        </w:rPr>
      </w:pPr>
    </w:p>
    <w:p w14:paraId="4A851D09" w14:textId="74900E47" w:rsidR="00A03A6D" w:rsidRPr="00FA3320" w:rsidRDefault="00D631AD" w:rsidP="00780170">
      <w:pPr>
        <w:spacing w:after="120" w:line="240" w:lineRule="auto"/>
        <w:jc w:val="both"/>
        <w:rPr>
          <w:rStyle w:val="Strong"/>
          <w:rFonts w:ascii="Times New Roman" w:hAnsi="Times New Roman" w:cs="Times New Roman"/>
          <w:b w:val="0"/>
          <w:noProof/>
          <w:sz w:val="24"/>
          <w:szCs w:val="24"/>
        </w:rPr>
      </w:pPr>
      <w:r>
        <w:rPr>
          <w:rFonts w:ascii="Times New Roman" w:hAnsi="Times New Roman"/>
          <w:b/>
          <w:noProof/>
          <w:sz w:val="24"/>
        </w:rPr>
        <w:t>Bugetul actual are, de asemenea, unele flexibilități financiare integrate, dar acestea sunt limitate ca dimensiune, iar utilizarea lor este adesea rigidă</w:t>
      </w:r>
      <w:r>
        <w:rPr>
          <w:rFonts w:ascii="Times New Roman" w:hAnsi="Times New Roman"/>
          <w:noProof/>
          <w:sz w:val="24"/>
        </w:rPr>
        <w:t>. Instrumentele speciale care depășesc plafoanele de cheltuieli pot contribui la satisfacerea unor nevoi neprevăzute.  Câteva programe au flexibilități sau rezerve integrate</w:t>
      </w:r>
      <w:r>
        <w:rPr>
          <w:rStyle w:val="FootnoteReference"/>
          <w:rFonts w:ascii="Times New Roman" w:hAnsi="Times New Roman" w:cs="Times New Roman"/>
          <w:noProof/>
          <w:sz w:val="24"/>
          <w:szCs w:val="24"/>
        </w:rPr>
        <w:footnoteReference w:id="40"/>
      </w:r>
      <w:r>
        <w:rPr>
          <w:rFonts w:ascii="Times New Roman" w:hAnsi="Times New Roman"/>
          <w:noProof/>
          <w:sz w:val="24"/>
        </w:rPr>
        <w:t>. În total, flexibilitățile disponibile s-au ridicat la 3,65 % din plafoanele globale la momentul adoptării cadrului financiar multianual</w:t>
      </w:r>
      <w:r>
        <w:rPr>
          <w:rStyle w:val="FootnoteReference"/>
          <w:rFonts w:ascii="Times New Roman" w:hAnsi="Times New Roman" w:cs="Times New Roman"/>
          <w:noProof/>
          <w:sz w:val="24"/>
          <w:szCs w:val="24"/>
        </w:rPr>
        <w:footnoteReference w:id="41"/>
      </w:r>
      <w:r>
        <w:rPr>
          <w:rFonts w:ascii="Times New Roman" w:hAnsi="Times New Roman"/>
          <w:noProof/>
          <w:sz w:val="24"/>
        </w:rPr>
        <w:t>. Până la revizuirea la jumătatea perioadei a cadrului financiar, flexibilitățile din bugetul UE erau deja epuizate din cauza dimensiunii șocurilor la care au trebuit să răspundă, în primul rând consecințele războiului Rusiei împotriva Ucrainei, dar și dezastrele naturale din UE și din afara acesteia: alocarea anuală a Instrumentului de flexibilitate și a Rezervei pentru solidaritate și ajutoare de urgență a fost mobilizată integral în perioada 2021-2022; 79 % din Rezerva pentru provocările și prioritățile emergente și 75 % din marjele nealocate pentru întreaga perioadă au fost alocate. Prin urmare, a fost necesar să fie consolidate Instrumentul de flexibilitate și Rezerva pentru solidaritate și ajutoare de urgență, iar pentru a răspunde unor nevoi neprevăzute au fost create două noi instrumente, Instrumentul EURI și Rezerva pentru Ucraina.</w:t>
      </w:r>
    </w:p>
    <w:p w14:paraId="2F84AED2" w14:textId="5AF82C92" w:rsidR="00261E49" w:rsidRPr="00FA3320" w:rsidRDefault="00EE4A10" w:rsidP="00780170">
      <w:pPr>
        <w:pStyle w:val="paragraph"/>
        <w:spacing w:before="0" w:beforeAutospacing="0" w:after="120" w:afterAutospacing="0"/>
        <w:jc w:val="both"/>
        <w:textAlignment w:val="baseline"/>
        <w:rPr>
          <w:noProof/>
        </w:rPr>
      </w:pPr>
      <w:r>
        <w:rPr>
          <w:b/>
          <w:noProof/>
        </w:rPr>
        <w:t>În același timp, bugetul UE a fost solicitat din ce în ce mai mult să răspundă unor nevoi neprevăzute, deoarece crizele cu care se confruntă Europa au devenit mai mari, mai complexe și mai frecvente.</w:t>
      </w:r>
      <w:r>
        <w:rPr>
          <w:noProof/>
        </w:rPr>
        <w:t xml:space="preserve"> Datorită flexibilităților sale integrate și reprogramării sale, bugetul UE a fost în măsură să furnizeze lichidități statelor membre în crizele recente majore, însă au fost necesare soluții ad-hoc. Având în vedere capacitatea sa de a utiliza mijloace substanțiale la nivel regional și local, politica de coeziune a reprezentat un vector important al răspunsului UE la pandemia de COVID-19</w:t>
      </w:r>
      <w:r>
        <w:rPr>
          <w:rStyle w:val="FootnoteReference"/>
          <w:noProof/>
          <w:sz w:val="24"/>
        </w:rPr>
        <w:footnoteReference w:id="42"/>
      </w:r>
      <w:r>
        <w:rPr>
          <w:noProof/>
        </w:rPr>
        <w:t>. Ulterior, aceasta a fost din nou utilizată pentru a răspunde consecințelor războiului de agresiune al Rusiei împotriva Ucrainei (prin Acțiunea de coeziune pentru refugiații din Europa – CARE</w:t>
      </w:r>
      <w:r>
        <w:rPr>
          <w:rStyle w:val="FootnoteReference"/>
          <w:noProof/>
          <w:sz w:val="24"/>
        </w:rPr>
        <w:footnoteReference w:id="43"/>
      </w:r>
      <w:r>
        <w:rPr>
          <w:noProof/>
        </w:rPr>
        <w:t xml:space="preserve"> și FAST-CARE</w:t>
      </w:r>
      <w:r>
        <w:rPr>
          <w:rStyle w:val="FootnoteReference"/>
          <w:noProof/>
          <w:sz w:val="24"/>
        </w:rPr>
        <w:footnoteReference w:id="44"/>
      </w:r>
      <w:r>
        <w:rPr>
          <w:noProof/>
        </w:rPr>
        <w:t>, precum și SAFE</w:t>
      </w:r>
      <w:r>
        <w:rPr>
          <w:rStyle w:val="FootnoteReference"/>
          <w:noProof/>
          <w:sz w:val="24"/>
        </w:rPr>
        <w:footnoteReference w:id="45"/>
      </w:r>
      <w:r>
        <w:rPr>
          <w:noProof/>
        </w:rPr>
        <w:t xml:space="preserve"> pentru a sprijini IMM-urile și gospodăriile vulnerabile care se confruntau cu costuri ridicate ale energiei). Atunci când au avut loc inundații în întreaga Europă, cu o intensitate și amploare sporite, instrumentele actuale și structura actuală a coeziunii au fost insuficiente pentru a răspunde acestor nevoi urgente. Prin urmare, Comisia a propus modificarea în continuare a normelor existente ale politicii de coeziune prin intermediul RESTORE, în scopul de a permite un sprijin mai amplu pentru eforturile de reconstrucție în urma dezastrelor naturale. Deși au contribuit la un răspuns european puternic, aceste soluții ad-hoc au necesitat mult timp și au oferit un răspuns fragmentat la șocurile repetate, de mare amploare și simetrice, afectând totodată alte obiective din cadrul politicii de coeziune.</w:t>
      </w:r>
    </w:p>
    <w:p w14:paraId="7CA73181" w14:textId="71C7937C" w:rsidR="00A720BD" w:rsidRPr="00227512" w:rsidRDefault="00A720BD" w:rsidP="00780170">
      <w:pPr>
        <w:pStyle w:val="paragraph"/>
        <w:spacing w:before="0" w:beforeAutospacing="0" w:after="120" w:afterAutospacing="0"/>
        <w:ind w:left="720"/>
        <w:jc w:val="both"/>
        <w:textAlignment w:val="baseline"/>
        <w:rPr>
          <w:rFonts w:eastAsia="Calibri"/>
          <w:noProof/>
          <w:lang w:eastAsia="en-US"/>
        </w:rPr>
      </w:pPr>
    </w:p>
    <w:p w14:paraId="69A7E964" w14:textId="6157B427" w:rsidR="6A8A6FA4" w:rsidRPr="00780170" w:rsidRDefault="6A8A6FA4" w:rsidP="00227512">
      <w:pPr>
        <w:pStyle w:val="paragraph"/>
        <w:keepNext/>
        <w:spacing w:before="0" w:beforeAutospacing="0" w:after="120" w:afterAutospacing="0"/>
        <w:ind w:left="720"/>
        <w:jc w:val="both"/>
        <w:textAlignment w:val="baseline"/>
        <w:rPr>
          <w:rFonts w:eastAsia="Calibri"/>
          <w:i/>
          <w:iCs/>
          <w:noProof/>
        </w:rPr>
      </w:pPr>
      <w:r>
        <w:rPr>
          <w:i/>
          <w:noProof/>
        </w:rPr>
        <w:t>Un buget care îndeplinește prioritățile UE</w:t>
      </w:r>
    </w:p>
    <w:p w14:paraId="685AAB7C" w14:textId="582A2724" w:rsidR="00E106DD" w:rsidRPr="00FA3320" w:rsidRDefault="00857E4F"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Sunt necesare mecanisme solide pentru a garanta că fondurile îndeplinesc prioritățile de politică ale UE. </w:t>
      </w:r>
      <w:r>
        <w:rPr>
          <w:rFonts w:ascii="Times New Roman" w:hAnsi="Times New Roman"/>
          <w:noProof/>
          <w:sz w:val="24"/>
        </w:rPr>
        <w:t xml:space="preserve">Toate investițiile sprijinite de bugetul UE, indiferent dacă sunt puse în aplicare de Comisie sau împreună cu statele membre și regiunile lor, ar trebui să contribuie la îndeplinirea acestor priorități stabilite de comun acord. </w:t>
      </w:r>
    </w:p>
    <w:p w14:paraId="03263EF4" w14:textId="4F5031DE" w:rsidR="00500BD6" w:rsidRPr="00FA3320" w:rsidRDefault="0062733A"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Îndeplinirea priorităților UE trebuie realizată în comun – statele membre și regiunile lor conturează multe dintre investițiile UE pe teren, iar bugetul UE sprijină și stimulează acțiunile acestora.</w:t>
      </w:r>
      <w:r>
        <w:rPr>
          <w:rFonts w:ascii="Times New Roman" w:hAnsi="Times New Roman"/>
          <w:noProof/>
          <w:sz w:val="24"/>
        </w:rPr>
        <w:t xml:space="preserve"> Un accent mai mare pe performanță sprijină obținerea unor rezultate tangibile, prin acordarea de fonduri atunci când obiectivele convenite sunt îndeplinite în mod demonstrabil. Acest lucru, împreună cu un cadru comun (de exemplu, principiul de „a nu prejudicia în mod semnificativ”, condiționalitatea) contribuie la consolidarea îndeplinirii în comun a priorităților UE.</w:t>
      </w:r>
    </w:p>
    <w:p w14:paraId="0ED70FC0" w14:textId="216F720C" w:rsidR="00CC5B6C" w:rsidRPr="00FA3320" w:rsidRDefault="00B37171" w:rsidP="00780170">
      <w:pPr>
        <w:spacing w:after="120" w:line="240" w:lineRule="auto"/>
        <w:jc w:val="both"/>
        <w:rPr>
          <w:rStyle w:val="normaltextrun"/>
          <w:rFonts w:ascii="Times New Roman" w:hAnsi="Times New Roman" w:cs="Times New Roman"/>
          <w:b/>
          <w:noProof/>
          <w:color w:val="000000" w:themeColor="text1"/>
          <w:sz w:val="24"/>
          <w:szCs w:val="24"/>
        </w:rPr>
      </w:pPr>
      <w:r>
        <w:rPr>
          <w:rFonts w:ascii="Times New Roman" w:hAnsi="Times New Roman"/>
          <w:b/>
          <w:noProof/>
          <w:sz w:val="24"/>
        </w:rPr>
        <w:t>În plus, nu ar trebui cheltuit niciun euro pentru activități în care principiile statului de drept nu sunt protejate sau protecția intereselor financiare ale UE nu este garantată.</w:t>
      </w:r>
      <w:r>
        <w:rPr>
          <w:rFonts w:ascii="Times New Roman" w:hAnsi="Times New Roman"/>
          <w:noProof/>
          <w:sz w:val="24"/>
        </w:rPr>
        <w:t xml:space="preserve"> Statul de drept și buna guvernanță sunt condiții prealabile pentru a se asigura că fondurile sunt utilizate numai în scopul preconizat. </w:t>
      </w:r>
      <w:r>
        <w:rPr>
          <w:rStyle w:val="normaltextrun"/>
          <w:rFonts w:ascii="Times New Roman" w:hAnsi="Times New Roman"/>
          <w:noProof/>
          <w:color w:val="000000" w:themeColor="text1"/>
          <w:sz w:val="24"/>
        </w:rPr>
        <w:t xml:space="preserve">Prin Regulamentul privind condiționalitatea, Uniunea s-a dotat cu un instrument eficace pentru a proteja bugetul UE împotriva încălcărilor principiilor statului de drept. Mecanismul de redresare și reziliență, împreună cu condițiile favorizante orizontale din cadrul politicii de coeziune, a demonstrat, de asemenea, modul în care bugetul UE poate promova reforme care consolidează statul de drept în statele membre. </w:t>
      </w:r>
      <w:r>
        <w:rPr>
          <w:rFonts w:ascii="Times New Roman" w:hAnsi="Times New Roman"/>
          <w:noProof/>
          <w:sz w:val="24"/>
        </w:rPr>
        <w:t>Rapoartele Comisiei privind statul de drept</w:t>
      </w:r>
      <w:r>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xml:space="preserve"> au arătat modul în care statele membre au înregistrat progrese în ultimii ani, însă natura și gradul provocărilor variază în continuare de la un stat membru la altul. </w:t>
      </w:r>
      <w:r>
        <w:rPr>
          <w:rStyle w:val="normaltextrun"/>
          <w:rFonts w:ascii="Times New Roman" w:hAnsi="Times New Roman"/>
          <w:noProof/>
          <w:color w:val="000000" w:themeColor="text1"/>
          <w:sz w:val="24"/>
        </w:rPr>
        <w:t>Printre provocările rămase se numără percepția asupra independenței justiției, eficiența sistemelor judiciare, accesul la justiție și combaterea conflictelor de interese și a corupției.</w:t>
      </w:r>
    </w:p>
    <w:p w14:paraId="666AAED4" w14:textId="607F80A1" w:rsidR="0085750A" w:rsidRPr="00FA3320" w:rsidRDefault="0085750A" w:rsidP="00780170">
      <w:pPr>
        <w:spacing w:after="120" w:line="240" w:lineRule="auto"/>
        <w:jc w:val="both"/>
        <w:rPr>
          <w:rStyle w:val="normaltextrun"/>
          <w:rFonts w:ascii="Times New Roman" w:hAnsi="Times New Roman" w:cs="Times New Roman"/>
          <w:noProof/>
          <w:color w:val="000000" w:themeColor="text1"/>
          <w:sz w:val="24"/>
          <w:szCs w:val="24"/>
        </w:rPr>
      </w:pPr>
      <w:r>
        <w:rPr>
          <w:rFonts w:ascii="Times New Roman" w:hAnsi="Times New Roman"/>
          <w:b/>
          <w:noProof/>
          <w:sz w:val="24"/>
        </w:rPr>
        <w:t>Respectarea statului de drept nu poate fi considerată de la sine înțeleasă și ar trebui să rămână un imperativ pentru acordarea fondurile UE.</w:t>
      </w:r>
      <w:r>
        <w:rPr>
          <w:rFonts w:ascii="Times New Roman" w:hAnsi="Times New Roman"/>
          <w:noProof/>
          <w:sz w:val="24"/>
        </w:rPr>
        <w:t xml:space="preserve"> </w:t>
      </w:r>
      <w:r>
        <w:rPr>
          <w:rStyle w:val="normaltextrun"/>
          <w:rFonts w:ascii="Times New Roman" w:hAnsi="Times New Roman"/>
          <w:noProof/>
          <w:color w:val="000000" w:themeColor="text1"/>
          <w:sz w:val="24"/>
        </w:rPr>
        <w:t>Următorul cadru financiar multianual ar trebui să includă garanții solide în acest sens.</w:t>
      </w:r>
      <w:r>
        <w:rPr>
          <w:rFonts w:ascii="Times New Roman" w:hAnsi="Times New Roman"/>
          <w:noProof/>
          <w:sz w:val="24"/>
        </w:rPr>
        <w:t xml:space="preserve"> </w:t>
      </w:r>
      <w:r>
        <w:rPr>
          <w:rStyle w:val="normaltextrun"/>
          <w:rFonts w:ascii="Times New Roman" w:hAnsi="Times New Roman"/>
          <w:noProof/>
          <w:color w:val="000000" w:themeColor="text1"/>
          <w:sz w:val="24"/>
        </w:rPr>
        <w:t xml:space="preserve">Deși regimul general de condiționalitate se aplică întregii finanțări din partea UE, există încă o marjă de consolidare a legăturii dintre recomandările din Raportul privind statul de drept și sprijinul financiar de la bugetul UE, inclusiv pentru țările implicate în procesul de aderare.  </w:t>
      </w:r>
    </w:p>
    <w:p w14:paraId="41B983B9" w14:textId="77777777" w:rsidR="007E5850" w:rsidRPr="00FA3320" w:rsidRDefault="007E5850" w:rsidP="00780170">
      <w:pPr>
        <w:spacing w:after="120" w:line="240" w:lineRule="auto"/>
        <w:jc w:val="both"/>
        <w:rPr>
          <w:rFonts w:ascii="Times New Roman" w:eastAsia="Times New Roman" w:hAnsi="Times New Roman" w:cs="Times New Roman"/>
          <w:noProof/>
          <w:sz w:val="24"/>
          <w:szCs w:val="24"/>
        </w:rPr>
      </w:pPr>
    </w:p>
    <w:p w14:paraId="16A0E465" w14:textId="2712845B" w:rsidR="00CE60AE" w:rsidRPr="00FA3320" w:rsidRDefault="00780170" w:rsidP="00227512">
      <w:pPr>
        <w:pStyle w:val="paragraph"/>
        <w:keepNext/>
        <w:numPr>
          <w:ilvl w:val="0"/>
          <w:numId w:val="2"/>
        </w:numPr>
        <w:spacing w:before="0" w:beforeAutospacing="0" w:after="120" w:afterAutospacing="0"/>
        <w:ind w:left="714" w:hanging="357"/>
        <w:jc w:val="both"/>
        <w:textAlignment w:val="baseline"/>
        <w:rPr>
          <w:noProof/>
        </w:rPr>
      </w:pPr>
      <w:r>
        <w:rPr>
          <w:rStyle w:val="normaltextrun"/>
          <w:b/>
          <w:noProof/>
        </w:rPr>
        <w:t>FINANȚAREA BUGETULUI UE </w:t>
      </w:r>
    </w:p>
    <w:p w14:paraId="474C1362" w14:textId="128B881D" w:rsidR="00D36C60" w:rsidRPr="00FA3320" w:rsidRDefault="006255B4" w:rsidP="00780170">
      <w:p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Modernizarea părții de venituri a bugetului UE este necesară pentru a aborda următoarea dilemă: rambursarea NextGenerationEU – pe care UE o va onora întotdeauna – împreună cu un buget al UE adecvat ambițiilor noastre nu sunt compatibile cu menținerea unor contribuții financiare naționale stabile și cu lipsa unor noi resurse proprii. </w:t>
      </w:r>
    </w:p>
    <w:p w14:paraId="278E2431" w14:textId="17417F81" w:rsidR="00D36C60" w:rsidRPr="00FA3320" w:rsidRDefault="5AA4257B"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Prin NextGenerationEU, UE este în prezent al cincilea cel mai mare emitent de pe piața europeană de capital, cu un rating de credit ridicat.</w:t>
      </w:r>
      <w:r>
        <w:rPr>
          <w:rFonts w:ascii="Times New Roman" w:hAnsi="Times New Roman"/>
          <w:noProof/>
          <w:sz w:val="24"/>
        </w:rPr>
        <w:t xml:space="preserve"> În perioada 2021-2027, bugetul Uniunii plătește costurile aferente dobânzilor. Începând cu următorul cadru financiar, bugetul va începe să ramburseze principalul (utilizat pentru sprijinul nerambursabil, de până la 357 de miliarde EUR). Principalul va fi rambursat integral până în 2058, în concordanță cu Decizia privind resursele proprii. În ipoteza plății integrale a sprijinului nerambursabil prin intermediul NextGenerationEU, a rambursărilor liniare și pe baza previziunilor actuale privind ratele dobânzii, pentru a rambursa principalul și dobânda datoriei aferente NextGenerationEU, </w:t>
      </w:r>
      <w:r>
        <w:rPr>
          <w:rFonts w:ascii="Times New Roman" w:hAnsi="Times New Roman"/>
          <w:b/>
          <w:noProof/>
          <w:sz w:val="24"/>
        </w:rPr>
        <w:t>ar putea fi necesare aproximativ 25-30 de miliarde EUR pe an în următorul cadru financiar multianual</w:t>
      </w:r>
      <w:r>
        <w:rPr>
          <w:rFonts w:ascii="Times New Roman" w:hAnsi="Times New Roman"/>
          <w:noProof/>
          <w:sz w:val="24"/>
        </w:rPr>
        <w:t>.</w:t>
      </w:r>
      <w:r>
        <w:rPr>
          <w:rFonts w:ascii="Times New Roman" w:hAnsi="Times New Roman"/>
          <w:b/>
          <w:noProof/>
          <w:sz w:val="24"/>
        </w:rPr>
        <w:t xml:space="preserve"> Aceasta reprezintă aproape 20 % din bugetul anual actual. </w:t>
      </w:r>
      <w:r>
        <w:rPr>
          <w:rFonts w:ascii="Times New Roman" w:hAnsi="Times New Roman"/>
          <w:noProof/>
          <w:sz w:val="24"/>
        </w:rPr>
        <w:t>Suma respectivă este de două ori mai mare decât bugetul anual pentru programul Orizont Europa și dublul cuantumului total al bugetului pentru securitate și apărare din cadrul actualului buget multianual pentru întreaga perioadă de 7 ani. Deși fondurile sunt încă în curs de colectare, iar mediul ratei dobânzii evoluează, în toate scenariile, rambursările NextGenerationEU vor necesita o finanțare semnificativă în viitor. </w:t>
      </w:r>
    </w:p>
    <w:p w14:paraId="4685F496" w14:textId="0FD258B6" w:rsidR="00D36C60" w:rsidRPr="00FA3320" w:rsidRDefault="00D36C60"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Acesta este motivul pentru care, în Acordul interinstituțional din 16 decembrie 2020</w:t>
      </w:r>
      <w:r>
        <w:rPr>
          <w:rStyle w:val="FootnoteReference"/>
          <w:rFonts w:ascii="Times New Roman" w:eastAsia="Times New Roman" w:hAnsi="Times New Roman" w:cs="Times New Roman"/>
          <w:noProof/>
          <w:sz w:val="24"/>
          <w:szCs w:val="24"/>
        </w:rPr>
        <w:footnoteReference w:id="47"/>
      </w:r>
      <w:r>
        <w:rPr>
          <w:rFonts w:ascii="Times New Roman" w:hAnsi="Times New Roman"/>
          <w:b/>
          <w:noProof/>
          <w:sz w:val="24"/>
        </w:rPr>
        <w:t>, Parlamentul European, Consiliul și Comisia au convenit asupra unei foi de parcurs în vederea introducerii de noi resurse proprii.</w:t>
      </w:r>
      <w:r>
        <w:rPr>
          <w:rFonts w:ascii="Times New Roman" w:hAnsi="Times New Roman"/>
          <w:noProof/>
          <w:sz w:val="24"/>
        </w:rPr>
        <w:t xml:space="preserve"> Comisia și-a îndeplinit angajamentele: un pachet cuprinzător privind următoarea generație de resurse proprii a fost prezentat în 2021 și ajustat în 2023, înainte de termen. Acesta include propuneri revizuite privind schema de comercializare a certificatelor de emisii și mecanismul de ajustare a carbonului la frontieră, precum și o resursă proprie legată de profiturile întreprinderilor din sectorul corporativ. Comisia a propus, de asemenea, o resursă proprie bazată pe pilonul 1 al Acordului OCDE/G20 privind reforma cadrului fiscal internațional.  </w:t>
      </w:r>
    </w:p>
    <w:p w14:paraId="73CA766A" w14:textId="44E7ADB7" w:rsidR="00CC5B6C" w:rsidRPr="00FA3320" w:rsidRDefault="5AA4257B" w:rsidP="00780170">
      <w:pPr>
        <w:spacing w:after="120" w:line="240" w:lineRule="auto"/>
        <w:jc w:val="both"/>
        <w:rPr>
          <w:rFonts w:ascii="Times New Roman" w:hAnsi="Times New Roman" w:cs="Times New Roman"/>
          <w:noProof/>
          <w:sz w:val="24"/>
          <w:szCs w:val="24"/>
        </w:rPr>
      </w:pPr>
      <w:r>
        <w:rPr>
          <w:rFonts w:ascii="Times New Roman" w:hAnsi="Times New Roman"/>
          <w:noProof/>
          <w:sz w:val="24"/>
        </w:rPr>
        <w:t>Comisia invită Consiliul să reia de urgență lucrările cu privire la chestiunea noilor resurse proprii, în concordanță cu Acordul interinstituțional din 2020 și cu Declarația de la Budapesta privind noul pact pentru competitivitatea europeană</w:t>
      </w:r>
      <w:r>
        <w:rPr>
          <w:rStyle w:val="FootnoteReference"/>
          <w:rFonts w:ascii="Times New Roman" w:hAnsi="Times New Roman" w:cs="Times New Roman"/>
          <w:noProof/>
          <w:sz w:val="24"/>
          <w:szCs w:val="24"/>
        </w:rPr>
        <w:footnoteReference w:id="48"/>
      </w:r>
      <w:r>
        <w:rPr>
          <w:rFonts w:ascii="Times New Roman" w:hAnsi="Times New Roman"/>
          <w:noProof/>
          <w:sz w:val="24"/>
        </w:rPr>
        <w:t xml:space="preserve">. </w:t>
      </w:r>
    </w:p>
    <w:p w14:paraId="4DDFCA4E" w14:textId="77777777" w:rsidR="007E5850" w:rsidRPr="00FA3320" w:rsidRDefault="007E5850" w:rsidP="00780170">
      <w:pPr>
        <w:spacing w:after="120" w:line="240" w:lineRule="auto"/>
        <w:jc w:val="both"/>
        <w:rPr>
          <w:rFonts w:ascii="Times New Roman" w:hAnsi="Times New Roman" w:cs="Times New Roman"/>
          <w:noProof/>
          <w:sz w:val="24"/>
          <w:szCs w:val="24"/>
        </w:rPr>
      </w:pPr>
    </w:p>
    <w:p w14:paraId="73F4219B" w14:textId="7628FC26" w:rsidR="00646C22" w:rsidRPr="00FA3320" w:rsidRDefault="00780170" w:rsidP="00227512">
      <w:pPr>
        <w:pStyle w:val="paragraph"/>
        <w:keepNext/>
        <w:numPr>
          <w:ilvl w:val="0"/>
          <w:numId w:val="2"/>
        </w:numPr>
        <w:spacing w:before="0" w:beforeAutospacing="0" w:after="120" w:afterAutospacing="0"/>
        <w:ind w:left="714" w:hanging="357"/>
        <w:jc w:val="both"/>
        <w:textAlignment w:val="baseline"/>
        <w:rPr>
          <w:rStyle w:val="normaltextrun"/>
          <w:b/>
          <w:bCs/>
          <w:noProof/>
        </w:rPr>
      </w:pPr>
      <w:r>
        <w:rPr>
          <w:rStyle w:val="normaltextrun"/>
          <w:b/>
          <w:noProof/>
        </w:rPr>
        <w:t xml:space="preserve">MENȚINEREA STATU-QUOULUI NU REPREZINTĂ O OPȚIUNE </w:t>
      </w:r>
    </w:p>
    <w:p w14:paraId="2DD1435B" w14:textId="23863020" w:rsidR="00A5386C" w:rsidRPr="00FA3320" w:rsidRDefault="00A5386C" w:rsidP="00780170">
      <w:pPr>
        <w:pStyle w:val="paragraph"/>
        <w:spacing w:before="0" w:beforeAutospacing="0" w:after="120" w:afterAutospacing="0"/>
        <w:jc w:val="both"/>
        <w:rPr>
          <w:noProof/>
        </w:rPr>
      </w:pPr>
      <w:r>
        <w:rPr>
          <w:b/>
          <w:noProof/>
        </w:rPr>
        <w:t xml:space="preserve">Europa se află într-o eră caracterizată de schimbări profunde – pentru societatea și securitatea noastră, pentru economia noastră și pentru planeta noastră. Viteza schimbării creează provocări care pot fi soluționate numai prin acțiuni comune, într-o Europă unită. </w:t>
      </w:r>
      <w:r>
        <w:rPr>
          <w:noProof/>
        </w:rPr>
        <w:t>Este imperativ ca următorul buget al UE să joace un rol central în promovarea prosperității durabile a Uniunii, să consolideze apărarea și securitatea, să stimuleze competitivitatea UE, precum și coeziunea socială și teritorială, sprijinind Uniunea în parcursul său de a deveni primul continent neutru din punct de vedere climatic din lume. Bugetul UE ar trebui să îmbunătățească în continuare calitatea vieții și mijloacele de subzistență ale cetățenilor, fermierilor, cercetătorilor, întreprinderilor și regiunilor din întreaga Europă și din afara acesteia, asigurând prosperitatea, competitivitatea, suveranitatea, securitatea, reziliența, pregătirea și influența globală a UE și respectând în același timp cele mai înalte standarde privind statul de drept și valorile democratice. Bugetul UE sprijină toate aceste priorități și va necesita cooperarea tuturor instituțiilor și a părților interesate.</w:t>
      </w:r>
    </w:p>
    <w:p w14:paraId="5011B7CD" w14:textId="238979E6" w:rsidR="00A5386C" w:rsidRPr="00FA3320" w:rsidRDefault="00804F36"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Având în vedere provocările politice și bugetare discutate în prezenta comunicare, pentru ca bugetul UE să atingă aceste obiective, statu-quoul nu este o opțiune</w:t>
      </w:r>
      <w:r>
        <w:rPr>
          <w:rStyle w:val="FootnoteReference"/>
          <w:rFonts w:ascii="Times New Roman" w:eastAsia="Times New Roman" w:hAnsi="Times New Roman" w:cs="Times New Roman"/>
          <w:b/>
          <w:bCs/>
          <w:noProof/>
          <w:sz w:val="24"/>
          <w:szCs w:val="24"/>
        </w:rPr>
        <w:footnoteReference w:id="49"/>
      </w:r>
      <w:r>
        <w:rPr>
          <w:rFonts w:ascii="Times New Roman" w:hAnsi="Times New Roman"/>
          <w:b/>
          <w:noProof/>
          <w:sz w:val="24"/>
        </w:rPr>
        <w:t>.</w:t>
      </w:r>
      <w:r>
        <w:rPr>
          <w:rFonts w:ascii="Times New Roman" w:hAnsi="Times New Roman"/>
          <w:noProof/>
          <w:sz w:val="24"/>
        </w:rPr>
        <w:t xml:space="preserve"> Următorul buget pe termen lung va trebui să abordeze complexitățile, deficiențele și rigiditățile existente în prezent și să maximizeze impactul fiecărui euro cheltuit, axându-se pe prioritățile și obiectivele UE pentru care acțiunea la nivelul Uniunii este necesară în cea mai mare măsură. O nouă abordare pentru un buget modern al UE ar trebui să fie axată pe: </w:t>
      </w:r>
    </w:p>
    <w:p w14:paraId="52C500B9" w14:textId="64EE9EB1" w:rsidR="00A5386C" w:rsidRPr="007A0FC3" w:rsidRDefault="001C4B77" w:rsidP="008822D8">
      <w:pPr>
        <w:pStyle w:val="ListParagraph"/>
        <w:numPr>
          <w:ilvl w:val="0"/>
          <w:numId w:val="25"/>
        </w:numPr>
        <w:spacing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un plan pentru fiecare țară, însoțit de reforme și investiții esențiale, axat pe prioritățile noastre comune, inclusiv pe promovarea coeziunii economice, sociale și teritoriale. O politică consolidată de coeziune și creștere, în centrul căreia să se afle regiunile, trebuie concepută și pusă în aplicare în parteneriat cu autoritățile naționale, regionale și locale; </w:t>
      </w:r>
    </w:p>
    <w:p w14:paraId="4015437B" w14:textId="6EE46AB2" w:rsidR="00A5386C" w:rsidRPr="00FA3320" w:rsidRDefault="00707F87" w:rsidP="00780170">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un Fond european pentru competitivitate instituind o capacitate de investiții care va sprijini sectoarele și tehnologiile strategice esențiale pentru competitivitatea UE, inclusiv cercetarea și inovarea, precum și proiectele importante de interes european comun. Datorită unei arhitecturi cuprinzătoare, fondul va putea să sprijine proiectele europene de-a lungul întregului lor parcurs de investiții, din etapa de cercetare în cea de extindere, de implementare industrială și, în final, de producție. Fondul va contribui, de asemenea, la mobilizarea investițiilor private și la reducerea riscurilor aferente acestora;</w:t>
      </w:r>
    </w:p>
    <w:p w14:paraId="694009E0" w14:textId="5720E0D1" w:rsidR="3E8089DB" w:rsidRDefault="001C4B77" w:rsidP="00780170">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o finanțare modernizată a acțiunii externe, pentru a o face mai eficace din punctul de vedere al impactului și mai bine direcționată pentru partenerii noștri și pentru a o alinia mai bine la interesele noastre strategice. Aceasta ar trebui să contribuie la o nouă politică externă; </w:t>
      </w:r>
    </w:p>
    <w:p w14:paraId="680FECA1" w14:textId="2D0B0848" w:rsidR="001C0607" w:rsidRPr="00FA3320" w:rsidRDefault="633F13CD" w:rsidP="00780170">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garanții solide privind protecția statului de drept; </w:t>
      </w:r>
    </w:p>
    <w:p w14:paraId="523BC369" w14:textId="4D59E56C" w:rsidR="633F13CD" w:rsidRPr="00FA3320" w:rsidRDefault="00B01BFC" w:rsidP="00780170">
      <w:pPr>
        <w:pStyle w:val="ListParagraph"/>
        <w:numPr>
          <w:ilvl w:val="0"/>
          <w:numId w:val="25"/>
        </w:numPr>
        <w:spacing w:after="12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venituri consolidate și modernizate, în special prin intermediul noilor resurse proprii, pentru a asigura o finanțare suficientă și durabilă pentru prioritățile noastre comune.</w:t>
      </w:r>
    </w:p>
    <w:p w14:paraId="28C1FD5E" w14:textId="77777777" w:rsidR="007E5850" w:rsidRPr="00FA3320" w:rsidRDefault="007E5850" w:rsidP="00780170">
      <w:pPr>
        <w:spacing w:after="120" w:line="240" w:lineRule="auto"/>
        <w:jc w:val="both"/>
        <w:rPr>
          <w:rFonts w:ascii="Times New Roman" w:eastAsia="Times New Roman" w:hAnsi="Times New Roman" w:cs="Times New Roman"/>
          <w:noProof/>
          <w:sz w:val="24"/>
          <w:szCs w:val="24"/>
        </w:rPr>
      </w:pPr>
    </w:p>
    <w:p w14:paraId="2FA32FA6" w14:textId="1EEBEBC7" w:rsidR="001B0646" w:rsidRPr="00FA3320" w:rsidRDefault="00780170" w:rsidP="00227512">
      <w:pPr>
        <w:pStyle w:val="paragraph"/>
        <w:keepNext/>
        <w:numPr>
          <w:ilvl w:val="0"/>
          <w:numId w:val="2"/>
        </w:numPr>
        <w:spacing w:before="0" w:beforeAutospacing="0" w:after="120" w:afterAutospacing="0"/>
        <w:ind w:left="714" w:hanging="357"/>
        <w:jc w:val="both"/>
        <w:textAlignment w:val="baseline"/>
        <w:rPr>
          <w:noProof/>
        </w:rPr>
      </w:pPr>
      <w:r>
        <w:rPr>
          <w:rStyle w:val="normaltextrun"/>
          <w:b/>
          <w:noProof/>
        </w:rPr>
        <w:t xml:space="preserve">ETAPELE URMĂTOARE </w:t>
      </w:r>
    </w:p>
    <w:p w14:paraId="24A08CC3" w14:textId="1E716081" w:rsidR="006E2734" w:rsidRPr="00FA3320" w:rsidRDefault="008B5CA0" w:rsidP="00780170">
      <w:pPr>
        <w:spacing w:after="120" w:line="240" w:lineRule="auto"/>
        <w:jc w:val="both"/>
        <w:rPr>
          <w:rFonts w:ascii="Times New Roman" w:hAnsi="Times New Roman" w:cs="Times New Roman"/>
          <w:noProof/>
          <w:sz w:val="24"/>
          <w:szCs w:val="24"/>
        </w:rPr>
      </w:pPr>
      <w:r>
        <w:rPr>
          <w:rFonts w:ascii="Times New Roman" w:hAnsi="Times New Roman"/>
          <w:b/>
          <w:noProof/>
          <w:sz w:val="24"/>
        </w:rPr>
        <w:t>Elaborarea următorului buget pe termen lung al UE</w:t>
      </w:r>
      <w:r>
        <w:rPr>
          <w:rFonts w:ascii="Times New Roman" w:hAnsi="Times New Roman"/>
          <w:noProof/>
          <w:sz w:val="24"/>
        </w:rPr>
        <w:t xml:space="preserve"> </w:t>
      </w:r>
      <w:r>
        <w:rPr>
          <w:rFonts w:ascii="Times New Roman" w:hAnsi="Times New Roman"/>
          <w:b/>
          <w:noProof/>
          <w:sz w:val="24"/>
        </w:rPr>
        <w:t xml:space="preserve">necesită o analiză comună a provocărilor subiacente și o cooperare strânsă, în vederea pregătirii propunerii Comisiei. </w:t>
      </w:r>
      <w:r>
        <w:rPr>
          <w:rFonts w:ascii="Times New Roman" w:hAnsi="Times New Roman"/>
          <w:noProof/>
          <w:sz w:val="24"/>
        </w:rPr>
        <w:t xml:space="preserve">Un buget al UE puternic și eficace este în interesul tuturor. Prin urmare, propunerea privind următorul cadru financiar se va baza pe o amplă consultare, cu contribuții la nivel politic, instituțional și din partea celor interesați, alături de implicarea activă a cetățenilor. </w:t>
      </w:r>
    </w:p>
    <w:p w14:paraId="3E44E2C4" w14:textId="71216521" w:rsidR="006E2734" w:rsidRPr="00FA3320" w:rsidRDefault="00092144"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Dialogul continuu și structurat cu reprezentanții statelor membre, la diferite niveluri, în întreaga Europă va fi esențial pentru a stabili „ce” să finanțăm și „cum” să ne finanțăm viitorul comun.</w:t>
      </w:r>
      <w:r>
        <w:rPr>
          <w:rFonts w:ascii="Times New Roman" w:hAnsi="Times New Roman"/>
          <w:noProof/>
          <w:sz w:val="24"/>
        </w:rPr>
        <w:t xml:space="preserve"> În acest context, Comisia se va angaja la diferite niveluri într-un proces incluziv, ca parte a pregătirii următorului cadru financiar multianual. </w:t>
      </w:r>
    </w:p>
    <w:p w14:paraId="7546BDB3" w14:textId="70BB9BA1" w:rsidR="002E36D5" w:rsidRPr="00FA3320" w:rsidRDefault="002E36D5"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Un dialog cuprinzător cu părțile interesate va contribui la pregătirea bugetului UE pentru viitor</w:t>
      </w:r>
      <w:r>
        <w:rPr>
          <w:rFonts w:ascii="Times New Roman" w:hAnsi="Times New Roman"/>
          <w:noProof/>
          <w:sz w:val="24"/>
        </w:rPr>
        <w:t>. Dialogul va cuprinde o serie de consultări publice tematice lansate astăzi pentru pregătirea următoarei generații de instrumente de cheltuieli ale UE. Lansarea unei platforme de implicare civică va fi un prim pas către instituirea unui grup de dezbatere al cetățenilor privind viitorul buget pe termen lung, care își va desfășura activitatea în perioada martie-mai. Platforma îi va invita pe cetățeni să participe la dezbatere. Conferința anuală privind bugetul din mai 2025 va reprezenta o ocazie de a reuni diferitele puncte de vedere, în cadrul unei dezbateri deschise și incluzive, în vederea pregătirii unui cadru financiar ambițios.</w:t>
      </w:r>
    </w:p>
    <w:p w14:paraId="73BC4F71" w14:textId="76B9E77E" w:rsidR="006E2734" w:rsidRPr="00FA3320" w:rsidRDefault="006E2734"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Parlamentul European va fi un actor important în elaborarea următorului buget pe termen lung. </w:t>
      </w:r>
      <w:r>
        <w:rPr>
          <w:rFonts w:ascii="Times New Roman" w:hAnsi="Times New Roman"/>
          <w:noProof/>
          <w:sz w:val="24"/>
        </w:rPr>
        <w:t>În acest sens, Comisia așteaptă cu interes viitorul raport din proprie inițiativă al Parlamentului European. Implicarea și contribuția altor instituții și organisme, cum ar fi Curtea de Conturi Europeană, Comitetul Regiunilor și Comitetul Economic și Social European, precum și partenerii de implementare vor îmbogăți, de asemenea, dezbaterea privind conceperea viitoarelor finanțe ale UE.</w:t>
      </w:r>
    </w:p>
    <w:p w14:paraId="59288C8E" w14:textId="022FBEAD" w:rsidR="003B7AC6" w:rsidRPr="00FA3320" w:rsidRDefault="2F4078F3"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În acest context și pentru a acorda suficient timp pentru consultări semnificative cu diferitele părți interesate, Comisia intenționează să prezinte următorul cadru financiar în iulie 2025</w:t>
      </w:r>
      <w:r>
        <w:rPr>
          <w:rFonts w:ascii="Times New Roman" w:hAnsi="Times New Roman"/>
          <w:noProof/>
          <w:sz w:val="24"/>
        </w:rPr>
        <w:t xml:space="preserve">. Propunerea Comisiei va asigura faptul că viitorul pachet constituie o bază solidă pentru un acord rapid și în timp util cu privire la următorul cadru financiar cu mult înainte de începerea acestuia în ianuarie 2028. </w:t>
      </w:r>
    </w:p>
    <w:p w14:paraId="632F6F1D" w14:textId="413CFDBD" w:rsidR="00A735F3" w:rsidRPr="00FA3320" w:rsidRDefault="7A720B31" w:rsidP="00780170">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Următorul cadru financiar multianual </w:t>
      </w:r>
      <w:r>
        <w:rPr>
          <w:rFonts w:ascii="Times New Roman" w:hAnsi="Times New Roman"/>
          <w:b/>
          <w:noProof/>
          <w:sz w:val="24"/>
        </w:rPr>
        <w:t>trebuie să pună bazele unei Uniuni mai puternice și orientate spre viitor</w:t>
      </w:r>
      <w:r>
        <w:rPr>
          <w:rFonts w:ascii="Times New Roman" w:hAnsi="Times New Roman"/>
          <w:noProof/>
          <w:sz w:val="24"/>
        </w:rPr>
        <w:t xml:space="preserve">. </w:t>
      </w:r>
    </w:p>
    <w:sectPr w:rsidR="00A735F3" w:rsidRPr="00FA3320" w:rsidSect="00A30CE9">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58202" w14:textId="77777777" w:rsidR="00E112D2" w:rsidRDefault="00E112D2" w:rsidP="00A735F3">
      <w:pPr>
        <w:spacing w:after="0" w:line="240" w:lineRule="auto"/>
      </w:pPr>
      <w:r>
        <w:separator/>
      </w:r>
    </w:p>
  </w:endnote>
  <w:endnote w:type="continuationSeparator" w:id="0">
    <w:p w14:paraId="431E7AE4" w14:textId="77777777" w:rsidR="00E112D2" w:rsidRDefault="00E112D2" w:rsidP="00A735F3">
      <w:pPr>
        <w:spacing w:after="0" w:line="240" w:lineRule="auto"/>
      </w:pPr>
      <w:r>
        <w:continuationSeparator/>
      </w:r>
    </w:p>
  </w:endnote>
  <w:endnote w:type="continuationNotice" w:id="1">
    <w:p w14:paraId="2BDEB1CF" w14:textId="77777777" w:rsidR="00E112D2" w:rsidRDefault="00E112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4DEEC" w14:textId="0E2ACA3F" w:rsidR="001B31D9" w:rsidRPr="001B31D9" w:rsidRDefault="001B31D9" w:rsidP="001B31D9">
    <w:pPr>
      <w:pStyle w:val="FooterCoverPage"/>
      <w:rPr>
        <w:rFonts w:ascii="Arial" w:hAnsi="Arial" w:cs="Arial"/>
        <w:b/>
        <w:sz w:val="48"/>
      </w:rPr>
    </w:pPr>
    <w:r w:rsidRPr="001B31D9">
      <w:rPr>
        <w:rFonts w:ascii="Arial" w:hAnsi="Arial" w:cs="Arial"/>
        <w:b/>
        <w:sz w:val="48"/>
      </w:rPr>
      <w:t>RO</w:t>
    </w:r>
    <w:r w:rsidRPr="001B31D9">
      <w:rPr>
        <w:rFonts w:ascii="Arial" w:hAnsi="Arial" w:cs="Arial"/>
        <w:b/>
        <w:sz w:val="48"/>
      </w:rPr>
      <w:tab/>
    </w:r>
    <w:r w:rsidRPr="001B31D9">
      <w:rPr>
        <w:rFonts w:ascii="Arial" w:hAnsi="Arial" w:cs="Arial"/>
        <w:b/>
        <w:sz w:val="48"/>
      </w:rPr>
      <w:tab/>
    </w:r>
    <w:r w:rsidRPr="001B31D9">
      <w:tab/>
    </w:r>
    <w:r w:rsidRPr="001B31D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E6FE" w14:textId="31F796CF" w:rsidR="001B31D9" w:rsidRPr="001B31D9" w:rsidRDefault="001B31D9" w:rsidP="001B31D9">
    <w:pPr>
      <w:pStyle w:val="FooterCoverPage"/>
      <w:rPr>
        <w:rFonts w:ascii="Arial" w:hAnsi="Arial" w:cs="Arial"/>
        <w:b/>
        <w:sz w:val="48"/>
      </w:rPr>
    </w:pPr>
    <w:r w:rsidRPr="001B31D9">
      <w:rPr>
        <w:rFonts w:ascii="Arial" w:hAnsi="Arial" w:cs="Arial"/>
        <w:b/>
        <w:sz w:val="48"/>
      </w:rPr>
      <w:t>RO</w:t>
    </w:r>
    <w:r w:rsidRPr="001B31D9">
      <w:rPr>
        <w:rFonts w:ascii="Arial" w:hAnsi="Arial" w:cs="Arial"/>
        <w:b/>
        <w:sz w:val="48"/>
      </w:rPr>
      <w:tab/>
    </w:r>
    <w:r w:rsidRPr="001B31D9">
      <w:rPr>
        <w:rFonts w:ascii="Arial" w:hAnsi="Arial" w:cs="Arial"/>
        <w:b/>
        <w:sz w:val="48"/>
      </w:rPr>
      <w:tab/>
    </w:r>
    <w:r w:rsidRPr="001B31D9">
      <w:tab/>
    </w:r>
    <w:r w:rsidRPr="001B31D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51BA6" w14:textId="77777777" w:rsidR="001B31D9" w:rsidRPr="001B31D9" w:rsidRDefault="001B31D9" w:rsidP="001B31D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847B4" w14:textId="77777777" w:rsidR="00A30CE9" w:rsidRDefault="00A30C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8609"/>
      <w:docPartObj>
        <w:docPartGallery w:val="Page Numbers (Bottom of Page)"/>
        <w:docPartUnique/>
      </w:docPartObj>
    </w:sdtPr>
    <w:sdtEndPr>
      <w:rPr>
        <w:rFonts w:ascii="Times New Roman" w:hAnsi="Times New Roman" w:cs="Times New Roman"/>
        <w:noProof/>
      </w:rPr>
    </w:sdtEndPr>
    <w:sdtContent>
      <w:p w14:paraId="3B95952F" w14:textId="51570C63" w:rsidR="00A30CE9" w:rsidRPr="00227512" w:rsidRDefault="00A30CE9">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B31D9">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A6382" w14:textId="77777777" w:rsidR="00A30CE9" w:rsidRDefault="00A30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DB629" w14:textId="77777777" w:rsidR="00E112D2" w:rsidRDefault="00E112D2" w:rsidP="00A735F3">
      <w:pPr>
        <w:spacing w:after="0" w:line="240" w:lineRule="auto"/>
      </w:pPr>
      <w:r>
        <w:separator/>
      </w:r>
    </w:p>
  </w:footnote>
  <w:footnote w:type="continuationSeparator" w:id="0">
    <w:p w14:paraId="09C3028B" w14:textId="77777777" w:rsidR="00E112D2" w:rsidRDefault="00E112D2" w:rsidP="00A735F3">
      <w:pPr>
        <w:spacing w:after="0" w:line="240" w:lineRule="auto"/>
      </w:pPr>
      <w:r>
        <w:continuationSeparator/>
      </w:r>
    </w:p>
  </w:footnote>
  <w:footnote w:type="continuationNotice" w:id="1">
    <w:p w14:paraId="134B3BBE" w14:textId="77777777" w:rsidR="00E112D2" w:rsidRDefault="00E112D2">
      <w:pPr>
        <w:spacing w:after="0" w:line="240" w:lineRule="auto"/>
      </w:pPr>
    </w:p>
  </w:footnote>
  <w:footnote w:id="2">
    <w:p w14:paraId="011DE143" w14:textId="77777777" w:rsidR="00B31428" w:rsidRPr="00417879" w:rsidRDefault="00B31428" w:rsidP="00417879">
      <w:pPr>
        <w:pStyle w:val="FootnoteText"/>
        <w:spacing w:after="0"/>
        <w:ind w:left="0" w:firstLine="0"/>
        <w:contextualSpacing/>
      </w:pPr>
      <w:r>
        <w:rPr>
          <w:rStyle w:val="FootnoteReference"/>
        </w:rPr>
        <w:footnoteRef/>
      </w:r>
      <w:r>
        <w:t xml:space="preserve"> Draghi, M. (2024), „The future of European competitiveness. Part A – A competitiveness strategy for Europe” (Viitorul competitivității europene – Partea A. O strategie privind competitivitatea pentru Europa).</w:t>
      </w:r>
    </w:p>
  </w:footnote>
  <w:footnote w:id="3">
    <w:p w14:paraId="5638A618" w14:textId="38696B0D" w:rsidR="009E7CF0" w:rsidRPr="00B8115E" w:rsidRDefault="009E7CF0" w:rsidP="00665A1E">
      <w:pPr>
        <w:pStyle w:val="FootnoteText"/>
        <w:spacing w:after="0"/>
        <w:contextualSpacing/>
      </w:pPr>
      <w:r>
        <w:rPr>
          <w:rStyle w:val="FootnoteReference"/>
        </w:rPr>
        <w:footnoteRef/>
      </w:r>
      <w:r>
        <w:t xml:space="preserve"> Sursa: Eurostat. Comparativ, aceste cheltuieli reprezintă 3,4 % din PIB în Japonia și, respectiv, 4,8 % din PIB în Coreea de Sud.</w:t>
      </w:r>
    </w:p>
  </w:footnote>
  <w:footnote w:id="4">
    <w:p w14:paraId="568F2C8A" w14:textId="77777777" w:rsidR="00E24B76" w:rsidRPr="00580BB3" w:rsidRDefault="00E24B76" w:rsidP="00417879">
      <w:pPr>
        <w:pStyle w:val="FootnoteText"/>
        <w:spacing w:after="0"/>
        <w:contextualSpacing/>
      </w:pPr>
      <w:r>
        <w:rPr>
          <w:rStyle w:val="FootnoteReference"/>
        </w:rPr>
        <w:footnoteRef/>
      </w:r>
      <w:r>
        <w:t xml:space="preserve"> Draghi, M. (</w:t>
      </w:r>
      <w:hyperlink r:id="rId1" w:history="1">
        <w:r>
          <w:rPr>
            <w:rStyle w:val="Hyperlink"/>
          </w:rPr>
          <w:t>2024</w:t>
        </w:r>
      </w:hyperlink>
      <w:r>
        <w:t xml:space="preserve">), </w:t>
      </w:r>
      <w:r>
        <w:rPr>
          <w:i/>
        </w:rPr>
        <w:t>ibid</w:t>
      </w:r>
      <w:r>
        <w:t>.</w:t>
      </w:r>
    </w:p>
  </w:footnote>
  <w:footnote w:id="5">
    <w:p w14:paraId="2A340BD6" w14:textId="5DC26D89" w:rsidR="00C918E0" w:rsidRPr="00417879" w:rsidRDefault="00C918E0" w:rsidP="00417879">
      <w:pPr>
        <w:pStyle w:val="FootnoteText"/>
        <w:spacing w:after="0"/>
        <w:ind w:left="0" w:firstLine="0"/>
        <w:contextualSpacing/>
      </w:pPr>
      <w:r>
        <w:rPr>
          <w:rStyle w:val="FootnoteReference"/>
        </w:rPr>
        <w:footnoteRef/>
      </w:r>
      <w:r>
        <w:t xml:space="preserve"> Banca Europeană de Investiții, 2024. „The scale-up gap: Financial market constraints holding back innovative firms in the European Union.” (Decalaje din perspectiva extinderii întreprinderilor: constrângerile piețelor financiare care frânează avântul întreprinderilor inovatoare din Uniunea Europeană).</w:t>
      </w:r>
    </w:p>
  </w:footnote>
  <w:footnote w:id="6">
    <w:p w14:paraId="472CBEB5" w14:textId="3A2505D0" w:rsidR="00D80B35" w:rsidRPr="00417879" w:rsidRDefault="00D80B35" w:rsidP="00417879">
      <w:pPr>
        <w:pStyle w:val="FootnoteText"/>
        <w:spacing w:after="0"/>
        <w:ind w:left="0" w:firstLine="0"/>
        <w:contextualSpacing/>
      </w:pPr>
      <w:r>
        <w:rPr>
          <w:rStyle w:val="FootnoteReference"/>
        </w:rPr>
        <w:footnoteRef/>
      </w:r>
      <w:r>
        <w:t xml:space="preserve"> Letta, E. (2023), „Much more than a market – Speed, security, solidarity. Empowering the Single Market to deliver a sustainable future and prosperity for all EU Citizens.” (Mult mai mult decât o piață – viteză, securitate, solidaritate; capacitarea pieței unice pentru a asigura tuturor cetățenilor UE prosperitate și un viitor durabil).</w:t>
      </w:r>
    </w:p>
  </w:footnote>
  <w:footnote w:id="7">
    <w:p w14:paraId="702CE71D" w14:textId="2A35A0E6" w:rsidR="006D062D" w:rsidRPr="00417879" w:rsidRDefault="006D062D" w:rsidP="00417879">
      <w:pPr>
        <w:pStyle w:val="FootnoteText"/>
        <w:spacing w:after="0"/>
        <w:contextualSpacing/>
      </w:pPr>
      <w:r>
        <w:rPr>
          <w:rStyle w:val="FootnoteReference"/>
        </w:rPr>
        <w:footnoteRef/>
      </w:r>
      <w:r>
        <w:rPr>
          <w:rStyle w:val="FootnoteReference"/>
        </w:rPr>
        <w:t xml:space="preserve"> </w:t>
      </w:r>
      <w:r>
        <w:t>Totalul cheltuielilor militare, prețuri constante. Sursă: Baza de date SIPRI privind cheltuielile militare.</w:t>
      </w:r>
    </w:p>
  </w:footnote>
  <w:footnote w:id="8">
    <w:p w14:paraId="3B45E3A4" w14:textId="564EA48C" w:rsidR="00297ED0" w:rsidRPr="00417879" w:rsidRDefault="00297ED0" w:rsidP="00417879">
      <w:pPr>
        <w:pStyle w:val="FootnoteText"/>
        <w:spacing w:after="0"/>
        <w:contextualSpacing/>
      </w:pPr>
      <w:r>
        <w:rPr>
          <w:rStyle w:val="FootnoteReference"/>
        </w:rPr>
        <w:footnoteRef/>
      </w:r>
      <w:r>
        <w:t xml:space="preserve"> Niinistö, S. (2024) „Safer Together: Strengthening Europe’s Civilian and Military Preparedness and Readiness” (Mai în siguranță împreună – Consolidarea pregătirii și disponibilității civile și militare a Europei).</w:t>
      </w:r>
    </w:p>
  </w:footnote>
  <w:footnote w:id="9">
    <w:p w14:paraId="194177A0" w14:textId="27921490" w:rsidR="004B418C" w:rsidRPr="00417879" w:rsidRDefault="004B418C" w:rsidP="00417879">
      <w:pPr>
        <w:pStyle w:val="FootnoteText"/>
        <w:spacing w:after="0"/>
        <w:contextualSpacing/>
      </w:pPr>
      <w:r>
        <w:rPr>
          <w:rStyle w:val="FootnoteReference"/>
        </w:rPr>
        <w:footnoteRef/>
      </w:r>
      <w:r>
        <w:t xml:space="preserve"> Niinistö, S. (2024), </w:t>
      </w:r>
      <w:r>
        <w:rPr>
          <w:i/>
        </w:rPr>
        <w:t>ibid</w:t>
      </w:r>
      <w:r>
        <w:t>.</w:t>
      </w:r>
    </w:p>
  </w:footnote>
  <w:footnote w:id="10">
    <w:p w14:paraId="44C1C40E" w14:textId="1E7E6C96" w:rsidR="00367634" w:rsidRPr="00417879" w:rsidRDefault="00855E87" w:rsidP="00417879">
      <w:pPr>
        <w:pStyle w:val="FootnoteText"/>
        <w:spacing w:after="0"/>
        <w:ind w:left="0" w:firstLine="0"/>
        <w:contextualSpacing/>
      </w:pPr>
      <w:r>
        <w:rPr>
          <w:rStyle w:val="FootnoteReference"/>
        </w:rPr>
        <w:footnoteRef/>
      </w:r>
      <w:r>
        <w:t xml:space="preserve"> Letta, E. (2023), </w:t>
      </w:r>
      <w:r>
        <w:rPr>
          <w:i/>
        </w:rPr>
        <w:t>ibid</w:t>
      </w:r>
      <w:r>
        <w:t>.</w:t>
      </w:r>
    </w:p>
  </w:footnote>
  <w:footnote w:id="11">
    <w:p w14:paraId="1A1BF9C8" w14:textId="18196390" w:rsidR="00367634" w:rsidRPr="00417879" w:rsidRDefault="00367634" w:rsidP="00417879">
      <w:pPr>
        <w:pStyle w:val="FootnoteText"/>
        <w:spacing w:after="0"/>
        <w:contextualSpacing/>
      </w:pPr>
      <w:r>
        <w:rPr>
          <w:rStyle w:val="FootnoteReference"/>
        </w:rPr>
        <w:footnoteRef/>
      </w:r>
      <w:r>
        <w:t xml:space="preserve"> Letta, E. (2023), </w:t>
      </w:r>
      <w:r>
        <w:rPr>
          <w:i/>
        </w:rPr>
        <w:t>ibid</w:t>
      </w:r>
      <w:r>
        <w:t>.</w:t>
      </w:r>
    </w:p>
  </w:footnote>
  <w:footnote w:id="12">
    <w:p w14:paraId="17BAF801" w14:textId="77777777" w:rsidR="00BC6A72" w:rsidRPr="00417879" w:rsidRDefault="00BC6A72" w:rsidP="00417879">
      <w:pPr>
        <w:pStyle w:val="FootnoteText"/>
        <w:spacing w:after="0"/>
        <w:contextualSpacing/>
      </w:pPr>
      <w:r>
        <w:rPr>
          <w:rStyle w:val="FootnoteReference"/>
        </w:rPr>
        <w:footnoteRef/>
      </w:r>
      <w:r>
        <w:t xml:space="preserve"> „9</w:t>
      </w:r>
      <w:r>
        <w:rPr>
          <w:vertAlign w:val="superscript"/>
        </w:rPr>
        <w:t>th</w:t>
      </w:r>
      <w:r>
        <w:t xml:space="preserve"> Cohesion Report, Highlights and policy takeaways” (Al 9-lea raport privind coeziunea. Puncte esențiale și concluzii politice), p. ix.</w:t>
      </w:r>
    </w:p>
  </w:footnote>
  <w:footnote w:id="13">
    <w:p w14:paraId="3A1887E7" w14:textId="5F2D97E6" w:rsidR="005A7188" w:rsidRPr="00417879" w:rsidRDefault="005A7188" w:rsidP="00417879">
      <w:pPr>
        <w:pStyle w:val="FootnoteText"/>
        <w:spacing w:after="0"/>
        <w:ind w:left="0" w:firstLine="0"/>
        <w:contextualSpacing/>
      </w:pPr>
      <w:r>
        <w:rPr>
          <w:rStyle w:val="FootnoteReference"/>
        </w:rPr>
        <w:footnoteRef/>
      </w:r>
      <w:r>
        <w:t xml:space="preserve"> Comisia Europeană (2024) – Dialog strategic privind viitorul agriculturii UE.</w:t>
      </w:r>
    </w:p>
  </w:footnote>
  <w:footnote w:id="14">
    <w:p w14:paraId="1C6E59E5" w14:textId="374E298C" w:rsidR="000D198E" w:rsidRPr="00417879" w:rsidRDefault="000D198E" w:rsidP="00417879">
      <w:pPr>
        <w:pStyle w:val="FootnoteText"/>
        <w:spacing w:after="0"/>
        <w:ind w:left="0" w:firstLine="0"/>
        <w:contextualSpacing/>
      </w:pPr>
      <w:r>
        <w:rPr>
          <w:rStyle w:val="FootnoteReference"/>
        </w:rPr>
        <w:footnoteRef/>
      </w:r>
      <w:r>
        <w:t xml:space="preserve"> Comisia Europeană și Banca Europeană de Investiții, 2023. „Factsheet: Financing gap in the agriculture and the agri-food sectors in the EU” (Fișă informativă: Deficitul de finanțare în sectoarele agricol și agroalimentar din UE).</w:t>
      </w:r>
    </w:p>
  </w:footnote>
  <w:footnote w:id="15">
    <w:p w14:paraId="098C46A0" w14:textId="77777777" w:rsidR="00BF4A44" w:rsidRPr="00417879" w:rsidRDefault="00BF4A44" w:rsidP="00417879">
      <w:pPr>
        <w:pStyle w:val="FootnoteText"/>
        <w:spacing w:after="0"/>
        <w:contextualSpacing/>
      </w:pPr>
      <w:r>
        <w:rPr>
          <w:rStyle w:val="FootnoteReference"/>
        </w:rPr>
        <w:footnoteRef/>
      </w:r>
      <w:r>
        <w:t xml:space="preserve"> </w:t>
      </w:r>
      <w:hyperlink r:id="rId2" w:history="1">
        <w:r>
          <w:rPr>
            <w:rStyle w:val="Hyperlink"/>
          </w:rPr>
          <w:t>Economic losses from weather- and climate-related extremes in Europe</w:t>
        </w:r>
      </w:hyperlink>
      <w:r>
        <w:t xml:space="preserve"> (Pierderile economice cauzate de fenomenele meteorologice și climatice extreme din Europa). AEM, oct. 2024. </w:t>
      </w:r>
    </w:p>
  </w:footnote>
  <w:footnote w:id="16">
    <w:p w14:paraId="08AE7E96" w14:textId="28CCF1E7" w:rsidR="00126D61" w:rsidRPr="00126D61" w:rsidRDefault="00126D61" w:rsidP="00560078">
      <w:pPr>
        <w:pStyle w:val="FootnoteText"/>
        <w:spacing w:after="0"/>
        <w:ind w:left="0" w:firstLine="0"/>
      </w:pPr>
      <w:r>
        <w:rPr>
          <w:rStyle w:val="FootnoteReference"/>
        </w:rPr>
        <w:footnoteRef/>
      </w:r>
      <w:r>
        <w:t xml:space="preserve"> Curtea de Conturi Europeană,  „Adaptarea la schimbările climatice în UE – Acțiunile nu se ridică la înălțimea ambițiilor”, Raportul special 2024/15.</w:t>
      </w:r>
    </w:p>
  </w:footnote>
  <w:footnote w:id="17">
    <w:p w14:paraId="18471579" w14:textId="77777777" w:rsidR="00FC1DBE" w:rsidRPr="00417879" w:rsidRDefault="00FC1DBE" w:rsidP="00417879">
      <w:pPr>
        <w:pStyle w:val="FootnoteText"/>
        <w:spacing w:after="0"/>
        <w:ind w:left="0" w:firstLine="0"/>
        <w:contextualSpacing/>
      </w:pPr>
      <w:r>
        <w:rPr>
          <w:rStyle w:val="FootnoteReference"/>
        </w:rPr>
        <w:footnoteRef/>
      </w:r>
      <w:r>
        <w:t xml:space="preserve"> Organizația Națiunilor Unite (2024) – „The Sustainable Development Goals Report” (Raportul privind obiectivele de dezvoltare durabilă).</w:t>
      </w:r>
    </w:p>
  </w:footnote>
  <w:footnote w:id="18">
    <w:p w14:paraId="08DB6913" w14:textId="60693318" w:rsidR="00483722" w:rsidRPr="00417879" w:rsidRDefault="00483722" w:rsidP="00417879">
      <w:pPr>
        <w:pStyle w:val="FootnoteText"/>
        <w:spacing w:after="0"/>
        <w:ind w:left="0" w:firstLine="0"/>
        <w:contextualSpacing/>
      </w:pPr>
      <w:r>
        <w:rPr>
          <w:rStyle w:val="FootnoteReference"/>
        </w:rPr>
        <w:footnoteRef/>
      </w:r>
      <w:r>
        <w:t xml:space="preserve"> Economia Ucrainei a continuat să dea dovadă de reziliență, însă riscurile rămân excepțional de ridicate, având în vedere incertitudinea cu privire la intensitatea și durata războiului, inclusiv din cauza atacurilor continue asupra infrastructurii energetice; FMI, Comunicatul de presă nr. PR24/425.</w:t>
      </w:r>
    </w:p>
  </w:footnote>
  <w:footnote w:id="19">
    <w:p w14:paraId="232DA460" w14:textId="77777777" w:rsidR="00F00E6D" w:rsidRPr="00417879" w:rsidRDefault="00F00E6D" w:rsidP="00F00E6D">
      <w:pPr>
        <w:pStyle w:val="FootnoteText"/>
        <w:spacing w:after="0"/>
        <w:ind w:left="0" w:firstLine="0"/>
        <w:contextualSpacing/>
      </w:pPr>
      <w:r>
        <w:rPr>
          <w:rStyle w:val="FootnoteReference"/>
        </w:rPr>
        <w:footnoteRef/>
      </w:r>
      <w:r>
        <w:t xml:space="preserve"> Comisia Europeană (2023), Raport anual privind gestionarea și performanța bugetului UE – exercițiul financiar 2022. Volumul 1, COM(2023) 401 final.</w:t>
      </w:r>
    </w:p>
  </w:footnote>
  <w:footnote w:id="20">
    <w:p w14:paraId="6FEB28EE" w14:textId="3185E73B" w:rsidR="3BF9F3E1" w:rsidRDefault="3BF9F3E1" w:rsidP="00FA3320">
      <w:pPr>
        <w:pStyle w:val="FootnoteText"/>
        <w:spacing w:after="0"/>
        <w:ind w:left="0" w:firstLine="0"/>
        <w:contextualSpacing/>
      </w:pPr>
      <w:r>
        <w:rPr>
          <w:rStyle w:val="FootnoteReference"/>
        </w:rPr>
        <w:footnoteRef/>
      </w:r>
      <w:r>
        <w:t xml:space="preserve"> </w:t>
      </w:r>
      <w:hyperlink r:id="rId3">
        <w:r>
          <w:rPr>
            <w:rStyle w:val="Hyperlink"/>
          </w:rPr>
          <w:t>https://energy.ec.europa.eu/publications/repowereu-2-years_en</w:t>
        </w:r>
      </w:hyperlink>
      <w:r>
        <w:t xml:space="preserve"> </w:t>
      </w:r>
    </w:p>
  </w:footnote>
  <w:footnote w:id="21">
    <w:p w14:paraId="6E646157" w14:textId="7AD349AD" w:rsidR="57974CCA" w:rsidRPr="00417879" w:rsidRDefault="57974CCA" w:rsidP="00417879">
      <w:pPr>
        <w:spacing w:after="0"/>
        <w:contextualSpacing/>
        <w:rPr>
          <w:rFonts w:ascii="Times New Roman" w:eastAsiaTheme="minorEastAsia" w:hAnsi="Times New Roman" w:cs="Times New Roman"/>
          <w:sz w:val="20"/>
          <w:szCs w:val="20"/>
        </w:rPr>
      </w:pPr>
      <w:r>
        <w:rPr>
          <w:rFonts w:ascii="Times New Roman" w:eastAsiaTheme="minorEastAsia" w:hAnsi="Times New Roman" w:cs="Times New Roman"/>
          <w:sz w:val="20"/>
          <w:szCs w:val="20"/>
          <w:vertAlign w:val="superscript"/>
        </w:rPr>
        <w:footnoteRef/>
      </w:r>
      <w:r>
        <w:rPr>
          <w:rFonts w:ascii="Times New Roman" w:hAnsi="Times New Roman"/>
          <w:sz w:val="20"/>
        </w:rPr>
        <w:t xml:space="preserve"> Curtea de Conturi Europeană (2023). „Peisajul financiar al UE – O construcție eterogenă care necesită progrese în materie de simplificare și de răspundere de gestiune”. Raportul special 05 al CCE.</w:t>
      </w:r>
    </w:p>
  </w:footnote>
  <w:footnote w:id="22">
    <w:p w14:paraId="12C90CAD" w14:textId="51958B93" w:rsidR="00604D01" w:rsidRPr="00FA3320" w:rsidRDefault="00604D01" w:rsidP="00FA3320">
      <w:pPr>
        <w:pStyle w:val="FootnoteText"/>
        <w:spacing w:after="0"/>
      </w:pPr>
      <w:r>
        <w:rPr>
          <w:rStyle w:val="FootnoteReference"/>
        </w:rPr>
        <w:footnoteRef/>
      </w:r>
      <w:r>
        <w:t xml:space="preserve"> Draghi, M. (2024: 4), „The future of European competitiveness. Part A – A competitiveness strategy for Europe” (Viitorul competitivității europene – Partea A. O strategie privind competitivitatea pentru Europa).</w:t>
      </w:r>
    </w:p>
  </w:footnote>
  <w:footnote w:id="23">
    <w:p w14:paraId="6DF81324" w14:textId="599805A0" w:rsidR="00632D4D" w:rsidRPr="00417879" w:rsidRDefault="00632D4D" w:rsidP="00417879">
      <w:pPr>
        <w:spacing w:after="0"/>
        <w:contextualSpacing/>
        <w:jc w:val="both"/>
        <w:rPr>
          <w:rStyle w:val="FootnoteReference"/>
          <w:rFonts w:ascii="Times New Roman" w:hAnsi="Times New Roman" w:cs="Times New Roman"/>
          <w:szCs w:val="20"/>
          <w:vertAlign w:val="baseline"/>
        </w:rPr>
      </w:pPr>
      <w:r>
        <w:rPr>
          <w:rStyle w:val="FootnoteReference"/>
          <w:rFonts w:ascii="Times New Roman" w:hAnsi="Times New Roman" w:cs="Times New Roman"/>
          <w:szCs w:val="20"/>
        </w:rPr>
        <w:footnoteRef/>
      </w:r>
      <w:r>
        <w:rPr>
          <w:rStyle w:val="FootnoteReference"/>
          <w:rFonts w:ascii="Times New Roman" w:hAnsi="Times New Roman"/>
        </w:rPr>
        <w:t xml:space="preserve"> </w:t>
      </w:r>
      <w:r>
        <w:rPr>
          <w:rStyle w:val="FootnoteReference"/>
          <w:rFonts w:ascii="Times New Roman" w:hAnsi="Times New Roman"/>
          <w:vertAlign w:val="baseline"/>
        </w:rPr>
        <w:t>De exemplu, în fondurile politicii de coeziune au fost introduse mai multe măsuri de simplificare, în principal prin intermediul Regulamentului privind dispozițiile comune:</w:t>
      </w:r>
      <w:r>
        <w:rPr>
          <w:rFonts w:ascii="Times New Roman" w:hAnsi="Times New Roman"/>
          <w:sz w:val="20"/>
        </w:rPr>
        <w:t xml:space="preserve"> reducerea drastică a controalelor de gestiune, „principiul auditului unic”, mecanisme proporționale pentru audituri, extinderea posibilității de a utiliza opțiuni simplificate în materie de costuri și finanțarea care nu este legată de schemele de costuri.</w:t>
      </w:r>
    </w:p>
  </w:footnote>
  <w:footnote w:id="24">
    <w:p w14:paraId="71E79D07" w14:textId="7E98BADC" w:rsidR="00415178" w:rsidRPr="00417879" w:rsidRDefault="00415178" w:rsidP="00417879">
      <w:pPr>
        <w:spacing w:after="0"/>
        <w:contextualSpacing/>
        <w:jc w:val="both"/>
        <w:rPr>
          <w:rFonts w:ascii="Times New Roman" w:eastAsia="Times New Roman" w:hAnsi="Times New Roman" w:cs="Times New Roman"/>
          <w:sz w:val="20"/>
          <w:szCs w:val="20"/>
        </w:rPr>
      </w:pPr>
      <w:r>
        <w:rPr>
          <w:rStyle w:val="FootnoteReference"/>
          <w:rFonts w:ascii="Times New Roman" w:hAnsi="Times New Roman" w:cs="Times New Roman"/>
          <w:szCs w:val="20"/>
        </w:rPr>
        <w:footnoteRef/>
      </w:r>
      <w:r>
        <w:t xml:space="preserve"> </w:t>
      </w:r>
      <w:r>
        <w:rPr>
          <w:rFonts w:ascii="Times New Roman" w:hAnsi="Times New Roman"/>
          <w:sz w:val="20"/>
        </w:rPr>
        <w:t xml:space="preserve">În acest scop, portalul STEP oferă o primă imagine de ansamblu, deși limitată, a cererilor de propuneri, concentrându-se asupra tehnologiilor inovatoare, atât la nivel de stat membru/regional, cât și pentru programele gestionate direct la nivelul UE. </w:t>
      </w:r>
    </w:p>
  </w:footnote>
  <w:footnote w:id="25">
    <w:p w14:paraId="6A415A4A" w14:textId="0AF7EF25" w:rsidR="00004CDB" w:rsidRPr="00417879" w:rsidRDefault="00004CDB" w:rsidP="00417879">
      <w:pPr>
        <w:pStyle w:val="FootnoteText"/>
        <w:spacing w:after="0"/>
        <w:ind w:left="0" w:firstLine="0"/>
        <w:contextualSpacing/>
      </w:pPr>
      <w:r>
        <w:rPr>
          <w:rStyle w:val="FootnoteReference"/>
        </w:rPr>
        <w:footnoteRef/>
      </w:r>
      <w:r>
        <w:t xml:space="preserve"> Următoarele programe sunt prealocate la nivel național: Fondul de coeziune, Fondul european de dezvoltare regională, Fondul social european Plus, Fondul pentru o tranziție justă, Mecanismul de redresare și reziliență, Fondul european de garantare agricolă, Fondul european agricol pentru dezvoltare rurală, Fondul european pentru afaceri maritime, pescuit și acvacultură, Rezerva de ajustare la Brexit și, în afara bugetului UE sau a cadrului financiar multianual, Fondul social pentru climă (din 2026) și Fondul pentru modernizare.</w:t>
      </w:r>
    </w:p>
  </w:footnote>
  <w:footnote w:id="26">
    <w:p w14:paraId="29F811F2" w14:textId="26075C66" w:rsidR="001B2CB6" w:rsidRPr="00417879" w:rsidRDefault="001B2CB6" w:rsidP="00417879">
      <w:pPr>
        <w:spacing w:after="0"/>
        <w:contextualSpacing/>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vertAlign w:val="superscript"/>
        </w:rPr>
        <w:t xml:space="preserve"> </w:t>
      </w:r>
      <w:r>
        <w:rPr>
          <w:rFonts w:ascii="Times New Roman" w:hAnsi="Times New Roman"/>
          <w:sz w:val="20"/>
        </w:rPr>
        <w:t>Actele sectoriale au fost adoptate în iunie 2021, iar programele operaționale ale statelor membre în a doua jumătate a anului 2022, în pofida foilor de parcurs ambițioase ale statelor membre care prevăd ca programele lor să fie prezentate către Comisie spre adoptare până la sfârșitul anului 2020.</w:t>
      </w:r>
    </w:p>
  </w:footnote>
  <w:footnote w:id="27">
    <w:p w14:paraId="043EF960" w14:textId="459CB7EC" w:rsidR="007F2E1C" w:rsidRPr="00780170" w:rsidRDefault="007F2E1C" w:rsidP="007F2E1C">
      <w:pPr>
        <w:pStyle w:val="FootnoteText"/>
        <w:spacing w:after="0"/>
        <w:ind w:left="0" w:firstLine="0"/>
        <w:contextualSpacing/>
      </w:pPr>
      <w:r>
        <w:rPr>
          <w:rStyle w:val="FootnoteReference"/>
        </w:rPr>
        <w:footnoteRef/>
      </w:r>
      <w:r>
        <w:t xml:space="preserve"> </w:t>
      </w:r>
      <w:hyperlink r:id="rId4" w:history="1">
        <w:r>
          <w:rPr>
            <w:rStyle w:val="Hyperlink"/>
          </w:rPr>
          <w:t>https://cohesiondata.ec.europa.eu/cohesion_overview/21-27</w:t>
        </w:r>
      </w:hyperlink>
      <w:r>
        <w:t xml:space="preserve">. </w:t>
      </w:r>
    </w:p>
  </w:footnote>
  <w:footnote w:id="28">
    <w:p w14:paraId="5533B4D5" w14:textId="77777777" w:rsidR="007763F5" w:rsidRPr="00417879" w:rsidRDefault="007763F5" w:rsidP="007763F5">
      <w:pPr>
        <w:pStyle w:val="FootnoteText"/>
        <w:spacing w:after="0"/>
        <w:contextualSpacing/>
      </w:pPr>
      <w:r>
        <w:rPr>
          <w:rStyle w:val="FootnoteReference"/>
        </w:rPr>
        <w:footnoteRef/>
      </w:r>
      <w:r>
        <w:t xml:space="preserve"> A se vedea, de asemenea, COM(2024) 276 final. 26.6.2024.</w:t>
      </w:r>
    </w:p>
  </w:footnote>
  <w:footnote w:id="29">
    <w:p w14:paraId="0DEDD8BE" w14:textId="77777777" w:rsidR="000F334E" w:rsidRPr="00E5041A" w:rsidRDefault="000F334E" w:rsidP="000F334E">
      <w:pPr>
        <w:pStyle w:val="FootnoteText"/>
        <w:spacing w:after="0"/>
        <w:ind w:left="0" w:firstLine="0"/>
        <w:contextualSpacing/>
      </w:pPr>
      <w:r>
        <w:rPr>
          <w:rStyle w:val="FootnoteReference"/>
        </w:rPr>
        <w:footnoteRef/>
      </w:r>
      <w:r>
        <w:t xml:space="preserve"> Draghi, M. (2024), „The future of European competitiveness. Part A – A competitiveness strategy for Europe” (Viitorul competitivității europene – Partea A. O strategie privind competitivitatea pentru Europa).</w:t>
      </w:r>
    </w:p>
  </w:footnote>
  <w:footnote w:id="30">
    <w:p w14:paraId="6B241F5A" w14:textId="7FDE69AD" w:rsidR="001A2F73" w:rsidRPr="00417879" w:rsidRDefault="001A2F73" w:rsidP="00417879">
      <w:pPr>
        <w:spacing w:after="0"/>
        <w:contextualSpacing/>
        <w:rPr>
          <w:rFonts w:ascii="Times New Roman" w:eastAsia="Calibri" w:hAnsi="Times New Roman" w:cs="Times New Roman"/>
          <w:sz w:val="20"/>
          <w:szCs w:val="20"/>
        </w:rPr>
      </w:pPr>
      <w:r>
        <w:rPr>
          <w:rFonts w:ascii="Times New Roman" w:eastAsiaTheme="minorEastAsia" w:hAnsi="Times New Roman" w:cs="Times New Roman"/>
          <w:sz w:val="20"/>
          <w:szCs w:val="20"/>
          <w:vertAlign w:val="superscript"/>
        </w:rPr>
        <w:footnoteRef/>
      </w:r>
      <w:r>
        <w:rPr>
          <w:rFonts w:ascii="Times New Roman" w:hAnsi="Times New Roman"/>
          <w:sz w:val="20"/>
        </w:rPr>
        <w:t xml:space="preserve"> SWD(2024) 229 final. </w:t>
      </w:r>
    </w:p>
  </w:footnote>
  <w:footnote w:id="31">
    <w:p w14:paraId="594CDEBB" w14:textId="0167BBFC" w:rsidR="0048487D" w:rsidRPr="0048487D" w:rsidRDefault="0048487D" w:rsidP="00A2725E">
      <w:pPr>
        <w:pStyle w:val="FootnoteText"/>
        <w:spacing w:after="0"/>
      </w:pPr>
      <w:r>
        <w:rPr>
          <w:rStyle w:val="FootnoteReference"/>
        </w:rPr>
        <w:footnoteRef/>
      </w:r>
      <w:r>
        <w:t xml:space="preserve"> Draghi, M. (2024), „The future of European competitiveness. Part A – A competitiveness strategy for Europe” (Viitorul competitivității europene – Partea A. O strategie privind competitivitatea pentru Europa).</w:t>
      </w:r>
    </w:p>
  </w:footnote>
  <w:footnote w:id="32">
    <w:p w14:paraId="6765FEC2" w14:textId="67137A24" w:rsidR="00722618" w:rsidRPr="00417879" w:rsidRDefault="00722618" w:rsidP="00417879">
      <w:pPr>
        <w:pStyle w:val="FootnoteText"/>
        <w:spacing w:after="0"/>
        <w:ind w:left="0" w:firstLine="0"/>
        <w:contextualSpacing/>
      </w:pPr>
      <w:r>
        <w:rPr>
          <w:rStyle w:val="FootnoteReference"/>
        </w:rPr>
        <w:footnoteRef/>
      </w:r>
      <w:r>
        <w:t xml:space="preserve"> Sumele sunt calculate ca o aproximare </w:t>
      </w:r>
      <w:r>
        <w:rPr>
          <w:i/>
          <w:iCs/>
        </w:rPr>
        <w:t>ex ante</w:t>
      </w:r>
      <w:r>
        <w:t xml:space="preserve"> a costurilor reale. Aceasta este o posibilitate pentru fondurile politicii de coeziune și o regulă pentru Mecanismul de redresare și reziliență, Fondul social pentru climă, Mecanismul pentru Ucraina sau Mecanismul de creștere pentru Balcanii de Vest.</w:t>
      </w:r>
    </w:p>
  </w:footnote>
  <w:footnote w:id="33">
    <w:p w14:paraId="2167F9EC" w14:textId="04711118" w:rsidR="008C4E0C" w:rsidRPr="00417879" w:rsidRDefault="008C4E0C" w:rsidP="00417879">
      <w:pPr>
        <w:pStyle w:val="FootnoteText"/>
        <w:spacing w:after="0"/>
        <w:ind w:left="0" w:firstLine="0"/>
        <w:contextualSpacing/>
      </w:pPr>
      <w:r>
        <w:rPr>
          <w:rStyle w:val="FootnoteReference"/>
        </w:rPr>
        <w:footnoteRef/>
      </w:r>
      <w:r>
        <w:t xml:space="preserve"> Concluziile Consiliului referitoare la comunicarea cu privire la cel de al 9-lea raport privind coeziunea, 5 iunie 2024.</w:t>
      </w:r>
    </w:p>
  </w:footnote>
  <w:footnote w:id="34">
    <w:p w14:paraId="48C7599B" w14:textId="2696658D" w:rsidR="00647A2E" w:rsidRPr="00417879" w:rsidRDefault="00647A2E" w:rsidP="00647A2E">
      <w:pPr>
        <w:pStyle w:val="FootnoteText"/>
        <w:spacing w:after="0"/>
        <w:ind w:left="0" w:firstLine="0"/>
        <w:contextualSpacing/>
      </w:pPr>
      <w:r>
        <w:rPr>
          <w:rStyle w:val="FootnoteReference"/>
        </w:rPr>
        <w:footnoteRef/>
      </w:r>
      <w:r>
        <w:t xml:space="preserve"> Avizele platformei „Pregătiți pentru viitor” privind evaluarea Fondului european de dezvoltare regională, a Fondului de coeziune și a Fondului pentru o tranziție justă și privind evaluarea Fondului social european Plus. </w:t>
      </w:r>
    </w:p>
  </w:footnote>
  <w:footnote w:id="35">
    <w:p w14:paraId="13482C2D" w14:textId="73E5BFF5" w:rsidR="006E21E4" w:rsidRPr="006E21E4" w:rsidRDefault="006E21E4" w:rsidP="006E029D">
      <w:pPr>
        <w:pStyle w:val="FootnoteText"/>
        <w:spacing w:after="0"/>
        <w:ind w:left="0" w:firstLine="0"/>
        <w:contextualSpacing/>
      </w:pPr>
      <w:r>
        <w:rPr>
          <w:rStyle w:val="FootnoteReference"/>
        </w:rPr>
        <w:footnoteRef/>
      </w:r>
      <w:r>
        <w:t xml:space="preserve"> COM(2024) 82 final.</w:t>
      </w:r>
    </w:p>
  </w:footnote>
  <w:footnote w:id="36">
    <w:p w14:paraId="6BB7E0E3" w14:textId="46155F49" w:rsidR="006B42B9" w:rsidRPr="00D8010E" w:rsidRDefault="006B42B9" w:rsidP="006B42B9">
      <w:pPr>
        <w:pStyle w:val="FootnoteText"/>
        <w:spacing w:after="0"/>
        <w:ind w:left="0" w:firstLine="0"/>
        <w:contextualSpacing/>
      </w:pPr>
      <w:r>
        <w:rPr>
          <w:rStyle w:val="FootnoteReference"/>
        </w:rPr>
        <w:footnoteRef/>
      </w:r>
      <w:r>
        <w:t xml:space="preserve"> Raportul special 07/2023: Proiectarea sistemului de control al Comisiei pentru MRR.</w:t>
      </w:r>
    </w:p>
  </w:footnote>
  <w:footnote w:id="37">
    <w:p w14:paraId="083B6160" w14:textId="22CE17F8" w:rsidR="006B42B9" w:rsidRPr="00D8010E" w:rsidRDefault="006B42B9" w:rsidP="007B2E77">
      <w:pPr>
        <w:pStyle w:val="FootnoteText"/>
        <w:spacing w:after="0"/>
        <w:ind w:left="0" w:firstLine="0"/>
        <w:contextualSpacing/>
      </w:pPr>
      <w:r>
        <w:rPr>
          <w:rStyle w:val="FootnoteReference"/>
        </w:rPr>
        <w:footnoteRef/>
      </w:r>
      <w:r>
        <w:t xml:space="preserve"> Raportul special 26/2023: Cadrul de monitorizare a performanței Mecanismului de redresare și reziliență – Măsoară progresele înregistrate în punerea în aplicare, dar nu este suficient pentru a surprinde performanța.</w:t>
      </w:r>
    </w:p>
  </w:footnote>
  <w:footnote w:id="38">
    <w:p w14:paraId="14DA51AD" w14:textId="77777777" w:rsidR="00437201" w:rsidRPr="00417879" w:rsidRDefault="00437201" w:rsidP="00417879">
      <w:pPr>
        <w:pStyle w:val="FootnoteText"/>
        <w:spacing w:after="0"/>
        <w:ind w:left="0" w:firstLine="0"/>
        <w:contextualSpacing/>
      </w:pPr>
      <w:r>
        <w:rPr>
          <w:rStyle w:val="FootnoteReference"/>
        </w:rPr>
        <w:footnoteRef/>
      </w:r>
      <w:r>
        <w:t xml:space="preserve"> Limitele se aplică cheltuielilor anuale totale, dar și rubricilor individuale. </w:t>
      </w:r>
    </w:p>
  </w:footnote>
  <w:footnote w:id="39">
    <w:p w14:paraId="4423623D" w14:textId="5651D52D" w:rsidR="009E7CF0" w:rsidRPr="00FB78DF" w:rsidRDefault="009E7CF0" w:rsidP="008822D8">
      <w:pPr>
        <w:pStyle w:val="FootnoteText"/>
        <w:spacing w:after="0"/>
        <w:ind w:left="0" w:firstLine="0"/>
        <w:contextualSpacing/>
        <w:jc w:val="left"/>
      </w:pPr>
      <w:r>
        <w:rPr>
          <w:rStyle w:val="FootnoteReference"/>
        </w:rPr>
        <w:footnoteRef/>
      </w:r>
      <w:r>
        <w:t xml:space="preserve"> Rapoarte financiare și de răspundere integrate. Prezentare generală: exercițiul financiar 2023. Disponibil la adresa: </w:t>
      </w:r>
      <w:hyperlink r:id="rId5" w:history="1">
        <w:r>
          <w:rPr>
            <w:rStyle w:val="Hyperlink"/>
          </w:rPr>
          <w:t>https://op.europa.eu/ro/publication-detail/-/publication/0f519222-47ed-11ef-aea6-01aa75ed71a1</w:t>
        </w:r>
      </w:hyperlink>
      <w:r>
        <w:t xml:space="preserve"> </w:t>
      </w:r>
    </w:p>
  </w:footnote>
  <w:footnote w:id="40">
    <w:p w14:paraId="0086B803" w14:textId="466FEF3C" w:rsidR="00F772DC" w:rsidRPr="00417879" w:rsidRDefault="00F772DC" w:rsidP="00417879">
      <w:pPr>
        <w:pStyle w:val="FootnoteText"/>
        <w:spacing w:after="0"/>
        <w:ind w:left="0" w:firstLine="0"/>
        <w:contextualSpacing/>
      </w:pPr>
      <w:r>
        <w:rPr>
          <w:rStyle w:val="FootnoteReference"/>
        </w:rPr>
        <w:footnoteRef/>
      </w:r>
      <w:r>
        <w:t xml:space="preserve"> Acestea sunt: „Rezerva pentru provocările și prioritățile emergente” (9 miliarde EUR pentru perioada 2021</w:t>
      </w:r>
      <w:r w:rsidR="00F15F65">
        <w:t>­</w:t>
      </w:r>
      <w:r>
        <w:t>2027) din cadrul Instrumentului de vecinătate, cooperare pentru dezvoltare și cooperare internațională, rezerva pentru agricultură din cadrul PAC (puțin sub 500 de milioane EUR pe an în perioada 2021-2022 și cel puțin 450</w:t>
      </w:r>
      <w:r w:rsidR="00F15F65">
        <w:t> </w:t>
      </w:r>
      <w:r>
        <w:t>de milioane EUR pe an începând din 2023); facilitățile tematice din cadrul Fondului pentru azil, migrație și integrare, al Instrumentului pentru managementul frontierelor și vize și al Fondului pentru securitate internă.</w:t>
      </w:r>
    </w:p>
  </w:footnote>
  <w:footnote w:id="41">
    <w:p w14:paraId="3819559E" w14:textId="7141ACB6" w:rsidR="00D61771" w:rsidRPr="00417879" w:rsidRDefault="00D61771" w:rsidP="00417879">
      <w:pPr>
        <w:pStyle w:val="FootnoteText"/>
        <w:spacing w:after="0"/>
        <w:ind w:left="0" w:firstLine="0"/>
        <w:contextualSpacing/>
      </w:pPr>
      <w:r>
        <w:rPr>
          <w:rStyle w:val="FootnoteReference"/>
        </w:rPr>
        <w:footnoteRef/>
      </w:r>
      <w:r>
        <w:t xml:space="preserve"> Marjele nealocate și instrumentele speciale tematice și netematice, precum și Rezerva pentru provocările și prioritățile emergente și facilitățile tematice.</w:t>
      </w:r>
    </w:p>
  </w:footnote>
  <w:footnote w:id="42">
    <w:p w14:paraId="62C0F764" w14:textId="5C3006A0" w:rsidR="00F07E2C" w:rsidRPr="00417879" w:rsidRDefault="00F07E2C" w:rsidP="00417879">
      <w:pPr>
        <w:pStyle w:val="FootnoteText"/>
        <w:spacing w:after="0"/>
        <w:ind w:left="0" w:firstLine="0"/>
        <w:contextualSpacing/>
      </w:pPr>
      <w:r>
        <w:rPr>
          <w:rStyle w:val="FootnoteReference"/>
        </w:rPr>
        <w:footnoteRef/>
      </w:r>
      <w:r>
        <w:t xml:space="preserve"> Prin Inițiativa pentru investiții ca reacție la coronavirus și Inițiativa plus pentru investiții în răspunsul la coronavirus, precum și REACT-EU.</w:t>
      </w:r>
    </w:p>
  </w:footnote>
  <w:footnote w:id="43">
    <w:p w14:paraId="57F95AC6" w14:textId="62BD3CA6" w:rsidR="00692C73" w:rsidRPr="00692C73" w:rsidRDefault="00692C73" w:rsidP="00FA3320">
      <w:pPr>
        <w:pStyle w:val="FootnoteText"/>
        <w:spacing w:after="0"/>
        <w:ind w:left="0" w:firstLine="0"/>
        <w:contextualSpacing/>
      </w:pPr>
      <w:r>
        <w:rPr>
          <w:rStyle w:val="FootnoteReference"/>
        </w:rPr>
        <w:footnoteRef/>
      </w:r>
      <w:r>
        <w:t xml:space="preserve"> Regulamentul (UE) 2022/562 al Parlamentului European și al Consiliului din 6 aprilie 2022 de modificare a Regulamentelor (UE) nr. 1303/2013 și (UE) nr. 223/2014 în ceea ce privește Acțiunea de coeziune pentru refugiații din Europa (CARE), JO L 109, 8.4.2022, p. 1.</w:t>
      </w:r>
    </w:p>
  </w:footnote>
  <w:footnote w:id="44">
    <w:p w14:paraId="58234962" w14:textId="7A4072D8" w:rsidR="000F71AE" w:rsidRPr="000F71AE" w:rsidRDefault="000F71AE" w:rsidP="00FA3320">
      <w:pPr>
        <w:pStyle w:val="FootnoteText"/>
        <w:spacing w:after="0"/>
        <w:ind w:left="0" w:firstLine="0"/>
        <w:contextualSpacing/>
      </w:pPr>
      <w:r>
        <w:rPr>
          <w:rStyle w:val="FootnoteReference"/>
        </w:rPr>
        <w:footnoteRef/>
      </w:r>
      <w:r>
        <w:t xml:space="preserve"> Regulamentul (UE) 2022/2039 al Parlamentului European și al Consiliului din 19 octombrie 2022 de modificare a Regulamentelor (UE) nr. 1303/2013 și (UE) 2021/1060 în ceea ce privește o flexibilitate suplimentară FAST (Asistență flexibilă pentru teritorii) – CARE pentru a aborda consecințele agresiunii militare a Federației Ruse, JO L 275, 25.10.2022, p. 23.</w:t>
      </w:r>
    </w:p>
  </w:footnote>
  <w:footnote w:id="45">
    <w:p w14:paraId="0381A446" w14:textId="7F9DDF53" w:rsidR="00635CDA" w:rsidRPr="00635CDA" w:rsidRDefault="00635CDA" w:rsidP="00FA3320">
      <w:pPr>
        <w:pStyle w:val="FootnoteText"/>
        <w:spacing w:after="0"/>
        <w:ind w:left="0" w:firstLine="0"/>
        <w:contextualSpacing/>
      </w:pPr>
      <w:r>
        <w:rPr>
          <w:rStyle w:val="FootnoteReference"/>
        </w:rPr>
        <w:footnoteRef/>
      </w:r>
      <w:r>
        <w:t xml:space="preserve"> Măsurile de sprijinire a energiei la prețuri accesibile în cadrul politicii de coeziune, ca parte a REPowerEU. Regulamentul (UE) 2023/435 al Parlamentului European și al Consiliului din 27 februarie 2023 de modificare a Regulamentului (UE) 2021/241 în ceea ce privește capitolele privind REPowerEU din planurile de redresare și reziliență și de modificare a Regulamentelor (UE) nr. 1303/2013, (UE) 2021/1060 și (UE) 2021/1755 și a Directivei 2003/87/CE, JO L 63, 28.2.2023, p. 1.</w:t>
      </w:r>
    </w:p>
  </w:footnote>
  <w:footnote w:id="46">
    <w:p w14:paraId="5406E0FC" w14:textId="77777777" w:rsidR="0085750A" w:rsidRPr="00417879" w:rsidRDefault="0085750A" w:rsidP="00417879">
      <w:pPr>
        <w:pStyle w:val="FootnoteText"/>
        <w:spacing w:after="0"/>
        <w:ind w:left="0" w:firstLine="0"/>
        <w:contextualSpacing/>
      </w:pPr>
      <w:r>
        <w:rPr>
          <w:rStyle w:val="FootnoteReference"/>
        </w:rPr>
        <w:footnoteRef/>
      </w:r>
      <w:r>
        <w:t xml:space="preserve"> Comunicarea Comisiei către Parlamentul European, Consiliu, Comitetul Economic și Social European și Comitetul Regiunilor – „Raportul din 2024 privind statul de drept – Situația statului de drept în Uniunea Europeană”, COM(2024) 800 final.</w:t>
      </w:r>
    </w:p>
  </w:footnote>
  <w:footnote w:id="47">
    <w:p w14:paraId="13A1EDC6" w14:textId="136E90C2" w:rsidR="007A195C" w:rsidRPr="007A195C" w:rsidRDefault="007A195C" w:rsidP="007A195C">
      <w:pPr>
        <w:pStyle w:val="FootnoteText"/>
        <w:spacing w:after="0"/>
        <w:ind w:left="0" w:firstLine="0"/>
        <w:contextualSpacing/>
      </w:pPr>
      <w:r>
        <w:rPr>
          <w:rStyle w:val="FootnoteReference"/>
        </w:rPr>
        <w:footnoteRef/>
      </w:r>
      <w:r>
        <w:t xml:space="preserve"> Acordul interinstituțional privind disciplina bugetară, cooperarea în chestiuni bugetare și buna gestiune financiară, precum și privind noile resurse proprii, inclusiv o foaie de parcurs în vederea introducerii de noi resurse proprii, JO L 433, 22.12.2020, p. 28.</w:t>
      </w:r>
    </w:p>
  </w:footnote>
  <w:footnote w:id="48">
    <w:p w14:paraId="13CB69E0" w14:textId="7B2291D9" w:rsidR="00A83971" w:rsidRPr="00417879" w:rsidRDefault="00A83971" w:rsidP="00417879">
      <w:pPr>
        <w:pStyle w:val="FootnoteText"/>
        <w:spacing w:after="0"/>
        <w:contextualSpacing/>
      </w:pPr>
      <w:r>
        <w:rPr>
          <w:rStyle w:val="FootnoteReference"/>
        </w:rPr>
        <w:footnoteRef/>
      </w:r>
      <w:r>
        <w:t xml:space="preserve"> </w:t>
      </w:r>
      <w:hyperlink r:id="rId6" w:history="1">
        <w:r>
          <w:rPr>
            <w:rStyle w:val="Hyperlink"/>
          </w:rPr>
          <w:t>https://consilium.europa.eu/ro/press/press-releases/2024/11/08/the-budapest-declaration/</w:t>
        </w:r>
      </w:hyperlink>
      <w:r>
        <w:t xml:space="preserve"> </w:t>
      </w:r>
    </w:p>
  </w:footnote>
  <w:footnote w:id="49">
    <w:p w14:paraId="75485C18" w14:textId="77777777" w:rsidR="00A5386C" w:rsidRPr="00FB78DF" w:rsidRDefault="00A5386C" w:rsidP="00417879">
      <w:pPr>
        <w:pStyle w:val="FootnoteText"/>
        <w:spacing w:after="0"/>
        <w:contextualSpacing/>
      </w:pPr>
      <w:r>
        <w:rPr>
          <w:rStyle w:val="FootnoteReference"/>
        </w:rPr>
        <w:footnoteRef/>
      </w:r>
      <w:r>
        <w:t xml:space="preserve"> Declarația de la Budapesta privind noul pact pentru competitivitatea europeană, 8 noiembrie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317B9" w14:textId="77777777" w:rsidR="001B31D9" w:rsidRPr="001B31D9" w:rsidRDefault="001B31D9" w:rsidP="001B31D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17EB6" w14:textId="77777777" w:rsidR="001B31D9" w:rsidRPr="001B31D9" w:rsidRDefault="001B31D9" w:rsidP="001B31D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7FC4" w14:textId="77777777" w:rsidR="001B31D9" w:rsidRPr="001B31D9" w:rsidRDefault="001B31D9" w:rsidP="001B31D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AF154" w14:textId="77777777" w:rsidR="00A30CE9" w:rsidRDefault="00A30C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85B29" w14:textId="5A318854" w:rsidR="00A30CE9" w:rsidRPr="008C3A4A" w:rsidRDefault="00A30CE9" w:rsidP="008C3A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26258" w14:textId="77777777" w:rsidR="00A30CE9" w:rsidRDefault="00A30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226E"/>
    <w:multiLevelType w:val="multilevel"/>
    <w:tmpl w:val="B6DA4B0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E9162C"/>
    <w:multiLevelType w:val="multilevel"/>
    <w:tmpl w:val="94C0139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A062C3E"/>
    <w:multiLevelType w:val="hybridMultilevel"/>
    <w:tmpl w:val="0D3E78E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CA5FFC"/>
    <w:multiLevelType w:val="hybridMultilevel"/>
    <w:tmpl w:val="29DE9C5A"/>
    <w:lvl w:ilvl="0" w:tplc="A9243B3A">
      <w:start w:val="1"/>
      <w:numFmt w:val="bullet"/>
      <w:lvlText w:val=""/>
      <w:lvlJc w:val="left"/>
      <w:pPr>
        <w:ind w:left="2140" w:hanging="360"/>
      </w:pPr>
      <w:rPr>
        <w:rFonts w:ascii="Symbol" w:hAnsi="Symbol"/>
      </w:rPr>
    </w:lvl>
    <w:lvl w:ilvl="1" w:tplc="B33A66C2">
      <w:start w:val="1"/>
      <w:numFmt w:val="bullet"/>
      <w:lvlText w:val=""/>
      <w:lvlJc w:val="left"/>
      <w:pPr>
        <w:ind w:left="2140" w:hanging="360"/>
      </w:pPr>
      <w:rPr>
        <w:rFonts w:ascii="Symbol" w:hAnsi="Symbol"/>
      </w:rPr>
    </w:lvl>
    <w:lvl w:ilvl="2" w:tplc="957A05DA">
      <w:start w:val="1"/>
      <w:numFmt w:val="bullet"/>
      <w:lvlText w:val=""/>
      <w:lvlJc w:val="left"/>
      <w:pPr>
        <w:ind w:left="2140" w:hanging="360"/>
      </w:pPr>
      <w:rPr>
        <w:rFonts w:ascii="Symbol" w:hAnsi="Symbol"/>
      </w:rPr>
    </w:lvl>
    <w:lvl w:ilvl="3" w:tplc="CADE35C6">
      <w:start w:val="1"/>
      <w:numFmt w:val="bullet"/>
      <w:lvlText w:val=""/>
      <w:lvlJc w:val="left"/>
      <w:pPr>
        <w:ind w:left="2140" w:hanging="360"/>
      </w:pPr>
      <w:rPr>
        <w:rFonts w:ascii="Symbol" w:hAnsi="Symbol"/>
      </w:rPr>
    </w:lvl>
    <w:lvl w:ilvl="4" w:tplc="77CA260E">
      <w:start w:val="1"/>
      <w:numFmt w:val="bullet"/>
      <w:lvlText w:val=""/>
      <w:lvlJc w:val="left"/>
      <w:pPr>
        <w:ind w:left="2140" w:hanging="360"/>
      </w:pPr>
      <w:rPr>
        <w:rFonts w:ascii="Symbol" w:hAnsi="Symbol"/>
      </w:rPr>
    </w:lvl>
    <w:lvl w:ilvl="5" w:tplc="6298FFD4">
      <w:start w:val="1"/>
      <w:numFmt w:val="bullet"/>
      <w:lvlText w:val=""/>
      <w:lvlJc w:val="left"/>
      <w:pPr>
        <w:ind w:left="2140" w:hanging="360"/>
      </w:pPr>
      <w:rPr>
        <w:rFonts w:ascii="Symbol" w:hAnsi="Symbol"/>
      </w:rPr>
    </w:lvl>
    <w:lvl w:ilvl="6" w:tplc="09183F50">
      <w:start w:val="1"/>
      <w:numFmt w:val="bullet"/>
      <w:lvlText w:val=""/>
      <w:lvlJc w:val="left"/>
      <w:pPr>
        <w:ind w:left="2140" w:hanging="360"/>
      </w:pPr>
      <w:rPr>
        <w:rFonts w:ascii="Symbol" w:hAnsi="Symbol"/>
      </w:rPr>
    </w:lvl>
    <w:lvl w:ilvl="7" w:tplc="72B06CA0">
      <w:start w:val="1"/>
      <w:numFmt w:val="bullet"/>
      <w:lvlText w:val=""/>
      <w:lvlJc w:val="left"/>
      <w:pPr>
        <w:ind w:left="2140" w:hanging="360"/>
      </w:pPr>
      <w:rPr>
        <w:rFonts w:ascii="Symbol" w:hAnsi="Symbol"/>
      </w:rPr>
    </w:lvl>
    <w:lvl w:ilvl="8" w:tplc="D2742B74">
      <w:start w:val="1"/>
      <w:numFmt w:val="bullet"/>
      <w:lvlText w:val=""/>
      <w:lvlJc w:val="left"/>
      <w:pPr>
        <w:ind w:left="2140" w:hanging="360"/>
      </w:pPr>
      <w:rPr>
        <w:rFonts w:ascii="Symbol" w:hAnsi="Symbol"/>
      </w:rPr>
    </w:lvl>
  </w:abstractNum>
  <w:abstractNum w:abstractNumId="4" w15:restartNumberingAfterBreak="0">
    <w:nsid w:val="182860C3"/>
    <w:multiLevelType w:val="hybridMultilevel"/>
    <w:tmpl w:val="2EFE0B4C"/>
    <w:lvl w:ilvl="0" w:tplc="E32C978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650C6C"/>
    <w:multiLevelType w:val="multilevel"/>
    <w:tmpl w:val="9C24BEF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F9C4A80"/>
    <w:multiLevelType w:val="hybridMultilevel"/>
    <w:tmpl w:val="92CAE7FA"/>
    <w:lvl w:ilvl="0" w:tplc="F8E899A4">
      <w:start w:val="1"/>
      <w:numFmt w:val="bullet"/>
      <w:lvlText w:val="-"/>
      <w:lvlJc w:val="left"/>
      <w:pPr>
        <w:ind w:left="720" w:hanging="360"/>
      </w:pPr>
      <w:rPr>
        <w:rFonts w:ascii="Calibri" w:eastAsiaTheme="minorHAnsi" w:hAnsi="Calibri" w:cs="Calibri"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4CC6565"/>
    <w:multiLevelType w:val="hybridMultilevel"/>
    <w:tmpl w:val="63F2B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B26D45"/>
    <w:multiLevelType w:val="hybridMultilevel"/>
    <w:tmpl w:val="FFFFFFFF"/>
    <w:lvl w:ilvl="0" w:tplc="00841F88">
      <w:start w:val="1"/>
      <w:numFmt w:val="bullet"/>
      <w:lvlText w:val=""/>
      <w:lvlJc w:val="left"/>
      <w:pPr>
        <w:ind w:left="720" w:hanging="360"/>
      </w:pPr>
      <w:rPr>
        <w:rFonts w:ascii="Symbol" w:hAnsi="Symbol" w:hint="default"/>
      </w:rPr>
    </w:lvl>
    <w:lvl w:ilvl="1" w:tplc="1906831A">
      <w:start w:val="1"/>
      <w:numFmt w:val="bullet"/>
      <w:lvlText w:val="o"/>
      <w:lvlJc w:val="left"/>
      <w:pPr>
        <w:ind w:left="1440" w:hanging="360"/>
      </w:pPr>
      <w:rPr>
        <w:rFonts w:ascii="Courier New" w:hAnsi="Courier New" w:hint="default"/>
      </w:rPr>
    </w:lvl>
    <w:lvl w:ilvl="2" w:tplc="EF0EA35E">
      <w:start w:val="1"/>
      <w:numFmt w:val="bullet"/>
      <w:lvlText w:val=""/>
      <w:lvlJc w:val="left"/>
      <w:pPr>
        <w:ind w:left="2160" w:hanging="360"/>
      </w:pPr>
      <w:rPr>
        <w:rFonts w:ascii="Wingdings" w:hAnsi="Wingdings" w:hint="default"/>
      </w:rPr>
    </w:lvl>
    <w:lvl w:ilvl="3" w:tplc="DBCE2D24">
      <w:start w:val="1"/>
      <w:numFmt w:val="bullet"/>
      <w:lvlText w:val=""/>
      <w:lvlJc w:val="left"/>
      <w:pPr>
        <w:ind w:left="2880" w:hanging="360"/>
      </w:pPr>
      <w:rPr>
        <w:rFonts w:ascii="Symbol" w:hAnsi="Symbol" w:hint="default"/>
      </w:rPr>
    </w:lvl>
    <w:lvl w:ilvl="4" w:tplc="10864E42">
      <w:start w:val="1"/>
      <w:numFmt w:val="bullet"/>
      <w:lvlText w:val="o"/>
      <w:lvlJc w:val="left"/>
      <w:pPr>
        <w:ind w:left="3600" w:hanging="360"/>
      </w:pPr>
      <w:rPr>
        <w:rFonts w:ascii="Courier New" w:hAnsi="Courier New" w:hint="default"/>
      </w:rPr>
    </w:lvl>
    <w:lvl w:ilvl="5" w:tplc="C0260FBC">
      <w:start w:val="1"/>
      <w:numFmt w:val="bullet"/>
      <w:lvlText w:val=""/>
      <w:lvlJc w:val="left"/>
      <w:pPr>
        <w:ind w:left="4320" w:hanging="360"/>
      </w:pPr>
      <w:rPr>
        <w:rFonts w:ascii="Wingdings" w:hAnsi="Wingdings" w:hint="default"/>
      </w:rPr>
    </w:lvl>
    <w:lvl w:ilvl="6" w:tplc="12DCE828">
      <w:start w:val="1"/>
      <w:numFmt w:val="bullet"/>
      <w:lvlText w:val=""/>
      <w:lvlJc w:val="left"/>
      <w:pPr>
        <w:ind w:left="5040" w:hanging="360"/>
      </w:pPr>
      <w:rPr>
        <w:rFonts w:ascii="Symbol" w:hAnsi="Symbol" w:hint="default"/>
      </w:rPr>
    </w:lvl>
    <w:lvl w:ilvl="7" w:tplc="D2EC4C44">
      <w:start w:val="1"/>
      <w:numFmt w:val="bullet"/>
      <w:lvlText w:val="o"/>
      <w:lvlJc w:val="left"/>
      <w:pPr>
        <w:ind w:left="5760" w:hanging="360"/>
      </w:pPr>
      <w:rPr>
        <w:rFonts w:ascii="Courier New" w:hAnsi="Courier New" w:hint="default"/>
      </w:rPr>
    </w:lvl>
    <w:lvl w:ilvl="8" w:tplc="63842E16">
      <w:start w:val="1"/>
      <w:numFmt w:val="bullet"/>
      <w:lvlText w:val=""/>
      <w:lvlJc w:val="left"/>
      <w:pPr>
        <w:ind w:left="6480" w:hanging="360"/>
      </w:pPr>
      <w:rPr>
        <w:rFonts w:ascii="Wingdings" w:hAnsi="Wingdings" w:hint="default"/>
      </w:rPr>
    </w:lvl>
  </w:abstractNum>
  <w:abstractNum w:abstractNumId="9" w15:restartNumberingAfterBreak="0">
    <w:nsid w:val="292FA899"/>
    <w:multiLevelType w:val="hybridMultilevel"/>
    <w:tmpl w:val="FFFFFFFF"/>
    <w:lvl w:ilvl="0" w:tplc="F1BC7FAA">
      <w:start w:val="1"/>
      <w:numFmt w:val="decimal"/>
      <w:lvlText w:val="%1."/>
      <w:lvlJc w:val="left"/>
      <w:pPr>
        <w:ind w:left="720" w:hanging="360"/>
      </w:pPr>
    </w:lvl>
    <w:lvl w:ilvl="1" w:tplc="1952A22E">
      <w:start w:val="1"/>
      <w:numFmt w:val="lowerLetter"/>
      <w:lvlText w:val="%2."/>
      <w:lvlJc w:val="left"/>
      <w:pPr>
        <w:ind w:left="1440" w:hanging="360"/>
      </w:pPr>
    </w:lvl>
    <w:lvl w:ilvl="2" w:tplc="464A06B2">
      <w:start w:val="1"/>
      <w:numFmt w:val="lowerRoman"/>
      <w:lvlText w:val="%3."/>
      <w:lvlJc w:val="right"/>
      <w:pPr>
        <w:ind w:left="2160" w:hanging="180"/>
      </w:pPr>
    </w:lvl>
    <w:lvl w:ilvl="3" w:tplc="4AA623C2">
      <w:start w:val="1"/>
      <w:numFmt w:val="decimal"/>
      <w:lvlText w:val="%4."/>
      <w:lvlJc w:val="left"/>
      <w:pPr>
        <w:ind w:left="2880" w:hanging="360"/>
      </w:pPr>
    </w:lvl>
    <w:lvl w:ilvl="4" w:tplc="38381256">
      <w:start w:val="1"/>
      <w:numFmt w:val="lowerLetter"/>
      <w:lvlText w:val="%5."/>
      <w:lvlJc w:val="left"/>
      <w:pPr>
        <w:ind w:left="3600" w:hanging="360"/>
      </w:pPr>
    </w:lvl>
    <w:lvl w:ilvl="5" w:tplc="B11AC1F2">
      <w:start w:val="1"/>
      <w:numFmt w:val="lowerRoman"/>
      <w:lvlText w:val="%6."/>
      <w:lvlJc w:val="right"/>
      <w:pPr>
        <w:ind w:left="4320" w:hanging="180"/>
      </w:pPr>
    </w:lvl>
    <w:lvl w:ilvl="6" w:tplc="139A4D7E">
      <w:start w:val="1"/>
      <w:numFmt w:val="decimal"/>
      <w:lvlText w:val="%7."/>
      <w:lvlJc w:val="left"/>
      <w:pPr>
        <w:ind w:left="5040" w:hanging="360"/>
      </w:pPr>
    </w:lvl>
    <w:lvl w:ilvl="7" w:tplc="4C607260">
      <w:start w:val="1"/>
      <w:numFmt w:val="lowerLetter"/>
      <w:lvlText w:val="%8."/>
      <w:lvlJc w:val="left"/>
      <w:pPr>
        <w:ind w:left="5760" w:hanging="360"/>
      </w:pPr>
    </w:lvl>
    <w:lvl w:ilvl="8" w:tplc="53A0969E">
      <w:start w:val="1"/>
      <w:numFmt w:val="lowerRoman"/>
      <w:lvlText w:val="%9."/>
      <w:lvlJc w:val="right"/>
      <w:pPr>
        <w:ind w:left="6480" w:hanging="180"/>
      </w:pPr>
    </w:lvl>
  </w:abstractNum>
  <w:abstractNum w:abstractNumId="10" w15:restartNumberingAfterBreak="0">
    <w:nsid w:val="2C0D27F9"/>
    <w:multiLevelType w:val="multilevel"/>
    <w:tmpl w:val="48EE5A4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CAA3FC7"/>
    <w:multiLevelType w:val="hybridMultilevel"/>
    <w:tmpl w:val="84C851AC"/>
    <w:lvl w:ilvl="0" w:tplc="D0386A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20AA89"/>
    <w:multiLevelType w:val="hybridMultilevel"/>
    <w:tmpl w:val="FFFFFFFF"/>
    <w:lvl w:ilvl="0" w:tplc="096CB70E">
      <w:start w:val="1"/>
      <w:numFmt w:val="bullet"/>
      <w:lvlText w:val="·"/>
      <w:lvlJc w:val="left"/>
      <w:pPr>
        <w:ind w:left="720" w:hanging="360"/>
      </w:pPr>
      <w:rPr>
        <w:rFonts w:ascii="Symbol" w:hAnsi="Symbol" w:hint="default"/>
      </w:rPr>
    </w:lvl>
    <w:lvl w:ilvl="1" w:tplc="2724E122">
      <w:start w:val="1"/>
      <w:numFmt w:val="bullet"/>
      <w:lvlText w:val="o"/>
      <w:lvlJc w:val="left"/>
      <w:pPr>
        <w:ind w:left="1440" w:hanging="360"/>
      </w:pPr>
      <w:rPr>
        <w:rFonts w:ascii="Courier New" w:hAnsi="Courier New" w:hint="default"/>
      </w:rPr>
    </w:lvl>
    <w:lvl w:ilvl="2" w:tplc="7DB28DAA">
      <w:start w:val="1"/>
      <w:numFmt w:val="bullet"/>
      <w:lvlText w:val=""/>
      <w:lvlJc w:val="left"/>
      <w:pPr>
        <w:ind w:left="2160" w:hanging="360"/>
      </w:pPr>
      <w:rPr>
        <w:rFonts w:ascii="Wingdings" w:hAnsi="Wingdings" w:hint="default"/>
      </w:rPr>
    </w:lvl>
    <w:lvl w:ilvl="3" w:tplc="379A9734">
      <w:start w:val="1"/>
      <w:numFmt w:val="bullet"/>
      <w:lvlText w:val=""/>
      <w:lvlJc w:val="left"/>
      <w:pPr>
        <w:ind w:left="2880" w:hanging="360"/>
      </w:pPr>
      <w:rPr>
        <w:rFonts w:ascii="Symbol" w:hAnsi="Symbol" w:hint="default"/>
      </w:rPr>
    </w:lvl>
    <w:lvl w:ilvl="4" w:tplc="2F10F60C">
      <w:start w:val="1"/>
      <w:numFmt w:val="bullet"/>
      <w:lvlText w:val="o"/>
      <w:lvlJc w:val="left"/>
      <w:pPr>
        <w:ind w:left="3600" w:hanging="360"/>
      </w:pPr>
      <w:rPr>
        <w:rFonts w:ascii="Courier New" w:hAnsi="Courier New" w:hint="default"/>
      </w:rPr>
    </w:lvl>
    <w:lvl w:ilvl="5" w:tplc="F0A22E02">
      <w:start w:val="1"/>
      <w:numFmt w:val="bullet"/>
      <w:lvlText w:val=""/>
      <w:lvlJc w:val="left"/>
      <w:pPr>
        <w:ind w:left="4320" w:hanging="360"/>
      </w:pPr>
      <w:rPr>
        <w:rFonts w:ascii="Wingdings" w:hAnsi="Wingdings" w:hint="default"/>
      </w:rPr>
    </w:lvl>
    <w:lvl w:ilvl="6" w:tplc="513488B2">
      <w:start w:val="1"/>
      <w:numFmt w:val="bullet"/>
      <w:lvlText w:val=""/>
      <w:lvlJc w:val="left"/>
      <w:pPr>
        <w:ind w:left="5040" w:hanging="360"/>
      </w:pPr>
      <w:rPr>
        <w:rFonts w:ascii="Symbol" w:hAnsi="Symbol" w:hint="default"/>
      </w:rPr>
    </w:lvl>
    <w:lvl w:ilvl="7" w:tplc="B6AEA926">
      <w:start w:val="1"/>
      <w:numFmt w:val="bullet"/>
      <w:lvlText w:val="o"/>
      <w:lvlJc w:val="left"/>
      <w:pPr>
        <w:ind w:left="5760" w:hanging="360"/>
      </w:pPr>
      <w:rPr>
        <w:rFonts w:ascii="Courier New" w:hAnsi="Courier New" w:hint="default"/>
      </w:rPr>
    </w:lvl>
    <w:lvl w:ilvl="8" w:tplc="A99C6A3C">
      <w:start w:val="1"/>
      <w:numFmt w:val="bullet"/>
      <w:lvlText w:val=""/>
      <w:lvlJc w:val="left"/>
      <w:pPr>
        <w:ind w:left="6480" w:hanging="360"/>
      </w:pPr>
      <w:rPr>
        <w:rFonts w:ascii="Wingdings" w:hAnsi="Wingdings" w:hint="default"/>
      </w:rPr>
    </w:lvl>
  </w:abstractNum>
  <w:abstractNum w:abstractNumId="13" w15:restartNumberingAfterBreak="0">
    <w:nsid w:val="31D3E48B"/>
    <w:multiLevelType w:val="hybridMultilevel"/>
    <w:tmpl w:val="FFFFFFFF"/>
    <w:lvl w:ilvl="0" w:tplc="7FF45CBA">
      <w:start w:val="1"/>
      <w:numFmt w:val="decimal"/>
      <w:lvlText w:val="%1."/>
      <w:lvlJc w:val="left"/>
      <w:pPr>
        <w:ind w:left="720" w:hanging="360"/>
      </w:pPr>
    </w:lvl>
    <w:lvl w:ilvl="1" w:tplc="A6603A72">
      <w:start w:val="1"/>
      <w:numFmt w:val="lowerLetter"/>
      <w:lvlText w:val="%2."/>
      <w:lvlJc w:val="left"/>
      <w:pPr>
        <w:ind w:left="1440" w:hanging="360"/>
      </w:pPr>
    </w:lvl>
    <w:lvl w:ilvl="2" w:tplc="B484CB48">
      <w:start w:val="1"/>
      <w:numFmt w:val="lowerRoman"/>
      <w:lvlText w:val="%3."/>
      <w:lvlJc w:val="right"/>
      <w:pPr>
        <w:ind w:left="2160" w:hanging="180"/>
      </w:pPr>
    </w:lvl>
    <w:lvl w:ilvl="3" w:tplc="2D7C5A06">
      <w:start w:val="1"/>
      <w:numFmt w:val="decimal"/>
      <w:lvlText w:val="%4."/>
      <w:lvlJc w:val="left"/>
      <w:pPr>
        <w:ind w:left="2880" w:hanging="360"/>
      </w:pPr>
    </w:lvl>
    <w:lvl w:ilvl="4" w:tplc="17C64FE4">
      <w:start w:val="1"/>
      <w:numFmt w:val="lowerLetter"/>
      <w:lvlText w:val="%5."/>
      <w:lvlJc w:val="left"/>
      <w:pPr>
        <w:ind w:left="3600" w:hanging="360"/>
      </w:pPr>
    </w:lvl>
    <w:lvl w:ilvl="5" w:tplc="6A48B1A2">
      <w:start w:val="1"/>
      <w:numFmt w:val="lowerRoman"/>
      <w:lvlText w:val="%6."/>
      <w:lvlJc w:val="right"/>
      <w:pPr>
        <w:ind w:left="4320" w:hanging="180"/>
      </w:pPr>
    </w:lvl>
    <w:lvl w:ilvl="6" w:tplc="298891C4">
      <w:start w:val="1"/>
      <w:numFmt w:val="decimal"/>
      <w:lvlText w:val="%7."/>
      <w:lvlJc w:val="left"/>
      <w:pPr>
        <w:ind w:left="5040" w:hanging="360"/>
      </w:pPr>
    </w:lvl>
    <w:lvl w:ilvl="7" w:tplc="9D0C62C8">
      <w:start w:val="1"/>
      <w:numFmt w:val="lowerLetter"/>
      <w:lvlText w:val="%8."/>
      <w:lvlJc w:val="left"/>
      <w:pPr>
        <w:ind w:left="5760" w:hanging="360"/>
      </w:pPr>
    </w:lvl>
    <w:lvl w:ilvl="8" w:tplc="090A1E92">
      <w:start w:val="1"/>
      <w:numFmt w:val="lowerRoman"/>
      <w:lvlText w:val="%9."/>
      <w:lvlJc w:val="right"/>
      <w:pPr>
        <w:ind w:left="6480" w:hanging="180"/>
      </w:pPr>
    </w:lvl>
  </w:abstractNum>
  <w:abstractNum w:abstractNumId="14" w15:restartNumberingAfterBreak="0">
    <w:nsid w:val="3747684B"/>
    <w:multiLevelType w:val="hybridMultilevel"/>
    <w:tmpl w:val="A64A059A"/>
    <w:lvl w:ilvl="0" w:tplc="62A6FABC">
      <w:start w:val="1"/>
      <w:numFmt w:val="bullet"/>
      <w:lvlText w:val=""/>
      <w:lvlJc w:val="left"/>
      <w:pPr>
        <w:ind w:left="720" w:hanging="360"/>
      </w:pPr>
      <w:rPr>
        <w:rFonts w:ascii="Symbol" w:hAnsi="Symbol"/>
      </w:rPr>
    </w:lvl>
    <w:lvl w:ilvl="1" w:tplc="C980E4A8">
      <w:start w:val="1"/>
      <w:numFmt w:val="bullet"/>
      <w:lvlText w:val=""/>
      <w:lvlJc w:val="left"/>
      <w:pPr>
        <w:ind w:left="720" w:hanging="360"/>
      </w:pPr>
      <w:rPr>
        <w:rFonts w:ascii="Symbol" w:hAnsi="Symbol"/>
      </w:rPr>
    </w:lvl>
    <w:lvl w:ilvl="2" w:tplc="9EAA6CAA">
      <w:start w:val="1"/>
      <w:numFmt w:val="bullet"/>
      <w:lvlText w:val=""/>
      <w:lvlJc w:val="left"/>
      <w:pPr>
        <w:ind w:left="720" w:hanging="360"/>
      </w:pPr>
      <w:rPr>
        <w:rFonts w:ascii="Symbol" w:hAnsi="Symbol"/>
      </w:rPr>
    </w:lvl>
    <w:lvl w:ilvl="3" w:tplc="56EE7856">
      <w:start w:val="1"/>
      <w:numFmt w:val="bullet"/>
      <w:lvlText w:val=""/>
      <w:lvlJc w:val="left"/>
      <w:pPr>
        <w:ind w:left="720" w:hanging="360"/>
      </w:pPr>
      <w:rPr>
        <w:rFonts w:ascii="Symbol" w:hAnsi="Symbol"/>
      </w:rPr>
    </w:lvl>
    <w:lvl w:ilvl="4" w:tplc="FA682882">
      <w:start w:val="1"/>
      <w:numFmt w:val="bullet"/>
      <w:lvlText w:val=""/>
      <w:lvlJc w:val="left"/>
      <w:pPr>
        <w:ind w:left="720" w:hanging="360"/>
      </w:pPr>
      <w:rPr>
        <w:rFonts w:ascii="Symbol" w:hAnsi="Symbol"/>
      </w:rPr>
    </w:lvl>
    <w:lvl w:ilvl="5" w:tplc="7B643338">
      <w:start w:val="1"/>
      <w:numFmt w:val="bullet"/>
      <w:lvlText w:val=""/>
      <w:lvlJc w:val="left"/>
      <w:pPr>
        <w:ind w:left="720" w:hanging="360"/>
      </w:pPr>
      <w:rPr>
        <w:rFonts w:ascii="Symbol" w:hAnsi="Symbol"/>
      </w:rPr>
    </w:lvl>
    <w:lvl w:ilvl="6" w:tplc="352083F2">
      <w:start w:val="1"/>
      <w:numFmt w:val="bullet"/>
      <w:lvlText w:val=""/>
      <w:lvlJc w:val="left"/>
      <w:pPr>
        <w:ind w:left="720" w:hanging="360"/>
      </w:pPr>
      <w:rPr>
        <w:rFonts w:ascii="Symbol" w:hAnsi="Symbol"/>
      </w:rPr>
    </w:lvl>
    <w:lvl w:ilvl="7" w:tplc="4014B44A">
      <w:start w:val="1"/>
      <w:numFmt w:val="bullet"/>
      <w:lvlText w:val=""/>
      <w:lvlJc w:val="left"/>
      <w:pPr>
        <w:ind w:left="720" w:hanging="360"/>
      </w:pPr>
      <w:rPr>
        <w:rFonts w:ascii="Symbol" w:hAnsi="Symbol"/>
      </w:rPr>
    </w:lvl>
    <w:lvl w:ilvl="8" w:tplc="EE782938">
      <w:start w:val="1"/>
      <w:numFmt w:val="bullet"/>
      <w:lvlText w:val=""/>
      <w:lvlJc w:val="left"/>
      <w:pPr>
        <w:ind w:left="720" w:hanging="360"/>
      </w:pPr>
      <w:rPr>
        <w:rFonts w:ascii="Symbol" w:hAnsi="Symbol"/>
      </w:rPr>
    </w:lvl>
  </w:abstractNum>
  <w:abstractNum w:abstractNumId="15" w15:restartNumberingAfterBreak="0">
    <w:nsid w:val="3B5623B1"/>
    <w:multiLevelType w:val="multilevel"/>
    <w:tmpl w:val="21980AA6"/>
    <w:lvl w:ilvl="0">
      <w:start w:val="3"/>
      <w:numFmt w:val="decimal"/>
      <w:lvlText w:val="%1."/>
      <w:lvlJc w:val="left"/>
      <w:pPr>
        <w:tabs>
          <w:tab w:val="num" w:pos="1440"/>
        </w:tabs>
        <w:ind w:left="1440" w:hanging="360"/>
      </w:pPr>
      <w:rPr>
        <w:b/>
        <w:bCs/>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3B572780"/>
    <w:multiLevelType w:val="hybridMultilevel"/>
    <w:tmpl w:val="27E856C6"/>
    <w:lvl w:ilvl="0" w:tplc="3AEA80AA">
      <w:start w:val="1"/>
      <w:numFmt w:val="bullet"/>
      <w:lvlText w:val=""/>
      <w:lvlJc w:val="left"/>
      <w:pPr>
        <w:ind w:left="720" w:hanging="360"/>
      </w:pPr>
      <w:rPr>
        <w:rFonts w:ascii="Symbol" w:hAnsi="Symbol"/>
      </w:rPr>
    </w:lvl>
    <w:lvl w:ilvl="1" w:tplc="9EF24B62">
      <w:start w:val="1"/>
      <w:numFmt w:val="bullet"/>
      <w:lvlText w:val=""/>
      <w:lvlJc w:val="left"/>
      <w:pPr>
        <w:ind w:left="720" w:hanging="360"/>
      </w:pPr>
      <w:rPr>
        <w:rFonts w:ascii="Symbol" w:hAnsi="Symbol"/>
      </w:rPr>
    </w:lvl>
    <w:lvl w:ilvl="2" w:tplc="6960E198">
      <w:start w:val="1"/>
      <w:numFmt w:val="bullet"/>
      <w:lvlText w:val=""/>
      <w:lvlJc w:val="left"/>
      <w:pPr>
        <w:ind w:left="720" w:hanging="360"/>
      </w:pPr>
      <w:rPr>
        <w:rFonts w:ascii="Symbol" w:hAnsi="Symbol"/>
      </w:rPr>
    </w:lvl>
    <w:lvl w:ilvl="3" w:tplc="3BCC54F0">
      <w:start w:val="1"/>
      <w:numFmt w:val="bullet"/>
      <w:lvlText w:val=""/>
      <w:lvlJc w:val="left"/>
      <w:pPr>
        <w:ind w:left="720" w:hanging="360"/>
      </w:pPr>
      <w:rPr>
        <w:rFonts w:ascii="Symbol" w:hAnsi="Symbol"/>
      </w:rPr>
    </w:lvl>
    <w:lvl w:ilvl="4" w:tplc="09763AA2">
      <w:start w:val="1"/>
      <w:numFmt w:val="bullet"/>
      <w:lvlText w:val=""/>
      <w:lvlJc w:val="left"/>
      <w:pPr>
        <w:ind w:left="720" w:hanging="360"/>
      </w:pPr>
      <w:rPr>
        <w:rFonts w:ascii="Symbol" w:hAnsi="Symbol"/>
      </w:rPr>
    </w:lvl>
    <w:lvl w:ilvl="5" w:tplc="A46A12CC">
      <w:start w:val="1"/>
      <w:numFmt w:val="bullet"/>
      <w:lvlText w:val=""/>
      <w:lvlJc w:val="left"/>
      <w:pPr>
        <w:ind w:left="720" w:hanging="360"/>
      </w:pPr>
      <w:rPr>
        <w:rFonts w:ascii="Symbol" w:hAnsi="Symbol"/>
      </w:rPr>
    </w:lvl>
    <w:lvl w:ilvl="6" w:tplc="6F5C7426">
      <w:start w:val="1"/>
      <w:numFmt w:val="bullet"/>
      <w:lvlText w:val=""/>
      <w:lvlJc w:val="left"/>
      <w:pPr>
        <w:ind w:left="720" w:hanging="360"/>
      </w:pPr>
      <w:rPr>
        <w:rFonts w:ascii="Symbol" w:hAnsi="Symbol"/>
      </w:rPr>
    </w:lvl>
    <w:lvl w:ilvl="7" w:tplc="6F161DD0">
      <w:start w:val="1"/>
      <w:numFmt w:val="bullet"/>
      <w:lvlText w:val=""/>
      <w:lvlJc w:val="left"/>
      <w:pPr>
        <w:ind w:left="720" w:hanging="360"/>
      </w:pPr>
      <w:rPr>
        <w:rFonts w:ascii="Symbol" w:hAnsi="Symbol"/>
      </w:rPr>
    </w:lvl>
    <w:lvl w:ilvl="8" w:tplc="04DCC53E">
      <w:start w:val="1"/>
      <w:numFmt w:val="bullet"/>
      <w:lvlText w:val=""/>
      <w:lvlJc w:val="left"/>
      <w:pPr>
        <w:ind w:left="720" w:hanging="360"/>
      </w:pPr>
      <w:rPr>
        <w:rFonts w:ascii="Symbol" w:hAnsi="Symbol"/>
      </w:rPr>
    </w:lvl>
  </w:abstractNum>
  <w:abstractNum w:abstractNumId="17" w15:restartNumberingAfterBreak="0">
    <w:nsid w:val="3EB84F66"/>
    <w:multiLevelType w:val="multilevel"/>
    <w:tmpl w:val="A5705E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48538F"/>
    <w:multiLevelType w:val="multilevel"/>
    <w:tmpl w:val="B6F8BE50"/>
    <w:lvl w:ilvl="0">
      <w:start w:val="1"/>
      <w:numFmt w:val="lowerLetter"/>
      <w:lvlText w:val="%1."/>
      <w:lvlJc w:val="left"/>
      <w:pPr>
        <w:tabs>
          <w:tab w:val="num" w:pos="-2160"/>
        </w:tabs>
        <w:ind w:left="-216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720"/>
        </w:tabs>
        <w:ind w:left="-720" w:hanging="360"/>
      </w:pPr>
    </w:lvl>
    <w:lvl w:ilvl="3" w:tentative="1">
      <w:start w:val="1"/>
      <w:numFmt w:val="lowerLetter"/>
      <w:lvlText w:val="%4."/>
      <w:lvlJc w:val="left"/>
      <w:pPr>
        <w:tabs>
          <w:tab w:val="num" w:pos="0"/>
        </w:tabs>
        <w:ind w:left="0" w:hanging="360"/>
      </w:pPr>
    </w:lvl>
    <w:lvl w:ilvl="4" w:tentative="1">
      <w:start w:val="1"/>
      <w:numFmt w:val="lowerLetter"/>
      <w:lvlText w:val="%5."/>
      <w:lvlJc w:val="left"/>
      <w:pPr>
        <w:tabs>
          <w:tab w:val="num" w:pos="720"/>
        </w:tabs>
        <w:ind w:left="720" w:hanging="360"/>
      </w:pPr>
    </w:lvl>
    <w:lvl w:ilvl="5" w:tentative="1">
      <w:start w:val="1"/>
      <w:numFmt w:val="lowerLetter"/>
      <w:lvlText w:val="%6."/>
      <w:lvlJc w:val="left"/>
      <w:pPr>
        <w:tabs>
          <w:tab w:val="num" w:pos="1440"/>
        </w:tabs>
        <w:ind w:left="1440" w:hanging="360"/>
      </w:pPr>
    </w:lvl>
    <w:lvl w:ilvl="6" w:tentative="1">
      <w:start w:val="1"/>
      <w:numFmt w:val="lowerLetter"/>
      <w:lvlText w:val="%7."/>
      <w:lvlJc w:val="left"/>
      <w:pPr>
        <w:tabs>
          <w:tab w:val="num" w:pos="2160"/>
        </w:tabs>
        <w:ind w:left="2160" w:hanging="360"/>
      </w:pPr>
    </w:lvl>
    <w:lvl w:ilvl="7" w:tentative="1">
      <w:start w:val="1"/>
      <w:numFmt w:val="lowerLetter"/>
      <w:lvlText w:val="%8."/>
      <w:lvlJc w:val="left"/>
      <w:pPr>
        <w:tabs>
          <w:tab w:val="num" w:pos="2880"/>
        </w:tabs>
        <w:ind w:left="2880" w:hanging="360"/>
      </w:pPr>
    </w:lvl>
    <w:lvl w:ilvl="8" w:tentative="1">
      <w:start w:val="1"/>
      <w:numFmt w:val="lowerLetter"/>
      <w:lvlText w:val="%9."/>
      <w:lvlJc w:val="left"/>
      <w:pPr>
        <w:tabs>
          <w:tab w:val="num" w:pos="3600"/>
        </w:tabs>
        <w:ind w:left="3600" w:hanging="360"/>
      </w:pPr>
    </w:lvl>
  </w:abstractNum>
  <w:abstractNum w:abstractNumId="19" w15:restartNumberingAfterBreak="0">
    <w:nsid w:val="41E64B5F"/>
    <w:multiLevelType w:val="multilevel"/>
    <w:tmpl w:val="935A58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2557F13"/>
    <w:multiLevelType w:val="multilevel"/>
    <w:tmpl w:val="C61465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3210C5E"/>
    <w:multiLevelType w:val="hybridMultilevel"/>
    <w:tmpl w:val="AF62B56C"/>
    <w:lvl w:ilvl="0" w:tplc="5718CCC8">
      <w:start w:val="1"/>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3D20612"/>
    <w:multiLevelType w:val="hybridMultilevel"/>
    <w:tmpl w:val="FFFFFFFF"/>
    <w:lvl w:ilvl="0" w:tplc="848E9AC0">
      <w:start w:val="1"/>
      <w:numFmt w:val="decimal"/>
      <w:lvlText w:val="%1."/>
      <w:lvlJc w:val="left"/>
      <w:pPr>
        <w:ind w:left="720" w:hanging="360"/>
      </w:pPr>
    </w:lvl>
    <w:lvl w:ilvl="1" w:tplc="30D819A0">
      <w:start w:val="1"/>
      <w:numFmt w:val="lowerLetter"/>
      <w:lvlText w:val="%2."/>
      <w:lvlJc w:val="left"/>
      <w:pPr>
        <w:ind w:left="1440" w:hanging="360"/>
      </w:pPr>
    </w:lvl>
    <w:lvl w:ilvl="2" w:tplc="6068077C">
      <w:start w:val="1"/>
      <w:numFmt w:val="lowerRoman"/>
      <w:lvlText w:val="%3."/>
      <w:lvlJc w:val="right"/>
      <w:pPr>
        <w:ind w:left="2160" w:hanging="180"/>
      </w:pPr>
    </w:lvl>
    <w:lvl w:ilvl="3" w:tplc="64B00FAE">
      <w:start w:val="1"/>
      <w:numFmt w:val="decimal"/>
      <w:lvlText w:val="%4."/>
      <w:lvlJc w:val="left"/>
      <w:pPr>
        <w:ind w:left="2880" w:hanging="360"/>
      </w:pPr>
    </w:lvl>
    <w:lvl w:ilvl="4" w:tplc="FABCB026">
      <w:start w:val="1"/>
      <w:numFmt w:val="lowerLetter"/>
      <w:lvlText w:val="%5."/>
      <w:lvlJc w:val="left"/>
      <w:pPr>
        <w:ind w:left="3600" w:hanging="360"/>
      </w:pPr>
    </w:lvl>
    <w:lvl w:ilvl="5" w:tplc="24BA7F86">
      <w:start w:val="1"/>
      <w:numFmt w:val="lowerRoman"/>
      <w:lvlText w:val="%6."/>
      <w:lvlJc w:val="right"/>
      <w:pPr>
        <w:ind w:left="4320" w:hanging="180"/>
      </w:pPr>
    </w:lvl>
    <w:lvl w:ilvl="6" w:tplc="DE840320">
      <w:start w:val="1"/>
      <w:numFmt w:val="decimal"/>
      <w:lvlText w:val="%7."/>
      <w:lvlJc w:val="left"/>
      <w:pPr>
        <w:ind w:left="5040" w:hanging="360"/>
      </w:pPr>
    </w:lvl>
    <w:lvl w:ilvl="7" w:tplc="47A86B20">
      <w:start w:val="1"/>
      <w:numFmt w:val="lowerLetter"/>
      <w:lvlText w:val="%8."/>
      <w:lvlJc w:val="left"/>
      <w:pPr>
        <w:ind w:left="5760" w:hanging="360"/>
      </w:pPr>
    </w:lvl>
    <w:lvl w:ilvl="8" w:tplc="3BC8BB98">
      <w:start w:val="1"/>
      <w:numFmt w:val="lowerRoman"/>
      <w:lvlText w:val="%9."/>
      <w:lvlJc w:val="right"/>
      <w:pPr>
        <w:ind w:left="6480" w:hanging="180"/>
      </w:pPr>
    </w:lvl>
  </w:abstractNum>
  <w:abstractNum w:abstractNumId="23" w15:restartNumberingAfterBreak="0">
    <w:nsid w:val="45E1170A"/>
    <w:multiLevelType w:val="multilevel"/>
    <w:tmpl w:val="08A62FE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237361"/>
    <w:multiLevelType w:val="multilevel"/>
    <w:tmpl w:val="32647D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2A759B"/>
    <w:multiLevelType w:val="multilevel"/>
    <w:tmpl w:val="3E3005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FE180D"/>
    <w:multiLevelType w:val="multilevel"/>
    <w:tmpl w:val="9E8271A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10321A6"/>
    <w:multiLevelType w:val="multilevel"/>
    <w:tmpl w:val="301644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170B938"/>
    <w:multiLevelType w:val="hybridMultilevel"/>
    <w:tmpl w:val="0E9A8038"/>
    <w:lvl w:ilvl="0" w:tplc="562408D6">
      <w:start w:val="1"/>
      <w:numFmt w:val="bullet"/>
      <w:lvlText w:val="·"/>
      <w:lvlJc w:val="left"/>
      <w:pPr>
        <w:ind w:left="720" w:hanging="360"/>
      </w:pPr>
      <w:rPr>
        <w:rFonts w:ascii="Symbol" w:hAnsi="Symbol" w:hint="default"/>
      </w:rPr>
    </w:lvl>
    <w:lvl w:ilvl="1" w:tplc="6FF0E7D0">
      <w:start w:val="1"/>
      <w:numFmt w:val="bullet"/>
      <w:lvlText w:val="o"/>
      <w:lvlJc w:val="left"/>
      <w:pPr>
        <w:ind w:left="1440" w:hanging="360"/>
      </w:pPr>
      <w:rPr>
        <w:rFonts w:ascii="Courier New" w:hAnsi="Courier New" w:hint="default"/>
      </w:rPr>
    </w:lvl>
    <w:lvl w:ilvl="2" w:tplc="C6E6F7A4">
      <w:start w:val="1"/>
      <w:numFmt w:val="bullet"/>
      <w:lvlText w:val=""/>
      <w:lvlJc w:val="left"/>
      <w:pPr>
        <w:ind w:left="2160" w:hanging="360"/>
      </w:pPr>
      <w:rPr>
        <w:rFonts w:ascii="Wingdings" w:hAnsi="Wingdings" w:hint="default"/>
      </w:rPr>
    </w:lvl>
    <w:lvl w:ilvl="3" w:tplc="0AA83D24">
      <w:start w:val="1"/>
      <w:numFmt w:val="bullet"/>
      <w:lvlText w:val=""/>
      <w:lvlJc w:val="left"/>
      <w:pPr>
        <w:ind w:left="2880" w:hanging="360"/>
      </w:pPr>
      <w:rPr>
        <w:rFonts w:ascii="Symbol" w:hAnsi="Symbol" w:hint="default"/>
      </w:rPr>
    </w:lvl>
    <w:lvl w:ilvl="4" w:tplc="080E7E30">
      <w:start w:val="1"/>
      <w:numFmt w:val="bullet"/>
      <w:lvlText w:val="o"/>
      <w:lvlJc w:val="left"/>
      <w:pPr>
        <w:ind w:left="3600" w:hanging="360"/>
      </w:pPr>
      <w:rPr>
        <w:rFonts w:ascii="Courier New" w:hAnsi="Courier New" w:hint="default"/>
      </w:rPr>
    </w:lvl>
    <w:lvl w:ilvl="5" w:tplc="62BAEEA4">
      <w:start w:val="1"/>
      <w:numFmt w:val="bullet"/>
      <w:lvlText w:val=""/>
      <w:lvlJc w:val="left"/>
      <w:pPr>
        <w:ind w:left="4320" w:hanging="360"/>
      </w:pPr>
      <w:rPr>
        <w:rFonts w:ascii="Wingdings" w:hAnsi="Wingdings" w:hint="default"/>
      </w:rPr>
    </w:lvl>
    <w:lvl w:ilvl="6" w:tplc="B260B6D8">
      <w:start w:val="1"/>
      <w:numFmt w:val="bullet"/>
      <w:lvlText w:val=""/>
      <w:lvlJc w:val="left"/>
      <w:pPr>
        <w:ind w:left="5040" w:hanging="360"/>
      </w:pPr>
      <w:rPr>
        <w:rFonts w:ascii="Symbol" w:hAnsi="Symbol" w:hint="default"/>
      </w:rPr>
    </w:lvl>
    <w:lvl w:ilvl="7" w:tplc="15E4332E">
      <w:start w:val="1"/>
      <w:numFmt w:val="bullet"/>
      <w:lvlText w:val="o"/>
      <w:lvlJc w:val="left"/>
      <w:pPr>
        <w:ind w:left="5760" w:hanging="360"/>
      </w:pPr>
      <w:rPr>
        <w:rFonts w:ascii="Courier New" w:hAnsi="Courier New" w:hint="default"/>
      </w:rPr>
    </w:lvl>
    <w:lvl w:ilvl="8" w:tplc="F2788518">
      <w:start w:val="1"/>
      <w:numFmt w:val="bullet"/>
      <w:lvlText w:val=""/>
      <w:lvlJc w:val="left"/>
      <w:pPr>
        <w:ind w:left="6480" w:hanging="360"/>
      </w:pPr>
      <w:rPr>
        <w:rFonts w:ascii="Wingdings" w:hAnsi="Wingdings" w:hint="default"/>
      </w:rPr>
    </w:lvl>
  </w:abstractNum>
  <w:abstractNum w:abstractNumId="29" w15:restartNumberingAfterBreak="0">
    <w:nsid w:val="52110DC1"/>
    <w:multiLevelType w:val="hybridMultilevel"/>
    <w:tmpl w:val="9630407C"/>
    <w:lvl w:ilvl="0" w:tplc="37A41DA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BA02AFF"/>
    <w:multiLevelType w:val="hybridMultilevel"/>
    <w:tmpl w:val="FFFFFFFF"/>
    <w:lvl w:ilvl="0" w:tplc="F4B8C8B8">
      <w:start w:val="1"/>
      <w:numFmt w:val="bullet"/>
      <w:lvlText w:val="-"/>
      <w:lvlJc w:val="left"/>
      <w:pPr>
        <w:ind w:left="720" w:hanging="360"/>
      </w:pPr>
      <w:rPr>
        <w:rFonts w:ascii="Aptos" w:hAnsi="Aptos" w:hint="default"/>
      </w:rPr>
    </w:lvl>
    <w:lvl w:ilvl="1" w:tplc="E0DE53D6">
      <w:start w:val="1"/>
      <w:numFmt w:val="bullet"/>
      <w:lvlText w:val="o"/>
      <w:lvlJc w:val="left"/>
      <w:pPr>
        <w:ind w:left="1440" w:hanging="360"/>
      </w:pPr>
      <w:rPr>
        <w:rFonts w:ascii="Courier New" w:hAnsi="Courier New" w:hint="default"/>
      </w:rPr>
    </w:lvl>
    <w:lvl w:ilvl="2" w:tplc="9780A8D6">
      <w:start w:val="1"/>
      <w:numFmt w:val="bullet"/>
      <w:lvlText w:val=""/>
      <w:lvlJc w:val="left"/>
      <w:pPr>
        <w:ind w:left="2160" w:hanging="360"/>
      </w:pPr>
      <w:rPr>
        <w:rFonts w:ascii="Wingdings" w:hAnsi="Wingdings" w:hint="default"/>
      </w:rPr>
    </w:lvl>
    <w:lvl w:ilvl="3" w:tplc="A948B742">
      <w:start w:val="1"/>
      <w:numFmt w:val="bullet"/>
      <w:lvlText w:val=""/>
      <w:lvlJc w:val="left"/>
      <w:pPr>
        <w:ind w:left="2880" w:hanging="360"/>
      </w:pPr>
      <w:rPr>
        <w:rFonts w:ascii="Symbol" w:hAnsi="Symbol" w:hint="default"/>
      </w:rPr>
    </w:lvl>
    <w:lvl w:ilvl="4" w:tplc="FAA08150">
      <w:start w:val="1"/>
      <w:numFmt w:val="bullet"/>
      <w:lvlText w:val="o"/>
      <w:lvlJc w:val="left"/>
      <w:pPr>
        <w:ind w:left="3600" w:hanging="360"/>
      </w:pPr>
      <w:rPr>
        <w:rFonts w:ascii="Courier New" w:hAnsi="Courier New" w:hint="default"/>
      </w:rPr>
    </w:lvl>
    <w:lvl w:ilvl="5" w:tplc="4AFE5A2E">
      <w:start w:val="1"/>
      <w:numFmt w:val="bullet"/>
      <w:lvlText w:val=""/>
      <w:lvlJc w:val="left"/>
      <w:pPr>
        <w:ind w:left="4320" w:hanging="360"/>
      </w:pPr>
      <w:rPr>
        <w:rFonts w:ascii="Wingdings" w:hAnsi="Wingdings" w:hint="default"/>
      </w:rPr>
    </w:lvl>
    <w:lvl w:ilvl="6" w:tplc="062C33E2">
      <w:start w:val="1"/>
      <w:numFmt w:val="bullet"/>
      <w:lvlText w:val=""/>
      <w:lvlJc w:val="left"/>
      <w:pPr>
        <w:ind w:left="5040" w:hanging="360"/>
      </w:pPr>
      <w:rPr>
        <w:rFonts w:ascii="Symbol" w:hAnsi="Symbol" w:hint="default"/>
      </w:rPr>
    </w:lvl>
    <w:lvl w:ilvl="7" w:tplc="DC682814">
      <w:start w:val="1"/>
      <w:numFmt w:val="bullet"/>
      <w:lvlText w:val="o"/>
      <w:lvlJc w:val="left"/>
      <w:pPr>
        <w:ind w:left="5760" w:hanging="360"/>
      </w:pPr>
      <w:rPr>
        <w:rFonts w:ascii="Courier New" w:hAnsi="Courier New" w:hint="default"/>
      </w:rPr>
    </w:lvl>
    <w:lvl w:ilvl="8" w:tplc="E5661EEC">
      <w:start w:val="1"/>
      <w:numFmt w:val="bullet"/>
      <w:lvlText w:val=""/>
      <w:lvlJc w:val="left"/>
      <w:pPr>
        <w:ind w:left="6480" w:hanging="360"/>
      </w:pPr>
      <w:rPr>
        <w:rFonts w:ascii="Wingdings" w:hAnsi="Wingdings" w:hint="default"/>
      </w:rPr>
    </w:lvl>
  </w:abstractNum>
  <w:abstractNum w:abstractNumId="31" w15:restartNumberingAfterBreak="0">
    <w:nsid w:val="5E164816"/>
    <w:multiLevelType w:val="multilevel"/>
    <w:tmpl w:val="1016A0E2"/>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7A063F"/>
    <w:multiLevelType w:val="multilevel"/>
    <w:tmpl w:val="BC94EE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3E7E620"/>
    <w:multiLevelType w:val="hybridMultilevel"/>
    <w:tmpl w:val="D05A8446"/>
    <w:lvl w:ilvl="0" w:tplc="0E622A4C">
      <w:start w:val="1"/>
      <w:numFmt w:val="bullet"/>
      <w:lvlText w:val="·"/>
      <w:lvlJc w:val="left"/>
      <w:pPr>
        <w:ind w:left="720" w:hanging="360"/>
      </w:pPr>
      <w:rPr>
        <w:rFonts w:ascii="Symbol" w:hAnsi="Symbol" w:hint="default"/>
      </w:rPr>
    </w:lvl>
    <w:lvl w:ilvl="1" w:tplc="1BDE9348">
      <w:start w:val="1"/>
      <w:numFmt w:val="bullet"/>
      <w:lvlText w:val="o"/>
      <w:lvlJc w:val="left"/>
      <w:pPr>
        <w:ind w:left="1440" w:hanging="360"/>
      </w:pPr>
      <w:rPr>
        <w:rFonts w:ascii="Courier New" w:hAnsi="Courier New" w:hint="default"/>
      </w:rPr>
    </w:lvl>
    <w:lvl w:ilvl="2" w:tplc="A7529C54">
      <w:start w:val="1"/>
      <w:numFmt w:val="bullet"/>
      <w:lvlText w:val=""/>
      <w:lvlJc w:val="left"/>
      <w:pPr>
        <w:ind w:left="2160" w:hanging="360"/>
      </w:pPr>
      <w:rPr>
        <w:rFonts w:ascii="Wingdings" w:hAnsi="Wingdings" w:hint="default"/>
      </w:rPr>
    </w:lvl>
    <w:lvl w:ilvl="3" w:tplc="E3F61A02">
      <w:start w:val="1"/>
      <w:numFmt w:val="bullet"/>
      <w:lvlText w:val=""/>
      <w:lvlJc w:val="left"/>
      <w:pPr>
        <w:ind w:left="2880" w:hanging="360"/>
      </w:pPr>
      <w:rPr>
        <w:rFonts w:ascii="Symbol" w:hAnsi="Symbol" w:hint="default"/>
      </w:rPr>
    </w:lvl>
    <w:lvl w:ilvl="4" w:tplc="17FA5380">
      <w:start w:val="1"/>
      <w:numFmt w:val="bullet"/>
      <w:lvlText w:val="o"/>
      <w:lvlJc w:val="left"/>
      <w:pPr>
        <w:ind w:left="3600" w:hanging="360"/>
      </w:pPr>
      <w:rPr>
        <w:rFonts w:ascii="Courier New" w:hAnsi="Courier New" w:hint="default"/>
      </w:rPr>
    </w:lvl>
    <w:lvl w:ilvl="5" w:tplc="BE3692AC">
      <w:start w:val="1"/>
      <w:numFmt w:val="bullet"/>
      <w:lvlText w:val=""/>
      <w:lvlJc w:val="left"/>
      <w:pPr>
        <w:ind w:left="4320" w:hanging="360"/>
      </w:pPr>
      <w:rPr>
        <w:rFonts w:ascii="Wingdings" w:hAnsi="Wingdings" w:hint="default"/>
      </w:rPr>
    </w:lvl>
    <w:lvl w:ilvl="6" w:tplc="4F62FAE4">
      <w:start w:val="1"/>
      <w:numFmt w:val="bullet"/>
      <w:lvlText w:val=""/>
      <w:lvlJc w:val="left"/>
      <w:pPr>
        <w:ind w:left="5040" w:hanging="360"/>
      </w:pPr>
      <w:rPr>
        <w:rFonts w:ascii="Symbol" w:hAnsi="Symbol" w:hint="default"/>
      </w:rPr>
    </w:lvl>
    <w:lvl w:ilvl="7" w:tplc="85C2C4F4">
      <w:start w:val="1"/>
      <w:numFmt w:val="bullet"/>
      <w:lvlText w:val="o"/>
      <w:lvlJc w:val="left"/>
      <w:pPr>
        <w:ind w:left="5760" w:hanging="360"/>
      </w:pPr>
      <w:rPr>
        <w:rFonts w:ascii="Courier New" w:hAnsi="Courier New" w:hint="default"/>
      </w:rPr>
    </w:lvl>
    <w:lvl w:ilvl="8" w:tplc="3EA25812">
      <w:start w:val="1"/>
      <w:numFmt w:val="bullet"/>
      <w:lvlText w:val=""/>
      <w:lvlJc w:val="left"/>
      <w:pPr>
        <w:ind w:left="6480" w:hanging="360"/>
      </w:pPr>
      <w:rPr>
        <w:rFonts w:ascii="Wingdings" w:hAnsi="Wingdings" w:hint="default"/>
      </w:rPr>
    </w:lvl>
  </w:abstractNum>
  <w:abstractNum w:abstractNumId="34" w15:restartNumberingAfterBreak="0">
    <w:nsid w:val="649038C5"/>
    <w:multiLevelType w:val="hybridMultilevel"/>
    <w:tmpl w:val="5AC485A4"/>
    <w:lvl w:ilvl="0" w:tplc="BCE2C768">
      <w:start w:val="1"/>
      <w:numFmt w:val="bullet"/>
      <w:lvlText w:val="-"/>
      <w:lvlJc w:val="left"/>
      <w:pPr>
        <w:ind w:left="360" w:hanging="360"/>
      </w:pPr>
      <w:rPr>
        <w:rFonts w:ascii="Times New Roman" w:eastAsiaTheme="minorEastAsia"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6EB0F90"/>
    <w:multiLevelType w:val="hybridMultilevel"/>
    <w:tmpl w:val="75AAA020"/>
    <w:lvl w:ilvl="0" w:tplc="894EDDDE">
      <w:start w:val="1"/>
      <w:numFmt w:val="bullet"/>
      <w:lvlText w:val=""/>
      <w:lvlJc w:val="left"/>
      <w:pPr>
        <w:ind w:left="720" w:hanging="360"/>
      </w:pPr>
      <w:rPr>
        <w:rFonts w:ascii="Symbol" w:hAnsi="Symbol"/>
      </w:rPr>
    </w:lvl>
    <w:lvl w:ilvl="1" w:tplc="523E8C6A">
      <w:start w:val="1"/>
      <w:numFmt w:val="bullet"/>
      <w:lvlText w:val=""/>
      <w:lvlJc w:val="left"/>
      <w:pPr>
        <w:ind w:left="720" w:hanging="360"/>
      </w:pPr>
      <w:rPr>
        <w:rFonts w:ascii="Symbol" w:hAnsi="Symbol"/>
      </w:rPr>
    </w:lvl>
    <w:lvl w:ilvl="2" w:tplc="4768C842">
      <w:start w:val="1"/>
      <w:numFmt w:val="bullet"/>
      <w:lvlText w:val=""/>
      <w:lvlJc w:val="left"/>
      <w:pPr>
        <w:ind w:left="720" w:hanging="360"/>
      </w:pPr>
      <w:rPr>
        <w:rFonts w:ascii="Symbol" w:hAnsi="Symbol"/>
      </w:rPr>
    </w:lvl>
    <w:lvl w:ilvl="3" w:tplc="375AF578">
      <w:start w:val="1"/>
      <w:numFmt w:val="bullet"/>
      <w:lvlText w:val=""/>
      <w:lvlJc w:val="left"/>
      <w:pPr>
        <w:ind w:left="720" w:hanging="360"/>
      </w:pPr>
      <w:rPr>
        <w:rFonts w:ascii="Symbol" w:hAnsi="Symbol"/>
      </w:rPr>
    </w:lvl>
    <w:lvl w:ilvl="4" w:tplc="7C540C6E">
      <w:start w:val="1"/>
      <w:numFmt w:val="bullet"/>
      <w:lvlText w:val=""/>
      <w:lvlJc w:val="left"/>
      <w:pPr>
        <w:ind w:left="720" w:hanging="360"/>
      </w:pPr>
      <w:rPr>
        <w:rFonts w:ascii="Symbol" w:hAnsi="Symbol"/>
      </w:rPr>
    </w:lvl>
    <w:lvl w:ilvl="5" w:tplc="399098FC">
      <w:start w:val="1"/>
      <w:numFmt w:val="bullet"/>
      <w:lvlText w:val=""/>
      <w:lvlJc w:val="left"/>
      <w:pPr>
        <w:ind w:left="720" w:hanging="360"/>
      </w:pPr>
      <w:rPr>
        <w:rFonts w:ascii="Symbol" w:hAnsi="Symbol"/>
      </w:rPr>
    </w:lvl>
    <w:lvl w:ilvl="6" w:tplc="709A5B02">
      <w:start w:val="1"/>
      <w:numFmt w:val="bullet"/>
      <w:lvlText w:val=""/>
      <w:lvlJc w:val="left"/>
      <w:pPr>
        <w:ind w:left="720" w:hanging="360"/>
      </w:pPr>
      <w:rPr>
        <w:rFonts w:ascii="Symbol" w:hAnsi="Symbol"/>
      </w:rPr>
    </w:lvl>
    <w:lvl w:ilvl="7" w:tplc="F0AC84EA">
      <w:start w:val="1"/>
      <w:numFmt w:val="bullet"/>
      <w:lvlText w:val=""/>
      <w:lvlJc w:val="left"/>
      <w:pPr>
        <w:ind w:left="720" w:hanging="360"/>
      </w:pPr>
      <w:rPr>
        <w:rFonts w:ascii="Symbol" w:hAnsi="Symbol"/>
      </w:rPr>
    </w:lvl>
    <w:lvl w:ilvl="8" w:tplc="6E54179C">
      <w:start w:val="1"/>
      <w:numFmt w:val="bullet"/>
      <w:lvlText w:val=""/>
      <w:lvlJc w:val="left"/>
      <w:pPr>
        <w:ind w:left="720" w:hanging="360"/>
      </w:pPr>
      <w:rPr>
        <w:rFonts w:ascii="Symbol" w:hAnsi="Symbol"/>
      </w:rPr>
    </w:lvl>
  </w:abstractNum>
  <w:abstractNum w:abstractNumId="36" w15:restartNumberingAfterBreak="0">
    <w:nsid w:val="689C6DB0"/>
    <w:multiLevelType w:val="multilevel"/>
    <w:tmpl w:val="969A11F6"/>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F0175D"/>
    <w:multiLevelType w:val="hybridMultilevel"/>
    <w:tmpl w:val="18D2702E"/>
    <w:lvl w:ilvl="0" w:tplc="12D60732">
      <w:start w:val="1"/>
      <w:numFmt w:val="bullet"/>
      <w:lvlText w:val=""/>
      <w:lvlJc w:val="left"/>
      <w:pPr>
        <w:ind w:left="2160" w:hanging="360"/>
      </w:pPr>
      <w:rPr>
        <w:rFonts w:ascii="Symbol" w:hAnsi="Symbol"/>
      </w:rPr>
    </w:lvl>
    <w:lvl w:ilvl="1" w:tplc="890C27D2">
      <w:start w:val="1"/>
      <w:numFmt w:val="bullet"/>
      <w:lvlText w:val=""/>
      <w:lvlJc w:val="left"/>
      <w:pPr>
        <w:ind w:left="2160" w:hanging="360"/>
      </w:pPr>
      <w:rPr>
        <w:rFonts w:ascii="Symbol" w:hAnsi="Symbol"/>
      </w:rPr>
    </w:lvl>
    <w:lvl w:ilvl="2" w:tplc="F7B8EDC0">
      <w:start w:val="1"/>
      <w:numFmt w:val="bullet"/>
      <w:lvlText w:val=""/>
      <w:lvlJc w:val="left"/>
      <w:pPr>
        <w:ind w:left="2160" w:hanging="360"/>
      </w:pPr>
      <w:rPr>
        <w:rFonts w:ascii="Symbol" w:hAnsi="Symbol"/>
      </w:rPr>
    </w:lvl>
    <w:lvl w:ilvl="3" w:tplc="A80E9272">
      <w:start w:val="1"/>
      <w:numFmt w:val="bullet"/>
      <w:lvlText w:val=""/>
      <w:lvlJc w:val="left"/>
      <w:pPr>
        <w:ind w:left="2160" w:hanging="360"/>
      </w:pPr>
      <w:rPr>
        <w:rFonts w:ascii="Symbol" w:hAnsi="Symbol"/>
      </w:rPr>
    </w:lvl>
    <w:lvl w:ilvl="4" w:tplc="81BA3B12">
      <w:start w:val="1"/>
      <w:numFmt w:val="bullet"/>
      <w:lvlText w:val=""/>
      <w:lvlJc w:val="left"/>
      <w:pPr>
        <w:ind w:left="2160" w:hanging="360"/>
      </w:pPr>
      <w:rPr>
        <w:rFonts w:ascii="Symbol" w:hAnsi="Symbol"/>
      </w:rPr>
    </w:lvl>
    <w:lvl w:ilvl="5" w:tplc="B3D227BE">
      <w:start w:val="1"/>
      <w:numFmt w:val="bullet"/>
      <w:lvlText w:val=""/>
      <w:lvlJc w:val="left"/>
      <w:pPr>
        <w:ind w:left="2160" w:hanging="360"/>
      </w:pPr>
      <w:rPr>
        <w:rFonts w:ascii="Symbol" w:hAnsi="Symbol"/>
      </w:rPr>
    </w:lvl>
    <w:lvl w:ilvl="6" w:tplc="F88EE512">
      <w:start w:val="1"/>
      <w:numFmt w:val="bullet"/>
      <w:lvlText w:val=""/>
      <w:lvlJc w:val="left"/>
      <w:pPr>
        <w:ind w:left="2160" w:hanging="360"/>
      </w:pPr>
      <w:rPr>
        <w:rFonts w:ascii="Symbol" w:hAnsi="Symbol"/>
      </w:rPr>
    </w:lvl>
    <w:lvl w:ilvl="7" w:tplc="75B89314">
      <w:start w:val="1"/>
      <w:numFmt w:val="bullet"/>
      <w:lvlText w:val=""/>
      <w:lvlJc w:val="left"/>
      <w:pPr>
        <w:ind w:left="2160" w:hanging="360"/>
      </w:pPr>
      <w:rPr>
        <w:rFonts w:ascii="Symbol" w:hAnsi="Symbol"/>
      </w:rPr>
    </w:lvl>
    <w:lvl w:ilvl="8" w:tplc="F398D2E2">
      <w:start w:val="1"/>
      <w:numFmt w:val="bullet"/>
      <w:lvlText w:val=""/>
      <w:lvlJc w:val="left"/>
      <w:pPr>
        <w:ind w:left="2160" w:hanging="360"/>
      </w:pPr>
      <w:rPr>
        <w:rFonts w:ascii="Symbol" w:hAnsi="Symbol"/>
      </w:rPr>
    </w:lvl>
  </w:abstractNum>
  <w:abstractNum w:abstractNumId="38" w15:restartNumberingAfterBreak="0">
    <w:nsid w:val="6E2D037B"/>
    <w:multiLevelType w:val="multilevel"/>
    <w:tmpl w:val="0290AF1A"/>
    <w:lvl w:ilvl="0">
      <w:start w:val="4"/>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F4E510E"/>
    <w:multiLevelType w:val="hybridMultilevel"/>
    <w:tmpl w:val="AB2641D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FF1476F"/>
    <w:multiLevelType w:val="multilevel"/>
    <w:tmpl w:val="337A4EAE"/>
    <w:lvl w:ilvl="0">
      <w:start w:val="4"/>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76B54145"/>
    <w:multiLevelType w:val="hybridMultilevel"/>
    <w:tmpl w:val="50A65C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ABF4C6C"/>
    <w:multiLevelType w:val="multilevel"/>
    <w:tmpl w:val="3F6EDFE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7F040850"/>
    <w:multiLevelType w:val="hybridMultilevel"/>
    <w:tmpl w:val="4992EAE0"/>
    <w:lvl w:ilvl="0" w:tplc="4BB4CCA8">
      <w:start w:val="1"/>
      <w:numFmt w:val="bullet"/>
      <w:lvlText w:val=""/>
      <w:lvlJc w:val="left"/>
      <w:pPr>
        <w:ind w:left="1440" w:hanging="360"/>
      </w:pPr>
      <w:rPr>
        <w:rFonts w:ascii="Symbol" w:hAnsi="Symbol"/>
      </w:rPr>
    </w:lvl>
    <w:lvl w:ilvl="1" w:tplc="D5BC0F96">
      <w:start w:val="1"/>
      <w:numFmt w:val="bullet"/>
      <w:lvlText w:val=""/>
      <w:lvlJc w:val="left"/>
      <w:pPr>
        <w:ind w:left="1440" w:hanging="360"/>
      </w:pPr>
      <w:rPr>
        <w:rFonts w:ascii="Symbol" w:hAnsi="Symbol"/>
      </w:rPr>
    </w:lvl>
    <w:lvl w:ilvl="2" w:tplc="52D6699C">
      <w:start w:val="1"/>
      <w:numFmt w:val="bullet"/>
      <w:lvlText w:val=""/>
      <w:lvlJc w:val="left"/>
      <w:pPr>
        <w:ind w:left="1440" w:hanging="360"/>
      </w:pPr>
      <w:rPr>
        <w:rFonts w:ascii="Symbol" w:hAnsi="Symbol"/>
      </w:rPr>
    </w:lvl>
    <w:lvl w:ilvl="3" w:tplc="E5906BE8">
      <w:start w:val="1"/>
      <w:numFmt w:val="bullet"/>
      <w:lvlText w:val=""/>
      <w:lvlJc w:val="left"/>
      <w:pPr>
        <w:ind w:left="1440" w:hanging="360"/>
      </w:pPr>
      <w:rPr>
        <w:rFonts w:ascii="Symbol" w:hAnsi="Symbol"/>
      </w:rPr>
    </w:lvl>
    <w:lvl w:ilvl="4" w:tplc="FE7454F2">
      <w:start w:val="1"/>
      <w:numFmt w:val="bullet"/>
      <w:lvlText w:val=""/>
      <w:lvlJc w:val="left"/>
      <w:pPr>
        <w:ind w:left="1440" w:hanging="360"/>
      </w:pPr>
      <w:rPr>
        <w:rFonts w:ascii="Symbol" w:hAnsi="Symbol"/>
      </w:rPr>
    </w:lvl>
    <w:lvl w:ilvl="5" w:tplc="2BA4B0BA">
      <w:start w:val="1"/>
      <w:numFmt w:val="bullet"/>
      <w:lvlText w:val=""/>
      <w:lvlJc w:val="left"/>
      <w:pPr>
        <w:ind w:left="1440" w:hanging="360"/>
      </w:pPr>
      <w:rPr>
        <w:rFonts w:ascii="Symbol" w:hAnsi="Symbol"/>
      </w:rPr>
    </w:lvl>
    <w:lvl w:ilvl="6" w:tplc="60261A46">
      <w:start w:val="1"/>
      <w:numFmt w:val="bullet"/>
      <w:lvlText w:val=""/>
      <w:lvlJc w:val="left"/>
      <w:pPr>
        <w:ind w:left="1440" w:hanging="360"/>
      </w:pPr>
      <w:rPr>
        <w:rFonts w:ascii="Symbol" w:hAnsi="Symbol"/>
      </w:rPr>
    </w:lvl>
    <w:lvl w:ilvl="7" w:tplc="5FB28CF2">
      <w:start w:val="1"/>
      <w:numFmt w:val="bullet"/>
      <w:lvlText w:val=""/>
      <w:lvlJc w:val="left"/>
      <w:pPr>
        <w:ind w:left="1440" w:hanging="360"/>
      </w:pPr>
      <w:rPr>
        <w:rFonts w:ascii="Symbol" w:hAnsi="Symbol"/>
      </w:rPr>
    </w:lvl>
    <w:lvl w:ilvl="8" w:tplc="B1CA0662">
      <w:start w:val="1"/>
      <w:numFmt w:val="bullet"/>
      <w:lvlText w:val=""/>
      <w:lvlJc w:val="left"/>
      <w:pPr>
        <w:ind w:left="1440" w:hanging="360"/>
      </w:pPr>
      <w:rPr>
        <w:rFonts w:ascii="Symbol" w:hAnsi="Symbol"/>
      </w:rPr>
    </w:lvl>
  </w:abstractNum>
  <w:num w:numId="1">
    <w:abstractNumId w:val="0"/>
  </w:num>
  <w:num w:numId="2">
    <w:abstractNumId w:val="36"/>
  </w:num>
  <w:num w:numId="3">
    <w:abstractNumId w:val="18"/>
  </w:num>
  <w:num w:numId="4">
    <w:abstractNumId w:val="32"/>
  </w:num>
  <w:num w:numId="5">
    <w:abstractNumId w:val="42"/>
  </w:num>
  <w:num w:numId="6">
    <w:abstractNumId w:val="5"/>
  </w:num>
  <w:num w:numId="7">
    <w:abstractNumId w:val="25"/>
  </w:num>
  <w:num w:numId="8">
    <w:abstractNumId w:val="24"/>
  </w:num>
  <w:num w:numId="9">
    <w:abstractNumId w:val="27"/>
  </w:num>
  <w:num w:numId="10">
    <w:abstractNumId w:val="23"/>
  </w:num>
  <w:num w:numId="11">
    <w:abstractNumId w:val="26"/>
  </w:num>
  <w:num w:numId="12">
    <w:abstractNumId w:val="10"/>
  </w:num>
  <w:num w:numId="13">
    <w:abstractNumId w:val="15"/>
  </w:num>
  <w:num w:numId="14">
    <w:abstractNumId w:val="20"/>
  </w:num>
  <w:num w:numId="15">
    <w:abstractNumId w:val="19"/>
  </w:num>
  <w:num w:numId="16">
    <w:abstractNumId w:val="17"/>
  </w:num>
  <w:num w:numId="17">
    <w:abstractNumId w:val="38"/>
  </w:num>
  <w:num w:numId="18">
    <w:abstractNumId w:val="1"/>
  </w:num>
  <w:num w:numId="19">
    <w:abstractNumId w:val="31"/>
  </w:num>
  <w:num w:numId="20">
    <w:abstractNumId w:val="28"/>
  </w:num>
  <w:num w:numId="21">
    <w:abstractNumId w:val="33"/>
  </w:num>
  <w:num w:numId="22">
    <w:abstractNumId w:val="12"/>
  </w:num>
  <w:num w:numId="23">
    <w:abstractNumId w:val="16"/>
  </w:num>
  <w:num w:numId="24">
    <w:abstractNumId w:val="2"/>
  </w:num>
  <w:num w:numId="25">
    <w:abstractNumId w:val="7"/>
  </w:num>
  <w:num w:numId="26">
    <w:abstractNumId w:val="29"/>
  </w:num>
  <w:num w:numId="27">
    <w:abstractNumId w:val="4"/>
  </w:num>
  <w:num w:numId="28">
    <w:abstractNumId w:val="13"/>
  </w:num>
  <w:num w:numId="29">
    <w:abstractNumId w:val="9"/>
  </w:num>
  <w:num w:numId="30">
    <w:abstractNumId w:val="30"/>
  </w:num>
  <w:num w:numId="31">
    <w:abstractNumId w:val="22"/>
  </w:num>
  <w:num w:numId="32">
    <w:abstractNumId w:val="8"/>
  </w:num>
  <w:num w:numId="33">
    <w:abstractNumId w:val="41"/>
  </w:num>
  <w:num w:numId="34">
    <w:abstractNumId w:val="39"/>
  </w:num>
  <w:num w:numId="35">
    <w:abstractNumId w:val="34"/>
  </w:num>
  <w:num w:numId="36">
    <w:abstractNumId w:val="21"/>
  </w:num>
  <w:num w:numId="37">
    <w:abstractNumId w:val="6"/>
  </w:num>
  <w:num w:numId="38">
    <w:abstractNumId w:val="14"/>
  </w:num>
  <w:num w:numId="39">
    <w:abstractNumId w:val="35"/>
  </w:num>
  <w:num w:numId="40">
    <w:abstractNumId w:val="40"/>
  </w:num>
  <w:num w:numId="41">
    <w:abstractNumId w:val="11"/>
  </w:num>
  <w:num w:numId="42">
    <w:abstractNumId w:val="37"/>
  </w:num>
  <w:num w:numId="43">
    <w:abstractNumId w:val="43"/>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81FEC599-BD53-49C3-A855-28C92601D1EA"/>
    <w:docVar w:name="LW_COVERPAGE_TYPE" w:val="1"/>
    <w:docVar w:name="LW_CROSSREFERENCE" w:val="&lt;UNUSED&gt;"/>
    <w:docVar w:name="LW_DocType" w:val="NORMAL"/>
    <w:docVar w:name="LW_EMISSION" w:val="11.2.2025"/>
    <w:docVar w:name="LW_EMISSION_ISODATE" w:val="2025-02-11"/>
    <w:docVar w:name="LW_EMISSION_LOCATION" w:val="STR"/>
    <w:docVar w:name="LW_EMISSION_PREFIX" w:val="Strasbourg,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alea c\u259?tre urm\u259?torul cadru financiar multianual&lt;FMT:Font=Calibri&gt;_x000d__x000d__x000d__x000d_&lt;/FMT&gt;_x000d__x000d__x000b_"/>
    <w:docVar w:name="LW_TYPE.DOC.CP" w:val="COMUNICARE A COMISIEI"/>
    <w:docVar w:name="LW_TYPE.DOC.CP.USERTEXT" w:val="C\u258?TRE PARLAMENTUL EUROPEAN, CONSILIUL EUROPEAN, CONSILIU, COMITETUL ECONOMIC \u536?I SOCIAL EUROPEAN \u536?I COMITETUL REGIUNILOR_x000b_"/>
    <w:docVar w:name="LwApiVersions" w:val="LW4CoDe 1.24.5.0; LW 9.0, Build 20240221"/>
  </w:docVars>
  <w:rsids>
    <w:rsidRoot w:val="00A735F3"/>
    <w:rsid w:val="00000479"/>
    <w:rsid w:val="000004FE"/>
    <w:rsid w:val="0000073F"/>
    <w:rsid w:val="00000777"/>
    <w:rsid w:val="00000ACF"/>
    <w:rsid w:val="00000B33"/>
    <w:rsid w:val="00000BE0"/>
    <w:rsid w:val="00000CE8"/>
    <w:rsid w:val="00000F3D"/>
    <w:rsid w:val="00000F3F"/>
    <w:rsid w:val="00001175"/>
    <w:rsid w:val="000013A9"/>
    <w:rsid w:val="0000156F"/>
    <w:rsid w:val="000016CB"/>
    <w:rsid w:val="00001943"/>
    <w:rsid w:val="00001D38"/>
    <w:rsid w:val="00001FE2"/>
    <w:rsid w:val="00002073"/>
    <w:rsid w:val="0000228D"/>
    <w:rsid w:val="0000233E"/>
    <w:rsid w:val="000023A3"/>
    <w:rsid w:val="00002777"/>
    <w:rsid w:val="0000296E"/>
    <w:rsid w:val="00002B12"/>
    <w:rsid w:val="000030A7"/>
    <w:rsid w:val="000033C3"/>
    <w:rsid w:val="00003565"/>
    <w:rsid w:val="0000356B"/>
    <w:rsid w:val="00003581"/>
    <w:rsid w:val="0000387A"/>
    <w:rsid w:val="000038EF"/>
    <w:rsid w:val="00003916"/>
    <w:rsid w:val="00003987"/>
    <w:rsid w:val="00003A90"/>
    <w:rsid w:val="00003E39"/>
    <w:rsid w:val="00004260"/>
    <w:rsid w:val="00004410"/>
    <w:rsid w:val="000045AE"/>
    <w:rsid w:val="00004789"/>
    <w:rsid w:val="00004CDB"/>
    <w:rsid w:val="00004CE9"/>
    <w:rsid w:val="00004FBB"/>
    <w:rsid w:val="00004FD3"/>
    <w:rsid w:val="00005019"/>
    <w:rsid w:val="000051B8"/>
    <w:rsid w:val="0000525E"/>
    <w:rsid w:val="0000526F"/>
    <w:rsid w:val="000052AE"/>
    <w:rsid w:val="00005463"/>
    <w:rsid w:val="00005543"/>
    <w:rsid w:val="0000564B"/>
    <w:rsid w:val="0000590C"/>
    <w:rsid w:val="00005AC5"/>
    <w:rsid w:val="00005C03"/>
    <w:rsid w:val="00006104"/>
    <w:rsid w:val="000061A5"/>
    <w:rsid w:val="000062EC"/>
    <w:rsid w:val="000063FF"/>
    <w:rsid w:val="0000654B"/>
    <w:rsid w:val="00006686"/>
    <w:rsid w:val="0000698D"/>
    <w:rsid w:val="00006A72"/>
    <w:rsid w:val="00006B9C"/>
    <w:rsid w:val="0000709E"/>
    <w:rsid w:val="000070C3"/>
    <w:rsid w:val="000072D1"/>
    <w:rsid w:val="00007699"/>
    <w:rsid w:val="000078D0"/>
    <w:rsid w:val="00007B42"/>
    <w:rsid w:val="00007DE4"/>
    <w:rsid w:val="00007DF6"/>
    <w:rsid w:val="000103FC"/>
    <w:rsid w:val="00010461"/>
    <w:rsid w:val="000105E9"/>
    <w:rsid w:val="0001072C"/>
    <w:rsid w:val="000107D0"/>
    <w:rsid w:val="00010ABA"/>
    <w:rsid w:val="00010E4D"/>
    <w:rsid w:val="00011033"/>
    <w:rsid w:val="000111EC"/>
    <w:rsid w:val="00011336"/>
    <w:rsid w:val="000113BA"/>
    <w:rsid w:val="00011732"/>
    <w:rsid w:val="000117D4"/>
    <w:rsid w:val="00011ACD"/>
    <w:rsid w:val="00011B4D"/>
    <w:rsid w:val="00011B62"/>
    <w:rsid w:val="00011CB9"/>
    <w:rsid w:val="00011DD0"/>
    <w:rsid w:val="00011F3C"/>
    <w:rsid w:val="0001245D"/>
    <w:rsid w:val="0001247C"/>
    <w:rsid w:val="000125B8"/>
    <w:rsid w:val="00012860"/>
    <w:rsid w:val="000128AE"/>
    <w:rsid w:val="000129A1"/>
    <w:rsid w:val="00012BEF"/>
    <w:rsid w:val="00012E92"/>
    <w:rsid w:val="000130F7"/>
    <w:rsid w:val="0001317D"/>
    <w:rsid w:val="00013350"/>
    <w:rsid w:val="0001340E"/>
    <w:rsid w:val="0001348C"/>
    <w:rsid w:val="00013803"/>
    <w:rsid w:val="00013B8B"/>
    <w:rsid w:val="0001406B"/>
    <w:rsid w:val="0001410A"/>
    <w:rsid w:val="000141DA"/>
    <w:rsid w:val="00014304"/>
    <w:rsid w:val="00014309"/>
    <w:rsid w:val="0001441E"/>
    <w:rsid w:val="0001442F"/>
    <w:rsid w:val="000145CB"/>
    <w:rsid w:val="00014615"/>
    <w:rsid w:val="0001465A"/>
    <w:rsid w:val="0001473F"/>
    <w:rsid w:val="00014A60"/>
    <w:rsid w:val="00014AD9"/>
    <w:rsid w:val="00014BDB"/>
    <w:rsid w:val="00014D3E"/>
    <w:rsid w:val="00014FA7"/>
    <w:rsid w:val="0001523D"/>
    <w:rsid w:val="0001528E"/>
    <w:rsid w:val="000153AB"/>
    <w:rsid w:val="000153FC"/>
    <w:rsid w:val="000155F7"/>
    <w:rsid w:val="00015781"/>
    <w:rsid w:val="000158CF"/>
    <w:rsid w:val="00015B04"/>
    <w:rsid w:val="000162C6"/>
    <w:rsid w:val="0001637D"/>
    <w:rsid w:val="0001647E"/>
    <w:rsid w:val="000164BA"/>
    <w:rsid w:val="000168E7"/>
    <w:rsid w:val="00016A17"/>
    <w:rsid w:val="00016B70"/>
    <w:rsid w:val="00016B8F"/>
    <w:rsid w:val="00016C5C"/>
    <w:rsid w:val="00016DC4"/>
    <w:rsid w:val="00016E5F"/>
    <w:rsid w:val="00017198"/>
    <w:rsid w:val="000171B5"/>
    <w:rsid w:val="000172AF"/>
    <w:rsid w:val="000173B1"/>
    <w:rsid w:val="00017496"/>
    <w:rsid w:val="00017648"/>
    <w:rsid w:val="00017BCD"/>
    <w:rsid w:val="00017C2B"/>
    <w:rsid w:val="00017C94"/>
    <w:rsid w:val="00017D71"/>
    <w:rsid w:val="00017F11"/>
    <w:rsid w:val="00017F2F"/>
    <w:rsid w:val="00017F4F"/>
    <w:rsid w:val="000201D6"/>
    <w:rsid w:val="0002028A"/>
    <w:rsid w:val="000202D5"/>
    <w:rsid w:val="000204C0"/>
    <w:rsid w:val="00020799"/>
    <w:rsid w:val="00020F5D"/>
    <w:rsid w:val="0002116F"/>
    <w:rsid w:val="000211B2"/>
    <w:rsid w:val="000211FA"/>
    <w:rsid w:val="00021409"/>
    <w:rsid w:val="00021480"/>
    <w:rsid w:val="00021676"/>
    <w:rsid w:val="000217D1"/>
    <w:rsid w:val="00021886"/>
    <w:rsid w:val="00021B3C"/>
    <w:rsid w:val="00021DE8"/>
    <w:rsid w:val="00021E88"/>
    <w:rsid w:val="00021FED"/>
    <w:rsid w:val="00022717"/>
    <w:rsid w:val="00022758"/>
    <w:rsid w:val="000227B9"/>
    <w:rsid w:val="00022852"/>
    <w:rsid w:val="00022C44"/>
    <w:rsid w:val="00022F39"/>
    <w:rsid w:val="000231F7"/>
    <w:rsid w:val="00023214"/>
    <w:rsid w:val="0002325F"/>
    <w:rsid w:val="000233D7"/>
    <w:rsid w:val="000234FE"/>
    <w:rsid w:val="00023674"/>
    <w:rsid w:val="000236F5"/>
    <w:rsid w:val="000237D7"/>
    <w:rsid w:val="0002398D"/>
    <w:rsid w:val="000239F9"/>
    <w:rsid w:val="00023A93"/>
    <w:rsid w:val="00023C98"/>
    <w:rsid w:val="00023DD1"/>
    <w:rsid w:val="00023FE4"/>
    <w:rsid w:val="000241C7"/>
    <w:rsid w:val="000243EA"/>
    <w:rsid w:val="00024466"/>
    <w:rsid w:val="00024AE3"/>
    <w:rsid w:val="000251F3"/>
    <w:rsid w:val="00025412"/>
    <w:rsid w:val="0002542B"/>
    <w:rsid w:val="00025505"/>
    <w:rsid w:val="0002552C"/>
    <w:rsid w:val="0002568B"/>
    <w:rsid w:val="00025972"/>
    <w:rsid w:val="00025BB5"/>
    <w:rsid w:val="00025F86"/>
    <w:rsid w:val="00026259"/>
    <w:rsid w:val="000264E9"/>
    <w:rsid w:val="00026541"/>
    <w:rsid w:val="00026648"/>
    <w:rsid w:val="000266FB"/>
    <w:rsid w:val="00026746"/>
    <w:rsid w:val="0002675A"/>
    <w:rsid w:val="00026830"/>
    <w:rsid w:val="00026936"/>
    <w:rsid w:val="00026B0D"/>
    <w:rsid w:val="00026C1F"/>
    <w:rsid w:val="00026D31"/>
    <w:rsid w:val="00026D45"/>
    <w:rsid w:val="000270CB"/>
    <w:rsid w:val="000271E0"/>
    <w:rsid w:val="0002721A"/>
    <w:rsid w:val="000272DC"/>
    <w:rsid w:val="0002730B"/>
    <w:rsid w:val="000273CF"/>
    <w:rsid w:val="0002799F"/>
    <w:rsid w:val="00027C20"/>
    <w:rsid w:val="00027D41"/>
    <w:rsid w:val="0003007C"/>
    <w:rsid w:val="00030257"/>
    <w:rsid w:val="0003033D"/>
    <w:rsid w:val="000303C0"/>
    <w:rsid w:val="000303FF"/>
    <w:rsid w:val="00030475"/>
    <w:rsid w:val="00030511"/>
    <w:rsid w:val="000305F4"/>
    <w:rsid w:val="00030713"/>
    <w:rsid w:val="000307E6"/>
    <w:rsid w:val="000309B9"/>
    <w:rsid w:val="00030DA9"/>
    <w:rsid w:val="00030F73"/>
    <w:rsid w:val="00030FA3"/>
    <w:rsid w:val="00031093"/>
    <w:rsid w:val="00031097"/>
    <w:rsid w:val="000311D5"/>
    <w:rsid w:val="0003122C"/>
    <w:rsid w:val="000312B9"/>
    <w:rsid w:val="00031402"/>
    <w:rsid w:val="000318C7"/>
    <w:rsid w:val="0003193C"/>
    <w:rsid w:val="00031D0A"/>
    <w:rsid w:val="00031DA2"/>
    <w:rsid w:val="00032174"/>
    <w:rsid w:val="00032372"/>
    <w:rsid w:val="00032577"/>
    <w:rsid w:val="0003283E"/>
    <w:rsid w:val="00032B7A"/>
    <w:rsid w:val="000332B2"/>
    <w:rsid w:val="00033D12"/>
    <w:rsid w:val="00033D83"/>
    <w:rsid w:val="00033EB0"/>
    <w:rsid w:val="0003401A"/>
    <w:rsid w:val="00034313"/>
    <w:rsid w:val="000343C5"/>
    <w:rsid w:val="000344E0"/>
    <w:rsid w:val="00034562"/>
    <w:rsid w:val="000346B7"/>
    <w:rsid w:val="000346CE"/>
    <w:rsid w:val="0003476D"/>
    <w:rsid w:val="000347CD"/>
    <w:rsid w:val="000347FD"/>
    <w:rsid w:val="00034A07"/>
    <w:rsid w:val="00034EA1"/>
    <w:rsid w:val="00034F94"/>
    <w:rsid w:val="00034FDD"/>
    <w:rsid w:val="000356DD"/>
    <w:rsid w:val="00035733"/>
    <w:rsid w:val="00035922"/>
    <w:rsid w:val="00035937"/>
    <w:rsid w:val="00035A00"/>
    <w:rsid w:val="00035C20"/>
    <w:rsid w:val="00035C27"/>
    <w:rsid w:val="00035E8A"/>
    <w:rsid w:val="00035EB9"/>
    <w:rsid w:val="00035FEF"/>
    <w:rsid w:val="0003608B"/>
    <w:rsid w:val="000362FE"/>
    <w:rsid w:val="00036349"/>
    <w:rsid w:val="0003681B"/>
    <w:rsid w:val="0003692B"/>
    <w:rsid w:val="00036ADD"/>
    <w:rsid w:val="00036D33"/>
    <w:rsid w:val="000370C6"/>
    <w:rsid w:val="00037238"/>
    <w:rsid w:val="0003735B"/>
    <w:rsid w:val="00037511"/>
    <w:rsid w:val="0003763A"/>
    <w:rsid w:val="0003773C"/>
    <w:rsid w:val="000378CB"/>
    <w:rsid w:val="00037DB8"/>
    <w:rsid w:val="00037EEC"/>
    <w:rsid w:val="00040003"/>
    <w:rsid w:val="0004019D"/>
    <w:rsid w:val="00040384"/>
    <w:rsid w:val="00040398"/>
    <w:rsid w:val="000403E6"/>
    <w:rsid w:val="0004046B"/>
    <w:rsid w:val="000404E7"/>
    <w:rsid w:val="000405FC"/>
    <w:rsid w:val="000406DB"/>
    <w:rsid w:val="00040734"/>
    <w:rsid w:val="000407CE"/>
    <w:rsid w:val="000407D1"/>
    <w:rsid w:val="00040A34"/>
    <w:rsid w:val="00040E41"/>
    <w:rsid w:val="00040F07"/>
    <w:rsid w:val="00040F3F"/>
    <w:rsid w:val="00040F71"/>
    <w:rsid w:val="00041099"/>
    <w:rsid w:val="00041165"/>
    <w:rsid w:val="000411F8"/>
    <w:rsid w:val="0004133A"/>
    <w:rsid w:val="00041432"/>
    <w:rsid w:val="000415AE"/>
    <w:rsid w:val="00041804"/>
    <w:rsid w:val="0004187C"/>
    <w:rsid w:val="000418DE"/>
    <w:rsid w:val="00041933"/>
    <w:rsid w:val="0004194F"/>
    <w:rsid w:val="00041AC7"/>
    <w:rsid w:val="00041AD5"/>
    <w:rsid w:val="00041E5B"/>
    <w:rsid w:val="000420D3"/>
    <w:rsid w:val="000421A9"/>
    <w:rsid w:val="00042252"/>
    <w:rsid w:val="000422E5"/>
    <w:rsid w:val="0004231F"/>
    <w:rsid w:val="00042452"/>
    <w:rsid w:val="00042556"/>
    <w:rsid w:val="000426FB"/>
    <w:rsid w:val="0004292E"/>
    <w:rsid w:val="00042B28"/>
    <w:rsid w:val="00042BCB"/>
    <w:rsid w:val="00042C67"/>
    <w:rsid w:val="00042DF4"/>
    <w:rsid w:val="00042F4F"/>
    <w:rsid w:val="0004319F"/>
    <w:rsid w:val="0004329B"/>
    <w:rsid w:val="000433E3"/>
    <w:rsid w:val="00043493"/>
    <w:rsid w:val="0004367E"/>
    <w:rsid w:val="00043702"/>
    <w:rsid w:val="00043753"/>
    <w:rsid w:val="00043A80"/>
    <w:rsid w:val="000442DC"/>
    <w:rsid w:val="000445E9"/>
    <w:rsid w:val="00044ADA"/>
    <w:rsid w:val="00044BB5"/>
    <w:rsid w:val="00044E0D"/>
    <w:rsid w:val="00045438"/>
    <w:rsid w:val="00045476"/>
    <w:rsid w:val="000455E6"/>
    <w:rsid w:val="00045A0A"/>
    <w:rsid w:val="00045A9B"/>
    <w:rsid w:val="00045BAE"/>
    <w:rsid w:val="00045D7E"/>
    <w:rsid w:val="00046136"/>
    <w:rsid w:val="0004619E"/>
    <w:rsid w:val="000463A7"/>
    <w:rsid w:val="000464A9"/>
    <w:rsid w:val="000469BD"/>
    <w:rsid w:val="00046AE1"/>
    <w:rsid w:val="00046C2D"/>
    <w:rsid w:val="000470CB"/>
    <w:rsid w:val="0004743A"/>
    <w:rsid w:val="00047B7C"/>
    <w:rsid w:val="00047BFA"/>
    <w:rsid w:val="00047E3B"/>
    <w:rsid w:val="00047F7B"/>
    <w:rsid w:val="00047F80"/>
    <w:rsid w:val="00050581"/>
    <w:rsid w:val="000505A5"/>
    <w:rsid w:val="000505D4"/>
    <w:rsid w:val="000505D6"/>
    <w:rsid w:val="000509E0"/>
    <w:rsid w:val="00050D65"/>
    <w:rsid w:val="0005102E"/>
    <w:rsid w:val="00051054"/>
    <w:rsid w:val="000516ED"/>
    <w:rsid w:val="00051763"/>
    <w:rsid w:val="0005179D"/>
    <w:rsid w:val="000518CC"/>
    <w:rsid w:val="00051A9B"/>
    <w:rsid w:val="00051BE7"/>
    <w:rsid w:val="00051C6E"/>
    <w:rsid w:val="00051C71"/>
    <w:rsid w:val="00051F92"/>
    <w:rsid w:val="000520D8"/>
    <w:rsid w:val="000521AA"/>
    <w:rsid w:val="00052368"/>
    <w:rsid w:val="00052412"/>
    <w:rsid w:val="00052B46"/>
    <w:rsid w:val="00052C69"/>
    <w:rsid w:val="00052F39"/>
    <w:rsid w:val="00052F5A"/>
    <w:rsid w:val="000530F2"/>
    <w:rsid w:val="0005351E"/>
    <w:rsid w:val="0005375A"/>
    <w:rsid w:val="00053761"/>
    <w:rsid w:val="00053996"/>
    <w:rsid w:val="00053F3F"/>
    <w:rsid w:val="0005411C"/>
    <w:rsid w:val="000541EB"/>
    <w:rsid w:val="000541F8"/>
    <w:rsid w:val="000542A6"/>
    <w:rsid w:val="00054339"/>
    <w:rsid w:val="0005450F"/>
    <w:rsid w:val="00054613"/>
    <w:rsid w:val="000546F0"/>
    <w:rsid w:val="000549FD"/>
    <w:rsid w:val="00054D5F"/>
    <w:rsid w:val="00054E17"/>
    <w:rsid w:val="0005530D"/>
    <w:rsid w:val="000553E7"/>
    <w:rsid w:val="000554AF"/>
    <w:rsid w:val="0005562F"/>
    <w:rsid w:val="0005589A"/>
    <w:rsid w:val="00055916"/>
    <w:rsid w:val="00055D0D"/>
    <w:rsid w:val="00055E6C"/>
    <w:rsid w:val="00055F42"/>
    <w:rsid w:val="00055F76"/>
    <w:rsid w:val="000560B0"/>
    <w:rsid w:val="000563F4"/>
    <w:rsid w:val="00056447"/>
    <w:rsid w:val="000568DE"/>
    <w:rsid w:val="000568EB"/>
    <w:rsid w:val="000569C0"/>
    <w:rsid w:val="00056B77"/>
    <w:rsid w:val="00056E98"/>
    <w:rsid w:val="00056EA4"/>
    <w:rsid w:val="00057494"/>
    <w:rsid w:val="00057668"/>
    <w:rsid w:val="000578DD"/>
    <w:rsid w:val="000579B2"/>
    <w:rsid w:val="00057A8A"/>
    <w:rsid w:val="00057A9C"/>
    <w:rsid w:val="00057B1C"/>
    <w:rsid w:val="00057C54"/>
    <w:rsid w:val="00057E93"/>
    <w:rsid w:val="00057F0D"/>
    <w:rsid w:val="00060164"/>
    <w:rsid w:val="0006020F"/>
    <w:rsid w:val="0006033D"/>
    <w:rsid w:val="00060495"/>
    <w:rsid w:val="0006074D"/>
    <w:rsid w:val="000609E8"/>
    <w:rsid w:val="00060AFC"/>
    <w:rsid w:val="00060C9E"/>
    <w:rsid w:val="00060CA3"/>
    <w:rsid w:val="00060E19"/>
    <w:rsid w:val="0006113B"/>
    <w:rsid w:val="000614BA"/>
    <w:rsid w:val="0006171B"/>
    <w:rsid w:val="000617E4"/>
    <w:rsid w:val="000619AD"/>
    <w:rsid w:val="00061B3A"/>
    <w:rsid w:val="00061E4D"/>
    <w:rsid w:val="00062297"/>
    <w:rsid w:val="000623C8"/>
    <w:rsid w:val="00062679"/>
    <w:rsid w:val="00062795"/>
    <w:rsid w:val="00062864"/>
    <w:rsid w:val="00062AFB"/>
    <w:rsid w:val="00062B09"/>
    <w:rsid w:val="00062D8E"/>
    <w:rsid w:val="00062E04"/>
    <w:rsid w:val="00062E48"/>
    <w:rsid w:val="00062F38"/>
    <w:rsid w:val="0006303C"/>
    <w:rsid w:val="00063825"/>
    <w:rsid w:val="00063AD0"/>
    <w:rsid w:val="00063B39"/>
    <w:rsid w:val="00063D8D"/>
    <w:rsid w:val="00063EB0"/>
    <w:rsid w:val="00064234"/>
    <w:rsid w:val="000643AC"/>
    <w:rsid w:val="00064512"/>
    <w:rsid w:val="000647A5"/>
    <w:rsid w:val="00064961"/>
    <w:rsid w:val="00064A8C"/>
    <w:rsid w:val="00064B37"/>
    <w:rsid w:val="00064B3D"/>
    <w:rsid w:val="00064B8C"/>
    <w:rsid w:val="00064C23"/>
    <w:rsid w:val="00064EB2"/>
    <w:rsid w:val="00064F32"/>
    <w:rsid w:val="00065135"/>
    <w:rsid w:val="00065149"/>
    <w:rsid w:val="00065162"/>
    <w:rsid w:val="00065341"/>
    <w:rsid w:val="00065415"/>
    <w:rsid w:val="00065463"/>
    <w:rsid w:val="000655C1"/>
    <w:rsid w:val="000655DC"/>
    <w:rsid w:val="00065B96"/>
    <w:rsid w:val="00065C1F"/>
    <w:rsid w:val="00065D87"/>
    <w:rsid w:val="000663CF"/>
    <w:rsid w:val="00066471"/>
    <w:rsid w:val="00066610"/>
    <w:rsid w:val="0006664B"/>
    <w:rsid w:val="0006688C"/>
    <w:rsid w:val="000668D0"/>
    <w:rsid w:val="00066B6E"/>
    <w:rsid w:val="00066D2E"/>
    <w:rsid w:val="00066F37"/>
    <w:rsid w:val="0006706A"/>
    <w:rsid w:val="00067158"/>
    <w:rsid w:val="000671EF"/>
    <w:rsid w:val="0006720D"/>
    <w:rsid w:val="00067557"/>
    <w:rsid w:val="000675CF"/>
    <w:rsid w:val="0006763B"/>
    <w:rsid w:val="00067754"/>
    <w:rsid w:val="00067BFC"/>
    <w:rsid w:val="00067C75"/>
    <w:rsid w:val="00067D54"/>
    <w:rsid w:val="00067FB3"/>
    <w:rsid w:val="0007016E"/>
    <w:rsid w:val="00070200"/>
    <w:rsid w:val="000704EC"/>
    <w:rsid w:val="000705E4"/>
    <w:rsid w:val="00070916"/>
    <w:rsid w:val="000709C2"/>
    <w:rsid w:val="000709F0"/>
    <w:rsid w:val="00070B2D"/>
    <w:rsid w:val="00070B8E"/>
    <w:rsid w:val="00070C4C"/>
    <w:rsid w:val="00070ED4"/>
    <w:rsid w:val="000713E4"/>
    <w:rsid w:val="0007151C"/>
    <w:rsid w:val="00071720"/>
    <w:rsid w:val="00071763"/>
    <w:rsid w:val="0007195E"/>
    <w:rsid w:val="000719C2"/>
    <w:rsid w:val="000719E6"/>
    <w:rsid w:val="00072271"/>
    <w:rsid w:val="00072331"/>
    <w:rsid w:val="0007241D"/>
    <w:rsid w:val="0007268C"/>
    <w:rsid w:val="00072985"/>
    <w:rsid w:val="00072F59"/>
    <w:rsid w:val="00072FB8"/>
    <w:rsid w:val="0007302A"/>
    <w:rsid w:val="00073083"/>
    <w:rsid w:val="0007308B"/>
    <w:rsid w:val="000732AC"/>
    <w:rsid w:val="00073486"/>
    <w:rsid w:val="000736EE"/>
    <w:rsid w:val="00073810"/>
    <w:rsid w:val="00073889"/>
    <w:rsid w:val="00073A3E"/>
    <w:rsid w:val="00073B66"/>
    <w:rsid w:val="00073BC1"/>
    <w:rsid w:val="00073D6F"/>
    <w:rsid w:val="000741C5"/>
    <w:rsid w:val="00074486"/>
    <w:rsid w:val="000744EF"/>
    <w:rsid w:val="00074A8E"/>
    <w:rsid w:val="00074C3E"/>
    <w:rsid w:val="00074C68"/>
    <w:rsid w:val="00074CAE"/>
    <w:rsid w:val="00074CD1"/>
    <w:rsid w:val="00074F14"/>
    <w:rsid w:val="00075213"/>
    <w:rsid w:val="000754A4"/>
    <w:rsid w:val="00075785"/>
    <w:rsid w:val="00075A90"/>
    <w:rsid w:val="00076168"/>
    <w:rsid w:val="0007692E"/>
    <w:rsid w:val="000769A9"/>
    <w:rsid w:val="00076C0E"/>
    <w:rsid w:val="00076FEB"/>
    <w:rsid w:val="000771D0"/>
    <w:rsid w:val="000778E9"/>
    <w:rsid w:val="00077B84"/>
    <w:rsid w:val="00077BFF"/>
    <w:rsid w:val="00077CF6"/>
    <w:rsid w:val="00077DA0"/>
    <w:rsid w:val="00077DDE"/>
    <w:rsid w:val="00077E69"/>
    <w:rsid w:val="00077E75"/>
    <w:rsid w:val="00077FC7"/>
    <w:rsid w:val="000800CA"/>
    <w:rsid w:val="000800E8"/>
    <w:rsid w:val="00080150"/>
    <w:rsid w:val="0008073F"/>
    <w:rsid w:val="00080A0D"/>
    <w:rsid w:val="00080D1D"/>
    <w:rsid w:val="0008100A"/>
    <w:rsid w:val="00081221"/>
    <w:rsid w:val="000812EB"/>
    <w:rsid w:val="0008161C"/>
    <w:rsid w:val="00081640"/>
    <w:rsid w:val="000818B9"/>
    <w:rsid w:val="00081B53"/>
    <w:rsid w:val="00081C28"/>
    <w:rsid w:val="00081D0D"/>
    <w:rsid w:val="00081DD3"/>
    <w:rsid w:val="00081ED0"/>
    <w:rsid w:val="00082006"/>
    <w:rsid w:val="00082101"/>
    <w:rsid w:val="000821AD"/>
    <w:rsid w:val="0008233F"/>
    <w:rsid w:val="0008239A"/>
    <w:rsid w:val="000823B2"/>
    <w:rsid w:val="00082C03"/>
    <w:rsid w:val="00082CAA"/>
    <w:rsid w:val="00082D37"/>
    <w:rsid w:val="00082F26"/>
    <w:rsid w:val="00082FD3"/>
    <w:rsid w:val="00082FED"/>
    <w:rsid w:val="00083093"/>
    <w:rsid w:val="000830EB"/>
    <w:rsid w:val="00083260"/>
    <w:rsid w:val="00083328"/>
    <w:rsid w:val="00083404"/>
    <w:rsid w:val="00083817"/>
    <w:rsid w:val="0008395A"/>
    <w:rsid w:val="0008395C"/>
    <w:rsid w:val="00083B23"/>
    <w:rsid w:val="00083CB5"/>
    <w:rsid w:val="00083DC5"/>
    <w:rsid w:val="00083E7C"/>
    <w:rsid w:val="0008411F"/>
    <w:rsid w:val="0008435E"/>
    <w:rsid w:val="0008468C"/>
    <w:rsid w:val="000846D3"/>
    <w:rsid w:val="00084C09"/>
    <w:rsid w:val="00084C32"/>
    <w:rsid w:val="00084CA8"/>
    <w:rsid w:val="00084DE4"/>
    <w:rsid w:val="00084E40"/>
    <w:rsid w:val="0008538F"/>
    <w:rsid w:val="0008566E"/>
    <w:rsid w:val="0008584F"/>
    <w:rsid w:val="000859C6"/>
    <w:rsid w:val="0008605F"/>
    <w:rsid w:val="000861E3"/>
    <w:rsid w:val="00086591"/>
    <w:rsid w:val="00086697"/>
    <w:rsid w:val="0008677D"/>
    <w:rsid w:val="00086C72"/>
    <w:rsid w:val="00086D08"/>
    <w:rsid w:val="00086DA9"/>
    <w:rsid w:val="00086E78"/>
    <w:rsid w:val="00086F7B"/>
    <w:rsid w:val="000877E7"/>
    <w:rsid w:val="000878B4"/>
    <w:rsid w:val="00087A57"/>
    <w:rsid w:val="00087AA4"/>
    <w:rsid w:val="00087BAC"/>
    <w:rsid w:val="00087D5D"/>
    <w:rsid w:val="00087E2B"/>
    <w:rsid w:val="00087FB4"/>
    <w:rsid w:val="0009008D"/>
    <w:rsid w:val="00090286"/>
    <w:rsid w:val="000903C9"/>
    <w:rsid w:val="0009069D"/>
    <w:rsid w:val="0009078C"/>
    <w:rsid w:val="00090B5D"/>
    <w:rsid w:val="00090BB3"/>
    <w:rsid w:val="00090CA2"/>
    <w:rsid w:val="00090CB1"/>
    <w:rsid w:val="00090DE5"/>
    <w:rsid w:val="00091193"/>
    <w:rsid w:val="000911C6"/>
    <w:rsid w:val="0009123C"/>
    <w:rsid w:val="00091338"/>
    <w:rsid w:val="0009143C"/>
    <w:rsid w:val="0009152F"/>
    <w:rsid w:val="000915C8"/>
    <w:rsid w:val="0009170A"/>
    <w:rsid w:val="0009183F"/>
    <w:rsid w:val="0009191A"/>
    <w:rsid w:val="00091BD3"/>
    <w:rsid w:val="00091C15"/>
    <w:rsid w:val="00091C45"/>
    <w:rsid w:val="00091E16"/>
    <w:rsid w:val="00091F80"/>
    <w:rsid w:val="0009203D"/>
    <w:rsid w:val="00092144"/>
    <w:rsid w:val="000921BD"/>
    <w:rsid w:val="0009242A"/>
    <w:rsid w:val="000924F0"/>
    <w:rsid w:val="000925F3"/>
    <w:rsid w:val="00092AA0"/>
    <w:rsid w:val="00092B69"/>
    <w:rsid w:val="00092CF1"/>
    <w:rsid w:val="00092F1A"/>
    <w:rsid w:val="0009307C"/>
    <w:rsid w:val="0009308A"/>
    <w:rsid w:val="0009321E"/>
    <w:rsid w:val="000932CB"/>
    <w:rsid w:val="0009332F"/>
    <w:rsid w:val="000933A3"/>
    <w:rsid w:val="00093818"/>
    <w:rsid w:val="000938DF"/>
    <w:rsid w:val="000939EE"/>
    <w:rsid w:val="00093A48"/>
    <w:rsid w:val="00093A6A"/>
    <w:rsid w:val="00093A6D"/>
    <w:rsid w:val="00093AC0"/>
    <w:rsid w:val="00093E27"/>
    <w:rsid w:val="00094257"/>
    <w:rsid w:val="00094327"/>
    <w:rsid w:val="00094382"/>
    <w:rsid w:val="0009479D"/>
    <w:rsid w:val="00094838"/>
    <w:rsid w:val="0009486F"/>
    <w:rsid w:val="000948DA"/>
    <w:rsid w:val="000949CB"/>
    <w:rsid w:val="00094A99"/>
    <w:rsid w:val="00094AD7"/>
    <w:rsid w:val="00094B37"/>
    <w:rsid w:val="00094CA2"/>
    <w:rsid w:val="00094D15"/>
    <w:rsid w:val="00094DE7"/>
    <w:rsid w:val="00094ED1"/>
    <w:rsid w:val="0009504A"/>
    <w:rsid w:val="000951A0"/>
    <w:rsid w:val="00095268"/>
    <w:rsid w:val="000953AF"/>
    <w:rsid w:val="000953D3"/>
    <w:rsid w:val="000954E7"/>
    <w:rsid w:val="000955EB"/>
    <w:rsid w:val="000959F9"/>
    <w:rsid w:val="00095BC3"/>
    <w:rsid w:val="000960C9"/>
    <w:rsid w:val="000960D1"/>
    <w:rsid w:val="00096125"/>
    <w:rsid w:val="00096336"/>
    <w:rsid w:val="0009671A"/>
    <w:rsid w:val="00096928"/>
    <w:rsid w:val="00096986"/>
    <w:rsid w:val="00096C72"/>
    <w:rsid w:val="00096D11"/>
    <w:rsid w:val="00096D1B"/>
    <w:rsid w:val="00096DA0"/>
    <w:rsid w:val="00096EDC"/>
    <w:rsid w:val="00097383"/>
    <w:rsid w:val="0009753F"/>
    <w:rsid w:val="000975D3"/>
    <w:rsid w:val="000976D9"/>
    <w:rsid w:val="00097754"/>
    <w:rsid w:val="000977D8"/>
    <w:rsid w:val="00097826"/>
    <w:rsid w:val="000978A2"/>
    <w:rsid w:val="00097CEC"/>
    <w:rsid w:val="00097E08"/>
    <w:rsid w:val="000A011A"/>
    <w:rsid w:val="000A02CB"/>
    <w:rsid w:val="000A070A"/>
    <w:rsid w:val="000A07C7"/>
    <w:rsid w:val="000A07F2"/>
    <w:rsid w:val="000A08AE"/>
    <w:rsid w:val="000A0A27"/>
    <w:rsid w:val="000A0BF6"/>
    <w:rsid w:val="000A0D86"/>
    <w:rsid w:val="000A0F13"/>
    <w:rsid w:val="000A1064"/>
    <w:rsid w:val="000A126E"/>
    <w:rsid w:val="000A128B"/>
    <w:rsid w:val="000A1397"/>
    <w:rsid w:val="000A14A7"/>
    <w:rsid w:val="000A14E1"/>
    <w:rsid w:val="000A1504"/>
    <w:rsid w:val="000A16E4"/>
    <w:rsid w:val="000A1CF4"/>
    <w:rsid w:val="000A1D2A"/>
    <w:rsid w:val="000A21CD"/>
    <w:rsid w:val="000A21CF"/>
    <w:rsid w:val="000A2406"/>
    <w:rsid w:val="000A244B"/>
    <w:rsid w:val="000A27D7"/>
    <w:rsid w:val="000A29BA"/>
    <w:rsid w:val="000A2BDE"/>
    <w:rsid w:val="000A2D85"/>
    <w:rsid w:val="000A2DDD"/>
    <w:rsid w:val="000A2E62"/>
    <w:rsid w:val="000A2EE7"/>
    <w:rsid w:val="000A2F08"/>
    <w:rsid w:val="000A3029"/>
    <w:rsid w:val="000A30E6"/>
    <w:rsid w:val="000A3169"/>
    <w:rsid w:val="000A3404"/>
    <w:rsid w:val="000A35CE"/>
    <w:rsid w:val="000A37BF"/>
    <w:rsid w:val="000A3DAC"/>
    <w:rsid w:val="000A3FF9"/>
    <w:rsid w:val="000A409F"/>
    <w:rsid w:val="000A42D5"/>
    <w:rsid w:val="000A4435"/>
    <w:rsid w:val="000A44E3"/>
    <w:rsid w:val="000A464E"/>
    <w:rsid w:val="000A475D"/>
    <w:rsid w:val="000A4AFD"/>
    <w:rsid w:val="000A4C20"/>
    <w:rsid w:val="000A4C77"/>
    <w:rsid w:val="000A4D64"/>
    <w:rsid w:val="000A4E40"/>
    <w:rsid w:val="000A5084"/>
    <w:rsid w:val="000A519D"/>
    <w:rsid w:val="000A5239"/>
    <w:rsid w:val="000A552A"/>
    <w:rsid w:val="000A5575"/>
    <w:rsid w:val="000A57FA"/>
    <w:rsid w:val="000A5851"/>
    <w:rsid w:val="000A58E7"/>
    <w:rsid w:val="000A5A0A"/>
    <w:rsid w:val="000A5A1E"/>
    <w:rsid w:val="000A5F9D"/>
    <w:rsid w:val="000A62AC"/>
    <w:rsid w:val="000A63BD"/>
    <w:rsid w:val="000A6A23"/>
    <w:rsid w:val="000A6A43"/>
    <w:rsid w:val="000A6C9E"/>
    <w:rsid w:val="000A6F66"/>
    <w:rsid w:val="000A708A"/>
    <w:rsid w:val="000A7433"/>
    <w:rsid w:val="000A7534"/>
    <w:rsid w:val="000A7735"/>
    <w:rsid w:val="000A7799"/>
    <w:rsid w:val="000A77AD"/>
    <w:rsid w:val="000A78C2"/>
    <w:rsid w:val="000A7A76"/>
    <w:rsid w:val="000A7C51"/>
    <w:rsid w:val="000A7E3C"/>
    <w:rsid w:val="000B0381"/>
    <w:rsid w:val="000B04E1"/>
    <w:rsid w:val="000B04FC"/>
    <w:rsid w:val="000B0588"/>
    <w:rsid w:val="000B060D"/>
    <w:rsid w:val="000B06C4"/>
    <w:rsid w:val="000B0994"/>
    <w:rsid w:val="000B0B9B"/>
    <w:rsid w:val="000B11BA"/>
    <w:rsid w:val="000B13A2"/>
    <w:rsid w:val="000B1619"/>
    <w:rsid w:val="000B16F8"/>
    <w:rsid w:val="000B1AEE"/>
    <w:rsid w:val="000B1C6E"/>
    <w:rsid w:val="000B1C93"/>
    <w:rsid w:val="000B1D32"/>
    <w:rsid w:val="000B1D35"/>
    <w:rsid w:val="000B1FD6"/>
    <w:rsid w:val="000B22F5"/>
    <w:rsid w:val="000B2345"/>
    <w:rsid w:val="000B23B7"/>
    <w:rsid w:val="000B23D9"/>
    <w:rsid w:val="000B2798"/>
    <w:rsid w:val="000B27C4"/>
    <w:rsid w:val="000B2860"/>
    <w:rsid w:val="000B2914"/>
    <w:rsid w:val="000B2AA9"/>
    <w:rsid w:val="000B2BAB"/>
    <w:rsid w:val="000B2C36"/>
    <w:rsid w:val="000B2CC2"/>
    <w:rsid w:val="000B322E"/>
    <w:rsid w:val="000B3613"/>
    <w:rsid w:val="000B365B"/>
    <w:rsid w:val="000B382F"/>
    <w:rsid w:val="000B3BF7"/>
    <w:rsid w:val="000B416C"/>
    <w:rsid w:val="000B41FE"/>
    <w:rsid w:val="000B420F"/>
    <w:rsid w:val="000B4216"/>
    <w:rsid w:val="000B43A0"/>
    <w:rsid w:val="000B442A"/>
    <w:rsid w:val="000B4A08"/>
    <w:rsid w:val="000B4C35"/>
    <w:rsid w:val="000B58CD"/>
    <w:rsid w:val="000B59D5"/>
    <w:rsid w:val="000B59F9"/>
    <w:rsid w:val="000B5C0D"/>
    <w:rsid w:val="000B609A"/>
    <w:rsid w:val="000B60A4"/>
    <w:rsid w:val="000B63C1"/>
    <w:rsid w:val="000B63FE"/>
    <w:rsid w:val="000B6501"/>
    <w:rsid w:val="000B659A"/>
    <w:rsid w:val="000B6678"/>
    <w:rsid w:val="000B66CC"/>
    <w:rsid w:val="000B6785"/>
    <w:rsid w:val="000B6795"/>
    <w:rsid w:val="000B67B0"/>
    <w:rsid w:val="000B685F"/>
    <w:rsid w:val="000B68FE"/>
    <w:rsid w:val="000B6A52"/>
    <w:rsid w:val="000B6C39"/>
    <w:rsid w:val="000B6D53"/>
    <w:rsid w:val="000B6EBA"/>
    <w:rsid w:val="000B6F7A"/>
    <w:rsid w:val="000B7069"/>
    <w:rsid w:val="000B70A1"/>
    <w:rsid w:val="000B7655"/>
    <w:rsid w:val="000B79C7"/>
    <w:rsid w:val="000B79CA"/>
    <w:rsid w:val="000B79E7"/>
    <w:rsid w:val="000B7C54"/>
    <w:rsid w:val="000B7CB5"/>
    <w:rsid w:val="000B7D41"/>
    <w:rsid w:val="000B7E4C"/>
    <w:rsid w:val="000C00C3"/>
    <w:rsid w:val="000C00D0"/>
    <w:rsid w:val="000C01B6"/>
    <w:rsid w:val="000C01C8"/>
    <w:rsid w:val="000C01CD"/>
    <w:rsid w:val="000C0216"/>
    <w:rsid w:val="000C025E"/>
    <w:rsid w:val="000C03D0"/>
    <w:rsid w:val="000C05C5"/>
    <w:rsid w:val="000C0A85"/>
    <w:rsid w:val="000C0EAA"/>
    <w:rsid w:val="000C0F31"/>
    <w:rsid w:val="000C1399"/>
    <w:rsid w:val="000C1B4A"/>
    <w:rsid w:val="000C1FDE"/>
    <w:rsid w:val="000C2153"/>
    <w:rsid w:val="000C26E7"/>
    <w:rsid w:val="000C2A79"/>
    <w:rsid w:val="000C2B0B"/>
    <w:rsid w:val="000C2BA2"/>
    <w:rsid w:val="000C2C77"/>
    <w:rsid w:val="000C2E5C"/>
    <w:rsid w:val="000C2F70"/>
    <w:rsid w:val="000C315D"/>
    <w:rsid w:val="000C3340"/>
    <w:rsid w:val="000C3374"/>
    <w:rsid w:val="000C3648"/>
    <w:rsid w:val="000C36A1"/>
    <w:rsid w:val="000C36DE"/>
    <w:rsid w:val="000C39A5"/>
    <w:rsid w:val="000C39DE"/>
    <w:rsid w:val="000C3BDA"/>
    <w:rsid w:val="000C3C98"/>
    <w:rsid w:val="000C3D27"/>
    <w:rsid w:val="000C3D56"/>
    <w:rsid w:val="000C40FE"/>
    <w:rsid w:val="000C4165"/>
    <w:rsid w:val="000C4781"/>
    <w:rsid w:val="000C48FC"/>
    <w:rsid w:val="000C49DC"/>
    <w:rsid w:val="000C4D18"/>
    <w:rsid w:val="000C4E05"/>
    <w:rsid w:val="000C4F46"/>
    <w:rsid w:val="000C4FEB"/>
    <w:rsid w:val="000C54DF"/>
    <w:rsid w:val="000C552C"/>
    <w:rsid w:val="000C5574"/>
    <w:rsid w:val="000C582A"/>
    <w:rsid w:val="000C58E3"/>
    <w:rsid w:val="000C59D2"/>
    <w:rsid w:val="000C5A73"/>
    <w:rsid w:val="000C5A76"/>
    <w:rsid w:val="000C5B81"/>
    <w:rsid w:val="000C5CA8"/>
    <w:rsid w:val="000C5EF0"/>
    <w:rsid w:val="000C5F1D"/>
    <w:rsid w:val="000C5FB5"/>
    <w:rsid w:val="000C6192"/>
    <w:rsid w:val="000C64A2"/>
    <w:rsid w:val="000C6643"/>
    <w:rsid w:val="000C673D"/>
    <w:rsid w:val="000C675E"/>
    <w:rsid w:val="000C67F9"/>
    <w:rsid w:val="000C6D61"/>
    <w:rsid w:val="000C7195"/>
    <w:rsid w:val="000C74C5"/>
    <w:rsid w:val="000C7570"/>
    <w:rsid w:val="000C775B"/>
    <w:rsid w:val="000C79FC"/>
    <w:rsid w:val="000C7A9E"/>
    <w:rsid w:val="000C7BFD"/>
    <w:rsid w:val="000C7E97"/>
    <w:rsid w:val="000D00E4"/>
    <w:rsid w:val="000D0173"/>
    <w:rsid w:val="000D04DC"/>
    <w:rsid w:val="000D06EB"/>
    <w:rsid w:val="000D0783"/>
    <w:rsid w:val="000D07DB"/>
    <w:rsid w:val="000D0913"/>
    <w:rsid w:val="000D098B"/>
    <w:rsid w:val="000D09B6"/>
    <w:rsid w:val="000D0C68"/>
    <w:rsid w:val="000D0D68"/>
    <w:rsid w:val="000D0D99"/>
    <w:rsid w:val="000D1060"/>
    <w:rsid w:val="000D16CB"/>
    <w:rsid w:val="000D198E"/>
    <w:rsid w:val="000D1AC4"/>
    <w:rsid w:val="000D1D16"/>
    <w:rsid w:val="000D1EB1"/>
    <w:rsid w:val="000D1FCA"/>
    <w:rsid w:val="000D246F"/>
    <w:rsid w:val="000D260A"/>
    <w:rsid w:val="000D2687"/>
    <w:rsid w:val="000D27A6"/>
    <w:rsid w:val="000D27D4"/>
    <w:rsid w:val="000D29B5"/>
    <w:rsid w:val="000D2B70"/>
    <w:rsid w:val="000D2D7F"/>
    <w:rsid w:val="000D2D8C"/>
    <w:rsid w:val="000D3271"/>
    <w:rsid w:val="000D3837"/>
    <w:rsid w:val="000D39A5"/>
    <w:rsid w:val="000D3A33"/>
    <w:rsid w:val="000D3C1D"/>
    <w:rsid w:val="000D3CC3"/>
    <w:rsid w:val="000D3FC4"/>
    <w:rsid w:val="000D4119"/>
    <w:rsid w:val="000D420C"/>
    <w:rsid w:val="000D44EF"/>
    <w:rsid w:val="000D4552"/>
    <w:rsid w:val="000D456D"/>
    <w:rsid w:val="000D46D5"/>
    <w:rsid w:val="000D481A"/>
    <w:rsid w:val="000D49AC"/>
    <w:rsid w:val="000D4BE8"/>
    <w:rsid w:val="000D4BF2"/>
    <w:rsid w:val="000D4F73"/>
    <w:rsid w:val="000D5041"/>
    <w:rsid w:val="000D5343"/>
    <w:rsid w:val="000D5852"/>
    <w:rsid w:val="000D58A4"/>
    <w:rsid w:val="000D5DF8"/>
    <w:rsid w:val="000D5FC4"/>
    <w:rsid w:val="000D6312"/>
    <w:rsid w:val="000D63F2"/>
    <w:rsid w:val="000D64C8"/>
    <w:rsid w:val="000D670F"/>
    <w:rsid w:val="000D6A10"/>
    <w:rsid w:val="000D6BA0"/>
    <w:rsid w:val="000D74DA"/>
    <w:rsid w:val="000D7781"/>
    <w:rsid w:val="000D7BE5"/>
    <w:rsid w:val="000D7F66"/>
    <w:rsid w:val="000D7FEF"/>
    <w:rsid w:val="000E01CB"/>
    <w:rsid w:val="000E0244"/>
    <w:rsid w:val="000E04F4"/>
    <w:rsid w:val="000E05F4"/>
    <w:rsid w:val="000E0648"/>
    <w:rsid w:val="000E0698"/>
    <w:rsid w:val="000E07E1"/>
    <w:rsid w:val="000E0987"/>
    <w:rsid w:val="000E09CB"/>
    <w:rsid w:val="000E0A41"/>
    <w:rsid w:val="000E0B6D"/>
    <w:rsid w:val="000E0C4F"/>
    <w:rsid w:val="000E0F8B"/>
    <w:rsid w:val="000E1080"/>
    <w:rsid w:val="000E1172"/>
    <w:rsid w:val="000E11E1"/>
    <w:rsid w:val="000E167E"/>
    <w:rsid w:val="000E17CA"/>
    <w:rsid w:val="000E17FD"/>
    <w:rsid w:val="000E182C"/>
    <w:rsid w:val="000E195E"/>
    <w:rsid w:val="000E1983"/>
    <w:rsid w:val="000E1985"/>
    <w:rsid w:val="000E1CAF"/>
    <w:rsid w:val="000E1CB8"/>
    <w:rsid w:val="000E1EBE"/>
    <w:rsid w:val="000E206D"/>
    <w:rsid w:val="000E2216"/>
    <w:rsid w:val="000E2296"/>
    <w:rsid w:val="000E233F"/>
    <w:rsid w:val="000E2472"/>
    <w:rsid w:val="000E24CF"/>
    <w:rsid w:val="000E25DB"/>
    <w:rsid w:val="000E2634"/>
    <w:rsid w:val="000E291C"/>
    <w:rsid w:val="000E297E"/>
    <w:rsid w:val="000E2B6D"/>
    <w:rsid w:val="000E3288"/>
    <w:rsid w:val="000E348D"/>
    <w:rsid w:val="000E34BD"/>
    <w:rsid w:val="000E350A"/>
    <w:rsid w:val="000E39C3"/>
    <w:rsid w:val="000E3A0D"/>
    <w:rsid w:val="000E3AA3"/>
    <w:rsid w:val="000E3E1A"/>
    <w:rsid w:val="000E3E21"/>
    <w:rsid w:val="000E3E8E"/>
    <w:rsid w:val="000E3EDD"/>
    <w:rsid w:val="000E406F"/>
    <w:rsid w:val="000E40DA"/>
    <w:rsid w:val="000E44CB"/>
    <w:rsid w:val="000E44CD"/>
    <w:rsid w:val="000E468C"/>
    <w:rsid w:val="000E4BBA"/>
    <w:rsid w:val="000E4C53"/>
    <w:rsid w:val="000E4DF5"/>
    <w:rsid w:val="000E4F10"/>
    <w:rsid w:val="000E4FE6"/>
    <w:rsid w:val="000E51BB"/>
    <w:rsid w:val="000E5216"/>
    <w:rsid w:val="000E5308"/>
    <w:rsid w:val="000E531C"/>
    <w:rsid w:val="000E5583"/>
    <w:rsid w:val="000E56BA"/>
    <w:rsid w:val="000E57D9"/>
    <w:rsid w:val="000E5CB1"/>
    <w:rsid w:val="000E5D3D"/>
    <w:rsid w:val="000E5DD7"/>
    <w:rsid w:val="000E5F8B"/>
    <w:rsid w:val="000E6033"/>
    <w:rsid w:val="000E6605"/>
    <w:rsid w:val="000E66E0"/>
    <w:rsid w:val="000E69B8"/>
    <w:rsid w:val="000E6A56"/>
    <w:rsid w:val="000E6AFA"/>
    <w:rsid w:val="000E6C42"/>
    <w:rsid w:val="000E6CD0"/>
    <w:rsid w:val="000E6D46"/>
    <w:rsid w:val="000E6D99"/>
    <w:rsid w:val="000E6E5A"/>
    <w:rsid w:val="000E74F3"/>
    <w:rsid w:val="000E74F8"/>
    <w:rsid w:val="000E7541"/>
    <w:rsid w:val="000E761C"/>
    <w:rsid w:val="000E78A0"/>
    <w:rsid w:val="000E7AA7"/>
    <w:rsid w:val="000E7AFE"/>
    <w:rsid w:val="000E7BF6"/>
    <w:rsid w:val="000E7E75"/>
    <w:rsid w:val="000F010B"/>
    <w:rsid w:val="000F0388"/>
    <w:rsid w:val="000F03BA"/>
    <w:rsid w:val="000F0503"/>
    <w:rsid w:val="000F054D"/>
    <w:rsid w:val="000F07BA"/>
    <w:rsid w:val="000F0A0E"/>
    <w:rsid w:val="000F0A7F"/>
    <w:rsid w:val="000F0B05"/>
    <w:rsid w:val="000F0BB6"/>
    <w:rsid w:val="000F0CD9"/>
    <w:rsid w:val="000F0EA1"/>
    <w:rsid w:val="000F0F3A"/>
    <w:rsid w:val="000F1060"/>
    <w:rsid w:val="000F171A"/>
    <w:rsid w:val="000F192A"/>
    <w:rsid w:val="000F193D"/>
    <w:rsid w:val="000F1B30"/>
    <w:rsid w:val="000F1B7B"/>
    <w:rsid w:val="000F1BC4"/>
    <w:rsid w:val="000F1CA2"/>
    <w:rsid w:val="000F1CFD"/>
    <w:rsid w:val="000F1EDB"/>
    <w:rsid w:val="000F1EE0"/>
    <w:rsid w:val="000F20A4"/>
    <w:rsid w:val="000F224C"/>
    <w:rsid w:val="000F2511"/>
    <w:rsid w:val="000F254F"/>
    <w:rsid w:val="000F2854"/>
    <w:rsid w:val="000F2AD5"/>
    <w:rsid w:val="000F2EB3"/>
    <w:rsid w:val="000F2FE5"/>
    <w:rsid w:val="000F334E"/>
    <w:rsid w:val="000F3421"/>
    <w:rsid w:val="000F355F"/>
    <w:rsid w:val="000F3605"/>
    <w:rsid w:val="000F366F"/>
    <w:rsid w:val="000F371F"/>
    <w:rsid w:val="000F3914"/>
    <w:rsid w:val="000F3A12"/>
    <w:rsid w:val="000F3BC3"/>
    <w:rsid w:val="000F3ED4"/>
    <w:rsid w:val="000F43F2"/>
    <w:rsid w:val="000F441B"/>
    <w:rsid w:val="000F46B3"/>
    <w:rsid w:val="000F46BA"/>
    <w:rsid w:val="000F4743"/>
    <w:rsid w:val="000F4782"/>
    <w:rsid w:val="000F47BE"/>
    <w:rsid w:val="000F4858"/>
    <w:rsid w:val="000F4894"/>
    <w:rsid w:val="000F499B"/>
    <w:rsid w:val="000F4BEC"/>
    <w:rsid w:val="000F4C5D"/>
    <w:rsid w:val="000F4CE7"/>
    <w:rsid w:val="000F4F7A"/>
    <w:rsid w:val="000F518A"/>
    <w:rsid w:val="000F51C4"/>
    <w:rsid w:val="000F527B"/>
    <w:rsid w:val="000F5373"/>
    <w:rsid w:val="000F543B"/>
    <w:rsid w:val="000F5480"/>
    <w:rsid w:val="000F5615"/>
    <w:rsid w:val="000F56D0"/>
    <w:rsid w:val="000F58F8"/>
    <w:rsid w:val="000F59A3"/>
    <w:rsid w:val="000F5E1F"/>
    <w:rsid w:val="000F5E4C"/>
    <w:rsid w:val="000F5EF4"/>
    <w:rsid w:val="000F5FB1"/>
    <w:rsid w:val="000F638A"/>
    <w:rsid w:val="000F6476"/>
    <w:rsid w:val="000F660F"/>
    <w:rsid w:val="000F664A"/>
    <w:rsid w:val="000F67B0"/>
    <w:rsid w:val="000F68A0"/>
    <w:rsid w:val="000F6C71"/>
    <w:rsid w:val="000F6C96"/>
    <w:rsid w:val="000F6DBF"/>
    <w:rsid w:val="000F6E8A"/>
    <w:rsid w:val="000F704B"/>
    <w:rsid w:val="000F713D"/>
    <w:rsid w:val="000F719E"/>
    <w:rsid w:val="000F71AE"/>
    <w:rsid w:val="000F7259"/>
    <w:rsid w:val="000F7517"/>
    <w:rsid w:val="000F7529"/>
    <w:rsid w:val="000F7537"/>
    <w:rsid w:val="000F75BF"/>
    <w:rsid w:val="000F75E8"/>
    <w:rsid w:val="000F7876"/>
    <w:rsid w:val="000F7B42"/>
    <w:rsid w:val="000F7E4E"/>
    <w:rsid w:val="000F7E5D"/>
    <w:rsid w:val="0010023E"/>
    <w:rsid w:val="001002C6"/>
    <w:rsid w:val="001003C4"/>
    <w:rsid w:val="0010058B"/>
    <w:rsid w:val="00100656"/>
    <w:rsid w:val="00100E17"/>
    <w:rsid w:val="001012FA"/>
    <w:rsid w:val="00101342"/>
    <w:rsid w:val="00101588"/>
    <w:rsid w:val="00102131"/>
    <w:rsid w:val="001021FD"/>
    <w:rsid w:val="00102222"/>
    <w:rsid w:val="00102387"/>
    <w:rsid w:val="00102500"/>
    <w:rsid w:val="0010254E"/>
    <w:rsid w:val="00102A29"/>
    <w:rsid w:val="00102BA2"/>
    <w:rsid w:val="00102F63"/>
    <w:rsid w:val="00103055"/>
    <w:rsid w:val="00103341"/>
    <w:rsid w:val="0010335C"/>
    <w:rsid w:val="001034BE"/>
    <w:rsid w:val="001037DA"/>
    <w:rsid w:val="00103872"/>
    <w:rsid w:val="001038C4"/>
    <w:rsid w:val="00103985"/>
    <w:rsid w:val="00103A82"/>
    <w:rsid w:val="00103C68"/>
    <w:rsid w:val="00103D20"/>
    <w:rsid w:val="00103D87"/>
    <w:rsid w:val="00103DA6"/>
    <w:rsid w:val="00103E35"/>
    <w:rsid w:val="00103EE9"/>
    <w:rsid w:val="0010400C"/>
    <w:rsid w:val="001042A4"/>
    <w:rsid w:val="00104689"/>
    <w:rsid w:val="0010490A"/>
    <w:rsid w:val="001049B7"/>
    <w:rsid w:val="00104B07"/>
    <w:rsid w:val="00104EDC"/>
    <w:rsid w:val="00105355"/>
    <w:rsid w:val="0010566D"/>
    <w:rsid w:val="001056DE"/>
    <w:rsid w:val="00105933"/>
    <w:rsid w:val="001059F7"/>
    <w:rsid w:val="00105E30"/>
    <w:rsid w:val="00105ED9"/>
    <w:rsid w:val="00105EE0"/>
    <w:rsid w:val="0010622F"/>
    <w:rsid w:val="00106380"/>
    <w:rsid w:val="0010671A"/>
    <w:rsid w:val="001067F7"/>
    <w:rsid w:val="001068AC"/>
    <w:rsid w:val="001068BA"/>
    <w:rsid w:val="001069AC"/>
    <w:rsid w:val="001069D0"/>
    <w:rsid w:val="00106A84"/>
    <w:rsid w:val="00106C00"/>
    <w:rsid w:val="00106CCB"/>
    <w:rsid w:val="00106E81"/>
    <w:rsid w:val="0010711E"/>
    <w:rsid w:val="00107155"/>
    <w:rsid w:val="001072BB"/>
    <w:rsid w:val="00107769"/>
    <w:rsid w:val="001078E0"/>
    <w:rsid w:val="00107C85"/>
    <w:rsid w:val="00107C8C"/>
    <w:rsid w:val="00107D04"/>
    <w:rsid w:val="00107D0C"/>
    <w:rsid w:val="00107D33"/>
    <w:rsid w:val="00107ECE"/>
    <w:rsid w:val="001101D4"/>
    <w:rsid w:val="00110236"/>
    <w:rsid w:val="0011029D"/>
    <w:rsid w:val="00110631"/>
    <w:rsid w:val="00110795"/>
    <w:rsid w:val="00110959"/>
    <w:rsid w:val="00110B90"/>
    <w:rsid w:val="00110DED"/>
    <w:rsid w:val="00110EAB"/>
    <w:rsid w:val="00111252"/>
    <w:rsid w:val="00111293"/>
    <w:rsid w:val="0011137E"/>
    <w:rsid w:val="00111683"/>
    <w:rsid w:val="0011188E"/>
    <w:rsid w:val="001118C6"/>
    <w:rsid w:val="001119A3"/>
    <w:rsid w:val="00111A57"/>
    <w:rsid w:val="00111BB5"/>
    <w:rsid w:val="00111CB9"/>
    <w:rsid w:val="00111DA0"/>
    <w:rsid w:val="00111E09"/>
    <w:rsid w:val="00111EE4"/>
    <w:rsid w:val="0011216D"/>
    <w:rsid w:val="00112368"/>
    <w:rsid w:val="00112486"/>
    <w:rsid w:val="00112775"/>
    <w:rsid w:val="00112880"/>
    <w:rsid w:val="00112A4F"/>
    <w:rsid w:val="00112AAE"/>
    <w:rsid w:val="00112ABB"/>
    <w:rsid w:val="00112DE8"/>
    <w:rsid w:val="00112DFF"/>
    <w:rsid w:val="00113291"/>
    <w:rsid w:val="0011342B"/>
    <w:rsid w:val="001136A2"/>
    <w:rsid w:val="0011381D"/>
    <w:rsid w:val="001138D8"/>
    <w:rsid w:val="00113A17"/>
    <w:rsid w:val="00113A33"/>
    <w:rsid w:val="00113B03"/>
    <w:rsid w:val="00113D66"/>
    <w:rsid w:val="00113E6A"/>
    <w:rsid w:val="001146C6"/>
    <w:rsid w:val="001147A2"/>
    <w:rsid w:val="00114C63"/>
    <w:rsid w:val="00114D9A"/>
    <w:rsid w:val="00114E7B"/>
    <w:rsid w:val="00115076"/>
    <w:rsid w:val="00115420"/>
    <w:rsid w:val="0011564E"/>
    <w:rsid w:val="00115954"/>
    <w:rsid w:val="00115ACF"/>
    <w:rsid w:val="00115D62"/>
    <w:rsid w:val="0011650F"/>
    <w:rsid w:val="00116936"/>
    <w:rsid w:val="00116A05"/>
    <w:rsid w:val="00116A36"/>
    <w:rsid w:val="00116AB7"/>
    <w:rsid w:val="00116C6E"/>
    <w:rsid w:val="00116E50"/>
    <w:rsid w:val="00116EF7"/>
    <w:rsid w:val="00117341"/>
    <w:rsid w:val="00117458"/>
    <w:rsid w:val="00117603"/>
    <w:rsid w:val="001179DD"/>
    <w:rsid w:val="00117AC9"/>
    <w:rsid w:val="00117C5F"/>
    <w:rsid w:val="001201A5"/>
    <w:rsid w:val="0012040A"/>
    <w:rsid w:val="001205CB"/>
    <w:rsid w:val="0012084D"/>
    <w:rsid w:val="0012098B"/>
    <w:rsid w:val="00120A9B"/>
    <w:rsid w:val="00120BB6"/>
    <w:rsid w:val="00120C2E"/>
    <w:rsid w:val="00120E7F"/>
    <w:rsid w:val="00120EE7"/>
    <w:rsid w:val="00120F4D"/>
    <w:rsid w:val="00120F79"/>
    <w:rsid w:val="00121057"/>
    <w:rsid w:val="001212BB"/>
    <w:rsid w:val="001214B8"/>
    <w:rsid w:val="00121685"/>
    <w:rsid w:val="001216A0"/>
    <w:rsid w:val="00121AC2"/>
    <w:rsid w:val="00121B25"/>
    <w:rsid w:val="00121B7E"/>
    <w:rsid w:val="00121CEF"/>
    <w:rsid w:val="00121E3C"/>
    <w:rsid w:val="00121E87"/>
    <w:rsid w:val="00121EA8"/>
    <w:rsid w:val="00122019"/>
    <w:rsid w:val="00122022"/>
    <w:rsid w:val="001220D8"/>
    <w:rsid w:val="00122397"/>
    <w:rsid w:val="001223E1"/>
    <w:rsid w:val="0012246C"/>
    <w:rsid w:val="00122F54"/>
    <w:rsid w:val="0012303C"/>
    <w:rsid w:val="00123160"/>
    <w:rsid w:val="00123188"/>
    <w:rsid w:val="00123301"/>
    <w:rsid w:val="00123452"/>
    <w:rsid w:val="0012382B"/>
    <w:rsid w:val="00123872"/>
    <w:rsid w:val="0012387A"/>
    <w:rsid w:val="001239DB"/>
    <w:rsid w:val="00123A8A"/>
    <w:rsid w:val="00123BC7"/>
    <w:rsid w:val="00123CAF"/>
    <w:rsid w:val="00123DA5"/>
    <w:rsid w:val="00124087"/>
    <w:rsid w:val="001241A6"/>
    <w:rsid w:val="00124590"/>
    <w:rsid w:val="0012476D"/>
    <w:rsid w:val="00124793"/>
    <w:rsid w:val="001247D4"/>
    <w:rsid w:val="001248B2"/>
    <w:rsid w:val="001249ED"/>
    <w:rsid w:val="00124DE2"/>
    <w:rsid w:val="00125037"/>
    <w:rsid w:val="00125109"/>
    <w:rsid w:val="0012518E"/>
    <w:rsid w:val="001251A2"/>
    <w:rsid w:val="001251C4"/>
    <w:rsid w:val="00125494"/>
    <w:rsid w:val="001254B9"/>
    <w:rsid w:val="00125A4E"/>
    <w:rsid w:val="00125A7C"/>
    <w:rsid w:val="00125AAC"/>
    <w:rsid w:val="00125ACE"/>
    <w:rsid w:val="00125C44"/>
    <w:rsid w:val="00125F58"/>
    <w:rsid w:val="00125F91"/>
    <w:rsid w:val="00126074"/>
    <w:rsid w:val="00126511"/>
    <w:rsid w:val="001265C6"/>
    <w:rsid w:val="001266AE"/>
    <w:rsid w:val="00126D61"/>
    <w:rsid w:val="00126D69"/>
    <w:rsid w:val="00126D8A"/>
    <w:rsid w:val="00126E81"/>
    <w:rsid w:val="00126F81"/>
    <w:rsid w:val="0012722F"/>
    <w:rsid w:val="00127AB8"/>
    <w:rsid w:val="00127E24"/>
    <w:rsid w:val="00127EB5"/>
    <w:rsid w:val="00127F2F"/>
    <w:rsid w:val="0013021C"/>
    <w:rsid w:val="001302FE"/>
    <w:rsid w:val="001303F5"/>
    <w:rsid w:val="0013085D"/>
    <w:rsid w:val="0013086E"/>
    <w:rsid w:val="00130A3F"/>
    <w:rsid w:val="00130BEC"/>
    <w:rsid w:val="00130DC3"/>
    <w:rsid w:val="00130ECC"/>
    <w:rsid w:val="00131192"/>
    <w:rsid w:val="00131337"/>
    <w:rsid w:val="001314D2"/>
    <w:rsid w:val="00131580"/>
    <w:rsid w:val="001318E0"/>
    <w:rsid w:val="001318E6"/>
    <w:rsid w:val="00131939"/>
    <w:rsid w:val="00131960"/>
    <w:rsid w:val="00131A1C"/>
    <w:rsid w:val="00131A92"/>
    <w:rsid w:val="00131D97"/>
    <w:rsid w:val="00131F0C"/>
    <w:rsid w:val="0013203D"/>
    <w:rsid w:val="0013206F"/>
    <w:rsid w:val="001322E3"/>
    <w:rsid w:val="00132384"/>
    <w:rsid w:val="001323E9"/>
    <w:rsid w:val="001327A4"/>
    <w:rsid w:val="00132904"/>
    <w:rsid w:val="00132A55"/>
    <w:rsid w:val="00132AF3"/>
    <w:rsid w:val="00132E7A"/>
    <w:rsid w:val="00132FEA"/>
    <w:rsid w:val="001330BD"/>
    <w:rsid w:val="001330DC"/>
    <w:rsid w:val="00133421"/>
    <w:rsid w:val="0013342E"/>
    <w:rsid w:val="00133646"/>
    <w:rsid w:val="00133689"/>
    <w:rsid w:val="001336DE"/>
    <w:rsid w:val="00133872"/>
    <w:rsid w:val="00133A8F"/>
    <w:rsid w:val="00133B58"/>
    <w:rsid w:val="00133FAA"/>
    <w:rsid w:val="001341AC"/>
    <w:rsid w:val="0013444E"/>
    <w:rsid w:val="001345E5"/>
    <w:rsid w:val="00134675"/>
    <w:rsid w:val="00134B7E"/>
    <w:rsid w:val="00134BE0"/>
    <w:rsid w:val="00134CC6"/>
    <w:rsid w:val="00134F28"/>
    <w:rsid w:val="00134F85"/>
    <w:rsid w:val="00135464"/>
    <w:rsid w:val="00135650"/>
    <w:rsid w:val="0013566A"/>
    <w:rsid w:val="00135703"/>
    <w:rsid w:val="00135C20"/>
    <w:rsid w:val="00135DA0"/>
    <w:rsid w:val="001360E2"/>
    <w:rsid w:val="0013612C"/>
    <w:rsid w:val="001361C8"/>
    <w:rsid w:val="001362AD"/>
    <w:rsid w:val="0013636A"/>
    <w:rsid w:val="00136B84"/>
    <w:rsid w:val="00136CE9"/>
    <w:rsid w:val="00136D61"/>
    <w:rsid w:val="00136DAC"/>
    <w:rsid w:val="00136DF0"/>
    <w:rsid w:val="001370AD"/>
    <w:rsid w:val="00137634"/>
    <w:rsid w:val="00137CE9"/>
    <w:rsid w:val="00137E4B"/>
    <w:rsid w:val="00137F6B"/>
    <w:rsid w:val="00140216"/>
    <w:rsid w:val="0014027C"/>
    <w:rsid w:val="001404FC"/>
    <w:rsid w:val="0014053D"/>
    <w:rsid w:val="00140580"/>
    <w:rsid w:val="001406F4"/>
    <w:rsid w:val="00140792"/>
    <w:rsid w:val="00140887"/>
    <w:rsid w:val="001408C5"/>
    <w:rsid w:val="00140978"/>
    <w:rsid w:val="00140A0D"/>
    <w:rsid w:val="00140B78"/>
    <w:rsid w:val="00140C69"/>
    <w:rsid w:val="00140E33"/>
    <w:rsid w:val="00140EFB"/>
    <w:rsid w:val="00141106"/>
    <w:rsid w:val="00141197"/>
    <w:rsid w:val="001412E5"/>
    <w:rsid w:val="00141416"/>
    <w:rsid w:val="00141546"/>
    <w:rsid w:val="00141636"/>
    <w:rsid w:val="00141852"/>
    <w:rsid w:val="00141B97"/>
    <w:rsid w:val="00141D73"/>
    <w:rsid w:val="00141FE8"/>
    <w:rsid w:val="0014205D"/>
    <w:rsid w:val="0014274A"/>
    <w:rsid w:val="001427A1"/>
    <w:rsid w:val="00142984"/>
    <w:rsid w:val="00142A5D"/>
    <w:rsid w:val="00142AF1"/>
    <w:rsid w:val="00142B47"/>
    <w:rsid w:val="00142E3A"/>
    <w:rsid w:val="00142EA2"/>
    <w:rsid w:val="00142F83"/>
    <w:rsid w:val="001430EE"/>
    <w:rsid w:val="00143517"/>
    <w:rsid w:val="001436D7"/>
    <w:rsid w:val="00143824"/>
    <w:rsid w:val="0014396D"/>
    <w:rsid w:val="00143AD9"/>
    <w:rsid w:val="00143B2D"/>
    <w:rsid w:val="00143D54"/>
    <w:rsid w:val="00143E54"/>
    <w:rsid w:val="0014401B"/>
    <w:rsid w:val="001441D8"/>
    <w:rsid w:val="0014423C"/>
    <w:rsid w:val="00144885"/>
    <w:rsid w:val="001448AC"/>
    <w:rsid w:val="00144A71"/>
    <w:rsid w:val="00144B0C"/>
    <w:rsid w:val="00144DD4"/>
    <w:rsid w:val="00144ED5"/>
    <w:rsid w:val="00144FBE"/>
    <w:rsid w:val="00145090"/>
    <w:rsid w:val="00145313"/>
    <w:rsid w:val="00145318"/>
    <w:rsid w:val="00145433"/>
    <w:rsid w:val="001454A8"/>
    <w:rsid w:val="001455C0"/>
    <w:rsid w:val="001457C5"/>
    <w:rsid w:val="00145963"/>
    <w:rsid w:val="00145B43"/>
    <w:rsid w:val="00145B68"/>
    <w:rsid w:val="00145EA1"/>
    <w:rsid w:val="00145EBC"/>
    <w:rsid w:val="00145EDB"/>
    <w:rsid w:val="00145F10"/>
    <w:rsid w:val="001460B4"/>
    <w:rsid w:val="0014611D"/>
    <w:rsid w:val="00146466"/>
    <w:rsid w:val="001464F7"/>
    <w:rsid w:val="0014656F"/>
    <w:rsid w:val="00146675"/>
    <w:rsid w:val="001467E0"/>
    <w:rsid w:val="001468F0"/>
    <w:rsid w:val="00146B50"/>
    <w:rsid w:val="00146CA6"/>
    <w:rsid w:val="00146D53"/>
    <w:rsid w:val="00146D76"/>
    <w:rsid w:val="00147093"/>
    <w:rsid w:val="001470D2"/>
    <w:rsid w:val="001477BA"/>
    <w:rsid w:val="001479B9"/>
    <w:rsid w:val="00147B7C"/>
    <w:rsid w:val="00147D47"/>
    <w:rsid w:val="00150025"/>
    <w:rsid w:val="001501B2"/>
    <w:rsid w:val="0015021C"/>
    <w:rsid w:val="001505FF"/>
    <w:rsid w:val="0015066F"/>
    <w:rsid w:val="00150684"/>
    <w:rsid w:val="00150862"/>
    <w:rsid w:val="001508AB"/>
    <w:rsid w:val="00150929"/>
    <w:rsid w:val="00150B08"/>
    <w:rsid w:val="00150BFF"/>
    <w:rsid w:val="00150D8B"/>
    <w:rsid w:val="00150EA4"/>
    <w:rsid w:val="00151084"/>
    <w:rsid w:val="0015112F"/>
    <w:rsid w:val="001511D9"/>
    <w:rsid w:val="001512C3"/>
    <w:rsid w:val="00151462"/>
    <w:rsid w:val="00151700"/>
    <w:rsid w:val="00151706"/>
    <w:rsid w:val="0015175E"/>
    <w:rsid w:val="00151841"/>
    <w:rsid w:val="00151B3E"/>
    <w:rsid w:val="00151B4F"/>
    <w:rsid w:val="00151B53"/>
    <w:rsid w:val="00151D7D"/>
    <w:rsid w:val="00151E8D"/>
    <w:rsid w:val="00151FA5"/>
    <w:rsid w:val="001520DC"/>
    <w:rsid w:val="0015222B"/>
    <w:rsid w:val="00152236"/>
    <w:rsid w:val="001522DA"/>
    <w:rsid w:val="001525E2"/>
    <w:rsid w:val="001529A3"/>
    <w:rsid w:val="00152B46"/>
    <w:rsid w:val="00152D7C"/>
    <w:rsid w:val="00152DBB"/>
    <w:rsid w:val="00152EA2"/>
    <w:rsid w:val="00152FDF"/>
    <w:rsid w:val="0015308F"/>
    <w:rsid w:val="001530A3"/>
    <w:rsid w:val="0015310B"/>
    <w:rsid w:val="00153295"/>
    <w:rsid w:val="0015346B"/>
    <w:rsid w:val="001536C7"/>
    <w:rsid w:val="0015375D"/>
    <w:rsid w:val="00153925"/>
    <w:rsid w:val="00153B6B"/>
    <w:rsid w:val="00153D3A"/>
    <w:rsid w:val="00153EF0"/>
    <w:rsid w:val="001540B8"/>
    <w:rsid w:val="001542FE"/>
    <w:rsid w:val="00154586"/>
    <w:rsid w:val="00154B71"/>
    <w:rsid w:val="00154C03"/>
    <w:rsid w:val="00154C05"/>
    <w:rsid w:val="00154F58"/>
    <w:rsid w:val="00155121"/>
    <w:rsid w:val="001551B7"/>
    <w:rsid w:val="00155394"/>
    <w:rsid w:val="00155552"/>
    <w:rsid w:val="001558DA"/>
    <w:rsid w:val="00155A58"/>
    <w:rsid w:val="00155CA6"/>
    <w:rsid w:val="00155EB9"/>
    <w:rsid w:val="00155EF1"/>
    <w:rsid w:val="00156491"/>
    <w:rsid w:val="001564B4"/>
    <w:rsid w:val="00156580"/>
    <w:rsid w:val="0015665B"/>
    <w:rsid w:val="00156926"/>
    <w:rsid w:val="00156BD5"/>
    <w:rsid w:val="00156FF1"/>
    <w:rsid w:val="00156FFE"/>
    <w:rsid w:val="00157021"/>
    <w:rsid w:val="001572EB"/>
    <w:rsid w:val="0015743A"/>
    <w:rsid w:val="001577E7"/>
    <w:rsid w:val="00157DE8"/>
    <w:rsid w:val="00157EC6"/>
    <w:rsid w:val="0016003A"/>
    <w:rsid w:val="0016025D"/>
    <w:rsid w:val="0016027A"/>
    <w:rsid w:val="001603BF"/>
    <w:rsid w:val="00160889"/>
    <w:rsid w:val="001610A8"/>
    <w:rsid w:val="00161152"/>
    <w:rsid w:val="0016121E"/>
    <w:rsid w:val="0016172A"/>
    <w:rsid w:val="00161837"/>
    <w:rsid w:val="00161850"/>
    <w:rsid w:val="00161A4F"/>
    <w:rsid w:val="00161ACC"/>
    <w:rsid w:val="00162283"/>
    <w:rsid w:val="0016235F"/>
    <w:rsid w:val="0016259B"/>
    <w:rsid w:val="00162699"/>
    <w:rsid w:val="001627C6"/>
    <w:rsid w:val="00162D5B"/>
    <w:rsid w:val="00162FCB"/>
    <w:rsid w:val="00163084"/>
    <w:rsid w:val="001630B6"/>
    <w:rsid w:val="00163303"/>
    <w:rsid w:val="00163418"/>
    <w:rsid w:val="00163673"/>
    <w:rsid w:val="0016386E"/>
    <w:rsid w:val="00163902"/>
    <w:rsid w:val="00163AFF"/>
    <w:rsid w:val="00163B08"/>
    <w:rsid w:val="00163E71"/>
    <w:rsid w:val="00163EF7"/>
    <w:rsid w:val="00163F85"/>
    <w:rsid w:val="00164290"/>
    <w:rsid w:val="001643B8"/>
    <w:rsid w:val="00164488"/>
    <w:rsid w:val="001644AA"/>
    <w:rsid w:val="00164651"/>
    <w:rsid w:val="00164655"/>
    <w:rsid w:val="001646A8"/>
    <w:rsid w:val="00164C9E"/>
    <w:rsid w:val="00164E3C"/>
    <w:rsid w:val="00164E70"/>
    <w:rsid w:val="00164EB9"/>
    <w:rsid w:val="00165A01"/>
    <w:rsid w:val="00165A5E"/>
    <w:rsid w:val="00165AA1"/>
    <w:rsid w:val="00166038"/>
    <w:rsid w:val="0016640C"/>
    <w:rsid w:val="0016659E"/>
    <w:rsid w:val="001666AB"/>
    <w:rsid w:val="00166B67"/>
    <w:rsid w:val="00166BA4"/>
    <w:rsid w:val="00166BE1"/>
    <w:rsid w:val="00166D31"/>
    <w:rsid w:val="00167174"/>
    <w:rsid w:val="001671C0"/>
    <w:rsid w:val="001675A4"/>
    <w:rsid w:val="001677D3"/>
    <w:rsid w:val="00167B75"/>
    <w:rsid w:val="00167D4D"/>
    <w:rsid w:val="00167EC5"/>
    <w:rsid w:val="0017002F"/>
    <w:rsid w:val="00170167"/>
    <w:rsid w:val="001702CA"/>
    <w:rsid w:val="001704F7"/>
    <w:rsid w:val="00170665"/>
    <w:rsid w:val="0017090A"/>
    <w:rsid w:val="00170A29"/>
    <w:rsid w:val="00170BA5"/>
    <w:rsid w:val="00170C5C"/>
    <w:rsid w:val="00170D64"/>
    <w:rsid w:val="00170EAB"/>
    <w:rsid w:val="00170EE4"/>
    <w:rsid w:val="00170F79"/>
    <w:rsid w:val="00171166"/>
    <w:rsid w:val="00171236"/>
    <w:rsid w:val="001714E1"/>
    <w:rsid w:val="0017196D"/>
    <w:rsid w:val="00171E0C"/>
    <w:rsid w:val="00171E58"/>
    <w:rsid w:val="001722A0"/>
    <w:rsid w:val="0017250E"/>
    <w:rsid w:val="0017257F"/>
    <w:rsid w:val="00172890"/>
    <w:rsid w:val="001729CA"/>
    <w:rsid w:val="00172B1B"/>
    <w:rsid w:val="00172C9F"/>
    <w:rsid w:val="00172D1E"/>
    <w:rsid w:val="00172D2C"/>
    <w:rsid w:val="0017306B"/>
    <w:rsid w:val="00173236"/>
    <w:rsid w:val="001732B1"/>
    <w:rsid w:val="0017345D"/>
    <w:rsid w:val="00173629"/>
    <w:rsid w:val="0017366F"/>
    <w:rsid w:val="001736A5"/>
    <w:rsid w:val="001737D6"/>
    <w:rsid w:val="00173AD8"/>
    <w:rsid w:val="00173E17"/>
    <w:rsid w:val="001741FB"/>
    <w:rsid w:val="001746C9"/>
    <w:rsid w:val="00174750"/>
    <w:rsid w:val="001748BC"/>
    <w:rsid w:val="0017494D"/>
    <w:rsid w:val="00174A51"/>
    <w:rsid w:val="00174CF8"/>
    <w:rsid w:val="00174EDF"/>
    <w:rsid w:val="00174F08"/>
    <w:rsid w:val="00174F47"/>
    <w:rsid w:val="0017508E"/>
    <w:rsid w:val="00175105"/>
    <w:rsid w:val="0017541C"/>
    <w:rsid w:val="001754F6"/>
    <w:rsid w:val="001755B4"/>
    <w:rsid w:val="00175613"/>
    <w:rsid w:val="00175666"/>
    <w:rsid w:val="001759FD"/>
    <w:rsid w:val="00175A2A"/>
    <w:rsid w:val="00175B10"/>
    <w:rsid w:val="00175BF6"/>
    <w:rsid w:val="00175D00"/>
    <w:rsid w:val="00175DF8"/>
    <w:rsid w:val="00175ED7"/>
    <w:rsid w:val="00175EEF"/>
    <w:rsid w:val="00176044"/>
    <w:rsid w:val="001762CC"/>
    <w:rsid w:val="00176518"/>
    <w:rsid w:val="00176615"/>
    <w:rsid w:val="00176854"/>
    <w:rsid w:val="00176903"/>
    <w:rsid w:val="001769BA"/>
    <w:rsid w:val="00176AAF"/>
    <w:rsid w:val="00176D3B"/>
    <w:rsid w:val="00176E06"/>
    <w:rsid w:val="00176FB3"/>
    <w:rsid w:val="0017741F"/>
    <w:rsid w:val="001774AF"/>
    <w:rsid w:val="001775F0"/>
    <w:rsid w:val="0017771C"/>
    <w:rsid w:val="00177743"/>
    <w:rsid w:val="00177905"/>
    <w:rsid w:val="001779DB"/>
    <w:rsid w:val="00177E22"/>
    <w:rsid w:val="00177ECC"/>
    <w:rsid w:val="00180088"/>
    <w:rsid w:val="00180162"/>
    <w:rsid w:val="0018068C"/>
    <w:rsid w:val="001806F3"/>
    <w:rsid w:val="001808A7"/>
    <w:rsid w:val="001808AE"/>
    <w:rsid w:val="00180B2D"/>
    <w:rsid w:val="00180ED1"/>
    <w:rsid w:val="00180FF0"/>
    <w:rsid w:val="00181289"/>
    <w:rsid w:val="0018135F"/>
    <w:rsid w:val="00181950"/>
    <w:rsid w:val="00181CB4"/>
    <w:rsid w:val="00181CDE"/>
    <w:rsid w:val="00181E09"/>
    <w:rsid w:val="00181F77"/>
    <w:rsid w:val="00181F8E"/>
    <w:rsid w:val="001823E5"/>
    <w:rsid w:val="0018266D"/>
    <w:rsid w:val="001827EB"/>
    <w:rsid w:val="0018289D"/>
    <w:rsid w:val="00182911"/>
    <w:rsid w:val="00182B06"/>
    <w:rsid w:val="00182C00"/>
    <w:rsid w:val="00182DD8"/>
    <w:rsid w:val="00182FB0"/>
    <w:rsid w:val="00182FEF"/>
    <w:rsid w:val="00183063"/>
    <w:rsid w:val="00183179"/>
    <w:rsid w:val="00183254"/>
    <w:rsid w:val="001832EB"/>
    <w:rsid w:val="00183383"/>
    <w:rsid w:val="0018342C"/>
    <w:rsid w:val="00183A0E"/>
    <w:rsid w:val="00183AAB"/>
    <w:rsid w:val="00183B0F"/>
    <w:rsid w:val="00183B18"/>
    <w:rsid w:val="00183B26"/>
    <w:rsid w:val="00183C3B"/>
    <w:rsid w:val="00183CF4"/>
    <w:rsid w:val="00183E3F"/>
    <w:rsid w:val="00183F62"/>
    <w:rsid w:val="00184057"/>
    <w:rsid w:val="0018430D"/>
    <w:rsid w:val="00184391"/>
    <w:rsid w:val="0018443E"/>
    <w:rsid w:val="00184483"/>
    <w:rsid w:val="00184552"/>
    <w:rsid w:val="00184877"/>
    <w:rsid w:val="00184E18"/>
    <w:rsid w:val="001850AB"/>
    <w:rsid w:val="00185369"/>
    <w:rsid w:val="0018546A"/>
    <w:rsid w:val="00185678"/>
    <w:rsid w:val="00185936"/>
    <w:rsid w:val="00185AFB"/>
    <w:rsid w:val="00185B64"/>
    <w:rsid w:val="00185B6A"/>
    <w:rsid w:val="00185C9E"/>
    <w:rsid w:val="00185D5E"/>
    <w:rsid w:val="00186233"/>
    <w:rsid w:val="00186294"/>
    <w:rsid w:val="001864C4"/>
    <w:rsid w:val="001867AB"/>
    <w:rsid w:val="00186B3D"/>
    <w:rsid w:val="00186B45"/>
    <w:rsid w:val="00186B4E"/>
    <w:rsid w:val="00186C00"/>
    <w:rsid w:val="00186D49"/>
    <w:rsid w:val="00186E57"/>
    <w:rsid w:val="001870BE"/>
    <w:rsid w:val="001870EA"/>
    <w:rsid w:val="0018711F"/>
    <w:rsid w:val="0018720F"/>
    <w:rsid w:val="00187344"/>
    <w:rsid w:val="00187418"/>
    <w:rsid w:val="00187966"/>
    <w:rsid w:val="00187AB9"/>
    <w:rsid w:val="00187AC0"/>
    <w:rsid w:val="00187BD7"/>
    <w:rsid w:val="00187D80"/>
    <w:rsid w:val="00190168"/>
    <w:rsid w:val="001902B1"/>
    <w:rsid w:val="001907B2"/>
    <w:rsid w:val="001908A0"/>
    <w:rsid w:val="001909A7"/>
    <w:rsid w:val="00190AE0"/>
    <w:rsid w:val="00190E5E"/>
    <w:rsid w:val="00190EA9"/>
    <w:rsid w:val="001910F0"/>
    <w:rsid w:val="001912F9"/>
    <w:rsid w:val="001917A5"/>
    <w:rsid w:val="00191884"/>
    <w:rsid w:val="00191915"/>
    <w:rsid w:val="0019198A"/>
    <w:rsid w:val="001919D3"/>
    <w:rsid w:val="00191C4F"/>
    <w:rsid w:val="00191D31"/>
    <w:rsid w:val="00191EFF"/>
    <w:rsid w:val="00191FA3"/>
    <w:rsid w:val="001921AF"/>
    <w:rsid w:val="001922D6"/>
    <w:rsid w:val="0019239D"/>
    <w:rsid w:val="00192504"/>
    <w:rsid w:val="001925B3"/>
    <w:rsid w:val="00192676"/>
    <w:rsid w:val="00192805"/>
    <w:rsid w:val="0019282B"/>
    <w:rsid w:val="00192A47"/>
    <w:rsid w:val="00192E3A"/>
    <w:rsid w:val="001934C7"/>
    <w:rsid w:val="00193772"/>
    <w:rsid w:val="001937DE"/>
    <w:rsid w:val="00193979"/>
    <w:rsid w:val="001939AB"/>
    <w:rsid w:val="00193C42"/>
    <w:rsid w:val="00193CE4"/>
    <w:rsid w:val="00193EEB"/>
    <w:rsid w:val="00193FAD"/>
    <w:rsid w:val="0019401A"/>
    <w:rsid w:val="00194124"/>
    <w:rsid w:val="001943E9"/>
    <w:rsid w:val="0019456F"/>
    <w:rsid w:val="00194613"/>
    <w:rsid w:val="00194669"/>
    <w:rsid w:val="00194A5A"/>
    <w:rsid w:val="00194FE8"/>
    <w:rsid w:val="001950E1"/>
    <w:rsid w:val="0019528F"/>
    <w:rsid w:val="001955D7"/>
    <w:rsid w:val="00195618"/>
    <w:rsid w:val="0019593E"/>
    <w:rsid w:val="00195ABF"/>
    <w:rsid w:val="00195C80"/>
    <w:rsid w:val="00195FED"/>
    <w:rsid w:val="00196004"/>
    <w:rsid w:val="001960E3"/>
    <w:rsid w:val="001965BB"/>
    <w:rsid w:val="001965DC"/>
    <w:rsid w:val="001965F0"/>
    <w:rsid w:val="00196821"/>
    <w:rsid w:val="001968B0"/>
    <w:rsid w:val="0019693A"/>
    <w:rsid w:val="00196CC8"/>
    <w:rsid w:val="00196D6A"/>
    <w:rsid w:val="00196ECC"/>
    <w:rsid w:val="00196F91"/>
    <w:rsid w:val="0019701D"/>
    <w:rsid w:val="001971C5"/>
    <w:rsid w:val="00197380"/>
    <w:rsid w:val="001976C6"/>
    <w:rsid w:val="001977F6"/>
    <w:rsid w:val="001977FD"/>
    <w:rsid w:val="001A0189"/>
    <w:rsid w:val="001A0A8A"/>
    <w:rsid w:val="001A0E82"/>
    <w:rsid w:val="001A1110"/>
    <w:rsid w:val="001A1144"/>
    <w:rsid w:val="001A13CF"/>
    <w:rsid w:val="001A1468"/>
    <w:rsid w:val="001A1807"/>
    <w:rsid w:val="001A1A84"/>
    <w:rsid w:val="001A1E77"/>
    <w:rsid w:val="001A2013"/>
    <w:rsid w:val="001A2049"/>
    <w:rsid w:val="001A21C7"/>
    <w:rsid w:val="001A22AA"/>
    <w:rsid w:val="001A24F1"/>
    <w:rsid w:val="001A2558"/>
    <w:rsid w:val="001A25C9"/>
    <w:rsid w:val="001A2929"/>
    <w:rsid w:val="001A29FD"/>
    <w:rsid w:val="001A2F3F"/>
    <w:rsid w:val="001A2F73"/>
    <w:rsid w:val="001A3218"/>
    <w:rsid w:val="001A3224"/>
    <w:rsid w:val="001A34B2"/>
    <w:rsid w:val="001A34C5"/>
    <w:rsid w:val="001A374D"/>
    <w:rsid w:val="001A3972"/>
    <w:rsid w:val="001A3B31"/>
    <w:rsid w:val="001A3B58"/>
    <w:rsid w:val="001A3B6A"/>
    <w:rsid w:val="001A3C44"/>
    <w:rsid w:val="001A3C4F"/>
    <w:rsid w:val="001A3DED"/>
    <w:rsid w:val="001A3F26"/>
    <w:rsid w:val="001A3F67"/>
    <w:rsid w:val="001A4006"/>
    <w:rsid w:val="001A401D"/>
    <w:rsid w:val="001A41C7"/>
    <w:rsid w:val="001A443D"/>
    <w:rsid w:val="001A4506"/>
    <w:rsid w:val="001A45DF"/>
    <w:rsid w:val="001A469D"/>
    <w:rsid w:val="001A478C"/>
    <w:rsid w:val="001A4851"/>
    <w:rsid w:val="001A4895"/>
    <w:rsid w:val="001A4B56"/>
    <w:rsid w:val="001A4C47"/>
    <w:rsid w:val="001A4E47"/>
    <w:rsid w:val="001A5073"/>
    <w:rsid w:val="001A5085"/>
    <w:rsid w:val="001A50F4"/>
    <w:rsid w:val="001A534B"/>
    <w:rsid w:val="001A53B3"/>
    <w:rsid w:val="001A580D"/>
    <w:rsid w:val="001A5A76"/>
    <w:rsid w:val="001A619D"/>
    <w:rsid w:val="001A628D"/>
    <w:rsid w:val="001A64B5"/>
    <w:rsid w:val="001A64E0"/>
    <w:rsid w:val="001A654E"/>
    <w:rsid w:val="001A661C"/>
    <w:rsid w:val="001A66E1"/>
    <w:rsid w:val="001A67A6"/>
    <w:rsid w:val="001A688B"/>
    <w:rsid w:val="001A68A3"/>
    <w:rsid w:val="001A6AD6"/>
    <w:rsid w:val="001A6CFC"/>
    <w:rsid w:val="001A6E91"/>
    <w:rsid w:val="001A6FCB"/>
    <w:rsid w:val="001A7092"/>
    <w:rsid w:val="001A7177"/>
    <w:rsid w:val="001A76A4"/>
    <w:rsid w:val="001A76A7"/>
    <w:rsid w:val="001A78D6"/>
    <w:rsid w:val="001A7C88"/>
    <w:rsid w:val="001A7CA3"/>
    <w:rsid w:val="001A7D96"/>
    <w:rsid w:val="001A7E2A"/>
    <w:rsid w:val="001ACC5A"/>
    <w:rsid w:val="001ADB52"/>
    <w:rsid w:val="001B005C"/>
    <w:rsid w:val="001B0123"/>
    <w:rsid w:val="001B03E6"/>
    <w:rsid w:val="001B04AD"/>
    <w:rsid w:val="001B0634"/>
    <w:rsid w:val="001B0646"/>
    <w:rsid w:val="001B066D"/>
    <w:rsid w:val="001B075A"/>
    <w:rsid w:val="001B0780"/>
    <w:rsid w:val="001B090B"/>
    <w:rsid w:val="001B0E19"/>
    <w:rsid w:val="001B12D9"/>
    <w:rsid w:val="001B1464"/>
    <w:rsid w:val="001B1673"/>
    <w:rsid w:val="001B17F9"/>
    <w:rsid w:val="001B1B6B"/>
    <w:rsid w:val="001B1D0E"/>
    <w:rsid w:val="001B1D96"/>
    <w:rsid w:val="001B1F96"/>
    <w:rsid w:val="001B205E"/>
    <w:rsid w:val="001B2476"/>
    <w:rsid w:val="001B24F0"/>
    <w:rsid w:val="001B271E"/>
    <w:rsid w:val="001B2971"/>
    <w:rsid w:val="001B2B04"/>
    <w:rsid w:val="001B2CB6"/>
    <w:rsid w:val="001B2DCE"/>
    <w:rsid w:val="001B2DD8"/>
    <w:rsid w:val="001B2DEB"/>
    <w:rsid w:val="001B3054"/>
    <w:rsid w:val="001B314A"/>
    <w:rsid w:val="001B31D9"/>
    <w:rsid w:val="001B3243"/>
    <w:rsid w:val="001B344D"/>
    <w:rsid w:val="001B349F"/>
    <w:rsid w:val="001B34A0"/>
    <w:rsid w:val="001B3631"/>
    <w:rsid w:val="001B3817"/>
    <w:rsid w:val="001B392B"/>
    <w:rsid w:val="001B3951"/>
    <w:rsid w:val="001B3B3B"/>
    <w:rsid w:val="001B3B5B"/>
    <w:rsid w:val="001B3D22"/>
    <w:rsid w:val="001B3E0A"/>
    <w:rsid w:val="001B3E82"/>
    <w:rsid w:val="001B3EB3"/>
    <w:rsid w:val="001B4185"/>
    <w:rsid w:val="001B41B5"/>
    <w:rsid w:val="001B41C6"/>
    <w:rsid w:val="001B41F4"/>
    <w:rsid w:val="001B4565"/>
    <w:rsid w:val="001B464C"/>
    <w:rsid w:val="001B4778"/>
    <w:rsid w:val="001B4C34"/>
    <w:rsid w:val="001B4D68"/>
    <w:rsid w:val="001B4E31"/>
    <w:rsid w:val="001B4F4E"/>
    <w:rsid w:val="001B532B"/>
    <w:rsid w:val="001B53AB"/>
    <w:rsid w:val="001B5557"/>
    <w:rsid w:val="001B5638"/>
    <w:rsid w:val="001B56D4"/>
    <w:rsid w:val="001B5B2B"/>
    <w:rsid w:val="001B6206"/>
    <w:rsid w:val="001B63B4"/>
    <w:rsid w:val="001B63C9"/>
    <w:rsid w:val="001B642B"/>
    <w:rsid w:val="001B6652"/>
    <w:rsid w:val="001B68C3"/>
    <w:rsid w:val="001B6922"/>
    <w:rsid w:val="001B6AEF"/>
    <w:rsid w:val="001B6C6A"/>
    <w:rsid w:val="001B6EC9"/>
    <w:rsid w:val="001B72DD"/>
    <w:rsid w:val="001B7376"/>
    <w:rsid w:val="001B76A5"/>
    <w:rsid w:val="001B76E4"/>
    <w:rsid w:val="001B7766"/>
    <w:rsid w:val="001B7970"/>
    <w:rsid w:val="001B79B4"/>
    <w:rsid w:val="001B7D36"/>
    <w:rsid w:val="001B7FA1"/>
    <w:rsid w:val="001C020F"/>
    <w:rsid w:val="001C0313"/>
    <w:rsid w:val="001C03C6"/>
    <w:rsid w:val="001C0607"/>
    <w:rsid w:val="001C0802"/>
    <w:rsid w:val="001C0AD2"/>
    <w:rsid w:val="001C0C15"/>
    <w:rsid w:val="001C0F0E"/>
    <w:rsid w:val="001C100B"/>
    <w:rsid w:val="001C1309"/>
    <w:rsid w:val="001C16DA"/>
    <w:rsid w:val="001C172B"/>
    <w:rsid w:val="001C197B"/>
    <w:rsid w:val="001C1E6D"/>
    <w:rsid w:val="001C2468"/>
    <w:rsid w:val="001C29F7"/>
    <w:rsid w:val="001C2A2C"/>
    <w:rsid w:val="001C2CF5"/>
    <w:rsid w:val="001C2D2C"/>
    <w:rsid w:val="001C2F86"/>
    <w:rsid w:val="001C31B9"/>
    <w:rsid w:val="001C3210"/>
    <w:rsid w:val="001C3344"/>
    <w:rsid w:val="001C36A0"/>
    <w:rsid w:val="001C38B1"/>
    <w:rsid w:val="001C3A8D"/>
    <w:rsid w:val="001C3DC1"/>
    <w:rsid w:val="001C3DCF"/>
    <w:rsid w:val="001C3F3B"/>
    <w:rsid w:val="001C40C9"/>
    <w:rsid w:val="001C442E"/>
    <w:rsid w:val="001C484E"/>
    <w:rsid w:val="001C49BA"/>
    <w:rsid w:val="001C4B77"/>
    <w:rsid w:val="001C4C9B"/>
    <w:rsid w:val="001C4E24"/>
    <w:rsid w:val="001C4E3C"/>
    <w:rsid w:val="001C4ED0"/>
    <w:rsid w:val="001C4F44"/>
    <w:rsid w:val="001C4F5C"/>
    <w:rsid w:val="001C5074"/>
    <w:rsid w:val="001C5199"/>
    <w:rsid w:val="001C52F2"/>
    <w:rsid w:val="001C535F"/>
    <w:rsid w:val="001C53ED"/>
    <w:rsid w:val="001C5711"/>
    <w:rsid w:val="001C59CC"/>
    <w:rsid w:val="001C5A71"/>
    <w:rsid w:val="001C5A7D"/>
    <w:rsid w:val="001C5AE4"/>
    <w:rsid w:val="001C5B11"/>
    <w:rsid w:val="001C5F0D"/>
    <w:rsid w:val="001C5FDB"/>
    <w:rsid w:val="001C5FEA"/>
    <w:rsid w:val="001C626F"/>
    <w:rsid w:val="001C6352"/>
    <w:rsid w:val="001C6434"/>
    <w:rsid w:val="001C6563"/>
    <w:rsid w:val="001C65F2"/>
    <w:rsid w:val="001C6614"/>
    <w:rsid w:val="001C66CF"/>
    <w:rsid w:val="001C672A"/>
    <w:rsid w:val="001C6764"/>
    <w:rsid w:val="001C6911"/>
    <w:rsid w:val="001C69A8"/>
    <w:rsid w:val="001C6A45"/>
    <w:rsid w:val="001C6DCE"/>
    <w:rsid w:val="001C6EAB"/>
    <w:rsid w:val="001C6F0A"/>
    <w:rsid w:val="001C6F53"/>
    <w:rsid w:val="001C72AB"/>
    <w:rsid w:val="001C734D"/>
    <w:rsid w:val="001C7635"/>
    <w:rsid w:val="001C7952"/>
    <w:rsid w:val="001C7BD9"/>
    <w:rsid w:val="001C7E83"/>
    <w:rsid w:val="001C7FAB"/>
    <w:rsid w:val="001C7FEB"/>
    <w:rsid w:val="001D0047"/>
    <w:rsid w:val="001D0057"/>
    <w:rsid w:val="001D00BA"/>
    <w:rsid w:val="001D02D7"/>
    <w:rsid w:val="001D03CA"/>
    <w:rsid w:val="001D03F8"/>
    <w:rsid w:val="001D0404"/>
    <w:rsid w:val="001D04A4"/>
    <w:rsid w:val="001D0639"/>
    <w:rsid w:val="001D0749"/>
    <w:rsid w:val="001D098E"/>
    <w:rsid w:val="001D0ECB"/>
    <w:rsid w:val="001D10CD"/>
    <w:rsid w:val="001D110F"/>
    <w:rsid w:val="001D12B9"/>
    <w:rsid w:val="001D1478"/>
    <w:rsid w:val="001D14F8"/>
    <w:rsid w:val="001D1594"/>
    <w:rsid w:val="001D161F"/>
    <w:rsid w:val="001D175C"/>
    <w:rsid w:val="001D1862"/>
    <w:rsid w:val="001D187C"/>
    <w:rsid w:val="001D197C"/>
    <w:rsid w:val="001D19CB"/>
    <w:rsid w:val="001D19D0"/>
    <w:rsid w:val="001D1B18"/>
    <w:rsid w:val="001D1BE5"/>
    <w:rsid w:val="001D1E4B"/>
    <w:rsid w:val="001D1E60"/>
    <w:rsid w:val="001D1F5E"/>
    <w:rsid w:val="001D21FB"/>
    <w:rsid w:val="001D22A6"/>
    <w:rsid w:val="001D2378"/>
    <w:rsid w:val="001D2639"/>
    <w:rsid w:val="001D282E"/>
    <w:rsid w:val="001D29F2"/>
    <w:rsid w:val="001D2A65"/>
    <w:rsid w:val="001D2B7E"/>
    <w:rsid w:val="001D2C12"/>
    <w:rsid w:val="001D2C1E"/>
    <w:rsid w:val="001D3097"/>
    <w:rsid w:val="001D3199"/>
    <w:rsid w:val="001D3771"/>
    <w:rsid w:val="001D3B71"/>
    <w:rsid w:val="001D3FA9"/>
    <w:rsid w:val="001D40E9"/>
    <w:rsid w:val="001D4426"/>
    <w:rsid w:val="001D49F3"/>
    <w:rsid w:val="001D4A21"/>
    <w:rsid w:val="001D4D4D"/>
    <w:rsid w:val="001D4F73"/>
    <w:rsid w:val="001D5136"/>
    <w:rsid w:val="001D5503"/>
    <w:rsid w:val="001D5596"/>
    <w:rsid w:val="001D5604"/>
    <w:rsid w:val="001D56E9"/>
    <w:rsid w:val="001D578E"/>
    <w:rsid w:val="001D5ABC"/>
    <w:rsid w:val="001D5CD9"/>
    <w:rsid w:val="001D5F71"/>
    <w:rsid w:val="001D5FC3"/>
    <w:rsid w:val="001D614A"/>
    <w:rsid w:val="001D6467"/>
    <w:rsid w:val="001D67D9"/>
    <w:rsid w:val="001D6A9D"/>
    <w:rsid w:val="001D6CDA"/>
    <w:rsid w:val="001D6E97"/>
    <w:rsid w:val="001D6EC5"/>
    <w:rsid w:val="001D704A"/>
    <w:rsid w:val="001D710D"/>
    <w:rsid w:val="001D71C2"/>
    <w:rsid w:val="001D733A"/>
    <w:rsid w:val="001D73CA"/>
    <w:rsid w:val="001D74AF"/>
    <w:rsid w:val="001D7650"/>
    <w:rsid w:val="001D7A8C"/>
    <w:rsid w:val="001D7D88"/>
    <w:rsid w:val="001D7E40"/>
    <w:rsid w:val="001D7F7B"/>
    <w:rsid w:val="001E07AA"/>
    <w:rsid w:val="001E09AB"/>
    <w:rsid w:val="001E09C1"/>
    <w:rsid w:val="001E0E3A"/>
    <w:rsid w:val="001E1082"/>
    <w:rsid w:val="001E1211"/>
    <w:rsid w:val="001E1500"/>
    <w:rsid w:val="001E1556"/>
    <w:rsid w:val="001E1687"/>
    <w:rsid w:val="001E1691"/>
    <w:rsid w:val="001E175B"/>
    <w:rsid w:val="001E17EE"/>
    <w:rsid w:val="001E194C"/>
    <w:rsid w:val="001E1FF0"/>
    <w:rsid w:val="001E2101"/>
    <w:rsid w:val="001E2180"/>
    <w:rsid w:val="001E230A"/>
    <w:rsid w:val="001E250C"/>
    <w:rsid w:val="001E2655"/>
    <w:rsid w:val="001E276A"/>
    <w:rsid w:val="001E289E"/>
    <w:rsid w:val="001E29A8"/>
    <w:rsid w:val="001E29D9"/>
    <w:rsid w:val="001E2B06"/>
    <w:rsid w:val="001E2C65"/>
    <w:rsid w:val="001E2F05"/>
    <w:rsid w:val="001E2FF5"/>
    <w:rsid w:val="001E31D9"/>
    <w:rsid w:val="001E35FC"/>
    <w:rsid w:val="001E37F4"/>
    <w:rsid w:val="001E395B"/>
    <w:rsid w:val="001E3BA8"/>
    <w:rsid w:val="001E404C"/>
    <w:rsid w:val="001E42AE"/>
    <w:rsid w:val="001E42B8"/>
    <w:rsid w:val="001E42C4"/>
    <w:rsid w:val="001E4375"/>
    <w:rsid w:val="001E440C"/>
    <w:rsid w:val="001E4830"/>
    <w:rsid w:val="001E483D"/>
    <w:rsid w:val="001E4B03"/>
    <w:rsid w:val="001E4B83"/>
    <w:rsid w:val="001E4C65"/>
    <w:rsid w:val="001E5027"/>
    <w:rsid w:val="001E5057"/>
    <w:rsid w:val="001E51A3"/>
    <w:rsid w:val="001E51C9"/>
    <w:rsid w:val="001E57B6"/>
    <w:rsid w:val="001E5B7E"/>
    <w:rsid w:val="001E5C22"/>
    <w:rsid w:val="001E5C86"/>
    <w:rsid w:val="001E5DA5"/>
    <w:rsid w:val="001E5E8E"/>
    <w:rsid w:val="001E5FD4"/>
    <w:rsid w:val="001E6090"/>
    <w:rsid w:val="001E60AC"/>
    <w:rsid w:val="001E6120"/>
    <w:rsid w:val="001E6689"/>
    <w:rsid w:val="001E668E"/>
    <w:rsid w:val="001E6A7C"/>
    <w:rsid w:val="001E6B56"/>
    <w:rsid w:val="001E6B9D"/>
    <w:rsid w:val="001E6BA5"/>
    <w:rsid w:val="001E6C56"/>
    <w:rsid w:val="001E6CE5"/>
    <w:rsid w:val="001E6E1A"/>
    <w:rsid w:val="001E6E83"/>
    <w:rsid w:val="001E701F"/>
    <w:rsid w:val="001E7059"/>
    <w:rsid w:val="001E7237"/>
    <w:rsid w:val="001E749A"/>
    <w:rsid w:val="001E74E3"/>
    <w:rsid w:val="001E758D"/>
    <w:rsid w:val="001E761E"/>
    <w:rsid w:val="001E76B5"/>
    <w:rsid w:val="001E7812"/>
    <w:rsid w:val="001E7831"/>
    <w:rsid w:val="001E79C9"/>
    <w:rsid w:val="001E7AB5"/>
    <w:rsid w:val="001E7D6E"/>
    <w:rsid w:val="001E7DA2"/>
    <w:rsid w:val="001E7EF0"/>
    <w:rsid w:val="001F0081"/>
    <w:rsid w:val="001F0219"/>
    <w:rsid w:val="001F0445"/>
    <w:rsid w:val="001F0460"/>
    <w:rsid w:val="001F0841"/>
    <w:rsid w:val="001F0871"/>
    <w:rsid w:val="001F0B12"/>
    <w:rsid w:val="001F0B96"/>
    <w:rsid w:val="001F0CFE"/>
    <w:rsid w:val="001F0DC9"/>
    <w:rsid w:val="001F0EA0"/>
    <w:rsid w:val="001F1138"/>
    <w:rsid w:val="001F11C4"/>
    <w:rsid w:val="001F1262"/>
    <w:rsid w:val="001F12A2"/>
    <w:rsid w:val="001F15A0"/>
    <w:rsid w:val="001F169A"/>
    <w:rsid w:val="001F1E4F"/>
    <w:rsid w:val="001F1E6D"/>
    <w:rsid w:val="001F205D"/>
    <w:rsid w:val="001F21E8"/>
    <w:rsid w:val="001F230B"/>
    <w:rsid w:val="001F232E"/>
    <w:rsid w:val="001F248A"/>
    <w:rsid w:val="001F24A2"/>
    <w:rsid w:val="001F273A"/>
    <w:rsid w:val="001F27EF"/>
    <w:rsid w:val="001F2A2B"/>
    <w:rsid w:val="001F2B66"/>
    <w:rsid w:val="001F2B74"/>
    <w:rsid w:val="001F2BBD"/>
    <w:rsid w:val="001F2D60"/>
    <w:rsid w:val="001F2EB5"/>
    <w:rsid w:val="001F2F5D"/>
    <w:rsid w:val="001F3094"/>
    <w:rsid w:val="001F3214"/>
    <w:rsid w:val="001F33AC"/>
    <w:rsid w:val="001F361E"/>
    <w:rsid w:val="001F3A2B"/>
    <w:rsid w:val="001F3A31"/>
    <w:rsid w:val="001F3B47"/>
    <w:rsid w:val="001F3C9B"/>
    <w:rsid w:val="001F4035"/>
    <w:rsid w:val="001F4242"/>
    <w:rsid w:val="001F428A"/>
    <w:rsid w:val="001F431C"/>
    <w:rsid w:val="001F435B"/>
    <w:rsid w:val="001F4577"/>
    <w:rsid w:val="001F45A3"/>
    <w:rsid w:val="001F46F4"/>
    <w:rsid w:val="001F4D98"/>
    <w:rsid w:val="001F4DE8"/>
    <w:rsid w:val="001F4EFA"/>
    <w:rsid w:val="001F4F16"/>
    <w:rsid w:val="001F50D1"/>
    <w:rsid w:val="001F51B8"/>
    <w:rsid w:val="001F5211"/>
    <w:rsid w:val="001F53C7"/>
    <w:rsid w:val="001F56AE"/>
    <w:rsid w:val="001F5877"/>
    <w:rsid w:val="001F5D6D"/>
    <w:rsid w:val="001F6069"/>
    <w:rsid w:val="001F6460"/>
    <w:rsid w:val="001F6524"/>
    <w:rsid w:val="001F6D1B"/>
    <w:rsid w:val="001F6F4C"/>
    <w:rsid w:val="001F7018"/>
    <w:rsid w:val="001F722E"/>
    <w:rsid w:val="001F746D"/>
    <w:rsid w:val="001F747D"/>
    <w:rsid w:val="001F74B3"/>
    <w:rsid w:val="001F79D6"/>
    <w:rsid w:val="001F7AB4"/>
    <w:rsid w:val="00200041"/>
    <w:rsid w:val="00200782"/>
    <w:rsid w:val="002007AE"/>
    <w:rsid w:val="0020090B"/>
    <w:rsid w:val="00200917"/>
    <w:rsid w:val="00200CA9"/>
    <w:rsid w:val="00200D4F"/>
    <w:rsid w:val="00200E32"/>
    <w:rsid w:val="00200E55"/>
    <w:rsid w:val="00200FCF"/>
    <w:rsid w:val="00201051"/>
    <w:rsid w:val="002019EA"/>
    <w:rsid w:val="00201CB0"/>
    <w:rsid w:val="00201DFF"/>
    <w:rsid w:val="00202031"/>
    <w:rsid w:val="0020209E"/>
    <w:rsid w:val="002022C7"/>
    <w:rsid w:val="002022FC"/>
    <w:rsid w:val="0020232D"/>
    <w:rsid w:val="00202421"/>
    <w:rsid w:val="00202583"/>
    <w:rsid w:val="002026F1"/>
    <w:rsid w:val="00202738"/>
    <w:rsid w:val="00202910"/>
    <w:rsid w:val="00202B06"/>
    <w:rsid w:val="00202FE2"/>
    <w:rsid w:val="002031F7"/>
    <w:rsid w:val="00203369"/>
    <w:rsid w:val="00203492"/>
    <w:rsid w:val="00203668"/>
    <w:rsid w:val="00203724"/>
    <w:rsid w:val="002039B2"/>
    <w:rsid w:val="00203A3C"/>
    <w:rsid w:val="00203B6A"/>
    <w:rsid w:val="00203E31"/>
    <w:rsid w:val="00203E7E"/>
    <w:rsid w:val="00204020"/>
    <w:rsid w:val="00204474"/>
    <w:rsid w:val="002044F3"/>
    <w:rsid w:val="002046C2"/>
    <w:rsid w:val="0020497C"/>
    <w:rsid w:val="002049FF"/>
    <w:rsid w:val="00204B5E"/>
    <w:rsid w:val="00204C99"/>
    <w:rsid w:val="00204D4F"/>
    <w:rsid w:val="00204DDD"/>
    <w:rsid w:val="00204E11"/>
    <w:rsid w:val="00204EDB"/>
    <w:rsid w:val="00204EF5"/>
    <w:rsid w:val="0020508D"/>
    <w:rsid w:val="0020517D"/>
    <w:rsid w:val="002051A4"/>
    <w:rsid w:val="00205286"/>
    <w:rsid w:val="002054BD"/>
    <w:rsid w:val="0020563B"/>
    <w:rsid w:val="00205701"/>
    <w:rsid w:val="00205763"/>
    <w:rsid w:val="0020576A"/>
    <w:rsid w:val="0020593C"/>
    <w:rsid w:val="002059BA"/>
    <w:rsid w:val="00205A83"/>
    <w:rsid w:val="00205B70"/>
    <w:rsid w:val="00205E87"/>
    <w:rsid w:val="0020603B"/>
    <w:rsid w:val="00206184"/>
    <w:rsid w:val="002062CF"/>
    <w:rsid w:val="00206403"/>
    <w:rsid w:val="00206405"/>
    <w:rsid w:val="002066AC"/>
    <w:rsid w:val="00206734"/>
    <w:rsid w:val="00206816"/>
    <w:rsid w:val="002068FA"/>
    <w:rsid w:val="00206ABF"/>
    <w:rsid w:val="0020710C"/>
    <w:rsid w:val="0020749C"/>
    <w:rsid w:val="00207533"/>
    <w:rsid w:val="00207571"/>
    <w:rsid w:val="002079CB"/>
    <w:rsid w:val="00207BB3"/>
    <w:rsid w:val="00207C75"/>
    <w:rsid w:val="00207FBF"/>
    <w:rsid w:val="00207FF1"/>
    <w:rsid w:val="002100D9"/>
    <w:rsid w:val="00210173"/>
    <w:rsid w:val="00210197"/>
    <w:rsid w:val="002101A1"/>
    <w:rsid w:val="00210252"/>
    <w:rsid w:val="002104F1"/>
    <w:rsid w:val="00210991"/>
    <w:rsid w:val="00210B4E"/>
    <w:rsid w:val="00210B58"/>
    <w:rsid w:val="00210BA4"/>
    <w:rsid w:val="00210F8A"/>
    <w:rsid w:val="00211011"/>
    <w:rsid w:val="002110A3"/>
    <w:rsid w:val="002114FD"/>
    <w:rsid w:val="00211D1B"/>
    <w:rsid w:val="00211E36"/>
    <w:rsid w:val="002120DB"/>
    <w:rsid w:val="00212330"/>
    <w:rsid w:val="00212391"/>
    <w:rsid w:val="002125BF"/>
    <w:rsid w:val="0021285D"/>
    <w:rsid w:val="0021289E"/>
    <w:rsid w:val="002129B4"/>
    <w:rsid w:val="00212D05"/>
    <w:rsid w:val="00212E0F"/>
    <w:rsid w:val="0021317A"/>
    <w:rsid w:val="0021357F"/>
    <w:rsid w:val="00213820"/>
    <w:rsid w:val="00213981"/>
    <w:rsid w:val="00213A12"/>
    <w:rsid w:val="00213B15"/>
    <w:rsid w:val="00213B9A"/>
    <w:rsid w:val="00213CA0"/>
    <w:rsid w:val="00213E05"/>
    <w:rsid w:val="00213F59"/>
    <w:rsid w:val="00214258"/>
    <w:rsid w:val="002142B0"/>
    <w:rsid w:val="0021437D"/>
    <w:rsid w:val="00214391"/>
    <w:rsid w:val="00214402"/>
    <w:rsid w:val="00214627"/>
    <w:rsid w:val="00214979"/>
    <w:rsid w:val="00214ACB"/>
    <w:rsid w:val="00214BDE"/>
    <w:rsid w:val="00214BEE"/>
    <w:rsid w:val="00214C52"/>
    <w:rsid w:val="00214D59"/>
    <w:rsid w:val="00214D9D"/>
    <w:rsid w:val="00214E69"/>
    <w:rsid w:val="00215479"/>
    <w:rsid w:val="00215558"/>
    <w:rsid w:val="002155E4"/>
    <w:rsid w:val="002156BC"/>
    <w:rsid w:val="0021599E"/>
    <w:rsid w:val="00215CD6"/>
    <w:rsid w:val="00215CE7"/>
    <w:rsid w:val="00215E54"/>
    <w:rsid w:val="00215F5D"/>
    <w:rsid w:val="002160FA"/>
    <w:rsid w:val="00216152"/>
    <w:rsid w:val="002163B6"/>
    <w:rsid w:val="00216456"/>
    <w:rsid w:val="0021692C"/>
    <w:rsid w:val="0021698C"/>
    <w:rsid w:val="00216A6F"/>
    <w:rsid w:val="00216BB0"/>
    <w:rsid w:val="00216BBB"/>
    <w:rsid w:val="00216C1A"/>
    <w:rsid w:val="00216D29"/>
    <w:rsid w:val="00217477"/>
    <w:rsid w:val="0021753F"/>
    <w:rsid w:val="00217782"/>
    <w:rsid w:val="0021782A"/>
    <w:rsid w:val="00217A2D"/>
    <w:rsid w:val="00217B0B"/>
    <w:rsid w:val="00217C22"/>
    <w:rsid w:val="00217D14"/>
    <w:rsid w:val="002201A8"/>
    <w:rsid w:val="002202B5"/>
    <w:rsid w:val="002203A8"/>
    <w:rsid w:val="0022041A"/>
    <w:rsid w:val="00220466"/>
    <w:rsid w:val="0022060F"/>
    <w:rsid w:val="002206CA"/>
    <w:rsid w:val="002206E6"/>
    <w:rsid w:val="0022097D"/>
    <w:rsid w:val="00220A72"/>
    <w:rsid w:val="00220C35"/>
    <w:rsid w:val="00220C3A"/>
    <w:rsid w:val="00220EAB"/>
    <w:rsid w:val="002212BD"/>
    <w:rsid w:val="002217D5"/>
    <w:rsid w:val="00221A3B"/>
    <w:rsid w:val="00221B40"/>
    <w:rsid w:val="00221DA1"/>
    <w:rsid w:val="00221E3A"/>
    <w:rsid w:val="00221EAC"/>
    <w:rsid w:val="00221FF5"/>
    <w:rsid w:val="002221CA"/>
    <w:rsid w:val="002221EA"/>
    <w:rsid w:val="00222355"/>
    <w:rsid w:val="00222373"/>
    <w:rsid w:val="002224CA"/>
    <w:rsid w:val="0022268B"/>
    <w:rsid w:val="00222A4B"/>
    <w:rsid w:val="00222E6A"/>
    <w:rsid w:val="00222F2C"/>
    <w:rsid w:val="0022301B"/>
    <w:rsid w:val="0022303E"/>
    <w:rsid w:val="0022325F"/>
    <w:rsid w:val="0022367D"/>
    <w:rsid w:val="002236B3"/>
    <w:rsid w:val="00223F62"/>
    <w:rsid w:val="00223F87"/>
    <w:rsid w:val="002243D1"/>
    <w:rsid w:val="002244B9"/>
    <w:rsid w:val="002244C9"/>
    <w:rsid w:val="0022458D"/>
    <w:rsid w:val="002246DC"/>
    <w:rsid w:val="002248AC"/>
    <w:rsid w:val="00224A0D"/>
    <w:rsid w:val="00224B80"/>
    <w:rsid w:val="00224C48"/>
    <w:rsid w:val="00224CC4"/>
    <w:rsid w:val="00224ED5"/>
    <w:rsid w:val="00224F9F"/>
    <w:rsid w:val="0022509F"/>
    <w:rsid w:val="00225131"/>
    <w:rsid w:val="00225271"/>
    <w:rsid w:val="00225415"/>
    <w:rsid w:val="00225820"/>
    <w:rsid w:val="00225944"/>
    <w:rsid w:val="00225A6D"/>
    <w:rsid w:val="00225AF4"/>
    <w:rsid w:val="00225DDF"/>
    <w:rsid w:val="00225DE5"/>
    <w:rsid w:val="00225EDA"/>
    <w:rsid w:val="002260F4"/>
    <w:rsid w:val="00226112"/>
    <w:rsid w:val="00226552"/>
    <w:rsid w:val="002265BC"/>
    <w:rsid w:val="002269C2"/>
    <w:rsid w:val="002269E0"/>
    <w:rsid w:val="00226AFC"/>
    <w:rsid w:val="00227023"/>
    <w:rsid w:val="00227512"/>
    <w:rsid w:val="0022764A"/>
    <w:rsid w:val="00227716"/>
    <w:rsid w:val="0022771D"/>
    <w:rsid w:val="002278DC"/>
    <w:rsid w:val="00227A92"/>
    <w:rsid w:val="00227C0F"/>
    <w:rsid w:val="00227C1A"/>
    <w:rsid w:val="00227CF4"/>
    <w:rsid w:val="00227E80"/>
    <w:rsid w:val="00227E98"/>
    <w:rsid w:val="002301D8"/>
    <w:rsid w:val="0023067A"/>
    <w:rsid w:val="002308D4"/>
    <w:rsid w:val="0023090A"/>
    <w:rsid w:val="00230914"/>
    <w:rsid w:val="00230A30"/>
    <w:rsid w:val="00230A3D"/>
    <w:rsid w:val="00230AF0"/>
    <w:rsid w:val="00230B67"/>
    <w:rsid w:val="00230D85"/>
    <w:rsid w:val="00230DB2"/>
    <w:rsid w:val="00230F1E"/>
    <w:rsid w:val="00230F20"/>
    <w:rsid w:val="00231301"/>
    <w:rsid w:val="00231784"/>
    <w:rsid w:val="002317B5"/>
    <w:rsid w:val="002318C1"/>
    <w:rsid w:val="00231911"/>
    <w:rsid w:val="00231D74"/>
    <w:rsid w:val="00231F70"/>
    <w:rsid w:val="00232170"/>
    <w:rsid w:val="002323AA"/>
    <w:rsid w:val="00232466"/>
    <w:rsid w:val="0023280A"/>
    <w:rsid w:val="00232B3D"/>
    <w:rsid w:val="00232C0A"/>
    <w:rsid w:val="00232DA3"/>
    <w:rsid w:val="00232DF1"/>
    <w:rsid w:val="00232DF2"/>
    <w:rsid w:val="00233280"/>
    <w:rsid w:val="002332D4"/>
    <w:rsid w:val="002334C0"/>
    <w:rsid w:val="0023353C"/>
    <w:rsid w:val="00233616"/>
    <w:rsid w:val="002336B9"/>
    <w:rsid w:val="0023392A"/>
    <w:rsid w:val="00233A0A"/>
    <w:rsid w:val="00233B7D"/>
    <w:rsid w:val="00233B7F"/>
    <w:rsid w:val="00233CD2"/>
    <w:rsid w:val="0023407B"/>
    <w:rsid w:val="00234145"/>
    <w:rsid w:val="002341A0"/>
    <w:rsid w:val="002342E5"/>
    <w:rsid w:val="0023433A"/>
    <w:rsid w:val="00234494"/>
    <w:rsid w:val="00234565"/>
    <w:rsid w:val="0023467B"/>
    <w:rsid w:val="002346CE"/>
    <w:rsid w:val="002346F1"/>
    <w:rsid w:val="00234B0B"/>
    <w:rsid w:val="00234D3A"/>
    <w:rsid w:val="00234FDD"/>
    <w:rsid w:val="00234FFB"/>
    <w:rsid w:val="002350FD"/>
    <w:rsid w:val="0023519A"/>
    <w:rsid w:val="002351EF"/>
    <w:rsid w:val="002353AA"/>
    <w:rsid w:val="002354B4"/>
    <w:rsid w:val="00235516"/>
    <w:rsid w:val="00235539"/>
    <w:rsid w:val="00235692"/>
    <w:rsid w:val="002358FE"/>
    <w:rsid w:val="00235BFE"/>
    <w:rsid w:val="00235C4F"/>
    <w:rsid w:val="00235CAA"/>
    <w:rsid w:val="0023602C"/>
    <w:rsid w:val="00236040"/>
    <w:rsid w:val="0023606F"/>
    <w:rsid w:val="002360E9"/>
    <w:rsid w:val="002361CC"/>
    <w:rsid w:val="00236257"/>
    <w:rsid w:val="00236332"/>
    <w:rsid w:val="0023664F"/>
    <w:rsid w:val="00237146"/>
    <w:rsid w:val="002374FC"/>
    <w:rsid w:val="002375DB"/>
    <w:rsid w:val="00237669"/>
    <w:rsid w:val="00237836"/>
    <w:rsid w:val="00237E2A"/>
    <w:rsid w:val="00240534"/>
    <w:rsid w:val="002409B7"/>
    <w:rsid w:val="00240BFD"/>
    <w:rsid w:val="00240E5B"/>
    <w:rsid w:val="00240EE3"/>
    <w:rsid w:val="00240F44"/>
    <w:rsid w:val="0024144C"/>
    <w:rsid w:val="00241475"/>
    <w:rsid w:val="0024164F"/>
    <w:rsid w:val="00241654"/>
    <w:rsid w:val="0024173C"/>
    <w:rsid w:val="00241887"/>
    <w:rsid w:val="002418C7"/>
    <w:rsid w:val="00241B9D"/>
    <w:rsid w:val="00241BB1"/>
    <w:rsid w:val="00241C6C"/>
    <w:rsid w:val="00241F63"/>
    <w:rsid w:val="002422C1"/>
    <w:rsid w:val="002422EB"/>
    <w:rsid w:val="002423E8"/>
    <w:rsid w:val="0024265A"/>
    <w:rsid w:val="00242FC8"/>
    <w:rsid w:val="002430A6"/>
    <w:rsid w:val="002430CB"/>
    <w:rsid w:val="0024340B"/>
    <w:rsid w:val="002438B4"/>
    <w:rsid w:val="00243BB7"/>
    <w:rsid w:val="00243C39"/>
    <w:rsid w:val="00243D97"/>
    <w:rsid w:val="002442ED"/>
    <w:rsid w:val="002444D2"/>
    <w:rsid w:val="00244650"/>
    <w:rsid w:val="002446E7"/>
    <w:rsid w:val="0024488C"/>
    <w:rsid w:val="00244998"/>
    <w:rsid w:val="00244A66"/>
    <w:rsid w:val="00244BC2"/>
    <w:rsid w:val="00244C14"/>
    <w:rsid w:val="00244C98"/>
    <w:rsid w:val="00244E6F"/>
    <w:rsid w:val="00244EA6"/>
    <w:rsid w:val="00244EB7"/>
    <w:rsid w:val="00244FDC"/>
    <w:rsid w:val="0024571D"/>
    <w:rsid w:val="00245768"/>
    <w:rsid w:val="00245788"/>
    <w:rsid w:val="00245AA2"/>
    <w:rsid w:val="00245BA0"/>
    <w:rsid w:val="00245F0C"/>
    <w:rsid w:val="00245F81"/>
    <w:rsid w:val="0024601F"/>
    <w:rsid w:val="00246246"/>
    <w:rsid w:val="002462C1"/>
    <w:rsid w:val="002463EF"/>
    <w:rsid w:val="00246719"/>
    <w:rsid w:val="0024683F"/>
    <w:rsid w:val="00246ACE"/>
    <w:rsid w:val="00246C4B"/>
    <w:rsid w:val="00246C5A"/>
    <w:rsid w:val="00246D95"/>
    <w:rsid w:val="0024705C"/>
    <w:rsid w:val="00247196"/>
    <w:rsid w:val="002471EA"/>
    <w:rsid w:val="002473AA"/>
    <w:rsid w:val="0024752D"/>
    <w:rsid w:val="00247671"/>
    <w:rsid w:val="0024791B"/>
    <w:rsid w:val="00247A83"/>
    <w:rsid w:val="00247CAD"/>
    <w:rsid w:val="00247DF8"/>
    <w:rsid w:val="00247E3A"/>
    <w:rsid w:val="00247ED5"/>
    <w:rsid w:val="002500C2"/>
    <w:rsid w:val="00250596"/>
    <w:rsid w:val="002507BD"/>
    <w:rsid w:val="002508AC"/>
    <w:rsid w:val="002508DF"/>
    <w:rsid w:val="00250981"/>
    <w:rsid w:val="00250A0E"/>
    <w:rsid w:val="00250E71"/>
    <w:rsid w:val="00250E7C"/>
    <w:rsid w:val="002510F5"/>
    <w:rsid w:val="00251220"/>
    <w:rsid w:val="002513F8"/>
    <w:rsid w:val="00251451"/>
    <w:rsid w:val="0025162F"/>
    <w:rsid w:val="00251632"/>
    <w:rsid w:val="00251786"/>
    <w:rsid w:val="00251BF6"/>
    <w:rsid w:val="00251C9A"/>
    <w:rsid w:val="00251E59"/>
    <w:rsid w:val="00251EFD"/>
    <w:rsid w:val="00251FAA"/>
    <w:rsid w:val="00252186"/>
    <w:rsid w:val="002522AC"/>
    <w:rsid w:val="002522CB"/>
    <w:rsid w:val="002523BF"/>
    <w:rsid w:val="002523C3"/>
    <w:rsid w:val="00252528"/>
    <w:rsid w:val="0025269E"/>
    <w:rsid w:val="002526DB"/>
    <w:rsid w:val="002526FA"/>
    <w:rsid w:val="00252863"/>
    <w:rsid w:val="00252917"/>
    <w:rsid w:val="0025297C"/>
    <w:rsid w:val="00252B7D"/>
    <w:rsid w:val="00252CBC"/>
    <w:rsid w:val="00252E4C"/>
    <w:rsid w:val="00253087"/>
    <w:rsid w:val="002534C4"/>
    <w:rsid w:val="002534E1"/>
    <w:rsid w:val="002536D6"/>
    <w:rsid w:val="002539EF"/>
    <w:rsid w:val="00253AF5"/>
    <w:rsid w:val="00253B67"/>
    <w:rsid w:val="00253BB4"/>
    <w:rsid w:val="00253C27"/>
    <w:rsid w:val="00253F68"/>
    <w:rsid w:val="0025454E"/>
    <w:rsid w:val="002549C1"/>
    <w:rsid w:val="002549F8"/>
    <w:rsid w:val="00254B00"/>
    <w:rsid w:val="00254C89"/>
    <w:rsid w:val="00254CEE"/>
    <w:rsid w:val="00254D4B"/>
    <w:rsid w:val="00254E02"/>
    <w:rsid w:val="00254F3A"/>
    <w:rsid w:val="00254FA4"/>
    <w:rsid w:val="0025508D"/>
    <w:rsid w:val="002552C2"/>
    <w:rsid w:val="0025534A"/>
    <w:rsid w:val="00255452"/>
    <w:rsid w:val="00255624"/>
    <w:rsid w:val="0025573C"/>
    <w:rsid w:val="00255D1D"/>
    <w:rsid w:val="00255EFA"/>
    <w:rsid w:val="00255F88"/>
    <w:rsid w:val="00255FC4"/>
    <w:rsid w:val="00256072"/>
    <w:rsid w:val="0025613A"/>
    <w:rsid w:val="002563E4"/>
    <w:rsid w:val="002566E9"/>
    <w:rsid w:val="002566F5"/>
    <w:rsid w:val="0025685B"/>
    <w:rsid w:val="00256B68"/>
    <w:rsid w:val="00256BFD"/>
    <w:rsid w:val="00256ED5"/>
    <w:rsid w:val="00256F19"/>
    <w:rsid w:val="00256F3C"/>
    <w:rsid w:val="0025733E"/>
    <w:rsid w:val="002577A6"/>
    <w:rsid w:val="002577B2"/>
    <w:rsid w:val="0025782B"/>
    <w:rsid w:val="00257AEC"/>
    <w:rsid w:val="00257CCE"/>
    <w:rsid w:val="00257CEC"/>
    <w:rsid w:val="00257E00"/>
    <w:rsid w:val="00257E90"/>
    <w:rsid w:val="002600DC"/>
    <w:rsid w:val="0026014E"/>
    <w:rsid w:val="00260295"/>
    <w:rsid w:val="002602E8"/>
    <w:rsid w:val="00260365"/>
    <w:rsid w:val="00260489"/>
    <w:rsid w:val="002604B5"/>
    <w:rsid w:val="00260662"/>
    <w:rsid w:val="0026083A"/>
    <w:rsid w:val="00260B2B"/>
    <w:rsid w:val="00260C8E"/>
    <w:rsid w:val="00260E32"/>
    <w:rsid w:val="00261226"/>
    <w:rsid w:val="00261269"/>
    <w:rsid w:val="002613E9"/>
    <w:rsid w:val="002615B2"/>
    <w:rsid w:val="0026168A"/>
    <w:rsid w:val="002616A6"/>
    <w:rsid w:val="002616BB"/>
    <w:rsid w:val="00261945"/>
    <w:rsid w:val="00261971"/>
    <w:rsid w:val="00261B71"/>
    <w:rsid w:val="00261D7B"/>
    <w:rsid w:val="00261DCF"/>
    <w:rsid w:val="00261E49"/>
    <w:rsid w:val="00262564"/>
    <w:rsid w:val="00262576"/>
    <w:rsid w:val="00262633"/>
    <w:rsid w:val="0026266A"/>
    <w:rsid w:val="00262729"/>
    <w:rsid w:val="002627BB"/>
    <w:rsid w:val="00262848"/>
    <w:rsid w:val="00262A84"/>
    <w:rsid w:val="00263040"/>
    <w:rsid w:val="002630E0"/>
    <w:rsid w:val="002632E7"/>
    <w:rsid w:val="002635A0"/>
    <w:rsid w:val="00263744"/>
    <w:rsid w:val="0026378F"/>
    <w:rsid w:val="002637CA"/>
    <w:rsid w:val="00263C1F"/>
    <w:rsid w:val="00263C23"/>
    <w:rsid w:val="00263DBA"/>
    <w:rsid w:val="00264079"/>
    <w:rsid w:val="0026422A"/>
    <w:rsid w:val="00264331"/>
    <w:rsid w:val="00264336"/>
    <w:rsid w:val="002645A5"/>
    <w:rsid w:val="002647AC"/>
    <w:rsid w:val="002648EF"/>
    <w:rsid w:val="00264914"/>
    <w:rsid w:val="00264A13"/>
    <w:rsid w:val="00264BC6"/>
    <w:rsid w:val="00264E05"/>
    <w:rsid w:val="00264EB2"/>
    <w:rsid w:val="002653D7"/>
    <w:rsid w:val="00265889"/>
    <w:rsid w:val="002659C0"/>
    <w:rsid w:val="00265BA6"/>
    <w:rsid w:val="00265BAE"/>
    <w:rsid w:val="00265F50"/>
    <w:rsid w:val="002662A6"/>
    <w:rsid w:val="0026632F"/>
    <w:rsid w:val="00266436"/>
    <w:rsid w:val="00266777"/>
    <w:rsid w:val="00266865"/>
    <w:rsid w:val="002668BD"/>
    <w:rsid w:val="00266AFB"/>
    <w:rsid w:val="00266D5E"/>
    <w:rsid w:val="00266D6C"/>
    <w:rsid w:val="00266DDC"/>
    <w:rsid w:val="002670AD"/>
    <w:rsid w:val="00267398"/>
    <w:rsid w:val="00267753"/>
    <w:rsid w:val="002679FE"/>
    <w:rsid w:val="00267CD6"/>
    <w:rsid w:val="00267E6A"/>
    <w:rsid w:val="00267F86"/>
    <w:rsid w:val="0027018E"/>
    <w:rsid w:val="0027038A"/>
    <w:rsid w:val="00270495"/>
    <w:rsid w:val="00270AAD"/>
    <w:rsid w:val="00270B2F"/>
    <w:rsid w:val="00270B51"/>
    <w:rsid w:val="00271353"/>
    <w:rsid w:val="00271536"/>
    <w:rsid w:val="00271745"/>
    <w:rsid w:val="0027174E"/>
    <w:rsid w:val="002717C5"/>
    <w:rsid w:val="002719B3"/>
    <w:rsid w:val="00271B1F"/>
    <w:rsid w:val="00271D5F"/>
    <w:rsid w:val="00271D9A"/>
    <w:rsid w:val="00271DEA"/>
    <w:rsid w:val="00272073"/>
    <w:rsid w:val="0027265C"/>
    <w:rsid w:val="002728A5"/>
    <w:rsid w:val="002728AE"/>
    <w:rsid w:val="00272A4C"/>
    <w:rsid w:val="00272B79"/>
    <w:rsid w:val="00272D0C"/>
    <w:rsid w:val="00272EBA"/>
    <w:rsid w:val="00272F46"/>
    <w:rsid w:val="0027308D"/>
    <w:rsid w:val="002733FB"/>
    <w:rsid w:val="00273648"/>
    <w:rsid w:val="002737B4"/>
    <w:rsid w:val="0027385C"/>
    <w:rsid w:val="002738F6"/>
    <w:rsid w:val="00273A5B"/>
    <w:rsid w:val="00273C2B"/>
    <w:rsid w:val="00273CA8"/>
    <w:rsid w:val="00273D85"/>
    <w:rsid w:val="00273FEC"/>
    <w:rsid w:val="0027408E"/>
    <w:rsid w:val="00274145"/>
    <w:rsid w:val="00274186"/>
    <w:rsid w:val="00274672"/>
    <w:rsid w:val="002748B3"/>
    <w:rsid w:val="00274A57"/>
    <w:rsid w:val="00274B05"/>
    <w:rsid w:val="00274BEC"/>
    <w:rsid w:val="00274E66"/>
    <w:rsid w:val="00274E6A"/>
    <w:rsid w:val="002750B0"/>
    <w:rsid w:val="00275159"/>
    <w:rsid w:val="002751A2"/>
    <w:rsid w:val="002751DA"/>
    <w:rsid w:val="002752C4"/>
    <w:rsid w:val="002754BF"/>
    <w:rsid w:val="00275622"/>
    <w:rsid w:val="00275B20"/>
    <w:rsid w:val="00275DD8"/>
    <w:rsid w:val="002761C7"/>
    <w:rsid w:val="00276258"/>
    <w:rsid w:val="00276291"/>
    <w:rsid w:val="002762EE"/>
    <w:rsid w:val="00276449"/>
    <w:rsid w:val="0027651C"/>
    <w:rsid w:val="00276603"/>
    <w:rsid w:val="00276795"/>
    <w:rsid w:val="0027682A"/>
    <w:rsid w:val="0027684E"/>
    <w:rsid w:val="00276997"/>
    <w:rsid w:val="00276A74"/>
    <w:rsid w:val="00276B10"/>
    <w:rsid w:val="00276B92"/>
    <w:rsid w:val="00276C51"/>
    <w:rsid w:val="00276D42"/>
    <w:rsid w:val="00276EEF"/>
    <w:rsid w:val="00276F9A"/>
    <w:rsid w:val="002770C3"/>
    <w:rsid w:val="002772C7"/>
    <w:rsid w:val="00277316"/>
    <w:rsid w:val="002773D0"/>
    <w:rsid w:val="0027746D"/>
    <w:rsid w:val="002776A7"/>
    <w:rsid w:val="00277925"/>
    <w:rsid w:val="00277D6E"/>
    <w:rsid w:val="00277ED2"/>
    <w:rsid w:val="00280023"/>
    <w:rsid w:val="00280112"/>
    <w:rsid w:val="00280271"/>
    <w:rsid w:val="0028032E"/>
    <w:rsid w:val="002804E6"/>
    <w:rsid w:val="00280569"/>
    <w:rsid w:val="0028080F"/>
    <w:rsid w:val="0028086C"/>
    <w:rsid w:val="00280A14"/>
    <w:rsid w:val="00280B5B"/>
    <w:rsid w:val="00281157"/>
    <w:rsid w:val="00281180"/>
    <w:rsid w:val="00281273"/>
    <w:rsid w:val="002812AD"/>
    <w:rsid w:val="00281671"/>
    <w:rsid w:val="00281863"/>
    <w:rsid w:val="002819E5"/>
    <w:rsid w:val="00281AAA"/>
    <w:rsid w:val="00281AD3"/>
    <w:rsid w:val="00281B10"/>
    <w:rsid w:val="00281B15"/>
    <w:rsid w:val="00281E93"/>
    <w:rsid w:val="002820D8"/>
    <w:rsid w:val="002821A1"/>
    <w:rsid w:val="002821E6"/>
    <w:rsid w:val="002823CD"/>
    <w:rsid w:val="0028293F"/>
    <w:rsid w:val="002829B7"/>
    <w:rsid w:val="00282BF1"/>
    <w:rsid w:val="00282C48"/>
    <w:rsid w:val="00282F2B"/>
    <w:rsid w:val="00282FAA"/>
    <w:rsid w:val="002832AB"/>
    <w:rsid w:val="0028349E"/>
    <w:rsid w:val="002834DB"/>
    <w:rsid w:val="002835AA"/>
    <w:rsid w:val="00283782"/>
    <w:rsid w:val="002837AF"/>
    <w:rsid w:val="00283970"/>
    <w:rsid w:val="00283B3E"/>
    <w:rsid w:val="00283EC6"/>
    <w:rsid w:val="002840D0"/>
    <w:rsid w:val="00284560"/>
    <w:rsid w:val="00284856"/>
    <w:rsid w:val="00284A7B"/>
    <w:rsid w:val="00284B6B"/>
    <w:rsid w:val="00284C03"/>
    <w:rsid w:val="00284F1F"/>
    <w:rsid w:val="00285378"/>
    <w:rsid w:val="002855F7"/>
    <w:rsid w:val="00285608"/>
    <w:rsid w:val="00285614"/>
    <w:rsid w:val="002857FF"/>
    <w:rsid w:val="00285CEE"/>
    <w:rsid w:val="0028605C"/>
    <w:rsid w:val="002860CE"/>
    <w:rsid w:val="002866CB"/>
    <w:rsid w:val="00286791"/>
    <w:rsid w:val="002868F2"/>
    <w:rsid w:val="0028699D"/>
    <w:rsid w:val="00286E9A"/>
    <w:rsid w:val="00286FA4"/>
    <w:rsid w:val="00287056"/>
    <w:rsid w:val="0028739D"/>
    <w:rsid w:val="002873B2"/>
    <w:rsid w:val="00287422"/>
    <w:rsid w:val="00287658"/>
    <w:rsid w:val="002876FA"/>
    <w:rsid w:val="00287882"/>
    <w:rsid w:val="00290107"/>
    <w:rsid w:val="002901A7"/>
    <w:rsid w:val="00290574"/>
    <w:rsid w:val="002905FB"/>
    <w:rsid w:val="002906DF"/>
    <w:rsid w:val="0029082E"/>
    <w:rsid w:val="002909A4"/>
    <w:rsid w:val="00290C46"/>
    <w:rsid w:val="00290D11"/>
    <w:rsid w:val="00290F33"/>
    <w:rsid w:val="0029106B"/>
    <w:rsid w:val="002910B5"/>
    <w:rsid w:val="00291383"/>
    <w:rsid w:val="002914C2"/>
    <w:rsid w:val="00291647"/>
    <w:rsid w:val="00291994"/>
    <w:rsid w:val="002919CD"/>
    <w:rsid w:val="00291AF2"/>
    <w:rsid w:val="00291BB0"/>
    <w:rsid w:val="00291D29"/>
    <w:rsid w:val="00291D40"/>
    <w:rsid w:val="00291D86"/>
    <w:rsid w:val="00292245"/>
    <w:rsid w:val="002924B4"/>
    <w:rsid w:val="0029273F"/>
    <w:rsid w:val="00292ACC"/>
    <w:rsid w:val="00292C14"/>
    <w:rsid w:val="00292C58"/>
    <w:rsid w:val="00292CC0"/>
    <w:rsid w:val="00292D13"/>
    <w:rsid w:val="00292E2F"/>
    <w:rsid w:val="002931C7"/>
    <w:rsid w:val="002931FE"/>
    <w:rsid w:val="00293314"/>
    <w:rsid w:val="002933D1"/>
    <w:rsid w:val="00293594"/>
    <w:rsid w:val="002937F2"/>
    <w:rsid w:val="002939D4"/>
    <w:rsid w:val="00293D07"/>
    <w:rsid w:val="00293D21"/>
    <w:rsid w:val="00293DD4"/>
    <w:rsid w:val="00293E11"/>
    <w:rsid w:val="00293EA8"/>
    <w:rsid w:val="00294210"/>
    <w:rsid w:val="0029463D"/>
    <w:rsid w:val="002946AC"/>
    <w:rsid w:val="002947F3"/>
    <w:rsid w:val="00294A00"/>
    <w:rsid w:val="00294A4C"/>
    <w:rsid w:val="00294BF4"/>
    <w:rsid w:val="00294D78"/>
    <w:rsid w:val="00294DAA"/>
    <w:rsid w:val="00294F10"/>
    <w:rsid w:val="0029514E"/>
    <w:rsid w:val="0029534D"/>
    <w:rsid w:val="00295497"/>
    <w:rsid w:val="00295680"/>
    <w:rsid w:val="0029573D"/>
    <w:rsid w:val="00295899"/>
    <w:rsid w:val="002958DF"/>
    <w:rsid w:val="00295D51"/>
    <w:rsid w:val="00295E6D"/>
    <w:rsid w:val="00295FCC"/>
    <w:rsid w:val="0029603E"/>
    <w:rsid w:val="00296361"/>
    <w:rsid w:val="00296406"/>
    <w:rsid w:val="00296539"/>
    <w:rsid w:val="0029671C"/>
    <w:rsid w:val="0029690F"/>
    <w:rsid w:val="002969B4"/>
    <w:rsid w:val="00296A10"/>
    <w:rsid w:val="00296CA8"/>
    <w:rsid w:val="00296D55"/>
    <w:rsid w:val="00296D91"/>
    <w:rsid w:val="00296DCF"/>
    <w:rsid w:val="00296E81"/>
    <w:rsid w:val="00296FD2"/>
    <w:rsid w:val="002971B7"/>
    <w:rsid w:val="00297252"/>
    <w:rsid w:val="00297317"/>
    <w:rsid w:val="00297533"/>
    <w:rsid w:val="00297572"/>
    <w:rsid w:val="0029782A"/>
    <w:rsid w:val="00297889"/>
    <w:rsid w:val="00297DA5"/>
    <w:rsid w:val="00297DF2"/>
    <w:rsid w:val="00297ED0"/>
    <w:rsid w:val="00297EDC"/>
    <w:rsid w:val="00297F1D"/>
    <w:rsid w:val="00297F49"/>
    <w:rsid w:val="00297F5B"/>
    <w:rsid w:val="00297F70"/>
    <w:rsid w:val="002A00EA"/>
    <w:rsid w:val="002A01DB"/>
    <w:rsid w:val="002A0328"/>
    <w:rsid w:val="002A061C"/>
    <w:rsid w:val="002A0E46"/>
    <w:rsid w:val="002A0FDD"/>
    <w:rsid w:val="002A116F"/>
    <w:rsid w:val="002A13A5"/>
    <w:rsid w:val="002A1423"/>
    <w:rsid w:val="002A14C4"/>
    <w:rsid w:val="002A1550"/>
    <w:rsid w:val="002A15D5"/>
    <w:rsid w:val="002A15F8"/>
    <w:rsid w:val="002A16F7"/>
    <w:rsid w:val="002A1753"/>
    <w:rsid w:val="002A17B5"/>
    <w:rsid w:val="002A17EB"/>
    <w:rsid w:val="002A1889"/>
    <w:rsid w:val="002A1AE9"/>
    <w:rsid w:val="002A1C88"/>
    <w:rsid w:val="002A1EB3"/>
    <w:rsid w:val="002A2087"/>
    <w:rsid w:val="002A20D4"/>
    <w:rsid w:val="002A21EF"/>
    <w:rsid w:val="002A224D"/>
    <w:rsid w:val="002A229A"/>
    <w:rsid w:val="002A243D"/>
    <w:rsid w:val="002A248A"/>
    <w:rsid w:val="002A26B8"/>
    <w:rsid w:val="002A26DA"/>
    <w:rsid w:val="002A2845"/>
    <w:rsid w:val="002A2C63"/>
    <w:rsid w:val="002A2C90"/>
    <w:rsid w:val="002A2E20"/>
    <w:rsid w:val="002A2EC0"/>
    <w:rsid w:val="002A3014"/>
    <w:rsid w:val="002A3036"/>
    <w:rsid w:val="002A31AE"/>
    <w:rsid w:val="002A31C4"/>
    <w:rsid w:val="002A3472"/>
    <w:rsid w:val="002A350D"/>
    <w:rsid w:val="002A35E0"/>
    <w:rsid w:val="002A3817"/>
    <w:rsid w:val="002A38A6"/>
    <w:rsid w:val="002A38CE"/>
    <w:rsid w:val="002A38FC"/>
    <w:rsid w:val="002A3AAF"/>
    <w:rsid w:val="002A3C87"/>
    <w:rsid w:val="002A3D38"/>
    <w:rsid w:val="002A42DB"/>
    <w:rsid w:val="002A4385"/>
    <w:rsid w:val="002A439A"/>
    <w:rsid w:val="002A471F"/>
    <w:rsid w:val="002A4829"/>
    <w:rsid w:val="002A4A13"/>
    <w:rsid w:val="002A4C3E"/>
    <w:rsid w:val="002A50A8"/>
    <w:rsid w:val="002A5170"/>
    <w:rsid w:val="002A55F3"/>
    <w:rsid w:val="002A5622"/>
    <w:rsid w:val="002A59F4"/>
    <w:rsid w:val="002A5CC4"/>
    <w:rsid w:val="002A5CD5"/>
    <w:rsid w:val="002A5E2E"/>
    <w:rsid w:val="002A613F"/>
    <w:rsid w:val="002A62B6"/>
    <w:rsid w:val="002A6333"/>
    <w:rsid w:val="002A63A1"/>
    <w:rsid w:val="002A6515"/>
    <w:rsid w:val="002A6664"/>
    <w:rsid w:val="002A66F9"/>
    <w:rsid w:val="002A6ABA"/>
    <w:rsid w:val="002A6F2E"/>
    <w:rsid w:val="002A7173"/>
    <w:rsid w:val="002A718B"/>
    <w:rsid w:val="002A7578"/>
    <w:rsid w:val="002A75DB"/>
    <w:rsid w:val="002A7624"/>
    <w:rsid w:val="002A7662"/>
    <w:rsid w:val="002A7672"/>
    <w:rsid w:val="002A7825"/>
    <w:rsid w:val="002A7827"/>
    <w:rsid w:val="002A78B0"/>
    <w:rsid w:val="002A7A2C"/>
    <w:rsid w:val="002A7BE8"/>
    <w:rsid w:val="002A7C57"/>
    <w:rsid w:val="002B003F"/>
    <w:rsid w:val="002B007F"/>
    <w:rsid w:val="002B01F5"/>
    <w:rsid w:val="002B03DA"/>
    <w:rsid w:val="002B05B7"/>
    <w:rsid w:val="002B06DE"/>
    <w:rsid w:val="002B06F3"/>
    <w:rsid w:val="002B08AA"/>
    <w:rsid w:val="002B098A"/>
    <w:rsid w:val="002B0EAC"/>
    <w:rsid w:val="002B1004"/>
    <w:rsid w:val="002B10F8"/>
    <w:rsid w:val="002B11FF"/>
    <w:rsid w:val="002B122E"/>
    <w:rsid w:val="002B1591"/>
    <w:rsid w:val="002B15DB"/>
    <w:rsid w:val="002B186A"/>
    <w:rsid w:val="002B1AF2"/>
    <w:rsid w:val="002B1B1E"/>
    <w:rsid w:val="002B1C74"/>
    <w:rsid w:val="002B1ED2"/>
    <w:rsid w:val="002B25C7"/>
    <w:rsid w:val="002B27ED"/>
    <w:rsid w:val="002B283E"/>
    <w:rsid w:val="002B2A70"/>
    <w:rsid w:val="002B2B37"/>
    <w:rsid w:val="002B2B73"/>
    <w:rsid w:val="002B2B82"/>
    <w:rsid w:val="002B2B94"/>
    <w:rsid w:val="002B2C08"/>
    <w:rsid w:val="002B2CA1"/>
    <w:rsid w:val="002B2CD5"/>
    <w:rsid w:val="002B2D4A"/>
    <w:rsid w:val="002B2EDD"/>
    <w:rsid w:val="002B30EE"/>
    <w:rsid w:val="002B3189"/>
    <w:rsid w:val="002B34A9"/>
    <w:rsid w:val="002B373D"/>
    <w:rsid w:val="002B37E5"/>
    <w:rsid w:val="002B3C7E"/>
    <w:rsid w:val="002B4004"/>
    <w:rsid w:val="002B44D5"/>
    <w:rsid w:val="002B471E"/>
    <w:rsid w:val="002B4A6A"/>
    <w:rsid w:val="002B4A89"/>
    <w:rsid w:val="002B4C2A"/>
    <w:rsid w:val="002B4C41"/>
    <w:rsid w:val="002B4E98"/>
    <w:rsid w:val="002B4EBF"/>
    <w:rsid w:val="002B4F8B"/>
    <w:rsid w:val="002B528F"/>
    <w:rsid w:val="002B574E"/>
    <w:rsid w:val="002B57D4"/>
    <w:rsid w:val="002B5CB2"/>
    <w:rsid w:val="002B5E0C"/>
    <w:rsid w:val="002B61D9"/>
    <w:rsid w:val="002B686E"/>
    <w:rsid w:val="002B6A33"/>
    <w:rsid w:val="002B6BA3"/>
    <w:rsid w:val="002B6BB0"/>
    <w:rsid w:val="002B70F1"/>
    <w:rsid w:val="002B716D"/>
    <w:rsid w:val="002B75D9"/>
    <w:rsid w:val="002B764F"/>
    <w:rsid w:val="002B7780"/>
    <w:rsid w:val="002B77BB"/>
    <w:rsid w:val="002B78D5"/>
    <w:rsid w:val="002B7CEE"/>
    <w:rsid w:val="002B7D62"/>
    <w:rsid w:val="002B7E3F"/>
    <w:rsid w:val="002B7FC4"/>
    <w:rsid w:val="002B8E6D"/>
    <w:rsid w:val="002C0070"/>
    <w:rsid w:val="002C0343"/>
    <w:rsid w:val="002C03E0"/>
    <w:rsid w:val="002C04D6"/>
    <w:rsid w:val="002C05E1"/>
    <w:rsid w:val="002C070C"/>
    <w:rsid w:val="002C0762"/>
    <w:rsid w:val="002C07F7"/>
    <w:rsid w:val="002C0943"/>
    <w:rsid w:val="002C0A52"/>
    <w:rsid w:val="002C0BAF"/>
    <w:rsid w:val="002C0C2B"/>
    <w:rsid w:val="002C0CA8"/>
    <w:rsid w:val="002C0D6D"/>
    <w:rsid w:val="002C13AF"/>
    <w:rsid w:val="002C146F"/>
    <w:rsid w:val="002C15A5"/>
    <w:rsid w:val="002C15BC"/>
    <w:rsid w:val="002C173D"/>
    <w:rsid w:val="002C1D5B"/>
    <w:rsid w:val="002C1D9E"/>
    <w:rsid w:val="002C1DBF"/>
    <w:rsid w:val="002C1FF1"/>
    <w:rsid w:val="002C206C"/>
    <w:rsid w:val="002C224A"/>
    <w:rsid w:val="002C23C0"/>
    <w:rsid w:val="002C24E6"/>
    <w:rsid w:val="002C24FB"/>
    <w:rsid w:val="002C2887"/>
    <w:rsid w:val="002C2A72"/>
    <w:rsid w:val="002C2A7D"/>
    <w:rsid w:val="002C2D3A"/>
    <w:rsid w:val="002C2D8B"/>
    <w:rsid w:val="002C2E26"/>
    <w:rsid w:val="002C2E64"/>
    <w:rsid w:val="002C3191"/>
    <w:rsid w:val="002C35B6"/>
    <w:rsid w:val="002C3A7C"/>
    <w:rsid w:val="002C3BD2"/>
    <w:rsid w:val="002C3BD6"/>
    <w:rsid w:val="002C3CA1"/>
    <w:rsid w:val="002C3E0C"/>
    <w:rsid w:val="002C3E25"/>
    <w:rsid w:val="002C3EE3"/>
    <w:rsid w:val="002C4268"/>
    <w:rsid w:val="002C4287"/>
    <w:rsid w:val="002C4676"/>
    <w:rsid w:val="002C46E4"/>
    <w:rsid w:val="002C4718"/>
    <w:rsid w:val="002C486F"/>
    <w:rsid w:val="002C4C32"/>
    <w:rsid w:val="002C4DDF"/>
    <w:rsid w:val="002C5031"/>
    <w:rsid w:val="002C512F"/>
    <w:rsid w:val="002C51EA"/>
    <w:rsid w:val="002C5246"/>
    <w:rsid w:val="002C5515"/>
    <w:rsid w:val="002C564D"/>
    <w:rsid w:val="002C5FCC"/>
    <w:rsid w:val="002C601A"/>
    <w:rsid w:val="002C620A"/>
    <w:rsid w:val="002C62F8"/>
    <w:rsid w:val="002C65E5"/>
    <w:rsid w:val="002C6860"/>
    <w:rsid w:val="002C6920"/>
    <w:rsid w:val="002C6A82"/>
    <w:rsid w:val="002C6BA7"/>
    <w:rsid w:val="002C6C7C"/>
    <w:rsid w:val="002C6CBB"/>
    <w:rsid w:val="002C6D2D"/>
    <w:rsid w:val="002C6ED8"/>
    <w:rsid w:val="002C746F"/>
    <w:rsid w:val="002C75FD"/>
    <w:rsid w:val="002C77F0"/>
    <w:rsid w:val="002C79D4"/>
    <w:rsid w:val="002C7C44"/>
    <w:rsid w:val="002C7EDC"/>
    <w:rsid w:val="002D0102"/>
    <w:rsid w:val="002D0392"/>
    <w:rsid w:val="002D042F"/>
    <w:rsid w:val="002D04E9"/>
    <w:rsid w:val="002D0788"/>
    <w:rsid w:val="002D07C9"/>
    <w:rsid w:val="002D0CDF"/>
    <w:rsid w:val="002D0E3E"/>
    <w:rsid w:val="002D1080"/>
    <w:rsid w:val="002D14B8"/>
    <w:rsid w:val="002D16FA"/>
    <w:rsid w:val="002D1717"/>
    <w:rsid w:val="002D1828"/>
    <w:rsid w:val="002D1901"/>
    <w:rsid w:val="002D1920"/>
    <w:rsid w:val="002D1B5C"/>
    <w:rsid w:val="002D1D37"/>
    <w:rsid w:val="002D2159"/>
    <w:rsid w:val="002D226E"/>
    <w:rsid w:val="002D246F"/>
    <w:rsid w:val="002D2552"/>
    <w:rsid w:val="002D28A3"/>
    <w:rsid w:val="002D2B4A"/>
    <w:rsid w:val="002D2C11"/>
    <w:rsid w:val="002D2CA6"/>
    <w:rsid w:val="002D2E55"/>
    <w:rsid w:val="002D2F88"/>
    <w:rsid w:val="002D2F9C"/>
    <w:rsid w:val="002D3013"/>
    <w:rsid w:val="002D310F"/>
    <w:rsid w:val="002D333D"/>
    <w:rsid w:val="002D3474"/>
    <w:rsid w:val="002D34B1"/>
    <w:rsid w:val="002D3674"/>
    <w:rsid w:val="002D3982"/>
    <w:rsid w:val="002D3A7F"/>
    <w:rsid w:val="002D3BE7"/>
    <w:rsid w:val="002D3E55"/>
    <w:rsid w:val="002D3F32"/>
    <w:rsid w:val="002D3FA1"/>
    <w:rsid w:val="002D3FDA"/>
    <w:rsid w:val="002D4105"/>
    <w:rsid w:val="002D417E"/>
    <w:rsid w:val="002D4281"/>
    <w:rsid w:val="002D43F3"/>
    <w:rsid w:val="002D4457"/>
    <w:rsid w:val="002D467E"/>
    <w:rsid w:val="002D46C9"/>
    <w:rsid w:val="002D46F7"/>
    <w:rsid w:val="002D4896"/>
    <w:rsid w:val="002D48AA"/>
    <w:rsid w:val="002D49BF"/>
    <w:rsid w:val="002D4C7C"/>
    <w:rsid w:val="002D4CEE"/>
    <w:rsid w:val="002D4F99"/>
    <w:rsid w:val="002D5177"/>
    <w:rsid w:val="002D518C"/>
    <w:rsid w:val="002D5257"/>
    <w:rsid w:val="002D52C6"/>
    <w:rsid w:val="002D5457"/>
    <w:rsid w:val="002D56AF"/>
    <w:rsid w:val="002D596D"/>
    <w:rsid w:val="002D5B05"/>
    <w:rsid w:val="002D5B63"/>
    <w:rsid w:val="002D5C4A"/>
    <w:rsid w:val="002D5EB0"/>
    <w:rsid w:val="002D5FA9"/>
    <w:rsid w:val="002D6147"/>
    <w:rsid w:val="002D614B"/>
    <w:rsid w:val="002D6736"/>
    <w:rsid w:val="002D690F"/>
    <w:rsid w:val="002D6C4E"/>
    <w:rsid w:val="002D6C5A"/>
    <w:rsid w:val="002D6C7F"/>
    <w:rsid w:val="002D6C8A"/>
    <w:rsid w:val="002D6C8C"/>
    <w:rsid w:val="002D6D4D"/>
    <w:rsid w:val="002D6E23"/>
    <w:rsid w:val="002D6FC5"/>
    <w:rsid w:val="002D70AE"/>
    <w:rsid w:val="002D718A"/>
    <w:rsid w:val="002D72BB"/>
    <w:rsid w:val="002D7345"/>
    <w:rsid w:val="002D7398"/>
    <w:rsid w:val="002D7471"/>
    <w:rsid w:val="002D7591"/>
    <w:rsid w:val="002D7614"/>
    <w:rsid w:val="002D76FC"/>
    <w:rsid w:val="002D771B"/>
    <w:rsid w:val="002D7BD3"/>
    <w:rsid w:val="002D7F61"/>
    <w:rsid w:val="002D7F8C"/>
    <w:rsid w:val="002D7F99"/>
    <w:rsid w:val="002D7FEB"/>
    <w:rsid w:val="002E0158"/>
    <w:rsid w:val="002E0298"/>
    <w:rsid w:val="002E04DD"/>
    <w:rsid w:val="002E08B5"/>
    <w:rsid w:val="002E0ABB"/>
    <w:rsid w:val="002E0B8C"/>
    <w:rsid w:val="002E0C89"/>
    <w:rsid w:val="002E0E7A"/>
    <w:rsid w:val="002E0FEF"/>
    <w:rsid w:val="002E1142"/>
    <w:rsid w:val="002E1429"/>
    <w:rsid w:val="002E16C7"/>
    <w:rsid w:val="002E16D1"/>
    <w:rsid w:val="002E184C"/>
    <w:rsid w:val="002E18A6"/>
    <w:rsid w:val="002E19A6"/>
    <w:rsid w:val="002E1A65"/>
    <w:rsid w:val="002E1AFD"/>
    <w:rsid w:val="002E1EB4"/>
    <w:rsid w:val="002E1F64"/>
    <w:rsid w:val="002E21C5"/>
    <w:rsid w:val="002E23DF"/>
    <w:rsid w:val="002E24F9"/>
    <w:rsid w:val="002E2541"/>
    <w:rsid w:val="002E29AE"/>
    <w:rsid w:val="002E2A3C"/>
    <w:rsid w:val="002E2B0C"/>
    <w:rsid w:val="002E2B29"/>
    <w:rsid w:val="002E2D96"/>
    <w:rsid w:val="002E2E78"/>
    <w:rsid w:val="002E2F59"/>
    <w:rsid w:val="002E2F7B"/>
    <w:rsid w:val="002E321C"/>
    <w:rsid w:val="002E3501"/>
    <w:rsid w:val="002E36D5"/>
    <w:rsid w:val="002E3701"/>
    <w:rsid w:val="002E37C5"/>
    <w:rsid w:val="002E39B4"/>
    <w:rsid w:val="002E3D8F"/>
    <w:rsid w:val="002E3DB8"/>
    <w:rsid w:val="002E3F24"/>
    <w:rsid w:val="002E406F"/>
    <w:rsid w:val="002E41A6"/>
    <w:rsid w:val="002E4881"/>
    <w:rsid w:val="002E48DD"/>
    <w:rsid w:val="002E4AD6"/>
    <w:rsid w:val="002E4B0B"/>
    <w:rsid w:val="002E4B25"/>
    <w:rsid w:val="002E4B72"/>
    <w:rsid w:val="002E4BB2"/>
    <w:rsid w:val="002E4C7F"/>
    <w:rsid w:val="002E4CA7"/>
    <w:rsid w:val="002E4CD5"/>
    <w:rsid w:val="002E4EC2"/>
    <w:rsid w:val="002E5132"/>
    <w:rsid w:val="002E51B4"/>
    <w:rsid w:val="002E53C0"/>
    <w:rsid w:val="002E59D0"/>
    <w:rsid w:val="002E5E2F"/>
    <w:rsid w:val="002E6035"/>
    <w:rsid w:val="002E6153"/>
    <w:rsid w:val="002E6394"/>
    <w:rsid w:val="002E63E2"/>
    <w:rsid w:val="002E64D5"/>
    <w:rsid w:val="002E6993"/>
    <w:rsid w:val="002E6BB6"/>
    <w:rsid w:val="002E6BB9"/>
    <w:rsid w:val="002E6D44"/>
    <w:rsid w:val="002E6D5E"/>
    <w:rsid w:val="002E6F9D"/>
    <w:rsid w:val="002E6FD5"/>
    <w:rsid w:val="002E70E1"/>
    <w:rsid w:val="002E7174"/>
    <w:rsid w:val="002E71F5"/>
    <w:rsid w:val="002E723C"/>
    <w:rsid w:val="002E7343"/>
    <w:rsid w:val="002E73F6"/>
    <w:rsid w:val="002E7476"/>
    <w:rsid w:val="002E79FD"/>
    <w:rsid w:val="002E7B14"/>
    <w:rsid w:val="002E7D43"/>
    <w:rsid w:val="002E7FEE"/>
    <w:rsid w:val="002F0115"/>
    <w:rsid w:val="002F015E"/>
    <w:rsid w:val="002F02C5"/>
    <w:rsid w:val="002F0357"/>
    <w:rsid w:val="002F051B"/>
    <w:rsid w:val="002F0907"/>
    <w:rsid w:val="002F0C50"/>
    <w:rsid w:val="002F0C62"/>
    <w:rsid w:val="002F0E3B"/>
    <w:rsid w:val="002F0E45"/>
    <w:rsid w:val="002F0FE9"/>
    <w:rsid w:val="002F10C8"/>
    <w:rsid w:val="002F1337"/>
    <w:rsid w:val="002F134B"/>
    <w:rsid w:val="002F1406"/>
    <w:rsid w:val="002F1506"/>
    <w:rsid w:val="002F182C"/>
    <w:rsid w:val="002F18F0"/>
    <w:rsid w:val="002F1B5F"/>
    <w:rsid w:val="002F1CEE"/>
    <w:rsid w:val="002F1D2B"/>
    <w:rsid w:val="002F204E"/>
    <w:rsid w:val="002F2185"/>
    <w:rsid w:val="002F2282"/>
    <w:rsid w:val="002F242F"/>
    <w:rsid w:val="002F255E"/>
    <w:rsid w:val="002F2589"/>
    <w:rsid w:val="002F25D2"/>
    <w:rsid w:val="002F273D"/>
    <w:rsid w:val="002F28AA"/>
    <w:rsid w:val="002F293E"/>
    <w:rsid w:val="002F29F0"/>
    <w:rsid w:val="002F2B12"/>
    <w:rsid w:val="002F2D70"/>
    <w:rsid w:val="002F2DFD"/>
    <w:rsid w:val="002F32D3"/>
    <w:rsid w:val="002F3447"/>
    <w:rsid w:val="002F371B"/>
    <w:rsid w:val="002F38B6"/>
    <w:rsid w:val="002F39FF"/>
    <w:rsid w:val="002F3A46"/>
    <w:rsid w:val="002F3A6A"/>
    <w:rsid w:val="002F3C1F"/>
    <w:rsid w:val="002F3D51"/>
    <w:rsid w:val="002F3EB8"/>
    <w:rsid w:val="002F4024"/>
    <w:rsid w:val="002F41E8"/>
    <w:rsid w:val="002F4216"/>
    <w:rsid w:val="002F4337"/>
    <w:rsid w:val="002F4389"/>
    <w:rsid w:val="002F43FE"/>
    <w:rsid w:val="002F4F62"/>
    <w:rsid w:val="002F5025"/>
    <w:rsid w:val="002F51BE"/>
    <w:rsid w:val="002F53B8"/>
    <w:rsid w:val="002F5C3C"/>
    <w:rsid w:val="002F5C42"/>
    <w:rsid w:val="002F5F47"/>
    <w:rsid w:val="002F601D"/>
    <w:rsid w:val="002F6342"/>
    <w:rsid w:val="002F645B"/>
    <w:rsid w:val="002F6461"/>
    <w:rsid w:val="002F6516"/>
    <w:rsid w:val="002F65C1"/>
    <w:rsid w:val="002F66E7"/>
    <w:rsid w:val="002F69A9"/>
    <w:rsid w:val="002F6C6C"/>
    <w:rsid w:val="002F6D3A"/>
    <w:rsid w:val="002F7244"/>
    <w:rsid w:val="002F7756"/>
    <w:rsid w:val="002F79DB"/>
    <w:rsid w:val="002F7BA4"/>
    <w:rsid w:val="002F7E2A"/>
    <w:rsid w:val="002F7EC6"/>
    <w:rsid w:val="0030043F"/>
    <w:rsid w:val="003004E1"/>
    <w:rsid w:val="00300605"/>
    <w:rsid w:val="00300619"/>
    <w:rsid w:val="003006B7"/>
    <w:rsid w:val="00300782"/>
    <w:rsid w:val="00300912"/>
    <w:rsid w:val="00300B9F"/>
    <w:rsid w:val="00300C72"/>
    <w:rsid w:val="00300C86"/>
    <w:rsid w:val="00300D0E"/>
    <w:rsid w:val="00300DD8"/>
    <w:rsid w:val="00300DE8"/>
    <w:rsid w:val="00300ED0"/>
    <w:rsid w:val="0030102A"/>
    <w:rsid w:val="0030108F"/>
    <w:rsid w:val="0030113F"/>
    <w:rsid w:val="00301383"/>
    <w:rsid w:val="0030144E"/>
    <w:rsid w:val="00301849"/>
    <w:rsid w:val="00301922"/>
    <w:rsid w:val="00301994"/>
    <w:rsid w:val="00301A2E"/>
    <w:rsid w:val="00301B39"/>
    <w:rsid w:val="003020EE"/>
    <w:rsid w:val="003022E9"/>
    <w:rsid w:val="00302B5E"/>
    <w:rsid w:val="00302C4B"/>
    <w:rsid w:val="00302D9B"/>
    <w:rsid w:val="00302E33"/>
    <w:rsid w:val="00302F9C"/>
    <w:rsid w:val="00303008"/>
    <w:rsid w:val="00303169"/>
    <w:rsid w:val="003031E1"/>
    <w:rsid w:val="00303286"/>
    <w:rsid w:val="00303344"/>
    <w:rsid w:val="0030341C"/>
    <w:rsid w:val="00303654"/>
    <w:rsid w:val="003036E2"/>
    <w:rsid w:val="00303762"/>
    <w:rsid w:val="003037A9"/>
    <w:rsid w:val="0030380E"/>
    <w:rsid w:val="00303B96"/>
    <w:rsid w:val="00303E7C"/>
    <w:rsid w:val="0030406B"/>
    <w:rsid w:val="0030444E"/>
    <w:rsid w:val="0030477A"/>
    <w:rsid w:val="003048DD"/>
    <w:rsid w:val="00304A39"/>
    <w:rsid w:val="00304B13"/>
    <w:rsid w:val="00304BCA"/>
    <w:rsid w:val="00304C45"/>
    <w:rsid w:val="00304D05"/>
    <w:rsid w:val="00304E66"/>
    <w:rsid w:val="00304E8D"/>
    <w:rsid w:val="00304EBC"/>
    <w:rsid w:val="00305456"/>
    <w:rsid w:val="00305575"/>
    <w:rsid w:val="00305850"/>
    <w:rsid w:val="003058F7"/>
    <w:rsid w:val="00305F2D"/>
    <w:rsid w:val="0030637E"/>
    <w:rsid w:val="003063CB"/>
    <w:rsid w:val="00306481"/>
    <w:rsid w:val="0030666C"/>
    <w:rsid w:val="003066B4"/>
    <w:rsid w:val="003066C9"/>
    <w:rsid w:val="003066FB"/>
    <w:rsid w:val="0030673A"/>
    <w:rsid w:val="003068B4"/>
    <w:rsid w:val="00306904"/>
    <w:rsid w:val="00306971"/>
    <w:rsid w:val="00306B7C"/>
    <w:rsid w:val="00306E15"/>
    <w:rsid w:val="00306FDB"/>
    <w:rsid w:val="003072A9"/>
    <w:rsid w:val="003072E2"/>
    <w:rsid w:val="00307439"/>
    <w:rsid w:val="003075D8"/>
    <w:rsid w:val="003077D0"/>
    <w:rsid w:val="00307BE3"/>
    <w:rsid w:val="00307C80"/>
    <w:rsid w:val="00307E81"/>
    <w:rsid w:val="00307E86"/>
    <w:rsid w:val="0031014F"/>
    <w:rsid w:val="00310278"/>
    <w:rsid w:val="003102E8"/>
    <w:rsid w:val="00310404"/>
    <w:rsid w:val="003104F0"/>
    <w:rsid w:val="00310694"/>
    <w:rsid w:val="00310771"/>
    <w:rsid w:val="00310FDB"/>
    <w:rsid w:val="00310FF0"/>
    <w:rsid w:val="00311096"/>
    <w:rsid w:val="0031128E"/>
    <w:rsid w:val="00311498"/>
    <w:rsid w:val="0031165A"/>
    <w:rsid w:val="00311756"/>
    <w:rsid w:val="0031188E"/>
    <w:rsid w:val="00311911"/>
    <w:rsid w:val="00311A56"/>
    <w:rsid w:val="00311B5D"/>
    <w:rsid w:val="00311C95"/>
    <w:rsid w:val="00311D38"/>
    <w:rsid w:val="00311E07"/>
    <w:rsid w:val="0031218F"/>
    <w:rsid w:val="00312309"/>
    <w:rsid w:val="0031232F"/>
    <w:rsid w:val="003125F1"/>
    <w:rsid w:val="0031283A"/>
    <w:rsid w:val="00312AC0"/>
    <w:rsid w:val="00312B36"/>
    <w:rsid w:val="00312C4E"/>
    <w:rsid w:val="00312C97"/>
    <w:rsid w:val="00312D5F"/>
    <w:rsid w:val="00312EB4"/>
    <w:rsid w:val="00313163"/>
    <w:rsid w:val="00313328"/>
    <w:rsid w:val="00313543"/>
    <w:rsid w:val="0031389E"/>
    <w:rsid w:val="00313916"/>
    <w:rsid w:val="00313995"/>
    <w:rsid w:val="00313B3A"/>
    <w:rsid w:val="00313D4E"/>
    <w:rsid w:val="00313DB7"/>
    <w:rsid w:val="00313F5D"/>
    <w:rsid w:val="003140C1"/>
    <w:rsid w:val="0031410F"/>
    <w:rsid w:val="0031432B"/>
    <w:rsid w:val="003146E4"/>
    <w:rsid w:val="00314794"/>
    <w:rsid w:val="003147D0"/>
    <w:rsid w:val="0031488C"/>
    <w:rsid w:val="003148BB"/>
    <w:rsid w:val="00314917"/>
    <w:rsid w:val="0031497F"/>
    <w:rsid w:val="003149C8"/>
    <w:rsid w:val="00314ED2"/>
    <w:rsid w:val="003151A7"/>
    <w:rsid w:val="00315265"/>
    <w:rsid w:val="0031528E"/>
    <w:rsid w:val="00315527"/>
    <w:rsid w:val="003157DB"/>
    <w:rsid w:val="00315B47"/>
    <w:rsid w:val="00315CA6"/>
    <w:rsid w:val="00315D3B"/>
    <w:rsid w:val="00315DED"/>
    <w:rsid w:val="00315E67"/>
    <w:rsid w:val="00315ED2"/>
    <w:rsid w:val="0031605D"/>
    <w:rsid w:val="003161EF"/>
    <w:rsid w:val="0031622D"/>
    <w:rsid w:val="00316318"/>
    <w:rsid w:val="00316341"/>
    <w:rsid w:val="003163B9"/>
    <w:rsid w:val="0031646B"/>
    <w:rsid w:val="00316779"/>
    <w:rsid w:val="00316A06"/>
    <w:rsid w:val="00316AF3"/>
    <w:rsid w:val="00316C50"/>
    <w:rsid w:val="00316E28"/>
    <w:rsid w:val="00316EAC"/>
    <w:rsid w:val="00316F34"/>
    <w:rsid w:val="00317099"/>
    <w:rsid w:val="0031714B"/>
    <w:rsid w:val="0031744E"/>
    <w:rsid w:val="003174B4"/>
    <w:rsid w:val="003179BA"/>
    <w:rsid w:val="003179F4"/>
    <w:rsid w:val="00317A91"/>
    <w:rsid w:val="00317A96"/>
    <w:rsid w:val="00317A98"/>
    <w:rsid w:val="00317AB6"/>
    <w:rsid w:val="00317ABD"/>
    <w:rsid w:val="00317B2D"/>
    <w:rsid w:val="00317E95"/>
    <w:rsid w:val="00317F19"/>
    <w:rsid w:val="00320209"/>
    <w:rsid w:val="003202C2"/>
    <w:rsid w:val="003204E5"/>
    <w:rsid w:val="003204EF"/>
    <w:rsid w:val="003206BE"/>
    <w:rsid w:val="0032071C"/>
    <w:rsid w:val="00320745"/>
    <w:rsid w:val="00320777"/>
    <w:rsid w:val="00320807"/>
    <w:rsid w:val="00320DAB"/>
    <w:rsid w:val="00320DD8"/>
    <w:rsid w:val="00320F32"/>
    <w:rsid w:val="0032103B"/>
    <w:rsid w:val="00321170"/>
    <w:rsid w:val="003217FE"/>
    <w:rsid w:val="00321849"/>
    <w:rsid w:val="00321993"/>
    <w:rsid w:val="00321B27"/>
    <w:rsid w:val="00321DAA"/>
    <w:rsid w:val="00321DC3"/>
    <w:rsid w:val="00322417"/>
    <w:rsid w:val="003224BF"/>
    <w:rsid w:val="00322707"/>
    <w:rsid w:val="00322A09"/>
    <w:rsid w:val="00322A67"/>
    <w:rsid w:val="00322B9B"/>
    <w:rsid w:val="00322DF8"/>
    <w:rsid w:val="00322FDE"/>
    <w:rsid w:val="00323148"/>
    <w:rsid w:val="003232C4"/>
    <w:rsid w:val="003234EB"/>
    <w:rsid w:val="0032363F"/>
    <w:rsid w:val="00323A31"/>
    <w:rsid w:val="00323AD9"/>
    <w:rsid w:val="00323BC3"/>
    <w:rsid w:val="00323E1B"/>
    <w:rsid w:val="003241A4"/>
    <w:rsid w:val="0032455A"/>
    <w:rsid w:val="003246F5"/>
    <w:rsid w:val="0032470B"/>
    <w:rsid w:val="0032472F"/>
    <w:rsid w:val="00324936"/>
    <w:rsid w:val="00324A21"/>
    <w:rsid w:val="00324A39"/>
    <w:rsid w:val="00324A66"/>
    <w:rsid w:val="00324B89"/>
    <w:rsid w:val="00324CE4"/>
    <w:rsid w:val="00324ED2"/>
    <w:rsid w:val="00324F67"/>
    <w:rsid w:val="00324FBE"/>
    <w:rsid w:val="003253C2"/>
    <w:rsid w:val="003253F5"/>
    <w:rsid w:val="00325459"/>
    <w:rsid w:val="0032548F"/>
    <w:rsid w:val="00325506"/>
    <w:rsid w:val="003255CF"/>
    <w:rsid w:val="003256FB"/>
    <w:rsid w:val="0032575B"/>
    <w:rsid w:val="0032584A"/>
    <w:rsid w:val="003259BB"/>
    <w:rsid w:val="00325CB1"/>
    <w:rsid w:val="00325DA0"/>
    <w:rsid w:val="00325FCA"/>
    <w:rsid w:val="00325FD9"/>
    <w:rsid w:val="0032622B"/>
    <w:rsid w:val="00326288"/>
    <w:rsid w:val="003262BF"/>
    <w:rsid w:val="003263B7"/>
    <w:rsid w:val="00326577"/>
    <w:rsid w:val="003267F2"/>
    <w:rsid w:val="0032682A"/>
    <w:rsid w:val="00326985"/>
    <w:rsid w:val="00326A0B"/>
    <w:rsid w:val="00326C0B"/>
    <w:rsid w:val="00326E23"/>
    <w:rsid w:val="00326E61"/>
    <w:rsid w:val="00326EFB"/>
    <w:rsid w:val="00327301"/>
    <w:rsid w:val="003277C2"/>
    <w:rsid w:val="0032781F"/>
    <w:rsid w:val="00327A86"/>
    <w:rsid w:val="00327AA1"/>
    <w:rsid w:val="00327C05"/>
    <w:rsid w:val="00327CB0"/>
    <w:rsid w:val="00327F3A"/>
    <w:rsid w:val="00327FC9"/>
    <w:rsid w:val="003303CC"/>
    <w:rsid w:val="00330569"/>
    <w:rsid w:val="003305F2"/>
    <w:rsid w:val="00330743"/>
    <w:rsid w:val="003307FA"/>
    <w:rsid w:val="00330804"/>
    <w:rsid w:val="00330B04"/>
    <w:rsid w:val="00330B26"/>
    <w:rsid w:val="00330CB9"/>
    <w:rsid w:val="00330D61"/>
    <w:rsid w:val="00330E0E"/>
    <w:rsid w:val="003310F0"/>
    <w:rsid w:val="003311A3"/>
    <w:rsid w:val="00331398"/>
    <w:rsid w:val="003315B6"/>
    <w:rsid w:val="0033191E"/>
    <w:rsid w:val="00331BDC"/>
    <w:rsid w:val="00331F9A"/>
    <w:rsid w:val="00332083"/>
    <w:rsid w:val="003320E4"/>
    <w:rsid w:val="003321BF"/>
    <w:rsid w:val="00332258"/>
    <w:rsid w:val="00332308"/>
    <w:rsid w:val="0033239E"/>
    <w:rsid w:val="003328E9"/>
    <w:rsid w:val="00332988"/>
    <w:rsid w:val="0033298D"/>
    <w:rsid w:val="00332B94"/>
    <w:rsid w:val="00332DF3"/>
    <w:rsid w:val="0033304A"/>
    <w:rsid w:val="00333118"/>
    <w:rsid w:val="003332E9"/>
    <w:rsid w:val="00333884"/>
    <w:rsid w:val="003338B2"/>
    <w:rsid w:val="00333986"/>
    <w:rsid w:val="003339EB"/>
    <w:rsid w:val="00333D1F"/>
    <w:rsid w:val="00333D59"/>
    <w:rsid w:val="00333F6C"/>
    <w:rsid w:val="00334238"/>
    <w:rsid w:val="00334265"/>
    <w:rsid w:val="00334270"/>
    <w:rsid w:val="00334344"/>
    <w:rsid w:val="00334446"/>
    <w:rsid w:val="0033460F"/>
    <w:rsid w:val="00334676"/>
    <w:rsid w:val="00334A1E"/>
    <w:rsid w:val="00334A3A"/>
    <w:rsid w:val="00334A65"/>
    <w:rsid w:val="00334D91"/>
    <w:rsid w:val="00334DBB"/>
    <w:rsid w:val="00334EB4"/>
    <w:rsid w:val="00334F67"/>
    <w:rsid w:val="00335006"/>
    <w:rsid w:val="003350EC"/>
    <w:rsid w:val="003351EE"/>
    <w:rsid w:val="003352DB"/>
    <w:rsid w:val="00335669"/>
    <w:rsid w:val="003356F4"/>
    <w:rsid w:val="003357BF"/>
    <w:rsid w:val="003359C8"/>
    <w:rsid w:val="00335A6A"/>
    <w:rsid w:val="00335B50"/>
    <w:rsid w:val="00335CB7"/>
    <w:rsid w:val="00336263"/>
    <w:rsid w:val="00336912"/>
    <w:rsid w:val="00336A5B"/>
    <w:rsid w:val="00336D8E"/>
    <w:rsid w:val="003375CD"/>
    <w:rsid w:val="00337772"/>
    <w:rsid w:val="00337A1F"/>
    <w:rsid w:val="00337D89"/>
    <w:rsid w:val="00337DF2"/>
    <w:rsid w:val="00337DFB"/>
    <w:rsid w:val="00337E5B"/>
    <w:rsid w:val="00337E60"/>
    <w:rsid w:val="0034042C"/>
    <w:rsid w:val="00340478"/>
    <w:rsid w:val="003404B7"/>
    <w:rsid w:val="0034056F"/>
    <w:rsid w:val="003405FE"/>
    <w:rsid w:val="003406EF"/>
    <w:rsid w:val="00340B77"/>
    <w:rsid w:val="00340B81"/>
    <w:rsid w:val="00340B94"/>
    <w:rsid w:val="00340D70"/>
    <w:rsid w:val="00340EE4"/>
    <w:rsid w:val="00341144"/>
    <w:rsid w:val="003413C6"/>
    <w:rsid w:val="003416DF"/>
    <w:rsid w:val="00341792"/>
    <w:rsid w:val="00341796"/>
    <w:rsid w:val="003419A2"/>
    <w:rsid w:val="003419DB"/>
    <w:rsid w:val="00341B33"/>
    <w:rsid w:val="00341BA6"/>
    <w:rsid w:val="00341C72"/>
    <w:rsid w:val="00341E8A"/>
    <w:rsid w:val="00341EB4"/>
    <w:rsid w:val="00341FE8"/>
    <w:rsid w:val="003420BB"/>
    <w:rsid w:val="00342333"/>
    <w:rsid w:val="0034234A"/>
    <w:rsid w:val="00342793"/>
    <w:rsid w:val="003427EA"/>
    <w:rsid w:val="003429CE"/>
    <w:rsid w:val="00342CB7"/>
    <w:rsid w:val="00342DE7"/>
    <w:rsid w:val="0034305A"/>
    <w:rsid w:val="00343088"/>
    <w:rsid w:val="00343537"/>
    <w:rsid w:val="003438FD"/>
    <w:rsid w:val="003439C4"/>
    <w:rsid w:val="003439FA"/>
    <w:rsid w:val="00343B9E"/>
    <w:rsid w:val="00343D16"/>
    <w:rsid w:val="00343DA6"/>
    <w:rsid w:val="00343E02"/>
    <w:rsid w:val="00343E65"/>
    <w:rsid w:val="00343EE9"/>
    <w:rsid w:val="0034425C"/>
    <w:rsid w:val="003443A2"/>
    <w:rsid w:val="003444AF"/>
    <w:rsid w:val="003449C9"/>
    <w:rsid w:val="00344B27"/>
    <w:rsid w:val="00344D94"/>
    <w:rsid w:val="0034502E"/>
    <w:rsid w:val="0034508B"/>
    <w:rsid w:val="003456A3"/>
    <w:rsid w:val="0034578D"/>
    <w:rsid w:val="00345935"/>
    <w:rsid w:val="00345D2A"/>
    <w:rsid w:val="00345F4D"/>
    <w:rsid w:val="00346081"/>
    <w:rsid w:val="0034613D"/>
    <w:rsid w:val="003463CB"/>
    <w:rsid w:val="003465FC"/>
    <w:rsid w:val="00346692"/>
    <w:rsid w:val="0034686A"/>
    <w:rsid w:val="0034697A"/>
    <w:rsid w:val="00346C46"/>
    <w:rsid w:val="00346D70"/>
    <w:rsid w:val="00346EEF"/>
    <w:rsid w:val="00346F4A"/>
    <w:rsid w:val="0034704A"/>
    <w:rsid w:val="003470EA"/>
    <w:rsid w:val="003471B4"/>
    <w:rsid w:val="003472CB"/>
    <w:rsid w:val="003473AF"/>
    <w:rsid w:val="00347517"/>
    <w:rsid w:val="003475AA"/>
    <w:rsid w:val="003478EA"/>
    <w:rsid w:val="0034794F"/>
    <w:rsid w:val="0035041B"/>
    <w:rsid w:val="003504FC"/>
    <w:rsid w:val="003506C2"/>
    <w:rsid w:val="00350937"/>
    <w:rsid w:val="003509C6"/>
    <w:rsid w:val="00350A1B"/>
    <w:rsid w:val="00350AFC"/>
    <w:rsid w:val="00350EA0"/>
    <w:rsid w:val="00350F5E"/>
    <w:rsid w:val="0035105E"/>
    <w:rsid w:val="00351115"/>
    <w:rsid w:val="0035123B"/>
    <w:rsid w:val="00351302"/>
    <w:rsid w:val="0035133E"/>
    <w:rsid w:val="00351560"/>
    <w:rsid w:val="00351602"/>
    <w:rsid w:val="003518B0"/>
    <w:rsid w:val="00351AF4"/>
    <w:rsid w:val="00351B8D"/>
    <w:rsid w:val="00351C7A"/>
    <w:rsid w:val="00351D03"/>
    <w:rsid w:val="00351FFE"/>
    <w:rsid w:val="003521D0"/>
    <w:rsid w:val="003521DC"/>
    <w:rsid w:val="00352262"/>
    <w:rsid w:val="0035229E"/>
    <w:rsid w:val="00352393"/>
    <w:rsid w:val="0035250D"/>
    <w:rsid w:val="00352663"/>
    <w:rsid w:val="003526AF"/>
    <w:rsid w:val="003526F8"/>
    <w:rsid w:val="00352D1F"/>
    <w:rsid w:val="00352D91"/>
    <w:rsid w:val="00352EA3"/>
    <w:rsid w:val="00352EBC"/>
    <w:rsid w:val="00352EFC"/>
    <w:rsid w:val="00352FB3"/>
    <w:rsid w:val="003530FF"/>
    <w:rsid w:val="0035311F"/>
    <w:rsid w:val="00353159"/>
    <w:rsid w:val="00353510"/>
    <w:rsid w:val="003535CC"/>
    <w:rsid w:val="003537A4"/>
    <w:rsid w:val="00353829"/>
    <w:rsid w:val="003538CA"/>
    <w:rsid w:val="0035397B"/>
    <w:rsid w:val="00353990"/>
    <w:rsid w:val="00353B0D"/>
    <w:rsid w:val="00353B26"/>
    <w:rsid w:val="00353B3E"/>
    <w:rsid w:val="00354026"/>
    <w:rsid w:val="00354049"/>
    <w:rsid w:val="003540C9"/>
    <w:rsid w:val="00354470"/>
    <w:rsid w:val="003546F3"/>
    <w:rsid w:val="00354793"/>
    <w:rsid w:val="00354809"/>
    <w:rsid w:val="003548F2"/>
    <w:rsid w:val="00354A08"/>
    <w:rsid w:val="00354BA9"/>
    <w:rsid w:val="00354D0E"/>
    <w:rsid w:val="00354E14"/>
    <w:rsid w:val="00354E27"/>
    <w:rsid w:val="00355598"/>
    <w:rsid w:val="003556CC"/>
    <w:rsid w:val="003557C3"/>
    <w:rsid w:val="00355805"/>
    <w:rsid w:val="00355CD7"/>
    <w:rsid w:val="00355CFE"/>
    <w:rsid w:val="00355F43"/>
    <w:rsid w:val="003561D7"/>
    <w:rsid w:val="003564B9"/>
    <w:rsid w:val="003567CF"/>
    <w:rsid w:val="00356A78"/>
    <w:rsid w:val="00356CFC"/>
    <w:rsid w:val="00357140"/>
    <w:rsid w:val="00357171"/>
    <w:rsid w:val="0035719F"/>
    <w:rsid w:val="003571B7"/>
    <w:rsid w:val="003571BB"/>
    <w:rsid w:val="00357535"/>
    <w:rsid w:val="003577CD"/>
    <w:rsid w:val="00357843"/>
    <w:rsid w:val="00357B9E"/>
    <w:rsid w:val="00357E15"/>
    <w:rsid w:val="00357F12"/>
    <w:rsid w:val="00357F2E"/>
    <w:rsid w:val="00357F85"/>
    <w:rsid w:val="00360261"/>
    <w:rsid w:val="00360469"/>
    <w:rsid w:val="0036052E"/>
    <w:rsid w:val="003605F3"/>
    <w:rsid w:val="00360857"/>
    <w:rsid w:val="0036087C"/>
    <w:rsid w:val="003608B2"/>
    <w:rsid w:val="003608EA"/>
    <w:rsid w:val="00360DB0"/>
    <w:rsid w:val="00360F05"/>
    <w:rsid w:val="00360F28"/>
    <w:rsid w:val="00360F68"/>
    <w:rsid w:val="00361130"/>
    <w:rsid w:val="00361176"/>
    <w:rsid w:val="003611AF"/>
    <w:rsid w:val="00361310"/>
    <w:rsid w:val="0036157A"/>
    <w:rsid w:val="003618F2"/>
    <w:rsid w:val="00361949"/>
    <w:rsid w:val="00361C75"/>
    <w:rsid w:val="00361EF9"/>
    <w:rsid w:val="00361FD3"/>
    <w:rsid w:val="00362133"/>
    <w:rsid w:val="003622E2"/>
    <w:rsid w:val="00362748"/>
    <w:rsid w:val="00362A39"/>
    <w:rsid w:val="00362A7F"/>
    <w:rsid w:val="00362B54"/>
    <w:rsid w:val="00362C63"/>
    <w:rsid w:val="003632A2"/>
    <w:rsid w:val="00363581"/>
    <w:rsid w:val="00363671"/>
    <w:rsid w:val="0036371A"/>
    <w:rsid w:val="00363879"/>
    <w:rsid w:val="003638E7"/>
    <w:rsid w:val="003639DF"/>
    <w:rsid w:val="00363CC8"/>
    <w:rsid w:val="00363E5B"/>
    <w:rsid w:val="00363EC2"/>
    <w:rsid w:val="00363F5F"/>
    <w:rsid w:val="00364394"/>
    <w:rsid w:val="00364451"/>
    <w:rsid w:val="00364685"/>
    <w:rsid w:val="00364889"/>
    <w:rsid w:val="003649CB"/>
    <w:rsid w:val="00364BA3"/>
    <w:rsid w:val="0036537F"/>
    <w:rsid w:val="00365389"/>
    <w:rsid w:val="003653A7"/>
    <w:rsid w:val="00365A29"/>
    <w:rsid w:val="00365F3D"/>
    <w:rsid w:val="00365F4C"/>
    <w:rsid w:val="00365FA5"/>
    <w:rsid w:val="00365FD4"/>
    <w:rsid w:val="0036610C"/>
    <w:rsid w:val="003661BF"/>
    <w:rsid w:val="00366569"/>
    <w:rsid w:val="003669A0"/>
    <w:rsid w:val="00366ADE"/>
    <w:rsid w:val="00366D6C"/>
    <w:rsid w:val="00366E48"/>
    <w:rsid w:val="00366E56"/>
    <w:rsid w:val="00366F3A"/>
    <w:rsid w:val="003671B8"/>
    <w:rsid w:val="003671EA"/>
    <w:rsid w:val="0036731E"/>
    <w:rsid w:val="00367443"/>
    <w:rsid w:val="00367634"/>
    <w:rsid w:val="00367698"/>
    <w:rsid w:val="003677C5"/>
    <w:rsid w:val="003678F2"/>
    <w:rsid w:val="00367920"/>
    <w:rsid w:val="00367A23"/>
    <w:rsid w:val="00367A2D"/>
    <w:rsid w:val="00367D02"/>
    <w:rsid w:val="0037009A"/>
    <w:rsid w:val="00370237"/>
    <w:rsid w:val="00370449"/>
    <w:rsid w:val="003704C4"/>
    <w:rsid w:val="00370605"/>
    <w:rsid w:val="003709B1"/>
    <w:rsid w:val="003709E0"/>
    <w:rsid w:val="00370E66"/>
    <w:rsid w:val="00370F4C"/>
    <w:rsid w:val="00371151"/>
    <w:rsid w:val="003715DC"/>
    <w:rsid w:val="00371677"/>
    <w:rsid w:val="003716A4"/>
    <w:rsid w:val="00371707"/>
    <w:rsid w:val="00371811"/>
    <w:rsid w:val="00371C3E"/>
    <w:rsid w:val="00371CDF"/>
    <w:rsid w:val="00371DC4"/>
    <w:rsid w:val="00371FC4"/>
    <w:rsid w:val="003720B6"/>
    <w:rsid w:val="0037250B"/>
    <w:rsid w:val="003726C9"/>
    <w:rsid w:val="00372A7C"/>
    <w:rsid w:val="00372C3E"/>
    <w:rsid w:val="00372CC6"/>
    <w:rsid w:val="00372E40"/>
    <w:rsid w:val="00373046"/>
    <w:rsid w:val="003733B3"/>
    <w:rsid w:val="00373818"/>
    <w:rsid w:val="00373819"/>
    <w:rsid w:val="003738CD"/>
    <w:rsid w:val="00373A97"/>
    <w:rsid w:val="00373D07"/>
    <w:rsid w:val="00373E37"/>
    <w:rsid w:val="00373EA1"/>
    <w:rsid w:val="00373EB9"/>
    <w:rsid w:val="00373F34"/>
    <w:rsid w:val="0037419A"/>
    <w:rsid w:val="00374242"/>
    <w:rsid w:val="003745EA"/>
    <w:rsid w:val="003747D6"/>
    <w:rsid w:val="0037487E"/>
    <w:rsid w:val="0037496F"/>
    <w:rsid w:val="00374A44"/>
    <w:rsid w:val="00374BBA"/>
    <w:rsid w:val="00374C15"/>
    <w:rsid w:val="00374DBC"/>
    <w:rsid w:val="00374F94"/>
    <w:rsid w:val="003752D0"/>
    <w:rsid w:val="0037553D"/>
    <w:rsid w:val="00375A47"/>
    <w:rsid w:val="00375AB1"/>
    <w:rsid w:val="00375AC0"/>
    <w:rsid w:val="00375BF0"/>
    <w:rsid w:val="00375D99"/>
    <w:rsid w:val="00375E7E"/>
    <w:rsid w:val="00375F5B"/>
    <w:rsid w:val="00376067"/>
    <w:rsid w:val="0037622D"/>
    <w:rsid w:val="00376248"/>
    <w:rsid w:val="003763DD"/>
    <w:rsid w:val="003764AF"/>
    <w:rsid w:val="00376906"/>
    <w:rsid w:val="00376B40"/>
    <w:rsid w:val="00376B8B"/>
    <w:rsid w:val="00376BB4"/>
    <w:rsid w:val="00376CA7"/>
    <w:rsid w:val="00377001"/>
    <w:rsid w:val="003771C9"/>
    <w:rsid w:val="003771CC"/>
    <w:rsid w:val="00377281"/>
    <w:rsid w:val="003772E4"/>
    <w:rsid w:val="003776C9"/>
    <w:rsid w:val="003777BD"/>
    <w:rsid w:val="00377B64"/>
    <w:rsid w:val="00377BAA"/>
    <w:rsid w:val="00377CE3"/>
    <w:rsid w:val="00377F27"/>
    <w:rsid w:val="0038029C"/>
    <w:rsid w:val="003803ED"/>
    <w:rsid w:val="003804A0"/>
    <w:rsid w:val="00380540"/>
    <w:rsid w:val="003805BA"/>
    <w:rsid w:val="0038075B"/>
    <w:rsid w:val="00380984"/>
    <w:rsid w:val="00380AB1"/>
    <w:rsid w:val="00380B2A"/>
    <w:rsid w:val="00380B9A"/>
    <w:rsid w:val="00380BEF"/>
    <w:rsid w:val="00380DC5"/>
    <w:rsid w:val="00380E29"/>
    <w:rsid w:val="00380F56"/>
    <w:rsid w:val="003810BE"/>
    <w:rsid w:val="0038162F"/>
    <w:rsid w:val="0038177A"/>
    <w:rsid w:val="003818EA"/>
    <w:rsid w:val="00381D6F"/>
    <w:rsid w:val="00381E15"/>
    <w:rsid w:val="00381E2E"/>
    <w:rsid w:val="00381F85"/>
    <w:rsid w:val="00382117"/>
    <w:rsid w:val="00382191"/>
    <w:rsid w:val="00382411"/>
    <w:rsid w:val="003824CF"/>
    <w:rsid w:val="0038267D"/>
    <w:rsid w:val="003827AA"/>
    <w:rsid w:val="003827DB"/>
    <w:rsid w:val="003829A0"/>
    <w:rsid w:val="00382D53"/>
    <w:rsid w:val="00382D89"/>
    <w:rsid w:val="00383064"/>
    <w:rsid w:val="0038323F"/>
    <w:rsid w:val="0038346B"/>
    <w:rsid w:val="003834A9"/>
    <w:rsid w:val="003835D9"/>
    <w:rsid w:val="00383A68"/>
    <w:rsid w:val="00383BA0"/>
    <w:rsid w:val="00383C33"/>
    <w:rsid w:val="00383E27"/>
    <w:rsid w:val="0038404D"/>
    <w:rsid w:val="003844F7"/>
    <w:rsid w:val="00384576"/>
    <w:rsid w:val="00384709"/>
    <w:rsid w:val="003847D0"/>
    <w:rsid w:val="00384A4B"/>
    <w:rsid w:val="00384B9D"/>
    <w:rsid w:val="00384C19"/>
    <w:rsid w:val="0038503D"/>
    <w:rsid w:val="00385430"/>
    <w:rsid w:val="0038548F"/>
    <w:rsid w:val="003858D0"/>
    <w:rsid w:val="00385BCC"/>
    <w:rsid w:val="003861DC"/>
    <w:rsid w:val="003861E3"/>
    <w:rsid w:val="00386455"/>
    <w:rsid w:val="003865A2"/>
    <w:rsid w:val="00386693"/>
    <w:rsid w:val="003866B4"/>
    <w:rsid w:val="00386B3F"/>
    <w:rsid w:val="00386DC0"/>
    <w:rsid w:val="003870CF"/>
    <w:rsid w:val="00387179"/>
    <w:rsid w:val="00387272"/>
    <w:rsid w:val="003872AA"/>
    <w:rsid w:val="0038761B"/>
    <w:rsid w:val="0038793D"/>
    <w:rsid w:val="00387B00"/>
    <w:rsid w:val="00387BDB"/>
    <w:rsid w:val="00387CD1"/>
    <w:rsid w:val="00387F32"/>
    <w:rsid w:val="00390026"/>
    <w:rsid w:val="00390275"/>
    <w:rsid w:val="00390904"/>
    <w:rsid w:val="00390A06"/>
    <w:rsid w:val="00390C94"/>
    <w:rsid w:val="00390F1B"/>
    <w:rsid w:val="0039107F"/>
    <w:rsid w:val="003911AD"/>
    <w:rsid w:val="00391306"/>
    <w:rsid w:val="00391351"/>
    <w:rsid w:val="00391424"/>
    <w:rsid w:val="003916CD"/>
    <w:rsid w:val="00391912"/>
    <w:rsid w:val="00391C20"/>
    <w:rsid w:val="00391E63"/>
    <w:rsid w:val="00392063"/>
    <w:rsid w:val="003921F9"/>
    <w:rsid w:val="003923FF"/>
    <w:rsid w:val="003924CC"/>
    <w:rsid w:val="003925D3"/>
    <w:rsid w:val="00392907"/>
    <w:rsid w:val="00392BB4"/>
    <w:rsid w:val="00392C29"/>
    <w:rsid w:val="00392DE9"/>
    <w:rsid w:val="00392E6E"/>
    <w:rsid w:val="003930C1"/>
    <w:rsid w:val="00393137"/>
    <w:rsid w:val="00393641"/>
    <w:rsid w:val="00393877"/>
    <w:rsid w:val="00393913"/>
    <w:rsid w:val="0039395C"/>
    <w:rsid w:val="00393B74"/>
    <w:rsid w:val="00393B9E"/>
    <w:rsid w:val="00393CAD"/>
    <w:rsid w:val="00393CBB"/>
    <w:rsid w:val="00393D36"/>
    <w:rsid w:val="00393E8E"/>
    <w:rsid w:val="003940FA"/>
    <w:rsid w:val="00394195"/>
    <w:rsid w:val="0039435D"/>
    <w:rsid w:val="003945AB"/>
    <w:rsid w:val="003945E8"/>
    <w:rsid w:val="00394794"/>
    <w:rsid w:val="003948B3"/>
    <w:rsid w:val="00394AC0"/>
    <w:rsid w:val="00394AD2"/>
    <w:rsid w:val="00394F15"/>
    <w:rsid w:val="003951AD"/>
    <w:rsid w:val="00395333"/>
    <w:rsid w:val="003955A3"/>
    <w:rsid w:val="00395618"/>
    <w:rsid w:val="00395657"/>
    <w:rsid w:val="003957CD"/>
    <w:rsid w:val="00395D96"/>
    <w:rsid w:val="00396010"/>
    <w:rsid w:val="003961B7"/>
    <w:rsid w:val="00396360"/>
    <w:rsid w:val="0039677F"/>
    <w:rsid w:val="00396967"/>
    <w:rsid w:val="00396A83"/>
    <w:rsid w:val="00396DF5"/>
    <w:rsid w:val="00396E19"/>
    <w:rsid w:val="00397104"/>
    <w:rsid w:val="00397111"/>
    <w:rsid w:val="00397505"/>
    <w:rsid w:val="00397580"/>
    <w:rsid w:val="00397623"/>
    <w:rsid w:val="00397713"/>
    <w:rsid w:val="00397EBE"/>
    <w:rsid w:val="003A0143"/>
    <w:rsid w:val="003A01D5"/>
    <w:rsid w:val="003A022E"/>
    <w:rsid w:val="003A03E4"/>
    <w:rsid w:val="003A0419"/>
    <w:rsid w:val="003A04CC"/>
    <w:rsid w:val="003A0578"/>
    <w:rsid w:val="003A0C84"/>
    <w:rsid w:val="003A0D49"/>
    <w:rsid w:val="003A0EF2"/>
    <w:rsid w:val="003A1035"/>
    <w:rsid w:val="003A127D"/>
    <w:rsid w:val="003A1597"/>
    <w:rsid w:val="003A181C"/>
    <w:rsid w:val="003A18A1"/>
    <w:rsid w:val="003A1B31"/>
    <w:rsid w:val="003A1D22"/>
    <w:rsid w:val="003A2007"/>
    <w:rsid w:val="003A20A0"/>
    <w:rsid w:val="003A20CA"/>
    <w:rsid w:val="003A22F8"/>
    <w:rsid w:val="003A25B3"/>
    <w:rsid w:val="003A26E0"/>
    <w:rsid w:val="003A27D9"/>
    <w:rsid w:val="003A2901"/>
    <w:rsid w:val="003A2DC1"/>
    <w:rsid w:val="003A301A"/>
    <w:rsid w:val="003A30FD"/>
    <w:rsid w:val="003A318B"/>
    <w:rsid w:val="003A355C"/>
    <w:rsid w:val="003A36A8"/>
    <w:rsid w:val="003A397A"/>
    <w:rsid w:val="003A3B0B"/>
    <w:rsid w:val="003A3D9F"/>
    <w:rsid w:val="003A3E62"/>
    <w:rsid w:val="003A3F2A"/>
    <w:rsid w:val="003A40F1"/>
    <w:rsid w:val="003A4232"/>
    <w:rsid w:val="003A4537"/>
    <w:rsid w:val="003A4562"/>
    <w:rsid w:val="003A481D"/>
    <w:rsid w:val="003A48C9"/>
    <w:rsid w:val="003A496D"/>
    <w:rsid w:val="003A4B62"/>
    <w:rsid w:val="003A4E5F"/>
    <w:rsid w:val="003A4ED6"/>
    <w:rsid w:val="003A50E8"/>
    <w:rsid w:val="003A5119"/>
    <w:rsid w:val="003A5261"/>
    <w:rsid w:val="003A54B7"/>
    <w:rsid w:val="003A554E"/>
    <w:rsid w:val="003A56A0"/>
    <w:rsid w:val="003A56DB"/>
    <w:rsid w:val="003A5791"/>
    <w:rsid w:val="003A5936"/>
    <w:rsid w:val="003A59F2"/>
    <w:rsid w:val="003A5A1E"/>
    <w:rsid w:val="003A5AF4"/>
    <w:rsid w:val="003A5BF0"/>
    <w:rsid w:val="003A5DCE"/>
    <w:rsid w:val="003A5F45"/>
    <w:rsid w:val="003A608E"/>
    <w:rsid w:val="003A60A2"/>
    <w:rsid w:val="003A635D"/>
    <w:rsid w:val="003A6439"/>
    <w:rsid w:val="003A6457"/>
    <w:rsid w:val="003A68B5"/>
    <w:rsid w:val="003A6ABD"/>
    <w:rsid w:val="003A6C0C"/>
    <w:rsid w:val="003A6CAF"/>
    <w:rsid w:val="003A6DBD"/>
    <w:rsid w:val="003A6F8A"/>
    <w:rsid w:val="003A71EC"/>
    <w:rsid w:val="003A72C3"/>
    <w:rsid w:val="003A740E"/>
    <w:rsid w:val="003A7765"/>
    <w:rsid w:val="003A77AE"/>
    <w:rsid w:val="003A77EA"/>
    <w:rsid w:val="003A7855"/>
    <w:rsid w:val="003A7920"/>
    <w:rsid w:val="003A7922"/>
    <w:rsid w:val="003A7BA3"/>
    <w:rsid w:val="003A7CD0"/>
    <w:rsid w:val="003B0010"/>
    <w:rsid w:val="003B0072"/>
    <w:rsid w:val="003B0248"/>
    <w:rsid w:val="003B0291"/>
    <w:rsid w:val="003B03EA"/>
    <w:rsid w:val="003B0524"/>
    <w:rsid w:val="003B068F"/>
    <w:rsid w:val="003B070A"/>
    <w:rsid w:val="003B082D"/>
    <w:rsid w:val="003B0C68"/>
    <w:rsid w:val="003B0E8E"/>
    <w:rsid w:val="003B1028"/>
    <w:rsid w:val="003B1175"/>
    <w:rsid w:val="003B14A0"/>
    <w:rsid w:val="003B14CE"/>
    <w:rsid w:val="003B15A2"/>
    <w:rsid w:val="003B160D"/>
    <w:rsid w:val="003B16BB"/>
    <w:rsid w:val="003B1736"/>
    <w:rsid w:val="003B17A6"/>
    <w:rsid w:val="003B19B6"/>
    <w:rsid w:val="003B1C0D"/>
    <w:rsid w:val="003B1C3E"/>
    <w:rsid w:val="003B1CBD"/>
    <w:rsid w:val="003B1E90"/>
    <w:rsid w:val="003B1F59"/>
    <w:rsid w:val="003B2216"/>
    <w:rsid w:val="003B26D7"/>
    <w:rsid w:val="003B2DA9"/>
    <w:rsid w:val="003B2FE9"/>
    <w:rsid w:val="003B3573"/>
    <w:rsid w:val="003B362A"/>
    <w:rsid w:val="003B383D"/>
    <w:rsid w:val="003B3864"/>
    <w:rsid w:val="003B3A92"/>
    <w:rsid w:val="003B3CA6"/>
    <w:rsid w:val="003B3D1F"/>
    <w:rsid w:val="003B405F"/>
    <w:rsid w:val="003B4419"/>
    <w:rsid w:val="003B4509"/>
    <w:rsid w:val="003B4970"/>
    <w:rsid w:val="003B4BC3"/>
    <w:rsid w:val="003B4CD0"/>
    <w:rsid w:val="003B4CD8"/>
    <w:rsid w:val="003B4DB2"/>
    <w:rsid w:val="003B4DC6"/>
    <w:rsid w:val="003B4E68"/>
    <w:rsid w:val="003B4EFC"/>
    <w:rsid w:val="003B4F9F"/>
    <w:rsid w:val="003B509E"/>
    <w:rsid w:val="003B5860"/>
    <w:rsid w:val="003B5980"/>
    <w:rsid w:val="003B5AF6"/>
    <w:rsid w:val="003B5D46"/>
    <w:rsid w:val="003B60C5"/>
    <w:rsid w:val="003B61D7"/>
    <w:rsid w:val="003B6286"/>
    <w:rsid w:val="003B63E7"/>
    <w:rsid w:val="003B660B"/>
    <w:rsid w:val="003B66AE"/>
    <w:rsid w:val="003B6918"/>
    <w:rsid w:val="003B6B46"/>
    <w:rsid w:val="003B6D2A"/>
    <w:rsid w:val="003B6D2C"/>
    <w:rsid w:val="003B6D5D"/>
    <w:rsid w:val="003B712B"/>
    <w:rsid w:val="003B714A"/>
    <w:rsid w:val="003B7310"/>
    <w:rsid w:val="003B73A6"/>
    <w:rsid w:val="003B7514"/>
    <w:rsid w:val="003B754B"/>
    <w:rsid w:val="003B7AC6"/>
    <w:rsid w:val="003B7DF1"/>
    <w:rsid w:val="003C004C"/>
    <w:rsid w:val="003C00D8"/>
    <w:rsid w:val="003C0109"/>
    <w:rsid w:val="003C016D"/>
    <w:rsid w:val="003C0216"/>
    <w:rsid w:val="003C023C"/>
    <w:rsid w:val="003C0414"/>
    <w:rsid w:val="003C04BA"/>
    <w:rsid w:val="003C05AF"/>
    <w:rsid w:val="003C07E6"/>
    <w:rsid w:val="003C08AF"/>
    <w:rsid w:val="003C0AC6"/>
    <w:rsid w:val="003C0AD4"/>
    <w:rsid w:val="003C0B75"/>
    <w:rsid w:val="003C0E34"/>
    <w:rsid w:val="003C0ED8"/>
    <w:rsid w:val="003C1205"/>
    <w:rsid w:val="003C1254"/>
    <w:rsid w:val="003C14E1"/>
    <w:rsid w:val="003C16CB"/>
    <w:rsid w:val="003C1821"/>
    <w:rsid w:val="003C1AF2"/>
    <w:rsid w:val="003C1C90"/>
    <w:rsid w:val="003C1F0E"/>
    <w:rsid w:val="003C21D8"/>
    <w:rsid w:val="003C2480"/>
    <w:rsid w:val="003C24E1"/>
    <w:rsid w:val="003C28A7"/>
    <w:rsid w:val="003C2AD1"/>
    <w:rsid w:val="003C2ADD"/>
    <w:rsid w:val="003C2C20"/>
    <w:rsid w:val="003C2FCC"/>
    <w:rsid w:val="003C3185"/>
    <w:rsid w:val="003C33BF"/>
    <w:rsid w:val="003C33CE"/>
    <w:rsid w:val="003C35C2"/>
    <w:rsid w:val="003C3746"/>
    <w:rsid w:val="003C382C"/>
    <w:rsid w:val="003C38FD"/>
    <w:rsid w:val="003C397C"/>
    <w:rsid w:val="003C3AC2"/>
    <w:rsid w:val="003C3F0C"/>
    <w:rsid w:val="003C3FF7"/>
    <w:rsid w:val="003C4213"/>
    <w:rsid w:val="003C465A"/>
    <w:rsid w:val="003C468D"/>
    <w:rsid w:val="003C4826"/>
    <w:rsid w:val="003C4AF9"/>
    <w:rsid w:val="003C4B07"/>
    <w:rsid w:val="003C4B87"/>
    <w:rsid w:val="003C4BEB"/>
    <w:rsid w:val="003C4EF4"/>
    <w:rsid w:val="003C4FBD"/>
    <w:rsid w:val="003C508B"/>
    <w:rsid w:val="003C51AE"/>
    <w:rsid w:val="003C54A7"/>
    <w:rsid w:val="003C54E7"/>
    <w:rsid w:val="003C5508"/>
    <w:rsid w:val="003C5606"/>
    <w:rsid w:val="003C5961"/>
    <w:rsid w:val="003C5C01"/>
    <w:rsid w:val="003C5C50"/>
    <w:rsid w:val="003C5D4C"/>
    <w:rsid w:val="003C5D54"/>
    <w:rsid w:val="003C5DEB"/>
    <w:rsid w:val="003C5EA0"/>
    <w:rsid w:val="003C6026"/>
    <w:rsid w:val="003C60D9"/>
    <w:rsid w:val="003C60ED"/>
    <w:rsid w:val="003C612A"/>
    <w:rsid w:val="003C619C"/>
    <w:rsid w:val="003C619D"/>
    <w:rsid w:val="003C6233"/>
    <w:rsid w:val="003C628A"/>
    <w:rsid w:val="003C6347"/>
    <w:rsid w:val="003C64CD"/>
    <w:rsid w:val="003C65C3"/>
    <w:rsid w:val="003C670D"/>
    <w:rsid w:val="003C69F0"/>
    <w:rsid w:val="003C6ED1"/>
    <w:rsid w:val="003C7431"/>
    <w:rsid w:val="003C7678"/>
    <w:rsid w:val="003C7952"/>
    <w:rsid w:val="003C796E"/>
    <w:rsid w:val="003C7BC9"/>
    <w:rsid w:val="003C7C57"/>
    <w:rsid w:val="003C7C70"/>
    <w:rsid w:val="003C7E02"/>
    <w:rsid w:val="003D0149"/>
    <w:rsid w:val="003D02BC"/>
    <w:rsid w:val="003D03FE"/>
    <w:rsid w:val="003D0440"/>
    <w:rsid w:val="003D068E"/>
    <w:rsid w:val="003D0887"/>
    <w:rsid w:val="003D0AAB"/>
    <w:rsid w:val="003D0CD2"/>
    <w:rsid w:val="003D0CF4"/>
    <w:rsid w:val="003D0D82"/>
    <w:rsid w:val="003D115F"/>
    <w:rsid w:val="003D12B7"/>
    <w:rsid w:val="003D12FA"/>
    <w:rsid w:val="003D132A"/>
    <w:rsid w:val="003D1334"/>
    <w:rsid w:val="003D13B6"/>
    <w:rsid w:val="003D16DB"/>
    <w:rsid w:val="003D1743"/>
    <w:rsid w:val="003D1E6A"/>
    <w:rsid w:val="003D1F70"/>
    <w:rsid w:val="003D1FDD"/>
    <w:rsid w:val="003D2100"/>
    <w:rsid w:val="003D2407"/>
    <w:rsid w:val="003D243D"/>
    <w:rsid w:val="003D24E4"/>
    <w:rsid w:val="003D275A"/>
    <w:rsid w:val="003D2786"/>
    <w:rsid w:val="003D28AD"/>
    <w:rsid w:val="003D292A"/>
    <w:rsid w:val="003D296F"/>
    <w:rsid w:val="003D2CBC"/>
    <w:rsid w:val="003D30D5"/>
    <w:rsid w:val="003D323F"/>
    <w:rsid w:val="003D3482"/>
    <w:rsid w:val="003D34A1"/>
    <w:rsid w:val="003D34C9"/>
    <w:rsid w:val="003D3509"/>
    <w:rsid w:val="003D362F"/>
    <w:rsid w:val="003D3781"/>
    <w:rsid w:val="003D3890"/>
    <w:rsid w:val="003D3F65"/>
    <w:rsid w:val="003D4000"/>
    <w:rsid w:val="003D4076"/>
    <w:rsid w:val="003D44F8"/>
    <w:rsid w:val="003D4789"/>
    <w:rsid w:val="003D4D4D"/>
    <w:rsid w:val="003D4D8E"/>
    <w:rsid w:val="003D5056"/>
    <w:rsid w:val="003D506F"/>
    <w:rsid w:val="003D51D2"/>
    <w:rsid w:val="003D5211"/>
    <w:rsid w:val="003D5217"/>
    <w:rsid w:val="003D5357"/>
    <w:rsid w:val="003D5431"/>
    <w:rsid w:val="003D55B7"/>
    <w:rsid w:val="003D56A7"/>
    <w:rsid w:val="003D56C4"/>
    <w:rsid w:val="003D5839"/>
    <w:rsid w:val="003D593B"/>
    <w:rsid w:val="003D5AA1"/>
    <w:rsid w:val="003D5B50"/>
    <w:rsid w:val="003D5BC8"/>
    <w:rsid w:val="003D5DB1"/>
    <w:rsid w:val="003D5EA3"/>
    <w:rsid w:val="003D5F4E"/>
    <w:rsid w:val="003D5F52"/>
    <w:rsid w:val="003D61E1"/>
    <w:rsid w:val="003D62E0"/>
    <w:rsid w:val="003D6500"/>
    <w:rsid w:val="003D6720"/>
    <w:rsid w:val="003D68B9"/>
    <w:rsid w:val="003D6997"/>
    <w:rsid w:val="003D69C3"/>
    <w:rsid w:val="003D6A15"/>
    <w:rsid w:val="003D6AC4"/>
    <w:rsid w:val="003D6ADE"/>
    <w:rsid w:val="003D6D47"/>
    <w:rsid w:val="003D6FF5"/>
    <w:rsid w:val="003D7022"/>
    <w:rsid w:val="003D7395"/>
    <w:rsid w:val="003D7486"/>
    <w:rsid w:val="003D75CF"/>
    <w:rsid w:val="003D7799"/>
    <w:rsid w:val="003D79EF"/>
    <w:rsid w:val="003D7A22"/>
    <w:rsid w:val="003D7B7D"/>
    <w:rsid w:val="003E0021"/>
    <w:rsid w:val="003E02DF"/>
    <w:rsid w:val="003E040F"/>
    <w:rsid w:val="003E0604"/>
    <w:rsid w:val="003E07EA"/>
    <w:rsid w:val="003E0A19"/>
    <w:rsid w:val="003E0A78"/>
    <w:rsid w:val="003E0A97"/>
    <w:rsid w:val="003E0AEF"/>
    <w:rsid w:val="003E0D5D"/>
    <w:rsid w:val="003E1102"/>
    <w:rsid w:val="003E149C"/>
    <w:rsid w:val="003E1606"/>
    <w:rsid w:val="003E1679"/>
    <w:rsid w:val="003E16FB"/>
    <w:rsid w:val="003E175D"/>
    <w:rsid w:val="003E17A8"/>
    <w:rsid w:val="003E1E65"/>
    <w:rsid w:val="003E20D8"/>
    <w:rsid w:val="003E2144"/>
    <w:rsid w:val="003E24F9"/>
    <w:rsid w:val="003E2660"/>
    <w:rsid w:val="003E26EE"/>
    <w:rsid w:val="003E2835"/>
    <w:rsid w:val="003E2848"/>
    <w:rsid w:val="003E2924"/>
    <w:rsid w:val="003E2A98"/>
    <w:rsid w:val="003E2BEF"/>
    <w:rsid w:val="003E2CC4"/>
    <w:rsid w:val="003E2E1C"/>
    <w:rsid w:val="003E2E5C"/>
    <w:rsid w:val="003E2E87"/>
    <w:rsid w:val="003E3007"/>
    <w:rsid w:val="003E3257"/>
    <w:rsid w:val="003E329C"/>
    <w:rsid w:val="003E3358"/>
    <w:rsid w:val="003E3833"/>
    <w:rsid w:val="003E3A47"/>
    <w:rsid w:val="003E3BBE"/>
    <w:rsid w:val="003E40DC"/>
    <w:rsid w:val="003E4134"/>
    <w:rsid w:val="003E4164"/>
    <w:rsid w:val="003E424D"/>
    <w:rsid w:val="003E43EB"/>
    <w:rsid w:val="003E454A"/>
    <w:rsid w:val="003E4801"/>
    <w:rsid w:val="003E481B"/>
    <w:rsid w:val="003E481E"/>
    <w:rsid w:val="003E48AE"/>
    <w:rsid w:val="003E496D"/>
    <w:rsid w:val="003E49B0"/>
    <w:rsid w:val="003E4A58"/>
    <w:rsid w:val="003E4B5B"/>
    <w:rsid w:val="003E4C0A"/>
    <w:rsid w:val="003E4D85"/>
    <w:rsid w:val="003E4DDC"/>
    <w:rsid w:val="003E4F78"/>
    <w:rsid w:val="003E4F97"/>
    <w:rsid w:val="003E5392"/>
    <w:rsid w:val="003E53D5"/>
    <w:rsid w:val="003E5478"/>
    <w:rsid w:val="003E54A6"/>
    <w:rsid w:val="003E5539"/>
    <w:rsid w:val="003E557B"/>
    <w:rsid w:val="003E5637"/>
    <w:rsid w:val="003E569A"/>
    <w:rsid w:val="003E56C5"/>
    <w:rsid w:val="003E5829"/>
    <w:rsid w:val="003E587D"/>
    <w:rsid w:val="003E5C4B"/>
    <w:rsid w:val="003E62DE"/>
    <w:rsid w:val="003E633A"/>
    <w:rsid w:val="003E654B"/>
    <w:rsid w:val="003E67D5"/>
    <w:rsid w:val="003E6C2D"/>
    <w:rsid w:val="003E6E0C"/>
    <w:rsid w:val="003E6E50"/>
    <w:rsid w:val="003E6F69"/>
    <w:rsid w:val="003E73D9"/>
    <w:rsid w:val="003E746A"/>
    <w:rsid w:val="003E7796"/>
    <w:rsid w:val="003E78B6"/>
    <w:rsid w:val="003E7C88"/>
    <w:rsid w:val="003E7DF4"/>
    <w:rsid w:val="003E7F77"/>
    <w:rsid w:val="003E7FAD"/>
    <w:rsid w:val="003F035A"/>
    <w:rsid w:val="003F042A"/>
    <w:rsid w:val="003F0514"/>
    <w:rsid w:val="003F05C0"/>
    <w:rsid w:val="003F05F1"/>
    <w:rsid w:val="003F082A"/>
    <w:rsid w:val="003F0892"/>
    <w:rsid w:val="003F0916"/>
    <w:rsid w:val="003F0EE5"/>
    <w:rsid w:val="003F10C1"/>
    <w:rsid w:val="003F145B"/>
    <w:rsid w:val="003F14D4"/>
    <w:rsid w:val="003F15A4"/>
    <w:rsid w:val="003F16E2"/>
    <w:rsid w:val="003F1788"/>
    <w:rsid w:val="003F17F5"/>
    <w:rsid w:val="003F19B0"/>
    <w:rsid w:val="003F19FC"/>
    <w:rsid w:val="003F1AEE"/>
    <w:rsid w:val="003F1FF2"/>
    <w:rsid w:val="003F1FF5"/>
    <w:rsid w:val="003F2049"/>
    <w:rsid w:val="003F2066"/>
    <w:rsid w:val="003F22D7"/>
    <w:rsid w:val="003F239D"/>
    <w:rsid w:val="003F2AE9"/>
    <w:rsid w:val="003F2C1A"/>
    <w:rsid w:val="003F2DE4"/>
    <w:rsid w:val="003F2EBD"/>
    <w:rsid w:val="003F301A"/>
    <w:rsid w:val="003F3030"/>
    <w:rsid w:val="003F30E2"/>
    <w:rsid w:val="003F367A"/>
    <w:rsid w:val="003F3761"/>
    <w:rsid w:val="003F394D"/>
    <w:rsid w:val="003F3CCE"/>
    <w:rsid w:val="003F3D8F"/>
    <w:rsid w:val="003F3F11"/>
    <w:rsid w:val="003F3FD5"/>
    <w:rsid w:val="003F4477"/>
    <w:rsid w:val="003F45A1"/>
    <w:rsid w:val="003F460E"/>
    <w:rsid w:val="003F4DE0"/>
    <w:rsid w:val="003F4E7F"/>
    <w:rsid w:val="003F4EBA"/>
    <w:rsid w:val="003F5124"/>
    <w:rsid w:val="003F535A"/>
    <w:rsid w:val="003F57EE"/>
    <w:rsid w:val="003F58BF"/>
    <w:rsid w:val="003F58CA"/>
    <w:rsid w:val="003F5946"/>
    <w:rsid w:val="003F5E0A"/>
    <w:rsid w:val="003F6147"/>
    <w:rsid w:val="003F629F"/>
    <w:rsid w:val="003F63A6"/>
    <w:rsid w:val="003F645B"/>
    <w:rsid w:val="003F64C1"/>
    <w:rsid w:val="003F650A"/>
    <w:rsid w:val="003F655B"/>
    <w:rsid w:val="003F67B5"/>
    <w:rsid w:val="003F68F1"/>
    <w:rsid w:val="003F69E3"/>
    <w:rsid w:val="003F6BE6"/>
    <w:rsid w:val="003F6E3B"/>
    <w:rsid w:val="003F70FD"/>
    <w:rsid w:val="003F738F"/>
    <w:rsid w:val="003F7446"/>
    <w:rsid w:val="003F7587"/>
    <w:rsid w:val="003F7775"/>
    <w:rsid w:val="003F7851"/>
    <w:rsid w:val="003F78A0"/>
    <w:rsid w:val="003F7989"/>
    <w:rsid w:val="003F7D41"/>
    <w:rsid w:val="004001BD"/>
    <w:rsid w:val="00400216"/>
    <w:rsid w:val="00400271"/>
    <w:rsid w:val="0040060C"/>
    <w:rsid w:val="00400686"/>
    <w:rsid w:val="0040074B"/>
    <w:rsid w:val="0040098F"/>
    <w:rsid w:val="00400A4A"/>
    <w:rsid w:val="004014FB"/>
    <w:rsid w:val="00401523"/>
    <w:rsid w:val="00401693"/>
    <w:rsid w:val="00401902"/>
    <w:rsid w:val="0040196D"/>
    <w:rsid w:val="00401A73"/>
    <w:rsid w:val="00401C1F"/>
    <w:rsid w:val="00401D46"/>
    <w:rsid w:val="00401D6B"/>
    <w:rsid w:val="00402093"/>
    <w:rsid w:val="004025AD"/>
    <w:rsid w:val="0040264F"/>
    <w:rsid w:val="0040288A"/>
    <w:rsid w:val="00402AA1"/>
    <w:rsid w:val="00402AB7"/>
    <w:rsid w:val="00402C2D"/>
    <w:rsid w:val="00403067"/>
    <w:rsid w:val="0040330B"/>
    <w:rsid w:val="004038E6"/>
    <w:rsid w:val="00403960"/>
    <w:rsid w:val="004039C7"/>
    <w:rsid w:val="00403A63"/>
    <w:rsid w:val="00403BBC"/>
    <w:rsid w:val="00403DBA"/>
    <w:rsid w:val="004040EA"/>
    <w:rsid w:val="0040415B"/>
    <w:rsid w:val="004042FE"/>
    <w:rsid w:val="00404416"/>
    <w:rsid w:val="0040443E"/>
    <w:rsid w:val="00404482"/>
    <w:rsid w:val="0040458A"/>
    <w:rsid w:val="004045CA"/>
    <w:rsid w:val="004047FC"/>
    <w:rsid w:val="00404885"/>
    <w:rsid w:val="00404A6E"/>
    <w:rsid w:val="00404B91"/>
    <w:rsid w:val="00404B93"/>
    <w:rsid w:val="00405012"/>
    <w:rsid w:val="004052D6"/>
    <w:rsid w:val="0040540E"/>
    <w:rsid w:val="004054B3"/>
    <w:rsid w:val="0040559C"/>
    <w:rsid w:val="00405C65"/>
    <w:rsid w:val="00405CFF"/>
    <w:rsid w:val="00405D17"/>
    <w:rsid w:val="00405D33"/>
    <w:rsid w:val="00405ED7"/>
    <w:rsid w:val="0040609C"/>
    <w:rsid w:val="00406142"/>
    <w:rsid w:val="004063EB"/>
    <w:rsid w:val="00406444"/>
    <w:rsid w:val="004064D1"/>
    <w:rsid w:val="0040653D"/>
    <w:rsid w:val="00406631"/>
    <w:rsid w:val="004067A3"/>
    <w:rsid w:val="00406A75"/>
    <w:rsid w:val="00406AE7"/>
    <w:rsid w:val="00406C7C"/>
    <w:rsid w:val="00406DF5"/>
    <w:rsid w:val="00407079"/>
    <w:rsid w:val="0040717D"/>
    <w:rsid w:val="0040717E"/>
    <w:rsid w:val="004078A7"/>
    <w:rsid w:val="00407B64"/>
    <w:rsid w:val="00407D7F"/>
    <w:rsid w:val="00407FAE"/>
    <w:rsid w:val="00410234"/>
    <w:rsid w:val="0041024E"/>
    <w:rsid w:val="00410740"/>
    <w:rsid w:val="0041079E"/>
    <w:rsid w:val="00410A7E"/>
    <w:rsid w:val="00410BC3"/>
    <w:rsid w:val="00410D43"/>
    <w:rsid w:val="00411289"/>
    <w:rsid w:val="00411304"/>
    <w:rsid w:val="00411405"/>
    <w:rsid w:val="00411421"/>
    <w:rsid w:val="00411716"/>
    <w:rsid w:val="00411951"/>
    <w:rsid w:val="00411959"/>
    <w:rsid w:val="00411B73"/>
    <w:rsid w:val="00411CCD"/>
    <w:rsid w:val="0041202A"/>
    <w:rsid w:val="004121A9"/>
    <w:rsid w:val="00412407"/>
    <w:rsid w:val="0041249E"/>
    <w:rsid w:val="0041269F"/>
    <w:rsid w:val="00412816"/>
    <w:rsid w:val="00412C00"/>
    <w:rsid w:val="00412C77"/>
    <w:rsid w:val="00412D9C"/>
    <w:rsid w:val="00412E6D"/>
    <w:rsid w:val="00412F83"/>
    <w:rsid w:val="00412FBF"/>
    <w:rsid w:val="00413012"/>
    <w:rsid w:val="004133F9"/>
    <w:rsid w:val="00413410"/>
    <w:rsid w:val="00413593"/>
    <w:rsid w:val="00413629"/>
    <w:rsid w:val="00413729"/>
    <w:rsid w:val="004137CF"/>
    <w:rsid w:val="004137D3"/>
    <w:rsid w:val="00413936"/>
    <w:rsid w:val="00413A37"/>
    <w:rsid w:val="00413DA5"/>
    <w:rsid w:val="00413FE0"/>
    <w:rsid w:val="004141AE"/>
    <w:rsid w:val="004144AD"/>
    <w:rsid w:val="0041457B"/>
    <w:rsid w:val="004146AD"/>
    <w:rsid w:val="0041472F"/>
    <w:rsid w:val="004147A5"/>
    <w:rsid w:val="00414818"/>
    <w:rsid w:val="0041491E"/>
    <w:rsid w:val="00414960"/>
    <w:rsid w:val="00414A1E"/>
    <w:rsid w:val="00414C25"/>
    <w:rsid w:val="00414C29"/>
    <w:rsid w:val="00414CC5"/>
    <w:rsid w:val="00414F72"/>
    <w:rsid w:val="00415011"/>
    <w:rsid w:val="004150A4"/>
    <w:rsid w:val="004150C7"/>
    <w:rsid w:val="00415178"/>
    <w:rsid w:val="0041525F"/>
    <w:rsid w:val="0041534B"/>
    <w:rsid w:val="00415399"/>
    <w:rsid w:val="0041548F"/>
    <w:rsid w:val="00415661"/>
    <w:rsid w:val="0041583D"/>
    <w:rsid w:val="0041590A"/>
    <w:rsid w:val="00415A3B"/>
    <w:rsid w:val="00415B11"/>
    <w:rsid w:val="00415DB9"/>
    <w:rsid w:val="00415E6F"/>
    <w:rsid w:val="00415F7A"/>
    <w:rsid w:val="0041604A"/>
    <w:rsid w:val="00416074"/>
    <w:rsid w:val="0041609D"/>
    <w:rsid w:val="00416169"/>
    <w:rsid w:val="004161BB"/>
    <w:rsid w:val="00416272"/>
    <w:rsid w:val="0041647A"/>
    <w:rsid w:val="0041649A"/>
    <w:rsid w:val="00416745"/>
    <w:rsid w:val="00416748"/>
    <w:rsid w:val="0041684F"/>
    <w:rsid w:val="00416BB7"/>
    <w:rsid w:val="00416BCA"/>
    <w:rsid w:val="00416CC2"/>
    <w:rsid w:val="00416DC8"/>
    <w:rsid w:val="004171E2"/>
    <w:rsid w:val="00417276"/>
    <w:rsid w:val="00417306"/>
    <w:rsid w:val="00417327"/>
    <w:rsid w:val="00417376"/>
    <w:rsid w:val="0041766D"/>
    <w:rsid w:val="004177FA"/>
    <w:rsid w:val="00417879"/>
    <w:rsid w:val="00417AD6"/>
    <w:rsid w:val="00417CFC"/>
    <w:rsid w:val="00417EEC"/>
    <w:rsid w:val="00420020"/>
    <w:rsid w:val="004201C0"/>
    <w:rsid w:val="00420241"/>
    <w:rsid w:val="004205E9"/>
    <w:rsid w:val="004208D6"/>
    <w:rsid w:val="00420B67"/>
    <w:rsid w:val="00420DD8"/>
    <w:rsid w:val="00420FAA"/>
    <w:rsid w:val="00421082"/>
    <w:rsid w:val="004210AB"/>
    <w:rsid w:val="004212CD"/>
    <w:rsid w:val="00421365"/>
    <w:rsid w:val="0042136D"/>
    <w:rsid w:val="004214F0"/>
    <w:rsid w:val="004216E3"/>
    <w:rsid w:val="0042175A"/>
    <w:rsid w:val="00421A74"/>
    <w:rsid w:val="00421D00"/>
    <w:rsid w:val="00421D84"/>
    <w:rsid w:val="00421D9E"/>
    <w:rsid w:val="00421F93"/>
    <w:rsid w:val="004223FC"/>
    <w:rsid w:val="0042241B"/>
    <w:rsid w:val="00422450"/>
    <w:rsid w:val="00422510"/>
    <w:rsid w:val="004228EE"/>
    <w:rsid w:val="00422D69"/>
    <w:rsid w:val="00422E6B"/>
    <w:rsid w:val="004230FC"/>
    <w:rsid w:val="0042326F"/>
    <w:rsid w:val="00423382"/>
    <w:rsid w:val="00423711"/>
    <w:rsid w:val="004237BF"/>
    <w:rsid w:val="00423846"/>
    <w:rsid w:val="004239A1"/>
    <w:rsid w:val="00423B56"/>
    <w:rsid w:val="00423CD4"/>
    <w:rsid w:val="00423FEC"/>
    <w:rsid w:val="00423FF1"/>
    <w:rsid w:val="00424042"/>
    <w:rsid w:val="00424091"/>
    <w:rsid w:val="0042414C"/>
    <w:rsid w:val="004241BA"/>
    <w:rsid w:val="00424284"/>
    <w:rsid w:val="0042436D"/>
    <w:rsid w:val="00424420"/>
    <w:rsid w:val="00424F3E"/>
    <w:rsid w:val="00425118"/>
    <w:rsid w:val="004251F8"/>
    <w:rsid w:val="004252EF"/>
    <w:rsid w:val="0042539E"/>
    <w:rsid w:val="00425A36"/>
    <w:rsid w:val="00425DCC"/>
    <w:rsid w:val="00425E82"/>
    <w:rsid w:val="00426316"/>
    <w:rsid w:val="0042674C"/>
    <w:rsid w:val="0042675A"/>
    <w:rsid w:val="00426846"/>
    <w:rsid w:val="00426874"/>
    <w:rsid w:val="004269AC"/>
    <w:rsid w:val="00426A73"/>
    <w:rsid w:val="00426AAE"/>
    <w:rsid w:val="00426AEC"/>
    <w:rsid w:val="00426C49"/>
    <w:rsid w:val="00426DE2"/>
    <w:rsid w:val="00426F85"/>
    <w:rsid w:val="004270D0"/>
    <w:rsid w:val="004272CF"/>
    <w:rsid w:val="00427400"/>
    <w:rsid w:val="004275E8"/>
    <w:rsid w:val="00427822"/>
    <w:rsid w:val="00427AAB"/>
    <w:rsid w:val="00427AF6"/>
    <w:rsid w:val="00427E96"/>
    <w:rsid w:val="00427F7A"/>
    <w:rsid w:val="00430113"/>
    <w:rsid w:val="0043055D"/>
    <w:rsid w:val="004305AF"/>
    <w:rsid w:val="004308C2"/>
    <w:rsid w:val="004309ED"/>
    <w:rsid w:val="00430E1B"/>
    <w:rsid w:val="00430E76"/>
    <w:rsid w:val="00430EF7"/>
    <w:rsid w:val="00430F4E"/>
    <w:rsid w:val="00430F76"/>
    <w:rsid w:val="00430FEB"/>
    <w:rsid w:val="00431034"/>
    <w:rsid w:val="0043179A"/>
    <w:rsid w:val="00431812"/>
    <w:rsid w:val="00431963"/>
    <w:rsid w:val="004319BB"/>
    <w:rsid w:val="00431A79"/>
    <w:rsid w:val="00431ABA"/>
    <w:rsid w:val="00431ADD"/>
    <w:rsid w:val="00431B29"/>
    <w:rsid w:val="00431B83"/>
    <w:rsid w:val="00431BA1"/>
    <w:rsid w:val="00431C90"/>
    <w:rsid w:val="00431FD2"/>
    <w:rsid w:val="00431FD9"/>
    <w:rsid w:val="004320E6"/>
    <w:rsid w:val="004321FB"/>
    <w:rsid w:val="00432413"/>
    <w:rsid w:val="0043299E"/>
    <w:rsid w:val="00432D3A"/>
    <w:rsid w:val="00432D58"/>
    <w:rsid w:val="0043304C"/>
    <w:rsid w:val="00433091"/>
    <w:rsid w:val="004330BF"/>
    <w:rsid w:val="00433340"/>
    <w:rsid w:val="00433585"/>
    <w:rsid w:val="0043367C"/>
    <w:rsid w:val="0043371A"/>
    <w:rsid w:val="00433CD0"/>
    <w:rsid w:val="00433F84"/>
    <w:rsid w:val="00434061"/>
    <w:rsid w:val="00434115"/>
    <w:rsid w:val="004346A1"/>
    <w:rsid w:val="00434736"/>
    <w:rsid w:val="004349DE"/>
    <w:rsid w:val="00434A7A"/>
    <w:rsid w:val="00434AF9"/>
    <w:rsid w:val="00434B6F"/>
    <w:rsid w:val="00434B8D"/>
    <w:rsid w:val="00434CC6"/>
    <w:rsid w:val="00434CE1"/>
    <w:rsid w:val="00434E2A"/>
    <w:rsid w:val="00434EC8"/>
    <w:rsid w:val="00434FD5"/>
    <w:rsid w:val="00435064"/>
    <w:rsid w:val="004350B5"/>
    <w:rsid w:val="00435243"/>
    <w:rsid w:val="004356B3"/>
    <w:rsid w:val="00435789"/>
    <w:rsid w:val="00435799"/>
    <w:rsid w:val="00435802"/>
    <w:rsid w:val="00435895"/>
    <w:rsid w:val="0043593A"/>
    <w:rsid w:val="0043611F"/>
    <w:rsid w:val="00436144"/>
    <w:rsid w:val="00436189"/>
    <w:rsid w:val="004362A0"/>
    <w:rsid w:val="004363B4"/>
    <w:rsid w:val="004364E1"/>
    <w:rsid w:val="004368D1"/>
    <w:rsid w:val="004369DB"/>
    <w:rsid w:val="00436B1F"/>
    <w:rsid w:val="00436C09"/>
    <w:rsid w:val="00436D32"/>
    <w:rsid w:val="00436F80"/>
    <w:rsid w:val="0043709E"/>
    <w:rsid w:val="004370A2"/>
    <w:rsid w:val="00437201"/>
    <w:rsid w:val="004372DC"/>
    <w:rsid w:val="00437620"/>
    <w:rsid w:val="00437937"/>
    <w:rsid w:val="00437B4B"/>
    <w:rsid w:val="00437EE2"/>
    <w:rsid w:val="00440077"/>
    <w:rsid w:val="00440090"/>
    <w:rsid w:val="00440177"/>
    <w:rsid w:val="00440366"/>
    <w:rsid w:val="004404F8"/>
    <w:rsid w:val="00440ACB"/>
    <w:rsid w:val="00440BF3"/>
    <w:rsid w:val="00440C53"/>
    <w:rsid w:val="00440CC4"/>
    <w:rsid w:val="0044112D"/>
    <w:rsid w:val="004411D8"/>
    <w:rsid w:val="00441322"/>
    <w:rsid w:val="0044134F"/>
    <w:rsid w:val="0044139B"/>
    <w:rsid w:val="0044147D"/>
    <w:rsid w:val="0044151C"/>
    <w:rsid w:val="0044169F"/>
    <w:rsid w:val="0044180B"/>
    <w:rsid w:val="00441C56"/>
    <w:rsid w:val="00441DBA"/>
    <w:rsid w:val="00441E5F"/>
    <w:rsid w:val="004420E2"/>
    <w:rsid w:val="0044242D"/>
    <w:rsid w:val="0044247C"/>
    <w:rsid w:val="00442880"/>
    <w:rsid w:val="00442C48"/>
    <w:rsid w:val="00442EA9"/>
    <w:rsid w:val="00443640"/>
    <w:rsid w:val="00443666"/>
    <w:rsid w:val="004437F5"/>
    <w:rsid w:val="00443A17"/>
    <w:rsid w:val="00443E64"/>
    <w:rsid w:val="00443F42"/>
    <w:rsid w:val="004441BF"/>
    <w:rsid w:val="004442A5"/>
    <w:rsid w:val="004444C4"/>
    <w:rsid w:val="004445B1"/>
    <w:rsid w:val="004447B7"/>
    <w:rsid w:val="00444A57"/>
    <w:rsid w:val="00444A7B"/>
    <w:rsid w:val="00444B2E"/>
    <w:rsid w:val="00445116"/>
    <w:rsid w:val="004451A1"/>
    <w:rsid w:val="004452C0"/>
    <w:rsid w:val="004454A9"/>
    <w:rsid w:val="00445586"/>
    <w:rsid w:val="0044568D"/>
    <w:rsid w:val="0044574B"/>
    <w:rsid w:val="00445755"/>
    <w:rsid w:val="004457D9"/>
    <w:rsid w:val="004458E4"/>
    <w:rsid w:val="00445949"/>
    <w:rsid w:val="004459A2"/>
    <w:rsid w:val="00445B07"/>
    <w:rsid w:val="00445B47"/>
    <w:rsid w:val="00445CC1"/>
    <w:rsid w:val="00445DD6"/>
    <w:rsid w:val="00445E24"/>
    <w:rsid w:val="00445FA1"/>
    <w:rsid w:val="00446139"/>
    <w:rsid w:val="0044619A"/>
    <w:rsid w:val="00446352"/>
    <w:rsid w:val="00446433"/>
    <w:rsid w:val="004467EC"/>
    <w:rsid w:val="0044699E"/>
    <w:rsid w:val="004469F8"/>
    <w:rsid w:val="00446C66"/>
    <w:rsid w:val="00446CBC"/>
    <w:rsid w:val="00446CCB"/>
    <w:rsid w:val="00446F34"/>
    <w:rsid w:val="00446FDA"/>
    <w:rsid w:val="0044742E"/>
    <w:rsid w:val="0044745D"/>
    <w:rsid w:val="0044753A"/>
    <w:rsid w:val="00447579"/>
    <w:rsid w:val="00447911"/>
    <w:rsid w:val="00447A84"/>
    <w:rsid w:val="00447BA4"/>
    <w:rsid w:val="00447BA8"/>
    <w:rsid w:val="00447DC3"/>
    <w:rsid w:val="00447E8A"/>
    <w:rsid w:val="00447FB7"/>
    <w:rsid w:val="0045000D"/>
    <w:rsid w:val="0045037B"/>
    <w:rsid w:val="00450526"/>
    <w:rsid w:val="00450613"/>
    <w:rsid w:val="004508AB"/>
    <w:rsid w:val="00450CA4"/>
    <w:rsid w:val="00451061"/>
    <w:rsid w:val="00451092"/>
    <w:rsid w:val="0045112F"/>
    <w:rsid w:val="004511B5"/>
    <w:rsid w:val="004511E7"/>
    <w:rsid w:val="004512AF"/>
    <w:rsid w:val="004514CA"/>
    <w:rsid w:val="0045151E"/>
    <w:rsid w:val="004515E1"/>
    <w:rsid w:val="0045170F"/>
    <w:rsid w:val="004519A6"/>
    <w:rsid w:val="00451BE5"/>
    <w:rsid w:val="00451DD3"/>
    <w:rsid w:val="0045223B"/>
    <w:rsid w:val="00452358"/>
    <w:rsid w:val="0045240A"/>
    <w:rsid w:val="004525BA"/>
    <w:rsid w:val="004525DF"/>
    <w:rsid w:val="0045269A"/>
    <w:rsid w:val="0045275C"/>
    <w:rsid w:val="0045275E"/>
    <w:rsid w:val="00452A46"/>
    <w:rsid w:val="00452AC1"/>
    <w:rsid w:val="00452B07"/>
    <w:rsid w:val="00452E52"/>
    <w:rsid w:val="00452EF3"/>
    <w:rsid w:val="00453291"/>
    <w:rsid w:val="004533E1"/>
    <w:rsid w:val="0045360D"/>
    <w:rsid w:val="0045382F"/>
    <w:rsid w:val="004539B1"/>
    <w:rsid w:val="00453A50"/>
    <w:rsid w:val="00453A8D"/>
    <w:rsid w:val="00453AEA"/>
    <w:rsid w:val="00453BF7"/>
    <w:rsid w:val="00453CAA"/>
    <w:rsid w:val="00453D2A"/>
    <w:rsid w:val="00453EEC"/>
    <w:rsid w:val="00454109"/>
    <w:rsid w:val="004544C3"/>
    <w:rsid w:val="0045455E"/>
    <w:rsid w:val="004545B7"/>
    <w:rsid w:val="004546C2"/>
    <w:rsid w:val="00454775"/>
    <w:rsid w:val="004547D7"/>
    <w:rsid w:val="00454AAC"/>
    <w:rsid w:val="00454C8C"/>
    <w:rsid w:val="00454E6C"/>
    <w:rsid w:val="00454E91"/>
    <w:rsid w:val="00455419"/>
    <w:rsid w:val="004557E2"/>
    <w:rsid w:val="004558E9"/>
    <w:rsid w:val="00455AE2"/>
    <w:rsid w:val="00455B48"/>
    <w:rsid w:val="00455E25"/>
    <w:rsid w:val="00455E5F"/>
    <w:rsid w:val="00456193"/>
    <w:rsid w:val="004563EC"/>
    <w:rsid w:val="004564D0"/>
    <w:rsid w:val="004564E4"/>
    <w:rsid w:val="0045667D"/>
    <w:rsid w:val="00456957"/>
    <w:rsid w:val="00456C48"/>
    <w:rsid w:val="00456CEC"/>
    <w:rsid w:val="00456E7D"/>
    <w:rsid w:val="00456EC3"/>
    <w:rsid w:val="00456FF1"/>
    <w:rsid w:val="00457081"/>
    <w:rsid w:val="004571AA"/>
    <w:rsid w:val="00457287"/>
    <w:rsid w:val="004573B1"/>
    <w:rsid w:val="0045767B"/>
    <w:rsid w:val="004578A1"/>
    <w:rsid w:val="0045793C"/>
    <w:rsid w:val="00457BD8"/>
    <w:rsid w:val="00457DCA"/>
    <w:rsid w:val="00457F9C"/>
    <w:rsid w:val="00457FAF"/>
    <w:rsid w:val="004601E1"/>
    <w:rsid w:val="00460289"/>
    <w:rsid w:val="004602E3"/>
    <w:rsid w:val="0046042B"/>
    <w:rsid w:val="004604C4"/>
    <w:rsid w:val="0046051A"/>
    <w:rsid w:val="00460570"/>
    <w:rsid w:val="0046057B"/>
    <w:rsid w:val="00460672"/>
    <w:rsid w:val="00460859"/>
    <w:rsid w:val="004608FB"/>
    <w:rsid w:val="00460931"/>
    <w:rsid w:val="004609FA"/>
    <w:rsid w:val="00460ADA"/>
    <w:rsid w:val="00460ADD"/>
    <w:rsid w:val="00460C57"/>
    <w:rsid w:val="00460F28"/>
    <w:rsid w:val="00460F57"/>
    <w:rsid w:val="004611E4"/>
    <w:rsid w:val="004613AE"/>
    <w:rsid w:val="004614A5"/>
    <w:rsid w:val="0046156F"/>
    <w:rsid w:val="0046172A"/>
    <w:rsid w:val="00461A97"/>
    <w:rsid w:val="00461BBC"/>
    <w:rsid w:val="0046207B"/>
    <w:rsid w:val="0046218A"/>
    <w:rsid w:val="0046219A"/>
    <w:rsid w:val="004621AF"/>
    <w:rsid w:val="00462576"/>
    <w:rsid w:val="004625F5"/>
    <w:rsid w:val="00462743"/>
    <w:rsid w:val="0046290A"/>
    <w:rsid w:val="00462ACE"/>
    <w:rsid w:val="00462E35"/>
    <w:rsid w:val="00462E3B"/>
    <w:rsid w:val="00462EA2"/>
    <w:rsid w:val="00462F39"/>
    <w:rsid w:val="00463086"/>
    <w:rsid w:val="00463106"/>
    <w:rsid w:val="00463342"/>
    <w:rsid w:val="00463A65"/>
    <w:rsid w:val="00463DBC"/>
    <w:rsid w:val="00463F72"/>
    <w:rsid w:val="00464339"/>
    <w:rsid w:val="00464430"/>
    <w:rsid w:val="0046448D"/>
    <w:rsid w:val="0046488E"/>
    <w:rsid w:val="00464B28"/>
    <w:rsid w:val="00464BB5"/>
    <w:rsid w:val="00464E2D"/>
    <w:rsid w:val="0046518F"/>
    <w:rsid w:val="004654FB"/>
    <w:rsid w:val="0046560C"/>
    <w:rsid w:val="004656FF"/>
    <w:rsid w:val="00465951"/>
    <w:rsid w:val="004659BF"/>
    <w:rsid w:val="00465B90"/>
    <w:rsid w:val="00465BED"/>
    <w:rsid w:val="00465D08"/>
    <w:rsid w:val="00465DCC"/>
    <w:rsid w:val="00465E4F"/>
    <w:rsid w:val="00466031"/>
    <w:rsid w:val="004661A5"/>
    <w:rsid w:val="0046623B"/>
    <w:rsid w:val="00466B11"/>
    <w:rsid w:val="00466CFC"/>
    <w:rsid w:val="00466D99"/>
    <w:rsid w:val="004670E0"/>
    <w:rsid w:val="0046714D"/>
    <w:rsid w:val="004672BC"/>
    <w:rsid w:val="0046766F"/>
    <w:rsid w:val="0046783C"/>
    <w:rsid w:val="004679B0"/>
    <w:rsid w:val="00467A7C"/>
    <w:rsid w:val="00467ADA"/>
    <w:rsid w:val="00467ADB"/>
    <w:rsid w:val="00467DE1"/>
    <w:rsid w:val="00467E2E"/>
    <w:rsid w:val="00467FA5"/>
    <w:rsid w:val="00470226"/>
    <w:rsid w:val="00470488"/>
    <w:rsid w:val="00470600"/>
    <w:rsid w:val="004706FF"/>
    <w:rsid w:val="00470872"/>
    <w:rsid w:val="00470A34"/>
    <w:rsid w:val="00470C5D"/>
    <w:rsid w:val="00470DD4"/>
    <w:rsid w:val="004710FE"/>
    <w:rsid w:val="004715E0"/>
    <w:rsid w:val="00471681"/>
    <w:rsid w:val="004718FA"/>
    <w:rsid w:val="0047198A"/>
    <w:rsid w:val="00471DB1"/>
    <w:rsid w:val="00471F60"/>
    <w:rsid w:val="00472094"/>
    <w:rsid w:val="004720C7"/>
    <w:rsid w:val="00472195"/>
    <w:rsid w:val="00472615"/>
    <w:rsid w:val="0047275F"/>
    <w:rsid w:val="004729A1"/>
    <w:rsid w:val="00472A64"/>
    <w:rsid w:val="00472A80"/>
    <w:rsid w:val="00472AF8"/>
    <w:rsid w:val="00472B75"/>
    <w:rsid w:val="00472C9F"/>
    <w:rsid w:val="00472CD5"/>
    <w:rsid w:val="00472D2F"/>
    <w:rsid w:val="00472EC1"/>
    <w:rsid w:val="00473074"/>
    <w:rsid w:val="00473108"/>
    <w:rsid w:val="00473217"/>
    <w:rsid w:val="00473329"/>
    <w:rsid w:val="0047350B"/>
    <w:rsid w:val="0047362C"/>
    <w:rsid w:val="0047373F"/>
    <w:rsid w:val="004737CD"/>
    <w:rsid w:val="00473867"/>
    <w:rsid w:val="00473BC4"/>
    <w:rsid w:val="00473F2A"/>
    <w:rsid w:val="004741ED"/>
    <w:rsid w:val="004744FE"/>
    <w:rsid w:val="00474F3B"/>
    <w:rsid w:val="004750D6"/>
    <w:rsid w:val="0047598F"/>
    <w:rsid w:val="0047599E"/>
    <w:rsid w:val="00475A26"/>
    <w:rsid w:val="00475A7B"/>
    <w:rsid w:val="00475DBC"/>
    <w:rsid w:val="00475E92"/>
    <w:rsid w:val="00475EFD"/>
    <w:rsid w:val="00476158"/>
    <w:rsid w:val="00476224"/>
    <w:rsid w:val="00476247"/>
    <w:rsid w:val="004762E4"/>
    <w:rsid w:val="004763F4"/>
    <w:rsid w:val="004764A8"/>
    <w:rsid w:val="004767C8"/>
    <w:rsid w:val="00476B7F"/>
    <w:rsid w:val="00476C9C"/>
    <w:rsid w:val="00476DF6"/>
    <w:rsid w:val="00477242"/>
    <w:rsid w:val="004773EA"/>
    <w:rsid w:val="00477778"/>
    <w:rsid w:val="004777E7"/>
    <w:rsid w:val="00477804"/>
    <w:rsid w:val="00477890"/>
    <w:rsid w:val="00477914"/>
    <w:rsid w:val="00477980"/>
    <w:rsid w:val="004779F0"/>
    <w:rsid w:val="00477AE6"/>
    <w:rsid w:val="00477BBA"/>
    <w:rsid w:val="00477CF3"/>
    <w:rsid w:val="00477D7E"/>
    <w:rsid w:val="00477DD5"/>
    <w:rsid w:val="00477EF5"/>
    <w:rsid w:val="00477F94"/>
    <w:rsid w:val="00480008"/>
    <w:rsid w:val="00480255"/>
    <w:rsid w:val="00480488"/>
    <w:rsid w:val="0048056A"/>
    <w:rsid w:val="00480637"/>
    <w:rsid w:val="004808CB"/>
    <w:rsid w:val="00480975"/>
    <w:rsid w:val="00480A32"/>
    <w:rsid w:val="00480C3E"/>
    <w:rsid w:val="00480C48"/>
    <w:rsid w:val="00480EA5"/>
    <w:rsid w:val="00481679"/>
    <w:rsid w:val="0048167D"/>
    <w:rsid w:val="004818FB"/>
    <w:rsid w:val="004819DF"/>
    <w:rsid w:val="00481B62"/>
    <w:rsid w:val="00481C11"/>
    <w:rsid w:val="004822D8"/>
    <w:rsid w:val="004823E2"/>
    <w:rsid w:val="00482708"/>
    <w:rsid w:val="00482709"/>
    <w:rsid w:val="00482780"/>
    <w:rsid w:val="004827B9"/>
    <w:rsid w:val="004828A6"/>
    <w:rsid w:val="004829D4"/>
    <w:rsid w:val="00482A7A"/>
    <w:rsid w:val="004833D8"/>
    <w:rsid w:val="0048358D"/>
    <w:rsid w:val="00483722"/>
    <w:rsid w:val="004839FC"/>
    <w:rsid w:val="00483D18"/>
    <w:rsid w:val="004840CF"/>
    <w:rsid w:val="004841C2"/>
    <w:rsid w:val="004843C7"/>
    <w:rsid w:val="00484528"/>
    <w:rsid w:val="004845B2"/>
    <w:rsid w:val="004845D4"/>
    <w:rsid w:val="004847A3"/>
    <w:rsid w:val="0048487D"/>
    <w:rsid w:val="004849B5"/>
    <w:rsid w:val="00484ABB"/>
    <w:rsid w:val="00484D15"/>
    <w:rsid w:val="00484E8B"/>
    <w:rsid w:val="00484FD0"/>
    <w:rsid w:val="0048501D"/>
    <w:rsid w:val="004852C9"/>
    <w:rsid w:val="004853D6"/>
    <w:rsid w:val="0048557A"/>
    <w:rsid w:val="004856FE"/>
    <w:rsid w:val="00485726"/>
    <w:rsid w:val="0048573C"/>
    <w:rsid w:val="00485801"/>
    <w:rsid w:val="0048586F"/>
    <w:rsid w:val="004858E0"/>
    <w:rsid w:val="00485906"/>
    <w:rsid w:val="00485B40"/>
    <w:rsid w:val="00485D4E"/>
    <w:rsid w:val="004863DE"/>
    <w:rsid w:val="0048645D"/>
    <w:rsid w:val="00486678"/>
    <w:rsid w:val="004866EF"/>
    <w:rsid w:val="00486780"/>
    <w:rsid w:val="004867C5"/>
    <w:rsid w:val="00486FD3"/>
    <w:rsid w:val="00487226"/>
    <w:rsid w:val="00487277"/>
    <w:rsid w:val="004873E9"/>
    <w:rsid w:val="00487546"/>
    <w:rsid w:val="004877F7"/>
    <w:rsid w:val="0048781F"/>
    <w:rsid w:val="00487ABE"/>
    <w:rsid w:val="00487C6B"/>
    <w:rsid w:val="00487CAA"/>
    <w:rsid w:val="00487D4D"/>
    <w:rsid w:val="00487D6F"/>
    <w:rsid w:val="00487F3E"/>
    <w:rsid w:val="00490074"/>
    <w:rsid w:val="00490091"/>
    <w:rsid w:val="00490154"/>
    <w:rsid w:val="00490550"/>
    <w:rsid w:val="0049063D"/>
    <w:rsid w:val="004909D3"/>
    <w:rsid w:val="00490ABA"/>
    <w:rsid w:val="00490B0E"/>
    <w:rsid w:val="00490BED"/>
    <w:rsid w:val="00490CB7"/>
    <w:rsid w:val="00490DC4"/>
    <w:rsid w:val="00490ED5"/>
    <w:rsid w:val="00490EF8"/>
    <w:rsid w:val="00491027"/>
    <w:rsid w:val="004910CD"/>
    <w:rsid w:val="004915BA"/>
    <w:rsid w:val="004916B9"/>
    <w:rsid w:val="00491ACB"/>
    <w:rsid w:val="00491B3F"/>
    <w:rsid w:val="00491D1A"/>
    <w:rsid w:val="00491DD4"/>
    <w:rsid w:val="00491F60"/>
    <w:rsid w:val="0049216A"/>
    <w:rsid w:val="004921D0"/>
    <w:rsid w:val="0049235E"/>
    <w:rsid w:val="004925FD"/>
    <w:rsid w:val="00492759"/>
    <w:rsid w:val="0049283D"/>
    <w:rsid w:val="004928CC"/>
    <w:rsid w:val="00492A0E"/>
    <w:rsid w:val="00492A2F"/>
    <w:rsid w:val="00492D2D"/>
    <w:rsid w:val="00492DAC"/>
    <w:rsid w:val="00492DD9"/>
    <w:rsid w:val="00492E44"/>
    <w:rsid w:val="00492F7D"/>
    <w:rsid w:val="00492FC5"/>
    <w:rsid w:val="00492FCB"/>
    <w:rsid w:val="00493047"/>
    <w:rsid w:val="004930E2"/>
    <w:rsid w:val="00493354"/>
    <w:rsid w:val="004933D6"/>
    <w:rsid w:val="004934E7"/>
    <w:rsid w:val="00493572"/>
    <w:rsid w:val="004936B7"/>
    <w:rsid w:val="00493788"/>
    <w:rsid w:val="00493793"/>
    <w:rsid w:val="0049382F"/>
    <w:rsid w:val="004939B0"/>
    <w:rsid w:val="00493B08"/>
    <w:rsid w:val="00494175"/>
    <w:rsid w:val="004941CB"/>
    <w:rsid w:val="0049426B"/>
    <w:rsid w:val="004949F5"/>
    <w:rsid w:val="00494B13"/>
    <w:rsid w:val="00494C66"/>
    <w:rsid w:val="00494E03"/>
    <w:rsid w:val="00494FB3"/>
    <w:rsid w:val="00495042"/>
    <w:rsid w:val="00495091"/>
    <w:rsid w:val="00495115"/>
    <w:rsid w:val="00495696"/>
    <w:rsid w:val="004959E5"/>
    <w:rsid w:val="004959F3"/>
    <w:rsid w:val="00495C0C"/>
    <w:rsid w:val="00495C0D"/>
    <w:rsid w:val="00495CAB"/>
    <w:rsid w:val="00495E8C"/>
    <w:rsid w:val="00495F7A"/>
    <w:rsid w:val="0049603E"/>
    <w:rsid w:val="0049605B"/>
    <w:rsid w:val="00496164"/>
    <w:rsid w:val="004967D9"/>
    <w:rsid w:val="00496816"/>
    <w:rsid w:val="004968C1"/>
    <w:rsid w:val="004968F8"/>
    <w:rsid w:val="00496947"/>
    <w:rsid w:val="00496ADC"/>
    <w:rsid w:val="00496BF1"/>
    <w:rsid w:val="00496E1C"/>
    <w:rsid w:val="00496E87"/>
    <w:rsid w:val="00497018"/>
    <w:rsid w:val="004971E0"/>
    <w:rsid w:val="004971FF"/>
    <w:rsid w:val="004976C2"/>
    <w:rsid w:val="0049777E"/>
    <w:rsid w:val="004977C4"/>
    <w:rsid w:val="00497831"/>
    <w:rsid w:val="004979A0"/>
    <w:rsid w:val="00497D4A"/>
    <w:rsid w:val="00497E9C"/>
    <w:rsid w:val="004A01D4"/>
    <w:rsid w:val="004A0231"/>
    <w:rsid w:val="004A0289"/>
    <w:rsid w:val="004A042D"/>
    <w:rsid w:val="004A07AD"/>
    <w:rsid w:val="004A08D0"/>
    <w:rsid w:val="004A097F"/>
    <w:rsid w:val="004A0C26"/>
    <w:rsid w:val="004A0D0E"/>
    <w:rsid w:val="004A0E25"/>
    <w:rsid w:val="004A0EF5"/>
    <w:rsid w:val="004A104A"/>
    <w:rsid w:val="004A12EC"/>
    <w:rsid w:val="004A1361"/>
    <w:rsid w:val="004A13BD"/>
    <w:rsid w:val="004A1717"/>
    <w:rsid w:val="004A1796"/>
    <w:rsid w:val="004A1A6B"/>
    <w:rsid w:val="004A1DE7"/>
    <w:rsid w:val="004A1EA8"/>
    <w:rsid w:val="004A1FE2"/>
    <w:rsid w:val="004A204B"/>
    <w:rsid w:val="004A2186"/>
    <w:rsid w:val="004A2263"/>
    <w:rsid w:val="004A26F1"/>
    <w:rsid w:val="004A2777"/>
    <w:rsid w:val="004A283E"/>
    <w:rsid w:val="004A2845"/>
    <w:rsid w:val="004A28F2"/>
    <w:rsid w:val="004A2A8F"/>
    <w:rsid w:val="004A2D4F"/>
    <w:rsid w:val="004A2E53"/>
    <w:rsid w:val="004A2EC4"/>
    <w:rsid w:val="004A3016"/>
    <w:rsid w:val="004A3216"/>
    <w:rsid w:val="004A3223"/>
    <w:rsid w:val="004A32A9"/>
    <w:rsid w:val="004A33C8"/>
    <w:rsid w:val="004A37B6"/>
    <w:rsid w:val="004A37C5"/>
    <w:rsid w:val="004A37F7"/>
    <w:rsid w:val="004A383F"/>
    <w:rsid w:val="004A3947"/>
    <w:rsid w:val="004A3949"/>
    <w:rsid w:val="004A3AA6"/>
    <w:rsid w:val="004A3B01"/>
    <w:rsid w:val="004A3BE5"/>
    <w:rsid w:val="004A3D85"/>
    <w:rsid w:val="004A3E84"/>
    <w:rsid w:val="004A4666"/>
    <w:rsid w:val="004A4770"/>
    <w:rsid w:val="004A4839"/>
    <w:rsid w:val="004A48D5"/>
    <w:rsid w:val="004A4DFA"/>
    <w:rsid w:val="004A4EFC"/>
    <w:rsid w:val="004A4FA9"/>
    <w:rsid w:val="004A5378"/>
    <w:rsid w:val="004A539D"/>
    <w:rsid w:val="004A5833"/>
    <w:rsid w:val="004A58AE"/>
    <w:rsid w:val="004A58D3"/>
    <w:rsid w:val="004A58E1"/>
    <w:rsid w:val="004A5C47"/>
    <w:rsid w:val="004A5C63"/>
    <w:rsid w:val="004A5D8D"/>
    <w:rsid w:val="004A607F"/>
    <w:rsid w:val="004A6370"/>
    <w:rsid w:val="004A6383"/>
    <w:rsid w:val="004A6384"/>
    <w:rsid w:val="004A63C1"/>
    <w:rsid w:val="004A6435"/>
    <w:rsid w:val="004A655A"/>
    <w:rsid w:val="004A6631"/>
    <w:rsid w:val="004A6667"/>
    <w:rsid w:val="004A6833"/>
    <w:rsid w:val="004A6B46"/>
    <w:rsid w:val="004A6F03"/>
    <w:rsid w:val="004A7266"/>
    <w:rsid w:val="004A72F3"/>
    <w:rsid w:val="004A759B"/>
    <w:rsid w:val="004A7673"/>
    <w:rsid w:val="004A774A"/>
    <w:rsid w:val="004A7900"/>
    <w:rsid w:val="004A7AB8"/>
    <w:rsid w:val="004A7BF1"/>
    <w:rsid w:val="004A7C9E"/>
    <w:rsid w:val="004A7D58"/>
    <w:rsid w:val="004A7E33"/>
    <w:rsid w:val="004A7EC2"/>
    <w:rsid w:val="004B0013"/>
    <w:rsid w:val="004B0266"/>
    <w:rsid w:val="004B037D"/>
    <w:rsid w:val="004B05FB"/>
    <w:rsid w:val="004B09F4"/>
    <w:rsid w:val="004B0DF3"/>
    <w:rsid w:val="004B1114"/>
    <w:rsid w:val="004B1508"/>
    <w:rsid w:val="004B17D9"/>
    <w:rsid w:val="004B1833"/>
    <w:rsid w:val="004B1A19"/>
    <w:rsid w:val="004B1CEF"/>
    <w:rsid w:val="004B1D1F"/>
    <w:rsid w:val="004B1F4C"/>
    <w:rsid w:val="004B20C7"/>
    <w:rsid w:val="004B22C8"/>
    <w:rsid w:val="004B2397"/>
    <w:rsid w:val="004B2595"/>
    <w:rsid w:val="004B28D9"/>
    <w:rsid w:val="004B2A58"/>
    <w:rsid w:val="004B2AF7"/>
    <w:rsid w:val="004B2C13"/>
    <w:rsid w:val="004B2C6D"/>
    <w:rsid w:val="004B2E71"/>
    <w:rsid w:val="004B2EDD"/>
    <w:rsid w:val="004B2EE8"/>
    <w:rsid w:val="004B2F74"/>
    <w:rsid w:val="004B30EF"/>
    <w:rsid w:val="004B310E"/>
    <w:rsid w:val="004B3218"/>
    <w:rsid w:val="004B3285"/>
    <w:rsid w:val="004B3359"/>
    <w:rsid w:val="004B346D"/>
    <w:rsid w:val="004B368D"/>
    <w:rsid w:val="004B3926"/>
    <w:rsid w:val="004B399C"/>
    <w:rsid w:val="004B39AB"/>
    <w:rsid w:val="004B3A6A"/>
    <w:rsid w:val="004B3B48"/>
    <w:rsid w:val="004B3C4D"/>
    <w:rsid w:val="004B4050"/>
    <w:rsid w:val="004B418C"/>
    <w:rsid w:val="004B4513"/>
    <w:rsid w:val="004B453F"/>
    <w:rsid w:val="004B4624"/>
    <w:rsid w:val="004B48D5"/>
    <w:rsid w:val="004B4A82"/>
    <w:rsid w:val="004B4E8D"/>
    <w:rsid w:val="004B4F43"/>
    <w:rsid w:val="004B4F4F"/>
    <w:rsid w:val="004B5116"/>
    <w:rsid w:val="004B531C"/>
    <w:rsid w:val="004B53D3"/>
    <w:rsid w:val="004B55DF"/>
    <w:rsid w:val="004B58C0"/>
    <w:rsid w:val="004B5A33"/>
    <w:rsid w:val="004B5B47"/>
    <w:rsid w:val="004B5C70"/>
    <w:rsid w:val="004B5C72"/>
    <w:rsid w:val="004B60BD"/>
    <w:rsid w:val="004B64C0"/>
    <w:rsid w:val="004B6564"/>
    <w:rsid w:val="004B6968"/>
    <w:rsid w:val="004B6AC4"/>
    <w:rsid w:val="004B6DE3"/>
    <w:rsid w:val="004B6F9D"/>
    <w:rsid w:val="004B7111"/>
    <w:rsid w:val="004B7347"/>
    <w:rsid w:val="004B74DF"/>
    <w:rsid w:val="004B76A3"/>
    <w:rsid w:val="004B797C"/>
    <w:rsid w:val="004B79A8"/>
    <w:rsid w:val="004B79B4"/>
    <w:rsid w:val="004B79D5"/>
    <w:rsid w:val="004B7AF8"/>
    <w:rsid w:val="004B7DF4"/>
    <w:rsid w:val="004B7E33"/>
    <w:rsid w:val="004B7F22"/>
    <w:rsid w:val="004C0134"/>
    <w:rsid w:val="004C02F5"/>
    <w:rsid w:val="004C045C"/>
    <w:rsid w:val="004C05DD"/>
    <w:rsid w:val="004C06CF"/>
    <w:rsid w:val="004C0CEC"/>
    <w:rsid w:val="004C0EE0"/>
    <w:rsid w:val="004C102F"/>
    <w:rsid w:val="004C11AD"/>
    <w:rsid w:val="004C1502"/>
    <w:rsid w:val="004C1566"/>
    <w:rsid w:val="004C1AAA"/>
    <w:rsid w:val="004C1AD9"/>
    <w:rsid w:val="004C1B21"/>
    <w:rsid w:val="004C1C4D"/>
    <w:rsid w:val="004C1CEF"/>
    <w:rsid w:val="004C1E9D"/>
    <w:rsid w:val="004C2117"/>
    <w:rsid w:val="004C220C"/>
    <w:rsid w:val="004C26D9"/>
    <w:rsid w:val="004C285E"/>
    <w:rsid w:val="004C29AD"/>
    <w:rsid w:val="004C2A7E"/>
    <w:rsid w:val="004C2BEB"/>
    <w:rsid w:val="004C2BF6"/>
    <w:rsid w:val="004C2C9C"/>
    <w:rsid w:val="004C312F"/>
    <w:rsid w:val="004C3309"/>
    <w:rsid w:val="004C36D4"/>
    <w:rsid w:val="004C382D"/>
    <w:rsid w:val="004C3945"/>
    <w:rsid w:val="004C3B46"/>
    <w:rsid w:val="004C409E"/>
    <w:rsid w:val="004C4317"/>
    <w:rsid w:val="004C431C"/>
    <w:rsid w:val="004C43F0"/>
    <w:rsid w:val="004C4516"/>
    <w:rsid w:val="004C4518"/>
    <w:rsid w:val="004C4741"/>
    <w:rsid w:val="004C47FA"/>
    <w:rsid w:val="004C483F"/>
    <w:rsid w:val="004C4915"/>
    <w:rsid w:val="004C4939"/>
    <w:rsid w:val="004C4990"/>
    <w:rsid w:val="004C4CA8"/>
    <w:rsid w:val="004C4DFD"/>
    <w:rsid w:val="004C4E3A"/>
    <w:rsid w:val="004C537A"/>
    <w:rsid w:val="004C548A"/>
    <w:rsid w:val="004C54BD"/>
    <w:rsid w:val="004C5614"/>
    <w:rsid w:val="004C56DF"/>
    <w:rsid w:val="004C5E58"/>
    <w:rsid w:val="004C63AD"/>
    <w:rsid w:val="004C65EC"/>
    <w:rsid w:val="004C66BA"/>
    <w:rsid w:val="004C67DC"/>
    <w:rsid w:val="004C6A5E"/>
    <w:rsid w:val="004C6AD3"/>
    <w:rsid w:val="004C6B45"/>
    <w:rsid w:val="004C6B7C"/>
    <w:rsid w:val="004C6BF1"/>
    <w:rsid w:val="004C6D1F"/>
    <w:rsid w:val="004C6D24"/>
    <w:rsid w:val="004C6D52"/>
    <w:rsid w:val="004C70D1"/>
    <w:rsid w:val="004C7313"/>
    <w:rsid w:val="004C737F"/>
    <w:rsid w:val="004C73EC"/>
    <w:rsid w:val="004C7469"/>
    <w:rsid w:val="004C749D"/>
    <w:rsid w:val="004C753F"/>
    <w:rsid w:val="004C75A6"/>
    <w:rsid w:val="004C76DC"/>
    <w:rsid w:val="004C7781"/>
    <w:rsid w:val="004C7AA8"/>
    <w:rsid w:val="004D03E4"/>
    <w:rsid w:val="004D062D"/>
    <w:rsid w:val="004D0998"/>
    <w:rsid w:val="004D0A04"/>
    <w:rsid w:val="004D0A3B"/>
    <w:rsid w:val="004D0A72"/>
    <w:rsid w:val="004D0B2B"/>
    <w:rsid w:val="004D0E02"/>
    <w:rsid w:val="004D0F3E"/>
    <w:rsid w:val="004D1010"/>
    <w:rsid w:val="004D11FC"/>
    <w:rsid w:val="004D1434"/>
    <w:rsid w:val="004D1586"/>
    <w:rsid w:val="004D15A2"/>
    <w:rsid w:val="004D17D6"/>
    <w:rsid w:val="004D180E"/>
    <w:rsid w:val="004D18F9"/>
    <w:rsid w:val="004D1947"/>
    <w:rsid w:val="004D2086"/>
    <w:rsid w:val="004D20C1"/>
    <w:rsid w:val="004D220C"/>
    <w:rsid w:val="004D230C"/>
    <w:rsid w:val="004D23BD"/>
    <w:rsid w:val="004D2431"/>
    <w:rsid w:val="004D255F"/>
    <w:rsid w:val="004D25E7"/>
    <w:rsid w:val="004D282C"/>
    <w:rsid w:val="004D2B89"/>
    <w:rsid w:val="004D2E84"/>
    <w:rsid w:val="004D2EED"/>
    <w:rsid w:val="004D2F4F"/>
    <w:rsid w:val="004D3127"/>
    <w:rsid w:val="004D353E"/>
    <w:rsid w:val="004D37BC"/>
    <w:rsid w:val="004D3924"/>
    <w:rsid w:val="004D3C94"/>
    <w:rsid w:val="004D3E5D"/>
    <w:rsid w:val="004D4073"/>
    <w:rsid w:val="004D40FD"/>
    <w:rsid w:val="004D4313"/>
    <w:rsid w:val="004D4479"/>
    <w:rsid w:val="004D45C6"/>
    <w:rsid w:val="004D4661"/>
    <w:rsid w:val="004D4694"/>
    <w:rsid w:val="004D46D2"/>
    <w:rsid w:val="004D50A9"/>
    <w:rsid w:val="004D50DD"/>
    <w:rsid w:val="004D52A0"/>
    <w:rsid w:val="004D5323"/>
    <w:rsid w:val="004D53C7"/>
    <w:rsid w:val="004D545F"/>
    <w:rsid w:val="004D55BD"/>
    <w:rsid w:val="004D5607"/>
    <w:rsid w:val="004D5637"/>
    <w:rsid w:val="004D56F0"/>
    <w:rsid w:val="004D5747"/>
    <w:rsid w:val="004D5A47"/>
    <w:rsid w:val="004D5A4B"/>
    <w:rsid w:val="004D5A7F"/>
    <w:rsid w:val="004D5C59"/>
    <w:rsid w:val="004D5DAC"/>
    <w:rsid w:val="004D5DB3"/>
    <w:rsid w:val="004D5F82"/>
    <w:rsid w:val="004D60D5"/>
    <w:rsid w:val="004D623C"/>
    <w:rsid w:val="004D630A"/>
    <w:rsid w:val="004D63F1"/>
    <w:rsid w:val="004D6579"/>
    <w:rsid w:val="004D66D8"/>
    <w:rsid w:val="004D6851"/>
    <w:rsid w:val="004D6870"/>
    <w:rsid w:val="004D6992"/>
    <w:rsid w:val="004D69D8"/>
    <w:rsid w:val="004D6B55"/>
    <w:rsid w:val="004D6BD2"/>
    <w:rsid w:val="004D6CA8"/>
    <w:rsid w:val="004D6CBE"/>
    <w:rsid w:val="004D6DC0"/>
    <w:rsid w:val="004D6F7D"/>
    <w:rsid w:val="004D70C8"/>
    <w:rsid w:val="004D726E"/>
    <w:rsid w:val="004D7304"/>
    <w:rsid w:val="004D730F"/>
    <w:rsid w:val="004D739A"/>
    <w:rsid w:val="004D76A7"/>
    <w:rsid w:val="004D777D"/>
    <w:rsid w:val="004D7993"/>
    <w:rsid w:val="004D7A96"/>
    <w:rsid w:val="004D7AF5"/>
    <w:rsid w:val="004D7AFD"/>
    <w:rsid w:val="004D7CA3"/>
    <w:rsid w:val="004D7CC1"/>
    <w:rsid w:val="004D7D3C"/>
    <w:rsid w:val="004D7D7A"/>
    <w:rsid w:val="004E0125"/>
    <w:rsid w:val="004E01D8"/>
    <w:rsid w:val="004E01F7"/>
    <w:rsid w:val="004E02DF"/>
    <w:rsid w:val="004E0345"/>
    <w:rsid w:val="004E0410"/>
    <w:rsid w:val="004E0619"/>
    <w:rsid w:val="004E0672"/>
    <w:rsid w:val="004E08A4"/>
    <w:rsid w:val="004E0980"/>
    <w:rsid w:val="004E09DB"/>
    <w:rsid w:val="004E119F"/>
    <w:rsid w:val="004E120F"/>
    <w:rsid w:val="004E1A03"/>
    <w:rsid w:val="004E1A8F"/>
    <w:rsid w:val="004E1B9D"/>
    <w:rsid w:val="004E1BC4"/>
    <w:rsid w:val="004E1EB9"/>
    <w:rsid w:val="004E2102"/>
    <w:rsid w:val="004E2333"/>
    <w:rsid w:val="004E248D"/>
    <w:rsid w:val="004E270C"/>
    <w:rsid w:val="004E2716"/>
    <w:rsid w:val="004E27E1"/>
    <w:rsid w:val="004E2885"/>
    <w:rsid w:val="004E2957"/>
    <w:rsid w:val="004E2B6A"/>
    <w:rsid w:val="004E306C"/>
    <w:rsid w:val="004E30E2"/>
    <w:rsid w:val="004E31B9"/>
    <w:rsid w:val="004E3424"/>
    <w:rsid w:val="004E3431"/>
    <w:rsid w:val="004E3461"/>
    <w:rsid w:val="004E34CC"/>
    <w:rsid w:val="004E34ED"/>
    <w:rsid w:val="004E3608"/>
    <w:rsid w:val="004E37E9"/>
    <w:rsid w:val="004E3986"/>
    <w:rsid w:val="004E3E83"/>
    <w:rsid w:val="004E3E8E"/>
    <w:rsid w:val="004E3EA0"/>
    <w:rsid w:val="004E3F93"/>
    <w:rsid w:val="004E40AA"/>
    <w:rsid w:val="004E420E"/>
    <w:rsid w:val="004E4280"/>
    <w:rsid w:val="004E43F8"/>
    <w:rsid w:val="004E4513"/>
    <w:rsid w:val="004E45DC"/>
    <w:rsid w:val="004E462A"/>
    <w:rsid w:val="004E4663"/>
    <w:rsid w:val="004E484F"/>
    <w:rsid w:val="004E48FB"/>
    <w:rsid w:val="004E4914"/>
    <w:rsid w:val="004E4AFD"/>
    <w:rsid w:val="004E4ECA"/>
    <w:rsid w:val="004E5095"/>
    <w:rsid w:val="004E51C5"/>
    <w:rsid w:val="004E523A"/>
    <w:rsid w:val="004E542D"/>
    <w:rsid w:val="004E55CF"/>
    <w:rsid w:val="004E56BE"/>
    <w:rsid w:val="004E57B2"/>
    <w:rsid w:val="004E57B3"/>
    <w:rsid w:val="004E5A2C"/>
    <w:rsid w:val="004E5A69"/>
    <w:rsid w:val="004E5B51"/>
    <w:rsid w:val="004E5D46"/>
    <w:rsid w:val="004E5E1A"/>
    <w:rsid w:val="004E5EAF"/>
    <w:rsid w:val="004E6228"/>
    <w:rsid w:val="004E62D4"/>
    <w:rsid w:val="004E642F"/>
    <w:rsid w:val="004E6670"/>
    <w:rsid w:val="004E66FA"/>
    <w:rsid w:val="004E66FF"/>
    <w:rsid w:val="004E6F70"/>
    <w:rsid w:val="004E716F"/>
    <w:rsid w:val="004E7468"/>
    <w:rsid w:val="004E7769"/>
    <w:rsid w:val="004E7808"/>
    <w:rsid w:val="004E7A25"/>
    <w:rsid w:val="004E7ADD"/>
    <w:rsid w:val="004E7E96"/>
    <w:rsid w:val="004E7EE3"/>
    <w:rsid w:val="004F01A1"/>
    <w:rsid w:val="004F033F"/>
    <w:rsid w:val="004F0355"/>
    <w:rsid w:val="004F0676"/>
    <w:rsid w:val="004F0727"/>
    <w:rsid w:val="004F0779"/>
    <w:rsid w:val="004F0823"/>
    <w:rsid w:val="004F0D92"/>
    <w:rsid w:val="004F0FC1"/>
    <w:rsid w:val="004F14D0"/>
    <w:rsid w:val="004F1558"/>
    <w:rsid w:val="004F162B"/>
    <w:rsid w:val="004F1654"/>
    <w:rsid w:val="004F16B1"/>
    <w:rsid w:val="004F1771"/>
    <w:rsid w:val="004F19E4"/>
    <w:rsid w:val="004F1AF0"/>
    <w:rsid w:val="004F1D21"/>
    <w:rsid w:val="004F1EC3"/>
    <w:rsid w:val="004F1F7B"/>
    <w:rsid w:val="004F1F9E"/>
    <w:rsid w:val="004F2022"/>
    <w:rsid w:val="004F2107"/>
    <w:rsid w:val="004F2331"/>
    <w:rsid w:val="004F2366"/>
    <w:rsid w:val="004F2583"/>
    <w:rsid w:val="004F2818"/>
    <w:rsid w:val="004F28B8"/>
    <w:rsid w:val="004F2B6E"/>
    <w:rsid w:val="004F2B7D"/>
    <w:rsid w:val="004F3284"/>
    <w:rsid w:val="004F32F7"/>
    <w:rsid w:val="004F3377"/>
    <w:rsid w:val="004F337B"/>
    <w:rsid w:val="004F34D8"/>
    <w:rsid w:val="004F3527"/>
    <w:rsid w:val="004F35B5"/>
    <w:rsid w:val="004F37E4"/>
    <w:rsid w:val="004F383D"/>
    <w:rsid w:val="004F3CD1"/>
    <w:rsid w:val="004F3D78"/>
    <w:rsid w:val="004F3F51"/>
    <w:rsid w:val="004F400D"/>
    <w:rsid w:val="004F442C"/>
    <w:rsid w:val="004F451E"/>
    <w:rsid w:val="004F45F8"/>
    <w:rsid w:val="004F45FE"/>
    <w:rsid w:val="004F462D"/>
    <w:rsid w:val="004F473C"/>
    <w:rsid w:val="004F4963"/>
    <w:rsid w:val="004F4F8F"/>
    <w:rsid w:val="004F5335"/>
    <w:rsid w:val="004F536C"/>
    <w:rsid w:val="004F541A"/>
    <w:rsid w:val="004F542F"/>
    <w:rsid w:val="004F54CC"/>
    <w:rsid w:val="004F5514"/>
    <w:rsid w:val="004F5B7E"/>
    <w:rsid w:val="004F5DC7"/>
    <w:rsid w:val="004F5F29"/>
    <w:rsid w:val="004F610B"/>
    <w:rsid w:val="004F613C"/>
    <w:rsid w:val="004F6579"/>
    <w:rsid w:val="004F6657"/>
    <w:rsid w:val="004F66AD"/>
    <w:rsid w:val="004F6885"/>
    <w:rsid w:val="004F6992"/>
    <w:rsid w:val="004F6BF1"/>
    <w:rsid w:val="004F6CA1"/>
    <w:rsid w:val="004F6D03"/>
    <w:rsid w:val="004F6D14"/>
    <w:rsid w:val="004F6DB9"/>
    <w:rsid w:val="004F6FDC"/>
    <w:rsid w:val="004F7342"/>
    <w:rsid w:val="004F7373"/>
    <w:rsid w:val="004F7389"/>
    <w:rsid w:val="004F7425"/>
    <w:rsid w:val="004F74E6"/>
    <w:rsid w:val="004F7551"/>
    <w:rsid w:val="004F755F"/>
    <w:rsid w:val="004F77B3"/>
    <w:rsid w:val="004F7D26"/>
    <w:rsid w:val="004F7F89"/>
    <w:rsid w:val="005001EC"/>
    <w:rsid w:val="0050051C"/>
    <w:rsid w:val="005005AC"/>
    <w:rsid w:val="005005C0"/>
    <w:rsid w:val="00500933"/>
    <w:rsid w:val="00500BD6"/>
    <w:rsid w:val="00500C10"/>
    <w:rsid w:val="00500DDC"/>
    <w:rsid w:val="00500FC4"/>
    <w:rsid w:val="00501011"/>
    <w:rsid w:val="00501205"/>
    <w:rsid w:val="00501265"/>
    <w:rsid w:val="00501434"/>
    <w:rsid w:val="00501535"/>
    <w:rsid w:val="0050154C"/>
    <w:rsid w:val="00501580"/>
    <w:rsid w:val="005015AD"/>
    <w:rsid w:val="0050170F"/>
    <w:rsid w:val="0050197B"/>
    <w:rsid w:val="00501B86"/>
    <w:rsid w:val="00501C27"/>
    <w:rsid w:val="00501C56"/>
    <w:rsid w:val="00501CEB"/>
    <w:rsid w:val="00501DDA"/>
    <w:rsid w:val="00501EE5"/>
    <w:rsid w:val="00502100"/>
    <w:rsid w:val="00502675"/>
    <w:rsid w:val="005027CC"/>
    <w:rsid w:val="00502800"/>
    <w:rsid w:val="00502A15"/>
    <w:rsid w:val="00502ADE"/>
    <w:rsid w:val="00502DA1"/>
    <w:rsid w:val="00502DB4"/>
    <w:rsid w:val="00502FBD"/>
    <w:rsid w:val="005030E7"/>
    <w:rsid w:val="00503140"/>
    <w:rsid w:val="00503328"/>
    <w:rsid w:val="0050334B"/>
    <w:rsid w:val="005034F2"/>
    <w:rsid w:val="005035F9"/>
    <w:rsid w:val="005038A5"/>
    <w:rsid w:val="00503A14"/>
    <w:rsid w:val="00503CAC"/>
    <w:rsid w:val="00503CFB"/>
    <w:rsid w:val="00503DBD"/>
    <w:rsid w:val="005042CD"/>
    <w:rsid w:val="005045F8"/>
    <w:rsid w:val="0050464F"/>
    <w:rsid w:val="00504680"/>
    <w:rsid w:val="00504726"/>
    <w:rsid w:val="00504832"/>
    <w:rsid w:val="00504879"/>
    <w:rsid w:val="00504903"/>
    <w:rsid w:val="005049AB"/>
    <w:rsid w:val="00504AD7"/>
    <w:rsid w:val="00504C25"/>
    <w:rsid w:val="00504E0E"/>
    <w:rsid w:val="00505397"/>
    <w:rsid w:val="005058FE"/>
    <w:rsid w:val="00505D53"/>
    <w:rsid w:val="00505F0A"/>
    <w:rsid w:val="00506178"/>
    <w:rsid w:val="005061B7"/>
    <w:rsid w:val="00506360"/>
    <w:rsid w:val="0050659E"/>
    <w:rsid w:val="0050678E"/>
    <w:rsid w:val="00506A4A"/>
    <w:rsid w:val="00506C69"/>
    <w:rsid w:val="00506DEF"/>
    <w:rsid w:val="0050711A"/>
    <w:rsid w:val="00507166"/>
    <w:rsid w:val="00507312"/>
    <w:rsid w:val="0050732C"/>
    <w:rsid w:val="005073B9"/>
    <w:rsid w:val="005074D5"/>
    <w:rsid w:val="00507537"/>
    <w:rsid w:val="00507C94"/>
    <w:rsid w:val="00507E87"/>
    <w:rsid w:val="00507ED9"/>
    <w:rsid w:val="0051004F"/>
    <w:rsid w:val="0051027F"/>
    <w:rsid w:val="005102F4"/>
    <w:rsid w:val="00510327"/>
    <w:rsid w:val="0051036D"/>
    <w:rsid w:val="00510566"/>
    <w:rsid w:val="00510712"/>
    <w:rsid w:val="005109B7"/>
    <w:rsid w:val="00510A6C"/>
    <w:rsid w:val="00510AC7"/>
    <w:rsid w:val="00510F09"/>
    <w:rsid w:val="0051111A"/>
    <w:rsid w:val="005112FC"/>
    <w:rsid w:val="00511549"/>
    <w:rsid w:val="00511643"/>
    <w:rsid w:val="00511914"/>
    <w:rsid w:val="00511B37"/>
    <w:rsid w:val="00511C4F"/>
    <w:rsid w:val="00511E30"/>
    <w:rsid w:val="005122C0"/>
    <w:rsid w:val="0051243C"/>
    <w:rsid w:val="0051253C"/>
    <w:rsid w:val="0051254C"/>
    <w:rsid w:val="00512579"/>
    <w:rsid w:val="005125A1"/>
    <w:rsid w:val="0051267D"/>
    <w:rsid w:val="00512844"/>
    <w:rsid w:val="00512A9B"/>
    <w:rsid w:val="00512C9B"/>
    <w:rsid w:val="00512F16"/>
    <w:rsid w:val="00513185"/>
    <w:rsid w:val="00513AEC"/>
    <w:rsid w:val="00513BE9"/>
    <w:rsid w:val="00513CF0"/>
    <w:rsid w:val="00513D5D"/>
    <w:rsid w:val="00513F34"/>
    <w:rsid w:val="005143DD"/>
    <w:rsid w:val="005143F8"/>
    <w:rsid w:val="00514529"/>
    <w:rsid w:val="005148A4"/>
    <w:rsid w:val="005148F2"/>
    <w:rsid w:val="00514A49"/>
    <w:rsid w:val="00514A6B"/>
    <w:rsid w:val="00514A7E"/>
    <w:rsid w:val="00514B38"/>
    <w:rsid w:val="00514B4C"/>
    <w:rsid w:val="00514CBB"/>
    <w:rsid w:val="00514DF6"/>
    <w:rsid w:val="00514DFA"/>
    <w:rsid w:val="00515589"/>
    <w:rsid w:val="00515882"/>
    <w:rsid w:val="00515B26"/>
    <w:rsid w:val="00515BD6"/>
    <w:rsid w:val="00515D22"/>
    <w:rsid w:val="00515EBC"/>
    <w:rsid w:val="00515EF4"/>
    <w:rsid w:val="005161DB"/>
    <w:rsid w:val="00516A1B"/>
    <w:rsid w:val="00516C33"/>
    <w:rsid w:val="00516C6E"/>
    <w:rsid w:val="00516D79"/>
    <w:rsid w:val="00516F32"/>
    <w:rsid w:val="00517414"/>
    <w:rsid w:val="00517753"/>
    <w:rsid w:val="00517C1B"/>
    <w:rsid w:val="005200E6"/>
    <w:rsid w:val="00520230"/>
    <w:rsid w:val="0052044A"/>
    <w:rsid w:val="00520503"/>
    <w:rsid w:val="00520786"/>
    <w:rsid w:val="00520976"/>
    <w:rsid w:val="00520A2C"/>
    <w:rsid w:val="00520BCF"/>
    <w:rsid w:val="00520C44"/>
    <w:rsid w:val="00520C47"/>
    <w:rsid w:val="00520E9B"/>
    <w:rsid w:val="00521244"/>
    <w:rsid w:val="00521273"/>
    <w:rsid w:val="00521280"/>
    <w:rsid w:val="005215FA"/>
    <w:rsid w:val="0052162F"/>
    <w:rsid w:val="00521EA7"/>
    <w:rsid w:val="00521FB2"/>
    <w:rsid w:val="005221D7"/>
    <w:rsid w:val="00522271"/>
    <w:rsid w:val="005222C4"/>
    <w:rsid w:val="0052285B"/>
    <w:rsid w:val="005229E5"/>
    <w:rsid w:val="00522C6D"/>
    <w:rsid w:val="00522E48"/>
    <w:rsid w:val="00522E72"/>
    <w:rsid w:val="00523235"/>
    <w:rsid w:val="00523572"/>
    <w:rsid w:val="005236BC"/>
    <w:rsid w:val="00523754"/>
    <w:rsid w:val="005237E0"/>
    <w:rsid w:val="0052385D"/>
    <w:rsid w:val="00523889"/>
    <w:rsid w:val="005238DE"/>
    <w:rsid w:val="005239A8"/>
    <w:rsid w:val="00523A99"/>
    <w:rsid w:val="00523D4A"/>
    <w:rsid w:val="00523D61"/>
    <w:rsid w:val="00523EDA"/>
    <w:rsid w:val="00523F32"/>
    <w:rsid w:val="00523F3A"/>
    <w:rsid w:val="00523FF2"/>
    <w:rsid w:val="0052417A"/>
    <w:rsid w:val="0052454E"/>
    <w:rsid w:val="0052459B"/>
    <w:rsid w:val="005246C0"/>
    <w:rsid w:val="00524D81"/>
    <w:rsid w:val="00524DB9"/>
    <w:rsid w:val="00524F41"/>
    <w:rsid w:val="00524FA5"/>
    <w:rsid w:val="0052507B"/>
    <w:rsid w:val="0052526D"/>
    <w:rsid w:val="00525274"/>
    <w:rsid w:val="005253BE"/>
    <w:rsid w:val="00525712"/>
    <w:rsid w:val="00525A96"/>
    <w:rsid w:val="00525DF4"/>
    <w:rsid w:val="00525E7F"/>
    <w:rsid w:val="00525FD2"/>
    <w:rsid w:val="0052610A"/>
    <w:rsid w:val="005261B7"/>
    <w:rsid w:val="00526210"/>
    <w:rsid w:val="00526512"/>
    <w:rsid w:val="00526527"/>
    <w:rsid w:val="0052675C"/>
    <w:rsid w:val="005267BD"/>
    <w:rsid w:val="00526851"/>
    <w:rsid w:val="00526AAD"/>
    <w:rsid w:val="00526E43"/>
    <w:rsid w:val="0052702B"/>
    <w:rsid w:val="0052719A"/>
    <w:rsid w:val="005276D8"/>
    <w:rsid w:val="0052771A"/>
    <w:rsid w:val="00527777"/>
    <w:rsid w:val="005279B4"/>
    <w:rsid w:val="00527B74"/>
    <w:rsid w:val="00527E98"/>
    <w:rsid w:val="00527EF9"/>
    <w:rsid w:val="0053005D"/>
    <w:rsid w:val="00530097"/>
    <w:rsid w:val="005300EF"/>
    <w:rsid w:val="00530326"/>
    <w:rsid w:val="00530333"/>
    <w:rsid w:val="00530594"/>
    <w:rsid w:val="00530C72"/>
    <w:rsid w:val="00530D6D"/>
    <w:rsid w:val="00530D8E"/>
    <w:rsid w:val="00530EFE"/>
    <w:rsid w:val="005313FD"/>
    <w:rsid w:val="005314BF"/>
    <w:rsid w:val="005316D9"/>
    <w:rsid w:val="00531BF5"/>
    <w:rsid w:val="005324EA"/>
    <w:rsid w:val="00532538"/>
    <w:rsid w:val="00532579"/>
    <w:rsid w:val="005328A2"/>
    <w:rsid w:val="00532933"/>
    <w:rsid w:val="005329E5"/>
    <w:rsid w:val="00532AE9"/>
    <w:rsid w:val="00532B65"/>
    <w:rsid w:val="00532C12"/>
    <w:rsid w:val="00532CDB"/>
    <w:rsid w:val="00532DB1"/>
    <w:rsid w:val="0053315B"/>
    <w:rsid w:val="0053327C"/>
    <w:rsid w:val="005333D5"/>
    <w:rsid w:val="0053348C"/>
    <w:rsid w:val="005336AA"/>
    <w:rsid w:val="00533993"/>
    <w:rsid w:val="005339B2"/>
    <w:rsid w:val="00533BDB"/>
    <w:rsid w:val="00533BED"/>
    <w:rsid w:val="00533FC3"/>
    <w:rsid w:val="00534113"/>
    <w:rsid w:val="005341A3"/>
    <w:rsid w:val="005341B8"/>
    <w:rsid w:val="005341CA"/>
    <w:rsid w:val="00534244"/>
    <w:rsid w:val="00534330"/>
    <w:rsid w:val="00534335"/>
    <w:rsid w:val="005343CF"/>
    <w:rsid w:val="005344D2"/>
    <w:rsid w:val="005344E7"/>
    <w:rsid w:val="0053471D"/>
    <w:rsid w:val="005347E4"/>
    <w:rsid w:val="00534995"/>
    <w:rsid w:val="00534AD5"/>
    <w:rsid w:val="00534BB5"/>
    <w:rsid w:val="00534C3F"/>
    <w:rsid w:val="00534C8B"/>
    <w:rsid w:val="00534CEF"/>
    <w:rsid w:val="00534D1F"/>
    <w:rsid w:val="00535A3E"/>
    <w:rsid w:val="00535D5F"/>
    <w:rsid w:val="00535F3D"/>
    <w:rsid w:val="0053607E"/>
    <w:rsid w:val="005360A4"/>
    <w:rsid w:val="005362ED"/>
    <w:rsid w:val="00536A79"/>
    <w:rsid w:val="00536B69"/>
    <w:rsid w:val="00536C06"/>
    <w:rsid w:val="005370C7"/>
    <w:rsid w:val="005376FF"/>
    <w:rsid w:val="00537732"/>
    <w:rsid w:val="005378BA"/>
    <w:rsid w:val="00537AAC"/>
    <w:rsid w:val="00537B80"/>
    <w:rsid w:val="00537C43"/>
    <w:rsid w:val="00537C66"/>
    <w:rsid w:val="00537E1F"/>
    <w:rsid w:val="00537EF8"/>
    <w:rsid w:val="00537F6C"/>
    <w:rsid w:val="00540271"/>
    <w:rsid w:val="00540A17"/>
    <w:rsid w:val="00540A8F"/>
    <w:rsid w:val="00541187"/>
    <w:rsid w:val="0054123F"/>
    <w:rsid w:val="0054138C"/>
    <w:rsid w:val="005413AD"/>
    <w:rsid w:val="005413BF"/>
    <w:rsid w:val="00541473"/>
    <w:rsid w:val="005415D4"/>
    <w:rsid w:val="0054169C"/>
    <w:rsid w:val="00541B76"/>
    <w:rsid w:val="00541D71"/>
    <w:rsid w:val="00541D7B"/>
    <w:rsid w:val="00541EE2"/>
    <w:rsid w:val="0054205A"/>
    <w:rsid w:val="005423A4"/>
    <w:rsid w:val="0054243E"/>
    <w:rsid w:val="00542648"/>
    <w:rsid w:val="005427C3"/>
    <w:rsid w:val="005428E4"/>
    <w:rsid w:val="0054291A"/>
    <w:rsid w:val="00542B44"/>
    <w:rsid w:val="00542C91"/>
    <w:rsid w:val="00542F0C"/>
    <w:rsid w:val="00543039"/>
    <w:rsid w:val="00543262"/>
    <w:rsid w:val="005432A7"/>
    <w:rsid w:val="00543358"/>
    <w:rsid w:val="005433FF"/>
    <w:rsid w:val="00543755"/>
    <w:rsid w:val="00543C26"/>
    <w:rsid w:val="00543C97"/>
    <w:rsid w:val="00543DDF"/>
    <w:rsid w:val="00543E63"/>
    <w:rsid w:val="00543F52"/>
    <w:rsid w:val="00544543"/>
    <w:rsid w:val="00544755"/>
    <w:rsid w:val="00544865"/>
    <w:rsid w:val="005448FB"/>
    <w:rsid w:val="00544F7B"/>
    <w:rsid w:val="00545159"/>
    <w:rsid w:val="0054534D"/>
    <w:rsid w:val="00545473"/>
    <w:rsid w:val="0054580A"/>
    <w:rsid w:val="00545A43"/>
    <w:rsid w:val="00545B8E"/>
    <w:rsid w:val="00545C23"/>
    <w:rsid w:val="00546019"/>
    <w:rsid w:val="0054619C"/>
    <w:rsid w:val="00546230"/>
    <w:rsid w:val="005463AD"/>
    <w:rsid w:val="0054642C"/>
    <w:rsid w:val="00546449"/>
    <w:rsid w:val="00546488"/>
    <w:rsid w:val="00546721"/>
    <w:rsid w:val="00546731"/>
    <w:rsid w:val="0054699C"/>
    <w:rsid w:val="00546CC0"/>
    <w:rsid w:val="00546E0C"/>
    <w:rsid w:val="005474E4"/>
    <w:rsid w:val="0054771A"/>
    <w:rsid w:val="00547B86"/>
    <w:rsid w:val="00547D18"/>
    <w:rsid w:val="0054F7B1"/>
    <w:rsid w:val="00550289"/>
    <w:rsid w:val="005502F5"/>
    <w:rsid w:val="00550392"/>
    <w:rsid w:val="005504C6"/>
    <w:rsid w:val="00550566"/>
    <w:rsid w:val="005505BD"/>
    <w:rsid w:val="0055079D"/>
    <w:rsid w:val="0055087C"/>
    <w:rsid w:val="00550890"/>
    <w:rsid w:val="00550A67"/>
    <w:rsid w:val="00550AD5"/>
    <w:rsid w:val="00550D0F"/>
    <w:rsid w:val="00551021"/>
    <w:rsid w:val="00551111"/>
    <w:rsid w:val="0055118C"/>
    <w:rsid w:val="00551558"/>
    <w:rsid w:val="005516A2"/>
    <w:rsid w:val="00551739"/>
    <w:rsid w:val="00551EFE"/>
    <w:rsid w:val="00552615"/>
    <w:rsid w:val="005526AF"/>
    <w:rsid w:val="0055272C"/>
    <w:rsid w:val="005528C5"/>
    <w:rsid w:val="00552904"/>
    <w:rsid w:val="00552CAE"/>
    <w:rsid w:val="00552E3A"/>
    <w:rsid w:val="005530D9"/>
    <w:rsid w:val="005532C4"/>
    <w:rsid w:val="0055365C"/>
    <w:rsid w:val="005537FB"/>
    <w:rsid w:val="00553F12"/>
    <w:rsid w:val="00553F39"/>
    <w:rsid w:val="00554050"/>
    <w:rsid w:val="0055414D"/>
    <w:rsid w:val="00554261"/>
    <w:rsid w:val="00554348"/>
    <w:rsid w:val="005547DA"/>
    <w:rsid w:val="00554AFA"/>
    <w:rsid w:val="00554CFF"/>
    <w:rsid w:val="00554D5F"/>
    <w:rsid w:val="00554FFE"/>
    <w:rsid w:val="005552EF"/>
    <w:rsid w:val="00555371"/>
    <w:rsid w:val="0055551E"/>
    <w:rsid w:val="0055553F"/>
    <w:rsid w:val="0055555A"/>
    <w:rsid w:val="00555568"/>
    <w:rsid w:val="005558E2"/>
    <w:rsid w:val="00555F19"/>
    <w:rsid w:val="00555F9F"/>
    <w:rsid w:val="005561FF"/>
    <w:rsid w:val="00556445"/>
    <w:rsid w:val="0055677A"/>
    <w:rsid w:val="0055687B"/>
    <w:rsid w:val="00556972"/>
    <w:rsid w:val="00556A0E"/>
    <w:rsid w:val="00556B1C"/>
    <w:rsid w:val="00556E5D"/>
    <w:rsid w:val="00556FED"/>
    <w:rsid w:val="0055718D"/>
    <w:rsid w:val="0055721F"/>
    <w:rsid w:val="0055753A"/>
    <w:rsid w:val="005576A2"/>
    <w:rsid w:val="005576BD"/>
    <w:rsid w:val="0055772B"/>
    <w:rsid w:val="00557C11"/>
    <w:rsid w:val="00557E43"/>
    <w:rsid w:val="00557EA5"/>
    <w:rsid w:val="00560035"/>
    <w:rsid w:val="00560038"/>
    <w:rsid w:val="00560045"/>
    <w:rsid w:val="00560078"/>
    <w:rsid w:val="00560093"/>
    <w:rsid w:val="005604FB"/>
    <w:rsid w:val="00560512"/>
    <w:rsid w:val="005606BC"/>
    <w:rsid w:val="00560741"/>
    <w:rsid w:val="00560797"/>
    <w:rsid w:val="005607BB"/>
    <w:rsid w:val="00560955"/>
    <w:rsid w:val="005609A1"/>
    <w:rsid w:val="005609EB"/>
    <w:rsid w:val="00560D8C"/>
    <w:rsid w:val="00560DED"/>
    <w:rsid w:val="00560ED8"/>
    <w:rsid w:val="00561096"/>
    <w:rsid w:val="005611EC"/>
    <w:rsid w:val="005615A5"/>
    <w:rsid w:val="00561638"/>
    <w:rsid w:val="0056166B"/>
    <w:rsid w:val="005616E2"/>
    <w:rsid w:val="0056182C"/>
    <w:rsid w:val="00561BC7"/>
    <w:rsid w:val="00561CD9"/>
    <w:rsid w:val="00561D0F"/>
    <w:rsid w:val="00561D6C"/>
    <w:rsid w:val="00561E60"/>
    <w:rsid w:val="005620AB"/>
    <w:rsid w:val="0056276D"/>
    <w:rsid w:val="005627B6"/>
    <w:rsid w:val="00562A5B"/>
    <w:rsid w:val="00562ADD"/>
    <w:rsid w:val="00562E4B"/>
    <w:rsid w:val="00562FC6"/>
    <w:rsid w:val="00563347"/>
    <w:rsid w:val="005635AB"/>
    <w:rsid w:val="005636B2"/>
    <w:rsid w:val="00563836"/>
    <w:rsid w:val="00563AAD"/>
    <w:rsid w:val="00563C02"/>
    <w:rsid w:val="00563DA7"/>
    <w:rsid w:val="00563E4B"/>
    <w:rsid w:val="00563FDE"/>
    <w:rsid w:val="005640E1"/>
    <w:rsid w:val="005645B4"/>
    <w:rsid w:val="00564931"/>
    <w:rsid w:val="00564984"/>
    <w:rsid w:val="00564994"/>
    <w:rsid w:val="00564AF2"/>
    <w:rsid w:val="00564BF2"/>
    <w:rsid w:val="00564BFE"/>
    <w:rsid w:val="00564EDC"/>
    <w:rsid w:val="00564FE1"/>
    <w:rsid w:val="00565284"/>
    <w:rsid w:val="0056539D"/>
    <w:rsid w:val="005653A8"/>
    <w:rsid w:val="005655CE"/>
    <w:rsid w:val="0056584E"/>
    <w:rsid w:val="005658CD"/>
    <w:rsid w:val="00565A28"/>
    <w:rsid w:val="00565A78"/>
    <w:rsid w:val="00565C5E"/>
    <w:rsid w:val="00565E5E"/>
    <w:rsid w:val="00565F0A"/>
    <w:rsid w:val="00565F7B"/>
    <w:rsid w:val="005661FF"/>
    <w:rsid w:val="005663F3"/>
    <w:rsid w:val="00566536"/>
    <w:rsid w:val="00566816"/>
    <w:rsid w:val="005668F2"/>
    <w:rsid w:val="00566924"/>
    <w:rsid w:val="005669B4"/>
    <w:rsid w:val="005669C9"/>
    <w:rsid w:val="00566AAA"/>
    <w:rsid w:val="00566B6F"/>
    <w:rsid w:val="00566D07"/>
    <w:rsid w:val="00566DF5"/>
    <w:rsid w:val="00566E82"/>
    <w:rsid w:val="005671C7"/>
    <w:rsid w:val="0056727B"/>
    <w:rsid w:val="00567655"/>
    <w:rsid w:val="0056766E"/>
    <w:rsid w:val="0056775C"/>
    <w:rsid w:val="005679A1"/>
    <w:rsid w:val="00570050"/>
    <w:rsid w:val="005705CA"/>
    <w:rsid w:val="005706DC"/>
    <w:rsid w:val="00570799"/>
    <w:rsid w:val="00570826"/>
    <w:rsid w:val="00570829"/>
    <w:rsid w:val="005708C1"/>
    <w:rsid w:val="005708E6"/>
    <w:rsid w:val="00570C59"/>
    <w:rsid w:val="00570D2F"/>
    <w:rsid w:val="00570E63"/>
    <w:rsid w:val="00570ED0"/>
    <w:rsid w:val="00570FE4"/>
    <w:rsid w:val="00571109"/>
    <w:rsid w:val="0057111F"/>
    <w:rsid w:val="00571138"/>
    <w:rsid w:val="00571308"/>
    <w:rsid w:val="0057134D"/>
    <w:rsid w:val="00571513"/>
    <w:rsid w:val="00571525"/>
    <w:rsid w:val="0057153C"/>
    <w:rsid w:val="00571631"/>
    <w:rsid w:val="00571794"/>
    <w:rsid w:val="0057186F"/>
    <w:rsid w:val="00571DBD"/>
    <w:rsid w:val="00571E6B"/>
    <w:rsid w:val="0057200B"/>
    <w:rsid w:val="0057201B"/>
    <w:rsid w:val="00572191"/>
    <w:rsid w:val="005723BB"/>
    <w:rsid w:val="005725A2"/>
    <w:rsid w:val="00572682"/>
    <w:rsid w:val="00572709"/>
    <w:rsid w:val="005727D3"/>
    <w:rsid w:val="0057284F"/>
    <w:rsid w:val="00572C10"/>
    <w:rsid w:val="00572C94"/>
    <w:rsid w:val="00572D60"/>
    <w:rsid w:val="00572D9C"/>
    <w:rsid w:val="00572E29"/>
    <w:rsid w:val="00572E70"/>
    <w:rsid w:val="00572F54"/>
    <w:rsid w:val="0057301B"/>
    <w:rsid w:val="00573485"/>
    <w:rsid w:val="005738AE"/>
    <w:rsid w:val="0057398A"/>
    <w:rsid w:val="00573AE0"/>
    <w:rsid w:val="00573C77"/>
    <w:rsid w:val="00573C83"/>
    <w:rsid w:val="00573E22"/>
    <w:rsid w:val="00573F82"/>
    <w:rsid w:val="0057404D"/>
    <w:rsid w:val="0057438F"/>
    <w:rsid w:val="005743EB"/>
    <w:rsid w:val="0057455B"/>
    <w:rsid w:val="0057462A"/>
    <w:rsid w:val="00574690"/>
    <w:rsid w:val="005748AB"/>
    <w:rsid w:val="00574959"/>
    <w:rsid w:val="00574B59"/>
    <w:rsid w:val="00575094"/>
    <w:rsid w:val="0057510C"/>
    <w:rsid w:val="00575139"/>
    <w:rsid w:val="005756AF"/>
    <w:rsid w:val="005756CC"/>
    <w:rsid w:val="0057574D"/>
    <w:rsid w:val="00575793"/>
    <w:rsid w:val="005757AE"/>
    <w:rsid w:val="0057597D"/>
    <w:rsid w:val="00575E21"/>
    <w:rsid w:val="00575F63"/>
    <w:rsid w:val="0057602D"/>
    <w:rsid w:val="00576063"/>
    <w:rsid w:val="005761C6"/>
    <w:rsid w:val="005761F7"/>
    <w:rsid w:val="00576213"/>
    <w:rsid w:val="0057641D"/>
    <w:rsid w:val="00576482"/>
    <w:rsid w:val="00576485"/>
    <w:rsid w:val="00576572"/>
    <w:rsid w:val="005766C6"/>
    <w:rsid w:val="005769E7"/>
    <w:rsid w:val="00576A62"/>
    <w:rsid w:val="00576C20"/>
    <w:rsid w:val="00576DC8"/>
    <w:rsid w:val="00576FE9"/>
    <w:rsid w:val="00577299"/>
    <w:rsid w:val="005774E5"/>
    <w:rsid w:val="0057754B"/>
    <w:rsid w:val="00577622"/>
    <w:rsid w:val="005776F5"/>
    <w:rsid w:val="0057781D"/>
    <w:rsid w:val="00577977"/>
    <w:rsid w:val="00577B14"/>
    <w:rsid w:val="00577BC4"/>
    <w:rsid w:val="00577DA6"/>
    <w:rsid w:val="00577E33"/>
    <w:rsid w:val="00577F42"/>
    <w:rsid w:val="0058001F"/>
    <w:rsid w:val="00580325"/>
    <w:rsid w:val="00580634"/>
    <w:rsid w:val="00580A19"/>
    <w:rsid w:val="00580B4B"/>
    <w:rsid w:val="00580B73"/>
    <w:rsid w:val="00580BB3"/>
    <w:rsid w:val="00581081"/>
    <w:rsid w:val="00581195"/>
    <w:rsid w:val="0058124E"/>
    <w:rsid w:val="0058129A"/>
    <w:rsid w:val="00581572"/>
    <w:rsid w:val="00581592"/>
    <w:rsid w:val="00581AD0"/>
    <w:rsid w:val="00581BB0"/>
    <w:rsid w:val="00581BBD"/>
    <w:rsid w:val="00581D0B"/>
    <w:rsid w:val="00581F80"/>
    <w:rsid w:val="00582300"/>
    <w:rsid w:val="00582342"/>
    <w:rsid w:val="00582621"/>
    <w:rsid w:val="00582732"/>
    <w:rsid w:val="005829B1"/>
    <w:rsid w:val="00582A0E"/>
    <w:rsid w:val="00582A15"/>
    <w:rsid w:val="00582AB8"/>
    <w:rsid w:val="00582B94"/>
    <w:rsid w:val="00582C73"/>
    <w:rsid w:val="00582CA7"/>
    <w:rsid w:val="00582D56"/>
    <w:rsid w:val="00583009"/>
    <w:rsid w:val="0058312A"/>
    <w:rsid w:val="0058327F"/>
    <w:rsid w:val="0058352D"/>
    <w:rsid w:val="0058399F"/>
    <w:rsid w:val="00583AED"/>
    <w:rsid w:val="00583B88"/>
    <w:rsid w:val="00583C33"/>
    <w:rsid w:val="00583D70"/>
    <w:rsid w:val="00583E24"/>
    <w:rsid w:val="00583EF2"/>
    <w:rsid w:val="00583F0A"/>
    <w:rsid w:val="00584091"/>
    <w:rsid w:val="0058436F"/>
    <w:rsid w:val="00584450"/>
    <w:rsid w:val="005845A5"/>
    <w:rsid w:val="00584AED"/>
    <w:rsid w:val="00584B07"/>
    <w:rsid w:val="00584E10"/>
    <w:rsid w:val="00584EDD"/>
    <w:rsid w:val="00584F69"/>
    <w:rsid w:val="0058539F"/>
    <w:rsid w:val="00585551"/>
    <w:rsid w:val="005856F9"/>
    <w:rsid w:val="0058578C"/>
    <w:rsid w:val="00585976"/>
    <w:rsid w:val="00585990"/>
    <w:rsid w:val="00585AA3"/>
    <w:rsid w:val="00585B64"/>
    <w:rsid w:val="00585C28"/>
    <w:rsid w:val="00585E14"/>
    <w:rsid w:val="00585E50"/>
    <w:rsid w:val="00585EC9"/>
    <w:rsid w:val="00585EF7"/>
    <w:rsid w:val="00586031"/>
    <w:rsid w:val="005860C0"/>
    <w:rsid w:val="0058612E"/>
    <w:rsid w:val="00586278"/>
    <w:rsid w:val="0058634A"/>
    <w:rsid w:val="0058661D"/>
    <w:rsid w:val="005866A9"/>
    <w:rsid w:val="005867B6"/>
    <w:rsid w:val="00586AAB"/>
    <w:rsid w:val="00586BB2"/>
    <w:rsid w:val="00586C48"/>
    <w:rsid w:val="00586D32"/>
    <w:rsid w:val="00587281"/>
    <w:rsid w:val="0058778B"/>
    <w:rsid w:val="00587802"/>
    <w:rsid w:val="00587826"/>
    <w:rsid w:val="005878AD"/>
    <w:rsid w:val="005878E4"/>
    <w:rsid w:val="005878E5"/>
    <w:rsid w:val="00587920"/>
    <w:rsid w:val="00587968"/>
    <w:rsid w:val="00587969"/>
    <w:rsid w:val="00587972"/>
    <w:rsid w:val="00587A68"/>
    <w:rsid w:val="00587B46"/>
    <w:rsid w:val="00587C07"/>
    <w:rsid w:val="00587C6D"/>
    <w:rsid w:val="00587CCF"/>
    <w:rsid w:val="00587D86"/>
    <w:rsid w:val="00587DA6"/>
    <w:rsid w:val="00587F92"/>
    <w:rsid w:val="00590227"/>
    <w:rsid w:val="005902B2"/>
    <w:rsid w:val="00590486"/>
    <w:rsid w:val="0059079B"/>
    <w:rsid w:val="005907AE"/>
    <w:rsid w:val="005909B2"/>
    <w:rsid w:val="00590A35"/>
    <w:rsid w:val="00590D4F"/>
    <w:rsid w:val="00590DA4"/>
    <w:rsid w:val="00590E40"/>
    <w:rsid w:val="00591005"/>
    <w:rsid w:val="00591295"/>
    <w:rsid w:val="005913D8"/>
    <w:rsid w:val="0059142F"/>
    <w:rsid w:val="0059162E"/>
    <w:rsid w:val="005918F4"/>
    <w:rsid w:val="0059194C"/>
    <w:rsid w:val="005919A8"/>
    <w:rsid w:val="00591B3C"/>
    <w:rsid w:val="00591B78"/>
    <w:rsid w:val="00591F5E"/>
    <w:rsid w:val="0059210E"/>
    <w:rsid w:val="00592175"/>
    <w:rsid w:val="0059218B"/>
    <w:rsid w:val="005921A2"/>
    <w:rsid w:val="0059237E"/>
    <w:rsid w:val="00592437"/>
    <w:rsid w:val="0059254C"/>
    <w:rsid w:val="005927F6"/>
    <w:rsid w:val="00592948"/>
    <w:rsid w:val="00592B01"/>
    <w:rsid w:val="00593276"/>
    <w:rsid w:val="005936B5"/>
    <w:rsid w:val="00593720"/>
    <w:rsid w:val="00593830"/>
    <w:rsid w:val="00594239"/>
    <w:rsid w:val="005943FC"/>
    <w:rsid w:val="0059476A"/>
    <w:rsid w:val="005947B2"/>
    <w:rsid w:val="00594865"/>
    <w:rsid w:val="00594882"/>
    <w:rsid w:val="005949AE"/>
    <w:rsid w:val="00594B46"/>
    <w:rsid w:val="00594BCA"/>
    <w:rsid w:val="00594C63"/>
    <w:rsid w:val="0059505A"/>
    <w:rsid w:val="00595154"/>
    <w:rsid w:val="00595392"/>
    <w:rsid w:val="00595640"/>
    <w:rsid w:val="005959BE"/>
    <w:rsid w:val="00595CE1"/>
    <w:rsid w:val="00595E13"/>
    <w:rsid w:val="00595E27"/>
    <w:rsid w:val="00595F9F"/>
    <w:rsid w:val="00596199"/>
    <w:rsid w:val="005962D9"/>
    <w:rsid w:val="00596361"/>
    <w:rsid w:val="005963E8"/>
    <w:rsid w:val="005964C1"/>
    <w:rsid w:val="00596641"/>
    <w:rsid w:val="00596678"/>
    <w:rsid w:val="0059676D"/>
    <w:rsid w:val="005967E8"/>
    <w:rsid w:val="00596A20"/>
    <w:rsid w:val="00596BBA"/>
    <w:rsid w:val="00596D2E"/>
    <w:rsid w:val="00596D71"/>
    <w:rsid w:val="00596DB2"/>
    <w:rsid w:val="00596FBC"/>
    <w:rsid w:val="00597144"/>
    <w:rsid w:val="0059715D"/>
    <w:rsid w:val="00597174"/>
    <w:rsid w:val="00597384"/>
    <w:rsid w:val="005974A0"/>
    <w:rsid w:val="00597514"/>
    <w:rsid w:val="00597531"/>
    <w:rsid w:val="005977A0"/>
    <w:rsid w:val="00597992"/>
    <w:rsid w:val="00597ABD"/>
    <w:rsid w:val="005A0448"/>
    <w:rsid w:val="005A04BA"/>
    <w:rsid w:val="005A0625"/>
    <w:rsid w:val="005A07DE"/>
    <w:rsid w:val="005A0AC0"/>
    <w:rsid w:val="005A0AF5"/>
    <w:rsid w:val="005A0C08"/>
    <w:rsid w:val="005A0E3E"/>
    <w:rsid w:val="005A1332"/>
    <w:rsid w:val="005A165A"/>
    <w:rsid w:val="005A1BB4"/>
    <w:rsid w:val="005A1E14"/>
    <w:rsid w:val="005A2026"/>
    <w:rsid w:val="005A2169"/>
    <w:rsid w:val="005A23DC"/>
    <w:rsid w:val="005A2536"/>
    <w:rsid w:val="005A2558"/>
    <w:rsid w:val="005A274A"/>
    <w:rsid w:val="005A282C"/>
    <w:rsid w:val="005A2CA1"/>
    <w:rsid w:val="005A2E3C"/>
    <w:rsid w:val="005A2F5B"/>
    <w:rsid w:val="005A313C"/>
    <w:rsid w:val="005A3248"/>
    <w:rsid w:val="005A3329"/>
    <w:rsid w:val="005A33CB"/>
    <w:rsid w:val="005A3575"/>
    <w:rsid w:val="005A3765"/>
    <w:rsid w:val="005A380B"/>
    <w:rsid w:val="005A3891"/>
    <w:rsid w:val="005A3AB9"/>
    <w:rsid w:val="005A41A2"/>
    <w:rsid w:val="005A432E"/>
    <w:rsid w:val="005A4621"/>
    <w:rsid w:val="005A4835"/>
    <w:rsid w:val="005A488D"/>
    <w:rsid w:val="005A4BB6"/>
    <w:rsid w:val="005A4CF4"/>
    <w:rsid w:val="005A4D39"/>
    <w:rsid w:val="005A4F7F"/>
    <w:rsid w:val="005A50A3"/>
    <w:rsid w:val="005A540D"/>
    <w:rsid w:val="005A5569"/>
    <w:rsid w:val="005A593B"/>
    <w:rsid w:val="005A5B48"/>
    <w:rsid w:val="005A5BAD"/>
    <w:rsid w:val="005A5C48"/>
    <w:rsid w:val="005A5CBD"/>
    <w:rsid w:val="005A5F64"/>
    <w:rsid w:val="005A6535"/>
    <w:rsid w:val="005A6562"/>
    <w:rsid w:val="005A66A7"/>
    <w:rsid w:val="005A67CA"/>
    <w:rsid w:val="005A68DB"/>
    <w:rsid w:val="005A7048"/>
    <w:rsid w:val="005A7081"/>
    <w:rsid w:val="005A713C"/>
    <w:rsid w:val="005A7188"/>
    <w:rsid w:val="005A721A"/>
    <w:rsid w:val="005A7373"/>
    <w:rsid w:val="005A73B9"/>
    <w:rsid w:val="005A7662"/>
    <w:rsid w:val="005A79EF"/>
    <w:rsid w:val="005A7B51"/>
    <w:rsid w:val="005A7C51"/>
    <w:rsid w:val="005A7C9E"/>
    <w:rsid w:val="005A7D86"/>
    <w:rsid w:val="005A7E1E"/>
    <w:rsid w:val="005A7F09"/>
    <w:rsid w:val="005A7F3F"/>
    <w:rsid w:val="005B0069"/>
    <w:rsid w:val="005B0364"/>
    <w:rsid w:val="005B0392"/>
    <w:rsid w:val="005B062A"/>
    <w:rsid w:val="005B086F"/>
    <w:rsid w:val="005B0915"/>
    <w:rsid w:val="005B092E"/>
    <w:rsid w:val="005B0997"/>
    <w:rsid w:val="005B0AEB"/>
    <w:rsid w:val="005B0B26"/>
    <w:rsid w:val="005B0F64"/>
    <w:rsid w:val="005B115E"/>
    <w:rsid w:val="005B11A9"/>
    <w:rsid w:val="005B11C6"/>
    <w:rsid w:val="005B1206"/>
    <w:rsid w:val="005B124D"/>
    <w:rsid w:val="005B125F"/>
    <w:rsid w:val="005B1293"/>
    <w:rsid w:val="005B16F0"/>
    <w:rsid w:val="005B176D"/>
    <w:rsid w:val="005B1DD3"/>
    <w:rsid w:val="005B1DF7"/>
    <w:rsid w:val="005B1EF4"/>
    <w:rsid w:val="005B217B"/>
    <w:rsid w:val="005B22C7"/>
    <w:rsid w:val="005B23BD"/>
    <w:rsid w:val="005B2497"/>
    <w:rsid w:val="005B251E"/>
    <w:rsid w:val="005B2777"/>
    <w:rsid w:val="005B28FD"/>
    <w:rsid w:val="005B291D"/>
    <w:rsid w:val="005B29D1"/>
    <w:rsid w:val="005B2E6A"/>
    <w:rsid w:val="005B337D"/>
    <w:rsid w:val="005B3409"/>
    <w:rsid w:val="005B351D"/>
    <w:rsid w:val="005B39DF"/>
    <w:rsid w:val="005B3B30"/>
    <w:rsid w:val="005B3D86"/>
    <w:rsid w:val="005B42E1"/>
    <w:rsid w:val="005B479A"/>
    <w:rsid w:val="005B4953"/>
    <w:rsid w:val="005B4CC4"/>
    <w:rsid w:val="005B4F0B"/>
    <w:rsid w:val="005B5105"/>
    <w:rsid w:val="005B53D0"/>
    <w:rsid w:val="005B5432"/>
    <w:rsid w:val="005B564C"/>
    <w:rsid w:val="005B57F1"/>
    <w:rsid w:val="005B5AD7"/>
    <w:rsid w:val="005B5AF1"/>
    <w:rsid w:val="005B5C77"/>
    <w:rsid w:val="005B5F45"/>
    <w:rsid w:val="005B60B1"/>
    <w:rsid w:val="005B6474"/>
    <w:rsid w:val="005B6905"/>
    <w:rsid w:val="005B6A1F"/>
    <w:rsid w:val="005B6A3B"/>
    <w:rsid w:val="005B6A91"/>
    <w:rsid w:val="005B7412"/>
    <w:rsid w:val="005B75E2"/>
    <w:rsid w:val="005B7745"/>
    <w:rsid w:val="005B7960"/>
    <w:rsid w:val="005B7B19"/>
    <w:rsid w:val="005B7B76"/>
    <w:rsid w:val="005B7C10"/>
    <w:rsid w:val="005B7C71"/>
    <w:rsid w:val="005B7D8F"/>
    <w:rsid w:val="005C009E"/>
    <w:rsid w:val="005C0171"/>
    <w:rsid w:val="005C02E0"/>
    <w:rsid w:val="005C031E"/>
    <w:rsid w:val="005C045E"/>
    <w:rsid w:val="005C06FD"/>
    <w:rsid w:val="005C07DF"/>
    <w:rsid w:val="005C0913"/>
    <w:rsid w:val="005C0925"/>
    <w:rsid w:val="005C0DAF"/>
    <w:rsid w:val="005C0FF3"/>
    <w:rsid w:val="005C1257"/>
    <w:rsid w:val="005C1648"/>
    <w:rsid w:val="005C1892"/>
    <w:rsid w:val="005C1895"/>
    <w:rsid w:val="005C1ADF"/>
    <w:rsid w:val="005C1B86"/>
    <w:rsid w:val="005C1D69"/>
    <w:rsid w:val="005C1F2F"/>
    <w:rsid w:val="005C2125"/>
    <w:rsid w:val="005C2294"/>
    <w:rsid w:val="005C2732"/>
    <w:rsid w:val="005C27F1"/>
    <w:rsid w:val="005C2903"/>
    <w:rsid w:val="005C2A3B"/>
    <w:rsid w:val="005C2AEB"/>
    <w:rsid w:val="005C2B01"/>
    <w:rsid w:val="005C2B08"/>
    <w:rsid w:val="005C2EC6"/>
    <w:rsid w:val="005C2F03"/>
    <w:rsid w:val="005C2F96"/>
    <w:rsid w:val="005C2FC1"/>
    <w:rsid w:val="005C3150"/>
    <w:rsid w:val="005C31E4"/>
    <w:rsid w:val="005C3208"/>
    <w:rsid w:val="005C3290"/>
    <w:rsid w:val="005C32C5"/>
    <w:rsid w:val="005C339A"/>
    <w:rsid w:val="005C34D9"/>
    <w:rsid w:val="005C3545"/>
    <w:rsid w:val="005C354F"/>
    <w:rsid w:val="005C3916"/>
    <w:rsid w:val="005C3A77"/>
    <w:rsid w:val="005C3B85"/>
    <w:rsid w:val="005C3DC4"/>
    <w:rsid w:val="005C3F81"/>
    <w:rsid w:val="005C4174"/>
    <w:rsid w:val="005C41B9"/>
    <w:rsid w:val="005C424A"/>
    <w:rsid w:val="005C46A4"/>
    <w:rsid w:val="005C470A"/>
    <w:rsid w:val="005C47BC"/>
    <w:rsid w:val="005C481D"/>
    <w:rsid w:val="005C489B"/>
    <w:rsid w:val="005C4A2F"/>
    <w:rsid w:val="005C4AB1"/>
    <w:rsid w:val="005C4ABA"/>
    <w:rsid w:val="005C4C47"/>
    <w:rsid w:val="005C4C65"/>
    <w:rsid w:val="005C4D22"/>
    <w:rsid w:val="005C4F1D"/>
    <w:rsid w:val="005C4F65"/>
    <w:rsid w:val="005C503D"/>
    <w:rsid w:val="005C50D4"/>
    <w:rsid w:val="005C52C4"/>
    <w:rsid w:val="005C547F"/>
    <w:rsid w:val="005C55E3"/>
    <w:rsid w:val="005C5914"/>
    <w:rsid w:val="005C5963"/>
    <w:rsid w:val="005C59D1"/>
    <w:rsid w:val="005C5DB5"/>
    <w:rsid w:val="005C61A8"/>
    <w:rsid w:val="005C6245"/>
    <w:rsid w:val="005C628A"/>
    <w:rsid w:val="005C6625"/>
    <w:rsid w:val="005C67B8"/>
    <w:rsid w:val="005C6F89"/>
    <w:rsid w:val="005C7081"/>
    <w:rsid w:val="005C7274"/>
    <w:rsid w:val="005C734F"/>
    <w:rsid w:val="005C73B5"/>
    <w:rsid w:val="005C74AE"/>
    <w:rsid w:val="005C75D8"/>
    <w:rsid w:val="005C7C8A"/>
    <w:rsid w:val="005C7EEB"/>
    <w:rsid w:val="005C7F5D"/>
    <w:rsid w:val="005D0193"/>
    <w:rsid w:val="005D0194"/>
    <w:rsid w:val="005D04A1"/>
    <w:rsid w:val="005D06EB"/>
    <w:rsid w:val="005D0821"/>
    <w:rsid w:val="005D0DA8"/>
    <w:rsid w:val="005D0DE3"/>
    <w:rsid w:val="005D0FBD"/>
    <w:rsid w:val="005D11AB"/>
    <w:rsid w:val="005D1356"/>
    <w:rsid w:val="005D1600"/>
    <w:rsid w:val="005D1D88"/>
    <w:rsid w:val="005D1EC6"/>
    <w:rsid w:val="005D2054"/>
    <w:rsid w:val="005D206B"/>
    <w:rsid w:val="005D20B4"/>
    <w:rsid w:val="005D2161"/>
    <w:rsid w:val="005D224D"/>
    <w:rsid w:val="005D23F6"/>
    <w:rsid w:val="005D27D7"/>
    <w:rsid w:val="005D2B2B"/>
    <w:rsid w:val="005D2B4E"/>
    <w:rsid w:val="005D2CC3"/>
    <w:rsid w:val="005D2D47"/>
    <w:rsid w:val="005D2D8B"/>
    <w:rsid w:val="005D2D90"/>
    <w:rsid w:val="005D2E75"/>
    <w:rsid w:val="005D2FE2"/>
    <w:rsid w:val="005D3178"/>
    <w:rsid w:val="005D330C"/>
    <w:rsid w:val="005D37EC"/>
    <w:rsid w:val="005D384B"/>
    <w:rsid w:val="005D399F"/>
    <w:rsid w:val="005D3B47"/>
    <w:rsid w:val="005D3C22"/>
    <w:rsid w:val="005D3DB5"/>
    <w:rsid w:val="005D3DFB"/>
    <w:rsid w:val="005D3E5B"/>
    <w:rsid w:val="005D3EB4"/>
    <w:rsid w:val="005D3FD4"/>
    <w:rsid w:val="005D43CC"/>
    <w:rsid w:val="005D44AD"/>
    <w:rsid w:val="005D47B4"/>
    <w:rsid w:val="005D49C3"/>
    <w:rsid w:val="005D4C2D"/>
    <w:rsid w:val="005D4D33"/>
    <w:rsid w:val="005D4D8F"/>
    <w:rsid w:val="005D5125"/>
    <w:rsid w:val="005D519E"/>
    <w:rsid w:val="005D54BF"/>
    <w:rsid w:val="005D5657"/>
    <w:rsid w:val="005D5782"/>
    <w:rsid w:val="005D594D"/>
    <w:rsid w:val="005D5AF4"/>
    <w:rsid w:val="005D5B03"/>
    <w:rsid w:val="005D5C91"/>
    <w:rsid w:val="005D5E6E"/>
    <w:rsid w:val="005D5F86"/>
    <w:rsid w:val="005D5FAB"/>
    <w:rsid w:val="005D606F"/>
    <w:rsid w:val="005D626C"/>
    <w:rsid w:val="005D63E9"/>
    <w:rsid w:val="005D654A"/>
    <w:rsid w:val="005D6577"/>
    <w:rsid w:val="005D672B"/>
    <w:rsid w:val="005D6835"/>
    <w:rsid w:val="005D6852"/>
    <w:rsid w:val="005D6BE2"/>
    <w:rsid w:val="005D6CB6"/>
    <w:rsid w:val="005D6ECD"/>
    <w:rsid w:val="005D71AA"/>
    <w:rsid w:val="005D728A"/>
    <w:rsid w:val="005D73AC"/>
    <w:rsid w:val="005D756F"/>
    <w:rsid w:val="005D758A"/>
    <w:rsid w:val="005D7D57"/>
    <w:rsid w:val="005E00C0"/>
    <w:rsid w:val="005E03D8"/>
    <w:rsid w:val="005E0441"/>
    <w:rsid w:val="005E05BC"/>
    <w:rsid w:val="005E063C"/>
    <w:rsid w:val="005E065E"/>
    <w:rsid w:val="005E090B"/>
    <w:rsid w:val="005E09E6"/>
    <w:rsid w:val="005E0BA1"/>
    <w:rsid w:val="005E0BBB"/>
    <w:rsid w:val="005E0DDF"/>
    <w:rsid w:val="005E0F39"/>
    <w:rsid w:val="005E0FF9"/>
    <w:rsid w:val="005E1377"/>
    <w:rsid w:val="005E14CC"/>
    <w:rsid w:val="005E15E6"/>
    <w:rsid w:val="005E16DE"/>
    <w:rsid w:val="005E17E4"/>
    <w:rsid w:val="005E18C0"/>
    <w:rsid w:val="005E18D3"/>
    <w:rsid w:val="005E197E"/>
    <w:rsid w:val="005E1C65"/>
    <w:rsid w:val="005E1DD0"/>
    <w:rsid w:val="005E1E2C"/>
    <w:rsid w:val="005E1F3F"/>
    <w:rsid w:val="005E24D0"/>
    <w:rsid w:val="005E268C"/>
    <w:rsid w:val="005E28A0"/>
    <w:rsid w:val="005E2AC0"/>
    <w:rsid w:val="005E2F2F"/>
    <w:rsid w:val="005E3101"/>
    <w:rsid w:val="005E31DE"/>
    <w:rsid w:val="005E332F"/>
    <w:rsid w:val="005E336A"/>
    <w:rsid w:val="005E338E"/>
    <w:rsid w:val="005E3405"/>
    <w:rsid w:val="005E3459"/>
    <w:rsid w:val="005E368D"/>
    <w:rsid w:val="005E3744"/>
    <w:rsid w:val="005E375A"/>
    <w:rsid w:val="005E3887"/>
    <w:rsid w:val="005E3EC1"/>
    <w:rsid w:val="005E409F"/>
    <w:rsid w:val="005E4247"/>
    <w:rsid w:val="005E42C6"/>
    <w:rsid w:val="005E449B"/>
    <w:rsid w:val="005E4782"/>
    <w:rsid w:val="005E4E91"/>
    <w:rsid w:val="005E4EEB"/>
    <w:rsid w:val="005E4F12"/>
    <w:rsid w:val="005E5015"/>
    <w:rsid w:val="005E518A"/>
    <w:rsid w:val="005E542F"/>
    <w:rsid w:val="005E5505"/>
    <w:rsid w:val="005E5583"/>
    <w:rsid w:val="005E5769"/>
    <w:rsid w:val="005E576D"/>
    <w:rsid w:val="005E57A9"/>
    <w:rsid w:val="005E5B06"/>
    <w:rsid w:val="005E5D75"/>
    <w:rsid w:val="005E5E49"/>
    <w:rsid w:val="005E60E0"/>
    <w:rsid w:val="005E61D8"/>
    <w:rsid w:val="005E61EF"/>
    <w:rsid w:val="005E61FC"/>
    <w:rsid w:val="005E6820"/>
    <w:rsid w:val="005E6BC4"/>
    <w:rsid w:val="005E6DA8"/>
    <w:rsid w:val="005E70B9"/>
    <w:rsid w:val="005E716B"/>
    <w:rsid w:val="005E72EE"/>
    <w:rsid w:val="005E79CD"/>
    <w:rsid w:val="005E7ADE"/>
    <w:rsid w:val="005E7D5A"/>
    <w:rsid w:val="005E7E3C"/>
    <w:rsid w:val="005E7FAE"/>
    <w:rsid w:val="005E7FE6"/>
    <w:rsid w:val="005F00A1"/>
    <w:rsid w:val="005F0204"/>
    <w:rsid w:val="005F043A"/>
    <w:rsid w:val="005F05D8"/>
    <w:rsid w:val="005F073B"/>
    <w:rsid w:val="005F078F"/>
    <w:rsid w:val="005F07B8"/>
    <w:rsid w:val="005F07E3"/>
    <w:rsid w:val="005F0E5E"/>
    <w:rsid w:val="005F12FE"/>
    <w:rsid w:val="005F13FC"/>
    <w:rsid w:val="005F14E5"/>
    <w:rsid w:val="005F1583"/>
    <w:rsid w:val="005F1869"/>
    <w:rsid w:val="005F1929"/>
    <w:rsid w:val="005F1A57"/>
    <w:rsid w:val="005F23E7"/>
    <w:rsid w:val="005F2458"/>
    <w:rsid w:val="005F24AA"/>
    <w:rsid w:val="005F254A"/>
    <w:rsid w:val="005F2603"/>
    <w:rsid w:val="005F276D"/>
    <w:rsid w:val="005F28BD"/>
    <w:rsid w:val="005F29E9"/>
    <w:rsid w:val="005F2E42"/>
    <w:rsid w:val="005F2EAB"/>
    <w:rsid w:val="005F2EF6"/>
    <w:rsid w:val="005F30B0"/>
    <w:rsid w:val="005F3287"/>
    <w:rsid w:val="005F3297"/>
    <w:rsid w:val="005F3528"/>
    <w:rsid w:val="005F352E"/>
    <w:rsid w:val="005F35A5"/>
    <w:rsid w:val="005F375F"/>
    <w:rsid w:val="005F3B10"/>
    <w:rsid w:val="005F3B17"/>
    <w:rsid w:val="005F3B32"/>
    <w:rsid w:val="005F3B86"/>
    <w:rsid w:val="005F4192"/>
    <w:rsid w:val="005F4712"/>
    <w:rsid w:val="005F4BD9"/>
    <w:rsid w:val="005F4C12"/>
    <w:rsid w:val="005F4DE0"/>
    <w:rsid w:val="005F4EDB"/>
    <w:rsid w:val="005F4FD8"/>
    <w:rsid w:val="005F5095"/>
    <w:rsid w:val="005F515A"/>
    <w:rsid w:val="005F5422"/>
    <w:rsid w:val="005F56C1"/>
    <w:rsid w:val="005F5772"/>
    <w:rsid w:val="005F57ED"/>
    <w:rsid w:val="005F603E"/>
    <w:rsid w:val="005F611C"/>
    <w:rsid w:val="005F667D"/>
    <w:rsid w:val="005F66F1"/>
    <w:rsid w:val="005F66FE"/>
    <w:rsid w:val="005F68B8"/>
    <w:rsid w:val="005F6AA0"/>
    <w:rsid w:val="005F6BAC"/>
    <w:rsid w:val="005F6D3E"/>
    <w:rsid w:val="005F6D55"/>
    <w:rsid w:val="005F7310"/>
    <w:rsid w:val="005F73CF"/>
    <w:rsid w:val="005F74CC"/>
    <w:rsid w:val="005F780D"/>
    <w:rsid w:val="005F7916"/>
    <w:rsid w:val="00600566"/>
    <w:rsid w:val="00600579"/>
    <w:rsid w:val="00600FD4"/>
    <w:rsid w:val="006016D2"/>
    <w:rsid w:val="006016EC"/>
    <w:rsid w:val="00601863"/>
    <w:rsid w:val="006018AD"/>
    <w:rsid w:val="00601CB3"/>
    <w:rsid w:val="00601EAB"/>
    <w:rsid w:val="00602101"/>
    <w:rsid w:val="00602317"/>
    <w:rsid w:val="00602391"/>
    <w:rsid w:val="00602697"/>
    <w:rsid w:val="006026EE"/>
    <w:rsid w:val="00602810"/>
    <w:rsid w:val="006029A6"/>
    <w:rsid w:val="00602AA8"/>
    <w:rsid w:val="00602B7B"/>
    <w:rsid w:val="00602DB9"/>
    <w:rsid w:val="00602EEA"/>
    <w:rsid w:val="00602F9F"/>
    <w:rsid w:val="00602FDD"/>
    <w:rsid w:val="0060304C"/>
    <w:rsid w:val="00603195"/>
    <w:rsid w:val="00603231"/>
    <w:rsid w:val="0060326F"/>
    <w:rsid w:val="00603311"/>
    <w:rsid w:val="006033BE"/>
    <w:rsid w:val="00603427"/>
    <w:rsid w:val="006035D5"/>
    <w:rsid w:val="006038E0"/>
    <w:rsid w:val="0060395B"/>
    <w:rsid w:val="006039AE"/>
    <w:rsid w:val="00603B74"/>
    <w:rsid w:val="00603BE8"/>
    <w:rsid w:val="00603E49"/>
    <w:rsid w:val="006041A5"/>
    <w:rsid w:val="00604425"/>
    <w:rsid w:val="0060477C"/>
    <w:rsid w:val="00604997"/>
    <w:rsid w:val="00604CA4"/>
    <w:rsid w:val="00604D01"/>
    <w:rsid w:val="00604DFD"/>
    <w:rsid w:val="00605136"/>
    <w:rsid w:val="00605479"/>
    <w:rsid w:val="00605503"/>
    <w:rsid w:val="006055C1"/>
    <w:rsid w:val="006055FC"/>
    <w:rsid w:val="00605686"/>
    <w:rsid w:val="00605775"/>
    <w:rsid w:val="00605B54"/>
    <w:rsid w:val="00605C49"/>
    <w:rsid w:val="00605D0A"/>
    <w:rsid w:val="00605D7E"/>
    <w:rsid w:val="00605F24"/>
    <w:rsid w:val="006060F2"/>
    <w:rsid w:val="006060FE"/>
    <w:rsid w:val="006062FA"/>
    <w:rsid w:val="00606361"/>
    <w:rsid w:val="0060637A"/>
    <w:rsid w:val="00606461"/>
    <w:rsid w:val="00606480"/>
    <w:rsid w:val="0060648D"/>
    <w:rsid w:val="006066EF"/>
    <w:rsid w:val="00606919"/>
    <w:rsid w:val="006069A7"/>
    <w:rsid w:val="00606A09"/>
    <w:rsid w:val="00606B25"/>
    <w:rsid w:val="00606C51"/>
    <w:rsid w:val="00606C56"/>
    <w:rsid w:val="00606F51"/>
    <w:rsid w:val="006070A1"/>
    <w:rsid w:val="0060727C"/>
    <w:rsid w:val="0060734F"/>
    <w:rsid w:val="00607351"/>
    <w:rsid w:val="00607793"/>
    <w:rsid w:val="00607BB9"/>
    <w:rsid w:val="00607E2A"/>
    <w:rsid w:val="006102EB"/>
    <w:rsid w:val="006107F6"/>
    <w:rsid w:val="00610EFE"/>
    <w:rsid w:val="00610F3F"/>
    <w:rsid w:val="00610F40"/>
    <w:rsid w:val="0061116F"/>
    <w:rsid w:val="0061124D"/>
    <w:rsid w:val="0061127C"/>
    <w:rsid w:val="0061137F"/>
    <w:rsid w:val="0061144F"/>
    <w:rsid w:val="006116AC"/>
    <w:rsid w:val="00611825"/>
    <w:rsid w:val="00611F87"/>
    <w:rsid w:val="0061221A"/>
    <w:rsid w:val="00612246"/>
    <w:rsid w:val="0061246F"/>
    <w:rsid w:val="006124DF"/>
    <w:rsid w:val="00612CFF"/>
    <w:rsid w:val="00612DA8"/>
    <w:rsid w:val="00612F0D"/>
    <w:rsid w:val="00612F1A"/>
    <w:rsid w:val="00612F94"/>
    <w:rsid w:val="00612FAF"/>
    <w:rsid w:val="0061324F"/>
    <w:rsid w:val="0061330B"/>
    <w:rsid w:val="00613754"/>
    <w:rsid w:val="0061385C"/>
    <w:rsid w:val="00613864"/>
    <w:rsid w:val="006139B6"/>
    <w:rsid w:val="00613ACC"/>
    <w:rsid w:val="00613D7C"/>
    <w:rsid w:val="00613EAD"/>
    <w:rsid w:val="0061407D"/>
    <w:rsid w:val="00614171"/>
    <w:rsid w:val="00614229"/>
    <w:rsid w:val="00614435"/>
    <w:rsid w:val="00614594"/>
    <w:rsid w:val="00614683"/>
    <w:rsid w:val="00614724"/>
    <w:rsid w:val="006147CE"/>
    <w:rsid w:val="00614DFB"/>
    <w:rsid w:val="00615086"/>
    <w:rsid w:val="006150E3"/>
    <w:rsid w:val="006155F3"/>
    <w:rsid w:val="00615696"/>
    <w:rsid w:val="00615A85"/>
    <w:rsid w:val="00615A86"/>
    <w:rsid w:val="00615C94"/>
    <w:rsid w:val="00615D99"/>
    <w:rsid w:val="00615E64"/>
    <w:rsid w:val="00615FE1"/>
    <w:rsid w:val="00616094"/>
    <w:rsid w:val="00616263"/>
    <w:rsid w:val="006162D5"/>
    <w:rsid w:val="0061636B"/>
    <w:rsid w:val="00616440"/>
    <w:rsid w:val="00616AAE"/>
    <w:rsid w:val="00616D42"/>
    <w:rsid w:val="00616FD3"/>
    <w:rsid w:val="00616FE6"/>
    <w:rsid w:val="00617504"/>
    <w:rsid w:val="00617513"/>
    <w:rsid w:val="00617596"/>
    <w:rsid w:val="006177E5"/>
    <w:rsid w:val="00617908"/>
    <w:rsid w:val="00617BD0"/>
    <w:rsid w:val="00620013"/>
    <w:rsid w:val="0062018E"/>
    <w:rsid w:val="006201CE"/>
    <w:rsid w:val="00620202"/>
    <w:rsid w:val="00620304"/>
    <w:rsid w:val="00620344"/>
    <w:rsid w:val="00620A0A"/>
    <w:rsid w:val="00620A9C"/>
    <w:rsid w:val="00620B26"/>
    <w:rsid w:val="00620E2B"/>
    <w:rsid w:val="00620EF0"/>
    <w:rsid w:val="00621854"/>
    <w:rsid w:val="00621ACD"/>
    <w:rsid w:val="00621D7C"/>
    <w:rsid w:val="00622294"/>
    <w:rsid w:val="00622494"/>
    <w:rsid w:val="00622794"/>
    <w:rsid w:val="006228AD"/>
    <w:rsid w:val="00622C07"/>
    <w:rsid w:val="00622D5E"/>
    <w:rsid w:val="00622F99"/>
    <w:rsid w:val="006231B0"/>
    <w:rsid w:val="00623287"/>
    <w:rsid w:val="00623289"/>
    <w:rsid w:val="006236A6"/>
    <w:rsid w:val="006237D2"/>
    <w:rsid w:val="006238E3"/>
    <w:rsid w:val="00623D8F"/>
    <w:rsid w:val="00623F2E"/>
    <w:rsid w:val="00624006"/>
    <w:rsid w:val="0062409F"/>
    <w:rsid w:val="00624429"/>
    <w:rsid w:val="006245A7"/>
    <w:rsid w:val="00624A66"/>
    <w:rsid w:val="00624A7D"/>
    <w:rsid w:val="00624C44"/>
    <w:rsid w:val="00624C92"/>
    <w:rsid w:val="00624E8C"/>
    <w:rsid w:val="00625082"/>
    <w:rsid w:val="0062538F"/>
    <w:rsid w:val="00625396"/>
    <w:rsid w:val="006253AC"/>
    <w:rsid w:val="006253DA"/>
    <w:rsid w:val="00625455"/>
    <w:rsid w:val="006255B4"/>
    <w:rsid w:val="0062571C"/>
    <w:rsid w:val="006257D4"/>
    <w:rsid w:val="0062585A"/>
    <w:rsid w:val="006258CB"/>
    <w:rsid w:val="006259C5"/>
    <w:rsid w:val="006259D9"/>
    <w:rsid w:val="00625B1C"/>
    <w:rsid w:val="00625BE9"/>
    <w:rsid w:val="00625E28"/>
    <w:rsid w:val="00625F4C"/>
    <w:rsid w:val="00626245"/>
    <w:rsid w:val="00626552"/>
    <w:rsid w:val="00626590"/>
    <w:rsid w:val="006269BF"/>
    <w:rsid w:val="00626A7F"/>
    <w:rsid w:val="00626AB6"/>
    <w:rsid w:val="00626ACB"/>
    <w:rsid w:val="00626C5E"/>
    <w:rsid w:val="00626E81"/>
    <w:rsid w:val="00627139"/>
    <w:rsid w:val="0062733A"/>
    <w:rsid w:val="0062741B"/>
    <w:rsid w:val="00627454"/>
    <w:rsid w:val="0062776C"/>
    <w:rsid w:val="0062784B"/>
    <w:rsid w:val="006278D7"/>
    <w:rsid w:val="00627917"/>
    <w:rsid w:val="00627A76"/>
    <w:rsid w:val="00627AD4"/>
    <w:rsid w:val="00627D6B"/>
    <w:rsid w:val="00630361"/>
    <w:rsid w:val="006303F3"/>
    <w:rsid w:val="006305CC"/>
    <w:rsid w:val="006306FD"/>
    <w:rsid w:val="0063076A"/>
    <w:rsid w:val="00630AFC"/>
    <w:rsid w:val="00630D02"/>
    <w:rsid w:val="00630E14"/>
    <w:rsid w:val="00630ED1"/>
    <w:rsid w:val="0063179C"/>
    <w:rsid w:val="0063198F"/>
    <w:rsid w:val="00631A43"/>
    <w:rsid w:val="00631D4A"/>
    <w:rsid w:val="00631D7B"/>
    <w:rsid w:val="00631F24"/>
    <w:rsid w:val="0063214E"/>
    <w:rsid w:val="006322FC"/>
    <w:rsid w:val="00632465"/>
    <w:rsid w:val="0063262B"/>
    <w:rsid w:val="00632637"/>
    <w:rsid w:val="006327E3"/>
    <w:rsid w:val="0063283E"/>
    <w:rsid w:val="0063298D"/>
    <w:rsid w:val="00632AB7"/>
    <w:rsid w:val="00632BEC"/>
    <w:rsid w:val="00632D4D"/>
    <w:rsid w:val="0063309D"/>
    <w:rsid w:val="00633314"/>
    <w:rsid w:val="006336C9"/>
    <w:rsid w:val="00633A2B"/>
    <w:rsid w:val="00633C35"/>
    <w:rsid w:val="00633E81"/>
    <w:rsid w:val="00633E9B"/>
    <w:rsid w:val="00633F58"/>
    <w:rsid w:val="00633F95"/>
    <w:rsid w:val="00633FC6"/>
    <w:rsid w:val="0063454A"/>
    <w:rsid w:val="00634EAE"/>
    <w:rsid w:val="00634FC4"/>
    <w:rsid w:val="00635023"/>
    <w:rsid w:val="00635185"/>
    <w:rsid w:val="0063550D"/>
    <w:rsid w:val="006356AF"/>
    <w:rsid w:val="006358AD"/>
    <w:rsid w:val="00635B5F"/>
    <w:rsid w:val="00635C1A"/>
    <w:rsid w:val="00635CDA"/>
    <w:rsid w:val="00635D6F"/>
    <w:rsid w:val="00635F38"/>
    <w:rsid w:val="0063623F"/>
    <w:rsid w:val="0063630D"/>
    <w:rsid w:val="006363A7"/>
    <w:rsid w:val="00636678"/>
    <w:rsid w:val="00636A0D"/>
    <w:rsid w:val="00636F48"/>
    <w:rsid w:val="00637027"/>
    <w:rsid w:val="00637298"/>
    <w:rsid w:val="006374B5"/>
    <w:rsid w:val="006374D4"/>
    <w:rsid w:val="00637913"/>
    <w:rsid w:val="006379A1"/>
    <w:rsid w:val="00637B4D"/>
    <w:rsid w:val="00637BC5"/>
    <w:rsid w:val="00637CA1"/>
    <w:rsid w:val="00637E58"/>
    <w:rsid w:val="0064037E"/>
    <w:rsid w:val="00640418"/>
    <w:rsid w:val="00640472"/>
    <w:rsid w:val="00640775"/>
    <w:rsid w:val="00640860"/>
    <w:rsid w:val="00640946"/>
    <w:rsid w:val="0064095D"/>
    <w:rsid w:val="00640D95"/>
    <w:rsid w:val="00640E23"/>
    <w:rsid w:val="00641006"/>
    <w:rsid w:val="00641236"/>
    <w:rsid w:val="006412C3"/>
    <w:rsid w:val="00641402"/>
    <w:rsid w:val="0064143D"/>
    <w:rsid w:val="00641569"/>
    <w:rsid w:val="0064175B"/>
    <w:rsid w:val="0064175F"/>
    <w:rsid w:val="006418C1"/>
    <w:rsid w:val="00641968"/>
    <w:rsid w:val="00641C3C"/>
    <w:rsid w:val="00641C60"/>
    <w:rsid w:val="00641C86"/>
    <w:rsid w:val="00641EC6"/>
    <w:rsid w:val="00642042"/>
    <w:rsid w:val="006421D4"/>
    <w:rsid w:val="0064227E"/>
    <w:rsid w:val="006422C8"/>
    <w:rsid w:val="0064292D"/>
    <w:rsid w:val="00642B44"/>
    <w:rsid w:val="00642BBA"/>
    <w:rsid w:val="00642D65"/>
    <w:rsid w:val="00642E6E"/>
    <w:rsid w:val="00642E9B"/>
    <w:rsid w:val="006434B6"/>
    <w:rsid w:val="006436D0"/>
    <w:rsid w:val="006436F8"/>
    <w:rsid w:val="0064379F"/>
    <w:rsid w:val="006437DB"/>
    <w:rsid w:val="00643833"/>
    <w:rsid w:val="0064387F"/>
    <w:rsid w:val="006438F3"/>
    <w:rsid w:val="00643A3C"/>
    <w:rsid w:val="00643DC0"/>
    <w:rsid w:val="00643F87"/>
    <w:rsid w:val="00644391"/>
    <w:rsid w:val="006443FC"/>
    <w:rsid w:val="006447FA"/>
    <w:rsid w:val="0064482A"/>
    <w:rsid w:val="00644C65"/>
    <w:rsid w:val="00644DAE"/>
    <w:rsid w:val="006450B3"/>
    <w:rsid w:val="006450F3"/>
    <w:rsid w:val="006450F6"/>
    <w:rsid w:val="00645207"/>
    <w:rsid w:val="006454F9"/>
    <w:rsid w:val="00645531"/>
    <w:rsid w:val="00645651"/>
    <w:rsid w:val="0064630F"/>
    <w:rsid w:val="006465CB"/>
    <w:rsid w:val="00646640"/>
    <w:rsid w:val="0064666F"/>
    <w:rsid w:val="006466DE"/>
    <w:rsid w:val="006468A9"/>
    <w:rsid w:val="006468B2"/>
    <w:rsid w:val="00646B5D"/>
    <w:rsid w:val="00646C22"/>
    <w:rsid w:val="00647011"/>
    <w:rsid w:val="006470E8"/>
    <w:rsid w:val="00647418"/>
    <w:rsid w:val="006474D7"/>
    <w:rsid w:val="00647792"/>
    <w:rsid w:val="00647A2E"/>
    <w:rsid w:val="00647A3D"/>
    <w:rsid w:val="00647AEB"/>
    <w:rsid w:val="00647DEC"/>
    <w:rsid w:val="00650018"/>
    <w:rsid w:val="0065039A"/>
    <w:rsid w:val="006506E8"/>
    <w:rsid w:val="00650785"/>
    <w:rsid w:val="00650810"/>
    <w:rsid w:val="0065087C"/>
    <w:rsid w:val="00650906"/>
    <w:rsid w:val="0065092D"/>
    <w:rsid w:val="00650A14"/>
    <w:rsid w:val="00650A4A"/>
    <w:rsid w:val="00650B8A"/>
    <w:rsid w:val="00650E69"/>
    <w:rsid w:val="00650F96"/>
    <w:rsid w:val="00650FF1"/>
    <w:rsid w:val="006513A8"/>
    <w:rsid w:val="006517A8"/>
    <w:rsid w:val="006517F7"/>
    <w:rsid w:val="006517FA"/>
    <w:rsid w:val="00651F76"/>
    <w:rsid w:val="00652069"/>
    <w:rsid w:val="00652119"/>
    <w:rsid w:val="006521B1"/>
    <w:rsid w:val="006522D4"/>
    <w:rsid w:val="0065257E"/>
    <w:rsid w:val="0065272F"/>
    <w:rsid w:val="006527F0"/>
    <w:rsid w:val="006529B9"/>
    <w:rsid w:val="00653265"/>
    <w:rsid w:val="00653319"/>
    <w:rsid w:val="006533E3"/>
    <w:rsid w:val="006533F8"/>
    <w:rsid w:val="0065346F"/>
    <w:rsid w:val="00653733"/>
    <w:rsid w:val="00653C98"/>
    <w:rsid w:val="00653EFA"/>
    <w:rsid w:val="00654449"/>
    <w:rsid w:val="0065458D"/>
    <w:rsid w:val="0065463F"/>
    <w:rsid w:val="00654886"/>
    <w:rsid w:val="006548E4"/>
    <w:rsid w:val="00654B8F"/>
    <w:rsid w:val="00654BD9"/>
    <w:rsid w:val="00654D74"/>
    <w:rsid w:val="00654EA9"/>
    <w:rsid w:val="00654F2B"/>
    <w:rsid w:val="00655014"/>
    <w:rsid w:val="00655312"/>
    <w:rsid w:val="006553CE"/>
    <w:rsid w:val="00655668"/>
    <w:rsid w:val="00655842"/>
    <w:rsid w:val="00655919"/>
    <w:rsid w:val="00655B8F"/>
    <w:rsid w:val="00655CEB"/>
    <w:rsid w:val="00655DBA"/>
    <w:rsid w:val="006560E5"/>
    <w:rsid w:val="006563C5"/>
    <w:rsid w:val="0065658D"/>
    <w:rsid w:val="0065685E"/>
    <w:rsid w:val="0065689B"/>
    <w:rsid w:val="006568F9"/>
    <w:rsid w:val="00656977"/>
    <w:rsid w:val="00656D59"/>
    <w:rsid w:val="006570F0"/>
    <w:rsid w:val="00657237"/>
    <w:rsid w:val="00657631"/>
    <w:rsid w:val="00657756"/>
    <w:rsid w:val="00657889"/>
    <w:rsid w:val="0065792A"/>
    <w:rsid w:val="00657982"/>
    <w:rsid w:val="00657A2A"/>
    <w:rsid w:val="00657AEE"/>
    <w:rsid w:val="00657B1A"/>
    <w:rsid w:val="00657C87"/>
    <w:rsid w:val="00657E26"/>
    <w:rsid w:val="00657E78"/>
    <w:rsid w:val="00657EB8"/>
    <w:rsid w:val="006600EE"/>
    <w:rsid w:val="00660123"/>
    <w:rsid w:val="00660379"/>
    <w:rsid w:val="00660453"/>
    <w:rsid w:val="006604E0"/>
    <w:rsid w:val="00660701"/>
    <w:rsid w:val="00660A18"/>
    <w:rsid w:val="00660B24"/>
    <w:rsid w:val="00660BB3"/>
    <w:rsid w:val="00660BCF"/>
    <w:rsid w:val="00660BF1"/>
    <w:rsid w:val="00660C6A"/>
    <w:rsid w:val="00660F9F"/>
    <w:rsid w:val="00661287"/>
    <w:rsid w:val="006612A6"/>
    <w:rsid w:val="0066137F"/>
    <w:rsid w:val="006615B8"/>
    <w:rsid w:val="006617A2"/>
    <w:rsid w:val="006617D2"/>
    <w:rsid w:val="00661F16"/>
    <w:rsid w:val="006620A3"/>
    <w:rsid w:val="006620A8"/>
    <w:rsid w:val="006620D3"/>
    <w:rsid w:val="006620F2"/>
    <w:rsid w:val="00662117"/>
    <w:rsid w:val="0066222E"/>
    <w:rsid w:val="0066231D"/>
    <w:rsid w:val="00662684"/>
    <w:rsid w:val="0066295D"/>
    <w:rsid w:val="006629B1"/>
    <w:rsid w:val="00662A5C"/>
    <w:rsid w:val="00662B17"/>
    <w:rsid w:val="00662D3C"/>
    <w:rsid w:val="00662DDC"/>
    <w:rsid w:val="0066315D"/>
    <w:rsid w:val="006631D0"/>
    <w:rsid w:val="0066361B"/>
    <w:rsid w:val="00663669"/>
    <w:rsid w:val="0066368F"/>
    <w:rsid w:val="00663B45"/>
    <w:rsid w:val="00663BC8"/>
    <w:rsid w:val="00664238"/>
    <w:rsid w:val="006644C2"/>
    <w:rsid w:val="0066452E"/>
    <w:rsid w:val="00664792"/>
    <w:rsid w:val="00664913"/>
    <w:rsid w:val="00664DF6"/>
    <w:rsid w:val="00665285"/>
    <w:rsid w:val="006653D5"/>
    <w:rsid w:val="00665744"/>
    <w:rsid w:val="00665789"/>
    <w:rsid w:val="006657B2"/>
    <w:rsid w:val="00665A1E"/>
    <w:rsid w:val="00665D39"/>
    <w:rsid w:val="00665F4E"/>
    <w:rsid w:val="00665FBA"/>
    <w:rsid w:val="00665FCE"/>
    <w:rsid w:val="0066611A"/>
    <w:rsid w:val="00666206"/>
    <w:rsid w:val="0066626E"/>
    <w:rsid w:val="00666407"/>
    <w:rsid w:val="0066685A"/>
    <w:rsid w:val="0066692A"/>
    <w:rsid w:val="0066693C"/>
    <w:rsid w:val="0066697A"/>
    <w:rsid w:val="0066698B"/>
    <w:rsid w:val="006669CD"/>
    <w:rsid w:val="00666A01"/>
    <w:rsid w:val="00666ABB"/>
    <w:rsid w:val="00666B7F"/>
    <w:rsid w:val="00666E7D"/>
    <w:rsid w:val="00666E92"/>
    <w:rsid w:val="006673FA"/>
    <w:rsid w:val="00667615"/>
    <w:rsid w:val="0066761C"/>
    <w:rsid w:val="0066769A"/>
    <w:rsid w:val="00667976"/>
    <w:rsid w:val="00667BB1"/>
    <w:rsid w:val="00667D86"/>
    <w:rsid w:val="00667DF4"/>
    <w:rsid w:val="0067006A"/>
    <w:rsid w:val="006701A1"/>
    <w:rsid w:val="006702F6"/>
    <w:rsid w:val="00670329"/>
    <w:rsid w:val="0067046C"/>
    <w:rsid w:val="0067086C"/>
    <w:rsid w:val="00670A75"/>
    <w:rsid w:val="00670C59"/>
    <w:rsid w:val="00670E2B"/>
    <w:rsid w:val="00670EEA"/>
    <w:rsid w:val="00670FCA"/>
    <w:rsid w:val="00671141"/>
    <w:rsid w:val="006711BA"/>
    <w:rsid w:val="006711DC"/>
    <w:rsid w:val="00671426"/>
    <w:rsid w:val="0067176B"/>
    <w:rsid w:val="00671857"/>
    <w:rsid w:val="00671BE7"/>
    <w:rsid w:val="00671DDF"/>
    <w:rsid w:val="00671EC3"/>
    <w:rsid w:val="00671EC5"/>
    <w:rsid w:val="0067217F"/>
    <w:rsid w:val="0067223A"/>
    <w:rsid w:val="006724F8"/>
    <w:rsid w:val="00672797"/>
    <w:rsid w:val="00672865"/>
    <w:rsid w:val="006728F0"/>
    <w:rsid w:val="00672994"/>
    <w:rsid w:val="006729B4"/>
    <w:rsid w:val="00672B0F"/>
    <w:rsid w:val="00672DF7"/>
    <w:rsid w:val="00672EDB"/>
    <w:rsid w:val="006730DE"/>
    <w:rsid w:val="0067310A"/>
    <w:rsid w:val="0067320A"/>
    <w:rsid w:val="006733AB"/>
    <w:rsid w:val="006736BC"/>
    <w:rsid w:val="00673713"/>
    <w:rsid w:val="00673751"/>
    <w:rsid w:val="00673808"/>
    <w:rsid w:val="006738CD"/>
    <w:rsid w:val="00673B4A"/>
    <w:rsid w:val="00673C99"/>
    <w:rsid w:val="00673D91"/>
    <w:rsid w:val="00674232"/>
    <w:rsid w:val="00674487"/>
    <w:rsid w:val="006744AF"/>
    <w:rsid w:val="00674578"/>
    <w:rsid w:val="00674617"/>
    <w:rsid w:val="00674870"/>
    <w:rsid w:val="00674911"/>
    <w:rsid w:val="00674A75"/>
    <w:rsid w:val="00674B25"/>
    <w:rsid w:val="00674ED8"/>
    <w:rsid w:val="00674F2B"/>
    <w:rsid w:val="00675037"/>
    <w:rsid w:val="0067515C"/>
    <w:rsid w:val="00675A1C"/>
    <w:rsid w:val="00675C8C"/>
    <w:rsid w:val="00675D02"/>
    <w:rsid w:val="00675EBC"/>
    <w:rsid w:val="006761F4"/>
    <w:rsid w:val="006762E0"/>
    <w:rsid w:val="0067636C"/>
    <w:rsid w:val="00676802"/>
    <w:rsid w:val="00676A81"/>
    <w:rsid w:val="00676B85"/>
    <w:rsid w:val="00676B8F"/>
    <w:rsid w:val="00676C09"/>
    <w:rsid w:val="00676C10"/>
    <w:rsid w:val="00676C4F"/>
    <w:rsid w:val="00676F23"/>
    <w:rsid w:val="00677003"/>
    <w:rsid w:val="006770BE"/>
    <w:rsid w:val="00677102"/>
    <w:rsid w:val="006773B5"/>
    <w:rsid w:val="0067757E"/>
    <w:rsid w:val="0067762E"/>
    <w:rsid w:val="00677744"/>
    <w:rsid w:val="00677831"/>
    <w:rsid w:val="00677A97"/>
    <w:rsid w:val="00677B16"/>
    <w:rsid w:val="00677BD3"/>
    <w:rsid w:val="00680056"/>
    <w:rsid w:val="0068014D"/>
    <w:rsid w:val="006801EE"/>
    <w:rsid w:val="0068084D"/>
    <w:rsid w:val="00680BF4"/>
    <w:rsid w:val="00680E9D"/>
    <w:rsid w:val="00680F87"/>
    <w:rsid w:val="00680FC4"/>
    <w:rsid w:val="00681353"/>
    <w:rsid w:val="00681422"/>
    <w:rsid w:val="00681545"/>
    <w:rsid w:val="006816B2"/>
    <w:rsid w:val="00681853"/>
    <w:rsid w:val="006819D3"/>
    <w:rsid w:val="00681C5A"/>
    <w:rsid w:val="00681F15"/>
    <w:rsid w:val="00681FCD"/>
    <w:rsid w:val="00682000"/>
    <w:rsid w:val="0068201B"/>
    <w:rsid w:val="00682254"/>
    <w:rsid w:val="006822FA"/>
    <w:rsid w:val="0068232E"/>
    <w:rsid w:val="006824C4"/>
    <w:rsid w:val="00682660"/>
    <w:rsid w:val="006826AE"/>
    <w:rsid w:val="00682B9C"/>
    <w:rsid w:val="00682CF6"/>
    <w:rsid w:val="00682EC1"/>
    <w:rsid w:val="00683026"/>
    <w:rsid w:val="00683091"/>
    <w:rsid w:val="00683341"/>
    <w:rsid w:val="0068338F"/>
    <w:rsid w:val="0068350A"/>
    <w:rsid w:val="00683A9F"/>
    <w:rsid w:val="00683B1E"/>
    <w:rsid w:val="00683BBC"/>
    <w:rsid w:val="00683DF5"/>
    <w:rsid w:val="00683E8F"/>
    <w:rsid w:val="00683F8A"/>
    <w:rsid w:val="006847EF"/>
    <w:rsid w:val="006848F8"/>
    <w:rsid w:val="00684942"/>
    <w:rsid w:val="00684BD2"/>
    <w:rsid w:val="00684DBE"/>
    <w:rsid w:val="00684F41"/>
    <w:rsid w:val="00685170"/>
    <w:rsid w:val="00685295"/>
    <w:rsid w:val="00685482"/>
    <w:rsid w:val="006854BB"/>
    <w:rsid w:val="0068572F"/>
    <w:rsid w:val="006858BE"/>
    <w:rsid w:val="006859C2"/>
    <w:rsid w:val="00685C27"/>
    <w:rsid w:val="00685C2C"/>
    <w:rsid w:val="00685D33"/>
    <w:rsid w:val="00685D34"/>
    <w:rsid w:val="00685F4D"/>
    <w:rsid w:val="00686011"/>
    <w:rsid w:val="006861AE"/>
    <w:rsid w:val="00686240"/>
    <w:rsid w:val="006865E7"/>
    <w:rsid w:val="006866DD"/>
    <w:rsid w:val="0068682F"/>
    <w:rsid w:val="006869DC"/>
    <w:rsid w:val="00686ADA"/>
    <w:rsid w:val="00686E36"/>
    <w:rsid w:val="00686E3B"/>
    <w:rsid w:val="00686F60"/>
    <w:rsid w:val="0068788E"/>
    <w:rsid w:val="006878B0"/>
    <w:rsid w:val="00687A31"/>
    <w:rsid w:val="00687F2B"/>
    <w:rsid w:val="006900A9"/>
    <w:rsid w:val="00690179"/>
    <w:rsid w:val="00690531"/>
    <w:rsid w:val="006906C4"/>
    <w:rsid w:val="00690742"/>
    <w:rsid w:val="00690743"/>
    <w:rsid w:val="00690756"/>
    <w:rsid w:val="0069079E"/>
    <w:rsid w:val="006908D1"/>
    <w:rsid w:val="00690A54"/>
    <w:rsid w:val="00690B1E"/>
    <w:rsid w:val="00690BE6"/>
    <w:rsid w:val="00690CB9"/>
    <w:rsid w:val="00690DC2"/>
    <w:rsid w:val="00690EB0"/>
    <w:rsid w:val="00690EB3"/>
    <w:rsid w:val="0069138F"/>
    <w:rsid w:val="00691475"/>
    <w:rsid w:val="00691558"/>
    <w:rsid w:val="00691736"/>
    <w:rsid w:val="006917E1"/>
    <w:rsid w:val="00691CA6"/>
    <w:rsid w:val="00691D0C"/>
    <w:rsid w:val="0069221E"/>
    <w:rsid w:val="00692326"/>
    <w:rsid w:val="006923B3"/>
    <w:rsid w:val="00692587"/>
    <w:rsid w:val="006925E3"/>
    <w:rsid w:val="00692729"/>
    <w:rsid w:val="006927CF"/>
    <w:rsid w:val="00692C40"/>
    <w:rsid w:val="00692C73"/>
    <w:rsid w:val="00692D46"/>
    <w:rsid w:val="00693163"/>
    <w:rsid w:val="006933C0"/>
    <w:rsid w:val="0069353F"/>
    <w:rsid w:val="00693741"/>
    <w:rsid w:val="006937F0"/>
    <w:rsid w:val="00693822"/>
    <w:rsid w:val="006938C2"/>
    <w:rsid w:val="00693A2F"/>
    <w:rsid w:val="00693AD3"/>
    <w:rsid w:val="00693D6A"/>
    <w:rsid w:val="00693E70"/>
    <w:rsid w:val="00693EC3"/>
    <w:rsid w:val="0069412E"/>
    <w:rsid w:val="006942EE"/>
    <w:rsid w:val="00694409"/>
    <w:rsid w:val="006951E9"/>
    <w:rsid w:val="0069526C"/>
    <w:rsid w:val="0069537F"/>
    <w:rsid w:val="006953B0"/>
    <w:rsid w:val="006953B8"/>
    <w:rsid w:val="0069542E"/>
    <w:rsid w:val="006954EB"/>
    <w:rsid w:val="006959D4"/>
    <w:rsid w:val="00695AFB"/>
    <w:rsid w:val="00695BBD"/>
    <w:rsid w:val="00695CC9"/>
    <w:rsid w:val="00695E79"/>
    <w:rsid w:val="00695FEE"/>
    <w:rsid w:val="00696169"/>
    <w:rsid w:val="0069685A"/>
    <w:rsid w:val="00696B47"/>
    <w:rsid w:val="00696B5E"/>
    <w:rsid w:val="00696C96"/>
    <w:rsid w:val="00696E10"/>
    <w:rsid w:val="00697363"/>
    <w:rsid w:val="0069749A"/>
    <w:rsid w:val="0069750D"/>
    <w:rsid w:val="006976F0"/>
    <w:rsid w:val="006979F4"/>
    <w:rsid w:val="00697D81"/>
    <w:rsid w:val="00697EB4"/>
    <w:rsid w:val="006A0056"/>
    <w:rsid w:val="006A01D3"/>
    <w:rsid w:val="006A023B"/>
    <w:rsid w:val="006A0282"/>
    <w:rsid w:val="006A02D5"/>
    <w:rsid w:val="006A0565"/>
    <w:rsid w:val="006A0737"/>
    <w:rsid w:val="006A0888"/>
    <w:rsid w:val="006A0922"/>
    <w:rsid w:val="006A09A5"/>
    <w:rsid w:val="006A0A7F"/>
    <w:rsid w:val="006A0BBB"/>
    <w:rsid w:val="006A0C44"/>
    <w:rsid w:val="006A0D7A"/>
    <w:rsid w:val="006A0D7F"/>
    <w:rsid w:val="006A0D96"/>
    <w:rsid w:val="006A0DB5"/>
    <w:rsid w:val="006A10CD"/>
    <w:rsid w:val="006A1198"/>
    <w:rsid w:val="006A12FB"/>
    <w:rsid w:val="006A1628"/>
    <w:rsid w:val="006A172B"/>
    <w:rsid w:val="006A1734"/>
    <w:rsid w:val="006A1960"/>
    <w:rsid w:val="006A1A9B"/>
    <w:rsid w:val="006A1E10"/>
    <w:rsid w:val="006A2164"/>
    <w:rsid w:val="006A2250"/>
    <w:rsid w:val="006A2338"/>
    <w:rsid w:val="006A2443"/>
    <w:rsid w:val="006A25D7"/>
    <w:rsid w:val="006A280F"/>
    <w:rsid w:val="006A2B32"/>
    <w:rsid w:val="006A2E3C"/>
    <w:rsid w:val="006A34CA"/>
    <w:rsid w:val="006A3A03"/>
    <w:rsid w:val="006A3A15"/>
    <w:rsid w:val="006A3AC0"/>
    <w:rsid w:val="006A3CB5"/>
    <w:rsid w:val="006A3D27"/>
    <w:rsid w:val="006A3D7C"/>
    <w:rsid w:val="006A3EA2"/>
    <w:rsid w:val="006A3EA3"/>
    <w:rsid w:val="006A42B2"/>
    <w:rsid w:val="006A4385"/>
    <w:rsid w:val="006A43CC"/>
    <w:rsid w:val="006A4766"/>
    <w:rsid w:val="006A492E"/>
    <w:rsid w:val="006A498B"/>
    <w:rsid w:val="006A4BD2"/>
    <w:rsid w:val="006A4C9D"/>
    <w:rsid w:val="006A4CCF"/>
    <w:rsid w:val="006A4E8D"/>
    <w:rsid w:val="006A4F83"/>
    <w:rsid w:val="006A5174"/>
    <w:rsid w:val="006A53B6"/>
    <w:rsid w:val="006A5AEF"/>
    <w:rsid w:val="006A5B45"/>
    <w:rsid w:val="006A5C2E"/>
    <w:rsid w:val="006A5D16"/>
    <w:rsid w:val="006A5DD6"/>
    <w:rsid w:val="006A5EBB"/>
    <w:rsid w:val="006A617D"/>
    <w:rsid w:val="006A6396"/>
    <w:rsid w:val="006A63A2"/>
    <w:rsid w:val="006A6C63"/>
    <w:rsid w:val="006A6DD3"/>
    <w:rsid w:val="006A72FF"/>
    <w:rsid w:val="006A737E"/>
    <w:rsid w:val="006A73B3"/>
    <w:rsid w:val="006A74B0"/>
    <w:rsid w:val="006A76CE"/>
    <w:rsid w:val="006A7922"/>
    <w:rsid w:val="006A7C5E"/>
    <w:rsid w:val="006A7CA1"/>
    <w:rsid w:val="006A7F58"/>
    <w:rsid w:val="006B016F"/>
    <w:rsid w:val="006B01F0"/>
    <w:rsid w:val="006B04B2"/>
    <w:rsid w:val="006B0526"/>
    <w:rsid w:val="006B0A89"/>
    <w:rsid w:val="006B0D6A"/>
    <w:rsid w:val="006B12EA"/>
    <w:rsid w:val="006B1337"/>
    <w:rsid w:val="006B1478"/>
    <w:rsid w:val="006B1504"/>
    <w:rsid w:val="006B1550"/>
    <w:rsid w:val="006B15A8"/>
    <w:rsid w:val="006B1608"/>
    <w:rsid w:val="006B1747"/>
    <w:rsid w:val="006B1787"/>
    <w:rsid w:val="006B194E"/>
    <w:rsid w:val="006B1ABB"/>
    <w:rsid w:val="006B1B99"/>
    <w:rsid w:val="006B1BBF"/>
    <w:rsid w:val="006B1C2D"/>
    <w:rsid w:val="006B1C2E"/>
    <w:rsid w:val="006B1CCA"/>
    <w:rsid w:val="006B1CED"/>
    <w:rsid w:val="006B1CF5"/>
    <w:rsid w:val="006B1DAB"/>
    <w:rsid w:val="006B1F25"/>
    <w:rsid w:val="006B1F4E"/>
    <w:rsid w:val="006B2049"/>
    <w:rsid w:val="006B2147"/>
    <w:rsid w:val="006B2149"/>
    <w:rsid w:val="006B21C1"/>
    <w:rsid w:val="006B230A"/>
    <w:rsid w:val="006B23FE"/>
    <w:rsid w:val="006B2409"/>
    <w:rsid w:val="006B255B"/>
    <w:rsid w:val="006B2924"/>
    <w:rsid w:val="006B2963"/>
    <w:rsid w:val="006B2BAE"/>
    <w:rsid w:val="006B2C2D"/>
    <w:rsid w:val="006B2F0D"/>
    <w:rsid w:val="006B2F12"/>
    <w:rsid w:val="006B31A1"/>
    <w:rsid w:val="006B31C6"/>
    <w:rsid w:val="006B3338"/>
    <w:rsid w:val="006B346C"/>
    <w:rsid w:val="006B3502"/>
    <w:rsid w:val="006B3CD6"/>
    <w:rsid w:val="006B3E3C"/>
    <w:rsid w:val="006B3F52"/>
    <w:rsid w:val="006B42B9"/>
    <w:rsid w:val="006B4600"/>
    <w:rsid w:val="006B46AC"/>
    <w:rsid w:val="006B489E"/>
    <w:rsid w:val="006B4A01"/>
    <w:rsid w:val="006B4ACB"/>
    <w:rsid w:val="006B4B2B"/>
    <w:rsid w:val="006B4C24"/>
    <w:rsid w:val="006B4C71"/>
    <w:rsid w:val="006B4DEB"/>
    <w:rsid w:val="006B4F46"/>
    <w:rsid w:val="006B5441"/>
    <w:rsid w:val="006B54D0"/>
    <w:rsid w:val="006B54FC"/>
    <w:rsid w:val="006B5657"/>
    <w:rsid w:val="006B5860"/>
    <w:rsid w:val="006B59AA"/>
    <w:rsid w:val="006B5A4E"/>
    <w:rsid w:val="006B5BC1"/>
    <w:rsid w:val="006B5C14"/>
    <w:rsid w:val="006B5D7E"/>
    <w:rsid w:val="006B5DD8"/>
    <w:rsid w:val="006B5F5C"/>
    <w:rsid w:val="006B6026"/>
    <w:rsid w:val="006B643E"/>
    <w:rsid w:val="006B69CB"/>
    <w:rsid w:val="006B6C9A"/>
    <w:rsid w:val="006B6DA3"/>
    <w:rsid w:val="006B6F73"/>
    <w:rsid w:val="006B6FD1"/>
    <w:rsid w:val="006B71BA"/>
    <w:rsid w:val="006B73F2"/>
    <w:rsid w:val="006B75FE"/>
    <w:rsid w:val="006B7673"/>
    <w:rsid w:val="006B7838"/>
    <w:rsid w:val="006B78BB"/>
    <w:rsid w:val="006B7B12"/>
    <w:rsid w:val="006B7BB3"/>
    <w:rsid w:val="006B7C60"/>
    <w:rsid w:val="006B7F08"/>
    <w:rsid w:val="006C0345"/>
    <w:rsid w:val="006C056E"/>
    <w:rsid w:val="006C08B8"/>
    <w:rsid w:val="006C0CDC"/>
    <w:rsid w:val="006C109C"/>
    <w:rsid w:val="006C1108"/>
    <w:rsid w:val="006C128F"/>
    <w:rsid w:val="006C158B"/>
    <w:rsid w:val="006C1630"/>
    <w:rsid w:val="006C1797"/>
    <w:rsid w:val="006C1B96"/>
    <w:rsid w:val="006C1CD6"/>
    <w:rsid w:val="006C1E3F"/>
    <w:rsid w:val="006C1E87"/>
    <w:rsid w:val="006C2072"/>
    <w:rsid w:val="006C2158"/>
    <w:rsid w:val="006C236B"/>
    <w:rsid w:val="006C23B9"/>
    <w:rsid w:val="006C24A0"/>
    <w:rsid w:val="006C24BA"/>
    <w:rsid w:val="006C26BE"/>
    <w:rsid w:val="006C27F4"/>
    <w:rsid w:val="006C2952"/>
    <w:rsid w:val="006C2B75"/>
    <w:rsid w:val="006C2B85"/>
    <w:rsid w:val="006C2DFA"/>
    <w:rsid w:val="006C2E6C"/>
    <w:rsid w:val="006C2FE4"/>
    <w:rsid w:val="006C30C0"/>
    <w:rsid w:val="006C3164"/>
    <w:rsid w:val="006C34B4"/>
    <w:rsid w:val="006C368F"/>
    <w:rsid w:val="006C37CD"/>
    <w:rsid w:val="006C3A7F"/>
    <w:rsid w:val="006C3D18"/>
    <w:rsid w:val="006C4039"/>
    <w:rsid w:val="006C404B"/>
    <w:rsid w:val="006C4059"/>
    <w:rsid w:val="006C41C3"/>
    <w:rsid w:val="006C41E9"/>
    <w:rsid w:val="006C45A3"/>
    <w:rsid w:val="006C4B3C"/>
    <w:rsid w:val="006C4C95"/>
    <w:rsid w:val="006C4E85"/>
    <w:rsid w:val="006C4F0E"/>
    <w:rsid w:val="006C502C"/>
    <w:rsid w:val="006C5359"/>
    <w:rsid w:val="006C5801"/>
    <w:rsid w:val="006C5865"/>
    <w:rsid w:val="006C588B"/>
    <w:rsid w:val="006C5A4A"/>
    <w:rsid w:val="006C5DF4"/>
    <w:rsid w:val="006C5F36"/>
    <w:rsid w:val="006C60ED"/>
    <w:rsid w:val="006C6227"/>
    <w:rsid w:val="006C667C"/>
    <w:rsid w:val="006C66EB"/>
    <w:rsid w:val="006C676D"/>
    <w:rsid w:val="006C67F7"/>
    <w:rsid w:val="006C6B11"/>
    <w:rsid w:val="006C6BCC"/>
    <w:rsid w:val="006C6D12"/>
    <w:rsid w:val="006C6FC1"/>
    <w:rsid w:val="006C712E"/>
    <w:rsid w:val="006C75A3"/>
    <w:rsid w:val="006C76F2"/>
    <w:rsid w:val="006C79C2"/>
    <w:rsid w:val="006C7ED4"/>
    <w:rsid w:val="006C7F4D"/>
    <w:rsid w:val="006CF77B"/>
    <w:rsid w:val="006D0054"/>
    <w:rsid w:val="006D062D"/>
    <w:rsid w:val="006D0638"/>
    <w:rsid w:val="006D06D2"/>
    <w:rsid w:val="006D0866"/>
    <w:rsid w:val="006D0ACC"/>
    <w:rsid w:val="006D0CE9"/>
    <w:rsid w:val="006D10F5"/>
    <w:rsid w:val="006D1163"/>
    <w:rsid w:val="006D12E8"/>
    <w:rsid w:val="006D1969"/>
    <w:rsid w:val="006D19EC"/>
    <w:rsid w:val="006D1BA5"/>
    <w:rsid w:val="006D1C6D"/>
    <w:rsid w:val="006D1D52"/>
    <w:rsid w:val="006D1E0E"/>
    <w:rsid w:val="006D1EDD"/>
    <w:rsid w:val="006D1FA6"/>
    <w:rsid w:val="006D21B4"/>
    <w:rsid w:val="006D22DE"/>
    <w:rsid w:val="006D2569"/>
    <w:rsid w:val="006D2632"/>
    <w:rsid w:val="006D266E"/>
    <w:rsid w:val="006D27DE"/>
    <w:rsid w:val="006D2858"/>
    <w:rsid w:val="006D2902"/>
    <w:rsid w:val="006D2A5A"/>
    <w:rsid w:val="006D2CD5"/>
    <w:rsid w:val="006D31F3"/>
    <w:rsid w:val="006D3323"/>
    <w:rsid w:val="006D35C0"/>
    <w:rsid w:val="006D377A"/>
    <w:rsid w:val="006D379A"/>
    <w:rsid w:val="006D39C3"/>
    <w:rsid w:val="006D3B07"/>
    <w:rsid w:val="006D3BA9"/>
    <w:rsid w:val="006D3BB8"/>
    <w:rsid w:val="006D3BD2"/>
    <w:rsid w:val="006D3DDD"/>
    <w:rsid w:val="006D3EE2"/>
    <w:rsid w:val="006D3F52"/>
    <w:rsid w:val="006D4011"/>
    <w:rsid w:val="006D421C"/>
    <w:rsid w:val="006D4351"/>
    <w:rsid w:val="006D4B27"/>
    <w:rsid w:val="006D4CFA"/>
    <w:rsid w:val="006D4DC3"/>
    <w:rsid w:val="006D4EC8"/>
    <w:rsid w:val="006D53B5"/>
    <w:rsid w:val="006D5432"/>
    <w:rsid w:val="006D5586"/>
    <w:rsid w:val="006D5A44"/>
    <w:rsid w:val="006D5B54"/>
    <w:rsid w:val="006D5C2B"/>
    <w:rsid w:val="006D5CAE"/>
    <w:rsid w:val="006D6550"/>
    <w:rsid w:val="006D6596"/>
    <w:rsid w:val="006D6924"/>
    <w:rsid w:val="006D6AA8"/>
    <w:rsid w:val="006D6B0D"/>
    <w:rsid w:val="006D6B74"/>
    <w:rsid w:val="006D6DBB"/>
    <w:rsid w:val="006D7018"/>
    <w:rsid w:val="006D71E7"/>
    <w:rsid w:val="006D730A"/>
    <w:rsid w:val="006D7408"/>
    <w:rsid w:val="006D74DD"/>
    <w:rsid w:val="006D7511"/>
    <w:rsid w:val="006D76C8"/>
    <w:rsid w:val="006D7A63"/>
    <w:rsid w:val="006D7BEA"/>
    <w:rsid w:val="006D7E6D"/>
    <w:rsid w:val="006E029D"/>
    <w:rsid w:val="006E059C"/>
    <w:rsid w:val="006E07D3"/>
    <w:rsid w:val="006E0A97"/>
    <w:rsid w:val="006E0B88"/>
    <w:rsid w:val="006E0C30"/>
    <w:rsid w:val="006E0D0C"/>
    <w:rsid w:val="006E11C7"/>
    <w:rsid w:val="006E11EA"/>
    <w:rsid w:val="006E1322"/>
    <w:rsid w:val="006E1366"/>
    <w:rsid w:val="006E1472"/>
    <w:rsid w:val="006E14F1"/>
    <w:rsid w:val="006E19BA"/>
    <w:rsid w:val="006E1A49"/>
    <w:rsid w:val="006E1D47"/>
    <w:rsid w:val="006E1D87"/>
    <w:rsid w:val="006E21E4"/>
    <w:rsid w:val="006E22AB"/>
    <w:rsid w:val="006E2350"/>
    <w:rsid w:val="006E25B4"/>
    <w:rsid w:val="006E2734"/>
    <w:rsid w:val="006E281F"/>
    <w:rsid w:val="006E2917"/>
    <w:rsid w:val="006E293C"/>
    <w:rsid w:val="006E29FD"/>
    <w:rsid w:val="006E2B4C"/>
    <w:rsid w:val="006E2C46"/>
    <w:rsid w:val="006E2D30"/>
    <w:rsid w:val="006E3325"/>
    <w:rsid w:val="006E3414"/>
    <w:rsid w:val="006E380B"/>
    <w:rsid w:val="006E3915"/>
    <w:rsid w:val="006E3982"/>
    <w:rsid w:val="006E3BC7"/>
    <w:rsid w:val="006E3BF3"/>
    <w:rsid w:val="006E3D4F"/>
    <w:rsid w:val="006E3DA7"/>
    <w:rsid w:val="006E3E02"/>
    <w:rsid w:val="006E3F77"/>
    <w:rsid w:val="006E4011"/>
    <w:rsid w:val="006E4171"/>
    <w:rsid w:val="006E428A"/>
    <w:rsid w:val="006E4517"/>
    <w:rsid w:val="006E460D"/>
    <w:rsid w:val="006E492F"/>
    <w:rsid w:val="006E4CFD"/>
    <w:rsid w:val="006E4D5D"/>
    <w:rsid w:val="006E5157"/>
    <w:rsid w:val="006E5166"/>
    <w:rsid w:val="006E557A"/>
    <w:rsid w:val="006E55BF"/>
    <w:rsid w:val="006E584D"/>
    <w:rsid w:val="006E5929"/>
    <w:rsid w:val="006E59D6"/>
    <w:rsid w:val="006E5A76"/>
    <w:rsid w:val="006E5B4C"/>
    <w:rsid w:val="006E5CF9"/>
    <w:rsid w:val="006E5D51"/>
    <w:rsid w:val="006E5E9E"/>
    <w:rsid w:val="006E5F77"/>
    <w:rsid w:val="006E5FE6"/>
    <w:rsid w:val="006E612E"/>
    <w:rsid w:val="006E62FF"/>
    <w:rsid w:val="006E6381"/>
    <w:rsid w:val="006E63BC"/>
    <w:rsid w:val="006E664A"/>
    <w:rsid w:val="006E6CEE"/>
    <w:rsid w:val="006E6E20"/>
    <w:rsid w:val="006E6F03"/>
    <w:rsid w:val="006E70A9"/>
    <w:rsid w:val="006E71C2"/>
    <w:rsid w:val="006E7207"/>
    <w:rsid w:val="006E7468"/>
    <w:rsid w:val="006E7747"/>
    <w:rsid w:val="006E7780"/>
    <w:rsid w:val="006E7C04"/>
    <w:rsid w:val="006E7C79"/>
    <w:rsid w:val="006E7E28"/>
    <w:rsid w:val="006E7EAA"/>
    <w:rsid w:val="006F0008"/>
    <w:rsid w:val="006F00C5"/>
    <w:rsid w:val="006F0164"/>
    <w:rsid w:val="006F0399"/>
    <w:rsid w:val="006F0783"/>
    <w:rsid w:val="006F093B"/>
    <w:rsid w:val="006F0A79"/>
    <w:rsid w:val="006F0B2A"/>
    <w:rsid w:val="006F0BCD"/>
    <w:rsid w:val="006F0BF6"/>
    <w:rsid w:val="006F0F05"/>
    <w:rsid w:val="006F1189"/>
    <w:rsid w:val="006F13B4"/>
    <w:rsid w:val="006F159D"/>
    <w:rsid w:val="006F1655"/>
    <w:rsid w:val="006F1768"/>
    <w:rsid w:val="006F18D1"/>
    <w:rsid w:val="006F1AA0"/>
    <w:rsid w:val="006F1C01"/>
    <w:rsid w:val="006F1EF4"/>
    <w:rsid w:val="006F1F2D"/>
    <w:rsid w:val="006F232D"/>
    <w:rsid w:val="006F2523"/>
    <w:rsid w:val="006F2590"/>
    <w:rsid w:val="006F2693"/>
    <w:rsid w:val="006F2B02"/>
    <w:rsid w:val="006F2B24"/>
    <w:rsid w:val="006F2CA6"/>
    <w:rsid w:val="006F2FAF"/>
    <w:rsid w:val="006F312E"/>
    <w:rsid w:val="006F337D"/>
    <w:rsid w:val="006F3631"/>
    <w:rsid w:val="006F36E1"/>
    <w:rsid w:val="006F3869"/>
    <w:rsid w:val="006F3C00"/>
    <w:rsid w:val="006F3DBD"/>
    <w:rsid w:val="006F3F23"/>
    <w:rsid w:val="006F3F4C"/>
    <w:rsid w:val="006F40F8"/>
    <w:rsid w:val="006F4359"/>
    <w:rsid w:val="006F43B2"/>
    <w:rsid w:val="006F46BB"/>
    <w:rsid w:val="006F48EF"/>
    <w:rsid w:val="006F4A0B"/>
    <w:rsid w:val="006F4C8F"/>
    <w:rsid w:val="006F4D85"/>
    <w:rsid w:val="006F4EE9"/>
    <w:rsid w:val="006F4FEB"/>
    <w:rsid w:val="006F5135"/>
    <w:rsid w:val="006F5289"/>
    <w:rsid w:val="006F532F"/>
    <w:rsid w:val="006F5357"/>
    <w:rsid w:val="006F54A7"/>
    <w:rsid w:val="006F5592"/>
    <w:rsid w:val="006F56DE"/>
    <w:rsid w:val="006F581D"/>
    <w:rsid w:val="006F595B"/>
    <w:rsid w:val="006F5B0B"/>
    <w:rsid w:val="006F5B29"/>
    <w:rsid w:val="006F60A7"/>
    <w:rsid w:val="006F626D"/>
    <w:rsid w:val="006F6401"/>
    <w:rsid w:val="006F6434"/>
    <w:rsid w:val="006F68CF"/>
    <w:rsid w:val="006F6954"/>
    <w:rsid w:val="006F6C51"/>
    <w:rsid w:val="006F6D27"/>
    <w:rsid w:val="006F6DA4"/>
    <w:rsid w:val="006F6F9C"/>
    <w:rsid w:val="006F6FFD"/>
    <w:rsid w:val="006F70C6"/>
    <w:rsid w:val="006F72E3"/>
    <w:rsid w:val="006F7306"/>
    <w:rsid w:val="006F73FB"/>
    <w:rsid w:val="006F7453"/>
    <w:rsid w:val="006F763A"/>
    <w:rsid w:val="006F7644"/>
    <w:rsid w:val="006F77FE"/>
    <w:rsid w:val="006F783A"/>
    <w:rsid w:val="006F7AD9"/>
    <w:rsid w:val="006F7C75"/>
    <w:rsid w:val="006F7CB2"/>
    <w:rsid w:val="006F7EAF"/>
    <w:rsid w:val="006F7F44"/>
    <w:rsid w:val="00700101"/>
    <w:rsid w:val="0070055F"/>
    <w:rsid w:val="00700848"/>
    <w:rsid w:val="00700C42"/>
    <w:rsid w:val="00700E36"/>
    <w:rsid w:val="00700F13"/>
    <w:rsid w:val="00700F2B"/>
    <w:rsid w:val="00700F48"/>
    <w:rsid w:val="00701038"/>
    <w:rsid w:val="007013B3"/>
    <w:rsid w:val="007015C3"/>
    <w:rsid w:val="007015EE"/>
    <w:rsid w:val="00701666"/>
    <w:rsid w:val="007016F3"/>
    <w:rsid w:val="007017C9"/>
    <w:rsid w:val="00701A86"/>
    <w:rsid w:val="00701B11"/>
    <w:rsid w:val="00701BAE"/>
    <w:rsid w:val="00701D96"/>
    <w:rsid w:val="00701DC2"/>
    <w:rsid w:val="00701F92"/>
    <w:rsid w:val="00702437"/>
    <w:rsid w:val="00702667"/>
    <w:rsid w:val="0070283C"/>
    <w:rsid w:val="00702842"/>
    <w:rsid w:val="00702857"/>
    <w:rsid w:val="0070293C"/>
    <w:rsid w:val="00702978"/>
    <w:rsid w:val="00702D3C"/>
    <w:rsid w:val="00702DC9"/>
    <w:rsid w:val="00702E75"/>
    <w:rsid w:val="0070353C"/>
    <w:rsid w:val="007038B0"/>
    <w:rsid w:val="00703A21"/>
    <w:rsid w:val="00703C86"/>
    <w:rsid w:val="00703D74"/>
    <w:rsid w:val="00703E2E"/>
    <w:rsid w:val="00704141"/>
    <w:rsid w:val="00704229"/>
    <w:rsid w:val="007043CB"/>
    <w:rsid w:val="00704711"/>
    <w:rsid w:val="007048E2"/>
    <w:rsid w:val="007049D3"/>
    <w:rsid w:val="00704BD2"/>
    <w:rsid w:val="00704F3B"/>
    <w:rsid w:val="0070517A"/>
    <w:rsid w:val="007051E0"/>
    <w:rsid w:val="00705283"/>
    <w:rsid w:val="00705306"/>
    <w:rsid w:val="00705499"/>
    <w:rsid w:val="007054EB"/>
    <w:rsid w:val="00705617"/>
    <w:rsid w:val="007057B6"/>
    <w:rsid w:val="00705A83"/>
    <w:rsid w:val="00705B6E"/>
    <w:rsid w:val="00705CB9"/>
    <w:rsid w:val="00705DB6"/>
    <w:rsid w:val="0070625B"/>
    <w:rsid w:val="007063CE"/>
    <w:rsid w:val="00706456"/>
    <w:rsid w:val="007065AF"/>
    <w:rsid w:val="00706B9C"/>
    <w:rsid w:val="00706DBD"/>
    <w:rsid w:val="00706F83"/>
    <w:rsid w:val="00706FB6"/>
    <w:rsid w:val="00706FED"/>
    <w:rsid w:val="007070CB"/>
    <w:rsid w:val="007073C7"/>
    <w:rsid w:val="00707560"/>
    <w:rsid w:val="007075C9"/>
    <w:rsid w:val="0070760B"/>
    <w:rsid w:val="0070768E"/>
    <w:rsid w:val="00707952"/>
    <w:rsid w:val="00707A5F"/>
    <w:rsid w:val="00707B73"/>
    <w:rsid w:val="00707C5E"/>
    <w:rsid w:val="00707F87"/>
    <w:rsid w:val="00710230"/>
    <w:rsid w:val="00710341"/>
    <w:rsid w:val="00710423"/>
    <w:rsid w:val="00710920"/>
    <w:rsid w:val="007109EF"/>
    <w:rsid w:val="00710AC3"/>
    <w:rsid w:val="00710AC5"/>
    <w:rsid w:val="00710C5E"/>
    <w:rsid w:val="00710F07"/>
    <w:rsid w:val="00710F40"/>
    <w:rsid w:val="00711047"/>
    <w:rsid w:val="00711090"/>
    <w:rsid w:val="0071117A"/>
    <w:rsid w:val="007111F2"/>
    <w:rsid w:val="00711A77"/>
    <w:rsid w:val="00711B79"/>
    <w:rsid w:val="007120EF"/>
    <w:rsid w:val="007121C8"/>
    <w:rsid w:val="007121EB"/>
    <w:rsid w:val="007122DC"/>
    <w:rsid w:val="00712448"/>
    <w:rsid w:val="0071271F"/>
    <w:rsid w:val="007127FD"/>
    <w:rsid w:val="007129F1"/>
    <w:rsid w:val="00712AD1"/>
    <w:rsid w:val="00712AF9"/>
    <w:rsid w:val="00712B2C"/>
    <w:rsid w:val="00712CFA"/>
    <w:rsid w:val="00712FAA"/>
    <w:rsid w:val="0071318A"/>
    <w:rsid w:val="00713265"/>
    <w:rsid w:val="007134E2"/>
    <w:rsid w:val="007135A2"/>
    <w:rsid w:val="007137C7"/>
    <w:rsid w:val="00713919"/>
    <w:rsid w:val="00713C22"/>
    <w:rsid w:val="00713EB0"/>
    <w:rsid w:val="00713EB5"/>
    <w:rsid w:val="00713FA9"/>
    <w:rsid w:val="00714071"/>
    <w:rsid w:val="00714599"/>
    <w:rsid w:val="00714682"/>
    <w:rsid w:val="0071493D"/>
    <w:rsid w:val="00714A09"/>
    <w:rsid w:val="00714B95"/>
    <w:rsid w:val="00714DE7"/>
    <w:rsid w:val="00714EFD"/>
    <w:rsid w:val="00714FCF"/>
    <w:rsid w:val="00715087"/>
    <w:rsid w:val="007154A7"/>
    <w:rsid w:val="007156EB"/>
    <w:rsid w:val="007157C1"/>
    <w:rsid w:val="00715840"/>
    <w:rsid w:val="00715B10"/>
    <w:rsid w:val="00715BF4"/>
    <w:rsid w:val="00715C8F"/>
    <w:rsid w:val="00715CB1"/>
    <w:rsid w:val="00715F69"/>
    <w:rsid w:val="007160D4"/>
    <w:rsid w:val="007160DA"/>
    <w:rsid w:val="00716115"/>
    <w:rsid w:val="007163A9"/>
    <w:rsid w:val="00716403"/>
    <w:rsid w:val="007164A3"/>
    <w:rsid w:val="00716703"/>
    <w:rsid w:val="007167D1"/>
    <w:rsid w:val="007167D8"/>
    <w:rsid w:val="00716847"/>
    <w:rsid w:val="00716993"/>
    <w:rsid w:val="007169C2"/>
    <w:rsid w:val="00716ACF"/>
    <w:rsid w:val="00716ADE"/>
    <w:rsid w:val="00716BD3"/>
    <w:rsid w:val="00716C19"/>
    <w:rsid w:val="00716DED"/>
    <w:rsid w:val="00716E2F"/>
    <w:rsid w:val="0071702A"/>
    <w:rsid w:val="00717167"/>
    <w:rsid w:val="0071743D"/>
    <w:rsid w:val="00717588"/>
    <w:rsid w:val="0071761F"/>
    <w:rsid w:val="00717639"/>
    <w:rsid w:val="00717837"/>
    <w:rsid w:val="00717AB6"/>
    <w:rsid w:val="007200D5"/>
    <w:rsid w:val="0072046B"/>
    <w:rsid w:val="00720484"/>
    <w:rsid w:val="00720605"/>
    <w:rsid w:val="0072061A"/>
    <w:rsid w:val="00720681"/>
    <w:rsid w:val="00720AF3"/>
    <w:rsid w:val="00720AF7"/>
    <w:rsid w:val="00720BD7"/>
    <w:rsid w:val="00720BDC"/>
    <w:rsid w:val="00720F06"/>
    <w:rsid w:val="007210F4"/>
    <w:rsid w:val="00721221"/>
    <w:rsid w:val="00721383"/>
    <w:rsid w:val="00721397"/>
    <w:rsid w:val="007213CA"/>
    <w:rsid w:val="0072140D"/>
    <w:rsid w:val="00721C65"/>
    <w:rsid w:val="00721F02"/>
    <w:rsid w:val="0072201B"/>
    <w:rsid w:val="007220C2"/>
    <w:rsid w:val="00722169"/>
    <w:rsid w:val="007222DC"/>
    <w:rsid w:val="0072249D"/>
    <w:rsid w:val="00722559"/>
    <w:rsid w:val="00722618"/>
    <w:rsid w:val="0072266E"/>
    <w:rsid w:val="00722C2C"/>
    <w:rsid w:val="00722CA6"/>
    <w:rsid w:val="00722CB8"/>
    <w:rsid w:val="00722D4E"/>
    <w:rsid w:val="00722D5A"/>
    <w:rsid w:val="00722E7E"/>
    <w:rsid w:val="00722F68"/>
    <w:rsid w:val="00723135"/>
    <w:rsid w:val="00723478"/>
    <w:rsid w:val="007236A7"/>
    <w:rsid w:val="007237A7"/>
    <w:rsid w:val="0072380B"/>
    <w:rsid w:val="0072385B"/>
    <w:rsid w:val="00723A34"/>
    <w:rsid w:val="00723B2C"/>
    <w:rsid w:val="00724179"/>
    <w:rsid w:val="00724505"/>
    <w:rsid w:val="007245AD"/>
    <w:rsid w:val="0072468F"/>
    <w:rsid w:val="007247EE"/>
    <w:rsid w:val="00724AE5"/>
    <w:rsid w:val="00724B0B"/>
    <w:rsid w:val="00724B5E"/>
    <w:rsid w:val="00724C26"/>
    <w:rsid w:val="00724C64"/>
    <w:rsid w:val="00724CCA"/>
    <w:rsid w:val="00724F24"/>
    <w:rsid w:val="007251FE"/>
    <w:rsid w:val="0072550B"/>
    <w:rsid w:val="00725607"/>
    <w:rsid w:val="0072577D"/>
    <w:rsid w:val="0072596F"/>
    <w:rsid w:val="007259A3"/>
    <w:rsid w:val="00725B3F"/>
    <w:rsid w:val="00725F44"/>
    <w:rsid w:val="00725FD5"/>
    <w:rsid w:val="00726456"/>
    <w:rsid w:val="007265CC"/>
    <w:rsid w:val="00726A33"/>
    <w:rsid w:val="00726A4C"/>
    <w:rsid w:val="00726B37"/>
    <w:rsid w:val="00726BFA"/>
    <w:rsid w:val="00726CB8"/>
    <w:rsid w:val="00727250"/>
    <w:rsid w:val="0072731E"/>
    <w:rsid w:val="00727323"/>
    <w:rsid w:val="00727456"/>
    <w:rsid w:val="0072748F"/>
    <w:rsid w:val="00727681"/>
    <w:rsid w:val="007277C4"/>
    <w:rsid w:val="00727923"/>
    <w:rsid w:val="00727A39"/>
    <w:rsid w:val="00727A7F"/>
    <w:rsid w:val="00727B7E"/>
    <w:rsid w:val="00727C5C"/>
    <w:rsid w:val="00727CDF"/>
    <w:rsid w:val="0073003F"/>
    <w:rsid w:val="00730094"/>
    <w:rsid w:val="0073022E"/>
    <w:rsid w:val="00730312"/>
    <w:rsid w:val="00730504"/>
    <w:rsid w:val="00730B0D"/>
    <w:rsid w:val="00730B5D"/>
    <w:rsid w:val="00730D6D"/>
    <w:rsid w:val="00730DA9"/>
    <w:rsid w:val="00730EC4"/>
    <w:rsid w:val="00730FFB"/>
    <w:rsid w:val="007310BA"/>
    <w:rsid w:val="007311D7"/>
    <w:rsid w:val="00731303"/>
    <w:rsid w:val="007314FB"/>
    <w:rsid w:val="00731601"/>
    <w:rsid w:val="00731645"/>
    <w:rsid w:val="007317DA"/>
    <w:rsid w:val="00731870"/>
    <w:rsid w:val="0073188D"/>
    <w:rsid w:val="007318CC"/>
    <w:rsid w:val="007319DC"/>
    <w:rsid w:val="00731B54"/>
    <w:rsid w:val="00731C15"/>
    <w:rsid w:val="00731CF0"/>
    <w:rsid w:val="00731EDC"/>
    <w:rsid w:val="00731FDD"/>
    <w:rsid w:val="007321C7"/>
    <w:rsid w:val="007324C2"/>
    <w:rsid w:val="00732638"/>
    <w:rsid w:val="00732A0A"/>
    <w:rsid w:val="00732A15"/>
    <w:rsid w:val="00732DDE"/>
    <w:rsid w:val="00733151"/>
    <w:rsid w:val="00733213"/>
    <w:rsid w:val="00733374"/>
    <w:rsid w:val="00733495"/>
    <w:rsid w:val="00733596"/>
    <w:rsid w:val="007337D2"/>
    <w:rsid w:val="007338A2"/>
    <w:rsid w:val="007338B3"/>
    <w:rsid w:val="00733F7C"/>
    <w:rsid w:val="0073418B"/>
    <w:rsid w:val="007343FB"/>
    <w:rsid w:val="0073451C"/>
    <w:rsid w:val="007345B9"/>
    <w:rsid w:val="0073460D"/>
    <w:rsid w:val="0073489D"/>
    <w:rsid w:val="0073489E"/>
    <w:rsid w:val="007348F2"/>
    <w:rsid w:val="00734BE5"/>
    <w:rsid w:val="0073506C"/>
    <w:rsid w:val="00735252"/>
    <w:rsid w:val="007352AB"/>
    <w:rsid w:val="0073530B"/>
    <w:rsid w:val="0073551C"/>
    <w:rsid w:val="0073572D"/>
    <w:rsid w:val="007358FD"/>
    <w:rsid w:val="00735A6A"/>
    <w:rsid w:val="00735D42"/>
    <w:rsid w:val="00735D92"/>
    <w:rsid w:val="00735F12"/>
    <w:rsid w:val="00735F38"/>
    <w:rsid w:val="00735F46"/>
    <w:rsid w:val="007362EC"/>
    <w:rsid w:val="007363D8"/>
    <w:rsid w:val="00736532"/>
    <w:rsid w:val="0073676E"/>
    <w:rsid w:val="00736C26"/>
    <w:rsid w:val="00736D00"/>
    <w:rsid w:val="00736E8F"/>
    <w:rsid w:val="00736ED5"/>
    <w:rsid w:val="00737267"/>
    <w:rsid w:val="0073728B"/>
    <w:rsid w:val="007376E8"/>
    <w:rsid w:val="00737C7E"/>
    <w:rsid w:val="00737CF8"/>
    <w:rsid w:val="00737D44"/>
    <w:rsid w:val="00737F5C"/>
    <w:rsid w:val="00740133"/>
    <w:rsid w:val="0074016D"/>
    <w:rsid w:val="00740183"/>
    <w:rsid w:val="007402EA"/>
    <w:rsid w:val="0074047B"/>
    <w:rsid w:val="007404BE"/>
    <w:rsid w:val="007404D6"/>
    <w:rsid w:val="007406C0"/>
    <w:rsid w:val="007408AE"/>
    <w:rsid w:val="00740F79"/>
    <w:rsid w:val="007413B2"/>
    <w:rsid w:val="007415AF"/>
    <w:rsid w:val="007418C6"/>
    <w:rsid w:val="007419FB"/>
    <w:rsid w:val="00741A58"/>
    <w:rsid w:val="00741DBB"/>
    <w:rsid w:val="00741E58"/>
    <w:rsid w:val="00742078"/>
    <w:rsid w:val="00742457"/>
    <w:rsid w:val="0074254B"/>
    <w:rsid w:val="007426A8"/>
    <w:rsid w:val="007426BE"/>
    <w:rsid w:val="007427B7"/>
    <w:rsid w:val="00742A5E"/>
    <w:rsid w:val="00742A75"/>
    <w:rsid w:val="00742CEA"/>
    <w:rsid w:val="00742FFB"/>
    <w:rsid w:val="00743006"/>
    <w:rsid w:val="00743080"/>
    <w:rsid w:val="007435D8"/>
    <w:rsid w:val="00743801"/>
    <w:rsid w:val="00743A00"/>
    <w:rsid w:val="00743A11"/>
    <w:rsid w:val="00743A2F"/>
    <w:rsid w:val="00743A91"/>
    <w:rsid w:val="00743E5B"/>
    <w:rsid w:val="00743EEF"/>
    <w:rsid w:val="00743FC2"/>
    <w:rsid w:val="007442FC"/>
    <w:rsid w:val="007443D1"/>
    <w:rsid w:val="00744436"/>
    <w:rsid w:val="00744454"/>
    <w:rsid w:val="00744634"/>
    <w:rsid w:val="0074492D"/>
    <w:rsid w:val="00744966"/>
    <w:rsid w:val="0074512B"/>
    <w:rsid w:val="007451AC"/>
    <w:rsid w:val="007456D0"/>
    <w:rsid w:val="0074584B"/>
    <w:rsid w:val="007459F5"/>
    <w:rsid w:val="00745B1D"/>
    <w:rsid w:val="00745C54"/>
    <w:rsid w:val="00745E2C"/>
    <w:rsid w:val="00746152"/>
    <w:rsid w:val="007461E4"/>
    <w:rsid w:val="00746374"/>
    <w:rsid w:val="00746375"/>
    <w:rsid w:val="00746510"/>
    <w:rsid w:val="00746594"/>
    <w:rsid w:val="007465C0"/>
    <w:rsid w:val="0074671E"/>
    <w:rsid w:val="007468E8"/>
    <w:rsid w:val="00746C40"/>
    <w:rsid w:val="00746EF1"/>
    <w:rsid w:val="00746F2C"/>
    <w:rsid w:val="00746F63"/>
    <w:rsid w:val="00747040"/>
    <w:rsid w:val="0074704A"/>
    <w:rsid w:val="007470BC"/>
    <w:rsid w:val="00747552"/>
    <w:rsid w:val="00747783"/>
    <w:rsid w:val="007478E0"/>
    <w:rsid w:val="00747921"/>
    <w:rsid w:val="00747BE1"/>
    <w:rsid w:val="00747C34"/>
    <w:rsid w:val="00747E08"/>
    <w:rsid w:val="00747F19"/>
    <w:rsid w:val="00747F2A"/>
    <w:rsid w:val="00750432"/>
    <w:rsid w:val="007509C3"/>
    <w:rsid w:val="007509C4"/>
    <w:rsid w:val="00750D19"/>
    <w:rsid w:val="007512CF"/>
    <w:rsid w:val="007512E9"/>
    <w:rsid w:val="0075150A"/>
    <w:rsid w:val="00751663"/>
    <w:rsid w:val="007518B2"/>
    <w:rsid w:val="007518E8"/>
    <w:rsid w:val="00751A06"/>
    <w:rsid w:val="00751ABD"/>
    <w:rsid w:val="00751BC0"/>
    <w:rsid w:val="00751CDD"/>
    <w:rsid w:val="00751E29"/>
    <w:rsid w:val="00751FA1"/>
    <w:rsid w:val="0075205E"/>
    <w:rsid w:val="007520BA"/>
    <w:rsid w:val="007523B5"/>
    <w:rsid w:val="00752409"/>
    <w:rsid w:val="007524E5"/>
    <w:rsid w:val="007524F5"/>
    <w:rsid w:val="007525C2"/>
    <w:rsid w:val="007525D9"/>
    <w:rsid w:val="007527F9"/>
    <w:rsid w:val="00752908"/>
    <w:rsid w:val="00752915"/>
    <w:rsid w:val="007529FE"/>
    <w:rsid w:val="00752D3B"/>
    <w:rsid w:val="00752DFB"/>
    <w:rsid w:val="00752E12"/>
    <w:rsid w:val="00752E2B"/>
    <w:rsid w:val="00752F7C"/>
    <w:rsid w:val="007533ED"/>
    <w:rsid w:val="00753590"/>
    <w:rsid w:val="0075368A"/>
    <w:rsid w:val="0075379B"/>
    <w:rsid w:val="00753886"/>
    <w:rsid w:val="00753B9D"/>
    <w:rsid w:val="00753D04"/>
    <w:rsid w:val="00753EA7"/>
    <w:rsid w:val="00754075"/>
    <w:rsid w:val="007540C4"/>
    <w:rsid w:val="007541E4"/>
    <w:rsid w:val="0075443A"/>
    <w:rsid w:val="007546BA"/>
    <w:rsid w:val="00754833"/>
    <w:rsid w:val="007548B6"/>
    <w:rsid w:val="0075499F"/>
    <w:rsid w:val="00754AE2"/>
    <w:rsid w:val="00754BA6"/>
    <w:rsid w:val="00754C6E"/>
    <w:rsid w:val="00754CE1"/>
    <w:rsid w:val="00754E00"/>
    <w:rsid w:val="00754FF0"/>
    <w:rsid w:val="00755063"/>
    <w:rsid w:val="00755096"/>
    <w:rsid w:val="0075526B"/>
    <w:rsid w:val="00755341"/>
    <w:rsid w:val="007553F7"/>
    <w:rsid w:val="00755719"/>
    <w:rsid w:val="00755B0A"/>
    <w:rsid w:val="00755C38"/>
    <w:rsid w:val="00755DB1"/>
    <w:rsid w:val="00755FE8"/>
    <w:rsid w:val="00756081"/>
    <w:rsid w:val="007562AD"/>
    <w:rsid w:val="00756393"/>
    <w:rsid w:val="007563A9"/>
    <w:rsid w:val="0075678D"/>
    <w:rsid w:val="00756807"/>
    <w:rsid w:val="00756903"/>
    <w:rsid w:val="00756CBC"/>
    <w:rsid w:val="00757155"/>
    <w:rsid w:val="00757186"/>
    <w:rsid w:val="0075719E"/>
    <w:rsid w:val="00757342"/>
    <w:rsid w:val="00757411"/>
    <w:rsid w:val="00757457"/>
    <w:rsid w:val="00757492"/>
    <w:rsid w:val="007575FE"/>
    <w:rsid w:val="00757683"/>
    <w:rsid w:val="00757A00"/>
    <w:rsid w:val="00757C23"/>
    <w:rsid w:val="00757C81"/>
    <w:rsid w:val="00757E12"/>
    <w:rsid w:val="00757F5B"/>
    <w:rsid w:val="00757FCB"/>
    <w:rsid w:val="007600F2"/>
    <w:rsid w:val="00760171"/>
    <w:rsid w:val="00760197"/>
    <w:rsid w:val="00760248"/>
    <w:rsid w:val="00760314"/>
    <w:rsid w:val="007604F3"/>
    <w:rsid w:val="00760697"/>
    <w:rsid w:val="0076084A"/>
    <w:rsid w:val="007608C8"/>
    <w:rsid w:val="00760C31"/>
    <w:rsid w:val="0076104A"/>
    <w:rsid w:val="00761140"/>
    <w:rsid w:val="0076116C"/>
    <w:rsid w:val="007612FB"/>
    <w:rsid w:val="00761447"/>
    <w:rsid w:val="0076158F"/>
    <w:rsid w:val="0076161E"/>
    <w:rsid w:val="00761783"/>
    <w:rsid w:val="007617E2"/>
    <w:rsid w:val="007617E7"/>
    <w:rsid w:val="007619B3"/>
    <w:rsid w:val="00761B3A"/>
    <w:rsid w:val="00761B7F"/>
    <w:rsid w:val="00761D39"/>
    <w:rsid w:val="007623CD"/>
    <w:rsid w:val="00762613"/>
    <w:rsid w:val="007629E5"/>
    <w:rsid w:val="00762B08"/>
    <w:rsid w:val="00762B37"/>
    <w:rsid w:val="00762DF9"/>
    <w:rsid w:val="00762FAE"/>
    <w:rsid w:val="00763284"/>
    <w:rsid w:val="0076331F"/>
    <w:rsid w:val="007633A3"/>
    <w:rsid w:val="007636B5"/>
    <w:rsid w:val="007636B7"/>
    <w:rsid w:val="00763848"/>
    <w:rsid w:val="00763A9B"/>
    <w:rsid w:val="00763D55"/>
    <w:rsid w:val="00763FE7"/>
    <w:rsid w:val="00764075"/>
    <w:rsid w:val="007640E8"/>
    <w:rsid w:val="00764182"/>
    <w:rsid w:val="0076420C"/>
    <w:rsid w:val="00764335"/>
    <w:rsid w:val="00764B1E"/>
    <w:rsid w:val="00764C09"/>
    <w:rsid w:val="00764C84"/>
    <w:rsid w:val="00764D11"/>
    <w:rsid w:val="00764FB9"/>
    <w:rsid w:val="00765004"/>
    <w:rsid w:val="0076517D"/>
    <w:rsid w:val="007651E8"/>
    <w:rsid w:val="0076536E"/>
    <w:rsid w:val="0076542F"/>
    <w:rsid w:val="00765460"/>
    <w:rsid w:val="00765526"/>
    <w:rsid w:val="00765585"/>
    <w:rsid w:val="007655D8"/>
    <w:rsid w:val="00765728"/>
    <w:rsid w:val="00765790"/>
    <w:rsid w:val="00765797"/>
    <w:rsid w:val="007657B8"/>
    <w:rsid w:val="007658A0"/>
    <w:rsid w:val="00765D11"/>
    <w:rsid w:val="00765D43"/>
    <w:rsid w:val="007661B3"/>
    <w:rsid w:val="007661CF"/>
    <w:rsid w:val="00766253"/>
    <w:rsid w:val="00766715"/>
    <w:rsid w:val="007669ED"/>
    <w:rsid w:val="00766A13"/>
    <w:rsid w:val="00766B71"/>
    <w:rsid w:val="00766C3D"/>
    <w:rsid w:val="00767195"/>
    <w:rsid w:val="00767239"/>
    <w:rsid w:val="00767806"/>
    <w:rsid w:val="007678A4"/>
    <w:rsid w:val="007678DE"/>
    <w:rsid w:val="0076799A"/>
    <w:rsid w:val="00767A17"/>
    <w:rsid w:val="00767BD0"/>
    <w:rsid w:val="00767FEF"/>
    <w:rsid w:val="007700C2"/>
    <w:rsid w:val="007701F1"/>
    <w:rsid w:val="00770426"/>
    <w:rsid w:val="007704BE"/>
    <w:rsid w:val="00770539"/>
    <w:rsid w:val="0077063E"/>
    <w:rsid w:val="00770841"/>
    <w:rsid w:val="007708D2"/>
    <w:rsid w:val="00770906"/>
    <w:rsid w:val="007709F0"/>
    <w:rsid w:val="00770B61"/>
    <w:rsid w:val="00770D38"/>
    <w:rsid w:val="00770DC6"/>
    <w:rsid w:val="00771114"/>
    <w:rsid w:val="007712E4"/>
    <w:rsid w:val="007713F6"/>
    <w:rsid w:val="0077160E"/>
    <w:rsid w:val="00771A53"/>
    <w:rsid w:val="00771DDC"/>
    <w:rsid w:val="00771F68"/>
    <w:rsid w:val="00772041"/>
    <w:rsid w:val="007720F4"/>
    <w:rsid w:val="007721C7"/>
    <w:rsid w:val="00772644"/>
    <w:rsid w:val="007727C0"/>
    <w:rsid w:val="00772C4F"/>
    <w:rsid w:val="00772D96"/>
    <w:rsid w:val="00772E20"/>
    <w:rsid w:val="00772E9A"/>
    <w:rsid w:val="00772F20"/>
    <w:rsid w:val="00772FC3"/>
    <w:rsid w:val="0077323B"/>
    <w:rsid w:val="00773466"/>
    <w:rsid w:val="007737E2"/>
    <w:rsid w:val="00773A79"/>
    <w:rsid w:val="00773DE4"/>
    <w:rsid w:val="00773E0A"/>
    <w:rsid w:val="00773EFD"/>
    <w:rsid w:val="007741D6"/>
    <w:rsid w:val="007741FE"/>
    <w:rsid w:val="0077455E"/>
    <w:rsid w:val="00774B13"/>
    <w:rsid w:val="00774C73"/>
    <w:rsid w:val="00774D4E"/>
    <w:rsid w:val="00774D8D"/>
    <w:rsid w:val="00774DC9"/>
    <w:rsid w:val="00775412"/>
    <w:rsid w:val="0077550A"/>
    <w:rsid w:val="00775645"/>
    <w:rsid w:val="00775708"/>
    <w:rsid w:val="007757AF"/>
    <w:rsid w:val="00775B14"/>
    <w:rsid w:val="00775DCE"/>
    <w:rsid w:val="007761F3"/>
    <w:rsid w:val="00776333"/>
    <w:rsid w:val="007763F5"/>
    <w:rsid w:val="0077648F"/>
    <w:rsid w:val="007765BE"/>
    <w:rsid w:val="00776668"/>
    <w:rsid w:val="00776845"/>
    <w:rsid w:val="00776A73"/>
    <w:rsid w:val="00776DCB"/>
    <w:rsid w:val="00776E75"/>
    <w:rsid w:val="007773D0"/>
    <w:rsid w:val="00777405"/>
    <w:rsid w:val="0077752B"/>
    <w:rsid w:val="00777604"/>
    <w:rsid w:val="007779BE"/>
    <w:rsid w:val="007779C3"/>
    <w:rsid w:val="00777B70"/>
    <w:rsid w:val="00777BBA"/>
    <w:rsid w:val="00777CA2"/>
    <w:rsid w:val="00777DE8"/>
    <w:rsid w:val="00777E8E"/>
    <w:rsid w:val="00777ECB"/>
    <w:rsid w:val="00780170"/>
    <w:rsid w:val="00780295"/>
    <w:rsid w:val="00780425"/>
    <w:rsid w:val="007805D4"/>
    <w:rsid w:val="007806DD"/>
    <w:rsid w:val="007806EC"/>
    <w:rsid w:val="007806F1"/>
    <w:rsid w:val="00780776"/>
    <w:rsid w:val="0078080F"/>
    <w:rsid w:val="00780846"/>
    <w:rsid w:val="00780BA9"/>
    <w:rsid w:val="00780D63"/>
    <w:rsid w:val="00780D87"/>
    <w:rsid w:val="00780EAB"/>
    <w:rsid w:val="00780EBF"/>
    <w:rsid w:val="00781081"/>
    <w:rsid w:val="007811BD"/>
    <w:rsid w:val="00781276"/>
    <w:rsid w:val="0078136A"/>
    <w:rsid w:val="007813F5"/>
    <w:rsid w:val="007814A2"/>
    <w:rsid w:val="007814F2"/>
    <w:rsid w:val="007816F8"/>
    <w:rsid w:val="00781779"/>
    <w:rsid w:val="007817B2"/>
    <w:rsid w:val="0078190A"/>
    <w:rsid w:val="00781920"/>
    <w:rsid w:val="00781B79"/>
    <w:rsid w:val="00781C81"/>
    <w:rsid w:val="00782091"/>
    <w:rsid w:val="007820EE"/>
    <w:rsid w:val="0078210E"/>
    <w:rsid w:val="007821A3"/>
    <w:rsid w:val="00782498"/>
    <w:rsid w:val="00782546"/>
    <w:rsid w:val="0078259E"/>
    <w:rsid w:val="00782758"/>
    <w:rsid w:val="0078278B"/>
    <w:rsid w:val="00782993"/>
    <w:rsid w:val="00782A3D"/>
    <w:rsid w:val="00782CEB"/>
    <w:rsid w:val="00782D77"/>
    <w:rsid w:val="00782D96"/>
    <w:rsid w:val="00782E52"/>
    <w:rsid w:val="00782E75"/>
    <w:rsid w:val="00782F34"/>
    <w:rsid w:val="00783076"/>
    <w:rsid w:val="0078329D"/>
    <w:rsid w:val="00783657"/>
    <w:rsid w:val="007836FE"/>
    <w:rsid w:val="0078381D"/>
    <w:rsid w:val="0078391A"/>
    <w:rsid w:val="007839B2"/>
    <w:rsid w:val="00783B51"/>
    <w:rsid w:val="00783F54"/>
    <w:rsid w:val="00783F99"/>
    <w:rsid w:val="0078409E"/>
    <w:rsid w:val="0078435E"/>
    <w:rsid w:val="007844F1"/>
    <w:rsid w:val="007845F8"/>
    <w:rsid w:val="0078474C"/>
    <w:rsid w:val="007847BF"/>
    <w:rsid w:val="007847EC"/>
    <w:rsid w:val="0078496B"/>
    <w:rsid w:val="007849EB"/>
    <w:rsid w:val="007849F4"/>
    <w:rsid w:val="00784C02"/>
    <w:rsid w:val="00784CDD"/>
    <w:rsid w:val="00784F77"/>
    <w:rsid w:val="007850D4"/>
    <w:rsid w:val="0078560E"/>
    <w:rsid w:val="00785775"/>
    <w:rsid w:val="00785CFD"/>
    <w:rsid w:val="00785E93"/>
    <w:rsid w:val="00785FD5"/>
    <w:rsid w:val="0078602F"/>
    <w:rsid w:val="00786044"/>
    <w:rsid w:val="0078636E"/>
    <w:rsid w:val="00786560"/>
    <w:rsid w:val="007865E2"/>
    <w:rsid w:val="007866C6"/>
    <w:rsid w:val="00786808"/>
    <w:rsid w:val="00786A98"/>
    <w:rsid w:val="00786BFA"/>
    <w:rsid w:val="00786DF4"/>
    <w:rsid w:val="00786DFE"/>
    <w:rsid w:val="00786FBB"/>
    <w:rsid w:val="0078717E"/>
    <w:rsid w:val="00787532"/>
    <w:rsid w:val="007876A7"/>
    <w:rsid w:val="0078790F"/>
    <w:rsid w:val="00787946"/>
    <w:rsid w:val="00787C11"/>
    <w:rsid w:val="00787C8B"/>
    <w:rsid w:val="00787D14"/>
    <w:rsid w:val="00787DBE"/>
    <w:rsid w:val="0079022F"/>
    <w:rsid w:val="0079059D"/>
    <w:rsid w:val="007907D7"/>
    <w:rsid w:val="007908C2"/>
    <w:rsid w:val="00790958"/>
    <w:rsid w:val="00790C6B"/>
    <w:rsid w:val="00790D67"/>
    <w:rsid w:val="00790E1E"/>
    <w:rsid w:val="00791058"/>
    <w:rsid w:val="0079134A"/>
    <w:rsid w:val="007914A9"/>
    <w:rsid w:val="00791600"/>
    <w:rsid w:val="00791662"/>
    <w:rsid w:val="00791697"/>
    <w:rsid w:val="0079179D"/>
    <w:rsid w:val="00791862"/>
    <w:rsid w:val="00791C32"/>
    <w:rsid w:val="00791C8F"/>
    <w:rsid w:val="007924E1"/>
    <w:rsid w:val="00792752"/>
    <w:rsid w:val="00792840"/>
    <w:rsid w:val="0079291D"/>
    <w:rsid w:val="00792B56"/>
    <w:rsid w:val="00792BFC"/>
    <w:rsid w:val="00792EE4"/>
    <w:rsid w:val="007931E1"/>
    <w:rsid w:val="00793215"/>
    <w:rsid w:val="00793590"/>
    <w:rsid w:val="007937E7"/>
    <w:rsid w:val="00793C1B"/>
    <w:rsid w:val="00793C2C"/>
    <w:rsid w:val="0079409B"/>
    <w:rsid w:val="00794131"/>
    <w:rsid w:val="007943E5"/>
    <w:rsid w:val="00794467"/>
    <w:rsid w:val="007944C8"/>
    <w:rsid w:val="007944D2"/>
    <w:rsid w:val="00794568"/>
    <w:rsid w:val="00794827"/>
    <w:rsid w:val="0079485B"/>
    <w:rsid w:val="00794870"/>
    <w:rsid w:val="007948CE"/>
    <w:rsid w:val="00794A2D"/>
    <w:rsid w:val="00794DD4"/>
    <w:rsid w:val="007951E3"/>
    <w:rsid w:val="007952B9"/>
    <w:rsid w:val="00795322"/>
    <w:rsid w:val="007953C9"/>
    <w:rsid w:val="007953F2"/>
    <w:rsid w:val="00795595"/>
    <w:rsid w:val="007956C3"/>
    <w:rsid w:val="00795B93"/>
    <w:rsid w:val="0079600A"/>
    <w:rsid w:val="00796051"/>
    <w:rsid w:val="007961DA"/>
    <w:rsid w:val="00796505"/>
    <w:rsid w:val="00796C07"/>
    <w:rsid w:val="00797141"/>
    <w:rsid w:val="007971A1"/>
    <w:rsid w:val="00797296"/>
    <w:rsid w:val="0079732A"/>
    <w:rsid w:val="00797341"/>
    <w:rsid w:val="00797730"/>
    <w:rsid w:val="007977B0"/>
    <w:rsid w:val="007977B3"/>
    <w:rsid w:val="00797805"/>
    <w:rsid w:val="007978C4"/>
    <w:rsid w:val="00797B3C"/>
    <w:rsid w:val="00797B4C"/>
    <w:rsid w:val="00797B67"/>
    <w:rsid w:val="00797C1C"/>
    <w:rsid w:val="00797CB4"/>
    <w:rsid w:val="00797D28"/>
    <w:rsid w:val="00797DEB"/>
    <w:rsid w:val="00797DF8"/>
    <w:rsid w:val="00797FD9"/>
    <w:rsid w:val="007A0159"/>
    <w:rsid w:val="007A04E5"/>
    <w:rsid w:val="007A0576"/>
    <w:rsid w:val="007A058A"/>
    <w:rsid w:val="007A07E6"/>
    <w:rsid w:val="007A087A"/>
    <w:rsid w:val="007A0D5F"/>
    <w:rsid w:val="007A0D76"/>
    <w:rsid w:val="007A0D88"/>
    <w:rsid w:val="007A0E77"/>
    <w:rsid w:val="007A0FC3"/>
    <w:rsid w:val="007A1013"/>
    <w:rsid w:val="007A11CE"/>
    <w:rsid w:val="007A13AB"/>
    <w:rsid w:val="007A1708"/>
    <w:rsid w:val="007A1821"/>
    <w:rsid w:val="007A182F"/>
    <w:rsid w:val="007A185B"/>
    <w:rsid w:val="007A195C"/>
    <w:rsid w:val="007A19CD"/>
    <w:rsid w:val="007A1A52"/>
    <w:rsid w:val="007A1AF1"/>
    <w:rsid w:val="007A1C66"/>
    <w:rsid w:val="007A1DF8"/>
    <w:rsid w:val="007A1E4D"/>
    <w:rsid w:val="007A2029"/>
    <w:rsid w:val="007A2088"/>
    <w:rsid w:val="007A21AE"/>
    <w:rsid w:val="007A271F"/>
    <w:rsid w:val="007A2B64"/>
    <w:rsid w:val="007A2D22"/>
    <w:rsid w:val="007A2D5B"/>
    <w:rsid w:val="007A30E4"/>
    <w:rsid w:val="007A322A"/>
    <w:rsid w:val="007A3335"/>
    <w:rsid w:val="007A345E"/>
    <w:rsid w:val="007A36DA"/>
    <w:rsid w:val="007A3705"/>
    <w:rsid w:val="007A3ECA"/>
    <w:rsid w:val="007A3F34"/>
    <w:rsid w:val="007A3F7C"/>
    <w:rsid w:val="007A41C8"/>
    <w:rsid w:val="007A4257"/>
    <w:rsid w:val="007A42CF"/>
    <w:rsid w:val="007A4884"/>
    <w:rsid w:val="007A4916"/>
    <w:rsid w:val="007A4AA6"/>
    <w:rsid w:val="007A4BC0"/>
    <w:rsid w:val="007A4E2B"/>
    <w:rsid w:val="007A4EBB"/>
    <w:rsid w:val="007A508E"/>
    <w:rsid w:val="007A50E3"/>
    <w:rsid w:val="007A52EA"/>
    <w:rsid w:val="007A5392"/>
    <w:rsid w:val="007A53AC"/>
    <w:rsid w:val="007A574C"/>
    <w:rsid w:val="007A5758"/>
    <w:rsid w:val="007A5761"/>
    <w:rsid w:val="007A5860"/>
    <w:rsid w:val="007A587C"/>
    <w:rsid w:val="007A5B25"/>
    <w:rsid w:val="007A5D9A"/>
    <w:rsid w:val="007A5E00"/>
    <w:rsid w:val="007A5FC9"/>
    <w:rsid w:val="007A5FE1"/>
    <w:rsid w:val="007A609C"/>
    <w:rsid w:val="007A61E4"/>
    <w:rsid w:val="007A637B"/>
    <w:rsid w:val="007A6634"/>
    <w:rsid w:val="007A668E"/>
    <w:rsid w:val="007A66C3"/>
    <w:rsid w:val="007A6AA0"/>
    <w:rsid w:val="007A6C2B"/>
    <w:rsid w:val="007A6F4F"/>
    <w:rsid w:val="007A714C"/>
    <w:rsid w:val="007A724B"/>
    <w:rsid w:val="007A73C5"/>
    <w:rsid w:val="007A743B"/>
    <w:rsid w:val="007A7518"/>
    <w:rsid w:val="007A76B6"/>
    <w:rsid w:val="007A7B54"/>
    <w:rsid w:val="007A7BFA"/>
    <w:rsid w:val="007A7D4E"/>
    <w:rsid w:val="007A7E68"/>
    <w:rsid w:val="007B0285"/>
    <w:rsid w:val="007B0556"/>
    <w:rsid w:val="007B058D"/>
    <w:rsid w:val="007B080C"/>
    <w:rsid w:val="007B0AB7"/>
    <w:rsid w:val="007B0B04"/>
    <w:rsid w:val="007B0B89"/>
    <w:rsid w:val="007B0BFA"/>
    <w:rsid w:val="007B0D74"/>
    <w:rsid w:val="007B114C"/>
    <w:rsid w:val="007B1246"/>
    <w:rsid w:val="007B12BB"/>
    <w:rsid w:val="007B1306"/>
    <w:rsid w:val="007B1475"/>
    <w:rsid w:val="007B1517"/>
    <w:rsid w:val="007B162F"/>
    <w:rsid w:val="007B165A"/>
    <w:rsid w:val="007B16F9"/>
    <w:rsid w:val="007B18D2"/>
    <w:rsid w:val="007B194B"/>
    <w:rsid w:val="007B19CE"/>
    <w:rsid w:val="007B1ABD"/>
    <w:rsid w:val="007B1B80"/>
    <w:rsid w:val="007B20F8"/>
    <w:rsid w:val="007B2129"/>
    <w:rsid w:val="007B23F8"/>
    <w:rsid w:val="007B2483"/>
    <w:rsid w:val="007B25ED"/>
    <w:rsid w:val="007B289B"/>
    <w:rsid w:val="007B2E63"/>
    <w:rsid w:val="007B2E77"/>
    <w:rsid w:val="007B30ED"/>
    <w:rsid w:val="007B3AA6"/>
    <w:rsid w:val="007B3CB8"/>
    <w:rsid w:val="007B3EF1"/>
    <w:rsid w:val="007B3FA3"/>
    <w:rsid w:val="007B422B"/>
    <w:rsid w:val="007B42E2"/>
    <w:rsid w:val="007B4819"/>
    <w:rsid w:val="007B4ADB"/>
    <w:rsid w:val="007B4AF5"/>
    <w:rsid w:val="007B4C76"/>
    <w:rsid w:val="007B4E9A"/>
    <w:rsid w:val="007B4F78"/>
    <w:rsid w:val="007B50C1"/>
    <w:rsid w:val="007B52B3"/>
    <w:rsid w:val="007B52B6"/>
    <w:rsid w:val="007B53B0"/>
    <w:rsid w:val="007B54EF"/>
    <w:rsid w:val="007B556B"/>
    <w:rsid w:val="007B556C"/>
    <w:rsid w:val="007B563A"/>
    <w:rsid w:val="007B5B72"/>
    <w:rsid w:val="007B5BE8"/>
    <w:rsid w:val="007B5C70"/>
    <w:rsid w:val="007B5C7A"/>
    <w:rsid w:val="007B5DC6"/>
    <w:rsid w:val="007B5DE0"/>
    <w:rsid w:val="007B621F"/>
    <w:rsid w:val="007B6326"/>
    <w:rsid w:val="007B64AC"/>
    <w:rsid w:val="007B66EE"/>
    <w:rsid w:val="007B6B70"/>
    <w:rsid w:val="007B7002"/>
    <w:rsid w:val="007B72E6"/>
    <w:rsid w:val="007B7441"/>
    <w:rsid w:val="007B752A"/>
    <w:rsid w:val="007B7693"/>
    <w:rsid w:val="007B77B2"/>
    <w:rsid w:val="007B7AD6"/>
    <w:rsid w:val="007B7C84"/>
    <w:rsid w:val="007B7D49"/>
    <w:rsid w:val="007B7D81"/>
    <w:rsid w:val="007B7F1A"/>
    <w:rsid w:val="007C00B8"/>
    <w:rsid w:val="007C0363"/>
    <w:rsid w:val="007C04C0"/>
    <w:rsid w:val="007C04C7"/>
    <w:rsid w:val="007C0689"/>
    <w:rsid w:val="007C0779"/>
    <w:rsid w:val="007C07B0"/>
    <w:rsid w:val="007C08DC"/>
    <w:rsid w:val="007C08E7"/>
    <w:rsid w:val="007C091B"/>
    <w:rsid w:val="007C0CC4"/>
    <w:rsid w:val="007C0DEB"/>
    <w:rsid w:val="007C0E4B"/>
    <w:rsid w:val="007C0E5E"/>
    <w:rsid w:val="007C0FC7"/>
    <w:rsid w:val="007C101F"/>
    <w:rsid w:val="007C13D8"/>
    <w:rsid w:val="007C14A9"/>
    <w:rsid w:val="007C1540"/>
    <w:rsid w:val="007C155B"/>
    <w:rsid w:val="007C1620"/>
    <w:rsid w:val="007C1917"/>
    <w:rsid w:val="007C1945"/>
    <w:rsid w:val="007C19B6"/>
    <w:rsid w:val="007C1A2D"/>
    <w:rsid w:val="007C1C21"/>
    <w:rsid w:val="007C1D48"/>
    <w:rsid w:val="007C1F29"/>
    <w:rsid w:val="007C1F6B"/>
    <w:rsid w:val="007C212D"/>
    <w:rsid w:val="007C2169"/>
    <w:rsid w:val="007C2185"/>
    <w:rsid w:val="007C2215"/>
    <w:rsid w:val="007C2A72"/>
    <w:rsid w:val="007C2FEC"/>
    <w:rsid w:val="007C3036"/>
    <w:rsid w:val="007C32D3"/>
    <w:rsid w:val="007C33E0"/>
    <w:rsid w:val="007C3501"/>
    <w:rsid w:val="007C3502"/>
    <w:rsid w:val="007C3853"/>
    <w:rsid w:val="007C387B"/>
    <w:rsid w:val="007C3AF6"/>
    <w:rsid w:val="007C3CFC"/>
    <w:rsid w:val="007C3E0C"/>
    <w:rsid w:val="007C3E10"/>
    <w:rsid w:val="007C3E6B"/>
    <w:rsid w:val="007C3F37"/>
    <w:rsid w:val="007C3F85"/>
    <w:rsid w:val="007C3FA5"/>
    <w:rsid w:val="007C41D9"/>
    <w:rsid w:val="007C41F6"/>
    <w:rsid w:val="007C42C0"/>
    <w:rsid w:val="007C46C2"/>
    <w:rsid w:val="007C47A6"/>
    <w:rsid w:val="007C49CA"/>
    <w:rsid w:val="007C4C81"/>
    <w:rsid w:val="007C4C98"/>
    <w:rsid w:val="007C4D8F"/>
    <w:rsid w:val="007C4DB0"/>
    <w:rsid w:val="007C5031"/>
    <w:rsid w:val="007C5099"/>
    <w:rsid w:val="007C531A"/>
    <w:rsid w:val="007C53A1"/>
    <w:rsid w:val="007C53B1"/>
    <w:rsid w:val="007C553A"/>
    <w:rsid w:val="007C592E"/>
    <w:rsid w:val="007C5945"/>
    <w:rsid w:val="007C5AF4"/>
    <w:rsid w:val="007C5C90"/>
    <w:rsid w:val="007C5D58"/>
    <w:rsid w:val="007C6219"/>
    <w:rsid w:val="007C6749"/>
    <w:rsid w:val="007C674B"/>
    <w:rsid w:val="007C6D1F"/>
    <w:rsid w:val="007C6EBB"/>
    <w:rsid w:val="007C6FBE"/>
    <w:rsid w:val="007C7034"/>
    <w:rsid w:val="007C719A"/>
    <w:rsid w:val="007C73A6"/>
    <w:rsid w:val="007C7488"/>
    <w:rsid w:val="007C7571"/>
    <w:rsid w:val="007C76DD"/>
    <w:rsid w:val="007C76F2"/>
    <w:rsid w:val="007C771C"/>
    <w:rsid w:val="007C791B"/>
    <w:rsid w:val="007C7A74"/>
    <w:rsid w:val="007C7C91"/>
    <w:rsid w:val="007C7D97"/>
    <w:rsid w:val="007C7DFF"/>
    <w:rsid w:val="007C7FAB"/>
    <w:rsid w:val="007D0019"/>
    <w:rsid w:val="007D02D9"/>
    <w:rsid w:val="007D08AC"/>
    <w:rsid w:val="007D092D"/>
    <w:rsid w:val="007D0AFC"/>
    <w:rsid w:val="007D0CAA"/>
    <w:rsid w:val="007D0D2F"/>
    <w:rsid w:val="007D0DB5"/>
    <w:rsid w:val="007D0EBD"/>
    <w:rsid w:val="007D17C8"/>
    <w:rsid w:val="007D193B"/>
    <w:rsid w:val="007D1BA7"/>
    <w:rsid w:val="007D1C07"/>
    <w:rsid w:val="007D1D11"/>
    <w:rsid w:val="007D1DE4"/>
    <w:rsid w:val="007D1E27"/>
    <w:rsid w:val="007D1EA9"/>
    <w:rsid w:val="007D249B"/>
    <w:rsid w:val="007D2800"/>
    <w:rsid w:val="007D2CB0"/>
    <w:rsid w:val="007D2D1C"/>
    <w:rsid w:val="007D2E9C"/>
    <w:rsid w:val="007D3020"/>
    <w:rsid w:val="007D30BD"/>
    <w:rsid w:val="007D30E5"/>
    <w:rsid w:val="007D31B4"/>
    <w:rsid w:val="007D3327"/>
    <w:rsid w:val="007D3641"/>
    <w:rsid w:val="007D3665"/>
    <w:rsid w:val="007D3957"/>
    <w:rsid w:val="007D3A7A"/>
    <w:rsid w:val="007D3E75"/>
    <w:rsid w:val="007D43E1"/>
    <w:rsid w:val="007D44DA"/>
    <w:rsid w:val="007D44E1"/>
    <w:rsid w:val="007D45AC"/>
    <w:rsid w:val="007D4910"/>
    <w:rsid w:val="007D494A"/>
    <w:rsid w:val="007D49F9"/>
    <w:rsid w:val="007D4C74"/>
    <w:rsid w:val="007D4F03"/>
    <w:rsid w:val="007D50CD"/>
    <w:rsid w:val="007D5487"/>
    <w:rsid w:val="007D54F8"/>
    <w:rsid w:val="007D55F7"/>
    <w:rsid w:val="007D578F"/>
    <w:rsid w:val="007D5873"/>
    <w:rsid w:val="007D58A1"/>
    <w:rsid w:val="007D5EB3"/>
    <w:rsid w:val="007D62BC"/>
    <w:rsid w:val="007D646A"/>
    <w:rsid w:val="007D646B"/>
    <w:rsid w:val="007D65CD"/>
    <w:rsid w:val="007D69A6"/>
    <w:rsid w:val="007D6DBD"/>
    <w:rsid w:val="007D6DF2"/>
    <w:rsid w:val="007D6E54"/>
    <w:rsid w:val="007D6EF5"/>
    <w:rsid w:val="007D702B"/>
    <w:rsid w:val="007D7157"/>
    <w:rsid w:val="007D732C"/>
    <w:rsid w:val="007D7887"/>
    <w:rsid w:val="007E0096"/>
    <w:rsid w:val="007E00BA"/>
    <w:rsid w:val="007E022B"/>
    <w:rsid w:val="007E038F"/>
    <w:rsid w:val="007E04CF"/>
    <w:rsid w:val="007E0B88"/>
    <w:rsid w:val="007E0EC5"/>
    <w:rsid w:val="007E1005"/>
    <w:rsid w:val="007E1075"/>
    <w:rsid w:val="007E1088"/>
    <w:rsid w:val="007E1432"/>
    <w:rsid w:val="007E146E"/>
    <w:rsid w:val="007E15C2"/>
    <w:rsid w:val="007E164F"/>
    <w:rsid w:val="007E192F"/>
    <w:rsid w:val="007E193B"/>
    <w:rsid w:val="007E1943"/>
    <w:rsid w:val="007E1A48"/>
    <w:rsid w:val="007E1C7E"/>
    <w:rsid w:val="007E1E8C"/>
    <w:rsid w:val="007E1EDE"/>
    <w:rsid w:val="007E1FCC"/>
    <w:rsid w:val="007E2374"/>
    <w:rsid w:val="007E25E3"/>
    <w:rsid w:val="007E261D"/>
    <w:rsid w:val="007E27C2"/>
    <w:rsid w:val="007E2832"/>
    <w:rsid w:val="007E332C"/>
    <w:rsid w:val="007E3465"/>
    <w:rsid w:val="007E34ED"/>
    <w:rsid w:val="007E39CD"/>
    <w:rsid w:val="007E3FCA"/>
    <w:rsid w:val="007E42C5"/>
    <w:rsid w:val="007E45BB"/>
    <w:rsid w:val="007E4793"/>
    <w:rsid w:val="007E4A5C"/>
    <w:rsid w:val="007E4D11"/>
    <w:rsid w:val="007E4DA3"/>
    <w:rsid w:val="007E4DFC"/>
    <w:rsid w:val="007E5450"/>
    <w:rsid w:val="007E5753"/>
    <w:rsid w:val="007E5850"/>
    <w:rsid w:val="007E5890"/>
    <w:rsid w:val="007E5D37"/>
    <w:rsid w:val="007E5D95"/>
    <w:rsid w:val="007E5EDC"/>
    <w:rsid w:val="007E5EF2"/>
    <w:rsid w:val="007E60E1"/>
    <w:rsid w:val="007E653B"/>
    <w:rsid w:val="007E669A"/>
    <w:rsid w:val="007E6A27"/>
    <w:rsid w:val="007E6AAA"/>
    <w:rsid w:val="007E6CF3"/>
    <w:rsid w:val="007E6E9F"/>
    <w:rsid w:val="007E6F74"/>
    <w:rsid w:val="007E7653"/>
    <w:rsid w:val="007E76BC"/>
    <w:rsid w:val="007E7715"/>
    <w:rsid w:val="007E77C8"/>
    <w:rsid w:val="007E782E"/>
    <w:rsid w:val="007E7BFC"/>
    <w:rsid w:val="007E7C68"/>
    <w:rsid w:val="007E7C81"/>
    <w:rsid w:val="007E7D7D"/>
    <w:rsid w:val="007F0035"/>
    <w:rsid w:val="007F0519"/>
    <w:rsid w:val="007F0667"/>
    <w:rsid w:val="007F0800"/>
    <w:rsid w:val="007F08DD"/>
    <w:rsid w:val="007F09FA"/>
    <w:rsid w:val="007F0BB8"/>
    <w:rsid w:val="007F0CAA"/>
    <w:rsid w:val="007F0D06"/>
    <w:rsid w:val="007F0D26"/>
    <w:rsid w:val="007F0E9F"/>
    <w:rsid w:val="007F11A0"/>
    <w:rsid w:val="007F12DD"/>
    <w:rsid w:val="007F192A"/>
    <w:rsid w:val="007F1B1D"/>
    <w:rsid w:val="007F1C72"/>
    <w:rsid w:val="007F1CA6"/>
    <w:rsid w:val="007F1DD9"/>
    <w:rsid w:val="007F1EE8"/>
    <w:rsid w:val="007F1FB5"/>
    <w:rsid w:val="007F1FEF"/>
    <w:rsid w:val="007F2130"/>
    <w:rsid w:val="007F21B1"/>
    <w:rsid w:val="007F2248"/>
    <w:rsid w:val="007F22C0"/>
    <w:rsid w:val="007F233E"/>
    <w:rsid w:val="007F23DF"/>
    <w:rsid w:val="007F247C"/>
    <w:rsid w:val="007F24E0"/>
    <w:rsid w:val="007F2744"/>
    <w:rsid w:val="007F2758"/>
    <w:rsid w:val="007F27A4"/>
    <w:rsid w:val="007F290B"/>
    <w:rsid w:val="007F2BEF"/>
    <w:rsid w:val="007F2D01"/>
    <w:rsid w:val="007F2E1C"/>
    <w:rsid w:val="007F2F63"/>
    <w:rsid w:val="007F31FF"/>
    <w:rsid w:val="007F32CD"/>
    <w:rsid w:val="007F3394"/>
    <w:rsid w:val="007F346D"/>
    <w:rsid w:val="007F34FC"/>
    <w:rsid w:val="007F3542"/>
    <w:rsid w:val="007F35D0"/>
    <w:rsid w:val="007F36DF"/>
    <w:rsid w:val="007F3776"/>
    <w:rsid w:val="007F3A2E"/>
    <w:rsid w:val="007F3CB6"/>
    <w:rsid w:val="007F3E83"/>
    <w:rsid w:val="007F40C4"/>
    <w:rsid w:val="007F4109"/>
    <w:rsid w:val="007F422D"/>
    <w:rsid w:val="007F43ED"/>
    <w:rsid w:val="007F449F"/>
    <w:rsid w:val="007F550E"/>
    <w:rsid w:val="007F5AF2"/>
    <w:rsid w:val="007F5BBA"/>
    <w:rsid w:val="007F5C17"/>
    <w:rsid w:val="007F5CD1"/>
    <w:rsid w:val="007F5FF3"/>
    <w:rsid w:val="007F608E"/>
    <w:rsid w:val="007F609A"/>
    <w:rsid w:val="007F61D8"/>
    <w:rsid w:val="007F6374"/>
    <w:rsid w:val="007F639B"/>
    <w:rsid w:val="007F680A"/>
    <w:rsid w:val="007F6AA0"/>
    <w:rsid w:val="007F6B01"/>
    <w:rsid w:val="007F6B79"/>
    <w:rsid w:val="007F6BF3"/>
    <w:rsid w:val="007F6C47"/>
    <w:rsid w:val="007F6D21"/>
    <w:rsid w:val="007F6DBC"/>
    <w:rsid w:val="007F6E25"/>
    <w:rsid w:val="007F6F3A"/>
    <w:rsid w:val="007F7039"/>
    <w:rsid w:val="007F738D"/>
    <w:rsid w:val="007F7428"/>
    <w:rsid w:val="007F74FE"/>
    <w:rsid w:val="007F756D"/>
    <w:rsid w:val="007F7649"/>
    <w:rsid w:val="007F773E"/>
    <w:rsid w:val="007F7765"/>
    <w:rsid w:val="007F791C"/>
    <w:rsid w:val="007F7B3F"/>
    <w:rsid w:val="007F7D85"/>
    <w:rsid w:val="007F7F82"/>
    <w:rsid w:val="008001A4"/>
    <w:rsid w:val="00800304"/>
    <w:rsid w:val="0080040E"/>
    <w:rsid w:val="00800450"/>
    <w:rsid w:val="00800612"/>
    <w:rsid w:val="00800614"/>
    <w:rsid w:val="00800918"/>
    <w:rsid w:val="00800CC0"/>
    <w:rsid w:val="00800CD6"/>
    <w:rsid w:val="00800EED"/>
    <w:rsid w:val="00801492"/>
    <w:rsid w:val="00801743"/>
    <w:rsid w:val="008017F6"/>
    <w:rsid w:val="00801942"/>
    <w:rsid w:val="00801995"/>
    <w:rsid w:val="0080199D"/>
    <w:rsid w:val="00801DE0"/>
    <w:rsid w:val="00801EF8"/>
    <w:rsid w:val="008020A7"/>
    <w:rsid w:val="00802186"/>
    <w:rsid w:val="008026E4"/>
    <w:rsid w:val="008028D3"/>
    <w:rsid w:val="008029B7"/>
    <w:rsid w:val="00802A68"/>
    <w:rsid w:val="00802CF1"/>
    <w:rsid w:val="00802EA5"/>
    <w:rsid w:val="00803221"/>
    <w:rsid w:val="00803484"/>
    <w:rsid w:val="0080376A"/>
    <w:rsid w:val="008038E0"/>
    <w:rsid w:val="0080395A"/>
    <w:rsid w:val="00803990"/>
    <w:rsid w:val="00803BD5"/>
    <w:rsid w:val="00803CAF"/>
    <w:rsid w:val="00803EA9"/>
    <w:rsid w:val="00803F4F"/>
    <w:rsid w:val="00804035"/>
    <w:rsid w:val="00804120"/>
    <w:rsid w:val="00804150"/>
    <w:rsid w:val="008045D8"/>
    <w:rsid w:val="008049AB"/>
    <w:rsid w:val="00804D48"/>
    <w:rsid w:val="00804E1B"/>
    <w:rsid w:val="00804EBD"/>
    <w:rsid w:val="00804F36"/>
    <w:rsid w:val="00805189"/>
    <w:rsid w:val="0080518B"/>
    <w:rsid w:val="008052A1"/>
    <w:rsid w:val="00805399"/>
    <w:rsid w:val="0080566D"/>
    <w:rsid w:val="00805961"/>
    <w:rsid w:val="00805CB6"/>
    <w:rsid w:val="00805DA5"/>
    <w:rsid w:val="00806489"/>
    <w:rsid w:val="008064E4"/>
    <w:rsid w:val="00806802"/>
    <w:rsid w:val="0080681B"/>
    <w:rsid w:val="00806E58"/>
    <w:rsid w:val="008070BB"/>
    <w:rsid w:val="008071F3"/>
    <w:rsid w:val="00807413"/>
    <w:rsid w:val="00807585"/>
    <w:rsid w:val="008076DE"/>
    <w:rsid w:val="00807718"/>
    <w:rsid w:val="00807802"/>
    <w:rsid w:val="00807B1F"/>
    <w:rsid w:val="00807D0B"/>
    <w:rsid w:val="00807D60"/>
    <w:rsid w:val="00807D82"/>
    <w:rsid w:val="00810165"/>
    <w:rsid w:val="008101D8"/>
    <w:rsid w:val="00810229"/>
    <w:rsid w:val="008103B4"/>
    <w:rsid w:val="008105F2"/>
    <w:rsid w:val="0081083C"/>
    <w:rsid w:val="0081086A"/>
    <w:rsid w:val="00810BD4"/>
    <w:rsid w:val="00810C6B"/>
    <w:rsid w:val="00810D18"/>
    <w:rsid w:val="00810D3F"/>
    <w:rsid w:val="0081103F"/>
    <w:rsid w:val="0081124C"/>
    <w:rsid w:val="0081144F"/>
    <w:rsid w:val="0081159B"/>
    <w:rsid w:val="00811669"/>
    <w:rsid w:val="00811884"/>
    <w:rsid w:val="00811961"/>
    <w:rsid w:val="008119AA"/>
    <w:rsid w:val="00811BAB"/>
    <w:rsid w:val="00811C20"/>
    <w:rsid w:val="00811D91"/>
    <w:rsid w:val="00811DDA"/>
    <w:rsid w:val="00811E7B"/>
    <w:rsid w:val="00811E7C"/>
    <w:rsid w:val="008121F9"/>
    <w:rsid w:val="008122E6"/>
    <w:rsid w:val="0081255D"/>
    <w:rsid w:val="0081264A"/>
    <w:rsid w:val="00812707"/>
    <w:rsid w:val="0081278C"/>
    <w:rsid w:val="00812796"/>
    <w:rsid w:val="00812908"/>
    <w:rsid w:val="00812A03"/>
    <w:rsid w:val="00812AF6"/>
    <w:rsid w:val="00812B54"/>
    <w:rsid w:val="00812BF6"/>
    <w:rsid w:val="00812CC9"/>
    <w:rsid w:val="00812EA3"/>
    <w:rsid w:val="00812EC6"/>
    <w:rsid w:val="008132E6"/>
    <w:rsid w:val="00813473"/>
    <w:rsid w:val="008135AC"/>
    <w:rsid w:val="0081393F"/>
    <w:rsid w:val="00813945"/>
    <w:rsid w:val="00813ADB"/>
    <w:rsid w:val="00813B14"/>
    <w:rsid w:val="00813C61"/>
    <w:rsid w:val="00813CA0"/>
    <w:rsid w:val="00813FA1"/>
    <w:rsid w:val="0081403A"/>
    <w:rsid w:val="008140F1"/>
    <w:rsid w:val="00814519"/>
    <w:rsid w:val="0081461C"/>
    <w:rsid w:val="0081470A"/>
    <w:rsid w:val="008147E9"/>
    <w:rsid w:val="00814D75"/>
    <w:rsid w:val="008152A4"/>
    <w:rsid w:val="0081533E"/>
    <w:rsid w:val="008155C1"/>
    <w:rsid w:val="00815679"/>
    <w:rsid w:val="008157C7"/>
    <w:rsid w:val="00815802"/>
    <w:rsid w:val="0081589A"/>
    <w:rsid w:val="008159DF"/>
    <w:rsid w:val="00815B0C"/>
    <w:rsid w:val="00815D94"/>
    <w:rsid w:val="00815DA1"/>
    <w:rsid w:val="00815DFF"/>
    <w:rsid w:val="00815F6E"/>
    <w:rsid w:val="00816243"/>
    <w:rsid w:val="00816296"/>
    <w:rsid w:val="0081634D"/>
    <w:rsid w:val="008166EA"/>
    <w:rsid w:val="008166F8"/>
    <w:rsid w:val="0081691D"/>
    <w:rsid w:val="00816B50"/>
    <w:rsid w:val="00816B55"/>
    <w:rsid w:val="00816C99"/>
    <w:rsid w:val="00816CDE"/>
    <w:rsid w:val="00816CED"/>
    <w:rsid w:val="00816E1D"/>
    <w:rsid w:val="008170E4"/>
    <w:rsid w:val="008170EB"/>
    <w:rsid w:val="008170F9"/>
    <w:rsid w:val="008172B9"/>
    <w:rsid w:val="00817418"/>
    <w:rsid w:val="00817472"/>
    <w:rsid w:val="0081763D"/>
    <w:rsid w:val="0081784A"/>
    <w:rsid w:val="008178AC"/>
    <w:rsid w:val="00817BED"/>
    <w:rsid w:val="00817C85"/>
    <w:rsid w:val="0081FF6A"/>
    <w:rsid w:val="00820038"/>
    <w:rsid w:val="008200CF"/>
    <w:rsid w:val="00820122"/>
    <w:rsid w:val="008201F7"/>
    <w:rsid w:val="0082030B"/>
    <w:rsid w:val="0082040B"/>
    <w:rsid w:val="008204E4"/>
    <w:rsid w:val="00820529"/>
    <w:rsid w:val="00820615"/>
    <w:rsid w:val="008206D5"/>
    <w:rsid w:val="00820925"/>
    <w:rsid w:val="00820B89"/>
    <w:rsid w:val="00820CE9"/>
    <w:rsid w:val="00821128"/>
    <w:rsid w:val="008211A6"/>
    <w:rsid w:val="00821780"/>
    <w:rsid w:val="00821B31"/>
    <w:rsid w:val="00821C6A"/>
    <w:rsid w:val="00821CB1"/>
    <w:rsid w:val="00821CD9"/>
    <w:rsid w:val="00821D5F"/>
    <w:rsid w:val="00821FFC"/>
    <w:rsid w:val="008221C7"/>
    <w:rsid w:val="008222D9"/>
    <w:rsid w:val="008224A2"/>
    <w:rsid w:val="008224CB"/>
    <w:rsid w:val="00822882"/>
    <w:rsid w:val="008229F1"/>
    <w:rsid w:val="0082307A"/>
    <w:rsid w:val="00823101"/>
    <w:rsid w:val="0082366D"/>
    <w:rsid w:val="0082384A"/>
    <w:rsid w:val="00823A07"/>
    <w:rsid w:val="00823DB5"/>
    <w:rsid w:val="00823E75"/>
    <w:rsid w:val="00823F08"/>
    <w:rsid w:val="008241E8"/>
    <w:rsid w:val="00824203"/>
    <w:rsid w:val="00824403"/>
    <w:rsid w:val="008245E3"/>
    <w:rsid w:val="00824A60"/>
    <w:rsid w:val="00824C3F"/>
    <w:rsid w:val="00824F10"/>
    <w:rsid w:val="00824FA5"/>
    <w:rsid w:val="008254A5"/>
    <w:rsid w:val="0082568E"/>
    <w:rsid w:val="00825727"/>
    <w:rsid w:val="008257BC"/>
    <w:rsid w:val="00825974"/>
    <w:rsid w:val="00825ACF"/>
    <w:rsid w:val="00825E2F"/>
    <w:rsid w:val="00825E7E"/>
    <w:rsid w:val="00825EE6"/>
    <w:rsid w:val="00825F51"/>
    <w:rsid w:val="00825FDF"/>
    <w:rsid w:val="008262B2"/>
    <w:rsid w:val="0082631A"/>
    <w:rsid w:val="00826801"/>
    <w:rsid w:val="0082695B"/>
    <w:rsid w:val="00827163"/>
    <w:rsid w:val="00827212"/>
    <w:rsid w:val="008278B7"/>
    <w:rsid w:val="00827B92"/>
    <w:rsid w:val="00827BAA"/>
    <w:rsid w:val="00827C66"/>
    <w:rsid w:val="00827EEC"/>
    <w:rsid w:val="00827FF5"/>
    <w:rsid w:val="0083002B"/>
    <w:rsid w:val="008300E9"/>
    <w:rsid w:val="008301BC"/>
    <w:rsid w:val="008305A0"/>
    <w:rsid w:val="0083087D"/>
    <w:rsid w:val="00830A05"/>
    <w:rsid w:val="00830A93"/>
    <w:rsid w:val="00830ADE"/>
    <w:rsid w:val="00830B74"/>
    <w:rsid w:val="00830D9E"/>
    <w:rsid w:val="00830FDB"/>
    <w:rsid w:val="00831390"/>
    <w:rsid w:val="00831568"/>
    <w:rsid w:val="00831995"/>
    <w:rsid w:val="00831CF5"/>
    <w:rsid w:val="00831EFB"/>
    <w:rsid w:val="008320CC"/>
    <w:rsid w:val="00832292"/>
    <w:rsid w:val="00832380"/>
    <w:rsid w:val="00832480"/>
    <w:rsid w:val="008326A3"/>
    <w:rsid w:val="0083272F"/>
    <w:rsid w:val="008327F0"/>
    <w:rsid w:val="008327FA"/>
    <w:rsid w:val="00832814"/>
    <w:rsid w:val="008328DC"/>
    <w:rsid w:val="008329C8"/>
    <w:rsid w:val="00832B88"/>
    <w:rsid w:val="00832BB0"/>
    <w:rsid w:val="00832C1A"/>
    <w:rsid w:val="00832C3B"/>
    <w:rsid w:val="00832FD6"/>
    <w:rsid w:val="00833048"/>
    <w:rsid w:val="0083314F"/>
    <w:rsid w:val="008332A7"/>
    <w:rsid w:val="00833552"/>
    <w:rsid w:val="00833602"/>
    <w:rsid w:val="0083379B"/>
    <w:rsid w:val="008339E2"/>
    <w:rsid w:val="00833DAF"/>
    <w:rsid w:val="008340E4"/>
    <w:rsid w:val="0083413C"/>
    <w:rsid w:val="00834219"/>
    <w:rsid w:val="0083439D"/>
    <w:rsid w:val="0083440A"/>
    <w:rsid w:val="00834464"/>
    <w:rsid w:val="00834688"/>
    <w:rsid w:val="008348C4"/>
    <w:rsid w:val="008348C6"/>
    <w:rsid w:val="00834D40"/>
    <w:rsid w:val="00834F5D"/>
    <w:rsid w:val="00834FFD"/>
    <w:rsid w:val="0083506E"/>
    <w:rsid w:val="0083580F"/>
    <w:rsid w:val="00835A67"/>
    <w:rsid w:val="00835E28"/>
    <w:rsid w:val="00835FB6"/>
    <w:rsid w:val="00836035"/>
    <w:rsid w:val="00836201"/>
    <w:rsid w:val="008363BD"/>
    <w:rsid w:val="00836406"/>
    <w:rsid w:val="008366ED"/>
    <w:rsid w:val="008369F5"/>
    <w:rsid w:val="00836E13"/>
    <w:rsid w:val="00836E57"/>
    <w:rsid w:val="00836F38"/>
    <w:rsid w:val="00837059"/>
    <w:rsid w:val="008370D3"/>
    <w:rsid w:val="008370E3"/>
    <w:rsid w:val="0083716D"/>
    <w:rsid w:val="00837249"/>
    <w:rsid w:val="008373B9"/>
    <w:rsid w:val="00837521"/>
    <w:rsid w:val="008375B2"/>
    <w:rsid w:val="0083764C"/>
    <w:rsid w:val="00837703"/>
    <w:rsid w:val="008379A3"/>
    <w:rsid w:val="008379C9"/>
    <w:rsid w:val="00837A95"/>
    <w:rsid w:val="00837B2E"/>
    <w:rsid w:val="00837B5F"/>
    <w:rsid w:val="00837E5D"/>
    <w:rsid w:val="008400A2"/>
    <w:rsid w:val="0084016B"/>
    <w:rsid w:val="008404D2"/>
    <w:rsid w:val="00840664"/>
    <w:rsid w:val="008406D3"/>
    <w:rsid w:val="008406F9"/>
    <w:rsid w:val="008408C8"/>
    <w:rsid w:val="00840929"/>
    <w:rsid w:val="00840A88"/>
    <w:rsid w:val="00840EC9"/>
    <w:rsid w:val="008413E1"/>
    <w:rsid w:val="0084145B"/>
    <w:rsid w:val="00841898"/>
    <w:rsid w:val="008418FE"/>
    <w:rsid w:val="0084193F"/>
    <w:rsid w:val="008419DC"/>
    <w:rsid w:val="00841C92"/>
    <w:rsid w:val="00841D87"/>
    <w:rsid w:val="0084206A"/>
    <w:rsid w:val="008420C9"/>
    <w:rsid w:val="00842117"/>
    <w:rsid w:val="00842D39"/>
    <w:rsid w:val="00842E7E"/>
    <w:rsid w:val="00842E90"/>
    <w:rsid w:val="0084312F"/>
    <w:rsid w:val="0084315C"/>
    <w:rsid w:val="00843361"/>
    <w:rsid w:val="008435A2"/>
    <w:rsid w:val="008437B4"/>
    <w:rsid w:val="008439BA"/>
    <w:rsid w:val="008439C4"/>
    <w:rsid w:val="00843A67"/>
    <w:rsid w:val="00843A74"/>
    <w:rsid w:val="00843AD9"/>
    <w:rsid w:val="00843C81"/>
    <w:rsid w:val="00843CD3"/>
    <w:rsid w:val="00843D76"/>
    <w:rsid w:val="00843DAD"/>
    <w:rsid w:val="008440CE"/>
    <w:rsid w:val="0084417D"/>
    <w:rsid w:val="0084418B"/>
    <w:rsid w:val="008442F0"/>
    <w:rsid w:val="00844543"/>
    <w:rsid w:val="00844888"/>
    <w:rsid w:val="00844C92"/>
    <w:rsid w:val="00844CA4"/>
    <w:rsid w:val="00844CA5"/>
    <w:rsid w:val="00844F13"/>
    <w:rsid w:val="00844F4D"/>
    <w:rsid w:val="008451B8"/>
    <w:rsid w:val="00845659"/>
    <w:rsid w:val="008457DE"/>
    <w:rsid w:val="0084584F"/>
    <w:rsid w:val="00845DC5"/>
    <w:rsid w:val="0084605C"/>
    <w:rsid w:val="0084615C"/>
    <w:rsid w:val="008464B5"/>
    <w:rsid w:val="0084653E"/>
    <w:rsid w:val="00846A6A"/>
    <w:rsid w:val="00846D7C"/>
    <w:rsid w:val="00846F01"/>
    <w:rsid w:val="00847091"/>
    <w:rsid w:val="008470DA"/>
    <w:rsid w:val="00847253"/>
    <w:rsid w:val="0084727C"/>
    <w:rsid w:val="0084736D"/>
    <w:rsid w:val="0084765C"/>
    <w:rsid w:val="00847728"/>
    <w:rsid w:val="0084785F"/>
    <w:rsid w:val="0084794A"/>
    <w:rsid w:val="008479EA"/>
    <w:rsid w:val="00847C1E"/>
    <w:rsid w:val="00847ECC"/>
    <w:rsid w:val="00850215"/>
    <w:rsid w:val="00850251"/>
    <w:rsid w:val="00850398"/>
    <w:rsid w:val="008509A8"/>
    <w:rsid w:val="00850C0B"/>
    <w:rsid w:val="00850C5E"/>
    <w:rsid w:val="00850D0A"/>
    <w:rsid w:val="00850DD9"/>
    <w:rsid w:val="00850F6F"/>
    <w:rsid w:val="00850FEB"/>
    <w:rsid w:val="00851349"/>
    <w:rsid w:val="008515DC"/>
    <w:rsid w:val="00851661"/>
    <w:rsid w:val="00851AB9"/>
    <w:rsid w:val="00851B84"/>
    <w:rsid w:val="00851C49"/>
    <w:rsid w:val="00851C9E"/>
    <w:rsid w:val="00851FEE"/>
    <w:rsid w:val="00852215"/>
    <w:rsid w:val="008523CE"/>
    <w:rsid w:val="0085272C"/>
    <w:rsid w:val="00852870"/>
    <w:rsid w:val="008528E3"/>
    <w:rsid w:val="00852E3B"/>
    <w:rsid w:val="00852EAF"/>
    <w:rsid w:val="00852EC6"/>
    <w:rsid w:val="00852F25"/>
    <w:rsid w:val="00852F97"/>
    <w:rsid w:val="00852FE9"/>
    <w:rsid w:val="00853044"/>
    <w:rsid w:val="0085308B"/>
    <w:rsid w:val="008531FD"/>
    <w:rsid w:val="0085321E"/>
    <w:rsid w:val="008532C8"/>
    <w:rsid w:val="00853585"/>
    <w:rsid w:val="0085363D"/>
    <w:rsid w:val="00853825"/>
    <w:rsid w:val="008538E8"/>
    <w:rsid w:val="00853906"/>
    <w:rsid w:val="00853908"/>
    <w:rsid w:val="00853B41"/>
    <w:rsid w:val="00853D17"/>
    <w:rsid w:val="00853FCF"/>
    <w:rsid w:val="00854107"/>
    <w:rsid w:val="00854521"/>
    <w:rsid w:val="0085463A"/>
    <w:rsid w:val="00854AE5"/>
    <w:rsid w:val="00854B09"/>
    <w:rsid w:val="00854B14"/>
    <w:rsid w:val="00854C16"/>
    <w:rsid w:val="00854C42"/>
    <w:rsid w:val="00854E01"/>
    <w:rsid w:val="00854FFB"/>
    <w:rsid w:val="0085500B"/>
    <w:rsid w:val="008550BB"/>
    <w:rsid w:val="008550C4"/>
    <w:rsid w:val="008551A2"/>
    <w:rsid w:val="00855280"/>
    <w:rsid w:val="008552F8"/>
    <w:rsid w:val="00855368"/>
    <w:rsid w:val="00855425"/>
    <w:rsid w:val="00855475"/>
    <w:rsid w:val="0085556B"/>
    <w:rsid w:val="0085577B"/>
    <w:rsid w:val="00855827"/>
    <w:rsid w:val="008558DF"/>
    <w:rsid w:val="00855A42"/>
    <w:rsid w:val="00855AAA"/>
    <w:rsid w:val="00855C52"/>
    <w:rsid w:val="00855C5B"/>
    <w:rsid w:val="00855E87"/>
    <w:rsid w:val="00855EAD"/>
    <w:rsid w:val="008560F6"/>
    <w:rsid w:val="00856150"/>
    <w:rsid w:val="0085620B"/>
    <w:rsid w:val="008562C5"/>
    <w:rsid w:val="00856428"/>
    <w:rsid w:val="00856493"/>
    <w:rsid w:val="008565BE"/>
    <w:rsid w:val="00856746"/>
    <w:rsid w:val="0085684A"/>
    <w:rsid w:val="00856905"/>
    <w:rsid w:val="0085700F"/>
    <w:rsid w:val="00857117"/>
    <w:rsid w:val="0085728B"/>
    <w:rsid w:val="008572F5"/>
    <w:rsid w:val="0085750A"/>
    <w:rsid w:val="00857708"/>
    <w:rsid w:val="00857DD7"/>
    <w:rsid w:val="00857E4F"/>
    <w:rsid w:val="00860097"/>
    <w:rsid w:val="008600C3"/>
    <w:rsid w:val="00860213"/>
    <w:rsid w:val="00860390"/>
    <w:rsid w:val="008603B5"/>
    <w:rsid w:val="0086091D"/>
    <w:rsid w:val="00860B88"/>
    <w:rsid w:val="00860C56"/>
    <w:rsid w:val="00860FED"/>
    <w:rsid w:val="008612F3"/>
    <w:rsid w:val="00861429"/>
    <w:rsid w:val="008618F8"/>
    <w:rsid w:val="00862080"/>
    <w:rsid w:val="0086211A"/>
    <w:rsid w:val="008623A3"/>
    <w:rsid w:val="008623FE"/>
    <w:rsid w:val="0086240D"/>
    <w:rsid w:val="008624F7"/>
    <w:rsid w:val="0086258E"/>
    <w:rsid w:val="0086270B"/>
    <w:rsid w:val="008628A5"/>
    <w:rsid w:val="00862C30"/>
    <w:rsid w:val="008633C5"/>
    <w:rsid w:val="0086362B"/>
    <w:rsid w:val="008636F5"/>
    <w:rsid w:val="00863847"/>
    <w:rsid w:val="008639C2"/>
    <w:rsid w:val="00863BCF"/>
    <w:rsid w:val="00863C1A"/>
    <w:rsid w:val="00863EA5"/>
    <w:rsid w:val="00864111"/>
    <w:rsid w:val="008641C0"/>
    <w:rsid w:val="00864287"/>
    <w:rsid w:val="008642EC"/>
    <w:rsid w:val="008644B4"/>
    <w:rsid w:val="008644E5"/>
    <w:rsid w:val="008647F2"/>
    <w:rsid w:val="008648D5"/>
    <w:rsid w:val="008648E1"/>
    <w:rsid w:val="008649CD"/>
    <w:rsid w:val="00864CC0"/>
    <w:rsid w:val="00864D1E"/>
    <w:rsid w:val="00864EE3"/>
    <w:rsid w:val="00864F65"/>
    <w:rsid w:val="00865212"/>
    <w:rsid w:val="008654D2"/>
    <w:rsid w:val="00865539"/>
    <w:rsid w:val="0086557F"/>
    <w:rsid w:val="00865739"/>
    <w:rsid w:val="0086577D"/>
    <w:rsid w:val="008657F9"/>
    <w:rsid w:val="00865D27"/>
    <w:rsid w:val="00865D2D"/>
    <w:rsid w:val="00865D9D"/>
    <w:rsid w:val="00865E7B"/>
    <w:rsid w:val="00866012"/>
    <w:rsid w:val="00866016"/>
    <w:rsid w:val="008662AF"/>
    <w:rsid w:val="0086643F"/>
    <w:rsid w:val="0086679F"/>
    <w:rsid w:val="008669B3"/>
    <w:rsid w:val="00866C5D"/>
    <w:rsid w:val="00866EE5"/>
    <w:rsid w:val="00867115"/>
    <w:rsid w:val="008673E1"/>
    <w:rsid w:val="008674C4"/>
    <w:rsid w:val="0086762F"/>
    <w:rsid w:val="00867725"/>
    <w:rsid w:val="00867805"/>
    <w:rsid w:val="00867D73"/>
    <w:rsid w:val="00867E44"/>
    <w:rsid w:val="00867EF9"/>
    <w:rsid w:val="00870716"/>
    <w:rsid w:val="0087071B"/>
    <w:rsid w:val="00870866"/>
    <w:rsid w:val="0087089B"/>
    <w:rsid w:val="00870CA5"/>
    <w:rsid w:val="00870D66"/>
    <w:rsid w:val="00870E8D"/>
    <w:rsid w:val="00870F64"/>
    <w:rsid w:val="00870F91"/>
    <w:rsid w:val="008714A4"/>
    <w:rsid w:val="008715A7"/>
    <w:rsid w:val="008715D0"/>
    <w:rsid w:val="00871724"/>
    <w:rsid w:val="008717E0"/>
    <w:rsid w:val="008719D4"/>
    <w:rsid w:val="008719EF"/>
    <w:rsid w:val="00871CB9"/>
    <w:rsid w:val="00871DD0"/>
    <w:rsid w:val="00872069"/>
    <w:rsid w:val="00872130"/>
    <w:rsid w:val="00872398"/>
    <w:rsid w:val="00872412"/>
    <w:rsid w:val="00872767"/>
    <w:rsid w:val="0087277A"/>
    <w:rsid w:val="00872EE9"/>
    <w:rsid w:val="00872F6E"/>
    <w:rsid w:val="0087319C"/>
    <w:rsid w:val="00873450"/>
    <w:rsid w:val="008736D0"/>
    <w:rsid w:val="0087374C"/>
    <w:rsid w:val="0087379C"/>
    <w:rsid w:val="0087398C"/>
    <w:rsid w:val="00873BF4"/>
    <w:rsid w:val="00873C6A"/>
    <w:rsid w:val="00873F58"/>
    <w:rsid w:val="00874083"/>
    <w:rsid w:val="008741BE"/>
    <w:rsid w:val="00874222"/>
    <w:rsid w:val="00874399"/>
    <w:rsid w:val="008743F4"/>
    <w:rsid w:val="008747FF"/>
    <w:rsid w:val="00874801"/>
    <w:rsid w:val="008748AB"/>
    <w:rsid w:val="00874925"/>
    <w:rsid w:val="00874D43"/>
    <w:rsid w:val="0087516D"/>
    <w:rsid w:val="008754DD"/>
    <w:rsid w:val="008757C3"/>
    <w:rsid w:val="00875B23"/>
    <w:rsid w:val="00875B25"/>
    <w:rsid w:val="00875B6B"/>
    <w:rsid w:val="0087614E"/>
    <w:rsid w:val="008762A9"/>
    <w:rsid w:val="008762F6"/>
    <w:rsid w:val="00876378"/>
    <w:rsid w:val="0087646A"/>
    <w:rsid w:val="00876546"/>
    <w:rsid w:val="0087667E"/>
    <w:rsid w:val="0087691C"/>
    <w:rsid w:val="00876BB8"/>
    <w:rsid w:val="00876D44"/>
    <w:rsid w:val="00876DBF"/>
    <w:rsid w:val="008770EE"/>
    <w:rsid w:val="008771B1"/>
    <w:rsid w:val="00877488"/>
    <w:rsid w:val="008775E2"/>
    <w:rsid w:val="008776B7"/>
    <w:rsid w:val="008776F2"/>
    <w:rsid w:val="00877863"/>
    <w:rsid w:val="00877A36"/>
    <w:rsid w:val="00877CF9"/>
    <w:rsid w:val="00877D61"/>
    <w:rsid w:val="008800FF"/>
    <w:rsid w:val="00880188"/>
    <w:rsid w:val="00880449"/>
    <w:rsid w:val="0088062B"/>
    <w:rsid w:val="00880911"/>
    <w:rsid w:val="008809DF"/>
    <w:rsid w:val="00880D3B"/>
    <w:rsid w:val="00880FD0"/>
    <w:rsid w:val="00881074"/>
    <w:rsid w:val="008810CA"/>
    <w:rsid w:val="00881180"/>
    <w:rsid w:val="008812F7"/>
    <w:rsid w:val="00881469"/>
    <w:rsid w:val="00881628"/>
    <w:rsid w:val="0088193E"/>
    <w:rsid w:val="00881B30"/>
    <w:rsid w:val="00881E12"/>
    <w:rsid w:val="00881E1D"/>
    <w:rsid w:val="00881EEB"/>
    <w:rsid w:val="00881F16"/>
    <w:rsid w:val="008820B6"/>
    <w:rsid w:val="008822D8"/>
    <w:rsid w:val="00882463"/>
    <w:rsid w:val="008827B5"/>
    <w:rsid w:val="008827FF"/>
    <w:rsid w:val="00882929"/>
    <w:rsid w:val="008831C2"/>
    <w:rsid w:val="00883277"/>
    <w:rsid w:val="008832EA"/>
    <w:rsid w:val="00883364"/>
    <w:rsid w:val="00883384"/>
    <w:rsid w:val="00883662"/>
    <w:rsid w:val="00883684"/>
    <w:rsid w:val="008839C8"/>
    <w:rsid w:val="00883C0E"/>
    <w:rsid w:val="00883C8F"/>
    <w:rsid w:val="00883C96"/>
    <w:rsid w:val="008843C1"/>
    <w:rsid w:val="00884484"/>
    <w:rsid w:val="00884715"/>
    <w:rsid w:val="008847AB"/>
    <w:rsid w:val="008847EC"/>
    <w:rsid w:val="00884818"/>
    <w:rsid w:val="008848F6"/>
    <w:rsid w:val="00884E94"/>
    <w:rsid w:val="0088536D"/>
    <w:rsid w:val="00885394"/>
    <w:rsid w:val="008858BC"/>
    <w:rsid w:val="00885C60"/>
    <w:rsid w:val="00885EA0"/>
    <w:rsid w:val="008860EC"/>
    <w:rsid w:val="00886406"/>
    <w:rsid w:val="0088654D"/>
    <w:rsid w:val="0088666A"/>
    <w:rsid w:val="008867CD"/>
    <w:rsid w:val="0088692B"/>
    <w:rsid w:val="00886983"/>
    <w:rsid w:val="008869A6"/>
    <w:rsid w:val="00886F9E"/>
    <w:rsid w:val="00886FE4"/>
    <w:rsid w:val="008870B1"/>
    <w:rsid w:val="008870B8"/>
    <w:rsid w:val="008871C8"/>
    <w:rsid w:val="00887293"/>
    <w:rsid w:val="00887407"/>
    <w:rsid w:val="00887627"/>
    <w:rsid w:val="008877BC"/>
    <w:rsid w:val="00887B55"/>
    <w:rsid w:val="00887BCC"/>
    <w:rsid w:val="00887CB5"/>
    <w:rsid w:val="00887DEE"/>
    <w:rsid w:val="00887FD1"/>
    <w:rsid w:val="00890098"/>
    <w:rsid w:val="0089019C"/>
    <w:rsid w:val="008903CA"/>
    <w:rsid w:val="00890770"/>
    <w:rsid w:val="00890792"/>
    <w:rsid w:val="00890960"/>
    <w:rsid w:val="00890ACE"/>
    <w:rsid w:val="00890DF6"/>
    <w:rsid w:val="00890F78"/>
    <w:rsid w:val="00891524"/>
    <w:rsid w:val="00891686"/>
    <w:rsid w:val="0089176F"/>
    <w:rsid w:val="00891A97"/>
    <w:rsid w:val="00891CB1"/>
    <w:rsid w:val="00891CEF"/>
    <w:rsid w:val="00891ED0"/>
    <w:rsid w:val="00891F9C"/>
    <w:rsid w:val="00892100"/>
    <w:rsid w:val="008921D8"/>
    <w:rsid w:val="008922DD"/>
    <w:rsid w:val="008925CD"/>
    <w:rsid w:val="008927DC"/>
    <w:rsid w:val="00892A1B"/>
    <w:rsid w:val="00892ACA"/>
    <w:rsid w:val="00892AD2"/>
    <w:rsid w:val="00892B13"/>
    <w:rsid w:val="00892D10"/>
    <w:rsid w:val="00892DEB"/>
    <w:rsid w:val="00892F0F"/>
    <w:rsid w:val="0089316B"/>
    <w:rsid w:val="008932B9"/>
    <w:rsid w:val="008933E7"/>
    <w:rsid w:val="0089359C"/>
    <w:rsid w:val="00893B3D"/>
    <w:rsid w:val="00893B6E"/>
    <w:rsid w:val="00893CDE"/>
    <w:rsid w:val="00893D2F"/>
    <w:rsid w:val="00893DB9"/>
    <w:rsid w:val="00894063"/>
    <w:rsid w:val="0089410C"/>
    <w:rsid w:val="00894151"/>
    <w:rsid w:val="00894173"/>
    <w:rsid w:val="00894322"/>
    <w:rsid w:val="00894639"/>
    <w:rsid w:val="008946E8"/>
    <w:rsid w:val="008947BE"/>
    <w:rsid w:val="008947E1"/>
    <w:rsid w:val="00894908"/>
    <w:rsid w:val="008949C0"/>
    <w:rsid w:val="00894B04"/>
    <w:rsid w:val="00894B70"/>
    <w:rsid w:val="00894F05"/>
    <w:rsid w:val="0089561C"/>
    <w:rsid w:val="0089573A"/>
    <w:rsid w:val="00895C04"/>
    <w:rsid w:val="00895FD1"/>
    <w:rsid w:val="00896125"/>
    <w:rsid w:val="00896126"/>
    <w:rsid w:val="00896327"/>
    <w:rsid w:val="00896529"/>
    <w:rsid w:val="008965D8"/>
    <w:rsid w:val="008967FA"/>
    <w:rsid w:val="008968D8"/>
    <w:rsid w:val="0089697B"/>
    <w:rsid w:val="00896992"/>
    <w:rsid w:val="00896D02"/>
    <w:rsid w:val="00896DBF"/>
    <w:rsid w:val="00896DDE"/>
    <w:rsid w:val="00897146"/>
    <w:rsid w:val="00897337"/>
    <w:rsid w:val="00897412"/>
    <w:rsid w:val="0089758D"/>
    <w:rsid w:val="008976C0"/>
    <w:rsid w:val="0089780B"/>
    <w:rsid w:val="0089787B"/>
    <w:rsid w:val="00897B8E"/>
    <w:rsid w:val="00897C99"/>
    <w:rsid w:val="00897D6E"/>
    <w:rsid w:val="008A022B"/>
    <w:rsid w:val="008A0244"/>
    <w:rsid w:val="008A030C"/>
    <w:rsid w:val="008A04C2"/>
    <w:rsid w:val="008A0727"/>
    <w:rsid w:val="008A0994"/>
    <w:rsid w:val="008A09D7"/>
    <w:rsid w:val="008A1165"/>
    <w:rsid w:val="008A1305"/>
    <w:rsid w:val="008A157E"/>
    <w:rsid w:val="008A1580"/>
    <w:rsid w:val="008A162B"/>
    <w:rsid w:val="008A1749"/>
    <w:rsid w:val="008A1982"/>
    <w:rsid w:val="008A1D9D"/>
    <w:rsid w:val="008A1DD7"/>
    <w:rsid w:val="008A1EA8"/>
    <w:rsid w:val="008A20A7"/>
    <w:rsid w:val="008A2473"/>
    <w:rsid w:val="008A27F1"/>
    <w:rsid w:val="008A2A23"/>
    <w:rsid w:val="008A2BFB"/>
    <w:rsid w:val="008A2C53"/>
    <w:rsid w:val="008A2DE9"/>
    <w:rsid w:val="008A304E"/>
    <w:rsid w:val="008A32A0"/>
    <w:rsid w:val="008A3436"/>
    <w:rsid w:val="008A3696"/>
    <w:rsid w:val="008A39BD"/>
    <w:rsid w:val="008A3B08"/>
    <w:rsid w:val="008A3BAB"/>
    <w:rsid w:val="008A3E1F"/>
    <w:rsid w:val="008A3FCF"/>
    <w:rsid w:val="008A3FED"/>
    <w:rsid w:val="008A42AF"/>
    <w:rsid w:val="008A4476"/>
    <w:rsid w:val="008A4668"/>
    <w:rsid w:val="008A478E"/>
    <w:rsid w:val="008A47A4"/>
    <w:rsid w:val="008A4992"/>
    <w:rsid w:val="008A49ED"/>
    <w:rsid w:val="008A4A0A"/>
    <w:rsid w:val="008A4A1F"/>
    <w:rsid w:val="008A4A25"/>
    <w:rsid w:val="008A4E0F"/>
    <w:rsid w:val="008A4EA5"/>
    <w:rsid w:val="008A4EB4"/>
    <w:rsid w:val="008A5443"/>
    <w:rsid w:val="008A5566"/>
    <w:rsid w:val="008A5622"/>
    <w:rsid w:val="008A5740"/>
    <w:rsid w:val="008A5CF7"/>
    <w:rsid w:val="008A60D0"/>
    <w:rsid w:val="008A6205"/>
    <w:rsid w:val="008A682D"/>
    <w:rsid w:val="008A690E"/>
    <w:rsid w:val="008A6F13"/>
    <w:rsid w:val="008A6F79"/>
    <w:rsid w:val="008A70C8"/>
    <w:rsid w:val="008A7207"/>
    <w:rsid w:val="008A7388"/>
    <w:rsid w:val="008A7507"/>
    <w:rsid w:val="008A750A"/>
    <w:rsid w:val="008A7EFF"/>
    <w:rsid w:val="008A7FF2"/>
    <w:rsid w:val="008B012E"/>
    <w:rsid w:val="008B017E"/>
    <w:rsid w:val="008B0191"/>
    <w:rsid w:val="008B0365"/>
    <w:rsid w:val="008B049A"/>
    <w:rsid w:val="008B0720"/>
    <w:rsid w:val="008B0743"/>
    <w:rsid w:val="008B086F"/>
    <w:rsid w:val="008B0951"/>
    <w:rsid w:val="008B0A40"/>
    <w:rsid w:val="008B0AA4"/>
    <w:rsid w:val="008B0CD1"/>
    <w:rsid w:val="008B0DE5"/>
    <w:rsid w:val="008B0E5F"/>
    <w:rsid w:val="008B0EA3"/>
    <w:rsid w:val="008B143D"/>
    <w:rsid w:val="008B1AC4"/>
    <w:rsid w:val="008B1CB5"/>
    <w:rsid w:val="008B1E2B"/>
    <w:rsid w:val="008B2091"/>
    <w:rsid w:val="008B2217"/>
    <w:rsid w:val="008B2238"/>
    <w:rsid w:val="008B22EC"/>
    <w:rsid w:val="008B23CE"/>
    <w:rsid w:val="008B251B"/>
    <w:rsid w:val="008B262B"/>
    <w:rsid w:val="008B26B4"/>
    <w:rsid w:val="008B27A8"/>
    <w:rsid w:val="008B27FB"/>
    <w:rsid w:val="008B2842"/>
    <w:rsid w:val="008B2D9B"/>
    <w:rsid w:val="008B2F08"/>
    <w:rsid w:val="008B30D6"/>
    <w:rsid w:val="008B32F0"/>
    <w:rsid w:val="008B33FE"/>
    <w:rsid w:val="008B3459"/>
    <w:rsid w:val="008B3668"/>
    <w:rsid w:val="008B3845"/>
    <w:rsid w:val="008B3851"/>
    <w:rsid w:val="008B393F"/>
    <w:rsid w:val="008B3D8C"/>
    <w:rsid w:val="008B3E55"/>
    <w:rsid w:val="008B3F1C"/>
    <w:rsid w:val="008B4162"/>
    <w:rsid w:val="008B41F6"/>
    <w:rsid w:val="008B4627"/>
    <w:rsid w:val="008B4697"/>
    <w:rsid w:val="008B46F8"/>
    <w:rsid w:val="008B486B"/>
    <w:rsid w:val="008B4A25"/>
    <w:rsid w:val="008B4B34"/>
    <w:rsid w:val="008B4C15"/>
    <w:rsid w:val="008B4FFA"/>
    <w:rsid w:val="008B5219"/>
    <w:rsid w:val="008B5259"/>
    <w:rsid w:val="008B52B3"/>
    <w:rsid w:val="008B533B"/>
    <w:rsid w:val="008B5433"/>
    <w:rsid w:val="008B5506"/>
    <w:rsid w:val="008B55A7"/>
    <w:rsid w:val="008B56D8"/>
    <w:rsid w:val="008B59B2"/>
    <w:rsid w:val="008B5AB0"/>
    <w:rsid w:val="008B5CA0"/>
    <w:rsid w:val="008B5CC2"/>
    <w:rsid w:val="008B5DA8"/>
    <w:rsid w:val="008B63A1"/>
    <w:rsid w:val="008B648D"/>
    <w:rsid w:val="008B65C3"/>
    <w:rsid w:val="008B69F4"/>
    <w:rsid w:val="008B6B12"/>
    <w:rsid w:val="008B6E26"/>
    <w:rsid w:val="008B7074"/>
    <w:rsid w:val="008B715C"/>
    <w:rsid w:val="008B7392"/>
    <w:rsid w:val="008B756E"/>
    <w:rsid w:val="008B7623"/>
    <w:rsid w:val="008B766A"/>
    <w:rsid w:val="008B770C"/>
    <w:rsid w:val="008B7748"/>
    <w:rsid w:val="008B77D2"/>
    <w:rsid w:val="008B7AE8"/>
    <w:rsid w:val="008B7B04"/>
    <w:rsid w:val="008B7BBF"/>
    <w:rsid w:val="008B7F6C"/>
    <w:rsid w:val="008C00C7"/>
    <w:rsid w:val="008C02F9"/>
    <w:rsid w:val="008C063B"/>
    <w:rsid w:val="008C0666"/>
    <w:rsid w:val="008C0983"/>
    <w:rsid w:val="008C0CD7"/>
    <w:rsid w:val="008C100F"/>
    <w:rsid w:val="008C1028"/>
    <w:rsid w:val="008C10A9"/>
    <w:rsid w:val="008C14DF"/>
    <w:rsid w:val="008C162D"/>
    <w:rsid w:val="008C16D0"/>
    <w:rsid w:val="008C170D"/>
    <w:rsid w:val="008C1ABD"/>
    <w:rsid w:val="008C1CFA"/>
    <w:rsid w:val="008C21C3"/>
    <w:rsid w:val="008C2220"/>
    <w:rsid w:val="008C2281"/>
    <w:rsid w:val="008C2642"/>
    <w:rsid w:val="008C267E"/>
    <w:rsid w:val="008C271B"/>
    <w:rsid w:val="008C279B"/>
    <w:rsid w:val="008C2921"/>
    <w:rsid w:val="008C2C19"/>
    <w:rsid w:val="008C2E17"/>
    <w:rsid w:val="008C2F59"/>
    <w:rsid w:val="008C318D"/>
    <w:rsid w:val="008C32F0"/>
    <w:rsid w:val="008C3477"/>
    <w:rsid w:val="008C35F7"/>
    <w:rsid w:val="008C3615"/>
    <w:rsid w:val="008C3896"/>
    <w:rsid w:val="008C3985"/>
    <w:rsid w:val="008C3A22"/>
    <w:rsid w:val="008C3A4A"/>
    <w:rsid w:val="008C3B1E"/>
    <w:rsid w:val="008C3C77"/>
    <w:rsid w:val="008C3F3F"/>
    <w:rsid w:val="008C3F69"/>
    <w:rsid w:val="008C4212"/>
    <w:rsid w:val="008C425A"/>
    <w:rsid w:val="008C430F"/>
    <w:rsid w:val="008C436C"/>
    <w:rsid w:val="008C453F"/>
    <w:rsid w:val="008C4572"/>
    <w:rsid w:val="008C462F"/>
    <w:rsid w:val="008C465F"/>
    <w:rsid w:val="008C4705"/>
    <w:rsid w:val="008C48B5"/>
    <w:rsid w:val="008C4909"/>
    <w:rsid w:val="008C495F"/>
    <w:rsid w:val="008C4A81"/>
    <w:rsid w:val="008C4AB6"/>
    <w:rsid w:val="008C4AB8"/>
    <w:rsid w:val="008C4DB1"/>
    <w:rsid w:val="008C4E0C"/>
    <w:rsid w:val="008C4FF0"/>
    <w:rsid w:val="008C5121"/>
    <w:rsid w:val="008C5509"/>
    <w:rsid w:val="008C55B4"/>
    <w:rsid w:val="008C59B3"/>
    <w:rsid w:val="008C5A47"/>
    <w:rsid w:val="008C5BAD"/>
    <w:rsid w:val="008C5E9B"/>
    <w:rsid w:val="008C5FCE"/>
    <w:rsid w:val="008C6081"/>
    <w:rsid w:val="008C619B"/>
    <w:rsid w:val="008C6280"/>
    <w:rsid w:val="008C6337"/>
    <w:rsid w:val="008C65D9"/>
    <w:rsid w:val="008C67FC"/>
    <w:rsid w:val="008C6B48"/>
    <w:rsid w:val="008C6C0B"/>
    <w:rsid w:val="008C6C2A"/>
    <w:rsid w:val="008C6CB1"/>
    <w:rsid w:val="008C6D23"/>
    <w:rsid w:val="008C6F3E"/>
    <w:rsid w:val="008C7190"/>
    <w:rsid w:val="008C733C"/>
    <w:rsid w:val="008C7425"/>
    <w:rsid w:val="008C761B"/>
    <w:rsid w:val="008C7653"/>
    <w:rsid w:val="008C7662"/>
    <w:rsid w:val="008C7745"/>
    <w:rsid w:val="008C78CA"/>
    <w:rsid w:val="008C7B8D"/>
    <w:rsid w:val="008C7F17"/>
    <w:rsid w:val="008C7F2C"/>
    <w:rsid w:val="008C7F8A"/>
    <w:rsid w:val="008D033A"/>
    <w:rsid w:val="008D03D0"/>
    <w:rsid w:val="008D043E"/>
    <w:rsid w:val="008D06C8"/>
    <w:rsid w:val="008D0705"/>
    <w:rsid w:val="008D0A57"/>
    <w:rsid w:val="008D0CB5"/>
    <w:rsid w:val="008D0DAA"/>
    <w:rsid w:val="008D0DFA"/>
    <w:rsid w:val="008D0E53"/>
    <w:rsid w:val="008D110B"/>
    <w:rsid w:val="008D1310"/>
    <w:rsid w:val="008D1398"/>
    <w:rsid w:val="008D1453"/>
    <w:rsid w:val="008D1549"/>
    <w:rsid w:val="008D1633"/>
    <w:rsid w:val="008D16DE"/>
    <w:rsid w:val="008D1803"/>
    <w:rsid w:val="008D189B"/>
    <w:rsid w:val="008D19BC"/>
    <w:rsid w:val="008D1BEC"/>
    <w:rsid w:val="008D1E66"/>
    <w:rsid w:val="008D1EAA"/>
    <w:rsid w:val="008D207A"/>
    <w:rsid w:val="008D228E"/>
    <w:rsid w:val="008D230D"/>
    <w:rsid w:val="008D23A2"/>
    <w:rsid w:val="008D2405"/>
    <w:rsid w:val="008D2535"/>
    <w:rsid w:val="008D25C9"/>
    <w:rsid w:val="008D28FC"/>
    <w:rsid w:val="008D2927"/>
    <w:rsid w:val="008D2AA6"/>
    <w:rsid w:val="008D2E2E"/>
    <w:rsid w:val="008D2E53"/>
    <w:rsid w:val="008D2F1C"/>
    <w:rsid w:val="008D313C"/>
    <w:rsid w:val="008D3396"/>
    <w:rsid w:val="008D33CD"/>
    <w:rsid w:val="008D35C1"/>
    <w:rsid w:val="008D3626"/>
    <w:rsid w:val="008D36EA"/>
    <w:rsid w:val="008D3774"/>
    <w:rsid w:val="008D38A1"/>
    <w:rsid w:val="008D38AD"/>
    <w:rsid w:val="008D3907"/>
    <w:rsid w:val="008D3983"/>
    <w:rsid w:val="008D3AE1"/>
    <w:rsid w:val="008D3B94"/>
    <w:rsid w:val="008D3CB8"/>
    <w:rsid w:val="008D3D6B"/>
    <w:rsid w:val="008D3F37"/>
    <w:rsid w:val="008D400D"/>
    <w:rsid w:val="008D40D0"/>
    <w:rsid w:val="008D42A2"/>
    <w:rsid w:val="008D42B1"/>
    <w:rsid w:val="008D4343"/>
    <w:rsid w:val="008D43AE"/>
    <w:rsid w:val="008D4669"/>
    <w:rsid w:val="008D47E1"/>
    <w:rsid w:val="008D49B2"/>
    <w:rsid w:val="008D4B99"/>
    <w:rsid w:val="008D4DED"/>
    <w:rsid w:val="008D4E54"/>
    <w:rsid w:val="008D4ECE"/>
    <w:rsid w:val="008D5298"/>
    <w:rsid w:val="008D53B3"/>
    <w:rsid w:val="008D552E"/>
    <w:rsid w:val="008D5531"/>
    <w:rsid w:val="008D5540"/>
    <w:rsid w:val="008D5842"/>
    <w:rsid w:val="008D5E71"/>
    <w:rsid w:val="008D5F20"/>
    <w:rsid w:val="008D5F9E"/>
    <w:rsid w:val="008D6436"/>
    <w:rsid w:val="008D6477"/>
    <w:rsid w:val="008D648B"/>
    <w:rsid w:val="008D6A74"/>
    <w:rsid w:val="008D6B3D"/>
    <w:rsid w:val="008D6C4C"/>
    <w:rsid w:val="008D71D0"/>
    <w:rsid w:val="008D73A1"/>
    <w:rsid w:val="008D73E2"/>
    <w:rsid w:val="008D73E6"/>
    <w:rsid w:val="008D763F"/>
    <w:rsid w:val="008D7DE4"/>
    <w:rsid w:val="008D7EC7"/>
    <w:rsid w:val="008D7FE1"/>
    <w:rsid w:val="008E0153"/>
    <w:rsid w:val="008E02C3"/>
    <w:rsid w:val="008E0331"/>
    <w:rsid w:val="008E0A72"/>
    <w:rsid w:val="008E0AB1"/>
    <w:rsid w:val="008E0B81"/>
    <w:rsid w:val="008E0E61"/>
    <w:rsid w:val="008E1015"/>
    <w:rsid w:val="008E117F"/>
    <w:rsid w:val="008E1754"/>
    <w:rsid w:val="008E186E"/>
    <w:rsid w:val="008E1A38"/>
    <w:rsid w:val="008E1C11"/>
    <w:rsid w:val="008E1C91"/>
    <w:rsid w:val="008E209E"/>
    <w:rsid w:val="008E2184"/>
    <w:rsid w:val="008E22BD"/>
    <w:rsid w:val="008E2554"/>
    <w:rsid w:val="008E27AF"/>
    <w:rsid w:val="008E2954"/>
    <w:rsid w:val="008E2A15"/>
    <w:rsid w:val="008E2BDA"/>
    <w:rsid w:val="008E2C68"/>
    <w:rsid w:val="008E2CDA"/>
    <w:rsid w:val="008E2EFC"/>
    <w:rsid w:val="008E2FD6"/>
    <w:rsid w:val="008E303D"/>
    <w:rsid w:val="008E3046"/>
    <w:rsid w:val="008E30D3"/>
    <w:rsid w:val="008E3341"/>
    <w:rsid w:val="008E338A"/>
    <w:rsid w:val="008E3409"/>
    <w:rsid w:val="008E35DD"/>
    <w:rsid w:val="008E39E4"/>
    <w:rsid w:val="008E3AAF"/>
    <w:rsid w:val="008E3BAD"/>
    <w:rsid w:val="008E3D3D"/>
    <w:rsid w:val="008E3FCA"/>
    <w:rsid w:val="008E405C"/>
    <w:rsid w:val="008E4166"/>
    <w:rsid w:val="008E4541"/>
    <w:rsid w:val="008E460D"/>
    <w:rsid w:val="008E47F8"/>
    <w:rsid w:val="008E4B55"/>
    <w:rsid w:val="008E4CB6"/>
    <w:rsid w:val="008E4EB9"/>
    <w:rsid w:val="008E4F2C"/>
    <w:rsid w:val="008E4F8F"/>
    <w:rsid w:val="008E50DF"/>
    <w:rsid w:val="008E5478"/>
    <w:rsid w:val="008E55C3"/>
    <w:rsid w:val="008E56F7"/>
    <w:rsid w:val="008E5834"/>
    <w:rsid w:val="008E58A9"/>
    <w:rsid w:val="008E5AD0"/>
    <w:rsid w:val="008E5B0E"/>
    <w:rsid w:val="008E5F7A"/>
    <w:rsid w:val="008E6134"/>
    <w:rsid w:val="008E6238"/>
    <w:rsid w:val="008E6319"/>
    <w:rsid w:val="008E66B0"/>
    <w:rsid w:val="008E6832"/>
    <w:rsid w:val="008E6894"/>
    <w:rsid w:val="008E6952"/>
    <w:rsid w:val="008E6B35"/>
    <w:rsid w:val="008E6B66"/>
    <w:rsid w:val="008E6B7D"/>
    <w:rsid w:val="008E6CB3"/>
    <w:rsid w:val="008E6DD7"/>
    <w:rsid w:val="008E6E42"/>
    <w:rsid w:val="008E6E79"/>
    <w:rsid w:val="008E6E9B"/>
    <w:rsid w:val="008E6F79"/>
    <w:rsid w:val="008E6FE1"/>
    <w:rsid w:val="008E7145"/>
    <w:rsid w:val="008E728A"/>
    <w:rsid w:val="008E72AC"/>
    <w:rsid w:val="008E73B0"/>
    <w:rsid w:val="008E73D9"/>
    <w:rsid w:val="008E7912"/>
    <w:rsid w:val="008E79B1"/>
    <w:rsid w:val="008E7A2F"/>
    <w:rsid w:val="008E7AA8"/>
    <w:rsid w:val="008E7AD0"/>
    <w:rsid w:val="008E7B1C"/>
    <w:rsid w:val="008E7D66"/>
    <w:rsid w:val="008E7E17"/>
    <w:rsid w:val="008E7E78"/>
    <w:rsid w:val="008F01A4"/>
    <w:rsid w:val="008F039C"/>
    <w:rsid w:val="008F03D9"/>
    <w:rsid w:val="008F0485"/>
    <w:rsid w:val="008F048F"/>
    <w:rsid w:val="008F0498"/>
    <w:rsid w:val="008F0716"/>
    <w:rsid w:val="008F071E"/>
    <w:rsid w:val="008F07B9"/>
    <w:rsid w:val="008F0A91"/>
    <w:rsid w:val="008F0A95"/>
    <w:rsid w:val="008F0A9E"/>
    <w:rsid w:val="008F0C8B"/>
    <w:rsid w:val="008F0CCF"/>
    <w:rsid w:val="008F0CF6"/>
    <w:rsid w:val="008F0DD9"/>
    <w:rsid w:val="008F0EBA"/>
    <w:rsid w:val="008F0F3B"/>
    <w:rsid w:val="008F1095"/>
    <w:rsid w:val="008F143D"/>
    <w:rsid w:val="008F1A52"/>
    <w:rsid w:val="008F1CAA"/>
    <w:rsid w:val="008F1EC7"/>
    <w:rsid w:val="008F1F0D"/>
    <w:rsid w:val="008F20DA"/>
    <w:rsid w:val="008F2178"/>
    <w:rsid w:val="008F219A"/>
    <w:rsid w:val="008F255F"/>
    <w:rsid w:val="008F26F4"/>
    <w:rsid w:val="008F2715"/>
    <w:rsid w:val="008F2826"/>
    <w:rsid w:val="008F28CD"/>
    <w:rsid w:val="008F2908"/>
    <w:rsid w:val="008F2A38"/>
    <w:rsid w:val="008F2A7E"/>
    <w:rsid w:val="008F2A84"/>
    <w:rsid w:val="008F2C25"/>
    <w:rsid w:val="008F30CB"/>
    <w:rsid w:val="008F3192"/>
    <w:rsid w:val="008F3300"/>
    <w:rsid w:val="008F35BE"/>
    <w:rsid w:val="008F389F"/>
    <w:rsid w:val="008F3B9C"/>
    <w:rsid w:val="008F3C65"/>
    <w:rsid w:val="008F3D12"/>
    <w:rsid w:val="008F3D57"/>
    <w:rsid w:val="008F3FA8"/>
    <w:rsid w:val="008F3FD3"/>
    <w:rsid w:val="008F419C"/>
    <w:rsid w:val="008F43AF"/>
    <w:rsid w:val="008F449A"/>
    <w:rsid w:val="008F45C3"/>
    <w:rsid w:val="008F45EC"/>
    <w:rsid w:val="008F4A88"/>
    <w:rsid w:val="008F4C9C"/>
    <w:rsid w:val="008F4DC9"/>
    <w:rsid w:val="008F4EE9"/>
    <w:rsid w:val="008F50AC"/>
    <w:rsid w:val="008F51DD"/>
    <w:rsid w:val="008F5625"/>
    <w:rsid w:val="008F56AB"/>
    <w:rsid w:val="008F5810"/>
    <w:rsid w:val="008F5A93"/>
    <w:rsid w:val="008F610E"/>
    <w:rsid w:val="008F63C2"/>
    <w:rsid w:val="008F663B"/>
    <w:rsid w:val="008F670C"/>
    <w:rsid w:val="008F6918"/>
    <w:rsid w:val="008F6930"/>
    <w:rsid w:val="008F6AAA"/>
    <w:rsid w:val="008F6B1F"/>
    <w:rsid w:val="008F6BCC"/>
    <w:rsid w:val="008F6D34"/>
    <w:rsid w:val="008F71D2"/>
    <w:rsid w:val="008F72A8"/>
    <w:rsid w:val="008F73FB"/>
    <w:rsid w:val="008F74A9"/>
    <w:rsid w:val="008F7535"/>
    <w:rsid w:val="008F7712"/>
    <w:rsid w:val="008F7836"/>
    <w:rsid w:val="008F786B"/>
    <w:rsid w:val="008F7A34"/>
    <w:rsid w:val="008F7A61"/>
    <w:rsid w:val="008F7C5A"/>
    <w:rsid w:val="008F7CFB"/>
    <w:rsid w:val="008F7D24"/>
    <w:rsid w:val="008F7FAE"/>
    <w:rsid w:val="009000BE"/>
    <w:rsid w:val="009001CA"/>
    <w:rsid w:val="0090047B"/>
    <w:rsid w:val="009005CC"/>
    <w:rsid w:val="00900885"/>
    <w:rsid w:val="0090095D"/>
    <w:rsid w:val="00900DB7"/>
    <w:rsid w:val="00901007"/>
    <w:rsid w:val="009011DE"/>
    <w:rsid w:val="0090140D"/>
    <w:rsid w:val="00901598"/>
    <w:rsid w:val="00901987"/>
    <w:rsid w:val="009019A7"/>
    <w:rsid w:val="00901D11"/>
    <w:rsid w:val="00901E63"/>
    <w:rsid w:val="00901E89"/>
    <w:rsid w:val="00901F4E"/>
    <w:rsid w:val="00901FD7"/>
    <w:rsid w:val="009020E1"/>
    <w:rsid w:val="00902116"/>
    <w:rsid w:val="0090213D"/>
    <w:rsid w:val="009021F8"/>
    <w:rsid w:val="0090233C"/>
    <w:rsid w:val="009026A7"/>
    <w:rsid w:val="00902720"/>
    <w:rsid w:val="00902860"/>
    <w:rsid w:val="00902D7F"/>
    <w:rsid w:val="00903072"/>
    <w:rsid w:val="0090318B"/>
    <w:rsid w:val="009031D6"/>
    <w:rsid w:val="009034E5"/>
    <w:rsid w:val="00903681"/>
    <w:rsid w:val="00903690"/>
    <w:rsid w:val="0090372A"/>
    <w:rsid w:val="009037BB"/>
    <w:rsid w:val="009037F6"/>
    <w:rsid w:val="00903849"/>
    <w:rsid w:val="00903A9C"/>
    <w:rsid w:val="00903CA5"/>
    <w:rsid w:val="00903CFE"/>
    <w:rsid w:val="00903D6D"/>
    <w:rsid w:val="00903E6D"/>
    <w:rsid w:val="009040B4"/>
    <w:rsid w:val="00904163"/>
    <w:rsid w:val="00904270"/>
    <w:rsid w:val="00904274"/>
    <w:rsid w:val="00904299"/>
    <w:rsid w:val="00904338"/>
    <w:rsid w:val="00904558"/>
    <w:rsid w:val="009046B4"/>
    <w:rsid w:val="009047C4"/>
    <w:rsid w:val="009047C5"/>
    <w:rsid w:val="00904F45"/>
    <w:rsid w:val="009050EC"/>
    <w:rsid w:val="00905237"/>
    <w:rsid w:val="00905291"/>
    <w:rsid w:val="00905386"/>
    <w:rsid w:val="009055AA"/>
    <w:rsid w:val="009055EE"/>
    <w:rsid w:val="0090571B"/>
    <w:rsid w:val="0090572E"/>
    <w:rsid w:val="009057CE"/>
    <w:rsid w:val="009058F2"/>
    <w:rsid w:val="00905954"/>
    <w:rsid w:val="009059C5"/>
    <w:rsid w:val="00905AED"/>
    <w:rsid w:val="00905E6E"/>
    <w:rsid w:val="00905E83"/>
    <w:rsid w:val="00905ECB"/>
    <w:rsid w:val="00906101"/>
    <w:rsid w:val="0090626E"/>
    <w:rsid w:val="00906314"/>
    <w:rsid w:val="009064E3"/>
    <w:rsid w:val="00906588"/>
    <w:rsid w:val="009065EA"/>
    <w:rsid w:val="00906603"/>
    <w:rsid w:val="00906779"/>
    <w:rsid w:val="00906A1C"/>
    <w:rsid w:val="00906B99"/>
    <w:rsid w:val="00906E12"/>
    <w:rsid w:val="00906F40"/>
    <w:rsid w:val="00906F45"/>
    <w:rsid w:val="00907240"/>
    <w:rsid w:val="00907579"/>
    <w:rsid w:val="0090766F"/>
    <w:rsid w:val="009076C3"/>
    <w:rsid w:val="00907A29"/>
    <w:rsid w:val="00907B14"/>
    <w:rsid w:val="00907BCA"/>
    <w:rsid w:val="00907C86"/>
    <w:rsid w:val="00907D08"/>
    <w:rsid w:val="00907D8B"/>
    <w:rsid w:val="0090C509"/>
    <w:rsid w:val="009101D0"/>
    <w:rsid w:val="00910398"/>
    <w:rsid w:val="009103D8"/>
    <w:rsid w:val="00910595"/>
    <w:rsid w:val="00910671"/>
    <w:rsid w:val="009108B6"/>
    <w:rsid w:val="00910AAD"/>
    <w:rsid w:val="00910B30"/>
    <w:rsid w:val="00910CFC"/>
    <w:rsid w:val="00910D94"/>
    <w:rsid w:val="00910E9F"/>
    <w:rsid w:val="00910F12"/>
    <w:rsid w:val="00910FAB"/>
    <w:rsid w:val="00911557"/>
    <w:rsid w:val="009115D1"/>
    <w:rsid w:val="009115E8"/>
    <w:rsid w:val="00911633"/>
    <w:rsid w:val="00911695"/>
    <w:rsid w:val="00911910"/>
    <w:rsid w:val="009119B5"/>
    <w:rsid w:val="00911A62"/>
    <w:rsid w:val="00911C4D"/>
    <w:rsid w:val="00911CD5"/>
    <w:rsid w:val="00911DD1"/>
    <w:rsid w:val="00911EB2"/>
    <w:rsid w:val="00911F77"/>
    <w:rsid w:val="0091228F"/>
    <w:rsid w:val="009123B6"/>
    <w:rsid w:val="00912497"/>
    <w:rsid w:val="009126A7"/>
    <w:rsid w:val="00912B6D"/>
    <w:rsid w:val="00912B87"/>
    <w:rsid w:val="00912DCB"/>
    <w:rsid w:val="00912DF2"/>
    <w:rsid w:val="00912FB6"/>
    <w:rsid w:val="00912FEA"/>
    <w:rsid w:val="0091308E"/>
    <w:rsid w:val="009134D8"/>
    <w:rsid w:val="009135CB"/>
    <w:rsid w:val="009139FC"/>
    <w:rsid w:val="00913D30"/>
    <w:rsid w:val="00913FC8"/>
    <w:rsid w:val="00913FEE"/>
    <w:rsid w:val="009140B4"/>
    <w:rsid w:val="009140B6"/>
    <w:rsid w:val="009140BB"/>
    <w:rsid w:val="00914156"/>
    <w:rsid w:val="0091431D"/>
    <w:rsid w:val="0091447D"/>
    <w:rsid w:val="00914890"/>
    <w:rsid w:val="00914BD0"/>
    <w:rsid w:val="00914C85"/>
    <w:rsid w:val="00914D6F"/>
    <w:rsid w:val="00914E23"/>
    <w:rsid w:val="00914E3A"/>
    <w:rsid w:val="00914EAE"/>
    <w:rsid w:val="00914F5B"/>
    <w:rsid w:val="00914FF7"/>
    <w:rsid w:val="009151F4"/>
    <w:rsid w:val="0091520E"/>
    <w:rsid w:val="00915455"/>
    <w:rsid w:val="00915578"/>
    <w:rsid w:val="009155CC"/>
    <w:rsid w:val="009155FE"/>
    <w:rsid w:val="00915650"/>
    <w:rsid w:val="009157EF"/>
    <w:rsid w:val="0091603F"/>
    <w:rsid w:val="0091612E"/>
    <w:rsid w:val="00916307"/>
    <w:rsid w:val="00916444"/>
    <w:rsid w:val="009167D7"/>
    <w:rsid w:val="00916884"/>
    <w:rsid w:val="00916B77"/>
    <w:rsid w:val="00916C34"/>
    <w:rsid w:val="00916F3E"/>
    <w:rsid w:val="00916FEC"/>
    <w:rsid w:val="0091706F"/>
    <w:rsid w:val="00917092"/>
    <w:rsid w:val="009173EB"/>
    <w:rsid w:val="009177EF"/>
    <w:rsid w:val="009178ED"/>
    <w:rsid w:val="00917A30"/>
    <w:rsid w:val="00917A7A"/>
    <w:rsid w:val="00917B37"/>
    <w:rsid w:val="00917CAF"/>
    <w:rsid w:val="00917D0D"/>
    <w:rsid w:val="00917E11"/>
    <w:rsid w:val="00917E24"/>
    <w:rsid w:val="00917EC5"/>
    <w:rsid w:val="0091A2B5"/>
    <w:rsid w:val="00920077"/>
    <w:rsid w:val="00920533"/>
    <w:rsid w:val="00920620"/>
    <w:rsid w:val="00920753"/>
    <w:rsid w:val="0092075A"/>
    <w:rsid w:val="0092076F"/>
    <w:rsid w:val="00920AA0"/>
    <w:rsid w:val="00920B53"/>
    <w:rsid w:val="00920C06"/>
    <w:rsid w:val="00920C96"/>
    <w:rsid w:val="00920F35"/>
    <w:rsid w:val="00920F86"/>
    <w:rsid w:val="009211C2"/>
    <w:rsid w:val="00921526"/>
    <w:rsid w:val="00921849"/>
    <w:rsid w:val="00921A91"/>
    <w:rsid w:val="00921B41"/>
    <w:rsid w:val="00921C75"/>
    <w:rsid w:val="00921CA1"/>
    <w:rsid w:val="00921D75"/>
    <w:rsid w:val="00921EBF"/>
    <w:rsid w:val="0092242F"/>
    <w:rsid w:val="00922687"/>
    <w:rsid w:val="0092288A"/>
    <w:rsid w:val="009229C3"/>
    <w:rsid w:val="00922E5F"/>
    <w:rsid w:val="009230F1"/>
    <w:rsid w:val="00923444"/>
    <w:rsid w:val="0092367C"/>
    <w:rsid w:val="009237D2"/>
    <w:rsid w:val="009239A1"/>
    <w:rsid w:val="00923A69"/>
    <w:rsid w:val="00923B0B"/>
    <w:rsid w:val="00923CB8"/>
    <w:rsid w:val="00923E53"/>
    <w:rsid w:val="00923E55"/>
    <w:rsid w:val="00924169"/>
    <w:rsid w:val="00924265"/>
    <w:rsid w:val="009245F4"/>
    <w:rsid w:val="00924614"/>
    <w:rsid w:val="00924634"/>
    <w:rsid w:val="00924A27"/>
    <w:rsid w:val="00924CBE"/>
    <w:rsid w:val="00924D34"/>
    <w:rsid w:val="00924FFB"/>
    <w:rsid w:val="00925119"/>
    <w:rsid w:val="0092512F"/>
    <w:rsid w:val="0092522F"/>
    <w:rsid w:val="00925361"/>
    <w:rsid w:val="00925575"/>
    <w:rsid w:val="009256C7"/>
    <w:rsid w:val="00925777"/>
    <w:rsid w:val="00925A7D"/>
    <w:rsid w:val="00925E77"/>
    <w:rsid w:val="00925E8B"/>
    <w:rsid w:val="00925EEB"/>
    <w:rsid w:val="00926024"/>
    <w:rsid w:val="00926474"/>
    <w:rsid w:val="0092665D"/>
    <w:rsid w:val="009267F9"/>
    <w:rsid w:val="00926890"/>
    <w:rsid w:val="009268C3"/>
    <w:rsid w:val="00926C4D"/>
    <w:rsid w:val="009273BE"/>
    <w:rsid w:val="00927572"/>
    <w:rsid w:val="009278A8"/>
    <w:rsid w:val="00927BDE"/>
    <w:rsid w:val="00930029"/>
    <w:rsid w:val="00930308"/>
    <w:rsid w:val="00930352"/>
    <w:rsid w:val="0093061B"/>
    <w:rsid w:val="00930A8E"/>
    <w:rsid w:val="009311E7"/>
    <w:rsid w:val="009312E9"/>
    <w:rsid w:val="009318D2"/>
    <w:rsid w:val="00932028"/>
    <w:rsid w:val="00932226"/>
    <w:rsid w:val="009322AB"/>
    <w:rsid w:val="00932515"/>
    <w:rsid w:val="0093277C"/>
    <w:rsid w:val="0093282A"/>
    <w:rsid w:val="00932846"/>
    <w:rsid w:val="00932BC6"/>
    <w:rsid w:val="00932CFE"/>
    <w:rsid w:val="00932D43"/>
    <w:rsid w:val="00932ED0"/>
    <w:rsid w:val="00933260"/>
    <w:rsid w:val="00933450"/>
    <w:rsid w:val="009335AA"/>
    <w:rsid w:val="00933744"/>
    <w:rsid w:val="00933BBD"/>
    <w:rsid w:val="00933BBE"/>
    <w:rsid w:val="00933C95"/>
    <w:rsid w:val="00933D52"/>
    <w:rsid w:val="00933DE9"/>
    <w:rsid w:val="00933E42"/>
    <w:rsid w:val="00933F7B"/>
    <w:rsid w:val="009340C5"/>
    <w:rsid w:val="009340EE"/>
    <w:rsid w:val="00934105"/>
    <w:rsid w:val="009341A0"/>
    <w:rsid w:val="009342D0"/>
    <w:rsid w:val="009343CC"/>
    <w:rsid w:val="009343FE"/>
    <w:rsid w:val="00934590"/>
    <w:rsid w:val="00934920"/>
    <w:rsid w:val="00934A1E"/>
    <w:rsid w:val="00934AA4"/>
    <w:rsid w:val="00934D2C"/>
    <w:rsid w:val="00935260"/>
    <w:rsid w:val="009355C5"/>
    <w:rsid w:val="00935791"/>
    <w:rsid w:val="00935822"/>
    <w:rsid w:val="0093594A"/>
    <w:rsid w:val="009359F6"/>
    <w:rsid w:val="00935AAD"/>
    <w:rsid w:val="00935B4B"/>
    <w:rsid w:val="00935C39"/>
    <w:rsid w:val="0093618D"/>
    <w:rsid w:val="00936326"/>
    <w:rsid w:val="0093634F"/>
    <w:rsid w:val="00936604"/>
    <w:rsid w:val="0093667C"/>
    <w:rsid w:val="009368CC"/>
    <w:rsid w:val="00936D9C"/>
    <w:rsid w:val="00936FD8"/>
    <w:rsid w:val="0093703F"/>
    <w:rsid w:val="009371CC"/>
    <w:rsid w:val="009371DE"/>
    <w:rsid w:val="00937223"/>
    <w:rsid w:val="00937330"/>
    <w:rsid w:val="00937464"/>
    <w:rsid w:val="0093749A"/>
    <w:rsid w:val="009375F2"/>
    <w:rsid w:val="00937671"/>
    <w:rsid w:val="009379B1"/>
    <w:rsid w:val="00937C04"/>
    <w:rsid w:val="00937FF6"/>
    <w:rsid w:val="009400DB"/>
    <w:rsid w:val="009407A3"/>
    <w:rsid w:val="00940844"/>
    <w:rsid w:val="00940995"/>
    <w:rsid w:val="00940A6D"/>
    <w:rsid w:val="00940B27"/>
    <w:rsid w:val="00940B9A"/>
    <w:rsid w:val="00940FFE"/>
    <w:rsid w:val="00941009"/>
    <w:rsid w:val="00941156"/>
    <w:rsid w:val="00941448"/>
    <w:rsid w:val="009415B2"/>
    <w:rsid w:val="00941688"/>
    <w:rsid w:val="009416A1"/>
    <w:rsid w:val="0094171E"/>
    <w:rsid w:val="00941848"/>
    <w:rsid w:val="0094187B"/>
    <w:rsid w:val="00942036"/>
    <w:rsid w:val="00942117"/>
    <w:rsid w:val="00942294"/>
    <w:rsid w:val="009426A8"/>
    <w:rsid w:val="009428F1"/>
    <w:rsid w:val="00942A4F"/>
    <w:rsid w:val="00942CF9"/>
    <w:rsid w:val="00942F88"/>
    <w:rsid w:val="00943055"/>
    <w:rsid w:val="009431B4"/>
    <w:rsid w:val="00943813"/>
    <w:rsid w:val="00943866"/>
    <w:rsid w:val="0094393A"/>
    <w:rsid w:val="00943EAD"/>
    <w:rsid w:val="00943F9F"/>
    <w:rsid w:val="00944171"/>
    <w:rsid w:val="009444C1"/>
    <w:rsid w:val="00944588"/>
    <w:rsid w:val="00944721"/>
    <w:rsid w:val="00944798"/>
    <w:rsid w:val="00944AAC"/>
    <w:rsid w:val="00944B8A"/>
    <w:rsid w:val="00944E02"/>
    <w:rsid w:val="00944E46"/>
    <w:rsid w:val="00944FC2"/>
    <w:rsid w:val="00944FF7"/>
    <w:rsid w:val="009452F6"/>
    <w:rsid w:val="00945828"/>
    <w:rsid w:val="00945E0B"/>
    <w:rsid w:val="00945E61"/>
    <w:rsid w:val="00945E70"/>
    <w:rsid w:val="00945EB9"/>
    <w:rsid w:val="009462B6"/>
    <w:rsid w:val="00946352"/>
    <w:rsid w:val="0094647F"/>
    <w:rsid w:val="009464D7"/>
    <w:rsid w:val="00946690"/>
    <w:rsid w:val="009466C1"/>
    <w:rsid w:val="0094675E"/>
    <w:rsid w:val="00946790"/>
    <w:rsid w:val="00946D7E"/>
    <w:rsid w:val="00946D9A"/>
    <w:rsid w:val="009470BC"/>
    <w:rsid w:val="0094716A"/>
    <w:rsid w:val="009472DC"/>
    <w:rsid w:val="0094744B"/>
    <w:rsid w:val="0094774A"/>
    <w:rsid w:val="00947908"/>
    <w:rsid w:val="00947B23"/>
    <w:rsid w:val="009500D3"/>
    <w:rsid w:val="009504C1"/>
    <w:rsid w:val="009507B7"/>
    <w:rsid w:val="009507C1"/>
    <w:rsid w:val="00950836"/>
    <w:rsid w:val="0095093B"/>
    <w:rsid w:val="00950EA6"/>
    <w:rsid w:val="0095120E"/>
    <w:rsid w:val="009513AD"/>
    <w:rsid w:val="009514F3"/>
    <w:rsid w:val="00951741"/>
    <w:rsid w:val="00951762"/>
    <w:rsid w:val="00951829"/>
    <w:rsid w:val="00951AA4"/>
    <w:rsid w:val="00951EB0"/>
    <w:rsid w:val="009521B8"/>
    <w:rsid w:val="0095234F"/>
    <w:rsid w:val="00952A7D"/>
    <w:rsid w:val="00952AD0"/>
    <w:rsid w:val="00952BB1"/>
    <w:rsid w:val="00952DBD"/>
    <w:rsid w:val="009532E4"/>
    <w:rsid w:val="00953651"/>
    <w:rsid w:val="009536D1"/>
    <w:rsid w:val="00953894"/>
    <w:rsid w:val="00953B67"/>
    <w:rsid w:val="00953F96"/>
    <w:rsid w:val="00953FEA"/>
    <w:rsid w:val="009540CB"/>
    <w:rsid w:val="00954292"/>
    <w:rsid w:val="009544FC"/>
    <w:rsid w:val="00954599"/>
    <w:rsid w:val="00954A14"/>
    <w:rsid w:val="00954DFF"/>
    <w:rsid w:val="00954E6E"/>
    <w:rsid w:val="0095502F"/>
    <w:rsid w:val="009550EC"/>
    <w:rsid w:val="00955169"/>
    <w:rsid w:val="00955192"/>
    <w:rsid w:val="009552B7"/>
    <w:rsid w:val="0095549A"/>
    <w:rsid w:val="009557FA"/>
    <w:rsid w:val="00955851"/>
    <w:rsid w:val="009559E6"/>
    <w:rsid w:val="009559FF"/>
    <w:rsid w:val="00955BED"/>
    <w:rsid w:val="00955FB4"/>
    <w:rsid w:val="00955FDF"/>
    <w:rsid w:val="009561A7"/>
    <w:rsid w:val="009563C6"/>
    <w:rsid w:val="0095649D"/>
    <w:rsid w:val="00956501"/>
    <w:rsid w:val="00956736"/>
    <w:rsid w:val="00956B59"/>
    <w:rsid w:val="00956CD5"/>
    <w:rsid w:val="00956D95"/>
    <w:rsid w:val="00956F2D"/>
    <w:rsid w:val="009571F2"/>
    <w:rsid w:val="0095731A"/>
    <w:rsid w:val="00957342"/>
    <w:rsid w:val="009574C1"/>
    <w:rsid w:val="009576A2"/>
    <w:rsid w:val="00957B2B"/>
    <w:rsid w:val="00957BB2"/>
    <w:rsid w:val="00957DC8"/>
    <w:rsid w:val="00957F1F"/>
    <w:rsid w:val="00957F3B"/>
    <w:rsid w:val="0096046E"/>
    <w:rsid w:val="00960654"/>
    <w:rsid w:val="009606D8"/>
    <w:rsid w:val="00960705"/>
    <w:rsid w:val="0096098A"/>
    <w:rsid w:val="00960B2B"/>
    <w:rsid w:val="00960D5C"/>
    <w:rsid w:val="00960E35"/>
    <w:rsid w:val="00960F1D"/>
    <w:rsid w:val="00960F71"/>
    <w:rsid w:val="0096132D"/>
    <w:rsid w:val="00961379"/>
    <w:rsid w:val="00961478"/>
    <w:rsid w:val="0096161F"/>
    <w:rsid w:val="00961821"/>
    <w:rsid w:val="00961882"/>
    <w:rsid w:val="00961959"/>
    <w:rsid w:val="00961A1C"/>
    <w:rsid w:val="00961ACC"/>
    <w:rsid w:val="00961B32"/>
    <w:rsid w:val="00961BA2"/>
    <w:rsid w:val="00961CC5"/>
    <w:rsid w:val="00961DCF"/>
    <w:rsid w:val="00961E76"/>
    <w:rsid w:val="00961F41"/>
    <w:rsid w:val="009620EB"/>
    <w:rsid w:val="0096214B"/>
    <w:rsid w:val="009621D7"/>
    <w:rsid w:val="0096223D"/>
    <w:rsid w:val="00962356"/>
    <w:rsid w:val="00962558"/>
    <w:rsid w:val="009625FE"/>
    <w:rsid w:val="00962661"/>
    <w:rsid w:val="009629A5"/>
    <w:rsid w:val="00962A7E"/>
    <w:rsid w:val="00962C6D"/>
    <w:rsid w:val="00962CDB"/>
    <w:rsid w:val="0096328A"/>
    <w:rsid w:val="0096328F"/>
    <w:rsid w:val="009635A5"/>
    <w:rsid w:val="0096397A"/>
    <w:rsid w:val="00963AF2"/>
    <w:rsid w:val="00963B2E"/>
    <w:rsid w:val="00963BA0"/>
    <w:rsid w:val="00963BEB"/>
    <w:rsid w:val="00963CFB"/>
    <w:rsid w:val="00963DB2"/>
    <w:rsid w:val="00964099"/>
    <w:rsid w:val="00964504"/>
    <w:rsid w:val="0096453A"/>
    <w:rsid w:val="009648D6"/>
    <w:rsid w:val="0096492A"/>
    <w:rsid w:val="00964C42"/>
    <w:rsid w:val="009652D7"/>
    <w:rsid w:val="0096553D"/>
    <w:rsid w:val="00965549"/>
    <w:rsid w:val="00965587"/>
    <w:rsid w:val="009655C4"/>
    <w:rsid w:val="00965676"/>
    <w:rsid w:val="009658F5"/>
    <w:rsid w:val="009658F8"/>
    <w:rsid w:val="00965BB6"/>
    <w:rsid w:val="00965DC9"/>
    <w:rsid w:val="00965DCF"/>
    <w:rsid w:val="00965E27"/>
    <w:rsid w:val="00965F7D"/>
    <w:rsid w:val="0096649D"/>
    <w:rsid w:val="009666DD"/>
    <w:rsid w:val="00966A39"/>
    <w:rsid w:val="00966B7F"/>
    <w:rsid w:val="00966D2D"/>
    <w:rsid w:val="00966DBE"/>
    <w:rsid w:val="009672C5"/>
    <w:rsid w:val="0096743B"/>
    <w:rsid w:val="00967524"/>
    <w:rsid w:val="00967529"/>
    <w:rsid w:val="009675AA"/>
    <w:rsid w:val="009676AC"/>
    <w:rsid w:val="0096772D"/>
    <w:rsid w:val="009677B3"/>
    <w:rsid w:val="009677C4"/>
    <w:rsid w:val="0096784D"/>
    <w:rsid w:val="009703C3"/>
    <w:rsid w:val="00970493"/>
    <w:rsid w:val="00970519"/>
    <w:rsid w:val="009706F7"/>
    <w:rsid w:val="0097071C"/>
    <w:rsid w:val="00970BDF"/>
    <w:rsid w:val="00970BE8"/>
    <w:rsid w:val="00971090"/>
    <w:rsid w:val="00971130"/>
    <w:rsid w:val="0097118F"/>
    <w:rsid w:val="0097119E"/>
    <w:rsid w:val="00971300"/>
    <w:rsid w:val="00971572"/>
    <w:rsid w:val="00971683"/>
    <w:rsid w:val="009717C1"/>
    <w:rsid w:val="0097184A"/>
    <w:rsid w:val="00971D28"/>
    <w:rsid w:val="00971E31"/>
    <w:rsid w:val="00971F23"/>
    <w:rsid w:val="00971F76"/>
    <w:rsid w:val="009721BD"/>
    <w:rsid w:val="009721C9"/>
    <w:rsid w:val="009722D5"/>
    <w:rsid w:val="00972373"/>
    <w:rsid w:val="00972624"/>
    <w:rsid w:val="009728FD"/>
    <w:rsid w:val="00972901"/>
    <w:rsid w:val="0097292B"/>
    <w:rsid w:val="00972ABD"/>
    <w:rsid w:val="00972BCA"/>
    <w:rsid w:val="00972EDB"/>
    <w:rsid w:val="00972F46"/>
    <w:rsid w:val="00973084"/>
    <w:rsid w:val="009732DF"/>
    <w:rsid w:val="009733E1"/>
    <w:rsid w:val="00973497"/>
    <w:rsid w:val="009736AB"/>
    <w:rsid w:val="009737F8"/>
    <w:rsid w:val="009739B1"/>
    <w:rsid w:val="00973C44"/>
    <w:rsid w:val="00973F62"/>
    <w:rsid w:val="00974166"/>
    <w:rsid w:val="009741AD"/>
    <w:rsid w:val="009742EC"/>
    <w:rsid w:val="0097433E"/>
    <w:rsid w:val="009744E3"/>
    <w:rsid w:val="0097467D"/>
    <w:rsid w:val="0097468F"/>
    <w:rsid w:val="00974B16"/>
    <w:rsid w:val="00974B4D"/>
    <w:rsid w:val="00974D41"/>
    <w:rsid w:val="00974D72"/>
    <w:rsid w:val="00975128"/>
    <w:rsid w:val="009752B7"/>
    <w:rsid w:val="0097551B"/>
    <w:rsid w:val="0097569D"/>
    <w:rsid w:val="0097586A"/>
    <w:rsid w:val="00975981"/>
    <w:rsid w:val="00975B52"/>
    <w:rsid w:val="00975B9B"/>
    <w:rsid w:val="00975BFB"/>
    <w:rsid w:val="00975DA2"/>
    <w:rsid w:val="00975E77"/>
    <w:rsid w:val="00975F27"/>
    <w:rsid w:val="00976079"/>
    <w:rsid w:val="00976128"/>
    <w:rsid w:val="009762B7"/>
    <w:rsid w:val="00976596"/>
    <w:rsid w:val="009766FD"/>
    <w:rsid w:val="0097677D"/>
    <w:rsid w:val="009767C3"/>
    <w:rsid w:val="009769D2"/>
    <w:rsid w:val="00976A56"/>
    <w:rsid w:val="00976BAB"/>
    <w:rsid w:val="00976BAF"/>
    <w:rsid w:val="00977158"/>
    <w:rsid w:val="009775EC"/>
    <w:rsid w:val="00977603"/>
    <w:rsid w:val="009776ED"/>
    <w:rsid w:val="00977ADB"/>
    <w:rsid w:val="00977D6D"/>
    <w:rsid w:val="00977F0B"/>
    <w:rsid w:val="009800CE"/>
    <w:rsid w:val="009802E8"/>
    <w:rsid w:val="00980334"/>
    <w:rsid w:val="009803C1"/>
    <w:rsid w:val="0098041F"/>
    <w:rsid w:val="00980778"/>
    <w:rsid w:val="00980855"/>
    <w:rsid w:val="00980892"/>
    <w:rsid w:val="009809FF"/>
    <w:rsid w:val="00980B6B"/>
    <w:rsid w:val="00981012"/>
    <w:rsid w:val="0098111D"/>
    <w:rsid w:val="0098155B"/>
    <w:rsid w:val="009815F2"/>
    <w:rsid w:val="009817F7"/>
    <w:rsid w:val="00981D77"/>
    <w:rsid w:val="009822D3"/>
    <w:rsid w:val="0098230C"/>
    <w:rsid w:val="00982416"/>
    <w:rsid w:val="0098258D"/>
    <w:rsid w:val="009825BA"/>
    <w:rsid w:val="009827E2"/>
    <w:rsid w:val="00982949"/>
    <w:rsid w:val="009829A2"/>
    <w:rsid w:val="00982DEF"/>
    <w:rsid w:val="00982EB5"/>
    <w:rsid w:val="00983030"/>
    <w:rsid w:val="00983396"/>
    <w:rsid w:val="009833CE"/>
    <w:rsid w:val="00983631"/>
    <w:rsid w:val="009836F6"/>
    <w:rsid w:val="00983B27"/>
    <w:rsid w:val="00983B8B"/>
    <w:rsid w:val="00983C4E"/>
    <w:rsid w:val="0098410A"/>
    <w:rsid w:val="00984144"/>
    <w:rsid w:val="009843CF"/>
    <w:rsid w:val="00984786"/>
    <w:rsid w:val="00984878"/>
    <w:rsid w:val="00984953"/>
    <w:rsid w:val="0098496D"/>
    <w:rsid w:val="00984B37"/>
    <w:rsid w:val="00984B78"/>
    <w:rsid w:val="00984D10"/>
    <w:rsid w:val="00984EF5"/>
    <w:rsid w:val="00984F6D"/>
    <w:rsid w:val="00985004"/>
    <w:rsid w:val="0098509D"/>
    <w:rsid w:val="009850AE"/>
    <w:rsid w:val="009850BC"/>
    <w:rsid w:val="00985189"/>
    <w:rsid w:val="009852BE"/>
    <w:rsid w:val="00985862"/>
    <w:rsid w:val="009858FA"/>
    <w:rsid w:val="00985C5F"/>
    <w:rsid w:val="00985DFE"/>
    <w:rsid w:val="00985E8B"/>
    <w:rsid w:val="00985EDB"/>
    <w:rsid w:val="00985EED"/>
    <w:rsid w:val="009865BD"/>
    <w:rsid w:val="009865DC"/>
    <w:rsid w:val="00986768"/>
    <w:rsid w:val="009868AC"/>
    <w:rsid w:val="009868F8"/>
    <w:rsid w:val="00986A25"/>
    <w:rsid w:val="00986AC2"/>
    <w:rsid w:val="00986B61"/>
    <w:rsid w:val="00986CAD"/>
    <w:rsid w:val="00986E0B"/>
    <w:rsid w:val="00986E5F"/>
    <w:rsid w:val="00986F1A"/>
    <w:rsid w:val="00986F7E"/>
    <w:rsid w:val="0098711F"/>
    <w:rsid w:val="00987217"/>
    <w:rsid w:val="0098744F"/>
    <w:rsid w:val="009874D0"/>
    <w:rsid w:val="009875AF"/>
    <w:rsid w:val="0098773F"/>
    <w:rsid w:val="00987871"/>
    <w:rsid w:val="00987A42"/>
    <w:rsid w:val="00987AB5"/>
    <w:rsid w:val="00987CF4"/>
    <w:rsid w:val="00987E89"/>
    <w:rsid w:val="00987F9F"/>
    <w:rsid w:val="009902D1"/>
    <w:rsid w:val="00990308"/>
    <w:rsid w:val="0099040D"/>
    <w:rsid w:val="0099095E"/>
    <w:rsid w:val="00990A3C"/>
    <w:rsid w:val="00990B78"/>
    <w:rsid w:val="00990BAF"/>
    <w:rsid w:val="00990C6E"/>
    <w:rsid w:val="00990FF7"/>
    <w:rsid w:val="00991286"/>
    <w:rsid w:val="00991514"/>
    <w:rsid w:val="00991BC3"/>
    <w:rsid w:val="00991D63"/>
    <w:rsid w:val="00991E5F"/>
    <w:rsid w:val="0099200E"/>
    <w:rsid w:val="009923AE"/>
    <w:rsid w:val="009926C1"/>
    <w:rsid w:val="00992B74"/>
    <w:rsid w:val="00992F21"/>
    <w:rsid w:val="00992FE6"/>
    <w:rsid w:val="0099314D"/>
    <w:rsid w:val="009931CC"/>
    <w:rsid w:val="00993212"/>
    <w:rsid w:val="009935E2"/>
    <w:rsid w:val="00993664"/>
    <w:rsid w:val="00993861"/>
    <w:rsid w:val="00993B0A"/>
    <w:rsid w:val="00993BF2"/>
    <w:rsid w:val="00993C17"/>
    <w:rsid w:val="00993E6B"/>
    <w:rsid w:val="00993EE2"/>
    <w:rsid w:val="00994061"/>
    <w:rsid w:val="0099413F"/>
    <w:rsid w:val="00994256"/>
    <w:rsid w:val="009943FA"/>
    <w:rsid w:val="0099457C"/>
    <w:rsid w:val="009945C3"/>
    <w:rsid w:val="00994737"/>
    <w:rsid w:val="00994749"/>
    <w:rsid w:val="00994CFF"/>
    <w:rsid w:val="00994D77"/>
    <w:rsid w:val="00994D93"/>
    <w:rsid w:val="00994E35"/>
    <w:rsid w:val="00994F12"/>
    <w:rsid w:val="009951E1"/>
    <w:rsid w:val="00995799"/>
    <w:rsid w:val="00995864"/>
    <w:rsid w:val="00995F91"/>
    <w:rsid w:val="00996087"/>
    <w:rsid w:val="0099619E"/>
    <w:rsid w:val="0099645D"/>
    <w:rsid w:val="009965BF"/>
    <w:rsid w:val="009965EA"/>
    <w:rsid w:val="009967B7"/>
    <w:rsid w:val="009967FF"/>
    <w:rsid w:val="00996CD2"/>
    <w:rsid w:val="00996E0F"/>
    <w:rsid w:val="00996E46"/>
    <w:rsid w:val="00996FD3"/>
    <w:rsid w:val="009970C2"/>
    <w:rsid w:val="0099773D"/>
    <w:rsid w:val="0099795B"/>
    <w:rsid w:val="009979F4"/>
    <w:rsid w:val="00997BCB"/>
    <w:rsid w:val="00997E7F"/>
    <w:rsid w:val="00997EB6"/>
    <w:rsid w:val="009A01D1"/>
    <w:rsid w:val="009A027B"/>
    <w:rsid w:val="009A039D"/>
    <w:rsid w:val="009A03A9"/>
    <w:rsid w:val="009A052F"/>
    <w:rsid w:val="009A0616"/>
    <w:rsid w:val="009A0895"/>
    <w:rsid w:val="009A08B1"/>
    <w:rsid w:val="009A09D2"/>
    <w:rsid w:val="009A0D08"/>
    <w:rsid w:val="009A0E9A"/>
    <w:rsid w:val="009A0FB1"/>
    <w:rsid w:val="009A11FD"/>
    <w:rsid w:val="009A1559"/>
    <w:rsid w:val="009A1667"/>
    <w:rsid w:val="009A170A"/>
    <w:rsid w:val="009A184B"/>
    <w:rsid w:val="009A199D"/>
    <w:rsid w:val="009A1B7F"/>
    <w:rsid w:val="009A1C20"/>
    <w:rsid w:val="009A1E3D"/>
    <w:rsid w:val="009A2092"/>
    <w:rsid w:val="009A22DE"/>
    <w:rsid w:val="009A23AF"/>
    <w:rsid w:val="009A2489"/>
    <w:rsid w:val="009A24D5"/>
    <w:rsid w:val="009A24EB"/>
    <w:rsid w:val="009A25F4"/>
    <w:rsid w:val="009A274D"/>
    <w:rsid w:val="009A2757"/>
    <w:rsid w:val="009A2A3A"/>
    <w:rsid w:val="009A2B60"/>
    <w:rsid w:val="009A2E05"/>
    <w:rsid w:val="009A31C4"/>
    <w:rsid w:val="009A3218"/>
    <w:rsid w:val="009A326F"/>
    <w:rsid w:val="009A393D"/>
    <w:rsid w:val="009A3B34"/>
    <w:rsid w:val="009A42BA"/>
    <w:rsid w:val="009A46C6"/>
    <w:rsid w:val="009A472C"/>
    <w:rsid w:val="009A4834"/>
    <w:rsid w:val="009A4912"/>
    <w:rsid w:val="009A498C"/>
    <w:rsid w:val="009A4A6C"/>
    <w:rsid w:val="009A4B4E"/>
    <w:rsid w:val="009A4E11"/>
    <w:rsid w:val="009A4F51"/>
    <w:rsid w:val="009A4FA5"/>
    <w:rsid w:val="009A5045"/>
    <w:rsid w:val="009A50EE"/>
    <w:rsid w:val="009A5158"/>
    <w:rsid w:val="009A51D0"/>
    <w:rsid w:val="009A526D"/>
    <w:rsid w:val="009A556B"/>
    <w:rsid w:val="009A55A1"/>
    <w:rsid w:val="009A571A"/>
    <w:rsid w:val="009A5946"/>
    <w:rsid w:val="009A5950"/>
    <w:rsid w:val="009A598D"/>
    <w:rsid w:val="009A5C70"/>
    <w:rsid w:val="009A5CD2"/>
    <w:rsid w:val="009A5ED8"/>
    <w:rsid w:val="009A60A4"/>
    <w:rsid w:val="009A625B"/>
    <w:rsid w:val="009A657E"/>
    <w:rsid w:val="009A6620"/>
    <w:rsid w:val="009A669E"/>
    <w:rsid w:val="009A6771"/>
    <w:rsid w:val="009A6806"/>
    <w:rsid w:val="009A6847"/>
    <w:rsid w:val="009A6895"/>
    <w:rsid w:val="009A69B0"/>
    <w:rsid w:val="009A69C7"/>
    <w:rsid w:val="009A6F26"/>
    <w:rsid w:val="009A738D"/>
    <w:rsid w:val="009A759A"/>
    <w:rsid w:val="009A75D4"/>
    <w:rsid w:val="009A75E0"/>
    <w:rsid w:val="009A7713"/>
    <w:rsid w:val="009A79EC"/>
    <w:rsid w:val="009A7BC5"/>
    <w:rsid w:val="009A7BD5"/>
    <w:rsid w:val="009A7C6A"/>
    <w:rsid w:val="009A7E9F"/>
    <w:rsid w:val="009A7ECE"/>
    <w:rsid w:val="009B0026"/>
    <w:rsid w:val="009B03FB"/>
    <w:rsid w:val="009B0515"/>
    <w:rsid w:val="009B0524"/>
    <w:rsid w:val="009B076A"/>
    <w:rsid w:val="009B080A"/>
    <w:rsid w:val="009B0AA4"/>
    <w:rsid w:val="009B0DF0"/>
    <w:rsid w:val="009B0FC1"/>
    <w:rsid w:val="009B0FE6"/>
    <w:rsid w:val="009B1361"/>
    <w:rsid w:val="009B144F"/>
    <w:rsid w:val="009B1530"/>
    <w:rsid w:val="009B1536"/>
    <w:rsid w:val="009B1611"/>
    <w:rsid w:val="009B1928"/>
    <w:rsid w:val="009B1BA4"/>
    <w:rsid w:val="009B1CA4"/>
    <w:rsid w:val="009B1DB4"/>
    <w:rsid w:val="009B1E77"/>
    <w:rsid w:val="009B1EF5"/>
    <w:rsid w:val="009B1FB4"/>
    <w:rsid w:val="009B205D"/>
    <w:rsid w:val="009B206C"/>
    <w:rsid w:val="009B2110"/>
    <w:rsid w:val="009B2180"/>
    <w:rsid w:val="009B21D0"/>
    <w:rsid w:val="009B2528"/>
    <w:rsid w:val="009B26D2"/>
    <w:rsid w:val="009B2723"/>
    <w:rsid w:val="009B299E"/>
    <w:rsid w:val="009B2A92"/>
    <w:rsid w:val="009B2C13"/>
    <w:rsid w:val="009B2E21"/>
    <w:rsid w:val="009B2FD3"/>
    <w:rsid w:val="009B3512"/>
    <w:rsid w:val="009B3618"/>
    <w:rsid w:val="009B3657"/>
    <w:rsid w:val="009B39C2"/>
    <w:rsid w:val="009B3BF6"/>
    <w:rsid w:val="009B3EDF"/>
    <w:rsid w:val="009B4880"/>
    <w:rsid w:val="009B4897"/>
    <w:rsid w:val="009B4B61"/>
    <w:rsid w:val="009B4BC0"/>
    <w:rsid w:val="009B4C9A"/>
    <w:rsid w:val="009B4E18"/>
    <w:rsid w:val="009B519B"/>
    <w:rsid w:val="009B5219"/>
    <w:rsid w:val="009B5309"/>
    <w:rsid w:val="009B530B"/>
    <w:rsid w:val="009B5316"/>
    <w:rsid w:val="009B532B"/>
    <w:rsid w:val="009B55BF"/>
    <w:rsid w:val="009B5616"/>
    <w:rsid w:val="009B5630"/>
    <w:rsid w:val="009B5681"/>
    <w:rsid w:val="009B56DC"/>
    <w:rsid w:val="009B5706"/>
    <w:rsid w:val="009B571B"/>
    <w:rsid w:val="009B57F6"/>
    <w:rsid w:val="009B58A8"/>
    <w:rsid w:val="009B5AF1"/>
    <w:rsid w:val="009B5AFF"/>
    <w:rsid w:val="009B5EAA"/>
    <w:rsid w:val="009B5F19"/>
    <w:rsid w:val="009B6062"/>
    <w:rsid w:val="009B6120"/>
    <w:rsid w:val="009B64BE"/>
    <w:rsid w:val="009B6602"/>
    <w:rsid w:val="009B69DF"/>
    <w:rsid w:val="009B6A4A"/>
    <w:rsid w:val="009B6AE4"/>
    <w:rsid w:val="009B6B16"/>
    <w:rsid w:val="009B6D60"/>
    <w:rsid w:val="009B6E1E"/>
    <w:rsid w:val="009B6F0C"/>
    <w:rsid w:val="009B6F76"/>
    <w:rsid w:val="009B70AD"/>
    <w:rsid w:val="009B7106"/>
    <w:rsid w:val="009B7134"/>
    <w:rsid w:val="009B7438"/>
    <w:rsid w:val="009B75BA"/>
    <w:rsid w:val="009B7690"/>
    <w:rsid w:val="009B76C9"/>
    <w:rsid w:val="009B7B66"/>
    <w:rsid w:val="009B7F38"/>
    <w:rsid w:val="009C0590"/>
    <w:rsid w:val="009C07C0"/>
    <w:rsid w:val="009C0829"/>
    <w:rsid w:val="009C0878"/>
    <w:rsid w:val="009C093E"/>
    <w:rsid w:val="009C0951"/>
    <w:rsid w:val="009C0C6B"/>
    <w:rsid w:val="009C0E93"/>
    <w:rsid w:val="009C11C9"/>
    <w:rsid w:val="009C1671"/>
    <w:rsid w:val="009C18CD"/>
    <w:rsid w:val="009C1959"/>
    <w:rsid w:val="009C1A29"/>
    <w:rsid w:val="009C1DB2"/>
    <w:rsid w:val="009C21D0"/>
    <w:rsid w:val="009C23C5"/>
    <w:rsid w:val="009C2E76"/>
    <w:rsid w:val="009C2F1F"/>
    <w:rsid w:val="009C3119"/>
    <w:rsid w:val="009C339E"/>
    <w:rsid w:val="009C3750"/>
    <w:rsid w:val="009C399E"/>
    <w:rsid w:val="009C39D8"/>
    <w:rsid w:val="009C3C8A"/>
    <w:rsid w:val="009C3EBC"/>
    <w:rsid w:val="009C3FE4"/>
    <w:rsid w:val="009C404C"/>
    <w:rsid w:val="009C44CA"/>
    <w:rsid w:val="009C45AA"/>
    <w:rsid w:val="009C462D"/>
    <w:rsid w:val="009C4734"/>
    <w:rsid w:val="009C4873"/>
    <w:rsid w:val="009C4897"/>
    <w:rsid w:val="009C49F8"/>
    <w:rsid w:val="009C4ADD"/>
    <w:rsid w:val="009C4F88"/>
    <w:rsid w:val="009C503C"/>
    <w:rsid w:val="009C54D9"/>
    <w:rsid w:val="009C565B"/>
    <w:rsid w:val="009C5698"/>
    <w:rsid w:val="009C56CD"/>
    <w:rsid w:val="009C58C8"/>
    <w:rsid w:val="009C58CE"/>
    <w:rsid w:val="009C5978"/>
    <w:rsid w:val="009C5980"/>
    <w:rsid w:val="009C5B52"/>
    <w:rsid w:val="009C5D33"/>
    <w:rsid w:val="009C5D36"/>
    <w:rsid w:val="009C5F11"/>
    <w:rsid w:val="009C5F60"/>
    <w:rsid w:val="009C5FC4"/>
    <w:rsid w:val="009C61E1"/>
    <w:rsid w:val="009C62B5"/>
    <w:rsid w:val="009C62EE"/>
    <w:rsid w:val="009C645E"/>
    <w:rsid w:val="009C66DF"/>
    <w:rsid w:val="009C6BAF"/>
    <w:rsid w:val="009C70D5"/>
    <w:rsid w:val="009C718A"/>
    <w:rsid w:val="009C734C"/>
    <w:rsid w:val="009C75FE"/>
    <w:rsid w:val="009C76D3"/>
    <w:rsid w:val="009C7A29"/>
    <w:rsid w:val="009C7B5E"/>
    <w:rsid w:val="009C7CB9"/>
    <w:rsid w:val="009C7D33"/>
    <w:rsid w:val="009C7D6D"/>
    <w:rsid w:val="009C7EC9"/>
    <w:rsid w:val="009C7F38"/>
    <w:rsid w:val="009CA748"/>
    <w:rsid w:val="009D00CE"/>
    <w:rsid w:val="009D0114"/>
    <w:rsid w:val="009D0293"/>
    <w:rsid w:val="009D02BD"/>
    <w:rsid w:val="009D03A0"/>
    <w:rsid w:val="009D049F"/>
    <w:rsid w:val="009D04E6"/>
    <w:rsid w:val="009D071A"/>
    <w:rsid w:val="009D0BF4"/>
    <w:rsid w:val="009D0C87"/>
    <w:rsid w:val="009D0D38"/>
    <w:rsid w:val="009D0E5F"/>
    <w:rsid w:val="009D0E6E"/>
    <w:rsid w:val="009D1065"/>
    <w:rsid w:val="009D11E1"/>
    <w:rsid w:val="009D1273"/>
    <w:rsid w:val="009D13D5"/>
    <w:rsid w:val="009D1767"/>
    <w:rsid w:val="009D185F"/>
    <w:rsid w:val="009D1962"/>
    <w:rsid w:val="009D19DF"/>
    <w:rsid w:val="009D1AD2"/>
    <w:rsid w:val="009D1C9D"/>
    <w:rsid w:val="009D1CA9"/>
    <w:rsid w:val="009D1DB0"/>
    <w:rsid w:val="009D1EF7"/>
    <w:rsid w:val="009D257E"/>
    <w:rsid w:val="009D2643"/>
    <w:rsid w:val="009D29D0"/>
    <w:rsid w:val="009D2DEB"/>
    <w:rsid w:val="009D2EF9"/>
    <w:rsid w:val="009D2F43"/>
    <w:rsid w:val="009D30D6"/>
    <w:rsid w:val="009D32C6"/>
    <w:rsid w:val="009D355F"/>
    <w:rsid w:val="009D36ED"/>
    <w:rsid w:val="009D386E"/>
    <w:rsid w:val="009D3B10"/>
    <w:rsid w:val="009D3BAA"/>
    <w:rsid w:val="009D3C36"/>
    <w:rsid w:val="009D3D1F"/>
    <w:rsid w:val="009D3F4F"/>
    <w:rsid w:val="009D3F99"/>
    <w:rsid w:val="009D42E6"/>
    <w:rsid w:val="009D4330"/>
    <w:rsid w:val="009D4884"/>
    <w:rsid w:val="009D4946"/>
    <w:rsid w:val="009D49B9"/>
    <w:rsid w:val="009D4B6B"/>
    <w:rsid w:val="009D4B9B"/>
    <w:rsid w:val="009D4C7B"/>
    <w:rsid w:val="009D4CE3"/>
    <w:rsid w:val="009D4DBD"/>
    <w:rsid w:val="009D4EC1"/>
    <w:rsid w:val="009D4F51"/>
    <w:rsid w:val="009D522C"/>
    <w:rsid w:val="009D5550"/>
    <w:rsid w:val="009D5657"/>
    <w:rsid w:val="009D5710"/>
    <w:rsid w:val="009D57C8"/>
    <w:rsid w:val="009D58C3"/>
    <w:rsid w:val="009D596F"/>
    <w:rsid w:val="009D598F"/>
    <w:rsid w:val="009D5B94"/>
    <w:rsid w:val="009D5B9F"/>
    <w:rsid w:val="009D5D9C"/>
    <w:rsid w:val="009D5EFF"/>
    <w:rsid w:val="009D6011"/>
    <w:rsid w:val="009D62FC"/>
    <w:rsid w:val="009D62FF"/>
    <w:rsid w:val="009D6315"/>
    <w:rsid w:val="009D6322"/>
    <w:rsid w:val="009D6539"/>
    <w:rsid w:val="009D659E"/>
    <w:rsid w:val="009D663A"/>
    <w:rsid w:val="009D6756"/>
    <w:rsid w:val="009D6B37"/>
    <w:rsid w:val="009D6BA0"/>
    <w:rsid w:val="009D6C8D"/>
    <w:rsid w:val="009D6E7B"/>
    <w:rsid w:val="009D701F"/>
    <w:rsid w:val="009D7143"/>
    <w:rsid w:val="009D7547"/>
    <w:rsid w:val="009D75D1"/>
    <w:rsid w:val="009D7B76"/>
    <w:rsid w:val="009D7C33"/>
    <w:rsid w:val="009D7C59"/>
    <w:rsid w:val="009D7D07"/>
    <w:rsid w:val="009D7EED"/>
    <w:rsid w:val="009E0176"/>
    <w:rsid w:val="009E026E"/>
    <w:rsid w:val="009E02CF"/>
    <w:rsid w:val="009E0508"/>
    <w:rsid w:val="009E0598"/>
    <w:rsid w:val="009E06E0"/>
    <w:rsid w:val="009E0849"/>
    <w:rsid w:val="009E0886"/>
    <w:rsid w:val="009E0941"/>
    <w:rsid w:val="009E0A60"/>
    <w:rsid w:val="009E0D78"/>
    <w:rsid w:val="009E0F7E"/>
    <w:rsid w:val="009E12B8"/>
    <w:rsid w:val="009E1383"/>
    <w:rsid w:val="009E14F1"/>
    <w:rsid w:val="009E1543"/>
    <w:rsid w:val="009E160D"/>
    <w:rsid w:val="009E17E0"/>
    <w:rsid w:val="009E1B83"/>
    <w:rsid w:val="009E1D92"/>
    <w:rsid w:val="009E1EF0"/>
    <w:rsid w:val="009E2574"/>
    <w:rsid w:val="009E25A5"/>
    <w:rsid w:val="009E26BB"/>
    <w:rsid w:val="009E28D4"/>
    <w:rsid w:val="009E29C5"/>
    <w:rsid w:val="009E2BFF"/>
    <w:rsid w:val="009E30EB"/>
    <w:rsid w:val="009E315F"/>
    <w:rsid w:val="009E3190"/>
    <w:rsid w:val="009E37EE"/>
    <w:rsid w:val="009E3835"/>
    <w:rsid w:val="009E38D6"/>
    <w:rsid w:val="009E3A02"/>
    <w:rsid w:val="009E3B2C"/>
    <w:rsid w:val="009E3B52"/>
    <w:rsid w:val="009E3DD3"/>
    <w:rsid w:val="009E3E54"/>
    <w:rsid w:val="009E3E71"/>
    <w:rsid w:val="009E3EEE"/>
    <w:rsid w:val="009E3F0B"/>
    <w:rsid w:val="009E4247"/>
    <w:rsid w:val="009E4438"/>
    <w:rsid w:val="009E449B"/>
    <w:rsid w:val="009E4684"/>
    <w:rsid w:val="009E47B1"/>
    <w:rsid w:val="009E4849"/>
    <w:rsid w:val="009E4866"/>
    <w:rsid w:val="009E498E"/>
    <w:rsid w:val="009E4C8F"/>
    <w:rsid w:val="009E4FD1"/>
    <w:rsid w:val="009E5279"/>
    <w:rsid w:val="009E52F2"/>
    <w:rsid w:val="009E5660"/>
    <w:rsid w:val="009E5BC6"/>
    <w:rsid w:val="009E5C33"/>
    <w:rsid w:val="009E5CA4"/>
    <w:rsid w:val="009E5D50"/>
    <w:rsid w:val="009E5DB1"/>
    <w:rsid w:val="009E5FB3"/>
    <w:rsid w:val="009E6602"/>
    <w:rsid w:val="009E692C"/>
    <w:rsid w:val="009E6A20"/>
    <w:rsid w:val="009E6B38"/>
    <w:rsid w:val="009E6BD0"/>
    <w:rsid w:val="009E6ECB"/>
    <w:rsid w:val="009E700E"/>
    <w:rsid w:val="009E731A"/>
    <w:rsid w:val="009E73BA"/>
    <w:rsid w:val="009E73C6"/>
    <w:rsid w:val="009E74EA"/>
    <w:rsid w:val="009E766F"/>
    <w:rsid w:val="009E7679"/>
    <w:rsid w:val="009E7686"/>
    <w:rsid w:val="009E76B4"/>
    <w:rsid w:val="009E78FE"/>
    <w:rsid w:val="009E79E3"/>
    <w:rsid w:val="009E7A9F"/>
    <w:rsid w:val="009E7B95"/>
    <w:rsid w:val="009E7BE1"/>
    <w:rsid w:val="009E7CF0"/>
    <w:rsid w:val="009E7D54"/>
    <w:rsid w:val="009E7E38"/>
    <w:rsid w:val="009E7E50"/>
    <w:rsid w:val="009F0096"/>
    <w:rsid w:val="009F00E3"/>
    <w:rsid w:val="009F010C"/>
    <w:rsid w:val="009F03A6"/>
    <w:rsid w:val="009F0559"/>
    <w:rsid w:val="009F05F8"/>
    <w:rsid w:val="009F062C"/>
    <w:rsid w:val="009F06C5"/>
    <w:rsid w:val="009F097B"/>
    <w:rsid w:val="009F09F6"/>
    <w:rsid w:val="009F0A8A"/>
    <w:rsid w:val="009F0CB3"/>
    <w:rsid w:val="009F0D3D"/>
    <w:rsid w:val="009F0E72"/>
    <w:rsid w:val="009F0FEA"/>
    <w:rsid w:val="009F119E"/>
    <w:rsid w:val="009F133C"/>
    <w:rsid w:val="009F14A5"/>
    <w:rsid w:val="009F155C"/>
    <w:rsid w:val="009F198D"/>
    <w:rsid w:val="009F19D8"/>
    <w:rsid w:val="009F1BEE"/>
    <w:rsid w:val="009F205C"/>
    <w:rsid w:val="009F2255"/>
    <w:rsid w:val="009F2326"/>
    <w:rsid w:val="009F25D4"/>
    <w:rsid w:val="009F2701"/>
    <w:rsid w:val="009F2905"/>
    <w:rsid w:val="009F29CB"/>
    <w:rsid w:val="009F2B89"/>
    <w:rsid w:val="009F2CD1"/>
    <w:rsid w:val="009F2CE6"/>
    <w:rsid w:val="009F308A"/>
    <w:rsid w:val="009F36FC"/>
    <w:rsid w:val="009F3818"/>
    <w:rsid w:val="009F3A76"/>
    <w:rsid w:val="009F3AE3"/>
    <w:rsid w:val="009F3CA5"/>
    <w:rsid w:val="009F3E0F"/>
    <w:rsid w:val="009F3ED8"/>
    <w:rsid w:val="009F4053"/>
    <w:rsid w:val="009F4130"/>
    <w:rsid w:val="009F4164"/>
    <w:rsid w:val="009F417D"/>
    <w:rsid w:val="009F46D1"/>
    <w:rsid w:val="009F476C"/>
    <w:rsid w:val="009F4830"/>
    <w:rsid w:val="009F4A54"/>
    <w:rsid w:val="009F4B36"/>
    <w:rsid w:val="009F4C61"/>
    <w:rsid w:val="009F4C9D"/>
    <w:rsid w:val="009F4EAC"/>
    <w:rsid w:val="009F5040"/>
    <w:rsid w:val="009F5251"/>
    <w:rsid w:val="009F52C9"/>
    <w:rsid w:val="009F563F"/>
    <w:rsid w:val="009F56FD"/>
    <w:rsid w:val="009F590C"/>
    <w:rsid w:val="009F599C"/>
    <w:rsid w:val="009F5F62"/>
    <w:rsid w:val="009F6026"/>
    <w:rsid w:val="009F6428"/>
    <w:rsid w:val="009F65AA"/>
    <w:rsid w:val="009F65C1"/>
    <w:rsid w:val="009F671C"/>
    <w:rsid w:val="009F6813"/>
    <w:rsid w:val="009F6883"/>
    <w:rsid w:val="009F6920"/>
    <w:rsid w:val="009F6952"/>
    <w:rsid w:val="009F6BD0"/>
    <w:rsid w:val="009F6CEA"/>
    <w:rsid w:val="009F6E73"/>
    <w:rsid w:val="009F708F"/>
    <w:rsid w:val="009F73F1"/>
    <w:rsid w:val="009F7673"/>
    <w:rsid w:val="009F77FD"/>
    <w:rsid w:val="009F79C6"/>
    <w:rsid w:val="009F7A98"/>
    <w:rsid w:val="009F7AE9"/>
    <w:rsid w:val="009F7FE7"/>
    <w:rsid w:val="00A0029D"/>
    <w:rsid w:val="00A00511"/>
    <w:rsid w:val="00A0057A"/>
    <w:rsid w:val="00A0080B"/>
    <w:rsid w:val="00A00A02"/>
    <w:rsid w:val="00A00AAC"/>
    <w:rsid w:val="00A00D11"/>
    <w:rsid w:val="00A00D27"/>
    <w:rsid w:val="00A00F70"/>
    <w:rsid w:val="00A01061"/>
    <w:rsid w:val="00A0106D"/>
    <w:rsid w:val="00A010C5"/>
    <w:rsid w:val="00A012F6"/>
    <w:rsid w:val="00A014C5"/>
    <w:rsid w:val="00A015D1"/>
    <w:rsid w:val="00A018BD"/>
    <w:rsid w:val="00A01946"/>
    <w:rsid w:val="00A019AF"/>
    <w:rsid w:val="00A01B6D"/>
    <w:rsid w:val="00A01C78"/>
    <w:rsid w:val="00A021DA"/>
    <w:rsid w:val="00A02214"/>
    <w:rsid w:val="00A02304"/>
    <w:rsid w:val="00A02394"/>
    <w:rsid w:val="00A0262F"/>
    <w:rsid w:val="00A028C8"/>
    <w:rsid w:val="00A02AB1"/>
    <w:rsid w:val="00A02B91"/>
    <w:rsid w:val="00A02E0E"/>
    <w:rsid w:val="00A02F68"/>
    <w:rsid w:val="00A02F9E"/>
    <w:rsid w:val="00A0306A"/>
    <w:rsid w:val="00A033FF"/>
    <w:rsid w:val="00A0360D"/>
    <w:rsid w:val="00A03825"/>
    <w:rsid w:val="00A03845"/>
    <w:rsid w:val="00A039A9"/>
    <w:rsid w:val="00A03A6D"/>
    <w:rsid w:val="00A03A84"/>
    <w:rsid w:val="00A03ABF"/>
    <w:rsid w:val="00A03AE8"/>
    <w:rsid w:val="00A03D63"/>
    <w:rsid w:val="00A03E14"/>
    <w:rsid w:val="00A03F58"/>
    <w:rsid w:val="00A04006"/>
    <w:rsid w:val="00A0406E"/>
    <w:rsid w:val="00A04119"/>
    <w:rsid w:val="00A042E8"/>
    <w:rsid w:val="00A04314"/>
    <w:rsid w:val="00A04363"/>
    <w:rsid w:val="00A044A3"/>
    <w:rsid w:val="00A0458C"/>
    <w:rsid w:val="00A0480E"/>
    <w:rsid w:val="00A04AA1"/>
    <w:rsid w:val="00A04BD1"/>
    <w:rsid w:val="00A04BD7"/>
    <w:rsid w:val="00A04C11"/>
    <w:rsid w:val="00A04DB1"/>
    <w:rsid w:val="00A04E99"/>
    <w:rsid w:val="00A04F78"/>
    <w:rsid w:val="00A051EB"/>
    <w:rsid w:val="00A05586"/>
    <w:rsid w:val="00A05743"/>
    <w:rsid w:val="00A05B63"/>
    <w:rsid w:val="00A05C98"/>
    <w:rsid w:val="00A05E0D"/>
    <w:rsid w:val="00A05FF2"/>
    <w:rsid w:val="00A062D8"/>
    <w:rsid w:val="00A06336"/>
    <w:rsid w:val="00A06488"/>
    <w:rsid w:val="00A06770"/>
    <w:rsid w:val="00A06827"/>
    <w:rsid w:val="00A06848"/>
    <w:rsid w:val="00A068F0"/>
    <w:rsid w:val="00A06994"/>
    <w:rsid w:val="00A06AAA"/>
    <w:rsid w:val="00A06E12"/>
    <w:rsid w:val="00A06F47"/>
    <w:rsid w:val="00A0723B"/>
    <w:rsid w:val="00A07329"/>
    <w:rsid w:val="00A0742B"/>
    <w:rsid w:val="00A07AF3"/>
    <w:rsid w:val="00A100E1"/>
    <w:rsid w:val="00A101AB"/>
    <w:rsid w:val="00A10484"/>
    <w:rsid w:val="00A104CC"/>
    <w:rsid w:val="00A10554"/>
    <w:rsid w:val="00A1063A"/>
    <w:rsid w:val="00A1071D"/>
    <w:rsid w:val="00A10787"/>
    <w:rsid w:val="00A10848"/>
    <w:rsid w:val="00A1084A"/>
    <w:rsid w:val="00A10DB4"/>
    <w:rsid w:val="00A10F1E"/>
    <w:rsid w:val="00A11012"/>
    <w:rsid w:val="00A110DD"/>
    <w:rsid w:val="00A1113B"/>
    <w:rsid w:val="00A11157"/>
    <w:rsid w:val="00A111C4"/>
    <w:rsid w:val="00A11438"/>
    <w:rsid w:val="00A114F5"/>
    <w:rsid w:val="00A11544"/>
    <w:rsid w:val="00A11575"/>
    <w:rsid w:val="00A11678"/>
    <w:rsid w:val="00A116A5"/>
    <w:rsid w:val="00A11768"/>
    <w:rsid w:val="00A11960"/>
    <w:rsid w:val="00A11B0B"/>
    <w:rsid w:val="00A11BAF"/>
    <w:rsid w:val="00A11C46"/>
    <w:rsid w:val="00A11C4E"/>
    <w:rsid w:val="00A11D84"/>
    <w:rsid w:val="00A11EF9"/>
    <w:rsid w:val="00A11F90"/>
    <w:rsid w:val="00A12104"/>
    <w:rsid w:val="00A12198"/>
    <w:rsid w:val="00A12238"/>
    <w:rsid w:val="00A122F1"/>
    <w:rsid w:val="00A12412"/>
    <w:rsid w:val="00A124B9"/>
    <w:rsid w:val="00A125AB"/>
    <w:rsid w:val="00A126B9"/>
    <w:rsid w:val="00A12B0C"/>
    <w:rsid w:val="00A12B13"/>
    <w:rsid w:val="00A12BA9"/>
    <w:rsid w:val="00A12C31"/>
    <w:rsid w:val="00A12CCF"/>
    <w:rsid w:val="00A12F4E"/>
    <w:rsid w:val="00A12F86"/>
    <w:rsid w:val="00A13074"/>
    <w:rsid w:val="00A130F6"/>
    <w:rsid w:val="00A1314E"/>
    <w:rsid w:val="00A13186"/>
    <w:rsid w:val="00A134FD"/>
    <w:rsid w:val="00A13561"/>
    <w:rsid w:val="00A135A2"/>
    <w:rsid w:val="00A135A4"/>
    <w:rsid w:val="00A1370A"/>
    <w:rsid w:val="00A1398D"/>
    <w:rsid w:val="00A13B5C"/>
    <w:rsid w:val="00A13D0C"/>
    <w:rsid w:val="00A141B8"/>
    <w:rsid w:val="00A142A2"/>
    <w:rsid w:val="00A14306"/>
    <w:rsid w:val="00A14362"/>
    <w:rsid w:val="00A14646"/>
    <w:rsid w:val="00A1476C"/>
    <w:rsid w:val="00A1476F"/>
    <w:rsid w:val="00A1479F"/>
    <w:rsid w:val="00A14BAD"/>
    <w:rsid w:val="00A14C08"/>
    <w:rsid w:val="00A14D2A"/>
    <w:rsid w:val="00A14EEF"/>
    <w:rsid w:val="00A14F86"/>
    <w:rsid w:val="00A1501A"/>
    <w:rsid w:val="00A150B0"/>
    <w:rsid w:val="00A15202"/>
    <w:rsid w:val="00A154FE"/>
    <w:rsid w:val="00A15505"/>
    <w:rsid w:val="00A1551D"/>
    <w:rsid w:val="00A156B2"/>
    <w:rsid w:val="00A15735"/>
    <w:rsid w:val="00A15B6C"/>
    <w:rsid w:val="00A15BE4"/>
    <w:rsid w:val="00A15D63"/>
    <w:rsid w:val="00A15DD1"/>
    <w:rsid w:val="00A15DEB"/>
    <w:rsid w:val="00A1623B"/>
    <w:rsid w:val="00A1638A"/>
    <w:rsid w:val="00A16391"/>
    <w:rsid w:val="00A169C6"/>
    <w:rsid w:val="00A16ADB"/>
    <w:rsid w:val="00A16AE9"/>
    <w:rsid w:val="00A16BFE"/>
    <w:rsid w:val="00A16C4C"/>
    <w:rsid w:val="00A16D4B"/>
    <w:rsid w:val="00A16E5A"/>
    <w:rsid w:val="00A16FF6"/>
    <w:rsid w:val="00A17071"/>
    <w:rsid w:val="00A1732A"/>
    <w:rsid w:val="00A17350"/>
    <w:rsid w:val="00A17391"/>
    <w:rsid w:val="00A173E1"/>
    <w:rsid w:val="00A173FD"/>
    <w:rsid w:val="00A17496"/>
    <w:rsid w:val="00A1756F"/>
    <w:rsid w:val="00A1760D"/>
    <w:rsid w:val="00A176A6"/>
    <w:rsid w:val="00A178B4"/>
    <w:rsid w:val="00A17D4B"/>
    <w:rsid w:val="00A17F24"/>
    <w:rsid w:val="00A20086"/>
    <w:rsid w:val="00A200B2"/>
    <w:rsid w:val="00A202FF"/>
    <w:rsid w:val="00A2038F"/>
    <w:rsid w:val="00A20B58"/>
    <w:rsid w:val="00A20BFE"/>
    <w:rsid w:val="00A20C43"/>
    <w:rsid w:val="00A20ED9"/>
    <w:rsid w:val="00A20FB7"/>
    <w:rsid w:val="00A213F4"/>
    <w:rsid w:val="00A21615"/>
    <w:rsid w:val="00A2192E"/>
    <w:rsid w:val="00A21A4D"/>
    <w:rsid w:val="00A21B88"/>
    <w:rsid w:val="00A21E22"/>
    <w:rsid w:val="00A2234F"/>
    <w:rsid w:val="00A2242B"/>
    <w:rsid w:val="00A227AA"/>
    <w:rsid w:val="00A227F9"/>
    <w:rsid w:val="00A22874"/>
    <w:rsid w:val="00A22AF1"/>
    <w:rsid w:val="00A22CE4"/>
    <w:rsid w:val="00A22CFE"/>
    <w:rsid w:val="00A22F3C"/>
    <w:rsid w:val="00A23171"/>
    <w:rsid w:val="00A23456"/>
    <w:rsid w:val="00A23629"/>
    <w:rsid w:val="00A237F1"/>
    <w:rsid w:val="00A238FC"/>
    <w:rsid w:val="00A23960"/>
    <w:rsid w:val="00A23F55"/>
    <w:rsid w:val="00A24040"/>
    <w:rsid w:val="00A24085"/>
    <w:rsid w:val="00A241CE"/>
    <w:rsid w:val="00A24228"/>
    <w:rsid w:val="00A24287"/>
    <w:rsid w:val="00A244D7"/>
    <w:rsid w:val="00A246B8"/>
    <w:rsid w:val="00A2494B"/>
    <w:rsid w:val="00A24A16"/>
    <w:rsid w:val="00A24B78"/>
    <w:rsid w:val="00A24BD3"/>
    <w:rsid w:val="00A24CDE"/>
    <w:rsid w:val="00A24D24"/>
    <w:rsid w:val="00A24E1F"/>
    <w:rsid w:val="00A24F4F"/>
    <w:rsid w:val="00A25080"/>
    <w:rsid w:val="00A25094"/>
    <w:rsid w:val="00A2572F"/>
    <w:rsid w:val="00A259DA"/>
    <w:rsid w:val="00A25BA8"/>
    <w:rsid w:val="00A25D08"/>
    <w:rsid w:val="00A25FA5"/>
    <w:rsid w:val="00A2600F"/>
    <w:rsid w:val="00A260AB"/>
    <w:rsid w:val="00A2640C"/>
    <w:rsid w:val="00A2653C"/>
    <w:rsid w:val="00A266AB"/>
    <w:rsid w:val="00A266EA"/>
    <w:rsid w:val="00A267C3"/>
    <w:rsid w:val="00A26800"/>
    <w:rsid w:val="00A26987"/>
    <w:rsid w:val="00A26AFD"/>
    <w:rsid w:val="00A26C1D"/>
    <w:rsid w:val="00A26C88"/>
    <w:rsid w:val="00A270C0"/>
    <w:rsid w:val="00A27156"/>
    <w:rsid w:val="00A2725E"/>
    <w:rsid w:val="00A2758D"/>
    <w:rsid w:val="00A277A8"/>
    <w:rsid w:val="00A27838"/>
    <w:rsid w:val="00A27C61"/>
    <w:rsid w:val="00A27C72"/>
    <w:rsid w:val="00A27D1F"/>
    <w:rsid w:val="00A27D41"/>
    <w:rsid w:val="00A27FA9"/>
    <w:rsid w:val="00A300E9"/>
    <w:rsid w:val="00A301A1"/>
    <w:rsid w:val="00A3050A"/>
    <w:rsid w:val="00A3073A"/>
    <w:rsid w:val="00A30C90"/>
    <w:rsid w:val="00A30CE9"/>
    <w:rsid w:val="00A30E67"/>
    <w:rsid w:val="00A3103E"/>
    <w:rsid w:val="00A3121F"/>
    <w:rsid w:val="00A3125C"/>
    <w:rsid w:val="00A312D1"/>
    <w:rsid w:val="00A3131C"/>
    <w:rsid w:val="00A31487"/>
    <w:rsid w:val="00A31529"/>
    <w:rsid w:val="00A315FC"/>
    <w:rsid w:val="00A31698"/>
    <w:rsid w:val="00A317B6"/>
    <w:rsid w:val="00A31802"/>
    <w:rsid w:val="00A31A0C"/>
    <w:rsid w:val="00A31A35"/>
    <w:rsid w:val="00A31A56"/>
    <w:rsid w:val="00A31F63"/>
    <w:rsid w:val="00A3226C"/>
    <w:rsid w:val="00A32456"/>
    <w:rsid w:val="00A32485"/>
    <w:rsid w:val="00A325C0"/>
    <w:rsid w:val="00A3279C"/>
    <w:rsid w:val="00A32826"/>
    <w:rsid w:val="00A32994"/>
    <w:rsid w:val="00A32AE0"/>
    <w:rsid w:val="00A32BD9"/>
    <w:rsid w:val="00A32FF7"/>
    <w:rsid w:val="00A33097"/>
    <w:rsid w:val="00A33098"/>
    <w:rsid w:val="00A3309B"/>
    <w:rsid w:val="00A333A9"/>
    <w:rsid w:val="00A3349B"/>
    <w:rsid w:val="00A338A5"/>
    <w:rsid w:val="00A33C0C"/>
    <w:rsid w:val="00A33CA9"/>
    <w:rsid w:val="00A34053"/>
    <w:rsid w:val="00A34172"/>
    <w:rsid w:val="00A341E7"/>
    <w:rsid w:val="00A34290"/>
    <w:rsid w:val="00A343CE"/>
    <w:rsid w:val="00A345AE"/>
    <w:rsid w:val="00A3462B"/>
    <w:rsid w:val="00A34738"/>
    <w:rsid w:val="00A348B9"/>
    <w:rsid w:val="00A34BCD"/>
    <w:rsid w:val="00A35020"/>
    <w:rsid w:val="00A35080"/>
    <w:rsid w:val="00A350FD"/>
    <w:rsid w:val="00A35304"/>
    <w:rsid w:val="00A35449"/>
    <w:rsid w:val="00A354B0"/>
    <w:rsid w:val="00A35703"/>
    <w:rsid w:val="00A35729"/>
    <w:rsid w:val="00A3583E"/>
    <w:rsid w:val="00A359C0"/>
    <w:rsid w:val="00A35A54"/>
    <w:rsid w:val="00A35B2B"/>
    <w:rsid w:val="00A35BDE"/>
    <w:rsid w:val="00A35BFA"/>
    <w:rsid w:val="00A35E3C"/>
    <w:rsid w:val="00A35E52"/>
    <w:rsid w:val="00A3607E"/>
    <w:rsid w:val="00A360CE"/>
    <w:rsid w:val="00A3625E"/>
    <w:rsid w:val="00A368A8"/>
    <w:rsid w:val="00A36FE6"/>
    <w:rsid w:val="00A370CD"/>
    <w:rsid w:val="00A371BD"/>
    <w:rsid w:val="00A371C7"/>
    <w:rsid w:val="00A3727C"/>
    <w:rsid w:val="00A3742C"/>
    <w:rsid w:val="00A3769E"/>
    <w:rsid w:val="00A37A4E"/>
    <w:rsid w:val="00A37B3B"/>
    <w:rsid w:val="00A37FE9"/>
    <w:rsid w:val="00A40198"/>
    <w:rsid w:val="00A40230"/>
    <w:rsid w:val="00A402FD"/>
    <w:rsid w:val="00A40383"/>
    <w:rsid w:val="00A4065B"/>
    <w:rsid w:val="00A4065E"/>
    <w:rsid w:val="00A40BF7"/>
    <w:rsid w:val="00A40D8D"/>
    <w:rsid w:val="00A40DB1"/>
    <w:rsid w:val="00A40E40"/>
    <w:rsid w:val="00A40E5B"/>
    <w:rsid w:val="00A40ECA"/>
    <w:rsid w:val="00A40F16"/>
    <w:rsid w:val="00A40FA9"/>
    <w:rsid w:val="00A411BB"/>
    <w:rsid w:val="00A411C1"/>
    <w:rsid w:val="00A41212"/>
    <w:rsid w:val="00A41214"/>
    <w:rsid w:val="00A412EA"/>
    <w:rsid w:val="00A4133E"/>
    <w:rsid w:val="00A413B3"/>
    <w:rsid w:val="00A4155E"/>
    <w:rsid w:val="00A415D5"/>
    <w:rsid w:val="00A41620"/>
    <w:rsid w:val="00A416C5"/>
    <w:rsid w:val="00A41778"/>
    <w:rsid w:val="00A4195F"/>
    <w:rsid w:val="00A41A4B"/>
    <w:rsid w:val="00A41B19"/>
    <w:rsid w:val="00A41BD6"/>
    <w:rsid w:val="00A41CE4"/>
    <w:rsid w:val="00A41DA2"/>
    <w:rsid w:val="00A42298"/>
    <w:rsid w:val="00A42371"/>
    <w:rsid w:val="00A42BBB"/>
    <w:rsid w:val="00A42F09"/>
    <w:rsid w:val="00A43008"/>
    <w:rsid w:val="00A430C8"/>
    <w:rsid w:val="00A435A6"/>
    <w:rsid w:val="00A43678"/>
    <w:rsid w:val="00A43AF6"/>
    <w:rsid w:val="00A43B01"/>
    <w:rsid w:val="00A43B9D"/>
    <w:rsid w:val="00A43D6A"/>
    <w:rsid w:val="00A43ED4"/>
    <w:rsid w:val="00A44561"/>
    <w:rsid w:val="00A44716"/>
    <w:rsid w:val="00A44894"/>
    <w:rsid w:val="00A449A4"/>
    <w:rsid w:val="00A44C1B"/>
    <w:rsid w:val="00A44C73"/>
    <w:rsid w:val="00A44C7B"/>
    <w:rsid w:val="00A45261"/>
    <w:rsid w:val="00A45546"/>
    <w:rsid w:val="00A456CC"/>
    <w:rsid w:val="00A459AA"/>
    <w:rsid w:val="00A45B42"/>
    <w:rsid w:val="00A45CAF"/>
    <w:rsid w:val="00A45CC7"/>
    <w:rsid w:val="00A45D4D"/>
    <w:rsid w:val="00A45D8C"/>
    <w:rsid w:val="00A45F74"/>
    <w:rsid w:val="00A466A9"/>
    <w:rsid w:val="00A46805"/>
    <w:rsid w:val="00A4685D"/>
    <w:rsid w:val="00A46936"/>
    <w:rsid w:val="00A46B10"/>
    <w:rsid w:val="00A46C4B"/>
    <w:rsid w:val="00A46FC3"/>
    <w:rsid w:val="00A47060"/>
    <w:rsid w:val="00A470A3"/>
    <w:rsid w:val="00A47165"/>
    <w:rsid w:val="00A47605"/>
    <w:rsid w:val="00A4781C"/>
    <w:rsid w:val="00A47BC8"/>
    <w:rsid w:val="00A47CF7"/>
    <w:rsid w:val="00A47EA4"/>
    <w:rsid w:val="00A47F5B"/>
    <w:rsid w:val="00A502E4"/>
    <w:rsid w:val="00A503A8"/>
    <w:rsid w:val="00A504FB"/>
    <w:rsid w:val="00A50576"/>
    <w:rsid w:val="00A50770"/>
    <w:rsid w:val="00A508F0"/>
    <w:rsid w:val="00A50A58"/>
    <w:rsid w:val="00A50D08"/>
    <w:rsid w:val="00A50DAB"/>
    <w:rsid w:val="00A50EC9"/>
    <w:rsid w:val="00A51125"/>
    <w:rsid w:val="00A511CB"/>
    <w:rsid w:val="00A51383"/>
    <w:rsid w:val="00A51436"/>
    <w:rsid w:val="00A5164B"/>
    <w:rsid w:val="00A5184D"/>
    <w:rsid w:val="00A518F5"/>
    <w:rsid w:val="00A519D1"/>
    <w:rsid w:val="00A51AF8"/>
    <w:rsid w:val="00A51D4D"/>
    <w:rsid w:val="00A52069"/>
    <w:rsid w:val="00A520BF"/>
    <w:rsid w:val="00A52169"/>
    <w:rsid w:val="00A52283"/>
    <w:rsid w:val="00A5235C"/>
    <w:rsid w:val="00A524FE"/>
    <w:rsid w:val="00A52690"/>
    <w:rsid w:val="00A52A46"/>
    <w:rsid w:val="00A52C49"/>
    <w:rsid w:val="00A52D98"/>
    <w:rsid w:val="00A5305C"/>
    <w:rsid w:val="00A53167"/>
    <w:rsid w:val="00A53210"/>
    <w:rsid w:val="00A5366F"/>
    <w:rsid w:val="00A537E5"/>
    <w:rsid w:val="00A5386C"/>
    <w:rsid w:val="00A53904"/>
    <w:rsid w:val="00A53956"/>
    <w:rsid w:val="00A53A74"/>
    <w:rsid w:val="00A53AD9"/>
    <w:rsid w:val="00A53B7B"/>
    <w:rsid w:val="00A53BD2"/>
    <w:rsid w:val="00A53C54"/>
    <w:rsid w:val="00A53D44"/>
    <w:rsid w:val="00A53E88"/>
    <w:rsid w:val="00A53F66"/>
    <w:rsid w:val="00A54063"/>
    <w:rsid w:val="00A54119"/>
    <w:rsid w:val="00A54251"/>
    <w:rsid w:val="00A54392"/>
    <w:rsid w:val="00A54891"/>
    <w:rsid w:val="00A54BB4"/>
    <w:rsid w:val="00A54BE1"/>
    <w:rsid w:val="00A54D02"/>
    <w:rsid w:val="00A54DF5"/>
    <w:rsid w:val="00A54ED6"/>
    <w:rsid w:val="00A54F02"/>
    <w:rsid w:val="00A54F2D"/>
    <w:rsid w:val="00A54F6A"/>
    <w:rsid w:val="00A552FB"/>
    <w:rsid w:val="00A55328"/>
    <w:rsid w:val="00A555A4"/>
    <w:rsid w:val="00A556AB"/>
    <w:rsid w:val="00A556BD"/>
    <w:rsid w:val="00A556F8"/>
    <w:rsid w:val="00A55963"/>
    <w:rsid w:val="00A55C19"/>
    <w:rsid w:val="00A55C5F"/>
    <w:rsid w:val="00A55F47"/>
    <w:rsid w:val="00A55F55"/>
    <w:rsid w:val="00A564D4"/>
    <w:rsid w:val="00A565A6"/>
    <w:rsid w:val="00A566E5"/>
    <w:rsid w:val="00A56782"/>
    <w:rsid w:val="00A5682A"/>
    <w:rsid w:val="00A5683D"/>
    <w:rsid w:val="00A56A0E"/>
    <w:rsid w:val="00A56D52"/>
    <w:rsid w:val="00A56DF4"/>
    <w:rsid w:val="00A56F5D"/>
    <w:rsid w:val="00A570E6"/>
    <w:rsid w:val="00A5713B"/>
    <w:rsid w:val="00A5720A"/>
    <w:rsid w:val="00A57645"/>
    <w:rsid w:val="00A576BE"/>
    <w:rsid w:val="00A57E2B"/>
    <w:rsid w:val="00A60127"/>
    <w:rsid w:val="00A602B0"/>
    <w:rsid w:val="00A602B2"/>
    <w:rsid w:val="00A6046B"/>
    <w:rsid w:val="00A604D5"/>
    <w:rsid w:val="00A60B8A"/>
    <w:rsid w:val="00A60F78"/>
    <w:rsid w:val="00A61035"/>
    <w:rsid w:val="00A610D4"/>
    <w:rsid w:val="00A611F8"/>
    <w:rsid w:val="00A612A7"/>
    <w:rsid w:val="00A61740"/>
    <w:rsid w:val="00A61766"/>
    <w:rsid w:val="00A617B8"/>
    <w:rsid w:val="00A619AD"/>
    <w:rsid w:val="00A61B9A"/>
    <w:rsid w:val="00A61CCE"/>
    <w:rsid w:val="00A61E84"/>
    <w:rsid w:val="00A61EE4"/>
    <w:rsid w:val="00A62196"/>
    <w:rsid w:val="00A62525"/>
    <w:rsid w:val="00A626F3"/>
    <w:rsid w:val="00A62796"/>
    <w:rsid w:val="00A627DB"/>
    <w:rsid w:val="00A6298F"/>
    <w:rsid w:val="00A62A8E"/>
    <w:rsid w:val="00A62B69"/>
    <w:rsid w:val="00A62D50"/>
    <w:rsid w:val="00A62FEB"/>
    <w:rsid w:val="00A6336A"/>
    <w:rsid w:val="00A63496"/>
    <w:rsid w:val="00A63828"/>
    <w:rsid w:val="00A63906"/>
    <w:rsid w:val="00A6397A"/>
    <w:rsid w:val="00A639C8"/>
    <w:rsid w:val="00A63D89"/>
    <w:rsid w:val="00A63E7B"/>
    <w:rsid w:val="00A63FD6"/>
    <w:rsid w:val="00A64020"/>
    <w:rsid w:val="00A64285"/>
    <w:rsid w:val="00A642DC"/>
    <w:rsid w:val="00A6452A"/>
    <w:rsid w:val="00A6459D"/>
    <w:rsid w:val="00A64AA8"/>
    <w:rsid w:val="00A64DE9"/>
    <w:rsid w:val="00A64E9F"/>
    <w:rsid w:val="00A64F71"/>
    <w:rsid w:val="00A65002"/>
    <w:rsid w:val="00A6516B"/>
    <w:rsid w:val="00A65253"/>
    <w:rsid w:val="00A6526A"/>
    <w:rsid w:val="00A6535D"/>
    <w:rsid w:val="00A6543F"/>
    <w:rsid w:val="00A655C1"/>
    <w:rsid w:val="00A6580A"/>
    <w:rsid w:val="00A6585E"/>
    <w:rsid w:val="00A658E4"/>
    <w:rsid w:val="00A65C7C"/>
    <w:rsid w:val="00A6605D"/>
    <w:rsid w:val="00A660D8"/>
    <w:rsid w:val="00A66286"/>
    <w:rsid w:val="00A663ED"/>
    <w:rsid w:val="00A66489"/>
    <w:rsid w:val="00A664E7"/>
    <w:rsid w:val="00A665E6"/>
    <w:rsid w:val="00A6678B"/>
    <w:rsid w:val="00A66A99"/>
    <w:rsid w:val="00A66B51"/>
    <w:rsid w:val="00A66D41"/>
    <w:rsid w:val="00A66ECA"/>
    <w:rsid w:val="00A66F68"/>
    <w:rsid w:val="00A67143"/>
    <w:rsid w:val="00A67A6D"/>
    <w:rsid w:val="00A67C92"/>
    <w:rsid w:val="00A67CE1"/>
    <w:rsid w:val="00A67D13"/>
    <w:rsid w:val="00A67DBB"/>
    <w:rsid w:val="00A67F35"/>
    <w:rsid w:val="00A70886"/>
    <w:rsid w:val="00A70961"/>
    <w:rsid w:val="00A70F97"/>
    <w:rsid w:val="00A70FBB"/>
    <w:rsid w:val="00A71110"/>
    <w:rsid w:val="00A71182"/>
    <w:rsid w:val="00A713A6"/>
    <w:rsid w:val="00A7153E"/>
    <w:rsid w:val="00A71895"/>
    <w:rsid w:val="00A71974"/>
    <w:rsid w:val="00A7199C"/>
    <w:rsid w:val="00A71A67"/>
    <w:rsid w:val="00A71DF2"/>
    <w:rsid w:val="00A71E85"/>
    <w:rsid w:val="00A71F20"/>
    <w:rsid w:val="00A720BD"/>
    <w:rsid w:val="00A722DB"/>
    <w:rsid w:val="00A72307"/>
    <w:rsid w:val="00A72604"/>
    <w:rsid w:val="00A72621"/>
    <w:rsid w:val="00A7268B"/>
    <w:rsid w:val="00A726A1"/>
    <w:rsid w:val="00A72732"/>
    <w:rsid w:val="00A72832"/>
    <w:rsid w:val="00A72984"/>
    <w:rsid w:val="00A72C39"/>
    <w:rsid w:val="00A72D6A"/>
    <w:rsid w:val="00A72E3D"/>
    <w:rsid w:val="00A72F83"/>
    <w:rsid w:val="00A730C3"/>
    <w:rsid w:val="00A73100"/>
    <w:rsid w:val="00A731CE"/>
    <w:rsid w:val="00A73212"/>
    <w:rsid w:val="00A7335D"/>
    <w:rsid w:val="00A733C0"/>
    <w:rsid w:val="00A734DC"/>
    <w:rsid w:val="00A734F7"/>
    <w:rsid w:val="00A73531"/>
    <w:rsid w:val="00A735F3"/>
    <w:rsid w:val="00A73755"/>
    <w:rsid w:val="00A738D8"/>
    <w:rsid w:val="00A739F9"/>
    <w:rsid w:val="00A73A95"/>
    <w:rsid w:val="00A73D66"/>
    <w:rsid w:val="00A73FB6"/>
    <w:rsid w:val="00A74162"/>
    <w:rsid w:val="00A74228"/>
    <w:rsid w:val="00A7445C"/>
    <w:rsid w:val="00A7446B"/>
    <w:rsid w:val="00A7450E"/>
    <w:rsid w:val="00A74767"/>
    <w:rsid w:val="00A749AD"/>
    <w:rsid w:val="00A749E9"/>
    <w:rsid w:val="00A74BF1"/>
    <w:rsid w:val="00A74E85"/>
    <w:rsid w:val="00A74EA7"/>
    <w:rsid w:val="00A74F81"/>
    <w:rsid w:val="00A75064"/>
    <w:rsid w:val="00A75126"/>
    <w:rsid w:val="00A75134"/>
    <w:rsid w:val="00A75266"/>
    <w:rsid w:val="00A752BA"/>
    <w:rsid w:val="00A758B5"/>
    <w:rsid w:val="00A75986"/>
    <w:rsid w:val="00A759E3"/>
    <w:rsid w:val="00A75B26"/>
    <w:rsid w:val="00A75F4B"/>
    <w:rsid w:val="00A75FF1"/>
    <w:rsid w:val="00A761E2"/>
    <w:rsid w:val="00A76395"/>
    <w:rsid w:val="00A7651F"/>
    <w:rsid w:val="00A76572"/>
    <w:rsid w:val="00A766C4"/>
    <w:rsid w:val="00A76753"/>
    <w:rsid w:val="00A76981"/>
    <w:rsid w:val="00A76B09"/>
    <w:rsid w:val="00A76B22"/>
    <w:rsid w:val="00A76C9E"/>
    <w:rsid w:val="00A76DC4"/>
    <w:rsid w:val="00A771FC"/>
    <w:rsid w:val="00A7728B"/>
    <w:rsid w:val="00A77452"/>
    <w:rsid w:val="00A77EA8"/>
    <w:rsid w:val="00A8008C"/>
    <w:rsid w:val="00A80120"/>
    <w:rsid w:val="00A802D8"/>
    <w:rsid w:val="00A8039E"/>
    <w:rsid w:val="00A804EF"/>
    <w:rsid w:val="00A805EF"/>
    <w:rsid w:val="00A80617"/>
    <w:rsid w:val="00A80711"/>
    <w:rsid w:val="00A8078D"/>
    <w:rsid w:val="00A80896"/>
    <w:rsid w:val="00A809FF"/>
    <w:rsid w:val="00A80B1D"/>
    <w:rsid w:val="00A80C72"/>
    <w:rsid w:val="00A80CB2"/>
    <w:rsid w:val="00A80EE3"/>
    <w:rsid w:val="00A80FA5"/>
    <w:rsid w:val="00A80FBD"/>
    <w:rsid w:val="00A81235"/>
    <w:rsid w:val="00A815C8"/>
    <w:rsid w:val="00A816BB"/>
    <w:rsid w:val="00A8180B"/>
    <w:rsid w:val="00A8184C"/>
    <w:rsid w:val="00A8186B"/>
    <w:rsid w:val="00A819F2"/>
    <w:rsid w:val="00A81CA0"/>
    <w:rsid w:val="00A81D89"/>
    <w:rsid w:val="00A81FE0"/>
    <w:rsid w:val="00A821CD"/>
    <w:rsid w:val="00A821E6"/>
    <w:rsid w:val="00A8228D"/>
    <w:rsid w:val="00A823A1"/>
    <w:rsid w:val="00A823FB"/>
    <w:rsid w:val="00A82437"/>
    <w:rsid w:val="00A82512"/>
    <w:rsid w:val="00A825B6"/>
    <w:rsid w:val="00A82676"/>
    <w:rsid w:val="00A827FE"/>
    <w:rsid w:val="00A82921"/>
    <w:rsid w:val="00A82C18"/>
    <w:rsid w:val="00A82C8C"/>
    <w:rsid w:val="00A82CD7"/>
    <w:rsid w:val="00A83080"/>
    <w:rsid w:val="00A83179"/>
    <w:rsid w:val="00A8337C"/>
    <w:rsid w:val="00A83556"/>
    <w:rsid w:val="00A8358B"/>
    <w:rsid w:val="00A83971"/>
    <w:rsid w:val="00A83D64"/>
    <w:rsid w:val="00A83ECC"/>
    <w:rsid w:val="00A83F4F"/>
    <w:rsid w:val="00A83FB8"/>
    <w:rsid w:val="00A84103"/>
    <w:rsid w:val="00A842B1"/>
    <w:rsid w:val="00A84380"/>
    <w:rsid w:val="00A8473D"/>
    <w:rsid w:val="00A84809"/>
    <w:rsid w:val="00A84D3C"/>
    <w:rsid w:val="00A84E1C"/>
    <w:rsid w:val="00A850CE"/>
    <w:rsid w:val="00A852B7"/>
    <w:rsid w:val="00A852C2"/>
    <w:rsid w:val="00A8532A"/>
    <w:rsid w:val="00A857CE"/>
    <w:rsid w:val="00A85876"/>
    <w:rsid w:val="00A85A9A"/>
    <w:rsid w:val="00A85D78"/>
    <w:rsid w:val="00A86286"/>
    <w:rsid w:val="00A864CE"/>
    <w:rsid w:val="00A866E2"/>
    <w:rsid w:val="00A868FC"/>
    <w:rsid w:val="00A86C8A"/>
    <w:rsid w:val="00A8723A"/>
    <w:rsid w:val="00A8726C"/>
    <w:rsid w:val="00A87273"/>
    <w:rsid w:val="00A87334"/>
    <w:rsid w:val="00A876B3"/>
    <w:rsid w:val="00A877EE"/>
    <w:rsid w:val="00A87817"/>
    <w:rsid w:val="00A87A44"/>
    <w:rsid w:val="00A87C64"/>
    <w:rsid w:val="00A87DCD"/>
    <w:rsid w:val="00A87E2B"/>
    <w:rsid w:val="00A90220"/>
    <w:rsid w:val="00A90386"/>
    <w:rsid w:val="00A90638"/>
    <w:rsid w:val="00A906C4"/>
    <w:rsid w:val="00A9079A"/>
    <w:rsid w:val="00A90A5D"/>
    <w:rsid w:val="00A90B8D"/>
    <w:rsid w:val="00A90C58"/>
    <w:rsid w:val="00A90E57"/>
    <w:rsid w:val="00A91131"/>
    <w:rsid w:val="00A915C1"/>
    <w:rsid w:val="00A915D0"/>
    <w:rsid w:val="00A91644"/>
    <w:rsid w:val="00A9168B"/>
    <w:rsid w:val="00A91879"/>
    <w:rsid w:val="00A91A28"/>
    <w:rsid w:val="00A91B30"/>
    <w:rsid w:val="00A91B7D"/>
    <w:rsid w:val="00A91E4A"/>
    <w:rsid w:val="00A91E83"/>
    <w:rsid w:val="00A91EB7"/>
    <w:rsid w:val="00A91F01"/>
    <w:rsid w:val="00A9228E"/>
    <w:rsid w:val="00A92509"/>
    <w:rsid w:val="00A92608"/>
    <w:rsid w:val="00A92AC4"/>
    <w:rsid w:val="00A92CB4"/>
    <w:rsid w:val="00A932F1"/>
    <w:rsid w:val="00A93318"/>
    <w:rsid w:val="00A935AB"/>
    <w:rsid w:val="00A93812"/>
    <w:rsid w:val="00A93A70"/>
    <w:rsid w:val="00A93AFF"/>
    <w:rsid w:val="00A93BF4"/>
    <w:rsid w:val="00A93D99"/>
    <w:rsid w:val="00A93E0E"/>
    <w:rsid w:val="00A93EA5"/>
    <w:rsid w:val="00A93F07"/>
    <w:rsid w:val="00A941A4"/>
    <w:rsid w:val="00A942B8"/>
    <w:rsid w:val="00A942EE"/>
    <w:rsid w:val="00A94514"/>
    <w:rsid w:val="00A9461D"/>
    <w:rsid w:val="00A9469D"/>
    <w:rsid w:val="00A9481A"/>
    <w:rsid w:val="00A949A6"/>
    <w:rsid w:val="00A949E9"/>
    <w:rsid w:val="00A949FE"/>
    <w:rsid w:val="00A94BC6"/>
    <w:rsid w:val="00A94D8E"/>
    <w:rsid w:val="00A94DDA"/>
    <w:rsid w:val="00A94F41"/>
    <w:rsid w:val="00A94F62"/>
    <w:rsid w:val="00A94FFA"/>
    <w:rsid w:val="00A95179"/>
    <w:rsid w:val="00A9520F"/>
    <w:rsid w:val="00A955C1"/>
    <w:rsid w:val="00A95706"/>
    <w:rsid w:val="00A95C8D"/>
    <w:rsid w:val="00A95D7F"/>
    <w:rsid w:val="00A95E3A"/>
    <w:rsid w:val="00A95F04"/>
    <w:rsid w:val="00A95FDB"/>
    <w:rsid w:val="00A960C3"/>
    <w:rsid w:val="00A961CB"/>
    <w:rsid w:val="00A9626C"/>
    <w:rsid w:val="00A96395"/>
    <w:rsid w:val="00A96532"/>
    <w:rsid w:val="00A969DD"/>
    <w:rsid w:val="00A96A14"/>
    <w:rsid w:val="00A96AE6"/>
    <w:rsid w:val="00A96AE8"/>
    <w:rsid w:val="00A96BFD"/>
    <w:rsid w:val="00A96C47"/>
    <w:rsid w:val="00A96CF5"/>
    <w:rsid w:val="00A9718D"/>
    <w:rsid w:val="00A97208"/>
    <w:rsid w:val="00A97257"/>
    <w:rsid w:val="00A97D06"/>
    <w:rsid w:val="00A97D17"/>
    <w:rsid w:val="00A97DFA"/>
    <w:rsid w:val="00A97EFB"/>
    <w:rsid w:val="00AA010E"/>
    <w:rsid w:val="00AA01DA"/>
    <w:rsid w:val="00AA0340"/>
    <w:rsid w:val="00AA0382"/>
    <w:rsid w:val="00AA0458"/>
    <w:rsid w:val="00AA055F"/>
    <w:rsid w:val="00AA057B"/>
    <w:rsid w:val="00AA05BC"/>
    <w:rsid w:val="00AA05D8"/>
    <w:rsid w:val="00AA060C"/>
    <w:rsid w:val="00AA07DD"/>
    <w:rsid w:val="00AA09EC"/>
    <w:rsid w:val="00AA0A42"/>
    <w:rsid w:val="00AA0A4E"/>
    <w:rsid w:val="00AA0A88"/>
    <w:rsid w:val="00AA0B3D"/>
    <w:rsid w:val="00AA0B81"/>
    <w:rsid w:val="00AA0C1B"/>
    <w:rsid w:val="00AA0CB1"/>
    <w:rsid w:val="00AA0DE2"/>
    <w:rsid w:val="00AA13A7"/>
    <w:rsid w:val="00AA19F7"/>
    <w:rsid w:val="00AA1A79"/>
    <w:rsid w:val="00AA1AB6"/>
    <w:rsid w:val="00AA2175"/>
    <w:rsid w:val="00AA2186"/>
    <w:rsid w:val="00AA21B2"/>
    <w:rsid w:val="00AA2337"/>
    <w:rsid w:val="00AA28E3"/>
    <w:rsid w:val="00AA2913"/>
    <w:rsid w:val="00AA2962"/>
    <w:rsid w:val="00AA2A2F"/>
    <w:rsid w:val="00AA2AF8"/>
    <w:rsid w:val="00AA2CCD"/>
    <w:rsid w:val="00AA2DF5"/>
    <w:rsid w:val="00AA2E26"/>
    <w:rsid w:val="00AA2F12"/>
    <w:rsid w:val="00AA3083"/>
    <w:rsid w:val="00AA312C"/>
    <w:rsid w:val="00AA3163"/>
    <w:rsid w:val="00AA3200"/>
    <w:rsid w:val="00AA3363"/>
    <w:rsid w:val="00AA33FB"/>
    <w:rsid w:val="00AA3453"/>
    <w:rsid w:val="00AA3B8E"/>
    <w:rsid w:val="00AA3BD3"/>
    <w:rsid w:val="00AA3CB2"/>
    <w:rsid w:val="00AA3E5A"/>
    <w:rsid w:val="00AA3E61"/>
    <w:rsid w:val="00AA4097"/>
    <w:rsid w:val="00AA448C"/>
    <w:rsid w:val="00AA4519"/>
    <w:rsid w:val="00AA4614"/>
    <w:rsid w:val="00AA4714"/>
    <w:rsid w:val="00AA4753"/>
    <w:rsid w:val="00AA47A7"/>
    <w:rsid w:val="00AA4A59"/>
    <w:rsid w:val="00AA4A63"/>
    <w:rsid w:val="00AA4B18"/>
    <w:rsid w:val="00AA4B21"/>
    <w:rsid w:val="00AA4C9A"/>
    <w:rsid w:val="00AA4E99"/>
    <w:rsid w:val="00AA4E9D"/>
    <w:rsid w:val="00AA4EF4"/>
    <w:rsid w:val="00AA516C"/>
    <w:rsid w:val="00AA5320"/>
    <w:rsid w:val="00AA5387"/>
    <w:rsid w:val="00AA5662"/>
    <w:rsid w:val="00AA56B8"/>
    <w:rsid w:val="00AA572F"/>
    <w:rsid w:val="00AA581B"/>
    <w:rsid w:val="00AA5933"/>
    <w:rsid w:val="00AA5A6C"/>
    <w:rsid w:val="00AA5C8A"/>
    <w:rsid w:val="00AA5D9B"/>
    <w:rsid w:val="00AA5EB4"/>
    <w:rsid w:val="00AA5F23"/>
    <w:rsid w:val="00AA5FC5"/>
    <w:rsid w:val="00AA61A6"/>
    <w:rsid w:val="00AA6270"/>
    <w:rsid w:val="00AA635E"/>
    <w:rsid w:val="00AA63D7"/>
    <w:rsid w:val="00AA6592"/>
    <w:rsid w:val="00AA6692"/>
    <w:rsid w:val="00AA6863"/>
    <w:rsid w:val="00AA68CE"/>
    <w:rsid w:val="00AA6956"/>
    <w:rsid w:val="00AA6B83"/>
    <w:rsid w:val="00AA6C43"/>
    <w:rsid w:val="00AA6CBF"/>
    <w:rsid w:val="00AA6D29"/>
    <w:rsid w:val="00AA6D99"/>
    <w:rsid w:val="00AA73C2"/>
    <w:rsid w:val="00AA74AD"/>
    <w:rsid w:val="00AA75DB"/>
    <w:rsid w:val="00AA7660"/>
    <w:rsid w:val="00AA7897"/>
    <w:rsid w:val="00AA793A"/>
    <w:rsid w:val="00AA7B05"/>
    <w:rsid w:val="00AA7B29"/>
    <w:rsid w:val="00AA7BBA"/>
    <w:rsid w:val="00AA7FF9"/>
    <w:rsid w:val="00AB0339"/>
    <w:rsid w:val="00AB03AF"/>
    <w:rsid w:val="00AB04A5"/>
    <w:rsid w:val="00AB04EC"/>
    <w:rsid w:val="00AB0569"/>
    <w:rsid w:val="00AB05DF"/>
    <w:rsid w:val="00AB0652"/>
    <w:rsid w:val="00AB0837"/>
    <w:rsid w:val="00AB091B"/>
    <w:rsid w:val="00AB0971"/>
    <w:rsid w:val="00AB0B7E"/>
    <w:rsid w:val="00AB0D46"/>
    <w:rsid w:val="00AB0D53"/>
    <w:rsid w:val="00AB0DD3"/>
    <w:rsid w:val="00AB0E73"/>
    <w:rsid w:val="00AB108B"/>
    <w:rsid w:val="00AB1093"/>
    <w:rsid w:val="00AB11D2"/>
    <w:rsid w:val="00AB12A1"/>
    <w:rsid w:val="00AB12D7"/>
    <w:rsid w:val="00AB1996"/>
    <w:rsid w:val="00AB1B5A"/>
    <w:rsid w:val="00AB1B72"/>
    <w:rsid w:val="00AB1BD0"/>
    <w:rsid w:val="00AB1E8A"/>
    <w:rsid w:val="00AB1ED9"/>
    <w:rsid w:val="00AB20B5"/>
    <w:rsid w:val="00AB2183"/>
    <w:rsid w:val="00AB22C4"/>
    <w:rsid w:val="00AB29C1"/>
    <w:rsid w:val="00AB2CE7"/>
    <w:rsid w:val="00AB3095"/>
    <w:rsid w:val="00AB34E6"/>
    <w:rsid w:val="00AB38D1"/>
    <w:rsid w:val="00AB38D7"/>
    <w:rsid w:val="00AB3B4C"/>
    <w:rsid w:val="00AB3B9F"/>
    <w:rsid w:val="00AB3CE3"/>
    <w:rsid w:val="00AB3DEE"/>
    <w:rsid w:val="00AB3ED1"/>
    <w:rsid w:val="00AB400E"/>
    <w:rsid w:val="00AB41C3"/>
    <w:rsid w:val="00AB44EC"/>
    <w:rsid w:val="00AB4500"/>
    <w:rsid w:val="00AB45A1"/>
    <w:rsid w:val="00AB495B"/>
    <w:rsid w:val="00AB4B15"/>
    <w:rsid w:val="00AB4D72"/>
    <w:rsid w:val="00AB4E79"/>
    <w:rsid w:val="00AB4ECE"/>
    <w:rsid w:val="00AB4FAE"/>
    <w:rsid w:val="00AB5182"/>
    <w:rsid w:val="00AB5312"/>
    <w:rsid w:val="00AB54CA"/>
    <w:rsid w:val="00AB552A"/>
    <w:rsid w:val="00AB5689"/>
    <w:rsid w:val="00AB58CD"/>
    <w:rsid w:val="00AB5983"/>
    <w:rsid w:val="00AB5AAC"/>
    <w:rsid w:val="00AB5D00"/>
    <w:rsid w:val="00AB619A"/>
    <w:rsid w:val="00AB61BC"/>
    <w:rsid w:val="00AB6301"/>
    <w:rsid w:val="00AB633D"/>
    <w:rsid w:val="00AB63B9"/>
    <w:rsid w:val="00AB65B0"/>
    <w:rsid w:val="00AB6650"/>
    <w:rsid w:val="00AB66BF"/>
    <w:rsid w:val="00AB674A"/>
    <w:rsid w:val="00AB67DF"/>
    <w:rsid w:val="00AB6A00"/>
    <w:rsid w:val="00AB6C2C"/>
    <w:rsid w:val="00AB6D87"/>
    <w:rsid w:val="00AB6E89"/>
    <w:rsid w:val="00AB7014"/>
    <w:rsid w:val="00AB70D1"/>
    <w:rsid w:val="00AB71AA"/>
    <w:rsid w:val="00AB74AF"/>
    <w:rsid w:val="00AB74E8"/>
    <w:rsid w:val="00AB771C"/>
    <w:rsid w:val="00AB7794"/>
    <w:rsid w:val="00AB785C"/>
    <w:rsid w:val="00AB786B"/>
    <w:rsid w:val="00AB792A"/>
    <w:rsid w:val="00AB7A10"/>
    <w:rsid w:val="00AB7AC9"/>
    <w:rsid w:val="00AC0437"/>
    <w:rsid w:val="00AC0537"/>
    <w:rsid w:val="00AC0595"/>
    <w:rsid w:val="00AC0813"/>
    <w:rsid w:val="00AC0836"/>
    <w:rsid w:val="00AC0A9D"/>
    <w:rsid w:val="00AC0CEC"/>
    <w:rsid w:val="00AC1256"/>
    <w:rsid w:val="00AC1349"/>
    <w:rsid w:val="00AC13BE"/>
    <w:rsid w:val="00AC161D"/>
    <w:rsid w:val="00AC1670"/>
    <w:rsid w:val="00AC1676"/>
    <w:rsid w:val="00AC167C"/>
    <w:rsid w:val="00AC1B18"/>
    <w:rsid w:val="00AC1B1F"/>
    <w:rsid w:val="00AC1DC0"/>
    <w:rsid w:val="00AC1DCB"/>
    <w:rsid w:val="00AC1E72"/>
    <w:rsid w:val="00AC1F27"/>
    <w:rsid w:val="00AC20BB"/>
    <w:rsid w:val="00AC21F7"/>
    <w:rsid w:val="00AC2309"/>
    <w:rsid w:val="00AC2765"/>
    <w:rsid w:val="00AC28DC"/>
    <w:rsid w:val="00AC2A52"/>
    <w:rsid w:val="00AC2D1C"/>
    <w:rsid w:val="00AC2E23"/>
    <w:rsid w:val="00AC3115"/>
    <w:rsid w:val="00AC31A8"/>
    <w:rsid w:val="00AC3209"/>
    <w:rsid w:val="00AC32B2"/>
    <w:rsid w:val="00AC36A4"/>
    <w:rsid w:val="00AC3884"/>
    <w:rsid w:val="00AC38E0"/>
    <w:rsid w:val="00AC3A72"/>
    <w:rsid w:val="00AC3D7B"/>
    <w:rsid w:val="00AC3F11"/>
    <w:rsid w:val="00AC42BB"/>
    <w:rsid w:val="00AC440E"/>
    <w:rsid w:val="00AC447E"/>
    <w:rsid w:val="00AC4827"/>
    <w:rsid w:val="00AC49C3"/>
    <w:rsid w:val="00AC4D3B"/>
    <w:rsid w:val="00AC4E54"/>
    <w:rsid w:val="00AC508E"/>
    <w:rsid w:val="00AC50FE"/>
    <w:rsid w:val="00AC5391"/>
    <w:rsid w:val="00AC54DE"/>
    <w:rsid w:val="00AC5907"/>
    <w:rsid w:val="00AC59FC"/>
    <w:rsid w:val="00AC5A56"/>
    <w:rsid w:val="00AC5CA4"/>
    <w:rsid w:val="00AC5EBC"/>
    <w:rsid w:val="00AC6291"/>
    <w:rsid w:val="00AC63FE"/>
    <w:rsid w:val="00AC64A5"/>
    <w:rsid w:val="00AC6535"/>
    <w:rsid w:val="00AC66D3"/>
    <w:rsid w:val="00AC6839"/>
    <w:rsid w:val="00AC691D"/>
    <w:rsid w:val="00AC6A6A"/>
    <w:rsid w:val="00AC6DD7"/>
    <w:rsid w:val="00AC6E89"/>
    <w:rsid w:val="00AC6FCA"/>
    <w:rsid w:val="00AC702E"/>
    <w:rsid w:val="00AC7079"/>
    <w:rsid w:val="00AC71AF"/>
    <w:rsid w:val="00AC72AD"/>
    <w:rsid w:val="00AC7759"/>
    <w:rsid w:val="00AC787A"/>
    <w:rsid w:val="00AC7B9E"/>
    <w:rsid w:val="00AC7CB9"/>
    <w:rsid w:val="00AC7CE0"/>
    <w:rsid w:val="00AC7D32"/>
    <w:rsid w:val="00AC7DCE"/>
    <w:rsid w:val="00AC7E0C"/>
    <w:rsid w:val="00AC7E13"/>
    <w:rsid w:val="00AC7F42"/>
    <w:rsid w:val="00AC7F4A"/>
    <w:rsid w:val="00AC7F92"/>
    <w:rsid w:val="00AC7FF7"/>
    <w:rsid w:val="00ACD6C7"/>
    <w:rsid w:val="00AD067C"/>
    <w:rsid w:val="00AD06D7"/>
    <w:rsid w:val="00AD07F3"/>
    <w:rsid w:val="00AD09AC"/>
    <w:rsid w:val="00AD0A43"/>
    <w:rsid w:val="00AD0E57"/>
    <w:rsid w:val="00AD0EEE"/>
    <w:rsid w:val="00AD1247"/>
    <w:rsid w:val="00AD17BC"/>
    <w:rsid w:val="00AD18F3"/>
    <w:rsid w:val="00AD195F"/>
    <w:rsid w:val="00AD19EA"/>
    <w:rsid w:val="00AD1C39"/>
    <w:rsid w:val="00AD1D57"/>
    <w:rsid w:val="00AD206D"/>
    <w:rsid w:val="00AD240A"/>
    <w:rsid w:val="00AD24B3"/>
    <w:rsid w:val="00AD2758"/>
    <w:rsid w:val="00AD2828"/>
    <w:rsid w:val="00AD2B85"/>
    <w:rsid w:val="00AD2D17"/>
    <w:rsid w:val="00AD2D40"/>
    <w:rsid w:val="00AD2EDF"/>
    <w:rsid w:val="00AD2F2E"/>
    <w:rsid w:val="00AD2F56"/>
    <w:rsid w:val="00AD3003"/>
    <w:rsid w:val="00AD3110"/>
    <w:rsid w:val="00AD351F"/>
    <w:rsid w:val="00AD359C"/>
    <w:rsid w:val="00AD370F"/>
    <w:rsid w:val="00AD3A9C"/>
    <w:rsid w:val="00AD3C67"/>
    <w:rsid w:val="00AD3D68"/>
    <w:rsid w:val="00AD3D70"/>
    <w:rsid w:val="00AD4003"/>
    <w:rsid w:val="00AD4193"/>
    <w:rsid w:val="00AD41B6"/>
    <w:rsid w:val="00AD44C4"/>
    <w:rsid w:val="00AD453A"/>
    <w:rsid w:val="00AD47BA"/>
    <w:rsid w:val="00AD47BB"/>
    <w:rsid w:val="00AD4921"/>
    <w:rsid w:val="00AD4BD7"/>
    <w:rsid w:val="00AD4F40"/>
    <w:rsid w:val="00AD53AE"/>
    <w:rsid w:val="00AD5411"/>
    <w:rsid w:val="00AD561B"/>
    <w:rsid w:val="00AD563F"/>
    <w:rsid w:val="00AD5667"/>
    <w:rsid w:val="00AD57D3"/>
    <w:rsid w:val="00AD5A13"/>
    <w:rsid w:val="00AD5A61"/>
    <w:rsid w:val="00AD5AD6"/>
    <w:rsid w:val="00AD5B3E"/>
    <w:rsid w:val="00AD5BE4"/>
    <w:rsid w:val="00AD5C23"/>
    <w:rsid w:val="00AD5C2B"/>
    <w:rsid w:val="00AD5CE0"/>
    <w:rsid w:val="00AD5D2D"/>
    <w:rsid w:val="00AD6003"/>
    <w:rsid w:val="00AD6056"/>
    <w:rsid w:val="00AD6083"/>
    <w:rsid w:val="00AD6181"/>
    <w:rsid w:val="00AD61C5"/>
    <w:rsid w:val="00AD6288"/>
    <w:rsid w:val="00AD63D0"/>
    <w:rsid w:val="00AD67E9"/>
    <w:rsid w:val="00AD6AE7"/>
    <w:rsid w:val="00AD6DB3"/>
    <w:rsid w:val="00AD721B"/>
    <w:rsid w:val="00AD7228"/>
    <w:rsid w:val="00AD72AF"/>
    <w:rsid w:val="00AD73F0"/>
    <w:rsid w:val="00AD7418"/>
    <w:rsid w:val="00AD7689"/>
    <w:rsid w:val="00AD78C7"/>
    <w:rsid w:val="00AD7D33"/>
    <w:rsid w:val="00AE01E7"/>
    <w:rsid w:val="00AE0408"/>
    <w:rsid w:val="00AE0443"/>
    <w:rsid w:val="00AE04CB"/>
    <w:rsid w:val="00AE07DE"/>
    <w:rsid w:val="00AE094C"/>
    <w:rsid w:val="00AE0B2A"/>
    <w:rsid w:val="00AE0C81"/>
    <w:rsid w:val="00AE0EDC"/>
    <w:rsid w:val="00AE12F1"/>
    <w:rsid w:val="00AE135B"/>
    <w:rsid w:val="00AE1455"/>
    <w:rsid w:val="00AE14EC"/>
    <w:rsid w:val="00AE150F"/>
    <w:rsid w:val="00AE1773"/>
    <w:rsid w:val="00AE18D4"/>
    <w:rsid w:val="00AE1973"/>
    <w:rsid w:val="00AE1A3F"/>
    <w:rsid w:val="00AE1C22"/>
    <w:rsid w:val="00AE1C3E"/>
    <w:rsid w:val="00AE1D5A"/>
    <w:rsid w:val="00AE1E7C"/>
    <w:rsid w:val="00AE1EA3"/>
    <w:rsid w:val="00AE1F16"/>
    <w:rsid w:val="00AE1F94"/>
    <w:rsid w:val="00AE24ED"/>
    <w:rsid w:val="00AE26A5"/>
    <w:rsid w:val="00AE26F0"/>
    <w:rsid w:val="00AE2850"/>
    <w:rsid w:val="00AE28D2"/>
    <w:rsid w:val="00AE292E"/>
    <w:rsid w:val="00AE2A80"/>
    <w:rsid w:val="00AE2C81"/>
    <w:rsid w:val="00AE2D0F"/>
    <w:rsid w:val="00AE2EB6"/>
    <w:rsid w:val="00AE2EBB"/>
    <w:rsid w:val="00AE2EEA"/>
    <w:rsid w:val="00AE3047"/>
    <w:rsid w:val="00AE3170"/>
    <w:rsid w:val="00AE32A1"/>
    <w:rsid w:val="00AE3442"/>
    <w:rsid w:val="00AE3476"/>
    <w:rsid w:val="00AE350B"/>
    <w:rsid w:val="00AE355C"/>
    <w:rsid w:val="00AE35D6"/>
    <w:rsid w:val="00AE3846"/>
    <w:rsid w:val="00AE38B2"/>
    <w:rsid w:val="00AE390A"/>
    <w:rsid w:val="00AE3AF1"/>
    <w:rsid w:val="00AE3B9F"/>
    <w:rsid w:val="00AE3BFD"/>
    <w:rsid w:val="00AE3C59"/>
    <w:rsid w:val="00AE45D8"/>
    <w:rsid w:val="00AE45DB"/>
    <w:rsid w:val="00AE47DE"/>
    <w:rsid w:val="00AE4806"/>
    <w:rsid w:val="00AE4DD6"/>
    <w:rsid w:val="00AE4DE3"/>
    <w:rsid w:val="00AE50D1"/>
    <w:rsid w:val="00AE52C1"/>
    <w:rsid w:val="00AE55D5"/>
    <w:rsid w:val="00AE55FE"/>
    <w:rsid w:val="00AE5623"/>
    <w:rsid w:val="00AE56A6"/>
    <w:rsid w:val="00AE56A7"/>
    <w:rsid w:val="00AE579F"/>
    <w:rsid w:val="00AE587A"/>
    <w:rsid w:val="00AE5979"/>
    <w:rsid w:val="00AE5C37"/>
    <w:rsid w:val="00AE5CEB"/>
    <w:rsid w:val="00AE5D4F"/>
    <w:rsid w:val="00AE5F16"/>
    <w:rsid w:val="00AE5F23"/>
    <w:rsid w:val="00AE6237"/>
    <w:rsid w:val="00AE67AF"/>
    <w:rsid w:val="00AE67F0"/>
    <w:rsid w:val="00AE698F"/>
    <w:rsid w:val="00AE6C67"/>
    <w:rsid w:val="00AE7055"/>
    <w:rsid w:val="00AE70DD"/>
    <w:rsid w:val="00AE7127"/>
    <w:rsid w:val="00AE7348"/>
    <w:rsid w:val="00AE73C4"/>
    <w:rsid w:val="00AE7475"/>
    <w:rsid w:val="00AE7D87"/>
    <w:rsid w:val="00AE7EED"/>
    <w:rsid w:val="00AE7EF8"/>
    <w:rsid w:val="00AE7F89"/>
    <w:rsid w:val="00AE7F9D"/>
    <w:rsid w:val="00AF025C"/>
    <w:rsid w:val="00AF041F"/>
    <w:rsid w:val="00AF0442"/>
    <w:rsid w:val="00AF0629"/>
    <w:rsid w:val="00AF073F"/>
    <w:rsid w:val="00AF08A6"/>
    <w:rsid w:val="00AF0935"/>
    <w:rsid w:val="00AF09EB"/>
    <w:rsid w:val="00AF0A2F"/>
    <w:rsid w:val="00AF0B80"/>
    <w:rsid w:val="00AF0BBB"/>
    <w:rsid w:val="00AF0D0F"/>
    <w:rsid w:val="00AF0E25"/>
    <w:rsid w:val="00AF11DE"/>
    <w:rsid w:val="00AF125C"/>
    <w:rsid w:val="00AF12CC"/>
    <w:rsid w:val="00AF12FA"/>
    <w:rsid w:val="00AF1301"/>
    <w:rsid w:val="00AF135E"/>
    <w:rsid w:val="00AF1543"/>
    <w:rsid w:val="00AF158A"/>
    <w:rsid w:val="00AF1643"/>
    <w:rsid w:val="00AF168F"/>
    <w:rsid w:val="00AF1736"/>
    <w:rsid w:val="00AF181E"/>
    <w:rsid w:val="00AF1A0A"/>
    <w:rsid w:val="00AF1D5A"/>
    <w:rsid w:val="00AF20A3"/>
    <w:rsid w:val="00AF20F4"/>
    <w:rsid w:val="00AF235B"/>
    <w:rsid w:val="00AF278B"/>
    <w:rsid w:val="00AF286D"/>
    <w:rsid w:val="00AF2962"/>
    <w:rsid w:val="00AF2C3E"/>
    <w:rsid w:val="00AF2FE7"/>
    <w:rsid w:val="00AF31A6"/>
    <w:rsid w:val="00AF325A"/>
    <w:rsid w:val="00AF333E"/>
    <w:rsid w:val="00AF3714"/>
    <w:rsid w:val="00AF3C3A"/>
    <w:rsid w:val="00AF3F9B"/>
    <w:rsid w:val="00AF42CB"/>
    <w:rsid w:val="00AF4423"/>
    <w:rsid w:val="00AF44CB"/>
    <w:rsid w:val="00AF45A8"/>
    <w:rsid w:val="00AF47A3"/>
    <w:rsid w:val="00AF4B7C"/>
    <w:rsid w:val="00AF4BBB"/>
    <w:rsid w:val="00AF4C5A"/>
    <w:rsid w:val="00AF4C7C"/>
    <w:rsid w:val="00AF4CC6"/>
    <w:rsid w:val="00AF4F6C"/>
    <w:rsid w:val="00AF5324"/>
    <w:rsid w:val="00AF53CD"/>
    <w:rsid w:val="00AF5552"/>
    <w:rsid w:val="00AF56BE"/>
    <w:rsid w:val="00AF590D"/>
    <w:rsid w:val="00AF59ED"/>
    <w:rsid w:val="00AF5C74"/>
    <w:rsid w:val="00AF5C7D"/>
    <w:rsid w:val="00AF5C9E"/>
    <w:rsid w:val="00AF623B"/>
    <w:rsid w:val="00AF6482"/>
    <w:rsid w:val="00AF6686"/>
    <w:rsid w:val="00AF675D"/>
    <w:rsid w:val="00AF6770"/>
    <w:rsid w:val="00AF67B5"/>
    <w:rsid w:val="00AF68E7"/>
    <w:rsid w:val="00AF694E"/>
    <w:rsid w:val="00AF6994"/>
    <w:rsid w:val="00AF69C2"/>
    <w:rsid w:val="00AF69DF"/>
    <w:rsid w:val="00AF6B29"/>
    <w:rsid w:val="00AF6D5A"/>
    <w:rsid w:val="00AF6E47"/>
    <w:rsid w:val="00AF7144"/>
    <w:rsid w:val="00AF7159"/>
    <w:rsid w:val="00AF74E1"/>
    <w:rsid w:val="00AF751E"/>
    <w:rsid w:val="00AF7CE8"/>
    <w:rsid w:val="00AF7F48"/>
    <w:rsid w:val="00B0077C"/>
    <w:rsid w:val="00B0082C"/>
    <w:rsid w:val="00B00926"/>
    <w:rsid w:val="00B01257"/>
    <w:rsid w:val="00B012C2"/>
    <w:rsid w:val="00B01476"/>
    <w:rsid w:val="00B01596"/>
    <w:rsid w:val="00B01957"/>
    <w:rsid w:val="00B01BFC"/>
    <w:rsid w:val="00B01C5F"/>
    <w:rsid w:val="00B01D2C"/>
    <w:rsid w:val="00B01DED"/>
    <w:rsid w:val="00B01F0C"/>
    <w:rsid w:val="00B01FD7"/>
    <w:rsid w:val="00B02047"/>
    <w:rsid w:val="00B024FA"/>
    <w:rsid w:val="00B027E3"/>
    <w:rsid w:val="00B02EC7"/>
    <w:rsid w:val="00B02EED"/>
    <w:rsid w:val="00B032DF"/>
    <w:rsid w:val="00B035C4"/>
    <w:rsid w:val="00B03658"/>
    <w:rsid w:val="00B0370E"/>
    <w:rsid w:val="00B03938"/>
    <w:rsid w:val="00B03A01"/>
    <w:rsid w:val="00B03C0A"/>
    <w:rsid w:val="00B03DDB"/>
    <w:rsid w:val="00B040C9"/>
    <w:rsid w:val="00B040FE"/>
    <w:rsid w:val="00B0428C"/>
    <w:rsid w:val="00B042E1"/>
    <w:rsid w:val="00B04343"/>
    <w:rsid w:val="00B0436E"/>
    <w:rsid w:val="00B043BB"/>
    <w:rsid w:val="00B04459"/>
    <w:rsid w:val="00B044AC"/>
    <w:rsid w:val="00B04615"/>
    <w:rsid w:val="00B047DC"/>
    <w:rsid w:val="00B0494D"/>
    <w:rsid w:val="00B049D5"/>
    <w:rsid w:val="00B04B12"/>
    <w:rsid w:val="00B04BB3"/>
    <w:rsid w:val="00B04CAD"/>
    <w:rsid w:val="00B04E2F"/>
    <w:rsid w:val="00B05572"/>
    <w:rsid w:val="00B05792"/>
    <w:rsid w:val="00B05825"/>
    <w:rsid w:val="00B05913"/>
    <w:rsid w:val="00B05999"/>
    <w:rsid w:val="00B05AEC"/>
    <w:rsid w:val="00B05FAC"/>
    <w:rsid w:val="00B060CB"/>
    <w:rsid w:val="00B0634F"/>
    <w:rsid w:val="00B06357"/>
    <w:rsid w:val="00B06685"/>
    <w:rsid w:val="00B06B1E"/>
    <w:rsid w:val="00B06FA8"/>
    <w:rsid w:val="00B07282"/>
    <w:rsid w:val="00B07377"/>
    <w:rsid w:val="00B0778A"/>
    <w:rsid w:val="00B0796D"/>
    <w:rsid w:val="00B07A47"/>
    <w:rsid w:val="00B07DF1"/>
    <w:rsid w:val="00B07EBD"/>
    <w:rsid w:val="00B100FA"/>
    <w:rsid w:val="00B102DE"/>
    <w:rsid w:val="00B103E5"/>
    <w:rsid w:val="00B10439"/>
    <w:rsid w:val="00B1053B"/>
    <w:rsid w:val="00B10CBD"/>
    <w:rsid w:val="00B11340"/>
    <w:rsid w:val="00B113CD"/>
    <w:rsid w:val="00B11497"/>
    <w:rsid w:val="00B114D8"/>
    <w:rsid w:val="00B11525"/>
    <w:rsid w:val="00B1153E"/>
    <w:rsid w:val="00B11597"/>
    <w:rsid w:val="00B1177E"/>
    <w:rsid w:val="00B118DC"/>
    <w:rsid w:val="00B11942"/>
    <w:rsid w:val="00B11BD2"/>
    <w:rsid w:val="00B11C0F"/>
    <w:rsid w:val="00B121FA"/>
    <w:rsid w:val="00B12548"/>
    <w:rsid w:val="00B1259E"/>
    <w:rsid w:val="00B125F5"/>
    <w:rsid w:val="00B126FF"/>
    <w:rsid w:val="00B12982"/>
    <w:rsid w:val="00B12E70"/>
    <w:rsid w:val="00B1345E"/>
    <w:rsid w:val="00B1350B"/>
    <w:rsid w:val="00B13529"/>
    <w:rsid w:val="00B135C6"/>
    <w:rsid w:val="00B13758"/>
    <w:rsid w:val="00B13E44"/>
    <w:rsid w:val="00B1410B"/>
    <w:rsid w:val="00B1420D"/>
    <w:rsid w:val="00B143B9"/>
    <w:rsid w:val="00B14504"/>
    <w:rsid w:val="00B1456C"/>
    <w:rsid w:val="00B14652"/>
    <w:rsid w:val="00B14689"/>
    <w:rsid w:val="00B14770"/>
    <w:rsid w:val="00B147E4"/>
    <w:rsid w:val="00B1483C"/>
    <w:rsid w:val="00B148C1"/>
    <w:rsid w:val="00B14989"/>
    <w:rsid w:val="00B14A25"/>
    <w:rsid w:val="00B14B7D"/>
    <w:rsid w:val="00B14C4F"/>
    <w:rsid w:val="00B14CC2"/>
    <w:rsid w:val="00B152E9"/>
    <w:rsid w:val="00B1555F"/>
    <w:rsid w:val="00B15878"/>
    <w:rsid w:val="00B158D2"/>
    <w:rsid w:val="00B1593A"/>
    <w:rsid w:val="00B1594E"/>
    <w:rsid w:val="00B15A85"/>
    <w:rsid w:val="00B15A9B"/>
    <w:rsid w:val="00B15AB5"/>
    <w:rsid w:val="00B15CAD"/>
    <w:rsid w:val="00B15CCB"/>
    <w:rsid w:val="00B15D56"/>
    <w:rsid w:val="00B15D61"/>
    <w:rsid w:val="00B15F53"/>
    <w:rsid w:val="00B15F82"/>
    <w:rsid w:val="00B165DE"/>
    <w:rsid w:val="00B1666B"/>
    <w:rsid w:val="00B166D8"/>
    <w:rsid w:val="00B1672D"/>
    <w:rsid w:val="00B167C9"/>
    <w:rsid w:val="00B16819"/>
    <w:rsid w:val="00B1699C"/>
    <w:rsid w:val="00B16A55"/>
    <w:rsid w:val="00B16A9B"/>
    <w:rsid w:val="00B16AAF"/>
    <w:rsid w:val="00B16F78"/>
    <w:rsid w:val="00B1701E"/>
    <w:rsid w:val="00B17240"/>
    <w:rsid w:val="00B17242"/>
    <w:rsid w:val="00B17478"/>
    <w:rsid w:val="00B174F1"/>
    <w:rsid w:val="00B1753C"/>
    <w:rsid w:val="00B178E0"/>
    <w:rsid w:val="00B17B70"/>
    <w:rsid w:val="00B17D08"/>
    <w:rsid w:val="00B17DD8"/>
    <w:rsid w:val="00B200C1"/>
    <w:rsid w:val="00B20124"/>
    <w:rsid w:val="00B201CC"/>
    <w:rsid w:val="00B201E3"/>
    <w:rsid w:val="00B2030B"/>
    <w:rsid w:val="00B20695"/>
    <w:rsid w:val="00B2081C"/>
    <w:rsid w:val="00B209BE"/>
    <w:rsid w:val="00B20B65"/>
    <w:rsid w:val="00B20BC3"/>
    <w:rsid w:val="00B20C31"/>
    <w:rsid w:val="00B20D47"/>
    <w:rsid w:val="00B20D7E"/>
    <w:rsid w:val="00B20DCD"/>
    <w:rsid w:val="00B20DF9"/>
    <w:rsid w:val="00B211A4"/>
    <w:rsid w:val="00B21259"/>
    <w:rsid w:val="00B213F0"/>
    <w:rsid w:val="00B2148A"/>
    <w:rsid w:val="00B21828"/>
    <w:rsid w:val="00B2191D"/>
    <w:rsid w:val="00B2193E"/>
    <w:rsid w:val="00B21AF9"/>
    <w:rsid w:val="00B21B7C"/>
    <w:rsid w:val="00B21CEC"/>
    <w:rsid w:val="00B21FDE"/>
    <w:rsid w:val="00B2203C"/>
    <w:rsid w:val="00B2224C"/>
    <w:rsid w:val="00B2226E"/>
    <w:rsid w:val="00B227CC"/>
    <w:rsid w:val="00B22AE9"/>
    <w:rsid w:val="00B22B57"/>
    <w:rsid w:val="00B22CC4"/>
    <w:rsid w:val="00B22D87"/>
    <w:rsid w:val="00B22E4B"/>
    <w:rsid w:val="00B2302E"/>
    <w:rsid w:val="00B230C0"/>
    <w:rsid w:val="00B231E9"/>
    <w:rsid w:val="00B233C5"/>
    <w:rsid w:val="00B23B74"/>
    <w:rsid w:val="00B23C6B"/>
    <w:rsid w:val="00B23EEF"/>
    <w:rsid w:val="00B242AB"/>
    <w:rsid w:val="00B244B9"/>
    <w:rsid w:val="00B2460E"/>
    <w:rsid w:val="00B24662"/>
    <w:rsid w:val="00B249D1"/>
    <w:rsid w:val="00B24A7F"/>
    <w:rsid w:val="00B24AD2"/>
    <w:rsid w:val="00B24D6F"/>
    <w:rsid w:val="00B25050"/>
    <w:rsid w:val="00B2526E"/>
    <w:rsid w:val="00B25641"/>
    <w:rsid w:val="00B25699"/>
    <w:rsid w:val="00B2590F"/>
    <w:rsid w:val="00B2596A"/>
    <w:rsid w:val="00B2598D"/>
    <w:rsid w:val="00B25A0A"/>
    <w:rsid w:val="00B25B0B"/>
    <w:rsid w:val="00B25F7C"/>
    <w:rsid w:val="00B25FA7"/>
    <w:rsid w:val="00B2613B"/>
    <w:rsid w:val="00B263F1"/>
    <w:rsid w:val="00B265AF"/>
    <w:rsid w:val="00B267B8"/>
    <w:rsid w:val="00B268EA"/>
    <w:rsid w:val="00B26C1A"/>
    <w:rsid w:val="00B26DEC"/>
    <w:rsid w:val="00B26E88"/>
    <w:rsid w:val="00B26EEB"/>
    <w:rsid w:val="00B26F5E"/>
    <w:rsid w:val="00B2703D"/>
    <w:rsid w:val="00B27380"/>
    <w:rsid w:val="00B27384"/>
    <w:rsid w:val="00B278D9"/>
    <w:rsid w:val="00B27A98"/>
    <w:rsid w:val="00B27DB6"/>
    <w:rsid w:val="00B27EF9"/>
    <w:rsid w:val="00B302D0"/>
    <w:rsid w:val="00B303DF"/>
    <w:rsid w:val="00B305F5"/>
    <w:rsid w:val="00B30678"/>
    <w:rsid w:val="00B30A16"/>
    <w:rsid w:val="00B30A8D"/>
    <w:rsid w:val="00B30DD7"/>
    <w:rsid w:val="00B30FB8"/>
    <w:rsid w:val="00B312A6"/>
    <w:rsid w:val="00B312E2"/>
    <w:rsid w:val="00B31428"/>
    <w:rsid w:val="00B31547"/>
    <w:rsid w:val="00B31642"/>
    <w:rsid w:val="00B31695"/>
    <w:rsid w:val="00B316F8"/>
    <w:rsid w:val="00B318C9"/>
    <w:rsid w:val="00B318DD"/>
    <w:rsid w:val="00B31971"/>
    <w:rsid w:val="00B31C7C"/>
    <w:rsid w:val="00B31C8B"/>
    <w:rsid w:val="00B31DD4"/>
    <w:rsid w:val="00B31EA0"/>
    <w:rsid w:val="00B323F6"/>
    <w:rsid w:val="00B32501"/>
    <w:rsid w:val="00B3254B"/>
    <w:rsid w:val="00B3278B"/>
    <w:rsid w:val="00B3311D"/>
    <w:rsid w:val="00B334E8"/>
    <w:rsid w:val="00B3353E"/>
    <w:rsid w:val="00B337B6"/>
    <w:rsid w:val="00B338FF"/>
    <w:rsid w:val="00B339E1"/>
    <w:rsid w:val="00B33ABE"/>
    <w:rsid w:val="00B33C37"/>
    <w:rsid w:val="00B33E40"/>
    <w:rsid w:val="00B3414B"/>
    <w:rsid w:val="00B34344"/>
    <w:rsid w:val="00B343A2"/>
    <w:rsid w:val="00B34524"/>
    <w:rsid w:val="00B34565"/>
    <w:rsid w:val="00B34A06"/>
    <w:rsid w:val="00B34AE9"/>
    <w:rsid w:val="00B34C57"/>
    <w:rsid w:val="00B34EFF"/>
    <w:rsid w:val="00B35324"/>
    <w:rsid w:val="00B353DF"/>
    <w:rsid w:val="00B3544D"/>
    <w:rsid w:val="00B35510"/>
    <w:rsid w:val="00B357D1"/>
    <w:rsid w:val="00B35C9D"/>
    <w:rsid w:val="00B36258"/>
    <w:rsid w:val="00B362A1"/>
    <w:rsid w:val="00B363DF"/>
    <w:rsid w:val="00B3694E"/>
    <w:rsid w:val="00B369FD"/>
    <w:rsid w:val="00B36AD2"/>
    <w:rsid w:val="00B36B47"/>
    <w:rsid w:val="00B36C79"/>
    <w:rsid w:val="00B36D27"/>
    <w:rsid w:val="00B36E44"/>
    <w:rsid w:val="00B36E4F"/>
    <w:rsid w:val="00B36EA2"/>
    <w:rsid w:val="00B36FC7"/>
    <w:rsid w:val="00B3700A"/>
    <w:rsid w:val="00B370C1"/>
    <w:rsid w:val="00B37115"/>
    <w:rsid w:val="00B37171"/>
    <w:rsid w:val="00B371D7"/>
    <w:rsid w:val="00B3735C"/>
    <w:rsid w:val="00B37545"/>
    <w:rsid w:val="00B3756B"/>
    <w:rsid w:val="00B37735"/>
    <w:rsid w:val="00B377B6"/>
    <w:rsid w:val="00B379A2"/>
    <w:rsid w:val="00B37BB4"/>
    <w:rsid w:val="00B37CA8"/>
    <w:rsid w:val="00B37D70"/>
    <w:rsid w:val="00B4049A"/>
    <w:rsid w:val="00B4057A"/>
    <w:rsid w:val="00B40BA6"/>
    <w:rsid w:val="00B40C0C"/>
    <w:rsid w:val="00B40C1E"/>
    <w:rsid w:val="00B41064"/>
    <w:rsid w:val="00B41176"/>
    <w:rsid w:val="00B41219"/>
    <w:rsid w:val="00B412C7"/>
    <w:rsid w:val="00B41681"/>
    <w:rsid w:val="00B417A4"/>
    <w:rsid w:val="00B41856"/>
    <w:rsid w:val="00B418B0"/>
    <w:rsid w:val="00B41A21"/>
    <w:rsid w:val="00B41A96"/>
    <w:rsid w:val="00B41CC9"/>
    <w:rsid w:val="00B42005"/>
    <w:rsid w:val="00B4237C"/>
    <w:rsid w:val="00B423D1"/>
    <w:rsid w:val="00B42504"/>
    <w:rsid w:val="00B425E8"/>
    <w:rsid w:val="00B4267E"/>
    <w:rsid w:val="00B42A2E"/>
    <w:rsid w:val="00B42D92"/>
    <w:rsid w:val="00B43081"/>
    <w:rsid w:val="00B4308C"/>
    <w:rsid w:val="00B430C9"/>
    <w:rsid w:val="00B435BC"/>
    <w:rsid w:val="00B43724"/>
    <w:rsid w:val="00B439D3"/>
    <w:rsid w:val="00B43ADF"/>
    <w:rsid w:val="00B43B43"/>
    <w:rsid w:val="00B43B75"/>
    <w:rsid w:val="00B43D27"/>
    <w:rsid w:val="00B43D6B"/>
    <w:rsid w:val="00B43FB8"/>
    <w:rsid w:val="00B44036"/>
    <w:rsid w:val="00B440A5"/>
    <w:rsid w:val="00B441A0"/>
    <w:rsid w:val="00B44506"/>
    <w:rsid w:val="00B446CD"/>
    <w:rsid w:val="00B4476E"/>
    <w:rsid w:val="00B44773"/>
    <w:rsid w:val="00B447F0"/>
    <w:rsid w:val="00B4490B"/>
    <w:rsid w:val="00B44F9E"/>
    <w:rsid w:val="00B450B3"/>
    <w:rsid w:val="00B450D4"/>
    <w:rsid w:val="00B452A1"/>
    <w:rsid w:val="00B4561A"/>
    <w:rsid w:val="00B4576F"/>
    <w:rsid w:val="00B457B3"/>
    <w:rsid w:val="00B45B46"/>
    <w:rsid w:val="00B45C0C"/>
    <w:rsid w:val="00B45D8D"/>
    <w:rsid w:val="00B45DF9"/>
    <w:rsid w:val="00B45E87"/>
    <w:rsid w:val="00B45F0C"/>
    <w:rsid w:val="00B460D7"/>
    <w:rsid w:val="00B46129"/>
    <w:rsid w:val="00B46252"/>
    <w:rsid w:val="00B4643D"/>
    <w:rsid w:val="00B4654B"/>
    <w:rsid w:val="00B46942"/>
    <w:rsid w:val="00B46B28"/>
    <w:rsid w:val="00B46C63"/>
    <w:rsid w:val="00B46EB9"/>
    <w:rsid w:val="00B46EE7"/>
    <w:rsid w:val="00B471C4"/>
    <w:rsid w:val="00B472E9"/>
    <w:rsid w:val="00B4744F"/>
    <w:rsid w:val="00B477A8"/>
    <w:rsid w:val="00B47A11"/>
    <w:rsid w:val="00B47C1A"/>
    <w:rsid w:val="00B47CF1"/>
    <w:rsid w:val="00B47D42"/>
    <w:rsid w:val="00B47DD9"/>
    <w:rsid w:val="00B47E18"/>
    <w:rsid w:val="00B47F39"/>
    <w:rsid w:val="00B47F96"/>
    <w:rsid w:val="00B47FBA"/>
    <w:rsid w:val="00B5046B"/>
    <w:rsid w:val="00B50584"/>
    <w:rsid w:val="00B5072B"/>
    <w:rsid w:val="00B5077F"/>
    <w:rsid w:val="00B50786"/>
    <w:rsid w:val="00B507DC"/>
    <w:rsid w:val="00B50876"/>
    <w:rsid w:val="00B50A80"/>
    <w:rsid w:val="00B50A97"/>
    <w:rsid w:val="00B50D18"/>
    <w:rsid w:val="00B50FD7"/>
    <w:rsid w:val="00B51072"/>
    <w:rsid w:val="00B5129B"/>
    <w:rsid w:val="00B512E7"/>
    <w:rsid w:val="00B51364"/>
    <w:rsid w:val="00B513F9"/>
    <w:rsid w:val="00B5174B"/>
    <w:rsid w:val="00B518C6"/>
    <w:rsid w:val="00B518E0"/>
    <w:rsid w:val="00B51E0D"/>
    <w:rsid w:val="00B51E42"/>
    <w:rsid w:val="00B51E50"/>
    <w:rsid w:val="00B51FB1"/>
    <w:rsid w:val="00B52001"/>
    <w:rsid w:val="00B52415"/>
    <w:rsid w:val="00B52465"/>
    <w:rsid w:val="00B52474"/>
    <w:rsid w:val="00B5270E"/>
    <w:rsid w:val="00B5298E"/>
    <w:rsid w:val="00B52B91"/>
    <w:rsid w:val="00B52E3D"/>
    <w:rsid w:val="00B530FB"/>
    <w:rsid w:val="00B531F5"/>
    <w:rsid w:val="00B53281"/>
    <w:rsid w:val="00B53406"/>
    <w:rsid w:val="00B5358D"/>
    <w:rsid w:val="00B536FA"/>
    <w:rsid w:val="00B5374F"/>
    <w:rsid w:val="00B5379C"/>
    <w:rsid w:val="00B537F8"/>
    <w:rsid w:val="00B5381D"/>
    <w:rsid w:val="00B5387E"/>
    <w:rsid w:val="00B53B25"/>
    <w:rsid w:val="00B53B9D"/>
    <w:rsid w:val="00B54048"/>
    <w:rsid w:val="00B54128"/>
    <w:rsid w:val="00B541C7"/>
    <w:rsid w:val="00B543C1"/>
    <w:rsid w:val="00B545DC"/>
    <w:rsid w:val="00B54784"/>
    <w:rsid w:val="00B54839"/>
    <w:rsid w:val="00B5493D"/>
    <w:rsid w:val="00B54AAF"/>
    <w:rsid w:val="00B54D67"/>
    <w:rsid w:val="00B54F19"/>
    <w:rsid w:val="00B5549D"/>
    <w:rsid w:val="00B55625"/>
    <w:rsid w:val="00B5562C"/>
    <w:rsid w:val="00B55777"/>
    <w:rsid w:val="00B55792"/>
    <w:rsid w:val="00B55836"/>
    <w:rsid w:val="00B558E0"/>
    <w:rsid w:val="00B558E8"/>
    <w:rsid w:val="00B559AF"/>
    <w:rsid w:val="00B55A7F"/>
    <w:rsid w:val="00B55B4A"/>
    <w:rsid w:val="00B55C68"/>
    <w:rsid w:val="00B55E31"/>
    <w:rsid w:val="00B5600E"/>
    <w:rsid w:val="00B56046"/>
    <w:rsid w:val="00B5608A"/>
    <w:rsid w:val="00B5635C"/>
    <w:rsid w:val="00B564D5"/>
    <w:rsid w:val="00B564D7"/>
    <w:rsid w:val="00B567E3"/>
    <w:rsid w:val="00B56954"/>
    <w:rsid w:val="00B56970"/>
    <w:rsid w:val="00B5698F"/>
    <w:rsid w:val="00B56A72"/>
    <w:rsid w:val="00B56DC0"/>
    <w:rsid w:val="00B57201"/>
    <w:rsid w:val="00B57502"/>
    <w:rsid w:val="00B57663"/>
    <w:rsid w:val="00B5777A"/>
    <w:rsid w:val="00B57A48"/>
    <w:rsid w:val="00B57A8C"/>
    <w:rsid w:val="00B57AA0"/>
    <w:rsid w:val="00B57AE0"/>
    <w:rsid w:val="00B57C4E"/>
    <w:rsid w:val="00B57EA0"/>
    <w:rsid w:val="00B57F81"/>
    <w:rsid w:val="00B5EB0F"/>
    <w:rsid w:val="00B60237"/>
    <w:rsid w:val="00B60672"/>
    <w:rsid w:val="00B60961"/>
    <w:rsid w:val="00B60977"/>
    <w:rsid w:val="00B60A14"/>
    <w:rsid w:val="00B60BB7"/>
    <w:rsid w:val="00B60CDA"/>
    <w:rsid w:val="00B60CF0"/>
    <w:rsid w:val="00B60F5D"/>
    <w:rsid w:val="00B610E3"/>
    <w:rsid w:val="00B61377"/>
    <w:rsid w:val="00B614BA"/>
    <w:rsid w:val="00B61884"/>
    <w:rsid w:val="00B61AEB"/>
    <w:rsid w:val="00B61B74"/>
    <w:rsid w:val="00B61B98"/>
    <w:rsid w:val="00B61F9F"/>
    <w:rsid w:val="00B6251F"/>
    <w:rsid w:val="00B62522"/>
    <w:rsid w:val="00B62AA1"/>
    <w:rsid w:val="00B62D06"/>
    <w:rsid w:val="00B62DE7"/>
    <w:rsid w:val="00B630B5"/>
    <w:rsid w:val="00B630B9"/>
    <w:rsid w:val="00B633B7"/>
    <w:rsid w:val="00B63AE8"/>
    <w:rsid w:val="00B63B56"/>
    <w:rsid w:val="00B63EFC"/>
    <w:rsid w:val="00B64080"/>
    <w:rsid w:val="00B64113"/>
    <w:rsid w:val="00B64131"/>
    <w:rsid w:val="00B641B4"/>
    <w:rsid w:val="00B643AC"/>
    <w:rsid w:val="00B6444E"/>
    <w:rsid w:val="00B64644"/>
    <w:rsid w:val="00B6475D"/>
    <w:rsid w:val="00B647F3"/>
    <w:rsid w:val="00B64905"/>
    <w:rsid w:val="00B64A01"/>
    <w:rsid w:val="00B64ECF"/>
    <w:rsid w:val="00B650E6"/>
    <w:rsid w:val="00B651CB"/>
    <w:rsid w:val="00B652D1"/>
    <w:rsid w:val="00B653A8"/>
    <w:rsid w:val="00B659C1"/>
    <w:rsid w:val="00B65A35"/>
    <w:rsid w:val="00B65C53"/>
    <w:rsid w:val="00B65D1B"/>
    <w:rsid w:val="00B65E9C"/>
    <w:rsid w:val="00B65F16"/>
    <w:rsid w:val="00B6601D"/>
    <w:rsid w:val="00B660C0"/>
    <w:rsid w:val="00B66389"/>
    <w:rsid w:val="00B66420"/>
    <w:rsid w:val="00B6696C"/>
    <w:rsid w:val="00B669C7"/>
    <w:rsid w:val="00B66D91"/>
    <w:rsid w:val="00B66DB4"/>
    <w:rsid w:val="00B66DDB"/>
    <w:rsid w:val="00B66F61"/>
    <w:rsid w:val="00B6713E"/>
    <w:rsid w:val="00B679A5"/>
    <w:rsid w:val="00B67A56"/>
    <w:rsid w:val="00B67A93"/>
    <w:rsid w:val="00B67AC5"/>
    <w:rsid w:val="00B67BEF"/>
    <w:rsid w:val="00B67C60"/>
    <w:rsid w:val="00B67FD5"/>
    <w:rsid w:val="00B70060"/>
    <w:rsid w:val="00B70073"/>
    <w:rsid w:val="00B70074"/>
    <w:rsid w:val="00B7012D"/>
    <w:rsid w:val="00B701B8"/>
    <w:rsid w:val="00B70325"/>
    <w:rsid w:val="00B704F5"/>
    <w:rsid w:val="00B7085C"/>
    <w:rsid w:val="00B70A93"/>
    <w:rsid w:val="00B70E25"/>
    <w:rsid w:val="00B711F4"/>
    <w:rsid w:val="00B712AD"/>
    <w:rsid w:val="00B71405"/>
    <w:rsid w:val="00B715C5"/>
    <w:rsid w:val="00B71601"/>
    <w:rsid w:val="00B71716"/>
    <w:rsid w:val="00B717BE"/>
    <w:rsid w:val="00B71800"/>
    <w:rsid w:val="00B71A13"/>
    <w:rsid w:val="00B71C3C"/>
    <w:rsid w:val="00B7202E"/>
    <w:rsid w:val="00B720AE"/>
    <w:rsid w:val="00B7213A"/>
    <w:rsid w:val="00B721A7"/>
    <w:rsid w:val="00B721C8"/>
    <w:rsid w:val="00B7261E"/>
    <w:rsid w:val="00B728C1"/>
    <w:rsid w:val="00B728E6"/>
    <w:rsid w:val="00B729E3"/>
    <w:rsid w:val="00B72AA5"/>
    <w:rsid w:val="00B72EE7"/>
    <w:rsid w:val="00B7318C"/>
    <w:rsid w:val="00B73899"/>
    <w:rsid w:val="00B73BB6"/>
    <w:rsid w:val="00B73D56"/>
    <w:rsid w:val="00B73E46"/>
    <w:rsid w:val="00B73E5F"/>
    <w:rsid w:val="00B73EE8"/>
    <w:rsid w:val="00B74062"/>
    <w:rsid w:val="00B7441F"/>
    <w:rsid w:val="00B74791"/>
    <w:rsid w:val="00B747E5"/>
    <w:rsid w:val="00B749F4"/>
    <w:rsid w:val="00B74AAC"/>
    <w:rsid w:val="00B74CB2"/>
    <w:rsid w:val="00B74CE8"/>
    <w:rsid w:val="00B74E15"/>
    <w:rsid w:val="00B74F05"/>
    <w:rsid w:val="00B75010"/>
    <w:rsid w:val="00B75092"/>
    <w:rsid w:val="00B751E5"/>
    <w:rsid w:val="00B7520D"/>
    <w:rsid w:val="00B753F1"/>
    <w:rsid w:val="00B7540D"/>
    <w:rsid w:val="00B7542D"/>
    <w:rsid w:val="00B75446"/>
    <w:rsid w:val="00B754AD"/>
    <w:rsid w:val="00B75C5A"/>
    <w:rsid w:val="00B75DA6"/>
    <w:rsid w:val="00B75FAB"/>
    <w:rsid w:val="00B760C5"/>
    <w:rsid w:val="00B765D7"/>
    <w:rsid w:val="00B7695E"/>
    <w:rsid w:val="00B76A74"/>
    <w:rsid w:val="00B77552"/>
    <w:rsid w:val="00B778DF"/>
    <w:rsid w:val="00B77F2B"/>
    <w:rsid w:val="00B77F62"/>
    <w:rsid w:val="00B80241"/>
    <w:rsid w:val="00B80251"/>
    <w:rsid w:val="00B8043D"/>
    <w:rsid w:val="00B8065C"/>
    <w:rsid w:val="00B80731"/>
    <w:rsid w:val="00B80917"/>
    <w:rsid w:val="00B8093C"/>
    <w:rsid w:val="00B809C6"/>
    <w:rsid w:val="00B809FF"/>
    <w:rsid w:val="00B80A78"/>
    <w:rsid w:val="00B80BF8"/>
    <w:rsid w:val="00B80D9E"/>
    <w:rsid w:val="00B8115E"/>
    <w:rsid w:val="00B81296"/>
    <w:rsid w:val="00B81338"/>
    <w:rsid w:val="00B81431"/>
    <w:rsid w:val="00B814B7"/>
    <w:rsid w:val="00B81524"/>
    <w:rsid w:val="00B815FF"/>
    <w:rsid w:val="00B81600"/>
    <w:rsid w:val="00B81ABD"/>
    <w:rsid w:val="00B81BEE"/>
    <w:rsid w:val="00B81C4F"/>
    <w:rsid w:val="00B81DBC"/>
    <w:rsid w:val="00B81DC7"/>
    <w:rsid w:val="00B81F4E"/>
    <w:rsid w:val="00B823FC"/>
    <w:rsid w:val="00B8242A"/>
    <w:rsid w:val="00B824FD"/>
    <w:rsid w:val="00B82934"/>
    <w:rsid w:val="00B8298F"/>
    <w:rsid w:val="00B82A8C"/>
    <w:rsid w:val="00B82B5E"/>
    <w:rsid w:val="00B82C2E"/>
    <w:rsid w:val="00B82D5E"/>
    <w:rsid w:val="00B82E10"/>
    <w:rsid w:val="00B82F4D"/>
    <w:rsid w:val="00B831E6"/>
    <w:rsid w:val="00B832A3"/>
    <w:rsid w:val="00B8363A"/>
    <w:rsid w:val="00B836A7"/>
    <w:rsid w:val="00B837AD"/>
    <w:rsid w:val="00B83C5D"/>
    <w:rsid w:val="00B83DC1"/>
    <w:rsid w:val="00B8403F"/>
    <w:rsid w:val="00B84168"/>
    <w:rsid w:val="00B842E9"/>
    <w:rsid w:val="00B845CA"/>
    <w:rsid w:val="00B84625"/>
    <w:rsid w:val="00B8469D"/>
    <w:rsid w:val="00B84B2B"/>
    <w:rsid w:val="00B84D0A"/>
    <w:rsid w:val="00B84D43"/>
    <w:rsid w:val="00B84FEC"/>
    <w:rsid w:val="00B85362"/>
    <w:rsid w:val="00B854D2"/>
    <w:rsid w:val="00B85747"/>
    <w:rsid w:val="00B85784"/>
    <w:rsid w:val="00B85915"/>
    <w:rsid w:val="00B8591A"/>
    <w:rsid w:val="00B85A44"/>
    <w:rsid w:val="00B85B22"/>
    <w:rsid w:val="00B85BAD"/>
    <w:rsid w:val="00B85F22"/>
    <w:rsid w:val="00B8621F"/>
    <w:rsid w:val="00B8643B"/>
    <w:rsid w:val="00B86589"/>
    <w:rsid w:val="00B86755"/>
    <w:rsid w:val="00B86787"/>
    <w:rsid w:val="00B8687D"/>
    <w:rsid w:val="00B868F9"/>
    <w:rsid w:val="00B86C2C"/>
    <w:rsid w:val="00B86D08"/>
    <w:rsid w:val="00B86E39"/>
    <w:rsid w:val="00B87205"/>
    <w:rsid w:val="00B87224"/>
    <w:rsid w:val="00B872A1"/>
    <w:rsid w:val="00B87373"/>
    <w:rsid w:val="00B87396"/>
    <w:rsid w:val="00B875D4"/>
    <w:rsid w:val="00B87619"/>
    <w:rsid w:val="00B87906"/>
    <w:rsid w:val="00B8798F"/>
    <w:rsid w:val="00B879BE"/>
    <w:rsid w:val="00B87AEC"/>
    <w:rsid w:val="00B87B2E"/>
    <w:rsid w:val="00B87CFB"/>
    <w:rsid w:val="00B87DD7"/>
    <w:rsid w:val="00B87E51"/>
    <w:rsid w:val="00B9000F"/>
    <w:rsid w:val="00B90050"/>
    <w:rsid w:val="00B90126"/>
    <w:rsid w:val="00B901D5"/>
    <w:rsid w:val="00B902EF"/>
    <w:rsid w:val="00B903F9"/>
    <w:rsid w:val="00B90488"/>
    <w:rsid w:val="00B909DA"/>
    <w:rsid w:val="00B90AB2"/>
    <w:rsid w:val="00B90B7E"/>
    <w:rsid w:val="00B90C8B"/>
    <w:rsid w:val="00B90F95"/>
    <w:rsid w:val="00B910D5"/>
    <w:rsid w:val="00B912A1"/>
    <w:rsid w:val="00B91531"/>
    <w:rsid w:val="00B916CB"/>
    <w:rsid w:val="00B9176F"/>
    <w:rsid w:val="00B917ED"/>
    <w:rsid w:val="00B919D7"/>
    <w:rsid w:val="00B919E6"/>
    <w:rsid w:val="00B91A7C"/>
    <w:rsid w:val="00B91CB4"/>
    <w:rsid w:val="00B91CBD"/>
    <w:rsid w:val="00B91D00"/>
    <w:rsid w:val="00B92111"/>
    <w:rsid w:val="00B921C1"/>
    <w:rsid w:val="00B922CB"/>
    <w:rsid w:val="00B92D23"/>
    <w:rsid w:val="00B92D29"/>
    <w:rsid w:val="00B92D4B"/>
    <w:rsid w:val="00B92D51"/>
    <w:rsid w:val="00B92D60"/>
    <w:rsid w:val="00B92DA7"/>
    <w:rsid w:val="00B92EB3"/>
    <w:rsid w:val="00B92FDB"/>
    <w:rsid w:val="00B93163"/>
    <w:rsid w:val="00B9332C"/>
    <w:rsid w:val="00B93456"/>
    <w:rsid w:val="00B93587"/>
    <w:rsid w:val="00B935EB"/>
    <w:rsid w:val="00B938EC"/>
    <w:rsid w:val="00B93A2B"/>
    <w:rsid w:val="00B93B3B"/>
    <w:rsid w:val="00B93BF6"/>
    <w:rsid w:val="00B93CF3"/>
    <w:rsid w:val="00B93DDA"/>
    <w:rsid w:val="00B93FFF"/>
    <w:rsid w:val="00B94034"/>
    <w:rsid w:val="00B9407C"/>
    <w:rsid w:val="00B94239"/>
    <w:rsid w:val="00B942A9"/>
    <w:rsid w:val="00B943D9"/>
    <w:rsid w:val="00B94503"/>
    <w:rsid w:val="00B9458D"/>
    <w:rsid w:val="00B945F1"/>
    <w:rsid w:val="00B94870"/>
    <w:rsid w:val="00B9492D"/>
    <w:rsid w:val="00B94A3F"/>
    <w:rsid w:val="00B94D92"/>
    <w:rsid w:val="00B94F03"/>
    <w:rsid w:val="00B950DE"/>
    <w:rsid w:val="00B951A3"/>
    <w:rsid w:val="00B9522E"/>
    <w:rsid w:val="00B953C3"/>
    <w:rsid w:val="00B95605"/>
    <w:rsid w:val="00B957B5"/>
    <w:rsid w:val="00B9596F"/>
    <w:rsid w:val="00B95AE5"/>
    <w:rsid w:val="00B95EFB"/>
    <w:rsid w:val="00B9616F"/>
    <w:rsid w:val="00B962FD"/>
    <w:rsid w:val="00B96311"/>
    <w:rsid w:val="00B96318"/>
    <w:rsid w:val="00B965BF"/>
    <w:rsid w:val="00B965CE"/>
    <w:rsid w:val="00B96885"/>
    <w:rsid w:val="00B968CB"/>
    <w:rsid w:val="00B968E3"/>
    <w:rsid w:val="00B969E4"/>
    <w:rsid w:val="00B96A46"/>
    <w:rsid w:val="00B96E91"/>
    <w:rsid w:val="00B96EC7"/>
    <w:rsid w:val="00B96FD5"/>
    <w:rsid w:val="00B97062"/>
    <w:rsid w:val="00B97997"/>
    <w:rsid w:val="00B979CE"/>
    <w:rsid w:val="00B97F4F"/>
    <w:rsid w:val="00BA0277"/>
    <w:rsid w:val="00BA0301"/>
    <w:rsid w:val="00BA0329"/>
    <w:rsid w:val="00BA03A5"/>
    <w:rsid w:val="00BA0449"/>
    <w:rsid w:val="00BA0587"/>
    <w:rsid w:val="00BA0841"/>
    <w:rsid w:val="00BA091E"/>
    <w:rsid w:val="00BA09C4"/>
    <w:rsid w:val="00BA09CD"/>
    <w:rsid w:val="00BA0BE4"/>
    <w:rsid w:val="00BA1155"/>
    <w:rsid w:val="00BA12F3"/>
    <w:rsid w:val="00BA14B8"/>
    <w:rsid w:val="00BA15F3"/>
    <w:rsid w:val="00BA1676"/>
    <w:rsid w:val="00BA16B2"/>
    <w:rsid w:val="00BA16BA"/>
    <w:rsid w:val="00BA17BB"/>
    <w:rsid w:val="00BA1B18"/>
    <w:rsid w:val="00BA1C64"/>
    <w:rsid w:val="00BA1D4A"/>
    <w:rsid w:val="00BA229F"/>
    <w:rsid w:val="00BA22E1"/>
    <w:rsid w:val="00BA2457"/>
    <w:rsid w:val="00BA2632"/>
    <w:rsid w:val="00BA273A"/>
    <w:rsid w:val="00BA2782"/>
    <w:rsid w:val="00BA2A4D"/>
    <w:rsid w:val="00BA2B58"/>
    <w:rsid w:val="00BA2B67"/>
    <w:rsid w:val="00BA2BCD"/>
    <w:rsid w:val="00BA2F46"/>
    <w:rsid w:val="00BA30AB"/>
    <w:rsid w:val="00BA31E2"/>
    <w:rsid w:val="00BA33F2"/>
    <w:rsid w:val="00BA35A5"/>
    <w:rsid w:val="00BA3A78"/>
    <w:rsid w:val="00BA3CE1"/>
    <w:rsid w:val="00BA3E0A"/>
    <w:rsid w:val="00BA3F3D"/>
    <w:rsid w:val="00BA3F49"/>
    <w:rsid w:val="00BA412C"/>
    <w:rsid w:val="00BA4567"/>
    <w:rsid w:val="00BA4773"/>
    <w:rsid w:val="00BA47AD"/>
    <w:rsid w:val="00BA47C8"/>
    <w:rsid w:val="00BA490D"/>
    <w:rsid w:val="00BA49A2"/>
    <w:rsid w:val="00BA4ABF"/>
    <w:rsid w:val="00BA4BBF"/>
    <w:rsid w:val="00BA4BF8"/>
    <w:rsid w:val="00BA4DD2"/>
    <w:rsid w:val="00BA4F9C"/>
    <w:rsid w:val="00BA50C1"/>
    <w:rsid w:val="00BA5249"/>
    <w:rsid w:val="00BA5320"/>
    <w:rsid w:val="00BA5462"/>
    <w:rsid w:val="00BA5AD1"/>
    <w:rsid w:val="00BA5E59"/>
    <w:rsid w:val="00BA60F8"/>
    <w:rsid w:val="00BA6490"/>
    <w:rsid w:val="00BA656B"/>
    <w:rsid w:val="00BA65AE"/>
    <w:rsid w:val="00BA6606"/>
    <w:rsid w:val="00BA685E"/>
    <w:rsid w:val="00BA6C36"/>
    <w:rsid w:val="00BA6D46"/>
    <w:rsid w:val="00BA6E83"/>
    <w:rsid w:val="00BA6F55"/>
    <w:rsid w:val="00BA6FC1"/>
    <w:rsid w:val="00BA7015"/>
    <w:rsid w:val="00BA7060"/>
    <w:rsid w:val="00BA70AC"/>
    <w:rsid w:val="00BA72A3"/>
    <w:rsid w:val="00BA7435"/>
    <w:rsid w:val="00BA753A"/>
    <w:rsid w:val="00BA75B2"/>
    <w:rsid w:val="00BA7660"/>
    <w:rsid w:val="00BA77D8"/>
    <w:rsid w:val="00BA7CBF"/>
    <w:rsid w:val="00BA7F27"/>
    <w:rsid w:val="00BA7F61"/>
    <w:rsid w:val="00BB0A83"/>
    <w:rsid w:val="00BB0BB1"/>
    <w:rsid w:val="00BB0C5D"/>
    <w:rsid w:val="00BB0DB4"/>
    <w:rsid w:val="00BB0F39"/>
    <w:rsid w:val="00BB131A"/>
    <w:rsid w:val="00BB1382"/>
    <w:rsid w:val="00BB14D0"/>
    <w:rsid w:val="00BB16DA"/>
    <w:rsid w:val="00BB1738"/>
    <w:rsid w:val="00BB1855"/>
    <w:rsid w:val="00BB1928"/>
    <w:rsid w:val="00BB19C4"/>
    <w:rsid w:val="00BB19CB"/>
    <w:rsid w:val="00BB1C2A"/>
    <w:rsid w:val="00BB1C2E"/>
    <w:rsid w:val="00BB1D9E"/>
    <w:rsid w:val="00BB1DFE"/>
    <w:rsid w:val="00BB1F63"/>
    <w:rsid w:val="00BB2122"/>
    <w:rsid w:val="00BB21C4"/>
    <w:rsid w:val="00BB2326"/>
    <w:rsid w:val="00BB245F"/>
    <w:rsid w:val="00BB25A6"/>
    <w:rsid w:val="00BB2727"/>
    <w:rsid w:val="00BB2730"/>
    <w:rsid w:val="00BB273E"/>
    <w:rsid w:val="00BB2753"/>
    <w:rsid w:val="00BB2876"/>
    <w:rsid w:val="00BB29B8"/>
    <w:rsid w:val="00BB2DD9"/>
    <w:rsid w:val="00BB2EA0"/>
    <w:rsid w:val="00BB2FF4"/>
    <w:rsid w:val="00BB3031"/>
    <w:rsid w:val="00BB32DF"/>
    <w:rsid w:val="00BB32F2"/>
    <w:rsid w:val="00BB3510"/>
    <w:rsid w:val="00BB3AF7"/>
    <w:rsid w:val="00BB3F54"/>
    <w:rsid w:val="00BB3FB7"/>
    <w:rsid w:val="00BB40FE"/>
    <w:rsid w:val="00BB42B5"/>
    <w:rsid w:val="00BB4637"/>
    <w:rsid w:val="00BB4814"/>
    <w:rsid w:val="00BB4B70"/>
    <w:rsid w:val="00BB4B75"/>
    <w:rsid w:val="00BB4B9D"/>
    <w:rsid w:val="00BB4BAE"/>
    <w:rsid w:val="00BB51FC"/>
    <w:rsid w:val="00BB558C"/>
    <w:rsid w:val="00BB58F7"/>
    <w:rsid w:val="00BB5E84"/>
    <w:rsid w:val="00BB61AD"/>
    <w:rsid w:val="00BB637B"/>
    <w:rsid w:val="00BB69B7"/>
    <w:rsid w:val="00BB6A0E"/>
    <w:rsid w:val="00BB6AAE"/>
    <w:rsid w:val="00BB6AB4"/>
    <w:rsid w:val="00BB6C31"/>
    <w:rsid w:val="00BB6C71"/>
    <w:rsid w:val="00BB6D8C"/>
    <w:rsid w:val="00BB6EF0"/>
    <w:rsid w:val="00BB7060"/>
    <w:rsid w:val="00BB76FA"/>
    <w:rsid w:val="00BB7802"/>
    <w:rsid w:val="00BB7804"/>
    <w:rsid w:val="00BB787A"/>
    <w:rsid w:val="00BB797C"/>
    <w:rsid w:val="00BB7B0C"/>
    <w:rsid w:val="00BB7BB6"/>
    <w:rsid w:val="00BB7D70"/>
    <w:rsid w:val="00BB7D71"/>
    <w:rsid w:val="00BB7E3E"/>
    <w:rsid w:val="00BB7F74"/>
    <w:rsid w:val="00BC0106"/>
    <w:rsid w:val="00BC01D8"/>
    <w:rsid w:val="00BC035D"/>
    <w:rsid w:val="00BC0444"/>
    <w:rsid w:val="00BC07CF"/>
    <w:rsid w:val="00BC08C0"/>
    <w:rsid w:val="00BC09B7"/>
    <w:rsid w:val="00BC0ADE"/>
    <w:rsid w:val="00BC0F7A"/>
    <w:rsid w:val="00BC103E"/>
    <w:rsid w:val="00BC12E7"/>
    <w:rsid w:val="00BC12FC"/>
    <w:rsid w:val="00BC13D9"/>
    <w:rsid w:val="00BC14A5"/>
    <w:rsid w:val="00BC1A46"/>
    <w:rsid w:val="00BC1B01"/>
    <w:rsid w:val="00BC1BCB"/>
    <w:rsid w:val="00BC1EE3"/>
    <w:rsid w:val="00BC1F76"/>
    <w:rsid w:val="00BC1FFB"/>
    <w:rsid w:val="00BC2026"/>
    <w:rsid w:val="00BC22A2"/>
    <w:rsid w:val="00BC23F0"/>
    <w:rsid w:val="00BC245E"/>
    <w:rsid w:val="00BC255E"/>
    <w:rsid w:val="00BC2B7C"/>
    <w:rsid w:val="00BC2E17"/>
    <w:rsid w:val="00BC2F20"/>
    <w:rsid w:val="00BC2FE6"/>
    <w:rsid w:val="00BC31D5"/>
    <w:rsid w:val="00BC3311"/>
    <w:rsid w:val="00BC332B"/>
    <w:rsid w:val="00BC3763"/>
    <w:rsid w:val="00BC39F2"/>
    <w:rsid w:val="00BC3A6B"/>
    <w:rsid w:val="00BC3CF9"/>
    <w:rsid w:val="00BC3DA9"/>
    <w:rsid w:val="00BC3DED"/>
    <w:rsid w:val="00BC3EE8"/>
    <w:rsid w:val="00BC3FD5"/>
    <w:rsid w:val="00BC454E"/>
    <w:rsid w:val="00BC45B7"/>
    <w:rsid w:val="00BC4A8D"/>
    <w:rsid w:val="00BC4D58"/>
    <w:rsid w:val="00BC4D6D"/>
    <w:rsid w:val="00BC4E6E"/>
    <w:rsid w:val="00BC4F17"/>
    <w:rsid w:val="00BC51E0"/>
    <w:rsid w:val="00BC545A"/>
    <w:rsid w:val="00BC549C"/>
    <w:rsid w:val="00BC56EC"/>
    <w:rsid w:val="00BC56F6"/>
    <w:rsid w:val="00BC5783"/>
    <w:rsid w:val="00BC5A7B"/>
    <w:rsid w:val="00BC5B9E"/>
    <w:rsid w:val="00BC5BDA"/>
    <w:rsid w:val="00BC5C3A"/>
    <w:rsid w:val="00BC5CB6"/>
    <w:rsid w:val="00BC5D6A"/>
    <w:rsid w:val="00BC5D7A"/>
    <w:rsid w:val="00BC5F2A"/>
    <w:rsid w:val="00BC5FD5"/>
    <w:rsid w:val="00BC625B"/>
    <w:rsid w:val="00BC6290"/>
    <w:rsid w:val="00BC646E"/>
    <w:rsid w:val="00BC648A"/>
    <w:rsid w:val="00BC653F"/>
    <w:rsid w:val="00BC6742"/>
    <w:rsid w:val="00BC686F"/>
    <w:rsid w:val="00BC68F9"/>
    <w:rsid w:val="00BC6A72"/>
    <w:rsid w:val="00BC6AD6"/>
    <w:rsid w:val="00BC6D1C"/>
    <w:rsid w:val="00BC7099"/>
    <w:rsid w:val="00BC709E"/>
    <w:rsid w:val="00BC711B"/>
    <w:rsid w:val="00BC7135"/>
    <w:rsid w:val="00BC7195"/>
    <w:rsid w:val="00BC77AC"/>
    <w:rsid w:val="00BC7926"/>
    <w:rsid w:val="00BC7927"/>
    <w:rsid w:val="00BC7B15"/>
    <w:rsid w:val="00BC7B94"/>
    <w:rsid w:val="00BC7D0B"/>
    <w:rsid w:val="00BC7D88"/>
    <w:rsid w:val="00BD0256"/>
    <w:rsid w:val="00BD02C1"/>
    <w:rsid w:val="00BD04AF"/>
    <w:rsid w:val="00BD08D0"/>
    <w:rsid w:val="00BD0AE8"/>
    <w:rsid w:val="00BD0B38"/>
    <w:rsid w:val="00BD102A"/>
    <w:rsid w:val="00BD10DC"/>
    <w:rsid w:val="00BD1342"/>
    <w:rsid w:val="00BD1418"/>
    <w:rsid w:val="00BD167E"/>
    <w:rsid w:val="00BD167F"/>
    <w:rsid w:val="00BD17ED"/>
    <w:rsid w:val="00BD17FC"/>
    <w:rsid w:val="00BD19EC"/>
    <w:rsid w:val="00BD1AA0"/>
    <w:rsid w:val="00BD1B76"/>
    <w:rsid w:val="00BD1DB3"/>
    <w:rsid w:val="00BD1EB3"/>
    <w:rsid w:val="00BD1F34"/>
    <w:rsid w:val="00BD214E"/>
    <w:rsid w:val="00BD23D8"/>
    <w:rsid w:val="00BD27D9"/>
    <w:rsid w:val="00BD27DA"/>
    <w:rsid w:val="00BD29EA"/>
    <w:rsid w:val="00BD2ADF"/>
    <w:rsid w:val="00BD2EBA"/>
    <w:rsid w:val="00BD301A"/>
    <w:rsid w:val="00BD3538"/>
    <w:rsid w:val="00BD3606"/>
    <w:rsid w:val="00BD36A0"/>
    <w:rsid w:val="00BD375C"/>
    <w:rsid w:val="00BD37B1"/>
    <w:rsid w:val="00BD390E"/>
    <w:rsid w:val="00BD3939"/>
    <w:rsid w:val="00BD39B6"/>
    <w:rsid w:val="00BD39FC"/>
    <w:rsid w:val="00BD3AC7"/>
    <w:rsid w:val="00BD3B9E"/>
    <w:rsid w:val="00BD3E1B"/>
    <w:rsid w:val="00BD3EB8"/>
    <w:rsid w:val="00BD4062"/>
    <w:rsid w:val="00BD42B5"/>
    <w:rsid w:val="00BD430F"/>
    <w:rsid w:val="00BD435E"/>
    <w:rsid w:val="00BD44B0"/>
    <w:rsid w:val="00BD461F"/>
    <w:rsid w:val="00BD47E7"/>
    <w:rsid w:val="00BD4A6B"/>
    <w:rsid w:val="00BD4F23"/>
    <w:rsid w:val="00BD4F32"/>
    <w:rsid w:val="00BD50E2"/>
    <w:rsid w:val="00BD5158"/>
    <w:rsid w:val="00BD51C9"/>
    <w:rsid w:val="00BD5348"/>
    <w:rsid w:val="00BD534A"/>
    <w:rsid w:val="00BD548A"/>
    <w:rsid w:val="00BD589B"/>
    <w:rsid w:val="00BD5A71"/>
    <w:rsid w:val="00BD5B6E"/>
    <w:rsid w:val="00BD5CAF"/>
    <w:rsid w:val="00BD5CB4"/>
    <w:rsid w:val="00BD63F9"/>
    <w:rsid w:val="00BD6473"/>
    <w:rsid w:val="00BD64CB"/>
    <w:rsid w:val="00BD6782"/>
    <w:rsid w:val="00BD6CF1"/>
    <w:rsid w:val="00BD6D60"/>
    <w:rsid w:val="00BD6F50"/>
    <w:rsid w:val="00BD7395"/>
    <w:rsid w:val="00BD74B8"/>
    <w:rsid w:val="00BD74F7"/>
    <w:rsid w:val="00BD75A4"/>
    <w:rsid w:val="00BD7758"/>
    <w:rsid w:val="00BD7876"/>
    <w:rsid w:val="00BD7891"/>
    <w:rsid w:val="00BD78EF"/>
    <w:rsid w:val="00BD7A4F"/>
    <w:rsid w:val="00BD7B49"/>
    <w:rsid w:val="00BD7BE6"/>
    <w:rsid w:val="00BD7DC9"/>
    <w:rsid w:val="00BD7E88"/>
    <w:rsid w:val="00BE0139"/>
    <w:rsid w:val="00BE01A0"/>
    <w:rsid w:val="00BE0211"/>
    <w:rsid w:val="00BE03DC"/>
    <w:rsid w:val="00BE044F"/>
    <w:rsid w:val="00BE0861"/>
    <w:rsid w:val="00BE0D13"/>
    <w:rsid w:val="00BE0EE4"/>
    <w:rsid w:val="00BE1052"/>
    <w:rsid w:val="00BE112A"/>
    <w:rsid w:val="00BE1418"/>
    <w:rsid w:val="00BE15EA"/>
    <w:rsid w:val="00BE1771"/>
    <w:rsid w:val="00BE17BE"/>
    <w:rsid w:val="00BE17DD"/>
    <w:rsid w:val="00BE1B67"/>
    <w:rsid w:val="00BE2121"/>
    <w:rsid w:val="00BE237F"/>
    <w:rsid w:val="00BE23A3"/>
    <w:rsid w:val="00BE240C"/>
    <w:rsid w:val="00BE2689"/>
    <w:rsid w:val="00BE299E"/>
    <w:rsid w:val="00BE2A74"/>
    <w:rsid w:val="00BE2B6C"/>
    <w:rsid w:val="00BE2BCD"/>
    <w:rsid w:val="00BE2BE3"/>
    <w:rsid w:val="00BE2F51"/>
    <w:rsid w:val="00BE30BD"/>
    <w:rsid w:val="00BE33C1"/>
    <w:rsid w:val="00BE34B3"/>
    <w:rsid w:val="00BE34C7"/>
    <w:rsid w:val="00BE38AA"/>
    <w:rsid w:val="00BE3959"/>
    <w:rsid w:val="00BE3BEE"/>
    <w:rsid w:val="00BE3D3B"/>
    <w:rsid w:val="00BE3E3C"/>
    <w:rsid w:val="00BE3E79"/>
    <w:rsid w:val="00BE3E8A"/>
    <w:rsid w:val="00BE3FCC"/>
    <w:rsid w:val="00BE4058"/>
    <w:rsid w:val="00BE432F"/>
    <w:rsid w:val="00BE4683"/>
    <w:rsid w:val="00BE4A59"/>
    <w:rsid w:val="00BE4AED"/>
    <w:rsid w:val="00BE4D15"/>
    <w:rsid w:val="00BE4F6B"/>
    <w:rsid w:val="00BE5112"/>
    <w:rsid w:val="00BE5204"/>
    <w:rsid w:val="00BE5427"/>
    <w:rsid w:val="00BE55BB"/>
    <w:rsid w:val="00BE575E"/>
    <w:rsid w:val="00BE5788"/>
    <w:rsid w:val="00BE5869"/>
    <w:rsid w:val="00BE591A"/>
    <w:rsid w:val="00BE598A"/>
    <w:rsid w:val="00BE5C8E"/>
    <w:rsid w:val="00BE5E3B"/>
    <w:rsid w:val="00BE5F2C"/>
    <w:rsid w:val="00BE6024"/>
    <w:rsid w:val="00BE604A"/>
    <w:rsid w:val="00BE6350"/>
    <w:rsid w:val="00BE637A"/>
    <w:rsid w:val="00BE643C"/>
    <w:rsid w:val="00BE6459"/>
    <w:rsid w:val="00BE68FC"/>
    <w:rsid w:val="00BE69A8"/>
    <w:rsid w:val="00BE6AA4"/>
    <w:rsid w:val="00BE6FD8"/>
    <w:rsid w:val="00BE7186"/>
    <w:rsid w:val="00BE7204"/>
    <w:rsid w:val="00BE73B6"/>
    <w:rsid w:val="00BE73F1"/>
    <w:rsid w:val="00BE7476"/>
    <w:rsid w:val="00BE747B"/>
    <w:rsid w:val="00BE75FD"/>
    <w:rsid w:val="00BE76D2"/>
    <w:rsid w:val="00BE78B8"/>
    <w:rsid w:val="00BE7AA7"/>
    <w:rsid w:val="00BE7B61"/>
    <w:rsid w:val="00BE7D20"/>
    <w:rsid w:val="00BE7D42"/>
    <w:rsid w:val="00BE7F7A"/>
    <w:rsid w:val="00BF0066"/>
    <w:rsid w:val="00BF0296"/>
    <w:rsid w:val="00BF0359"/>
    <w:rsid w:val="00BF0613"/>
    <w:rsid w:val="00BF09E4"/>
    <w:rsid w:val="00BF0A19"/>
    <w:rsid w:val="00BF0E4A"/>
    <w:rsid w:val="00BF0E5F"/>
    <w:rsid w:val="00BF0F22"/>
    <w:rsid w:val="00BF100A"/>
    <w:rsid w:val="00BF1284"/>
    <w:rsid w:val="00BF1381"/>
    <w:rsid w:val="00BF1390"/>
    <w:rsid w:val="00BF13F1"/>
    <w:rsid w:val="00BF149C"/>
    <w:rsid w:val="00BF1631"/>
    <w:rsid w:val="00BF1997"/>
    <w:rsid w:val="00BF1C14"/>
    <w:rsid w:val="00BF1C6A"/>
    <w:rsid w:val="00BF1E40"/>
    <w:rsid w:val="00BF2137"/>
    <w:rsid w:val="00BF26A4"/>
    <w:rsid w:val="00BF2A25"/>
    <w:rsid w:val="00BF2A5E"/>
    <w:rsid w:val="00BF2CE5"/>
    <w:rsid w:val="00BF2DAD"/>
    <w:rsid w:val="00BF3224"/>
    <w:rsid w:val="00BF339D"/>
    <w:rsid w:val="00BF3430"/>
    <w:rsid w:val="00BF3852"/>
    <w:rsid w:val="00BF3930"/>
    <w:rsid w:val="00BF395C"/>
    <w:rsid w:val="00BF3AE8"/>
    <w:rsid w:val="00BF3AF2"/>
    <w:rsid w:val="00BF41BF"/>
    <w:rsid w:val="00BF436E"/>
    <w:rsid w:val="00BF444C"/>
    <w:rsid w:val="00BF46DB"/>
    <w:rsid w:val="00BF484B"/>
    <w:rsid w:val="00BF48AF"/>
    <w:rsid w:val="00BF49F0"/>
    <w:rsid w:val="00BF4A1C"/>
    <w:rsid w:val="00BF4A44"/>
    <w:rsid w:val="00BF4A8F"/>
    <w:rsid w:val="00BF553E"/>
    <w:rsid w:val="00BF569A"/>
    <w:rsid w:val="00BF574F"/>
    <w:rsid w:val="00BF5843"/>
    <w:rsid w:val="00BF5A61"/>
    <w:rsid w:val="00BF5F96"/>
    <w:rsid w:val="00BF5FD5"/>
    <w:rsid w:val="00BF604C"/>
    <w:rsid w:val="00BF60E5"/>
    <w:rsid w:val="00BF613E"/>
    <w:rsid w:val="00BF616F"/>
    <w:rsid w:val="00BF617E"/>
    <w:rsid w:val="00BF6366"/>
    <w:rsid w:val="00BF669B"/>
    <w:rsid w:val="00BF67A5"/>
    <w:rsid w:val="00BF693A"/>
    <w:rsid w:val="00BF6A01"/>
    <w:rsid w:val="00BF6A22"/>
    <w:rsid w:val="00BF6A87"/>
    <w:rsid w:val="00BF6CCD"/>
    <w:rsid w:val="00BF6D0E"/>
    <w:rsid w:val="00BF6DE0"/>
    <w:rsid w:val="00BF6E84"/>
    <w:rsid w:val="00BF700D"/>
    <w:rsid w:val="00BF7070"/>
    <w:rsid w:val="00BF78B6"/>
    <w:rsid w:val="00BF7992"/>
    <w:rsid w:val="00BF7A02"/>
    <w:rsid w:val="00BF7CAA"/>
    <w:rsid w:val="00BF7FC8"/>
    <w:rsid w:val="00C000DC"/>
    <w:rsid w:val="00C002F3"/>
    <w:rsid w:val="00C004C1"/>
    <w:rsid w:val="00C00863"/>
    <w:rsid w:val="00C008B0"/>
    <w:rsid w:val="00C0093C"/>
    <w:rsid w:val="00C009F8"/>
    <w:rsid w:val="00C00A15"/>
    <w:rsid w:val="00C00AA0"/>
    <w:rsid w:val="00C00CA4"/>
    <w:rsid w:val="00C0124E"/>
    <w:rsid w:val="00C01344"/>
    <w:rsid w:val="00C01539"/>
    <w:rsid w:val="00C01646"/>
    <w:rsid w:val="00C016AF"/>
    <w:rsid w:val="00C016EE"/>
    <w:rsid w:val="00C0208C"/>
    <w:rsid w:val="00C022E8"/>
    <w:rsid w:val="00C023A0"/>
    <w:rsid w:val="00C0253B"/>
    <w:rsid w:val="00C026E8"/>
    <w:rsid w:val="00C02719"/>
    <w:rsid w:val="00C02771"/>
    <w:rsid w:val="00C02817"/>
    <w:rsid w:val="00C02834"/>
    <w:rsid w:val="00C029AA"/>
    <w:rsid w:val="00C029F5"/>
    <w:rsid w:val="00C02AD8"/>
    <w:rsid w:val="00C02AD9"/>
    <w:rsid w:val="00C02D98"/>
    <w:rsid w:val="00C02EB4"/>
    <w:rsid w:val="00C03024"/>
    <w:rsid w:val="00C03059"/>
    <w:rsid w:val="00C0317D"/>
    <w:rsid w:val="00C03562"/>
    <w:rsid w:val="00C036C4"/>
    <w:rsid w:val="00C03C5B"/>
    <w:rsid w:val="00C03C6E"/>
    <w:rsid w:val="00C03D9F"/>
    <w:rsid w:val="00C03DBB"/>
    <w:rsid w:val="00C03DFC"/>
    <w:rsid w:val="00C0442E"/>
    <w:rsid w:val="00C04A02"/>
    <w:rsid w:val="00C04B0D"/>
    <w:rsid w:val="00C04BC3"/>
    <w:rsid w:val="00C04BDE"/>
    <w:rsid w:val="00C04C0A"/>
    <w:rsid w:val="00C0514B"/>
    <w:rsid w:val="00C0576A"/>
    <w:rsid w:val="00C058D2"/>
    <w:rsid w:val="00C05ABC"/>
    <w:rsid w:val="00C0605D"/>
    <w:rsid w:val="00C061F5"/>
    <w:rsid w:val="00C0628D"/>
    <w:rsid w:val="00C06398"/>
    <w:rsid w:val="00C06481"/>
    <w:rsid w:val="00C064A2"/>
    <w:rsid w:val="00C0660B"/>
    <w:rsid w:val="00C0666B"/>
    <w:rsid w:val="00C066FD"/>
    <w:rsid w:val="00C06925"/>
    <w:rsid w:val="00C06A70"/>
    <w:rsid w:val="00C06AFA"/>
    <w:rsid w:val="00C06DB6"/>
    <w:rsid w:val="00C06DFA"/>
    <w:rsid w:val="00C06E3A"/>
    <w:rsid w:val="00C06E5B"/>
    <w:rsid w:val="00C07031"/>
    <w:rsid w:val="00C07107"/>
    <w:rsid w:val="00C071C3"/>
    <w:rsid w:val="00C072A3"/>
    <w:rsid w:val="00C07815"/>
    <w:rsid w:val="00C07975"/>
    <w:rsid w:val="00C07C12"/>
    <w:rsid w:val="00C07E19"/>
    <w:rsid w:val="00C07E3A"/>
    <w:rsid w:val="00C100F6"/>
    <w:rsid w:val="00C101EF"/>
    <w:rsid w:val="00C101F4"/>
    <w:rsid w:val="00C1038B"/>
    <w:rsid w:val="00C103D1"/>
    <w:rsid w:val="00C1047B"/>
    <w:rsid w:val="00C104AD"/>
    <w:rsid w:val="00C10666"/>
    <w:rsid w:val="00C10698"/>
    <w:rsid w:val="00C106FC"/>
    <w:rsid w:val="00C10802"/>
    <w:rsid w:val="00C10B29"/>
    <w:rsid w:val="00C10E02"/>
    <w:rsid w:val="00C110C7"/>
    <w:rsid w:val="00C11113"/>
    <w:rsid w:val="00C11358"/>
    <w:rsid w:val="00C1145C"/>
    <w:rsid w:val="00C11610"/>
    <w:rsid w:val="00C118CA"/>
    <w:rsid w:val="00C11AED"/>
    <w:rsid w:val="00C11C56"/>
    <w:rsid w:val="00C11FC3"/>
    <w:rsid w:val="00C1212B"/>
    <w:rsid w:val="00C12282"/>
    <w:rsid w:val="00C122C6"/>
    <w:rsid w:val="00C1235C"/>
    <w:rsid w:val="00C1241D"/>
    <w:rsid w:val="00C12EE1"/>
    <w:rsid w:val="00C13279"/>
    <w:rsid w:val="00C133B0"/>
    <w:rsid w:val="00C135CD"/>
    <w:rsid w:val="00C13C48"/>
    <w:rsid w:val="00C13CF0"/>
    <w:rsid w:val="00C13EA6"/>
    <w:rsid w:val="00C13F51"/>
    <w:rsid w:val="00C1423E"/>
    <w:rsid w:val="00C1432D"/>
    <w:rsid w:val="00C14515"/>
    <w:rsid w:val="00C14612"/>
    <w:rsid w:val="00C14A98"/>
    <w:rsid w:val="00C14DCF"/>
    <w:rsid w:val="00C15377"/>
    <w:rsid w:val="00C1545F"/>
    <w:rsid w:val="00C155FD"/>
    <w:rsid w:val="00C15656"/>
    <w:rsid w:val="00C1568D"/>
    <w:rsid w:val="00C1574F"/>
    <w:rsid w:val="00C157B6"/>
    <w:rsid w:val="00C1585C"/>
    <w:rsid w:val="00C15ACB"/>
    <w:rsid w:val="00C15F59"/>
    <w:rsid w:val="00C16093"/>
    <w:rsid w:val="00C160D1"/>
    <w:rsid w:val="00C161AC"/>
    <w:rsid w:val="00C162A8"/>
    <w:rsid w:val="00C16312"/>
    <w:rsid w:val="00C165C6"/>
    <w:rsid w:val="00C168D0"/>
    <w:rsid w:val="00C16938"/>
    <w:rsid w:val="00C16941"/>
    <w:rsid w:val="00C16EDF"/>
    <w:rsid w:val="00C1720A"/>
    <w:rsid w:val="00C17230"/>
    <w:rsid w:val="00C1744E"/>
    <w:rsid w:val="00C1769F"/>
    <w:rsid w:val="00C17935"/>
    <w:rsid w:val="00C1796C"/>
    <w:rsid w:val="00C17976"/>
    <w:rsid w:val="00C17A9A"/>
    <w:rsid w:val="00C17FDF"/>
    <w:rsid w:val="00C17FED"/>
    <w:rsid w:val="00C201DF"/>
    <w:rsid w:val="00C20272"/>
    <w:rsid w:val="00C2031A"/>
    <w:rsid w:val="00C204F0"/>
    <w:rsid w:val="00C20636"/>
    <w:rsid w:val="00C2068D"/>
    <w:rsid w:val="00C20706"/>
    <w:rsid w:val="00C209F1"/>
    <w:rsid w:val="00C20A18"/>
    <w:rsid w:val="00C20A2E"/>
    <w:rsid w:val="00C20A66"/>
    <w:rsid w:val="00C20A6E"/>
    <w:rsid w:val="00C20BDA"/>
    <w:rsid w:val="00C20EB2"/>
    <w:rsid w:val="00C20EC8"/>
    <w:rsid w:val="00C20F49"/>
    <w:rsid w:val="00C21138"/>
    <w:rsid w:val="00C21266"/>
    <w:rsid w:val="00C2157C"/>
    <w:rsid w:val="00C215E8"/>
    <w:rsid w:val="00C217F3"/>
    <w:rsid w:val="00C2193A"/>
    <w:rsid w:val="00C21ABC"/>
    <w:rsid w:val="00C21B95"/>
    <w:rsid w:val="00C21CDF"/>
    <w:rsid w:val="00C21DB7"/>
    <w:rsid w:val="00C21E32"/>
    <w:rsid w:val="00C21F05"/>
    <w:rsid w:val="00C21F25"/>
    <w:rsid w:val="00C22037"/>
    <w:rsid w:val="00C22042"/>
    <w:rsid w:val="00C22098"/>
    <w:rsid w:val="00C220D1"/>
    <w:rsid w:val="00C221CE"/>
    <w:rsid w:val="00C222E1"/>
    <w:rsid w:val="00C225B2"/>
    <w:rsid w:val="00C22639"/>
    <w:rsid w:val="00C22740"/>
    <w:rsid w:val="00C22E38"/>
    <w:rsid w:val="00C22E4F"/>
    <w:rsid w:val="00C23006"/>
    <w:rsid w:val="00C23219"/>
    <w:rsid w:val="00C23322"/>
    <w:rsid w:val="00C23517"/>
    <w:rsid w:val="00C23519"/>
    <w:rsid w:val="00C235EE"/>
    <w:rsid w:val="00C237C1"/>
    <w:rsid w:val="00C23946"/>
    <w:rsid w:val="00C23A06"/>
    <w:rsid w:val="00C23DAA"/>
    <w:rsid w:val="00C23DB7"/>
    <w:rsid w:val="00C240DA"/>
    <w:rsid w:val="00C243C4"/>
    <w:rsid w:val="00C2460E"/>
    <w:rsid w:val="00C24BAF"/>
    <w:rsid w:val="00C24BEB"/>
    <w:rsid w:val="00C24C7F"/>
    <w:rsid w:val="00C25037"/>
    <w:rsid w:val="00C25258"/>
    <w:rsid w:val="00C2527E"/>
    <w:rsid w:val="00C25306"/>
    <w:rsid w:val="00C25319"/>
    <w:rsid w:val="00C254A3"/>
    <w:rsid w:val="00C25FAD"/>
    <w:rsid w:val="00C2634F"/>
    <w:rsid w:val="00C2647B"/>
    <w:rsid w:val="00C26551"/>
    <w:rsid w:val="00C26661"/>
    <w:rsid w:val="00C266F8"/>
    <w:rsid w:val="00C2670C"/>
    <w:rsid w:val="00C268D0"/>
    <w:rsid w:val="00C269F1"/>
    <w:rsid w:val="00C26A45"/>
    <w:rsid w:val="00C26AFD"/>
    <w:rsid w:val="00C26D80"/>
    <w:rsid w:val="00C2701C"/>
    <w:rsid w:val="00C27086"/>
    <w:rsid w:val="00C270D9"/>
    <w:rsid w:val="00C271E3"/>
    <w:rsid w:val="00C272E6"/>
    <w:rsid w:val="00C27436"/>
    <w:rsid w:val="00C27640"/>
    <w:rsid w:val="00C2787F"/>
    <w:rsid w:val="00C27FB7"/>
    <w:rsid w:val="00C3002B"/>
    <w:rsid w:val="00C300A7"/>
    <w:rsid w:val="00C3019E"/>
    <w:rsid w:val="00C301B7"/>
    <w:rsid w:val="00C30336"/>
    <w:rsid w:val="00C304B7"/>
    <w:rsid w:val="00C3065D"/>
    <w:rsid w:val="00C30826"/>
    <w:rsid w:val="00C30863"/>
    <w:rsid w:val="00C30B52"/>
    <w:rsid w:val="00C30BAE"/>
    <w:rsid w:val="00C30BF3"/>
    <w:rsid w:val="00C30C22"/>
    <w:rsid w:val="00C312E3"/>
    <w:rsid w:val="00C31336"/>
    <w:rsid w:val="00C3143F"/>
    <w:rsid w:val="00C31793"/>
    <w:rsid w:val="00C31D34"/>
    <w:rsid w:val="00C31E9E"/>
    <w:rsid w:val="00C31FC9"/>
    <w:rsid w:val="00C31FEE"/>
    <w:rsid w:val="00C32276"/>
    <w:rsid w:val="00C32522"/>
    <w:rsid w:val="00C325ED"/>
    <w:rsid w:val="00C327C6"/>
    <w:rsid w:val="00C32A61"/>
    <w:rsid w:val="00C32B47"/>
    <w:rsid w:val="00C32B7C"/>
    <w:rsid w:val="00C32CA4"/>
    <w:rsid w:val="00C32CB5"/>
    <w:rsid w:val="00C32CEE"/>
    <w:rsid w:val="00C32FCB"/>
    <w:rsid w:val="00C330C5"/>
    <w:rsid w:val="00C33257"/>
    <w:rsid w:val="00C3334F"/>
    <w:rsid w:val="00C3342C"/>
    <w:rsid w:val="00C335DB"/>
    <w:rsid w:val="00C338D5"/>
    <w:rsid w:val="00C33B26"/>
    <w:rsid w:val="00C33BB0"/>
    <w:rsid w:val="00C33C27"/>
    <w:rsid w:val="00C340CA"/>
    <w:rsid w:val="00C344BD"/>
    <w:rsid w:val="00C34528"/>
    <w:rsid w:val="00C34875"/>
    <w:rsid w:val="00C34985"/>
    <w:rsid w:val="00C34CF3"/>
    <w:rsid w:val="00C34D67"/>
    <w:rsid w:val="00C34ED1"/>
    <w:rsid w:val="00C3515E"/>
    <w:rsid w:val="00C35233"/>
    <w:rsid w:val="00C352B0"/>
    <w:rsid w:val="00C356DF"/>
    <w:rsid w:val="00C35700"/>
    <w:rsid w:val="00C35DC8"/>
    <w:rsid w:val="00C35DD3"/>
    <w:rsid w:val="00C362F7"/>
    <w:rsid w:val="00C363D6"/>
    <w:rsid w:val="00C36409"/>
    <w:rsid w:val="00C365DA"/>
    <w:rsid w:val="00C366B8"/>
    <w:rsid w:val="00C368F9"/>
    <w:rsid w:val="00C36AD9"/>
    <w:rsid w:val="00C36CBC"/>
    <w:rsid w:val="00C36E03"/>
    <w:rsid w:val="00C37448"/>
    <w:rsid w:val="00C3747C"/>
    <w:rsid w:val="00C37720"/>
    <w:rsid w:val="00C37864"/>
    <w:rsid w:val="00C37A1E"/>
    <w:rsid w:val="00C37AE8"/>
    <w:rsid w:val="00C37BA4"/>
    <w:rsid w:val="00C37BF2"/>
    <w:rsid w:val="00C37EFC"/>
    <w:rsid w:val="00C37FA7"/>
    <w:rsid w:val="00C404C9"/>
    <w:rsid w:val="00C404DC"/>
    <w:rsid w:val="00C406CC"/>
    <w:rsid w:val="00C40766"/>
    <w:rsid w:val="00C4084E"/>
    <w:rsid w:val="00C40873"/>
    <w:rsid w:val="00C409BA"/>
    <w:rsid w:val="00C409C2"/>
    <w:rsid w:val="00C40C3F"/>
    <w:rsid w:val="00C40C74"/>
    <w:rsid w:val="00C40D27"/>
    <w:rsid w:val="00C40D81"/>
    <w:rsid w:val="00C4113E"/>
    <w:rsid w:val="00C41215"/>
    <w:rsid w:val="00C412D4"/>
    <w:rsid w:val="00C41316"/>
    <w:rsid w:val="00C41341"/>
    <w:rsid w:val="00C4166C"/>
    <w:rsid w:val="00C41703"/>
    <w:rsid w:val="00C4174D"/>
    <w:rsid w:val="00C418ED"/>
    <w:rsid w:val="00C4196C"/>
    <w:rsid w:val="00C419E2"/>
    <w:rsid w:val="00C41AA2"/>
    <w:rsid w:val="00C41CE1"/>
    <w:rsid w:val="00C41DA5"/>
    <w:rsid w:val="00C41DCB"/>
    <w:rsid w:val="00C41EE5"/>
    <w:rsid w:val="00C425F7"/>
    <w:rsid w:val="00C42933"/>
    <w:rsid w:val="00C429CC"/>
    <w:rsid w:val="00C429D7"/>
    <w:rsid w:val="00C42B5A"/>
    <w:rsid w:val="00C42CA2"/>
    <w:rsid w:val="00C42CF8"/>
    <w:rsid w:val="00C42D41"/>
    <w:rsid w:val="00C42DCF"/>
    <w:rsid w:val="00C42E7A"/>
    <w:rsid w:val="00C42F16"/>
    <w:rsid w:val="00C43172"/>
    <w:rsid w:val="00C43207"/>
    <w:rsid w:val="00C43589"/>
    <w:rsid w:val="00C43665"/>
    <w:rsid w:val="00C43790"/>
    <w:rsid w:val="00C43815"/>
    <w:rsid w:val="00C43886"/>
    <w:rsid w:val="00C439FA"/>
    <w:rsid w:val="00C43A7A"/>
    <w:rsid w:val="00C43B16"/>
    <w:rsid w:val="00C43B84"/>
    <w:rsid w:val="00C43B95"/>
    <w:rsid w:val="00C43C67"/>
    <w:rsid w:val="00C43CBB"/>
    <w:rsid w:val="00C43E9E"/>
    <w:rsid w:val="00C44139"/>
    <w:rsid w:val="00C441CB"/>
    <w:rsid w:val="00C443B4"/>
    <w:rsid w:val="00C445A3"/>
    <w:rsid w:val="00C44A2E"/>
    <w:rsid w:val="00C44A85"/>
    <w:rsid w:val="00C44AA8"/>
    <w:rsid w:val="00C44B93"/>
    <w:rsid w:val="00C44D42"/>
    <w:rsid w:val="00C44F14"/>
    <w:rsid w:val="00C4515D"/>
    <w:rsid w:val="00C451CA"/>
    <w:rsid w:val="00C45210"/>
    <w:rsid w:val="00C452EC"/>
    <w:rsid w:val="00C455E2"/>
    <w:rsid w:val="00C45643"/>
    <w:rsid w:val="00C458BB"/>
    <w:rsid w:val="00C45923"/>
    <w:rsid w:val="00C45B79"/>
    <w:rsid w:val="00C45BB3"/>
    <w:rsid w:val="00C45C09"/>
    <w:rsid w:val="00C45D5F"/>
    <w:rsid w:val="00C45D86"/>
    <w:rsid w:val="00C45EAD"/>
    <w:rsid w:val="00C46319"/>
    <w:rsid w:val="00C46A56"/>
    <w:rsid w:val="00C46F38"/>
    <w:rsid w:val="00C470D0"/>
    <w:rsid w:val="00C47113"/>
    <w:rsid w:val="00C47207"/>
    <w:rsid w:val="00C47336"/>
    <w:rsid w:val="00C47391"/>
    <w:rsid w:val="00C47469"/>
    <w:rsid w:val="00C47551"/>
    <w:rsid w:val="00C4775E"/>
    <w:rsid w:val="00C478B4"/>
    <w:rsid w:val="00C47A35"/>
    <w:rsid w:val="00C47AF7"/>
    <w:rsid w:val="00C47B7E"/>
    <w:rsid w:val="00C47D94"/>
    <w:rsid w:val="00C47F1B"/>
    <w:rsid w:val="00C47FEC"/>
    <w:rsid w:val="00C5024D"/>
    <w:rsid w:val="00C50283"/>
    <w:rsid w:val="00C5065D"/>
    <w:rsid w:val="00C50836"/>
    <w:rsid w:val="00C509C4"/>
    <w:rsid w:val="00C50A11"/>
    <w:rsid w:val="00C50A17"/>
    <w:rsid w:val="00C50A46"/>
    <w:rsid w:val="00C50C03"/>
    <w:rsid w:val="00C50CE4"/>
    <w:rsid w:val="00C50D05"/>
    <w:rsid w:val="00C50E67"/>
    <w:rsid w:val="00C50F16"/>
    <w:rsid w:val="00C510A3"/>
    <w:rsid w:val="00C51178"/>
    <w:rsid w:val="00C51315"/>
    <w:rsid w:val="00C51326"/>
    <w:rsid w:val="00C51371"/>
    <w:rsid w:val="00C513A4"/>
    <w:rsid w:val="00C51454"/>
    <w:rsid w:val="00C51581"/>
    <w:rsid w:val="00C51623"/>
    <w:rsid w:val="00C5176A"/>
    <w:rsid w:val="00C51837"/>
    <w:rsid w:val="00C5197D"/>
    <w:rsid w:val="00C51ACA"/>
    <w:rsid w:val="00C51D9D"/>
    <w:rsid w:val="00C51D9F"/>
    <w:rsid w:val="00C51FA5"/>
    <w:rsid w:val="00C52070"/>
    <w:rsid w:val="00C5227C"/>
    <w:rsid w:val="00C522E1"/>
    <w:rsid w:val="00C5267E"/>
    <w:rsid w:val="00C526CA"/>
    <w:rsid w:val="00C526D5"/>
    <w:rsid w:val="00C52740"/>
    <w:rsid w:val="00C52AA1"/>
    <w:rsid w:val="00C52B35"/>
    <w:rsid w:val="00C52EFE"/>
    <w:rsid w:val="00C5334C"/>
    <w:rsid w:val="00C53604"/>
    <w:rsid w:val="00C53921"/>
    <w:rsid w:val="00C53A85"/>
    <w:rsid w:val="00C53B1F"/>
    <w:rsid w:val="00C53B71"/>
    <w:rsid w:val="00C53BB8"/>
    <w:rsid w:val="00C53D7A"/>
    <w:rsid w:val="00C53F1A"/>
    <w:rsid w:val="00C541F6"/>
    <w:rsid w:val="00C54301"/>
    <w:rsid w:val="00C544EF"/>
    <w:rsid w:val="00C5464C"/>
    <w:rsid w:val="00C54857"/>
    <w:rsid w:val="00C5494A"/>
    <w:rsid w:val="00C54AD8"/>
    <w:rsid w:val="00C54B04"/>
    <w:rsid w:val="00C54CA4"/>
    <w:rsid w:val="00C54DA2"/>
    <w:rsid w:val="00C55175"/>
    <w:rsid w:val="00C551B4"/>
    <w:rsid w:val="00C557BD"/>
    <w:rsid w:val="00C5592C"/>
    <w:rsid w:val="00C55C59"/>
    <w:rsid w:val="00C55D69"/>
    <w:rsid w:val="00C55F0C"/>
    <w:rsid w:val="00C56041"/>
    <w:rsid w:val="00C5617E"/>
    <w:rsid w:val="00C56494"/>
    <w:rsid w:val="00C565CE"/>
    <w:rsid w:val="00C56641"/>
    <w:rsid w:val="00C56976"/>
    <w:rsid w:val="00C56BCE"/>
    <w:rsid w:val="00C56CC4"/>
    <w:rsid w:val="00C56EDF"/>
    <w:rsid w:val="00C56F3B"/>
    <w:rsid w:val="00C570F8"/>
    <w:rsid w:val="00C570FA"/>
    <w:rsid w:val="00C5752E"/>
    <w:rsid w:val="00C577E0"/>
    <w:rsid w:val="00C57853"/>
    <w:rsid w:val="00C5785A"/>
    <w:rsid w:val="00C57B4D"/>
    <w:rsid w:val="00C57C88"/>
    <w:rsid w:val="00C60289"/>
    <w:rsid w:val="00C603D7"/>
    <w:rsid w:val="00C60463"/>
    <w:rsid w:val="00C604E4"/>
    <w:rsid w:val="00C605AE"/>
    <w:rsid w:val="00C609C5"/>
    <w:rsid w:val="00C60B50"/>
    <w:rsid w:val="00C60E64"/>
    <w:rsid w:val="00C61061"/>
    <w:rsid w:val="00C611C6"/>
    <w:rsid w:val="00C61248"/>
    <w:rsid w:val="00C6138F"/>
    <w:rsid w:val="00C613AB"/>
    <w:rsid w:val="00C61401"/>
    <w:rsid w:val="00C614E2"/>
    <w:rsid w:val="00C6153D"/>
    <w:rsid w:val="00C61A52"/>
    <w:rsid w:val="00C61D47"/>
    <w:rsid w:val="00C61D76"/>
    <w:rsid w:val="00C62077"/>
    <w:rsid w:val="00C623FC"/>
    <w:rsid w:val="00C62438"/>
    <w:rsid w:val="00C62446"/>
    <w:rsid w:val="00C62922"/>
    <w:rsid w:val="00C6295D"/>
    <w:rsid w:val="00C62A78"/>
    <w:rsid w:val="00C62D60"/>
    <w:rsid w:val="00C62E90"/>
    <w:rsid w:val="00C631F8"/>
    <w:rsid w:val="00C63398"/>
    <w:rsid w:val="00C633B8"/>
    <w:rsid w:val="00C63471"/>
    <w:rsid w:val="00C6356B"/>
    <w:rsid w:val="00C637AB"/>
    <w:rsid w:val="00C6380B"/>
    <w:rsid w:val="00C6392E"/>
    <w:rsid w:val="00C63963"/>
    <w:rsid w:val="00C63BDF"/>
    <w:rsid w:val="00C63D3A"/>
    <w:rsid w:val="00C63D6F"/>
    <w:rsid w:val="00C63E5E"/>
    <w:rsid w:val="00C649F3"/>
    <w:rsid w:val="00C64B32"/>
    <w:rsid w:val="00C64C67"/>
    <w:rsid w:val="00C64CA1"/>
    <w:rsid w:val="00C64CAB"/>
    <w:rsid w:val="00C64DB7"/>
    <w:rsid w:val="00C653F9"/>
    <w:rsid w:val="00C654E8"/>
    <w:rsid w:val="00C65690"/>
    <w:rsid w:val="00C65758"/>
    <w:rsid w:val="00C6584B"/>
    <w:rsid w:val="00C65AFA"/>
    <w:rsid w:val="00C65BEA"/>
    <w:rsid w:val="00C65E15"/>
    <w:rsid w:val="00C66261"/>
    <w:rsid w:val="00C66329"/>
    <w:rsid w:val="00C664A6"/>
    <w:rsid w:val="00C6659A"/>
    <w:rsid w:val="00C666AB"/>
    <w:rsid w:val="00C666AD"/>
    <w:rsid w:val="00C6671E"/>
    <w:rsid w:val="00C66763"/>
    <w:rsid w:val="00C6681F"/>
    <w:rsid w:val="00C669DC"/>
    <w:rsid w:val="00C66C8B"/>
    <w:rsid w:val="00C66FA2"/>
    <w:rsid w:val="00C67070"/>
    <w:rsid w:val="00C67267"/>
    <w:rsid w:val="00C672E7"/>
    <w:rsid w:val="00C67345"/>
    <w:rsid w:val="00C67377"/>
    <w:rsid w:val="00C676C0"/>
    <w:rsid w:val="00C67896"/>
    <w:rsid w:val="00C679BB"/>
    <w:rsid w:val="00C67A88"/>
    <w:rsid w:val="00C67AD2"/>
    <w:rsid w:val="00C67E5F"/>
    <w:rsid w:val="00C67F9A"/>
    <w:rsid w:val="00C70062"/>
    <w:rsid w:val="00C7007A"/>
    <w:rsid w:val="00C7013A"/>
    <w:rsid w:val="00C7043F"/>
    <w:rsid w:val="00C705F5"/>
    <w:rsid w:val="00C70660"/>
    <w:rsid w:val="00C706C3"/>
    <w:rsid w:val="00C70823"/>
    <w:rsid w:val="00C70B68"/>
    <w:rsid w:val="00C70BA3"/>
    <w:rsid w:val="00C70D29"/>
    <w:rsid w:val="00C70D51"/>
    <w:rsid w:val="00C70E22"/>
    <w:rsid w:val="00C70EC0"/>
    <w:rsid w:val="00C70ED3"/>
    <w:rsid w:val="00C70F83"/>
    <w:rsid w:val="00C70F99"/>
    <w:rsid w:val="00C711FD"/>
    <w:rsid w:val="00C7120B"/>
    <w:rsid w:val="00C71469"/>
    <w:rsid w:val="00C7155C"/>
    <w:rsid w:val="00C71664"/>
    <w:rsid w:val="00C71793"/>
    <w:rsid w:val="00C71859"/>
    <w:rsid w:val="00C71F55"/>
    <w:rsid w:val="00C72888"/>
    <w:rsid w:val="00C728D8"/>
    <w:rsid w:val="00C72965"/>
    <w:rsid w:val="00C729D5"/>
    <w:rsid w:val="00C72C0C"/>
    <w:rsid w:val="00C72C90"/>
    <w:rsid w:val="00C72DD9"/>
    <w:rsid w:val="00C7302E"/>
    <w:rsid w:val="00C730CE"/>
    <w:rsid w:val="00C7310E"/>
    <w:rsid w:val="00C731AC"/>
    <w:rsid w:val="00C735D0"/>
    <w:rsid w:val="00C73A4C"/>
    <w:rsid w:val="00C73CDF"/>
    <w:rsid w:val="00C73E37"/>
    <w:rsid w:val="00C74178"/>
    <w:rsid w:val="00C7420F"/>
    <w:rsid w:val="00C743D1"/>
    <w:rsid w:val="00C744DE"/>
    <w:rsid w:val="00C746AB"/>
    <w:rsid w:val="00C74797"/>
    <w:rsid w:val="00C747BE"/>
    <w:rsid w:val="00C74B13"/>
    <w:rsid w:val="00C74BE3"/>
    <w:rsid w:val="00C74CC6"/>
    <w:rsid w:val="00C74D11"/>
    <w:rsid w:val="00C74D41"/>
    <w:rsid w:val="00C74E25"/>
    <w:rsid w:val="00C74E37"/>
    <w:rsid w:val="00C75212"/>
    <w:rsid w:val="00C754D1"/>
    <w:rsid w:val="00C75597"/>
    <w:rsid w:val="00C757B2"/>
    <w:rsid w:val="00C758AB"/>
    <w:rsid w:val="00C75A9D"/>
    <w:rsid w:val="00C75B36"/>
    <w:rsid w:val="00C75C72"/>
    <w:rsid w:val="00C75E7C"/>
    <w:rsid w:val="00C764DC"/>
    <w:rsid w:val="00C76533"/>
    <w:rsid w:val="00C767C5"/>
    <w:rsid w:val="00C767F8"/>
    <w:rsid w:val="00C768CF"/>
    <w:rsid w:val="00C76A66"/>
    <w:rsid w:val="00C76A7A"/>
    <w:rsid w:val="00C76B51"/>
    <w:rsid w:val="00C76CEA"/>
    <w:rsid w:val="00C76EDB"/>
    <w:rsid w:val="00C770C5"/>
    <w:rsid w:val="00C77187"/>
    <w:rsid w:val="00C77631"/>
    <w:rsid w:val="00C7779B"/>
    <w:rsid w:val="00C778F5"/>
    <w:rsid w:val="00C77925"/>
    <w:rsid w:val="00C77B39"/>
    <w:rsid w:val="00C77F37"/>
    <w:rsid w:val="00C77FA3"/>
    <w:rsid w:val="00C77FAE"/>
    <w:rsid w:val="00C77FDA"/>
    <w:rsid w:val="00C80287"/>
    <w:rsid w:val="00C80377"/>
    <w:rsid w:val="00C80612"/>
    <w:rsid w:val="00C8069E"/>
    <w:rsid w:val="00C8073D"/>
    <w:rsid w:val="00C80B09"/>
    <w:rsid w:val="00C80B0D"/>
    <w:rsid w:val="00C80B79"/>
    <w:rsid w:val="00C80CB4"/>
    <w:rsid w:val="00C80E8A"/>
    <w:rsid w:val="00C80F0A"/>
    <w:rsid w:val="00C80FF7"/>
    <w:rsid w:val="00C810F6"/>
    <w:rsid w:val="00C8113F"/>
    <w:rsid w:val="00C8116A"/>
    <w:rsid w:val="00C812DA"/>
    <w:rsid w:val="00C8130D"/>
    <w:rsid w:val="00C8139E"/>
    <w:rsid w:val="00C814F7"/>
    <w:rsid w:val="00C815CD"/>
    <w:rsid w:val="00C8169A"/>
    <w:rsid w:val="00C817FB"/>
    <w:rsid w:val="00C81C3C"/>
    <w:rsid w:val="00C81E3A"/>
    <w:rsid w:val="00C81E73"/>
    <w:rsid w:val="00C8201E"/>
    <w:rsid w:val="00C823B7"/>
    <w:rsid w:val="00C82475"/>
    <w:rsid w:val="00C824AD"/>
    <w:rsid w:val="00C8266F"/>
    <w:rsid w:val="00C82728"/>
    <w:rsid w:val="00C8280C"/>
    <w:rsid w:val="00C82877"/>
    <w:rsid w:val="00C82B90"/>
    <w:rsid w:val="00C82FB2"/>
    <w:rsid w:val="00C83178"/>
    <w:rsid w:val="00C83514"/>
    <w:rsid w:val="00C83528"/>
    <w:rsid w:val="00C8355A"/>
    <w:rsid w:val="00C837A3"/>
    <w:rsid w:val="00C83927"/>
    <w:rsid w:val="00C83B23"/>
    <w:rsid w:val="00C83F69"/>
    <w:rsid w:val="00C84271"/>
    <w:rsid w:val="00C842AC"/>
    <w:rsid w:val="00C842E4"/>
    <w:rsid w:val="00C84323"/>
    <w:rsid w:val="00C849E7"/>
    <w:rsid w:val="00C84BDF"/>
    <w:rsid w:val="00C84D93"/>
    <w:rsid w:val="00C84DB3"/>
    <w:rsid w:val="00C84E94"/>
    <w:rsid w:val="00C85078"/>
    <w:rsid w:val="00C8559A"/>
    <w:rsid w:val="00C858EE"/>
    <w:rsid w:val="00C858F6"/>
    <w:rsid w:val="00C85AD2"/>
    <w:rsid w:val="00C86010"/>
    <w:rsid w:val="00C86094"/>
    <w:rsid w:val="00C8624C"/>
    <w:rsid w:val="00C86916"/>
    <w:rsid w:val="00C869AD"/>
    <w:rsid w:val="00C86AC7"/>
    <w:rsid w:val="00C86ADA"/>
    <w:rsid w:val="00C86D2A"/>
    <w:rsid w:val="00C86D70"/>
    <w:rsid w:val="00C872C8"/>
    <w:rsid w:val="00C87511"/>
    <w:rsid w:val="00C87596"/>
    <w:rsid w:val="00C875D9"/>
    <w:rsid w:val="00C877FB"/>
    <w:rsid w:val="00C87813"/>
    <w:rsid w:val="00C87CEB"/>
    <w:rsid w:val="00C87FE6"/>
    <w:rsid w:val="00C87FFD"/>
    <w:rsid w:val="00C90489"/>
    <w:rsid w:val="00C9050B"/>
    <w:rsid w:val="00C90D0D"/>
    <w:rsid w:val="00C90FCA"/>
    <w:rsid w:val="00C91029"/>
    <w:rsid w:val="00C9103B"/>
    <w:rsid w:val="00C91108"/>
    <w:rsid w:val="00C91128"/>
    <w:rsid w:val="00C911E2"/>
    <w:rsid w:val="00C91353"/>
    <w:rsid w:val="00C91682"/>
    <w:rsid w:val="00C918E0"/>
    <w:rsid w:val="00C91B81"/>
    <w:rsid w:val="00C91EB1"/>
    <w:rsid w:val="00C921C2"/>
    <w:rsid w:val="00C92223"/>
    <w:rsid w:val="00C92469"/>
    <w:rsid w:val="00C9258A"/>
    <w:rsid w:val="00C9285E"/>
    <w:rsid w:val="00C92C2D"/>
    <w:rsid w:val="00C92EC1"/>
    <w:rsid w:val="00C92ED7"/>
    <w:rsid w:val="00C92FEE"/>
    <w:rsid w:val="00C9315A"/>
    <w:rsid w:val="00C931B6"/>
    <w:rsid w:val="00C932D2"/>
    <w:rsid w:val="00C9374B"/>
    <w:rsid w:val="00C93764"/>
    <w:rsid w:val="00C93A6D"/>
    <w:rsid w:val="00C93ABB"/>
    <w:rsid w:val="00C93B61"/>
    <w:rsid w:val="00C93BE2"/>
    <w:rsid w:val="00C93E2F"/>
    <w:rsid w:val="00C93FA9"/>
    <w:rsid w:val="00C9400C"/>
    <w:rsid w:val="00C940A3"/>
    <w:rsid w:val="00C9448B"/>
    <w:rsid w:val="00C945D3"/>
    <w:rsid w:val="00C947E5"/>
    <w:rsid w:val="00C94803"/>
    <w:rsid w:val="00C94BC9"/>
    <w:rsid w:val="00C94D2E"/>
    <w:rsid w:val="00C94D4C"/>
    <w:rsid w:val="00C94F28"/>
    <w:rsid w:val="00C951FC"/>
    <w:rsid w:val="00C953A0"/>
    <w:rsid w:val="00C953AE"/>
    <w:rsid w:val="00C953DB"/>
    <w:rsid w:val="00C9568D"/>
    <w:rsid w:val="00C956EA"/>
    <w:rsid w:val="00C957AB"/>
    <w:rsid w:val="00C95B67"/>
    <w:rsid w:val="00C95BE9"/>
    <w:rsid w:val="00C95D62"/>
    <w:rsid w:val="00C961DA"/>
    <w:rsid w:val="00C963C2"/>
    <w:rsid w:val="00C965BB"/>
    <w:rsid w:val="00C967D7"/>
    <w:rsid w:val="00C967E6"/>
    <w:rsid w:val="00C96896"/>
    <w:rsid w:val="00C968BB"/>
    <w:rsid w:val="00C9691B"/>
    <w:rsid w:val="00C96BD0"/>
    <w:rsid w:val="00C96CCF"/>
    <w:rsid w:val="00C96DF7"/>
    <w:rsid w:val="00C96ED6"/>
    <w:rsid w:val="00C9708D"/>
    <w:rsid w:val="00C9717E"/>
    <w:rsid w:val="00C972CC"/>
    <w:rsid w:val="00C97416"/>
    <w:rsid w:val="00C97476"/>
    <w:rsid w:val="00C976AA"/>
    <w:rsid w:val="00C977D2"/>
    <w:rsid w:val="00C977EB"/>
    <w:rsid w:val="00C97AD1"/>
    <w:rsid w:val="00C9E42E"/>
    <w:rsid w:val="00CA0242"/>
    <w:rsid w:val="00CA0314"/>
    <w:rsid w:val="00CA0423"/>
    <w:rsid w:val="00CA04DC"/>
    <w:rsid w:val="00CA05E0"/>
    <w:rsid w:val="00CA05F3"/>
    <w:rsid w:val="00CA0657"/>
    <w:rsid w:val="00CA0772"/>
    <w:rsid w:val="00CA07EF"/>
    <w:rsid w:val="00CA08B5"/>
    <w:rsid w:val="00CA0A93"/>
    <w:rsid w:val="00CA0CC5"/>
    <w:rsid w:val="00CA0CE0"/>
    <w:rsid w:val="00CA1082"/>
    <w:rsid w:val="00CA11CB"/>
    <w:rsid w:val="00CA1240"/>
    <w:rsid w:val="00CA1349"/>
    <w:rsid w:val="00CA14F8"/>
    <w:rsid w:val="00CA1680"/>
    <w:rsid w:val="00CA17EF"/>
    <w:rsid w:val="00CA18D4"/>
    <w:rsid w:val="00CA1B87"/>
    <w:rsid w:val="00CA1BD0"/>
    <w:rsid w:val="00CA1DF8"/>
    <w:rsid w:val="00CA1E95"/>
    <w:rsid w:val="00CA1FB9"/>
    <w:rsid w:val="00CA2003"/>
    <w:rsid w:val="00CA20EB"/>
    <w:rsid w:val="00CA226F"/>
    <w:rsid w:val="00CA250F"/>
    <w:rsid w:val="00CA252F"/>
    <w:rsid w:val="00CA28FB"/>
    <w:rsid w:val="00CA2947"/>
    <w:rsid w:val="00CA2B03"/>
    <w:rsid w:val="00CA2B08"/>
    <w:rsid w:val="00CA2B3E"/>
    <w:rsid w:val="00CA2CEC"/>
    <w:rsid w:val="00CA31B3"/>
    <w:rsid w:val="00CA35AD"/>
    <w:rsid w:val="00CA389C"/>
    <w:rsid w:val="00CA3999"/>
    <w:rsid w:val="00CA3A32"/>
    <w:rsid w:val="00CA3AEC"/>
    <w:rsid w:val="00CA3BC4"/>
    <w:rsid w:val="00CA3C22"/>
    <w:rsid w:val="00CA3D98"/>
    <w:rsid w:val="00CA3EF4"/>
    <w:rsid w:val="00CA3FD7"/>
    <w:rsid w:val="00CA4033"/>
    <w:rsid w:val="00CA4058"/>
    <w:rsid w:val="00CA4069"/>
    <w:rsid w:val="00CA4123"/>
    <w:rsid w:val="00CA41CD"/>
    <w:rsid w:val="00CA4507"/>
    <w:rsid w:val="00CA45E7"/>
    <w:rsid w:val="00CA4637"/>
    <w:rsid w:val="00CA4709"/>
    <w:rsid w:val="00CA4741"/>
    <w:rsid w:val="00CA4758"/>
    <w:rsid w:val="00CA4A31"/>
    <w:rsid w:val="00CA4E35"/>
    <w:rsid w:val="00CA4EC2"/>
    <w:rsid w:val="00CA4FB3"/>
    <w:rsid w:val="00CA4FE5"/>
    <w:rsid w:val="00CA50C2"/>
    <w:rsid w:val="00CA5127"/>
    <w:rsid w:val="00CA51E4"/>
    <w:rsid w:val="00CA5328"/>
    <w:rsid w:val="00CA5508"/>
    <w:rsid w:val="00CA569F"/>
    <w:rsid w:val="00CA59E1"/>
    <w:rsid w:val="00CA5B18"/>
    <w:rsid w:val="00CA5B81"/>
    <w:rsid w:val="00CA5C0E"/>
    <w:rsid w:val="00CA5FB7"/>
    <w:rsid w:val="00CA607B"/>
    <w:rsid w:val="00CA6440"/>
    <w:rsid w:val="00CA6526"/>
    <w:rsid w:val="00CA652F"/>
    <w:rsid w:val="00CA65DC"/>
    <w:rsid w:val="00CA66C8"/>
    <w:rsid w:val="00CA6895"/>
    <w:rsid w:val="00CA69B7"/>
    <w:rsid w:val="00CA6B01"/>
    <w:rsid w:val="00CA6BF3"/>
    <w:rsid w:val="00CA6BFE"/>
    <w:rsid w:val="00CA6CCD"/>
    <w:rsid w:val="00CA7051"/>
    <w:rsid w:val="00CA7356"/>
    <w:rsid w:val="00CA76AC"/>
    <w:rsid w:val="00CA791B"/>
    <w:rsid w:val="00CA794B"/>
    <w:rsid w:val="00CA7E2F"/>
    <w:rsid w:val="00CA7E68"/>
    <w:rsid w:val="00CB00AB"/>
    <w:rsid w:val="00CB023D"/>
    <w:rsid w:val="00CB0516"/>
    <w:rsid w:val="00CB0D89"/>
    <w:rsid w:val="00CB0E5D"/>
    <w:rsid w:val="00CB0FE7"/>
    <w:rsid w:val="00CB1141"/>
    <w:rsid w:val="00CB1207"/>
    <w:rsid w:val="00CB133E"/>
    <w:rsid w:val="00CB140B"/>
    <w:rsid w:val="00CB166B"/>
    <w:rsid w:val="00CB17D4"/>
    <w:rsid w:val="00CB1B96"/>
    <w:rsid w:val="00CB1E05"/>
    <w:rsid w:val="00CB1E64"/>
    <w:rsid w:val="00CB21BD"/>
    <w:rsid w:val="00CB23CB"/>
    <w:rsid w:val="00CB23FD"/>
    <w:rsid w:val="00CB2665"/>
    <w:rsid w:val="00CB274F"/>
    <w:rsid w:val="00CB28A1"/>
    <w:rsid w:val="00CB2B39"/>
    <w:rsid w:val="00CB2C2B"/>
    <w:rsid w:val="00CB2C2F"/>
    <w:rsid w:val="00CB2EC8"/>
    <w:rsid w:val="00CB326F"/>
    <w:rsid w:val="00CB3443"/>
    <w:rsid w:val="00CB35A8"/>
    <w:rsid w:val="00CB36EE"/>
    <w:rsid w:val="00CB37AE"/>
    <w:rsid w:val="00CB3806"/>
    <w:rsid w:val="00CB3BBF"/>
    <w:rsid w:val="00CB3C04"/>
    <w:rsid w:val="00CB3DA9"/>
    <w:rsid w:val="00CB3FD0"/>
    <w:rsid w:val="00CB4012"/>
    <w:rsid w:val="00CB440E"/>
    <w:rsid w:val="00CB456F"/>
    <w:rsid w:val="00CB4646"/>
    <w:rsid w:val="00CB4747"/>
    <w:rsid w:val="00CB4877"/>
    <w:rsid w:val="00CB4B0B"/>
    <w:rsid w:val="00CB4CAA"/>
    <w:rsid w:val="00CB4E83"/>
    <w:rsid w:val="00CB4FDD"/>
    <w:rsid w:val="00CB5433"/>
    <w:rsid w:val="00CB55F1"/>
    <w:rsid w:val="00CB56B1"/>
    <w:rsid w:val="00CB5955"/>
    <w:rsid w:val="00CB5B46"/>
    <w:rsid w:val="00CB61B2"/>
    <w:rsid w:val="00CB658C"/>
    <w:rsid w:val="00CB684E"/>
    <w:rsid w:val="00CB69D9"/>
    <w:rsid w:val="00CB6CED"/>
    <w:rsid w:val="00CB6F1A"/>
    <w:rsid w:val="00CB7143"/>
    <w:rsid w:val="00CB7239"/>
    <w:rsid w:val="00CB7588"/>
    <w:rsid w:val="00CB760F"/>
    <w:rsid w:val="00CB76EA"/>
    <w:rsid w:val="00CB77A1"/>
    <w:rsid w:val="00CB7A42"/>
    <w:rsid w:val="00CB7C15"/>
    <w:rsid w:val="00CB7D15"/>
    <w:rsid w:val="00CB7DD8"/>
    <w:rsid w:val="00CB7E09"/>
    <w:rsid w:val="00CB7E5B"/>
    <w:rsid w:val="00CC00C8"/>
    <w:rsid w:val="00CC0292"/>
    <w:rsid w:val="00CC02E5"/>
    <w:rsid w:val="00CC05CA"/>
    <w:rsid w:val="00CC0639"/>
    <w:rsid w:val="00CC07A0"/>
    <w:rsid w:val="00CC0924"/>
    <w:rsid w:val="00CC0C3D"/>
    <w:rsid w:val="00CC0C60"/>
    <w:rsid w:val="00CC0F78"/>
    <w:rsid w:val="00CC1401"/>
    <w:rsid w:val="00CC14B7"/>
    <w:rsid w:val="00CC14BF"/>
    <w:rsid w:val="00CC14CA"/>
    <w:rsid w:val="00CC152A"/>
    <w:rsid w:val="00CC15E9"/>
    <w:rsid w:val="00CC1844"/>
    <w:rsid w:val="00CC1A39"/>
    <w:rsid w:val="00CC1A3C"/>
    <w:rsid w:val="00CC1B78"/>
    <w:rsid w:val="00CC1E44"/>
    <w:rsid w:val="00CC2309"/>
    <w:rsid w:val="00CC2330"/>
    <w:rsid w:val="00CC24BD"/>
    <w:rsid w:val="00CC24C0"/>
    <w:rsid w:val="00CC284B"/>
    <w:rsid w:val="00CC28A3"/>
    <w:rsid w:val="00CC2991"/>
    <w:rsid w:val="00CC2CEB"/>
    <w:rsid w:val="00CC2D57"/>
    <w:rsid w:val="00CC2EA7"/>
    <w:rsid w:val="00CC32D8"/>
    <w:rsid w:val="00CC3337"/>
    <w:rsid w:val="00CC36AD"/>
    <w:rsid w:val="00CC381F"/>
    <w:rsid w:val="00CC3A66"/>
    <w:rsid w:val="00CC3EFE"/>
    <w:rsid w:val="00CC3F4A"/>
    <w:rsid w:val="00CC3F64"/>
    <w:rsid w:val="00CC410B"/>
    <w:rsid w:val="00CC41F8"/>
    <w:rsid w:val="00CC4291"/>
    <w:rsid w:val="00CC4301"/>
    <w:rsid w:val="00CC43EC"/>
    <w:rsid w:val="00CC44A2"/>
    <w:rsid w:val="00CC45FE"/>
    <w:rsid w:val="00CC467C"/>
    <w:rsid w:val="00CC49F5"/>
    <w:rsid w:val="00CC4A83"/>
    <w:rsid w:val="00CC4C3F"/>
    <w:rsid w:val="00CC4C50"/>
    <w:rsid w:val="00CC4E1F"/>
    <w:rsid w:val="00CC4F0E"/>
    <w:rsid w:val="00CC4FDF"/>
    <w:rsid w:val="00CC505B"/>
    <w:rsid w:val="00CC57C4"/>
    <w:rsid w:val="00CC58CB"/>
    <w:rsid w:val="00CC5B6C"/>
    <w:rsid w:val="00CC5B85"/>
    <w:rsid w:val="00CC5C59"/>
    <w:rsid w:val="00CC5CED"/>
    <w:rsid w:val="00CC5D07"/>
    <w:rsid w:val="00CC5E7F"/>
    <w:rsid w:val="00CC5FFB"/>
    <w:rsid w:val="00CC6048"/>
    <w:rsid w:val="00CC608F"/>
    <w:rsid w:val="00CC6371"/>
    <w:rsid w:val="00CC64EE"/>
    <w:rsid w:val="00CC6822"/>
    <w:rsid w:val="00CC68E1"/>
    <w:rsid w:val="00CC69BA"/>
    <w:rsid w:val="00CC6D78"/>
    <w:rsid w:val="00CC6D95"/>
    <w:rsid w:val="00CC6E39"/>
    <w:rsid w:val="00CC6ECD"/>
    <w:rsid w:val="00CC6F96"/>
    <w:rsid w:val="00CC701C"/>
    <w:rsid w:val="00CC71B8"/>
    <w:rsid w:val="00CC7410"/>
    <w:rsid w:val="00CC76A9"/>
    <w:rsid w:val="00CC796E"/>
    <w:rsid w:val="00CC7A75"/>
    <w:rsid w:val="00CC7E31"/>
    <w:rsid w:val="00CC7F25"/>
    <w:rsid w:val="00CC7F9E"/>
    <w:rsid w:val="00CD0101"/>
    <w:rsid w:val="00CD054F"/>
    <w:rsid w:val="00CD07EB"/>
    <w:rsid w:val="00CD09F8"/>
    <w:rsid w:val="00CD0B13"/>
    <w:rsid w:val="00CD0BA1"/>
    <w:rsid w:val="00CD0D0B"/>
    <w:rsid w:val="00CD0EAC"/>
    <w:rsid w:val="00CD120E"/>
    <w:rsid w:val="00CD122A"/>
    <w:rsid w:val="00CD1353"/>
    <w:rsid w:val="00CD139D"/>
    <w:rsid w:val="00CD13D9"/>
    <w:rsid w:val="00CD151E"/>
    <w:rsid w:val="00CD1654"/>
    <w:rsid w:val="00CD173F"/>
    <w:rsid w:val="00CD18CA"/>
    <w:rsid w:val="00CD18ED"/>
    <w:rsid w:val="00CD1A2E"/>
    <w:rsid w:val="00CD1CB4"/>
    <w:rsid w:val="00CD2045"/>
    <w:rsid w:val="00CD20D5"/>
    <w:rsid w:val="00CD22F5"/>
    <w:rsid w:val="00CD2434"/>
    <w:rsid w:val="00CD267B"/>
    <w:rsid w:val="00CD2719"/>
    <w:rsid w:val="00CD292B"/>
    <w:rsid w:val="00CD29E8"/>
    <w:rsid w:val="00CD2B4C"/>
    <w:rsid w:val="00CD30CA"/>
    <w:rsid w:val="00CD30E2"/>
    <w:rsid w:val="00CD31E1"/>
    <w:rsid w:val="00CD34C8"/>
    <w:rsid w:val="00CD34CC"/>
    <w:rsid w:val="00CD38B9"/>
    <w:rsid w:val="00CD3949"/>
    <w:rsid w:val="00CD3B68"/>
    <w:rsid w:val="00CD3D74"/>
    <w:rsid w:val="00CD3FA3"/>
    <w:rsid w:val="00CD3FB5"/>
    <w:rsid w:val="00CD4053"/>
    <w:rsid w:val="00CD40AB"/>
    <w:rsid w:val="00CD4550"/>
    <w:rsid w:val="00CD45A5"/>
    <w:rsid w:val="00CD4661"/>
    <w:rsid w:val="00CD4688"/>
    <w:rsid w:val="00CD49EB"/>
    <w:rsid w:val="00CD4A47"/>
    <w:rsid w:val="00CD4B9E"/>
    <w:rsid w:val="00CD4D84"/>
    <w:rsid w:val="00CD4E9D"/>
    <w:rsid w:val="00CD5035"/>
    <w:rsid w:val="00CD505D"/>
    <w:rsid w:val="00CD5382"/>
    <w:rsid w:val="00CD5565"/>
    <w:rsid w:val="00CD568D"/>
    <w:rsid w:val="00CD5909"/>
    <w:rsid w:val="00CD5910"/>
    <w:rsid w:val="00CD5CD4"/>
    <w:rsid w:val="00CD5DF6"/>
    <w:rsid w:val="00CD5E2A"/>
    <w:rsid w:val="00CD5F59"/>
    <w:rsid w:val="00CD5F88"/>
    <w:rsid w:val="00CD60DB"/>
    <w:rsid w:val="00CD6106"/>
    <w:rsid w:val="00CD628E"/>
    <w:rsid w:val="00CD64D0"/>
    <w:rsid w:val="00CD65B0"/>
    <w:rsid w:val="00CD6900"/>
    <w:rsid w:val="00CD6C9E"/>
    <w:rsid w:val="00CD6D9F"/>
    <w:rsid w:val="00CD6EA7"/>
    <w:rsid w:val="00CD6ED1"/>
    <w:rsid w:val="00CD72A1"/>
    <w:rsid w:val="00CD745A"/>
    <w:rsid w:val="00CD78FB"/>
    <w:rsid w:val="00CD7965"/>
    <w:rsid w:val="00CD7B88"/>
    <w:rsid w:val="00CD7D06"/>
    <w:rsid w:val="00CD7DB9"/>
    <w:rsid w:val="00CD7E75"/>
    <w:rsid w:val="00CE000A"/>
    <w:rsid w:val="00CE0072"/>
    <w:rsid w:val="00CE076F"/>
    <w:rsid w:val="00CE0A3A"/>
    <w:rsid w:val="00CE0B1C"/>
    <w:rsid w:val="00CE0C42"/>
    <w:rsid w:val="00CE0D59"/>
    <w:rsid w:val="00CE0F2F"/>
    <w:rsid w:val="00CE1021"/>
    <w:rsid w:val="00CE11F5"/>
    <w:rsid w:val="00CE126D"/>
    <w:rsid w:val="00CE13A2"/>
    <w:rsid w:val="00CE17DB"/>
    <w:rsid w:val="00CE1E01"/>
    <w:rsid w:val="00CE1EB7"/>
    <w:rsid w:val="00CE1EC0"/>
    <w:rsid w:val="00CE1F96"/>
    <w:rsid w:val="00CE2AAA"/>
    <w:rsid w:val="00CE2B71"/>
    <w:rsid w:val="00CE2CD3"/>
    <w:rsid w:val="00CE2D22"/>
    <w:rsid w:val="00CE2D4B"/>
    <w:rsid w:val="00CE2EEE"/>
    <w:rsid w:val="00CE3012"/>
    <w:rsid w:val="00CE31BE"/>
    <w:rsid w:val="00CE33C4"/>
    <w:rsid w:val="00CE3676"/>
    <w:rsid w:val="00CE37EE"/>
    <w:rsid w:val="00CE39C5"/>
    <w:rsid w:val="00CE3ABA"/>
    <w:rsid w:val="00CE3C1D"/>
    <w:rsid w:val="00CE3EC0"/>
    <w:rsid w:val="00CE4686"/>
    <w:rsid w:val="00CE4772"/>
    <w:rsid w:val="00CE47DF"/>
    <w:rsid w:val="00CE4920"/>
    <w:rsid w:val="00CE49BA"/>
    <w:rsid w:val="00CE4B85"/>
    <w:rsid w:val="00CE4D3A"/>
    <w:rsid w:val="00CE4D58"/>
    <w:rsid w:val="00CE4F6C"/>
    <w:rsid w:val="00CE535C"/>
    <w:rsid w:val="00CE5451"/>
    <w:rsid w:val="00CE5631"/>
    <w:rsid w:val="00CE563A"/>
    <w:rsid w:val="00CE5941"/>
    <w:rsid w:val="00CE594E"/>
    <w:rsid w:val="00CE5C1A"/>
    <w:rsid w:val="00CE5E7A"/>
    <w:rsid w:val="00CE60AE"/>
    <w:rsid w:val="00CE6115"/>
    <w:rsid w:val="00CE6261"/>
    <w:rsid w:val="00CE62A6"/>
    <w:rsid w:val="00CE63C4"/>
    <w:rsid w:val="00CE649D"/>
    <w:rsid w:val="00CE666C"/>
    <w:rsid w:val="00CE67A9"/>
    <w:rsid w:val="00CE6BC4"/>
    <w:rsid w:val="00CE6C0B"/>
    <w:rsid w:val="00CE6F4F"/>
    <w:rsid w:val="00CE6FE2"/>
    <w:rsid w:val="00CE7361"/>
    <w:rsid w:val="00CE7BB2"/>
    <w:rsid w:val="00CE7C55"/>
    <w:rsid w:val="00CE7D03"/>
    <w:rsid w:val="00CE7E72"/>
    <w:rsid w:val="00CE7F17"/>
    <w:rsid w:val="00CF03DB"/>
    <w:rsid w:val="00CF0550"/>
    <w:rsid w:val="00CF057C"/>
    <w:rsid w:val="00CF05A3"/>
    <w:rsid w:val="00CF0623"/>
    <w:rsid w:val="00CF07B7"/>
    <w:rsid w:val="00CF0804"/>
    <w:rsid w:val="00CF0A43"/>
    <w:rsid w:val="00CF0CA2"/>
    <w:rsid w:val="00CF0EA8"/>
    <w:rsid w:val="00CF10B2"/>
    <w:rsid w:val="00CF13F2"/>
    <w:rsid w:val="00CF1415"/>
    <w:rsid w:val="00CF159F"/>
    <w:rsid w:val="00CF15BA"/>
    <w:rsid w:val="00CF175A"/>
    <w:rsid w:val="00CF17A2"/>
    <w:rsid w:val="00CF1A32"/>
    <w:rsid w:val="00CF1B07"/>
    <w:rsid w:val="00CF1DFA"/>
    <w:rsid w:val="00CF1E23"/>
    <w:rsid w:val="00CF21EC"/>
    <w:rsid w:val="00CF22B0"/>
    <w:rsid w:val="00CF2C1C"/>
    <w:rsid w:val="00CF337F"/>
    <w:rsid w:val="00CF34BC"/>
    <w:rsid w:val="00CF35EF"/>
    <w:rsid w:val="00CF36CF"/>
    <w:rsid w:val="00CF3795"/>
    <w:rsid w:val="00CF38C4"/>
    <w:rsid w:val="00CF3977"/>
    <w:rsid w:val="00CF3A19"/>
    <w:rsid w:val="00CF3FAB"/>
    <w:rsid w:val="00CF3FF1"/>
    <w:rsid w:val="00CF4226"/>
    <w:rsid w:val="00CF42F2"/>
    <w:rsid w:val="00CF43A0"/>
    <w:rsid w:val="00CF458D"/>
    <w:rsid w:val="00CF46CE"/>
    <w:rsid w:val="00CF47C2"/>
    <w:rsid w:val="00CF4842"/>
    <w:rsid w:val="00CF4939"/>
    <w:rsid w:val="00CF4A05"/>
    <w:rsid w:val="00CF4AAF"/>
    <w:rsid w:val="00CF4CAB"/>
    <w:rsid w:val="00CF4DD9"/>
    <w:rsid w:val="00CF4F4F"/>
    <w:rsid w:val="00CF509A"/>
    <w:rsid w:val="00CF5163"/>
    <w:rsid w:val="00CF539D"/>
    <w:rsid w:val="00CF5AA6"/>
    <w:rsid w:val="00CF5B14"/>
    <w:rsid w:val="00CF5CBF"/>
    <w:rsid w:val="00CF5F7A"/>
    <w:rsid w:val="00CF6030"/>
    <w:rsid w:val="00CF616B"/>
    <w:rsid w:val="00CF619E"/>
    <w:rsid w:val="00CF6254"/>
    <w:rsid w:val="00CF6317"/>
    <w:rsid w:val="00CF6345"/>
    <w:rsid w:val="00CF652A"/>
    <w:rsid w:val="00CF6947"/>
    <w:rsid w:val="00CF6B7F"/>
    <w:rsid w:val="00CF6C0B"/>
    <w:rsid w:val="00CF6D0A"/>
    <w:rsid w:val="00CF6FA4"/>
    <w:rsid w:val="00CF7026"/>
    <w:rsid w:val="00CF70A0"/>
    <w:rsid w:val="00CF70E0"/>
    <w:rsid w:val="00CF751E"/>
    <w:rsid w:val="00CF7678"/>
    <w:rsid w:val="00CF7793"/>
    <w:rsid w:val="00CF7840"/>
    <w:rsid w:val="00CF791E"/>
    <w:rsid w:val="00CF7E9D"/>
    <w:rsid w:val="00CF7F71"/>
    <w:rsid w:val="00D000FF"/>
    <w:rsid w:val="00D001A4"/>
    <w:rsid w:val="00D00845"/>
    <w:rsid w:val="00D0093C"/>
    <w:rsid w:val="00D00A1F"/>
    <w:rsid w:val="00D00B2B"/>
    <w:rsid w:val="00D00CEF"/>
    <w:rsid w:val="00D00E5E"/>
    <w:rsid w:val="00D00FE5"/>
    <w:rsid w:val="00D01030"/>
    <w:rsid w:val="00D010E9"/>
    <w:rsid w:val="00D012AF"/>
    <w:rsid w:val="00D0133F"/>
    <w:rsid w:val="00D014E1"/>
    <w:rsid w:val="00D01663"/>
    <w:rsid w:val="00D01995"/>
    <w:rsid w:val="00D01A73"/>
    <w:rsid w:val="00D01B15"/>
    <w:rsid w:val="00D01D60"/>
    <w:rsid w:val="00D02369"/>
    <w:rsid w:val="00D02417"/>
    <w:rsid w:val="00D0250C"/>
    <w:rsid w:val="00D02819"/>
    <w:rsid w:val="00D02A28"/>
    <w:rsid w:val="00D02A76"/>
    <w:rsid w:val="00D02B1B"/>
    <w:rsid w:val="00D02B6F"/>
    <w:rsid w:val="00D02D32"/>
    <w:rsid w:val="00D02EEA"/>
    <w:rsid w:val="00D02EFC"/>
    <w:rsid w:val="00D02F9C"/>
    <w:rsid w:val="00D032B1"/>
    <w:rsid w:val="00D032E2"/>
    <w:rsid w:val="00D0332A"/>
    <w:rsid w:val="00D035E8"/>
    <w:rsid w:val="00D036BC"/>
    <w:rsid w:val="00D037EB"/>
    <w:rsid w:val="00D03812"/>
    <w:rsid w:val="00D03A31"/>
    <w:rsid w:val="00D03C51"/>
    <w:rsid w:val="00D03E9C"/>
    <w:rsid w:val="00D03EF5"/>
    <w:rsid w:val="00D04054"/>
    <w:rsid w:val="00D04066"/>
    <w:rsid w:val="00D0415F"/>
    <w:rsid w:val="00D0452F"/>
    <w:rsid w:val="00D0467F"/>
    <w:rsid w:val="00D0493C"/>
    <w:rsid w:val="00D049B8"/>
    <w:rsid w:val="00D049F9"/>
    <w:rsid w:val="00D04A42"/>
    <w:rsid w:val="00D04D7B"/>
    <w:rsid w:val="00D05013"/>
    <w:rsid w:val="00D0510E"/>
    <w:rsid w:val="00D05136"/>
    <w:rsid w:val="00D05475"/>
    <w:rsid w:val="00D054AF"/>
    <w:rsid w:val="00D05520"/>
    <w:rsid w:val="00D057E7"/>
    <w:rsid w:val="00D05AAC"/>
    <w:rsid w:val="00D05C3F"/>
    <w:rsid w:val="00D05D5A"/>
    <w:rsid w:val="00D063A4"/>
    <w:rsid w:val="00D063CA"/>
    <w:rsid w:val="00D063E8"/>
    <w:rsid w:val="00D0641F"/>
    <w:rsid w:val="00D066E3"/>
    <w:rsid w:val="00D066F4"/>
    <w:rsid w:val="00D0681C"/>
    <w:rsid w:val="00D0688C"/>
    <w:rsid w:val="00D06B75"/>
    <w:rsid w:val="00D06C09"/>
    <w:rsid w:val="00D06D65"/>
    <w:rsid w:val="00D0721C"/>
    <w:rsid w:val="00D07273"/>
    <w:rsid w:val="00D07884"/>
    <w:rsid w:val="00D07A1E"/>
    <w:rsid w:val="00D07A23"/>
    <w:rsid w:val="00D07A7F"/>
    <w:rsid w:val="00D07BC6"/>
    <w:rsid w:val="00D07BD5"/>
    <w:rsid w:val="00D07F61"/>
    <w:rsid w:val="00D10006"/>
    <w:rsid w:val="00D103AB"/>
    <w:rsid w:val="00D107BE"/>
    <w:rsid w:val="00D10A0D"/>
    <w:rsid w:val="00D10D49"/>
    <w:rsid w:val="00D10E1D"/>
    <w:rsid w:val="00D10F7A"/>
    <w:rsid w:val="00D11143"/>
    <w:rsid w:val="00D116F3"/>
    <w:rsid w:val="00D1175B"/>
    <w:rsid w:val="00D117D5"/>
    <w:rsid w:val="00D1180A"/>
    <w:rsid w:val="00D11970"/>
    <w:rsid w:val="00D11A93"/>
    <w:rsid w:val="00D11B48"/>
    <w:rsid w:val="00D11B90"/>
    <w:rsid w:val="00D11C21"/>
    <w:rsid w:val="00D11C5D"/>
    <w:rsid w:val="00D11DA5"/>
    <w:rsid w:val="00D11DD7"/>
    <w:rsid w:val="00D121B9"/>
    <w:rsid w:val="00D121ED"/>
    <w:rsid w:val="00D12422"/>
    <w:rsid w:val="00D12442"/>
    <w:rsid w:val="00D124F5"/>
    <w:rsid w:val="00D127A3"/>
    <w:rsid w:val="00D12C61"/>
    <w:rsid w:val="00D12D1E"/>
    <w:rsid w:val="00D12FC8"/>
    <w:rsid w:val="00D130D2"/>
    <w:rsid w:val="00D13356"/>
    <w:rsid w:val="00D133E8"/>
    <w:rsid w:val="00D136E3"/>
    <w:rsid w:val="00D137E4"/>
    <w:rsid w:val="00D13848"/>
    <w:rsid w:val="00D13919"/>
    <w:rsid w:val="00D13B48"/>
    <w:rsid w:val="00D13C1B"/>
    <w:rsid w:val="00D1420E"/>
    <w:rsid w:val="00D1436E"/>
    <w:rsid w:val="00D14402"/>
    <w:rsid w:val="00D1449D"/>
    <w:rsid w:val="00D146BC"/>
    <w:rsid w:val="00D148A9"/>
    <w:rsid w:val="00D14D63"/>
    <w:rsid w:val="00D14EB9"/>
    <w:rsid w:val="00D14FDA"/>
    <w:rsid w:val="00D15162"/>
    <w:rsid w:val="00D15209"/>
    <w:rsid w:val="00D15431"/>
    <w:rsid w:val="00D15892"/>
    <w:rsid w:val="00D158C0"/>
    <w:rsid w:val="00D159B3"/>
    <w:rsid w:val="00D15C9A"/>
    <w:rsid w:val="00D15E49"/>
    <w:rsid w:val="00D16108"/>
    <w:rsid w:val="00D1630C"/>
    <w:rsid w:val="00D1632D"/>
    <w:rsid w:val="00D1635C"/>
    <w:rsid w:val="00D16570"/>
    <w:rsid w:val="00D16A1E"/>
    <w:rsid w:val="00D16D01"/>
    <w:rsid w:val="00D1739F"/>
    <w:rsid w:val="00D1741A"/>
    <w:rsid w:val="00D17668"/>
    <w:rsid w:val="00D17757"/>
    <w:rsid w:val="00D17D3D"/>
    <w:rsid w:val="00D17EB3"/>
    <w:rsid w:val="00D202CA"/>
    <w:rsid w:val="00D203D9"/>
    <w:rsid w:val="00D20412"/>
    <w:rsid w:val="00D20928"/>
    <w:rsid w:val="00D2098E"/>
    <w:rsid w:val="00D20A32"/>
    <w:rsid w:val="00D20B13"/>
    <w:rsid w:val="00D20E13"/>
    <w:rsid w:val="00D21022"/>
    <w:rsid w:val="00D2108B"/>
    <w:rsid w:val="00D210E2"/>
    <w:rsid w:val="00D21139"/>
    <w:rsid w:val="00D211DD"/>
    <w:rsid w:val="00D21438"/>
    <w:rsid w:val="00D21586"/>
    <w:rsid w:val="00D21655"/>
    <w:rsid w:val="00D21741"/>
    <w:rsid w:val="00D217BE"/>
    <w:rsid w:val="00D21ACD"/>
    <w:rsid w:val="00D21E10"/>
    <w:rsid w:val="00D21F0B"/>
    <w:rsid w:val="00D220FE"/>
    <w:rsid w:val="00D222EC"/>
    <w:rsid w:val="00D22454"/>
    <w:rsid w:val="00D225A6"/>
    <w:rsid w:val="00D22652"/>
    <w:rsid w:val="00D22893"/>
    <w:rsid w:val="00D22898"/>
    <w:rsid w:val="00D2295B"/>
    <w:rsid w:val="00D229F2"/>
    <w:rsid w:val="00D22C7F"/>
    <w:rsid w:val="00D22DB7"/>
    <w:rsid w:val="00D22DCF"/>
    <w:rsid w:val="00D22DE7"/>
    <w:rsid w:val="00D22DF4"/>
    <w:rsid w:val="00D22E27"/>
    <w:rsid w:val="00D22EB7"/>
    <w:rsid w:val="00D23024"/>
    <w:rsid w:val="00D231B2"/>
    <w:rsid w:val="00D23423"/>
    <w:rsid w:val="00D23716"/>
    <w:rsid w:val="00D2374E"/>
    <w:rsid w:val="00D23872"/>
    <w:rsid w:val="00D23987"/>
    <w:rsid w:val="00D23A03"/>
    <w:rsid w:val="00D23B76"/>
    <w:rsid w:val="00D23B93"/>
    <w:rsid w:val="00D23B9D"/>
    <w:rsid w:val="00D23C6C"/>
    <w:rsid w:val="00D23DD7"/>
    <w:rsid w:val="00D23E97"/>
    <w:rsid w:val="00D24166"/>
    <w:rsid w:val="00D242F7"/>
    <w:rsid w:val="00D243D1"/>
    <w:rsid w:val="00D243FF"/>
    <w:rsid w:val="00D2492C"/>
    <w:rsid w:val="00D24C1E"/>
    <w:rsid w:val="00D24DE6"/>
    <w:rsid w:val="00D24E70"/>
    <w:rsid w:val="00D24E72"/>
    <w:rsid w:val="00D24EB9"/>
    <w:rsid w:val="00D2508C"/>
    <w:rsid w:val="00D252F1"/>
    <w:rsid w:val="00D2562A"/>
    <w:rsid w:val="00D25677"/>
    <w:rsid w:val="00D2571A"/>
    <w:rsid w:val="00D25769"/>
    <w:rsid w:val="00D25831"/>
    <w:rsid w:val="00D25B97"/>
    <w:rsid w:val="00D25C2A"/>
    <w:rsid w:val="00D25D75"/>
    <w:rsid w:val="00D25E2C"/>
    <w:rsid w:val="00D26106"/>
    <w:rsid w:val="00D2635C"/>
    <w:rsid w:val="00D26464"/>
    <w:rsid w:val="00D2647E"/>
    <w:rsid w:val="00D26548"/>
    <w:rsid w:val="00D265F3"/>
    <w:rsid w:val="00D2663F"/>
    <w:rsid w:val="00D26758"/>
    <w:rsid w:val="00D26788"/>
    <w:rsid w:val="00D26928"/>
    <w:rsid w:val="00D26A98"/>
    <w:rsid w:val="00D26DA6"/>
    <w:rsid w:val="00D26E14"/>
    <w:rsid w:val="00D26F7B"/>
    <w:rsid w:val="00D271A2"/>
    <w:rsid w:val="00D27200"/>
    <w:rsid w:val="00D273EB"/>
    <w:rsid w:val="00D27475"/>
    <w:rsid w:val="00D2780D"/>
    <w:rsid w:val="00D2795C"/>
    <w:rsid w:val="00D279FA"/>
    <w:rsid w:val="00D27A6C"/>
    <w:rsid w:val="00D27B80"/>
    <w:rsid w:val="00D27C73"/>
    <w:rsid w:val="00D27C81"/>
    <w:rsid w:val="00D27D83"/>
    <w:rsid w:val="00D27E07"/>
    <w:rsid w:val="00D3015A"/>
    <w:rsid w:val="00D301FC"/>
    <w:rsid w:val="00D302EE"/>
    <w:rsid w:val="00D30320"/>
    <w:rsid w:val="00D30356"/>
    <w:rsid w:val="00D303F7"/>
    <w:rsid w:val="00D3049C"/>
    <w:rsid w:val="00D30550"/>
    <w:rsid w:val="00D30746"/>
    <w:rsid w:val="00D3087C"/>
    <w:rsid w:val="00D3095C"/>
    <w:rsid w:val="00D3096B"/>
    <w:rsid w:val="00D309BE"/>
    <w:rsid w:val="00D30A49"/>
    <w:rsid w:val="00D30B3F"/>
    <w:rsid w:val="00D30BF2"/>
    <w:rsid w:val="00D30C5B"/>
    <w:rsid w:val="00D30E8A"/>
    <w:rsid w:val="00D3122E"/>
    <w:rsid w:val="00D312B6"/>
    <w:rsid w:val="00D3133E"/>
    <w:rsid w:val="00D3134D"/>
    <w:rsid w:val="00D313DD"/>
    <w:rsid w:val="00D3169D"/>
    <w:rsid w:val="00D316E6"/>
    <w:rsid w:val="00D31782"/>
    <w:rsid w:val="00D3179E"/>
    <w:rsid w:val="00D318E2"/>
    <w:rsid w:val="00D31BC5"/>
    <w:rsid w:val="00D31D33"/>
    <w:rsid w:val="00D31D9E"/>
    <w:rsid w:val="00D31F7C"/>
    <w:rsid w:val="00D320CF"/>
    <w:rsid w:val="00D32201"/>
    <w:rsid w:val="00D3220A"/>
    <w:rsid w:val="00D322E4"/>
    <w:rsid w:val="00D324A4"/>
    <w:rsid w:val="00D32688"/>
    <w:rsid w:val="00D327AE"/>
    <w:rsid w:val="00D327FD"/>
    <w:rsid w:val="00D32893"/>
    <w:rsid w:val="00D32931"/>
    <w:rsid w:val="00D32A34"/>
    <w:rsid w:val="00D32B4E"/>
    <w:rsid w:val="00D32D9D"/>
    <w:rsid w:val="00D32DBA"/>
    <w:rsid w:val="00D33026"/>
    <w:rsid w:val="00D330C5"/>
    <w:rsid w:val="00D33103"/>
    <w:rsid w:val="00D335BD"/>
    <w:rsid w:val="00D335CC"/>
    <w:rsid w:val="00D336AF"/>
    <w:rsid w:val="00D33708"/>
    <w:rsid w:val="00D33963"/>
    <w:rsid w:val="00D33AF2"/>
    <w:rsid w:val="00D33B88"/>
    <w:rsid w:val="00D33C70"/>
    <w:rsid w:val="00D33D7C"/>
    <w:rsid w:val="00D33EAF"/>
    <w:rsid w:val="00D33ED7"/>
    <w:rsid w:val="00D33F3F"/>
    <w:rsid w:val="00D33F6E"/>
    <w:rsid w:val="00D340A8"/>
    <w:rsid w:val="00D3427B"/>
    <w:rsid w:val="00D342D2"/>
    <w:rsid w:val="00D34498"/>
    <w:rsid w:val="00D345D3"/>
    <w:rsid w:val="00D346E1"/>
    <w:rsid w:val="00D34970"/>
    <w:rsid w:val="00D34C0D"/>
    <w:rsid w:val="00D34C9C"/>
    <w:rsid w:val="00D34CE9"/>
    <w:rsid w:val="00D34D93"/>
    <w:rsid w:val="00D34DA9"/>
    <w:rsid w:val="00D34F3C"/>
    <w:rsid w:val="00D3507A"/>
    <w:rsid w:val="00D3518C"/>
    <w:rsid w:val="00D35207"/>
    <w:rsid w:val="00D3535C"/>
    <w:rsid w:val="00D3536C"/>
    <w:rsid w:val="00D35426"/>
    <w:rsid w:val="00D354B0"/>
    <w:rsid w:val="00D3587B"/>
    <w:rsid w:val="00D35889"/>
    <w:rsid w:val="00D35CB6"/>
    <w:rsid w:val="00D35CBF"/>
    <w:rsid w:val="00D35FE5"/>
    <w:rsid w:val="00D364BA"/>
    <w:rsid w:val="00D365E1"/>
    <w:rsid w:val="00D366FA"/>
    <w:rsid w:val="00D36993"/>
    <w:rsid w:val="00D36A15"/>
    <w:rsid w:val="00D36A3C"/>
    <w:rsid w:val="00D36C60"/>
    <w:rsid w:val="00D36D8D"/>
    <w:rsid w:val="00D371EA"/>
    <w:rsid w:val="00D372F5"/>
    <w:rsid w:val="00D37345"/>
    <w:rsid w:val="00D37372"/>
    <w:rsid w:val="00D377A7"/>
    <w:rsid w:val="00D37A5B"/>
    <w:rsid w:val="00D37C14"/>
    <w:rsid w:val="00D37C29"/>
    <w:rsid w:val="00D37C3B"/>
    <w:rsid w:val="00D37CFC"/>
    <w:rsid w:val="00D37D76"/>
    <w:rsid w:val="00D37DDA"/>
    <w:rsid w:val="00D37F07"/>
    <w:rsid w:val="00D4006C"/>
    <w:rsid w:val="00D4030E"/>
    <w:rsid w:val="00D403F1"/>
    <w:rsid w:val="00D40B3D"/>
    <w:rsid w:val="00D40B73"/>
    <w:rsid w:val="00D40D86"/>
    <w:rsid w:val="00D40FA9"/>
    <w:rsid w:val="00D41157"/>
    <w:rsid w:val="00D4122E"/>
    <w:rsid w:val="00D41306"/>
    <w:rsid w:val="00D413DA"/>
    <w:rsid w:val="00D41429"/>
    <w:rsid w:val="00D4160A"/>
    <w:rsid w:val="00D416B3"/>
    <w:rsid w:val="00D416EA"/>
    <w:rsid w:val="00D4174D"/>
    <w:rsid w:val="00D417AF"/>
    <w:rsid w:val="00D417DD"/>
    <w:rsid w:val="00D41EE3"/>
    <w:rsid w:val="00D41FD1"/>
    <w:rsid w:val="00D421AB"/>
    <w:rsid w:val="00D4231C"/>
    <w:rsid w:val="00D4246B"/>
    <w:rsid w:val="00D4246F"/>
    <w:rsid w:val="00D425D3"/>
    <w:rsid w:val="00D42A00"/>
    <w:rsid w:val="00D42B08"/>
    <w:rsid w:val="00D42C0E"/>
    <w:rsid w:val="00D42C16"/>
    <w:rsid w:val="00D42D8F"/>
    <w:rsid w:val="00D42E08"/>
    <w:rsid w:val="00D42F7C"/>
    <w:rsid w:val="00D4373A"/>
    <w:rsid w:val="00D43A5A"/>
    <w:rsid w:val="00D43AC9"/>
    <w:rsid w:val="00D43B1C"/>
    <w:rsid w:val="00D43CCD"/>
    <w:rsid w:val="00D43D75"/>
    <w:rsid w:val="00D440C5"/>
    <w:rsid w:val="00D4419C"/>
    <w:rsid w:val="00D4457A"/>
    <w:rsid w:val="00D44584"/>
    <w:rsid w:val="00D44AF8"/>
    <w:rsid w:val="00D44BA9"/>
    <w:rsid w:val="00D44BDF"/>
    <w:rsid w:val="00D44D54"/>
    <w:rsid w:val="00D44E7F"/>
    <w:rsid w:val="00D44E99"/>
    <w:rsid w:val="00D4506D"/>
    <w:rsid w:val="00D4507F"/>
    <w:rsid w:val="00D4511B"/>
    <w:rsid w:val="00D452B7"/>
    <w:rsid w:val="00D45327"/>
    <w:rsid w:val="00D45527"/>
    <w:rsid w:val="00D455C3"/>
    <w:rsid w:val="00D4590A"/>
    <w:rsid w:val="00D45D13"/>
    <w:rsid w:val="00D45DEE"/>
    <w:rsid w:val="00D45EB9"/>
    <w:rsid w:val="00D4615B"/>
    <w:rsid w:val="00D4638B"/>
    <w:rsid w:val="00D4666C"/>
    <w:rsid w:val="00D46A15"/>
    <w:rsid w:val="00D46D36"/>
    <w:rsid w:val="00D46D4D"/>
    <w:rsid w:val="00D46E60"/>
    <w:rsid w:val="00D46EBF"/>
    <w:rsid w:val="00D47188"/>
    <w:rsid w:val="00D475AF"/>
    <w:rsid w:val="00D47781"/>
    <w:rsid w:val="00D47931"/>
    <w:rsid w:val="00D47AF6"/>
    <w:rsid w:val="00D50207"/>
    <w:rsid w:val="00D5026D"/>
    <w:rsid w:val="00D50460"/>
    <w:rsid w:val="00D50888"/>
    <w:rsid w:val="00D5092E"/>
    <w:rsid w:val="00D50ACE"/>
    <w:rsid w:val="00D50D1A"/>
    <w:rsid w:val="00D50F8B"/>
    <w:rsid w:val="00D51518"/>
    <w:rsid w:val="00D515EE"/>
    <w:rsid w:val="00D5246F"/>
    <w:rsid w:val="00D52594"/>
    <w:rsid w:val="00D52611"/>
    <w:rsid w:val="00D52866"/>
    <w:rsid w:val="00D5289B"/>
    <w:rsid w:val="00D528E9"/>
    <w:rsid w:val="00D52A2F"/>
    <w:rsid w:val="00D52A74"/>
    <w:rsid w:val="00D52BA0"/>
    <w:rsid w:val="00D52D67"/>
    <w:rsid w:val="00D52D91"/>
    <w:rsid w:val="00D52EB8"/>
    <w:rsid w:val="00D52EF9"/>
    <w:rsid w:val="00D52F52"/>
    <w:rsid w:val="00D53178"/>
    <w:rsid w:val="00D5328C"/>
    <w:rsid w:val="00D533C3"/>
    <w:rsid w:val="00D53481"/>
    <w:rsid w:val="00D535BB"/>
    <w:rsid w:val="00D53918"/>
    <w:rsid w:val="00D53E87"/>
    <w:rsid w:val="00D53ECA"/>
    <w:rsid w:val="00D53F34"/>
    <w:rsid w:val="00D54181"/>
    <w:rsid w:val="00D541EB"/>
    <w:rsid w:val="00D548FB"/>
    <w:rsid w:val="00D54936"/>
    <w:rsid w:val="00D549C4"/>
    <w:rsid w:val="00D54B4B"/>
    <w:rsid w:val="00D54D69"/>
    <w:rsid w:val="00D55026"/>
    <w:rsid w:val="00D55153"/>
    <w:rsid w:val="00D551AF"/>
    <w:rsid w:val="00D553A5"/>
    <w:rsid w:val="00D55487"/>
    <w:rsid w:val="00D55553"/>
    <w:rsid w:val="00D555DE"/>
    <w:rsid w:val="00D5560D"/>
    <w:rsid w:val="00D556E4"/>
    <w:rsid w:val="00D558CD"/>
    <w:rsid w:val="00D55954"/>
    <w:rsid w:val="00D559A1"/>
    <w:rsid w:val="00D559E0"/>
    <w:rsid w:val="00D55B75"/>
    <w:rsid w:val="00D55FA9"/>
    <w:rsid w:val="00D565EB"/>
    <w:rsid w:val="00D566D7"/>
    <w:rsid w:val="00D56A6C"/>
    <w:rsid w:val="00D56D58"/>
    <w:rsid w:val="00D56E77"/>
    <w:rsid w:val="00D57276"/>
    <w:rsid w:val="00D57376"/>
    <w:rsid w:val="00D57557"/>
    <w:rsid w:val="00D57B9C"/>
    <w:rsid w:val="00D57F8C"/>
    <w:rsid w:val="00D6010D"/>
    <w:rsid w:val="00D60211"/>
    <w:rsid w:val="00D60497"/>
    <w:rsid w:val="00D60778"/>
    <w:rsid w:val="00D607F2"/>
    <w:rsid w:val="00D608D9"/>
    <w:rsid w:val="00D60ADD"/>
    <w:rsid w:val="00D60D63"/>
    <w:rsid w:val="00D60EBE"/>
    <w:rsid w:val="00D61013"/>
    <w:rsid w:val="00D611C8"/>
    <w:rsid w:val="00D61512"/>
    <w:rsid w:val="00D61714"/>
    <w:rsid w:val="00D61771"/>
    <w:rsid w:val="00D617DA"/>
    <w:rsid w:val="00D61A6F"/>
    <w:rsid w:val="00D61D52"/>
    <w:rsid w:val="00D61E7F"/>
    <w:rsid w:val="00D61E83"/>
    <w:rsid w:val="00D6208E"/>
    <w:rsid w:val="00D620D6"/>
    <w:rsid w:val="00D6217D"/>
    <w:rsid w:val="00D621E3"/>
    <w:rsid w:val="00D621FD"/>
    <w:rsid w:val="00D6262D"/>
    <w:rsid w:val="00D6265F"/>
    <w:rsid w:val="00D629B1"/>
    <w:rsid w:val="00D62A17"/>
    <w:rsid w:val="00D62F1A"/>
    <w:rsid w:val="00D62F80"/>
    <w:rsid w:val="00D631AD"/>
    <w:rsid w:val="00D63317"/>
    <w:rsid w:val="00D6332F"/>
    <w:rsid w:val="00D6333C"/>
    <w:rsid w:val="00D634F5"/>
    <w:rsid w:val="00D6361A"/>
    <w:rsid w:val="00D63894"/>
    <w:rsid w:val="00D639A9"/>
    <w:rsid w:val="00D63D7B"/>
    <w:rsid w:val="00D63F58"/>
    <w:rsid w:val="00D63FBA"/>
    <w:rsid w:val="00D64059"/>
    <w:rsid w:val="00D640B2"/>
    <w:rsid w:val="00D6413D"/>
    <w:rsid w:val="00D64423"/>
    <w:rsid w:val="00D64434"/>
    <w:rsid w:val="00D646F9"/>
    <w:rsid w:val="00D64BEF"/>
    <w:rsid w:val="00D64C6B"/>
    <w:rsid w:val="00D64E2A"/>
    <w:rsid w:val="00D64F79"/>
    <w:rsid w:val="00D64FD9"/>
    <w:rsid w:val="00D65161"/>
    <w:rsid w:val="00D65450"/>
    <w:rsid w:val="00D654D6"/>
    <w:rsid w:val="00D65611"/>
    <w:rsid w:val="00D65621"/>
    <w:rsid w:val="00D6577B"/>
    <w:rsid w:val="00D6599F"/>
    <w:rsid w:val="00D659BA"/>
    <w:rsid w:val="00D65B7B"/>
    <w:rsid w:val="00D6604F"/>
    <w:rsid w:val="00D66140"/>
    <w:rsid w:val="00D664A5"/>
    <w:rsid w:val="00D66536"/>
    <w:rsid w:val="00D669E6"/>
    <w:rsid w:val="00D66A5F"/>
    <w:rsid w:val="00D66C61"/>
    <w:rsid w:val="00D66CAE"/>
    <w:rsid w:val="00D66E65"/>
    <w:rsid w:val="00D66FB4"/>
    <w:rsid w:val="00D66FF0"/>
    <w:rsid w:val="00D67111"/>
    <w:rsid w:val="00D67222"/>
    <w:rsid w:val="00D672FB"/>
    <w:rsid w:val="00D67B25"/>
    <w:rsid w:val="00D67E48"/>
    <w:rsid w:val="00D67FA3"/>
    <w:rsid w:val="00D7048A"/>
    <w:rsid w:val="00D70610"/>
    <w:rsid w:val="00D706F6"/>
    <w:rsid w:val="00D70726"/>
    <w:rsid w:val="00D707C0"/>
    <w:rsid w:val="00D707E1"/>
    <w:rsid w:val="00D70BCC"/>
    <w:rsid w:val="00D70BEC"/>
    <w:rsid w:val="00D7101B"/>
    <w:rsid w:val="00D7115D"/>
    <w:rsid w:val="00D711C6"/>
    <w:rsid w:val="00D71295"/>
    <w:rsid w:val="00D71479"/>
    <w:rsid w:val="00D7156B"/>
    <w:rsid w:val="00D71630"/>
    <w:rsid w:val="00D716DE"/>
    <w:rsid w:val="00D7178E"/>
    <w:rsid w:val="00D71BD0"/>
    <w:rsid w:val="00D71BD9"/>
    <w:rsid w:val="00D71C61"/>
    <w:rsid w:val="00D71CFD"/>
    <w:rsid w:val="00D71E3B"/>
    <w:rsid w:val="00D723ED"/>
    <w:rsid w:val="00D72478"/>
    <w:rsid w:val="00D72658"/>
    <w:rsid w:val="00D72766"/>
    <w:rsid w:val="00D72820"/>
    <w:rsid w:val="00D7285C"/>
    <w:rsid w:val="00D72889"/>
    <w:rsid w:val="00D72ADE"/>
    <w:rsid w:val="00D72D56"/>
    <w:rsid w:val="00D730A8"/>
    <w:rsid w:val="00D7311B"/>
    <w:rsid w:val="00D73132"/>
    <w:rsid w:val="00D73922"/>
    <w:rsid w:val="00D73C0F"/>
    <w:rsid w:val="00D73CCA"/>
    <w:rsid w:val="00D73D6F"/>
    <w:rsid w:val="00D73F12"/>
    <w:rsid w:val="00D74009"/>
    <w:rsid w:val="00D7444A"/>
    <w:rsid w:val="00D74709"/>
    <w:rsid w:val="00D74A10"/>
    <w:rsid w:val="00D74A8A"/>
    <w:rsid w:val="00D74AA7"/>
    <w:rsid w:val="00D74B28"/>
    <w:rsid w:val="00D74B4B"/>
    <w:rsid w:val="00D74CD5"/>
    <w:rsid w:val="00D74F18"/>
    <w:rsid w:val="00D75147"/>
    <w:rsid w:val="00D7518C"/>
    <w:rsid w:val="00D7529F"/>
    <w:rsid w:val="00D7540F"/>
    <w:rsid w:val="00D7548A"/>
    <w:rsid w:val="00D7569A"/>
    <w:rsid w:val="00D75872"/>
    <w:rsid w:val="00D758A9"/>
    <w:rsid w:val="00D759F4"/>
    <w:rsid w:val="00D75CE3"/>
    <w:rsid w:val="00D75EB7"/>
    <w:rsid w:val="00D76221"/>
    <w:rsid w:val="00D76661"/>
    <w:rsid w:val="00D767E8"/>
    <w:rsid w:val="00D7693F"/>
    <w:rsid w:val="00D76988"/>
    <w:rsid w:val="00D769C5"/>
    <w:rsid w:val="00D76A08"/>
    <w:rsid w:val="00D76CB8"/>
    <w:rsid w:val="00D76CFD"/>
    <w:rsid w:val="00D772EE"/>
    <w:rsid w:val="00D7738A"/>
    <w:rsid w:val="00D776C6"/>
    <w:rsid w:val="00D77738"/>
    <w:rsid w:val="00D77755"/>
    <w:rsid w:val="00D77801"/>
    <w:rsid w:val="00D77A3D"/>
    <w:rsid w:val="00D8009A"/>
    <w:rsid w:val="00D800F6"/>
    <w:rsid w:val="00D8010E"/>
    <w:rsid w:val="00D801F4"/>
    <w:rsid w:val="00D80289"/>
    <w:rsid w:val="00D80361"/>
    <w:rsid w:val="00D803EC"/>
    <w:rsid w:val="00D805DE"/>
    <w:rsid w:val="00D80800"/>
    <w:rsid w:val="00D808C8"/>
    <w:rsid w:val="00D80B35"/>
    <w:rsid w:val="00D80D16"/>
    <w:rsid w:val="00D80E7E"/>
    <w:rsid w:val="00D80ED3"/>
    <w:rsid w:val="00D80F05"/>
    <w:rsid w:val="00D811F1"/>
    <w:rsid w:val="00D8137A"/>
    <w:rsid w:val="00D813ED"/>
    <w:rsid w:val="00D81496"/>
    <w:rsid w:val="00D814D8"/>
    <w:rsid w:val="00D81797"/>
    <w:rsid w:val="00D81A75"/>
    <w:rsid w:val="00D81AA1"/>
    <w:rsid w:val="00D81AE2"/>
    <w:rsid w:val="00D822EF"/>
    <w:rsid w:val="00D8233F"/>
    <w:rsid w:val="00D823BC"/>
    <w:rsid w:val="00D824DB"/>
    <w:rsid w:val="00D82711"/>
    <w:rsid w:val="00D828D0"/>
    <w:rsid w:val="00D82E56"/>
    <w:rsid w:val="00D82E8A"/>
    <w:rsid w:val="00D82EBC"/>
    <w:rsid w:val="00D82F46"/>
    <w:rsid w:val="00D831D0"/>
    <w:rsid w:val="00D8337A"/>
    <w:rsid w:val="00D833B3"/>
    <w:rsid w:val="00D833D2"/>
    <w:rsid w:val="00D833F7"/>
    <w:rsid w:val="00D83585"/>
    <w:rsid w:val="00D836CF"/>
    <w:rsid w:val="00D83C00"/>
    <w:rsid w:val="00D83EDF"/>
    <w:rsid w:val="00D83F21"/>
    <w:rsid w:val="00D84252"/>
    <w:rsid w:val="00D842A0"/>
    <w:rsid w:val="00D843CA"/>
    <w:rsid w:val="00D847AD"/>
    <w:rsid w:val="00D84C29"/>
    <w:rsid w:val="00D84D7C"/>
    <w:rsid w:val="00D850C9"/>
    <w:rsid w:val="00D85278"/>
    <w:rsid w:val="00D85287"/>
    <w:rsid w:val="00D85818"/>
    <w:rsid w:val="00D8587C"/>
    <w:rsid w:val="00D8587D"/>
    <w:rsid w:val="00D85AD8"/>
    <w:rsid w:val="00D85B48"/>
    <w:rsid w:val="00D85BC1"/>
    <w:rsid w:val="00D85DB6"/>
    <w:rsid w:val="00D85DB9"/>
    <w:rsid w:val="00D85E42"/>
    <w:rsid w:val="00D85E75"/>
    <w:rsid w:val="00D85EC7"/>
    <w:rsid w:val="00D85FE5"/>
    <w:rsid w:val="00D862B6"/>
    <w:rsid w:val="00D864D2"/>
    <w:rsid w:val="00D865C2"/>
    <w:rsid w:val="00D8693E"/>
    <w:rsid w:val="00D86DDC"/>
    <w:rsid w:val="00D86E31"/>
    <w:rsid w:val="00D86E3A"/>
    <w:rsid w:val="00D87044"/>
    <w:rsid w:val="00D87356"/>
    <w:rsid w:val="00D873B1"/>
    <w:rsid w:val="00D87A54"/>
    <w:rsid w:val="00D87B1E"/>
    <w:rsid w:val="00D87BBB"/>
    <w:rsid w:val="00D87D4F"/>
    <w:rsid w:val="00D9013C"/>
    <w:rsid w:val="00D904D6"/>
    <w:rsid w:val="00D90501"/>
    <w:rsid w:val="00D9054F"/>
    <w:rsid w:val="00D9073E"/>
    <w:rsid w:val="00D90A4B"/>
    <w:rsid w:val="00D90AA1"/>
    <w:rsid w:val="00D90CCD"/>
    <w:rsid w:val="00D90D8A"/>
    <w:rsid w:val="00D90E47"/>
    <w:rsid w:val="00D90FDC"/>
    <w:rsid w:val="00D9126D"/>
    <w:rsid w:val="00D9170F"/>
    <w:rsid w:val="00D91717"/>
    <w:rsid w:val="00D917C1"/>
    <w:rsid w:val="00D91898"/>
    <w:rsid w:val="00D91AE4"/>
    <w:rsid w:val="00D91B6B"/>
    <w:rsid w:val="00D91BFE"/>
    <w:rsid w:val="00D91C4B"/>
    <w:rsid w:val="00D91DE3"/>
    <w:rsid w:val="00D9216D"/>
    <w:rsid w:val="00D9219F"/>
    <w:rsid w:val="00D921A3"/>
    <w:rsid w:val="00D92266"/>
    <w:rsid w:val="00D92338"/>
    <w:rsid w:val="00D925BE"/>
    <w:rsid w:val="00D925CE"/>
    <w:rsid w:val="00D92A1F"/>
    <w:rsid w:val="00D92BDC"/>
    <w:rsid w:val="00D92C92"/>
    <w:rsid w:val="00D92CE1"/>
    <w:rsid w:val="00D92EF2"/>
    <w:rsid w:val="00D92FB5"/>
    <w:rsid w:val="00D930B4"/>
    <w:rsid w:val="00D93107"/>
    <w:rsid w:val="00D93333"/>
    <w:rsid w:val="00D9345C"/>
    <w:rsid w:val="00D935C6"/>
    <w:rsid w:val="00D935EA"/>
    <w:rsid w:val="00D93918"/>
    <w:rsid w:val="00D93C6D"/>
    <w:rsid w:val="00D93CB4"/>
    <w:rsid w:val="00D93CC1"/>
    <w:rsid w:val="00D93D4B"/>
    <w:rsid w:val="00D93E04"/>
    <w:rsid w:val="00D93F0C"/>
    <w:rsid w:val="00D942FA"/>
    <w:rsid w:val="00D94788"/>
    <w:rsid w:val="00D947C8"/>
    <w:rsid w:val="00D9485C"/>
    <w:rsid w:val="00D94967"/>
    <w:rsid w:val="00D94D20"/>
    <w:rsid w:val="00D94F40"/>
    <w:rsid w:val="00D9506F"/>
    <w:rsid w:val="00D95483"/>
    <w:rsid w:val="00D954C3"/>
    <w:rsid w:val="00D9567C"/>
    <w:rsid w:val="00D957B9"/>
    <w:rsid w:val="00D957E9"/>
    <w:rsid w:val="00D95A48"/>
    <w:rsid w:val="00D95C22"/>
    <w:rsid w:val="00D95D03"/>
    <w:rsid w:val="00D95F0B"/>
    <w:rsid w:val="00D9619F"/>
    <w:rsid w:val="00D961BA"/>
    <w:rsid w:val="00D962C8"/>
    <w:rsid w:val="00D963BB"/>
    <w:rsid w:val="00D9645D"/>
    <w:rsid w:val="00D9645E"/>
    <w:rsid w:val="00D965E1"/>
    <w:rsid w:val="00D96D66"/>
    <w:rsid w:val="00D96E5E"/>
    <w:rsid w:val="00D97136"/>
    <w:rsid w:val="00D97211"/>
    <w:rsid w:val="00D97242"/>
    <w:rsid w:val="00D9733E"/>
    <w:rsid w:val="00D97544"/>
    <w:rsid w:val="00D977CB"/>
    <w:rsid w:val="00D977E6"/>
    <w:rsid w:val="00D97BA1"/>
    <w:rsid w:val="00D97BF6"/>
    <w:rsid w:val="00D97C38"/>
    <w:rsid w:val="00DA06F9"/>
    <w:rsid w:val="00DA0A1C"/>
    <w:rsid w:val="00DA0D3A"/>
    <w:rsid w:val="00DA0F89"/>
    <w:rsid w:val="00DA0F8C"/>
    <w:rsid w:val="00DA10DB"/>
    <w:rsid w:val="00DA115D"/>
    <w:rsid w:val="00DA1249"/>
    <w:rsid w:val="00DA1349"/>
    <w:rsid w:val="00DA141F"/>
    <w:rsid w:val="00DA1809"/>
    <w:rsid w:val="00DA1909"/>
    <w:rsid w:val="00DA1CFA"/>
    <w:rsid w:val="00DA1DB5"/>
    <w:rsid w:val="00DA202C"/>
    <w:rsid w:val="00DA2148"/>
    <w:rsid w:val="00DA215C"/>
    <w:rsid w:val="00DA223D"/>
    <w:rsid w:val="00DA25D3"/>
    <w:rsid w:val="00DA2625"/>
    <w:rsid w:val="00DA298F"/>
    <w:rsid w:val="00DA2CE3"/>
    <w:rsid w:val="00DA2D66"/>
    <w:rsid w:val="00DA30EE"/>
    <w:rsid w:val="00DA31C5"/>
    <w:rsid w:val="00DA31FA"/>
    <w:rsid w:val="00DA3587"/>
    <w:rsid w:val="00DA359F"/>
    <w:rsid w:val="00DA3923"/>
    <w:rsid w:val="00DA3B39"/>
    <w:rsid w:val="00DA3D14"/>
    <w:rsid w:val="00DA3E10"/>
    <w:rsid w:val="00DA4087"/>
    <w:rsid w:val="00DA40C5"/>
    <w:rsid w:val="00DA4376"/>
    <w:rsid w:val="00DA43A2"/>
    <w:rsid w:val="00DA44FE"/>
    <w:rsid w:val="00DA4667"/>
    <w:rsid w:val="00DA483E"/>
    <w:rsid w:val="00DA4A9D"/>
    <w:rsid w:val="00DA4BC3"/>
    <w:rsid w:val="00DA4BCA"/>
    <w:rsid w:val="00DA4CE4"/>
    <w:rsid w:val="00DA54AC"/>
    <w:rsid w:val="00DA5883"/>
    <w:rsid w:val="00DA5914"/>
    <w:rsid w:val="00DA5AA0"/>
    <w:rsid w:val="00DA5AF4"/>
    <w:rsid w:val="00DA5B9A"/>
    <w:rsid w:val="00DA5D8C"/>
    <w:rsid w:val="00DA5DF1"/>
    <w:rsid w:val="00DA5F1E"/>
    <w:rsid w:val="00DA60B5"/>
    <w:rsid w:val="00DA6357"/>
    <w:rsid w:val="00DA65BB"/>
    <w:rsid w:val="00DA6657"/>
    <w:rsid w:val="00DA6736"/>
    <w:rsid w:val="00DA675D"/>
    <w:rsid w:val="00DA68C0"/>
    <w:rsid w:val="00DA68D6"/>
    <w:rsid w:val="00DA6A0E"/>
    <w:rsid w:val="00DA6A2F"/>
    <w:rsid w:val="00DA6E56"/>
    <w:rsid w:val="00DA7456"/>
    <w:rsid w:val="00DA7480"/>
    <w:rsid w:val="00DA7513"/>
    <w:rsid w:val="00DA7635"/>
    <w:rsid w:val="00DA76F1"/>
    <w:rsid w:val="00DA77F7"/>
    <w:rsid w:val="00DA78C5"/>
    <w:rsid w:val="00DA7943"/>
    <w:rsid w:val="00DA7BA0"/>
    <w:rsid w:val="00DA7D47"/>
    <w:rsid w:val="00DA7E9D"/>
    <w:rsid w:val="00DB00B7"/>
    <w:rsid w:val="00DB00F1"/>
    <w:rsid w:val="00DB0173"/>
    <w:rsid w:val="00DB022E"/>
    <w:rsid w:val="00DB0349"/>
    <w:rsid w:val="00DB0526"/>
    <w:rsid w:val="00DB05EF"/>
    <w:rsid w:val="00DB072A"/>
    <w:rsid w:val="00DB07EF"/>
    <w:rsid w:val="00DB097A"/>
    <w:rsid w:val="00DB0BE0"/>
    <w:rsid w:val="00DB0BEF"/>
    <w:rsid w:val="00DB0DDB"/>
    <w:rsid w:val="00DB0EE2"/>
    <w:rsid w:val="00DB1109"/>
    <w:rsid w:val="00DB1180"/>
    <w:rsid w:val="00DB12A7"/>
    <w:rsid w:val="00DB12FF"/>
    <w:rsid w:val="00DB1335"/>
    <w:rsid w:val="00DB1491"/>
    <w:rsid w:val="00DB15D9"/>
    <w:rsid w:val="00DB1745"/>
    <w:rsid w:val="00DB1BFA"/>
    <w:rsid w:val="00DB1FA3"/>
    <w:rsid w:val="00DB1FB7"/>
    <w:rsid w:val="00DB20CB"/>
    <w:rsid w:val="00DB2272"/>
    <w:rsid w:val="00DB23ED"/>
    <w:rsid w:val="00DB25AC"/>
    <w:rsid w:val="00DB268C"/>
    <w:rsid w:val="00DB2698"/>
    <w:rsid w:val="00DB277C"/>
    <w:rsid w:val="00DB27D1"/>
    <w:rsid w:val="00DB2874"/>
    <w:rsid w:val="00DB2E07"/>
    <w:rsid w:val="00DB30A7"/>
    <w:rsid w:val="00DB373F"/>
    <w:rsid w:val="00DB383E"/>
    <w:rsid w:val="00DB3974"/>
    <w:rsid w:val="00DB3993"/>
    <w:rsid w:val="00DB39B6"/>
    <w:rsid w:val="00DB3AAD"/>
    <w:rsid w:val="00DB3AD1"/>
    <w:rsid w:val="00DB4005"/>
    <w:rsid w:val="00DB4099"/>
    <w:rsid w:val="00DB4123"/>
    <w:rsid w:val="00DB425A"/>
    <w:rsid w:val="00DB427C"/>
    <w:rsid w:val="00DB44FD"/>
    <w:rsid w:val="00DB4833"/>
    <w:rsid w:val="00DB4CD2"/>
    <w:rsid w:val="00DB51C3"/>
    <w:rsid w:val="00DB55EB"/>
    <w:rsid w:val="00DB5690"/>
    <w:rsid w:val="00DB58B9"/>
    <w:rsid w:val="00DB59A7"/>
    <w:rsid w:val="00DB5A8F"/>
    <w:rsid w:val="00DB5B52"/>
    <w:rsid w:val="00DB5BEF"/>
    <w:rsid w:val="00DB5D5D"/>
    <w:rsid w:val="00DB5E0A"/>
    <w:rsid w:val="00DB5F5A"/>
    <w:rsid w:val="00DB62CC"/>
    <w:rsid w:val="00DB6426"/>
    <w:rsid w:val="00DB6619"/>
    <w:rsid w:val="00DB66A6"/>
    <w:rsid w:val="00DB6AEC"/>
    <w:rsid w:val="00DB6BC9"/>
    <w:rsid w:val="00DB6EB8"/>
    <w:rsid w:val="00DB6F06"/>
    <w:rsid w:val="00DB6F27"/>
    <w:rsid w:val="00DB6FC2"/>
    <w:rsid w:val="00DB700E"/>
    <w:rsid w:val="00DB7490"/>
    <w:rsid w:val="00DB763F"/>
    <w:rsid w:val="00DB79DB"/>
    <w:rsid w:val="00DB7BA4"/>
    <w:rsid w:val="00DB7CFB"/>
    <w:rsid w:val="00DB7D0B"/>
    <w:rsid w:val="00DB7D68"/>
    <w:rsid w:val="00DC0042"/>
    <w:rsid w:val="00DC02E7"/>
    <w:rsid w:val="00DC03D0"/>
    <w:rsid w:val="00DC05E6"/>
    <w:rsid w:val="00DC0699"/>
    <w:rsid w:val="00DC095A"/>
    <w:rsid w:val="00DC09FD"/>
    <w:rsid w:val="00DC0AA9"/>
    <w:rsid w:val="00DC0C5D"/>
    <w:rsid w:val="00DC0E01"/>
    <w:rsid w:val="00DC0E65"/>
    <w:rsid w:val="00DC0F3A"/>
    <w:rsid w:val="00DC10C4"/>
    <w:rsid w:val="00DC11D4"/>
    <w:rsid w:val="00DC134B"/>
    <w:rsid w:val="00DC1369"/>
    <w:rsid w:val="00DC14AC"/>
    <w:rsid w:val="00DC1604"/>
    <w:rsid w:val="00DC16F6"/>
    <w:rsid w:val="00DC1706"/>
    <w:rsid w:val="00DC1963"/>
    <w:rsid w:val="00DC1C4A"/>
    <w:rsid w:val="00DC1C51"/>
    <w:rsid w:val="00DC1C98"/>
    <w:rsid w:val="00DC1D14"/>
    <w:rsid w:val="00DC22A1"/>
    <w:rsid w:val="00DC25E7"/>
    <w:rsid w:val="00DC25FF"/>
    <w:rsid w:val="00DC29B4"/>
    <w:rsid w:val="00DC2A07"/>
    <w:rsid w:val="00DC2A6D"/>
    <w:rsid w:val="00DC2BA1"/>
    <w:rsid w:val="00DC2D6B"/>
    <w:rsid w:val="00DC30A9"/>
    <w:rsid w:val="00DC36A4"/>
    <w:rsid w:val="00DC389B"/>
    <w:rsid w:val="00DC3929"/>
    <w:rsid w:val="00DC39C4"/>
    <w:rsid w:val="00DC3A4E"/>
    <w:rsid w:val="00DC3BB8"/>
    <w:rsid w:val="00DC3FBF"/>
    <w:rsid w:val="00DC40C2"/>
    <w:rsid w:val="00DC4188"/>
    <w:rsid w:val="00DC461F"/>
    <w:rsid w:val="00DC468F"/>
    <w:rsid w:val="00DC4759"/>
    <w:rsid w:val="00DC4907"/>
    <w:rsid w:val="00DC4908"/>
    <w:rsid w:val="00DC4E8B"/>
    <w:rsid w:val="00DC4E9A"/>
    <w:rsid w:val="00DC4FAA"/>
    <w:rsid w:val="00DC504B"/>
    <w:rsid w:val="00DC52DB"/>
    <w:rsid w:val="00DC5315"/>
    <w:rsid w:val="00DC5381"/>
    <w:rsid w:val="00DC53CD"/>
    <w:rsid w:val="00DC56B0"/>
    <w:rsid w:val="00DC56F7"/>
    <w:rsid w:val="00DC5F0E"/>
    <w:rsid w:val="00DC5F93"/>
    <w:rsid w:val="00DC6195"/>
    <w:rsid w:val="00DC624C"/>
    <w:rsid w:val="00DC6363"/>
    <w:rsid w:val="00DC6369"/>
    <w:rsid w:val="00DC6636"/>
    <w:rsid w:val="00DC6978"/>
    <w:rsid w:val="00DC734E"/>
    <w:rsid w:val="00DC7485"/>
    <w:rsid w:val="00DC74F6"/>
    <w:rsid w:val="00DC7685"/>
    <w:rsid w:val="00DC76DF"/>
    <w:rsid w:val="00DC78CC"/>
    <w:rsid w:val="00DC78FD"/>
    <w:rsid w:val="00DC793C"/>
    <w:rsid w:val="00DC7955"/>
    <w:rsid w:val="00DC7ACC"/>
    <w:rsid w:val="00DC7CE2"/>
    <w:rsid w:val="00DC7EC2"/>
    <w:rsid w:val="00DC8B1B"/>
    <w:rsid w:val="00DD00FF"/>
    <w:rsid w:val="00DD0203"/>
    <w:rsid w:val="00DD0512"/>
    <w:rsid w:val="00DD05F4"/>
    <w:rsid w:val="00DD065E"/>
    <w:rsid w:val="00DD078B"/>
    <w:rsid w:val="00DD08DA"/>
    <w:rsid w:val="00DD0BD9"/>
    <w:rsid w:val="00DD0BF7"/>
    <w:rsid w:val="00DD0DCB"/>
    <w:rsid w:val="00DD1388"/>
    <w:rsid w:val="00DD13D0"/>
    <w:rsid w:val="00DD1789"/>
    <w:rsid w:val="00DD17A9"/>
    <w:rsid w:val="00DD1F10"/>
    <w:rsid w:val="00DD1F44"/>
    <w:rsid w:val="00DD200C"/>
    <w:rsid w:val="00DD20F2"/>
    <w:rsid w:val="00DD21C6"/>
    <w:rsid w:val="00DD23B8"/>
    <w:rsid w:val="00DD269A"/>
    <w:rsid w:val="00DD29B8"/>
    <w:rsid w:val="00DD2BF9"/>
    <w:rsid w:val="00DD2C80"/>
    <w:rsid w:val="00DD2DAB"/>
    <w:rsid w:val="00DD31C2"/>
    <w:rsid w:val="00DD33F8"/>
    <w:rsid w:val="00DD34B0"/>
    <w:rsid w:val="00DD351F"/>
    <w:rsid w:val="00DD3683"/>
    <w:rsid w:val="00DD36E8"/>
    <w:rsid w:val="00DD371E"/>
    <w:rsid w:val="00DD38A1"/>
    <w:rsid w:val="00DD3954"/>
    <w:rsid w:val="00DD3A3D"/>
    <w:rsid w:val="00DD3B90"/>
    <w:rsid w:val="00DD3CDC"/>
    <w:rsid w:val="00DD3E04"/>
    <w:rsid w:val="00DD3E40"/>
    <w:rsid w:val="00DD410B"/>
    <w:rsid w:val="00DD4227"/>
    <w:rsid w:val="00DD479D"/>
    <w:rsid w:val="00DD4C01"/>
    <w:rsid w:val="00DD4CBB"/>
    <w:rsid w:val="00DD4CD2"/>
    <w:rsid w:val="00DD4D76"/>
    <w:rsid w:val="00DD522F"/>
    <w:rsid w:val="00DD536E"/>
    <w:rsid w:val="00DD5458"/>
    <w:rsid w:val="00DD5758"/>
    <w:rsid w:val="00DD59FA"/>
    <w:rsid w:val="00DD5D4A"/>
    <w:rsid w:val="00DD6119"/>
    <w:rsid w:val="00DD635F"/>
    <w:rsid w:val="00DD6382"/>
    <w:rsid w:val="00DD651F"/>
    <w:rsid w:val="00DD65DC"/>
    <w:rsid w:val="00DD68EE"/>
    <w:rsid w:val="00DD6A97"/>
    <w:rsid w:val="00DD6AEA"/>
    <w:rsid w:val="00DD6B1B"/>
    <w:rsid w:val="00DD6B46"/>
    <w:rsid w:val="00DD6C7F"/>
    <w:rsid w:val="00DD6E5C"/>
    <w:rsid w:val="00DD6F51"/>
    <w:rsid w:val="00DD70B3"/>
    <w:rsid w:val="00DD7159"/>
    <w:rsid w:val="00DD71CA"/>
    <w:rsid w:val="00DD73D4"/>
    <w:rsid w:val="00DD74A4"/>
    <w:rsid w:val="00DD75A9"/>
    <w:rsid w:val="00DD7807"/>
    <w:rsid w:val="00DD789A"/>
    <w:rsid w:val="00DD7948"/>
    <w:rsid w:val="00DD799D"/>
    <w:rsid w:val="00DD7A0C"/>
    <w:rsid w:val="00DD7A5A"/>
    <w:rsid w:val="00DE00DE"/>
    <w:rsid w:val="00DE05EE"/>
    <w:rsid w:val="00DE0622"/>
    <w:rsid w:val="00DE0898"/>
    <w:rsid w:val="00DE092B"/>
    <w:rsid w:val="00DE09B7"/>
    <w:rsid w:val="00DE0B02"/>
    <w:rsid w:val="00DE0E7E"/>
    <w:rsid w:val="00DE0FAB"/>
    <w:rsid w:val="00DE11E3"/>
    <w:rsid w:val="00DE1238"/>
    <w:rsid w:val="00DE1599"/>
    <w:rsid w:val="00DE189C"/>
    <w:rsid w:val="00DE18D5"/>
    <w:rsid w:val="00DE19F1"/>
    <w:rsid w:val="00DE1DD3"/>
    <w:rsid w:val="00DE1FCE"/>
    <w:rsid w:val="00DE2128"/>
    <w:rsid w:val="00DE220D"/>
    <w:rsid w:val="00DE2400"/>
    <w:rsid w:val="00DE245A"/>
    <w:rsid w:val="00DE25FC"/>
    <w:rsid w:val="00DE2640"/>
    <w:rsid w:val="00DE274C"/>
    <w:rsid w:val="00DE2A0B"/>
    <w:rsid w:val="00DE2AD1"/>
    <w:rsid w:val="00DE2B20"/>
    <w:rsid w:val="00DE2B8F"/>
    <w:rsid w:val="00DE2CE8"/>
    <w:rsid w:val="00DE305E"/>
    <w:rsid w:val="00DE30A9"/>
    <w:rsid w:val="00DE30F2"/>
    <w:rsid w:val="00DE35E4"/>
    <w:rsid w:val="00DE38C5"/>
    <w:rsid w:val="00DE397E"/>
    <w:rsid w:val="00DE3C37"/>
    <w:rsid w:val="00DE3C88"/>
    <w:rsid w:val="00DE3D16"/>
    <w:rsid w:val="00DE3E83"/>
    <w:rsid w:val="00DE405B"/>
    <w:rsid w:val="00DE40F9"/>
    <w:rsid w:val="00DE4103"/>
    <w:rsid w:val="00DE4394"/>
    <w:rsid w:val="00DE4469"/>
    <w:rsid w:val="00DE45C7"/>
    <w:rsid w:val="00DE47C6"/>
    <w:rsid w:val="00DE4BD3"/>
    <w:rsid w:val="00DE4CE1"/>
    <w:rsid w:val="00DE5406"/>
    <w:rsid w:val="00DE5423"/>
    <w:rsid w:val="00DE54D8"/>
    <w:rsid w:val="00DE55E3"/>
    <w:rsid w:val="00DE588D"/>
    <w:rsid w:val="00DE5947"/>
    <w:rsid w:val="00DE5CCB"/>
    <w:rsid w:val="00DE605F"/>
    <w:rsid w:val="00DE63BB"/>
    <w:rsid w:val="00DE6440"/>
    <w:rsid w:val="00DE648C"/>
    <w:rsid w:val="00DE64E7"/>
    <w:rsid w:val="00DE6A0F"/>
    <w:rsid w:val="00DE6D4E"/>
    <w:rsid w:val="00DE6F39"/>
    <w:rsid w:val="00DE7084"/>
    <w:rsid w:val="00DE70CC"/>
    <w:rsid w:val="00DE710E"/>
    <w:rsid w:val="00DE7187"/>
    <w:rsid w:val="00DE71E0"/>
    <w:rsid w:val="00DE74F0"/>
    <w:rsid w:val="00DE7662"/>
    <w:rsid w:val="00DE7754"/>
    <w:rsid w:val="00DE77FF"/>
    <w:rsid w:val="00DE797D"/>
    <w:rsid w:val="00DE79C9"/>
    <w:rsid w:val="00DE7D5F"/>
    <w:rsid w:val="00DE7E3C"/>
    <w:rsid w:val="00DE7FF3"/>
    <w:rsid w:val="00DF0185"/>
    <w:rsid w:val="00DF025B"/>
    <w:rsid w:val="00DF02D5"/>
    <w:rsid w:val="00DF05AC"/>
    <w:rsid w:val="00DF08D1"/>
    <w:rsid w:val="00DF092D"/>
    <w:rsid w:val="00DF09E7"/>
    <w:rsid w:val="00DF0A64"/>
    <w:rsid w:val="00DF0AA3"/>
    <w:rsid w:val="00DF0B24"/>
    <w:rsid w:val="00DF0B8F"/>
    <w:rsid w:val="00DF0C0A"/>
    <w:rsid w:val="00DF0C13"/>
    <w:rsid w:val="00DF0E3B"/>
    <w:rsid w:val="00DF0E65"/>
    <w:rsid w:val="00DF0E77"/>
    <w:rsid w:val="00DF0F12"/>
    <w:rsid w:val="00DF103F"/>
    <w:rsid w:val="00DF1083"/>
    <w:rsid w:val="00DF10DD"/>
    <w:rsid w:val="00DF113B"/>
    <w:rsid w:val="00DF14E2"/>
    <w:rsid w:val="00DF1512"/>
    <w:rsid w:val="00DF1579"/>
    <w:rsid w:val="00DF1596"/>
    <w:rsid w:val="00DF15CD"/>
    <w:rsid w:val="00DF16BF"/>
    <w:rsid w:val="00DF1841"/>
    <w:rsid w:val="00DF1A2E"/>
    <w:rsid w:val="00DF1A8E"/>
    <w:rsid w:val="00DF203F"/>
    <w:rsid w:val="00DF2094"/>
    <w:rsid w:val="00DF2317"/>
    <w:rsid w:val="00DF2485"/>
    <w:rsid w:val="00DF25B3"/>
    <w:rsid w:val="00DF2C6B"/>
    <w:rsid w:val="00DF3027"/>
    <w:rsid w:val="00DF3280"/>
    <w:rsid w:val="00DF3876"/>
    <w:rsid w:val="00DF38F6"/>
    <w:rsid w:val="00DF398B"/>
    <w:rsid w:val="00DF3CFB"/>
    <w:rsid w:val="00DF3E3B"/>
    <w:rsid w:val="00DF402A"/>
    <w:rsid w:val="00DF4068"/>
    <w:rsid w:val="00DF40E6"/>
    <w:rsid w:val="00DF4170"/>
    <w:rsid w:val="00DF4245"/>
    <w:rsid w:val="00DF428D"/>
    <w:rsid w:val="00DF46D8"/>
    <w:rsid w:val="00DF4831"/>
    <w:rsid w:val="00DF4923"/>
    <w:rsid w:val="00DF4AC7"/>
    <w:rsid w:val="00DF4CD5"/>
    <w:rsid w:val="00DF5241"/>
    <w:rsid w:val="00DF54FD"/>
    <w:rsid w:val="00DF560B"/>
    <w:rsid w:val="00DF57C9"/>
    <w:rsid w:val="00DF5E71"/>
    <w:rsid w:val="00DF6074"/>
    <w:rsid w:val="00DF6336"/>
    <w:rsid w:val="00DF6356"/>
    <w:rsid w:val="00DF6462"/>
    <w:rsid w:val="00DF6800"/>
    <w:rsid w:val="00DF6883"/>
    <w:rsid w:val="00DF6973"/>
    <w:rsid w:val="00DF6A68"/>
    <w:rsid w:val="00DF6B45"/>
    <w:rsid w:val="00DF6C38"/>
    <w:rsid w:val="00DF6E99"/>
    <w:rsid w:val="00DF6EEE"/>
    <w:rsid w:val="00DF705C"/>
    <w:rsid w:val="00DF730B"/>
    <w:rsid w:val="00DF74CC"/>
    <w:rsid w:val="00DF7A04"/>
    <w:rsid w:val="00DF7C2D"/>
    <w:rsid w:val="00E006DE"/>
    <w:rsid w:val="00E00BD5"/>
    <w:rsid w:val="00E00BDA"/>
    <w:rsid w:val="00E00E2D"/>
    <w:rsid w:val="00E0108B"/>
    <w:rsid w:val="00E013B8"/>
    <w:rsid w:val="00E0160D"/>
    <w:rsid w:val="00E01A97"/>
    <w:rsid w:val="00E01D74"/>
    <w:rsid w:val="00E01E13"/>
    <w:rsid w:val="00E0203C"/>
    <w:rsid w:val="00E02086"/>
    <w:rsid w:val="00E0213C"/>
    <w:rsid w:val="00E021F1"/>
    <w:rsid w:val="00E02631"/>
    <w:rsid w:val="00E02764"/>
    <w:rsid w:val="00E02773"/>
    <w:rsid w:val="00E02B1B"/>
    <w:rsid w:val="00E02B43"/>
    <w:rsid w:val="00E02B5D"/>
    <w:rsid w:val="00E02BB7"/>
    <w:rsid w:val="00E02CFD"/>
    <w:rsid w:val="00E02D5C"/>
    <w:rsid w:val="00E02E4C"/>
    <w:rsid w:val="00E02E59"/>
    <w:rsid w:val="00E03299"/>
    <w:rsid w:val="00E03320"/>
    <w:rsid w:val="00E03404"/>
    <w:rsid w:val="00E0342F"/>
    <w:rsid w:val="00E034AC"/>
    <w:rsid w:val="00E03590"/>
    <w:rsid w:val="00E0360B"/>
    <w:rsid w:val="00E03657"/>
    <w:rsid w:val="00E03694"/>
    <w:rsid w:val="00E0370F"/>
    <w:rsid w:val="00E037AE"/>
    <w:rsid w:val="00E0388F"/>
    <w:rsid w:val="00E03C22"/>
    <w:rsid w:val="00E03DA1"/>
    <w:rsid w:val="00E04083"/>
    <w:rsid w:val="00E04507"/>
    <w:rsid w:val="00E045E7"/>
    <w:rsid w:val="00E047BF"/>
    <w:rsid w:val="00E04A63"/>
    <w:rsid w:val="00E04C77"/>
    <w:rsid w:val="00E04EAB"/>
    <w:rsid w:val="00E04F14"/>
    <w:rsid w:val="00E05054"/>
    <w:rsid w:val="00E050BE"/>
    <w:rsid w:val="00E05381"/>
    <w:rsid w:val="00E054A4"/>
    <w:rsid w:val="00E0557D"/>
    <w:rsid w:val="00E0558E"/>
    <w:rsid w:val="00E056DD"/>
    <w:rsid w:val="00E05864"/>
    <w:rsid w:val="00E05D34"/>
    <w:rsid w:val="00E05F9E"/>
    <w:rsid w:val="00E061BD"/>
    <w:rsid w:val="00E063DB"/>
    <w:rsid w:val="00E06610"/>
    <w:rsid w:val="00E06856"/>
    <w:rsid w:val="00E06891"/>
    <w:rsid w:val="00E068A0"/>
    <w:rsid w:val="00E06AEF"/>
    <w:rsid w:val="00E06BC6"/>
    <w:rsid w:val="00E06C46"/>
    <w:rsid w:val="00E06DC7"/>
    <w:rsid w:val="00E071D1"/>
    <w:rsid w:val="00E0728D"/>
    <w:rsid w:val="00E07403"/>
    <w:rsid w:val="00E07576"/>
    <w:rsid w:val="00E07807"/>
    <w:rsid w:val="00E07E68"/>
    <w:rsid w:val="00E07F66"/>
    <w:rsid w:val="00E101A2"/>
    <w:rsid w:val="00E10552"/>
    <w:rsid w:val="00E106B8"/>
    <w:rsid w:val="00E106DD"/>
    <w:rsid w:val="00E10753"/>
    <w:rsid w:val="00E10A67"/>
    <w:rsid w:val="00E10AAC"/>
    <w:rsid w:val="00E10D61"/>
    <w:rsid w:val="00E10ECF"/>
    <w:rsid w:val="00E112D2"/>
    <w:rsid w:val="00E1150B"/>
    <w:rsid w:val="00E115D2"/>
    <w:rsid w:val="00E116A4"/>
    <w:rsid w:val="00E1174B"/>
    <w:rsid w:val="00E1181B"/>
    <w:rsid w:val="00E11932"/>
    <w:rsid w:val="00E11976"/>
    <w:rsid w:val="00E11A1D"/>
    <w:rsid w:val="00E11AFB"/>
    <w:rsid w:val="00E11C71"/>
    <w:rsid w:val="00E11CD9"/>
    <w:rsid w:val="00E11E4A"/>
    <w:rsid w:val="00E11F63"/>
    <w:rsid w:val="00E12142"/>
    <w:rsid w:val="00E12696"/>
    <w:rsid w:val="00E126AA"/>
    <w:rsid w:val="00E12722"/>
    <w:rsid w:val="00E128A4"/>
    <w:rsid w:val="00E12CD9"/>
    <w:rsid w:val="00E1305A"/>
    <w:rsid w:val="00E134A6"/>
    <w:rsid w:val="00E13531"/>
    <w:rsid w:val="00E135E4"/>
    <w:rsid w:val="00E1385F"/>
    <w:rsid w:val="00E13BFB"/>
    <w:rsid w:val="00E13EA4"/>
    <w:rsid w:val="00E13FE4"/>
    <w:rsid w:val="00E141C5"/>
    <w:rsid w:val="00E14276"/>
    <w:rsid w:val="00E1435C"/>
    <w:rsid w:val="00E144DE"/>
    <w:rsid w:val="00E145AF"/>
    <w:rsid w:val="00E146B0"/>
    <w:rsid w:val="00E14844"/>
    <w:rsid w:val="00E149CE"/>
    <w:rsid w:val="00E15357"/>
    <w:rsid w:val="00E153C9"/>
    <w:rsid w:val="00E15473"/>
    <w:rsid w:val="00E154F8"/>
    <w:rsid w:val="00E15EC4"/>
    <w:rsid w:val="00E15F4F"/>
    <w:rsid w:val="00E15FAB"/>
    <w:rsid w:val="00E1614A"/>
    <w:rsid w:val="00E16321"/>
    <w:rsid w:val="00E164D1"/>
    <w:rsid w:val="00E166BB"/>
    <w:rsid w:val="00E1683B"/>
    <w:rsid w:val="00E16867"/>
    <w:rsid w:val="00E16BFE"/>
    <w:rsid w:val="00E16DED"/>
    <w:rsid w:val="00E16F60"/>
    <w:rsid w:val="00E16FCE"/>
    <w:rsid w:val="00E17094"/>
    <w:rsid w:val="00E17487"/>
    <w:rsid w:val="00E175F8"/>
    <w:rsid w:val="00E17824"/>
    <w:rsid w:val="00E17BCD"/>
    <w:rsid w:val="00E17C0C"/>
    <w:rsid w:val="00E17D95"/>
    <w:rsid w:val="00E17DA2"/>
    <w:rsid w:val="00E17E67"/>
    <w:rsid w:val="00E17F57"/>
    <w:rsid w:val="00E200BB"/>
    <w:rsid w:val="00E202AE"/>
    <w:rsid w:val="00E2046D"/>
    <w:rsid w:val="00E2050A"/>
    <w:rsid w:val="00E2051E"/>
    <w:rsid w:val="00E208E9"/>
    <w:rsid w:val="00E209A5"/>
    <w:rsid w:val="00E209ED"/>
    <w:rsid w:val="00E20A3D"/>
    <w:rsid w:val="00E20AEC"/>
    <w:rsid w:val="00E20FFB"/>
    <w:rsid w:val="00E2126A"/>
    <w:rsid w:val="00E2140E"/>
    <w:rsid w:val="00E2158F"/>
    <w:rsid w:val="00E217E1"/>
    <w:rsid w:val="00E21AA7"/>
    <w:rsid w:val="00E21E4F"/>
    <w:rsid w:val="00E21EA4"/>
    <w:rsid w:val="00E22137"/>
    <w:rsid w:val="00E2230A"/>
    <w:rsid w:val="00E2240E"/>
    <w:rsid w:val="00E225E4"/>
    <w:rsid w:val="00E2261D"/>
    <w:rsid w:val="00E22A68"/>
    <w:rsid w:val="00E22D33"/>
    <w:rsid w:val="00E22E93"/>
    <w:rsid w:val="00E2301E"/>
    <w:rsid w:val="00E2307D"/>
    <w:rsid w:val="00E231EA"/>
    <w:rsid w:val="00E2331C"/>
    <w:rsid w:val="00E23420"/>
    <w:rsid w:val="00E234A2"/>
    <w:rsid w:val="00E236C9"/>
    <w:rsid w:val="00E239FD"/>
    <w:rsid w:val="00E23AE0"/>
    <w:rsid w:val="00E23C1A"/>
    <w:rsid w:val="00E23CF0"/>
    <w:rsid w:val="00E23D0D"/>
    <w:rsid w:val="00E23D2E"/>
    <w:rsid w:val="00E23D97"/>
    <w:rsid w:val="00E2418B"/>
    <w:rsid w:val="00E241CE"/>
    <w:rsid w:val="00E24261"/>
    <w:rsid w:val="00E243CB"/>
    <w:rsid w:val="00E24451"/>
    <w:rsid w:val="00E2449F"/>
    <w:rsid w:val="00E246F4"/>
    <w:rsid w:val="00E24759"/>
    <w:rsid w:val="00E24AC6"/>
    <w:rsid w:val="00E24B76"/>
    <w:rsid w:val="00E24CE0"/>
    <w:rsid w:val="00E24FD5"/>
    <w:rsid w:val="00E25250"/>
    <w:rsid w:val="00E2540C"/>
    <w:rsid w:val="00E25606"/>
    <w:rsid w:val="00E25A4A"/>
    <w:rsid w:val="00E25C27"/>
    <w:rsid w:val="00E25C3F"/>
    <w:rsid w:val="00E260C8"/>
    <w:rsid w:val="00E26137"/>
    <w:rsid w:val="00E262D9"/>
    <w:rsid w:val="00E26386"/>
    <w:rsid w:val="00E2643F"/>
    <w:rsid w:val="00E268FB"/>
    <w:rsid w:val="00E26914"/>
    <w:rsid w:val="00E269F1"/>
    <w:rsid w:val="00E26A1B"/>
    <w:rsid w:val="00E26D78"/>
    <w:rsid w:val="00E26EA4"/>
    <w:rsid w:val="00E26FDF"/>
    <w:rsid w:val="00E2707A"/>
    <w:rsid w:val="00E271A5"/>
    <w:rsid w:val="00E271C6"/>
    <w:rsid w:val="00E272F4"/>
    <w:rsid w:val="00E27467"/>
    <w:rsid w:val="00E27490"/>
    <w:rsid w:val="00E2758E"/>
    <w:rsid w:val="00E2769B"/>
    <w:rsid w:val="00E27998"/>
    <w:rsid w:val="00E27A73"/>
    <w:rsid w:val="00E27B56"/>
    <w:rsid w:val="00E27C5A"/>
    <w:rsid w:val="00E27D8A"/>
    <w:rsid w:val="00E27E93"/>
    <w:rsid w:val="00E27F6C"/>
    <w:rsid w:val="00E30022"/>
    <w:rsid w:val="00E30284"/>
    <w:rsid w:val="00E30B01"/>
    <w:rsid w:val="00E30B70"/>
    <w:rsid w:val="00E30B8B"/>
    <w:rsid w:val="00E30BE3"/>
    <w:rsid w:val="00E30D6D"/>
    <w:rsid w:val="00E31067"/>
    <w:rsid w:val="00E31175"/>
    <w:rsid w:val="00E31178"/>
    <w:rsid w:val="00E312F5"/>
    <w:rsid w:val="00E315E2"/>
    <w:rsid w:val="00E316B5"/>
    <w:rsid w:val="00E31709"/>
    <w:rsid w:val="00E3185B"/>
    <w:rsid w:val="00E3185D"/>
    <w:rsid w:val="00E32003"/>
    <w:rsid w:val="00E32145"/>
    <w:rsid w:val="00E3239A"/>
    <w:rsid w:val="00E325CC"/>
    <w:rsid w:val="00E326DA"/>
    <w:rsid w:val="00E3299B"/>
    <w:rsid w:val="00E32CC5"/>
    <w:rsid w:val="00E32E0F"/>
    <w:rsid w:val="00E32EB1"/>
    <w:rsid w:val="00E33196"/>
    <w:rsid w:val="00E331DE"/>
    <w:rsid w:val="00E33204"/>
    <w:rsid w:val="00E332B8"/>
    <w:rsid w:val="00E3370C"/>
    <w:rsid w:val="00E338A4"/>
    <w:rsid w:val="00E339EC"/>
    <w:rsid w:val="00E339FE"/>
    <w:rsid w:val="00E33B04"/>
    <w:rsid w:val="00E33C94"/>
    <w:rsid w:val="00E33CA7"/>
    <w:rsid w:val="00E33D2F"/>
    <w:rsid w:val="00E340D6"/>
    <w:rsid w:val="00E3462A"/>
    <w:rsid w:val="00E3468D"/>
    <w:rsid w:val="00E347F2"/>
    <w:rsid w:val="00E34DE0"/>
    <w:rsid w:val="00E34F62"/>
    <w:rsid w:val="00E34FBD"/>
    <w:rsid w:val="00E350CB"/>
    <w:rsid w:val="00E3515C"/>
    <w:rsid w:val="00E354E6"/>
    <w:rsid w:val="00E35540"/>
    <w:rsid w:val="00E35719"/>
    <w:rsid w:val="00E3575C"/>
    <w:rsid w:val="00E3581E"/>
    <w:rsid w:val="00E35C20"/>
    <w:rsid w:val="00E35D21"/>
    <w:rsid w:val="00E35D8B"/>
    <w:rsid w:val="00E35F61"/>
    <w:rsid w:val="00E36000"/>
    <w:rsid w:val="00E36299"/>
    <w:rsid w:val="00E366DC"/>
    <w:rsid w:val="00E3681D"/>
    <w:rsid w:val="00E3681F"/>
    <w:rsid w:val="00E36864"/>
    <w:rsid w:val="00E3690C"/>
    <w:rsid w:val="00E369EB"/>
    <w:rsid w:val="00E36AC5"/>
    <w:rsid w:val="00E36AD0"/>
    <w:rsid w:val="00E36B10"/>
    <w:rsid w:val="00E36C81"/>
    <w:rsid w:val="00E36FEE"/>
    <w:rsid w:val="00E37031"/>
    <w:rsid w:val="00E3705A"/>
    <w:rsid w:val="00E3707B"/>
    <w:rsid w:val="00E37156"/>
    <w:rsid w:val="00E37447"/>
    <w:rsid w:val="00E375BC"/>
    <w:rsid w:val="00E375DB"/>
    <w:rsid w:val="00E37635"/>
    <w:rsid w:val="00E378D3"/>
    <w:rsid w:val="00E379A6"/>
    <w:rsid w:val="00E37A22"/>
    <w:rsid w:val="00E37F33"/>
    <w:rsid w:val="00E402B2"/>
    <w:rsid w:val="00E40475"/>
    <w:rsid w:val="00E40562"/>
    <w:rsid w:val="00E406B3"/>
    <w:rsid w:val="00E4082D"/>
    <w:rsid w:val="00E40AD0"/>
    <w:rsid w:val="00E40C53"/>
    <w:rsid w:val="00E40C9F"/>
    <w:rsid w:val="00E40D27"/>
    <w:rsid w:val="00E40D56"/>
    <w:rsid w:val="00E40F19"/>
    <w:rsid w:val="00E411AC"/>
    <w:rsid w:val="00E413A5"/>
    <w:rsid w:val="00E417A4"/>
    <w:rsid w:val="00E417D7"/>
    <w:rsid w:val="00E41836"/>
    <w:rsid w:val="00E41923"/>
    <w:rsid w:val="00E41CEA"/>
    <w:rsid w:val="00E41D80"/>
    <w:rsid w:val="00E41F88"/>
    <w:rsid w:val="00E4244E"/>
    <w:rsid w:val="00E4262A"/>
    <w:rsid w:val="00E42731"/>
    <w:rsid w:val="00E42745"/>
    <w:rsid w:val="00E42954"/>
    <w:rsid w:val="00E42A9C"/>
    <w:rsid w:val="00E42AF3"/>
    <w:rsid w:val="00E42B1E"/>
    <w:rsid w:val="00E42B8F"/>
    <w:rsid w:val="00E42E80"/>
    <w:rsid w:val="00E42F46"/>
    <w:rsid w:val="00E42F80"/>
    <w:rsid w:val="00E430EC"/>
    <w:rsid w:val="00E43147"/>
    <w:rsid w:val="00E43219"/>
    <w:rsid w:val="00E434BA"/>
    <w:rsid w:val="00E4354B"/>
    <w:rsid w:val="00E436E4"/>
    <w:rsid w:val="00E4393F"/>
    <w:rsid w:val="00E43972"/>
    <w:rsid w:val="00E439C6"/>
    <w:rsid w:val="00E43C49"/>
    <w:rsid w:val="00E43C7D"/>
    <w:rsid w:val="00E43F2F"/>
    <w:rsid w:val="00E43F4A"/>
    <w:rsid w:val="00E43F52"/>
    <w:rsid w:val="00E44268"/>
    <w:rsid w:val="00E4429D"/>
    <w:rsid w:val="00E442BC"/>
    <w:rsid w:val="00E442F3"/>
    <w:rsid w:val="00E4451E"/>
    <w:rsid w:val="00E44624"/>
    <w:rsid w:val="00E44625"/>
    <w:rsid w:val="00E4469F"/>
    <w:rsid w:val="00E446D9"/>
    <w:rsid w:val="00E44869"/>
    <w:rsid w:val="00E4494F"/>
    <w:rsid w:val="00E44994"/>
    <w:rsid w:val="00E44AEF"/>
    <w:rsid w:val="00E44D97"/>
    <w:rsid w:val="00E44DAA"/>
    <w:rsid w:val="00E44F1D"/>
    <w:rsid w:val="00E45043"/>
    <w:rsid w:val="00E453D1"/>
    <w:rsid w:val="00E454A6"/>
    <w:rsid w:val="00E4558D"/>
    <w:rsid w:val="00E457BB"/>
    <w:rsid w:val="00E459FA"/>
    <w:rsid w:val="00E45A9A"/>
    <w:rsid w:val="00E45E96"/>
    <w:rsid w:val="00E46092"/>
    <w:rsid w:val="00E4661F"/>
    <w:rsid w:val="00E4668A"/>
    <w:rsid w:val="00E46990"/>
    <w:rsid w:val="00E46AC0"/>
    <w:rsid w:val="00E46F29"/>
    <w:rsid w:val="00E4706E"/>
    <w:rsid w:val="00E471B5"/>
    <w:rsid w:val="00E4724F"/>
    <w:rsid w:val="00E47335"/>
    <w:rsid w:val="00E47501"/>
    <w:rsid w:val="00E47B40"/>
    <w:rsid w:val="00E47C88"/>
    <w:rsid w:val="00E47DA4"/>
    <w:rsid w:val="00E47E8C"/>
    <w:rsid w:val="00E47EE0"/>
    <w:rsid w:val="00E47F62"/>
    <w:rsid w:val="00E50152"/>
    <w:rsid w:val="00E5041A"/>
    <w:rsid w:val="00E506C6"/>
    <w:rsid w:val="00E506DD"/>
    <w:rsid w:val="00E5070A"/>
    <w:rsid w:val="00E509A6"/>
    <w:rsid w:val="00E50B3B"/>
    <w:rsid w:val="00E50BA5"/>
    <w:rsid w:val="00E50DDC"/>
    <w:rsid w:val="00E50EC0"/>
    <w:rsid w:val="00E50F53"/>
    <w:rsid w:val="00E50FD1"/>
    <w:rsid w:val="00E512A1"/>
    <w:rsid w:val="00E5134D"/>
    <w:rsid w:val="00E5163D"/>
    <w:rsid w:val="00E516F2"/>
    <w:rsid w:val="00E5187B"/>
    <w:rsid w:val="00E519DF"/>
    <w:rsid w:val="00E51CC2"/>
    <w:rsid w:val="00E520E9"/>
    <w:rsid w:val="00E52150"/>
    <w:rsid w:val="00E52194"/>
    <w:rsid w:val="00E5254D"/>
    <w:rsid w:val="00E52E33"/>
    <w:rsid w:val="00E52E79"/>
    <w:rsid w:val="00E52EE3"/>
    <w:rsid w:val="00E52F02"/>
    <w:rsid w:val="00E5318C"/>
    <w:rsid w:val="00E533F6"/>
    <w:rsid w:val="00E53557"/>
    <w:rsid w:val="00E53648"/>
    <w:rsid w:val="00E5384C"/>
    <w:rsid w:val="00E53967"/>
    <w:rsid w:val="00E5398C"/>
    <w:rsid w:val="00E5399C"/>
    <w:rsid w:val="00E539F3"/>
    <w:rsid w:val="00E53BED"/>
    <w:rsid w:val="00E53C22"/>
    <w:rsid w:val="00E53C9D"/>
    <w:rsid w:val="00E53CAE"/>
    <w:rsid w:val="00E53F85"/>
    <w:rsid w:val="00E542CC"/>
    <w:rsid w:val="00E5439A"/>
    <w:rsid w:val="00E545E7"/>
    <w:rsid w:val="00E547E9"/>
    <w:rsid w:val="00E54A03"/>
    <w:rsid w:val="00E54A37"/>
    <w:rsid w:val="00E54C0E"/>
    <w:rsid w:val="00E54CED"/>
    <w:rsid w:val="00E54D29"/>
    <w:rsid w:val="00E54E22"/>
    <w:rsid w:val="00E54E2A"/>
    <w:rsid w:val="00E54E92"/>
    <w:rsid w:val="00E550AD"/>
    <w:rsid w:val="00E551F7"/>
    <w:rsid w:val="00E55286"/>
    <w:rsid w:val="00E552BA"/>
    <w:rsid w:val="00E553FC"/>
    <w:rsid w:val="00E5551C"/>
    <w:rsid w:val="00E555D8"/>
    <w:rsid w:val="00E55621"/>
    <w:rsid w:val="00E55988"/>
    <w:rsid w:val="00E55A33"/>
    <w:rsid w:val="00E55B96"/>
    <w:rsid w:val="00E55E7F"/>
    <w:rsid w:val="00E563A3"/>
    <w:rsid w:val="00E56415"/>
    <w:rsid w:val="00E56951"/>
    <w:rsid w:val="00E5695D"/>
    <w:rsid w:val="00E569D4"/>
    <w:rsid w:val="00E56C18"/>
    <w:rsid w:val="00E56F7F"/>
    <w:rsid w:val="00E57269"/>
    <w:rsid w:val="00E5740F"/>
    <w:rsid w:val="00E574B2"/>
    <w:rsid w:val="00E574BE"/>
    <w:rsid w:val="00E575AB"/>
    <w:rsid w:val="00E57618"/>
    <w:rsid w:val="00E57661"/>
    <w:rsid w:val="00E57665"/>
    <w:rsid w:val="00E576D3"/>
    <w:rsid w:val="00E578D1"/>
    <w:rsid w:val="00E5792E"/>
    <w:rsid w:val="00E57B77"/>
    <w:rsid w:val="00E57BD8"/>
    <w:rsid w:val="00E57E62"/>
    <w:rsid w:val="00E57EC0"/>
    <w:rsid w:val="00E57EF0"/>
    <w:rsid w:val="00E60099"/>
    <w:rsid w:val="00E6013A"/>
    <w:rsid w:val="00E6017C"/>
    <w:rsid w:val="00E60273"/>
    <w:rsid w:val="00E6037C"/>
    <w:rsid w:val="00E60650"/>
    <w:rsid w:val="00E60729"/>
    <w:rsid w:val="00E6079E"/>
    <w:rsid w:val="00E6086C"/>
    <w:rsid w:val="00E608BF"/>
    <w:rsid w:val="00E6093C"/>
    <w:rsid w:val="00E60E14"/>
    <w:rsid w:val="00E60EB0"/>
    <w:rsid w:val="00E60F2F"/>
    <w:rsid w:val="00E612AC"/>
    <w:rsid w:val="00E615E9"/>
    <w:rsid w:val="00E61701"/>
    <w:rsid w:val="00E61839"/>
    <w:rsid w:val="00E620F9"/>
    <w:rsid w:val="00E62291"/>
    <w:rsid w:val="00E623A1"/>
    <w:rsid w:val="00E62500"/>
    <w:rsid w:val="00E62737"/>
    <w:rsid w:val="00E6273B"/>
    <w:rsid w:val="00E62C1A"/>
    <w:rsid w:val="00E62D11"/>
    <w:rsid w:val="00E62D3F"/>
    <w:rsid w:val="00E62D42"/>
    <w:rsid w:val="00E62D9E"/>
    <w:rsid w:val="00E62F19"/>
    <w:rsid w:val="00E63064"/>
    <w:rsid w:val="00E63398"/>
    <w:rsid w:val="00E633C2"/>
    <w:rsid w:val="00E633E0"/>
    <w:rsid w:val="00E634FE"/>
    <w:rsid w:val="00E636EC"/>
    <w:rsid w:val="00E637A8"/>
    <w:rsid w:val="00E639E7"/>
    <w:rsid w:val="00E63D10"/>
    <w:rsid w:val="00E63D8F"/>
    <w:rsid w:val="00E63E1F"/>
    <w:rsid w:val="00E641BE"/>
    <w:rsid w:val="00E6425C"/>
    <w:rsid w:val="00E643EE"/>
    <w:rsid w:val="00E643FC"/>
    <w:rsid w:val="00E644AC"/>
    <w:rsid w:val="00E647EF"/>
    <w:rsid w:val="00E647F9"/>
    <w:rsid w:val="00E6481A"/>
    <w:rsid w:val="00E64826"/>
    <w:rsid w:val="00E648D8"/>
    <w:rsid w:val="00E64963"/>
    <w:rsid w:val="00E649ED"/>
    <w:rsid w:val="00E64D10"/>
    <w:rsid w:val="00E64EA9"/>
    <w:rsid w:val="00E650D7"/>
    <w:rsid w:val="00E65227"/>
    <w:rsid w:val="00E657CD"/>
    <w:rsid w:val="00E658D1"/>
    <w:rsid w:val="00E658E9"/>
    <w:rsid w:val="00E65C85"/>
    <w:rsid w:val="00E65D0F"/>
    <w:rsid w:val="00E65D33"/>
    <w:rsid w:val="00E65D97"/>
    <w:rsid w:val="00E65FFA"/>
    <w:rsid w:val="00E6603F"/>
    <w:rsid w:val="00E66044"/>
    <w:rsid w:val="00E660AE"/>
    <w:rsid w:val="00E66153"/>
    <w:rsid w:val="00E6615F"/>
    <w:rsid w:val="00E663CF"/>
    <w:rsid w:val="00E664E5"/>
    <w:rsid w:val="00E66591"/>
    <w:rsid w:val="00E6673A"/>
    <w:rsid w:val="00E66741"/>
    <w:rsid w:val="00E669EA"/>
    <w:rsid w:val="00E66A92"/>
    <w:rsid w:val="00E66AE3"/>
    <w:rsid w:val="00E66EEE"/>
    <w:rsid w:val="00E67025"/>
    <w:rsid w:val="00E67094"/>
    <w:rsid w:val="00E672C6"/>
    <w:rsid w:val="00E67310"/>
    <w:rsid w:val="00E67327"/>
    <w:rsid w:val="00E6736E"/>
    <w:rsid w:val="00E67413"/>
    <w:rsid w:val="00E67650"/>
    <w:rsid w:val="00E676C6"/>
    <w:rsid w:val="00E67752"/>
    <w:rsid w:val="00E67980"/>
    <w:rsid w:val="00E67A11"/>
    <w:rsid w:val="00E67AF6"/>
    <w:rsid w:val="00E67BBE"/>
    <w:rsid w:val="00E67CD5"/>
    <w:rsid w:val="00E67E42"/>
    <w:rsid w:val="00E67E91"/>
    <w:rsid w:val="00E67EA6"/>
    <w:rsid w:val="00E67F85"/>
    <w:rsid w:val="00E7002F"/>
    <w:rsid w:val="00E70569"/>
    <w:rsid w:val="00E70591"/>
    <w:rsid w:val="00E705FF"/>
    <w:rsid w:val="00E70761"/>
    <w:rsid w:val="00E7081C"/>
    <w:rsid w:val="00E70826"/>
    <w:rsid w:val="00E70988"/>
    <w:rsid w:val="00E709AE"/>
    <w:rsid w:val="00E70A23"/>
    <w:rsid w:val="00E70A59"/>
    <w:rsid w:val="00E70BB7"/>
    <w:rsid w:val="00E70BC0"/>
    <w:rsid w:val="00E70ECF"/>
    <w:rsid w:val="00E70F97"/>
    <w:rsid w:val="00E710A6"/>
    <w:rsid w:val="00E7135D"/>
    <w:rsid w:val="00E7183A"/>
    <w:rsid w:val="00E718B1"/>
    <w:rsid w:val="00E719B8"/>
    <w:rsid w:val="00E71B02"/>
    <w:rsid w:val="00E71C67"/>
    <w:rsid w:val="00E7206B"/>
    <w:rsid w:val="00E72129"/>
    <w:rsid w:val="00E72594"/>
    <w:rsid w:val="00E725AF"/>
    <w:rsid w:val="00E72618"/>
    <w:rsid w:val="00E7264A"/>
    <w:rsid w:val="00E7290C"/>
    <w:rsid w:val="00E72A72"/>
    <w:rsid w:val="00E72AC2"/>
    <w:rsid w:val="00E72DB5"/>
    <w:rsid w:val="00E72F47"/>
    <w:rsid w:val="00E73203"/>
    <w:rsid w:val="00E7328D"/>
    <w:rsid w:val="00E73417"/>
    <w:rsid w:val="00E734EE"/>
    <w:rsid w:val="00E73796"/>
    <w:rsid w:val="00E7385C"/>
    <w:rsid w:val="00E73868"/>
    <w:rsid w:val="00E739E8"/>
    <w:rsid w:val="00E73D3F"/>
    <w:rsid w:val="00E73D90"/>
    <w:rsid w:val="00E73E83"/>
    <w:rsid w:val="00E73EA1"/>
    <w:rsid w:val="00E73F57"/>
    <w:rsid w:val="00E74291"/>
    <w:rsid w:val="00E744A3"/>
    <w:rsid w:val="00E74552"/>
    <w:rsid w:val="00E745C5"/>
    <w:rsid w:val="00E74779"/>
    <w:rsid w:val="00E74A1A"/>
    <w:rsid w:val="00E74AA1"/>
    <w:rsid w:val="00E74AA3"/>
    <w:rsid w:val="00E75032"/>
    <w:rsid w:val="00E75070"/>
    <w:rsid w:val="00E751C6"/>
    <w:rsid w:val="00E752C0"/>
    <w:rsid w:val="00E75374"/>
    <w:rsid w:val="00E75490"/>
    <w:rsid w:val="00E7555E"/>
    <w:rsid w:val="00E75782"/>
    <w:rsid w:val="00E75AC8"/>
    <w:rsid w:val="00E75F2F"/>
    <w:rsid w:val="00E76002"/>
    <w:rsid w:val="00E761A7"/>
    <w:rsid w:val="00E761F6"/>
    <w:rsid w:val="00E76664"/>
    <w:rsid w:val="00E7688D"/>
    <w:rsid w:val="00E76A31"/>
    <w:rsid w:val="00E76C66"/>
    <w:rsid w:val="00E76D36"/>
    <w:rsid w:val="00E76DEA"/>
    <w:rsid w:val="00E76EFD"/>
    <w:rsid w:val="00E76F0A"/>
    <w:rsid w:val="00E77129"/>
    <w:rsid w:val="00E7758E"/>
    <w:rsid w:val="00E775A7"/>
    <w:rsid w:val="00E7771B"/>
    <w:rsid w:val="00E77807"/>
    <w:rsid w:val="00E77AB8"/>
    <w:rsid w:val="00E77B5F"/>
    <w:rsid w:val="00E77C4C"/>
    <w:rsid w:val="00E77E07"/>
    <w:rsid w:val="00E77F40"/>
    <w:rsid w:val="00E80035"/>
    <w:rsid w:val="00E80196"/>
    <w:rsid w:val="00E80213"/>
    <w:rsid w:val="00E8029B"/>
    <w:rsid w:val="00E804E3"/>
    <w:rsid w:val="00E80628"/>
    <w:rsid w:val="00E80780"/>
    <w:rsid w:val="00E8090B"/>
    <w:rsid w:val="00E8094F"/>
    <w:rsid w:val="00E80C54"/>
    <w:rsid w:val="00E80D30"/>
    <w:rsid w:val="00E80D7F"/>
    <w:rsid w:val="00E80DD4"/>
    <w:rsid w:val="00E80E5E"/>
    <w:rsid w:val="00E80FCA"/>
    <w:rsid w:val="00E810C0"/>
    <w:rsid w:val="00E81852"/>
    <w:rsid w:val="00E81917"/>
    <w:rsid w:val="00E81A6B"/>
    <w:rsid w:val="00E82035"/>
    <w:rsid w:val="00E8214E"/>
    <w:rsid w:val="00E8231F"/>
    <w:rsid w:val="00E82849"/>
    <w:rsid w:val="00E82B5F"/>
    <w:rsid w:val="00E82CBA"/>
    <w:rsid w:val="00E82DA0"/>
    <w:rsid w:val="00E82EF1"/>
    <w:rsid w:val="00E8306A"/>
    <w:rsid w:val="00E832AA"/>
    <w:rsid w:val="00E832C9"/>
    <w:rsid w:val="00E8353E"/>
    <w:rsid w:val="00E83631"/>
    <w:rsid w:val="00E83B07"/>
    <w:rsid w:val="00E83BDA"/>
    <w:rsid w:val="00E83D59"/>
    <w:rsid w:val="00E83F59"/>
    <w:rsid w:val="00E83F66"/>
    <w:rsid w:val="00E83F95"/>
    <w:rsid w:val="00E840A1"/>
    <w:rsid w:val="00E84572"/>
    <w:rsid w:val="00E845AB"/>
    <w:rsid w:val="00E8460E"/>
    <w:rsid w:val="00E8461C"/>
    <w:rsid w:val="00E8462D"/>
    <w:rsid w:val="00E848BF"/>
    <w:rsid w:val="00E8493C"/>
    <w:rsid w:val="00E84B23"/>
    <w:rsid w:val="00E84BF9"/>
    <w:rsid w:val="00E84CD7"/>
    <w:rsid w:val="00E84D07"/>
    <w:rsid w:val="00E84F68"/>
    <w:rsid w:val="00E851D1"/>
    <w:rsid w:val="00E8533A"/>
    <w:rsid w:val="00E853B7"/>
    <w:rsid w:val="00E853F6"/>
    <w:rsid w:val="00E854D6"/>
    <w:rsid w:val="00E854F6"/>
    <w:rsid w:val="00E85662"/>
    <w:rsid w:val="00E8577F"/>
    <w:rsid w:val="00E85798"/>
    <w:rsid w:val="00E8587C"/>
    <w:rsid w:val="00E859D2"/>
    <w:rsid w:val="00E85A1A"/>
    <w:rsid w:val="00E85BF3"/>
    <w:rsid w:val="00E85E26"/>
    <w:rsid w:val="00E85F35"/>
    <w:rsid w:val="00E86283"/>
    <w:rsid w:val="00E86371"/>
    <w:rsid w:val="00E86470"/>
    <w:rsid w:val="00E86484"/>
    <w:rsid w:val="00E8653C"/>
    <w:rsid w:val="00E86753"/>
    <w:rsid w:val="00E868B7"/>
    <w:rsid w:val="00E8693D"/>
    <w:rsid w:val="00E86AD3"/>
    <w:rsid w:val="00E86C1F"/>
    <w:rsid w:val="00E86C97"/>
    <w:rsid w:val="00E86DB6"/>
    <w:rsid w:val="00E86E28"/>
    <w:rsid w:val="00E86E36"/>
    <w:rsid w:val="00E86FB6"/>
    <w:rsid w:val="00E87396"/>
    <w:rsid w:val="00E875B0"/>
    <w:rsid w:val="00E875FA"/>
    <w:rsid w:val="00E87625"/>
    <w:rsid w:val="00E876F1"/>
    <w:rsid w:val="00E879B0"/>
    <w:rsid w:val="00E879CC"/>
    <w:rsid w:val="00E87AE3"/>
    <w:rsid w:val="00E87AF5"/>
    <w:rsid w:val="00E87C64"/>
    <w:rsid w:val="00E87F4D"/>
    <w:rsid w:val="00E90067"/>
    <w:rsid w:val="00E90563"/>
    <w:rsid w:val="00E905A9"/>
    <w:rsid w:val="00E90610"/>
    <w:rsid w:val="00E9061F"/>
    <w:rsid w:val="00E907B1"/>
    <w:rsid w:val="00E9082E"/>
    <w:rsid w:val="00E90C17"/>
    <w:rsid w:val="00E90DC3"/>
    <w:rsid w:val="00E90DE0"/>
    <w:rsid w:val="00E90EF7"/>
    <w:rsid w:val="00E90F39"/>
    <w:rsid w:val="00E90F6D"/>
    <w:rsid w:val="00E91008"/>
    <w:rsid w:val="00E91082"/>
    <w:rsid w:val="00E910AF"/>
    <w:rsid w:val="00E91150"/>
    <w:rsid w:val="00E91190"/>
    <w:rsid w:val="00E91285"/>
    <w:rsid w:val="00E914BF"/>
    <w:rsid w:val="00E9158C"/>
    <w:rsid w:val="00E919C8"/>
    <w:rsid w:val="00E91B47"/>
    <w:rsid w:val="00E91C68"/>
    <w:rsid w:val="00E91F47"/>
    <w:rsid w:val="00E92232"/>
    <w:rsid w:val="00E925C3"/>
    <w:rsid w:val="00E92BCF"/>
    <w:rsid w:val="00E92E69"/>
    <w:rsid w:val="00E92F3B"/>
    <w:rsid w:val="00E93185"/>
    <w:rsid w:val="00E9330B"/>
    <w:rsid w:val="00E93349"/>
    <w:rsid w:val="00E9364E"/>
    <w:rsid w:val="00E93B66"/>
    <w:rsid w:val="00E93BC7"/>
    <w:rsid w:val="00E93C36"/>
    <w:rsid w:val="00E93DCE"/>
    <w:rsid w:val="00E93E1B"/>
    <w:rsid w:val="00E93F46"/>
    <w:rsid w:val="00E94229"/>
    <w:rsid w:val="00E942A1"/>
    <w:rsid w:val="00E9459B"/>
    <w:rsid w:val="00E945FB"/>
    <w:rsid w:val="00E9481A"/>
    <w:rsid w:val="00E94B23"/>
    <w:rsid w:val="00E94D41"/>
    <w:rsid w:val="00E94EBE"/>
    <w:rsid w:val="00E94FDD"/>
    <w:rsid w:val="00E9516D"/>
    <w:rsid w:val="00E95197"/>
    <w:rsid w:val="00E95265"/>
    <w:rsid w:val="00E952BE"/>
    <w:rsid w:val="00E9549D"/>
    <w:rsid w:val="00E95508"/>
    <w:rsid w:val="00E95694"/>
    <w:rsid w:val="00E9579D"/>
    <w:rsid w:val="00E95809"/>
    <w:rsid w:val="00E958CD"/>
    <w:rsid w:val="00E95ACE"/>
    <w:rsid w:val="00E95BB0"/>
    <w:rsid w:val="00E95F01"/>
    <w:rsid w:val="00E963C0"/>
    <w:rsid w:val="00E966CF"/>
    <w:rsid w:val="00E96B23"/>
    <w:rsid w:val="00E96C52"/>
    <w:rsid w:val="00E96F42"/>
    <w:rsid w:val="00E970C4"/>
    <w:rsid w:val="00E97204"/>
    <w:rsid w:val="00E9743C"/>
    <w:rsid w:val="00E975A7"/>
    <w:rsid w:val="00E975AE"/>
    <w:rsid w:val="00E97660"/>
    <w:rsid w:val="00E9768E"/>
    <w:rsid w:val="00E97831"/>
    <w:rsid w:val="00E97907"/>
    <w:rsid w:val="00E97C50"/>
    <w:rsid w:val="00E97DD3"/>
    <w:rsid w:val="00E97DD9"/>
    <w:rsid w:val="00EA0020"/>
    <w:rsid w:val="00EA01F2"/>
    <w:rsid w:val="00EA0218"/>
    <w:rsid w:val="00EA070A"/>
    <w:rsid w:val="00EA07B4"/>
    <w:rsid w:val="00EA0840"/>
    <w:rsid w:val="00EA08E0"/>
    <w:rsid w:val="00EA091B"/>
    <w:rsid w:val="00EA0AB1"/>
    <w:rsid w:val="00EA0B7D"/>
    <w:rsid w:val="00EA0C38"/>
    <w:rsid w:val="00EA0DB0"/>
    <w:rsid w:val="00EA0E27"/>
    <w:rsid w:val="00EA0E92"/>
    <w:rsid w:val="00EA0FE4"/>
    <w:rsid w:val="00EA1119"/>
    <w:rsid w:val="00EA11FF"/>
    <w:rsid w:val="00EA13CD"/>
    <w:rsid w:val="00EA1453"/>
    <w:rsid w:val="00EA160C"/>
    <w:rsid w:val="00EA1778"/>
    <w:rsid w:val="00EA19ED"/>
    <w:rsid w:val="00EA1C46"/>
    <w:rsid w:val="00EA1C47"/>
    <w:rsid w:val="00EA1CDC"/>
    <w:rsid w:val="00EA1CE8"/>
    <w:rsid w:val="00EA1DAA"/>
    <w:rsid w:val="00EA2424"/>
    <w:rsid w:val="00EA29B1"/>
    <w:rsid w:val="00EA2BB7"/>
    <w:rsid w:val="00EA30F5"/>
    <w:rsid w:val="00EA318D"/>
    <w:rsid w:val="00EA335B"/>
    <w:rsid w:val="00EA347A"/>
    <w:rsid w:val="00EA347D"/>
    <w:rsid w:val="00EA38C4"/>
    <w:rsid w:val="00EA3902"/>
    <w:rsid w:val="00EA3A41"/>
    <w:rsid w:val="00EA3A4E"/>
    <w:rsid w:val="00EA3AF5"/>
    <w:rsid w:val="00EA3BFB"/>
    <w:rsid w:val="00EA3DAB"/>
    <w:rsid w:val="00EA4301"/>
    <w:rsid w:val="00EA43F6"/>
    <w:rsid w:val="00EA4463"/>
    <w:rsid w:val="00EA49AD"/>
    <w:rsid w:val="00EA4A2B"/>
    <w:rsid w:val="00EA4CCE"/>
    <w:rsid w:val="00EA4F9D"/>
    <w:rsid w:val="00EA4FC6"/>
    <w:rsid w:val="00EA5111"/>
    <w:rsid w:val="00EA5447"/>
    <w:rsid w:val="00EA5513"/>
    <w:rsid w:val="00EA55D3"/>
    <w:rsid w:val="00EA5608"/>
    <w:rsid w:val="00EA56CF"/>
    <w:rsid w:val="00EA5E0D"/>
    <w:rsid w:val="00EA60DB"/>
    <w:rsid w:val="00EA61E6"/>
    <w:rsid w:val="00EA6518"/>
    <w:rsid w:val="00EA652D"/>
    <w:rsid w:val="00EA66F9"/>
    <w:rsid w:val="00EA6929"/>
    <w:rsid w:val="00EA6A9A"/>
    <w:rsid w:val="00EA6B4C"/>
    <w:rsid w:val="00EA7009"/>
    <w:rsid w:val="00EA7321"/>
    <w:rsid w:val="00EA734A"/>
    <w:rsid w:val="00EA7585"/>
    <w:rsid w:val="00EA76B1"/>
    <w:rsid w:val="00EA7A82"/>
    <w:rsid w:val="00EA7AFE"/>
    <w:rsid w:val="00EA7CB7"/>
    <w:rsid w:val="00EA7D59"/>
    <w:rsid w:val="00EB008A"/>
    <w:rsid w:val="00EB02A4"/>
    <w:rsid w:val="00EB039E"/>
    <w:rsid w:val="00EB0900"/>
    <w:rsid w:val="00EB0CD2"/>
    <w:rsid w:val="00EB0F8A"/>
    <w:rsid w:val="00EB1245"/>
    <w:rsid w:val="00EB1314"/>
    <w:rsid w:val="00EB14CF"/>
    <w:rsid w:val="00EB16A5"/>
    <w:rsid w:val="00EB1770"/>
    <w:rsid w:val="00EB1781"/>
    <w:rsid w:val="00EB17FE"/>
    <w:rsid w:val="00EB19E0"/>
    <w:rsid w:val="00EB1A23"/>
    <w:rsid w:val="00EB1C70"/>
    <w:rsid w:val="00EB1C7D"/>
    <w:rsid w:val="00EB1EB1"/>
    <w:rsid w:val="00EB21A0"/>
    <w:rsid w:val="00EB21D5"/>
    <w:rsid w:val="00EB23E5"/>
    <w:rsid w:val="00EB23EC"/>
    <w:rsid w:val="00EB2535"/>
    <w:rsid w:val="00EB253A"/>
    <w:rsid w:val="00EB25B9"/>
    <w:rsid w:val="00EB25D7"/>
    <w:rsid w:val="00EB2737"/>
    <w:rsid w:val="00EB280D"/>
    <w:rsid w:val="00EB2B15"/>
    <w:rsid w:val="00EB2C7B"/>
    <w:rsid w:val="00EB3035"/>
    <w:rsid w:val="00EB30A7"/>
    <w:rsid w:val="00EB30E7"/>
    <w:rsid w:val="00EB31B4"/>
    <w:rsid w:val="00EB3B24"/>
    <w:rsid w:val="00EB40F1"/>
    <w:rsid w:val="00EB40F3"/>
    <w:rsid w:val="00EB4CE7"/>
    <w:rsid w:val="00EB50E6"/>
    <w:rsid w:val="00EB53E2"/>
    <w:rsid w:val="00EB57E4"/>
    <w:rsid w:val="00EB5AED"/>
    <w:rsid w:val="00EB5BB9"/>
    <w:rsid w:val="00EB5E09"/>
    <w:rsid w:val="00EB5F71"/>
    <w:rsid w:val="00EB5FB5"/>
    <w:rsid w:val="00EB62C2"/>
    <w:rsid w:val="00EB6387"/>
    <w:rsid w:val="00EB6389"/>
    <w:rsid w:val="00EB655D"/>
    <w:rsid w:val="00EB65AE"/>
    <w:rsid w:val="00EB668C"/>
    <w:rsid w:val="00EB6A4F"/>
    <w:rsid w:val="00EB6AB7"/>
    <w:rsid w:val="00EB6B92"/>
    <w:rsid w:val="00EB6F6E"/>
    <w:rsid w:val="00EB6F7F"/>
    <w:rsid w:val="00EB70A1"/>
    <w:rsid w:val="00EB73A6"/>
    <w:rsid w:val="00EB73FA"/>
    <w:rsid w:val="00EB7453"/>
    <w:rsid w:val="00EB7498"/>
    <w:rsid w:val="00EB74A5"/>
    <w:rsid w:val="00EB7548"/>
    <w:rsid w:val="00EB7ACB"/>
    <w:rsid w:val="00EB7B6F"/>
    <w:rsid w:val="00EB7BAF"/>
    <w:rsid w:val="00EB7E6E"/>
    <w:rsid w:val="00EC0350"/>
    <w:rsid w:val="00EC086F"/>
    <w:rsid w:val="00EC088B"/>
    <w:rsid w:val="00EC0982"/>
    <w:rsid w:val="00EC09D8"/>
    <w:rsid w:val="00EC0A1F"/>
    <w:rsid w:val="00EC0AAD"/>
    <w:rsid w:val="00EC0B08"/>
    <w:rsid w:val="00EC0BFF"/>
    <w:rsid w:val="00EC0DB6"/>
    <w:rsid w:val="00EC0E7A"/>
    <w:rsid w:val="00EC0F9B"/>
    <w:rsid w:val="00EC1125"/>
    <w:rsid w:val="00EC144A"/>
    <w:rsid w:val="00EC1450"/>
    <w:rsid w:val="00EC1893"/>
    <w:rsid w:val="00EC1922"/>
    <w:rsid w:val="00EC1936"/>
    <w:rsid w:val="00EC19BD"/>
    <w:rsid w:val="00EC19CF"/>
    <w:rsid w:val="00EC1A0F"/>
    <w:rsid w:val="00EC1ACC"/>
    <w:rsid w:val="00EC1B4F"/>
    <w:rsid w:val="00EC1D6F"/>
    <w:rsid w:val="00EC1E83"/>
    <w:rsid w:val="00EC1FB6"/>
    <w:rsid w:val="00EC1FEF"/>
    <w:rsid w:val="00EC207A"/>
    <w:rsid w:val="00EC2162"/>
    <w:rsid w:val="00EC230E"/>
    <w:rsid w:val="00EC24E1"/>
    <w:rsid w:val="00EC2656"/>
    <w:rsid w:val="00EC2895"/>
    <w:rsid w:val="00EC2C9D"/>
    <w:rsid w:val="00EC2D21"/>
    <w:rsid w:val="00EC2FB6"/>
    <w:rsid w:val="00EC3014"/>
    <w:rsid w:val="00EC3091"/>
    <w:rsid w:val="00EC33F0"/>
    <w:rsid w:val="00EC3582"/>
    <w:rsid w:val="00EC3713"/>
    <w:rsid w:val="00EC374A"/>
    <w:rsid w:val="00EC3869"/>
    <w:rsid w:val="00EC392E"/>
    <w:rsid w:val="00EC39C1"/>
    <w:rsid w:val="00EC3A1D"/>
    <w:rsid w:val="00EC3CFF"/>
    <w:rsid w:val="00EC3FEB"/>
    <w:rsid w:val="00EC40C4"/>
    <w:rsid w:val="00EC4198"/>
    <w:rsid w:val="00EC4209"/>
    <w:rsid w:val="00EC42ED"/>
    <w:rsid w:val="00EC44C5"/>
    <w:rsid w:val="00EC46B5"/>
    <w:rsid w:val="00EC46C6"/>
    <w:rsid w:val="00EC46E7"/>
    <w:rsid w:val="00EC4861"/>
    <w:rsid w:val="00EC49B8"/>
    <w:rsid w:val="00EC4E4D"/>
    <w:rsid w:val="00EC4E99"/>
    <w:rsid w:val="00EC4EE3"/>
    <w:rsid w:val="00EC4F6B"/>
    <w:rsid w:val="00EC4FC2"/>
    <w:rsid w:val="00EC500A"/>
    <w:rsid w:val="00EC5037"/>
    <w:rsid w:val="00EC50C8"/>
    <w:rsid w:val="00EC511E"/>
    <w:rsid w:val="00EC53EC"/>
    <w:rsid w:val="00EC54ED"/>
    <w:rsid w:val="00EC57C8"/>
    <w:rsid w:val="00EC59AD"/>
    <w:rsid w:val="00EC5B11"/>
    <w:rsid w:val="00EC5B61"/>
    <w:rsid w:val="00EC5B96"/>
    <w:rsid w:val="00EC5CED"/>
    <w:rsid w:val="00EC5DD0"/>
    <w:rsid w:val="00EC5EFD"/>
    <w:rsid w:val="00EC62E8"/>
    <w:rsid w:val="00EC6936"/>
    <w:rsid w:val="00EC6979"/>
    <w:rsid w:val="00EC6B2A"/>
    <w:rsid w:val="00EC6B94"/>
    <w:rsid w:val="00EC6BA6"/>
    <w:rsid w:val="00EC6E13"/>
    <w:rsid w:val="00EC7055"/>
    <w:rsid w:val="00EC7091"/>
    <w:rsid w:val="00EC72E2"/>
    <w:rsid w:val="00EC7315"/>
    <w:rsid w:val="00EC75DB"/>
    <w:rsid w:val="00EC76B5"/>
    <w:rsid w:val="00EC7B2F"/>
    <w:rsid w:val="00EC7BAC"/>
    <w:rsid w:val="00EC7CB4"/>
    <w:rsid w:val="00EC7D0E"/>
    <w:rsid w:val="00EC7D94"/>
    <w:rsid w:val="00EC7DDE"/>
    <w:rsid w:val="00ED00AB"/>
    <w:rsid w:val="00ED028E"/>
    <w:rsid w:val="00ED030E"/>
    <w:rsid w:val="00ED0321"/>
    <w:rsid w:val="00ED035F"/>
    <w:rsid w:val="00ED049B"/>
    <w:rsid w:val="00ED065B"/>
    <w:rsid w:val="00ED0732"/>
    <w:rsid w:val="00ED0771"/>
    <w:rsid w:val="00ED083B"/>
    <w:rsid w:val="00ED08A1"/>
    <w:rsid w:val="00ED096B"/>
    <w:rsid w:val="00ED0FC8"/>
    <w:rsid w:val="00ED1192"/>
    <w:rsid w:val="00ED11AD"/>
    <w:rsid w:val="00ED13FE"/>
    <w:rsid w:val="00ED16C9"/>
    <w:rsid w:val="00ED17F8"/>
    <w:rsid w:val="00ED194F"/>
    <w:rsid w:val="00ED1D11"/>
    <w:rsid w:val="00ED1D35"/>
    <w:rsid w:val="00ED1E20"/>
    <w:rsid w:val="00ED1E21"/>
    <w:rsid w:val="00ED1F29"/>
    <w:rsid w:val="00ED1FE5"/>
    <w:rsid w:val="00ED21B7"/>
    <w:rsid w:val="00ED227B"/>
    <w:rsid w:val="00ED22F7"/>
    <w:rsid w:val="00ED2549"/>
    <w:rsid w:val="00ED25D3"/>
    <w:rsid w:val="00ED27BD"/>
    <w:rsid w:val="00ED28CE"/>
    <w:rsid w:val="00ED29D8"/>
    <w:rsid w:val="00ED2A0C"/>
    <w:rsid w:val="00ED2A1E"/>
    <w:rsid w:val="00ED2AB7"/>
    <w:rsid w:val="00ED2AD5"/>
    <w:rsid w:val="00ED2AEE"/>
    <w:rsid w:val="00ED2B36"/>
    <w:rsid w:val="00ED2B8D"/>
    <w:rsid w:val="00ED2C2E"/>
    <w:rsid w:val="00ED2CEA"/>
    <w:rsid w:val="00ED2DF5"/>
    <w:rsid w:val="00ED2E5C"/>
    <w:rsid w:val="00ED3177"/>
    <w:rsid w:val="00ED3322"/>
    <w:rsid w:val="00ED3488"/>
    <w:rsid w:val="00ED3545"/>
    <w:rsid w:val="00ED35B9"/>
    <w:rsid w:val="00ED35C6"/>
    <w:rsid w:val="00ED35D5"/>
    <w:rsid w:val="00ED36CA"/>
    <w:rsid w:val="00ED3753"/>
    <w:rsid w:val="00ED37E2"/>
    <w:rsid w:val="00ED391D"/>
    <w:rsid w:val="00ED395C"/>
    <w:rsid w:val="00ED3B3A"/>
    <w:rsid w:val="00ED3BC6"/>
    <w:rsid w:val="00ED3D94"/>
    <w:rsid w:val="00ED3FC6"/>
    <w:rsid w:val="00ED3FE1"/>
    <w:rsid w:val="00ED43B4"/>
    <w:rsid w:val="00ED44D7"/>
    <w:rsid w:val="00ED4571"/>
    <w:rsid w:val="00ED4671"/>
    <w:rsid w:val="00ED48DE"/>
    <w:rsid w:val="00ED49F5"/>
    <w:rsid w:val="00ED4AC1"/>
    <w:rsid w:val="00ED4BAF"/>
    <w:rsid w:val="00ED4F73"/>
    <w:rsid w:val="00ED5157"/>
    <w:rsid w:val="00ED533B"/>
    <w:rsid w:val="00ED56D4"/>
    <w:rsid w:val="00ED58C9"/>
    <w:rsid w:val="00ED5B4B"/>
    <w:rsid w:val="00ED5C01"/>
    <w:rsid w:val="00ED623A"/>
    <w:rsid w:val="00ED62F3"/>
    <w:rsid w:val="00ED64C9"/>
    <w:rsid w:val="00ED674A"/>
    <w:rsid w:val="00ED679B"/>
    <w:rsid w:val="00ED6910"/>
    <w:rsid w:val="00ED694E"/>
    <w:rsid w:val="00ED69F5"/>
    <w:rsid w:val="00ED6C30"/>
    <w:rsid w:val="00ED6EEE"/>
    <w:rsid w:val="00ED70C4"/>
    <w:rsid w:val="00ED7513"/>
    <w:rsid w:val="00ED7576"/>
    <w:rsid w:val="00ED761B"/>
    <w:rsid w:val="00ED7793"/>
    <w:rsid w:val="00ED7885"/>
    <w:rsid w:val="00ED7AC7"/>
    <w:rsid w:val="00EE037C"/>
    <w:rsid w:val="00EE0548"/>
    <w:rsid w:val="00EE0808"/>
    <w:rsid w:val="00EE09E6"/>
    <w:rsid w:val="00EE0BD6"/>
    <w:rsid w:val="00EE0C11"/>
    <w:rsid w:val="00EE0D0B"/>
    <w:rsid w:val="00EE10E6"/>
    <w:rsid w:val="00EE1142"/>
    <w:rsid w:val="00EE11A0"/>
    <w:rsid w:val="00EE12C7"/>
    <w:rsid w:val="00EE137C"/>
    <w:rsid w:val="00EE15EC"/>
    <w:rsid w:val="00EE183B"/>
    <w:rsid w:val="00EE1B92"/>
    <w:rsid w:val="00EE1CFD"/>
    <w:rsid w:val="00EE1D2D"/>
    <w:rsid w:val="00EE1DA4"/>
    <w:rsid w:val="00EE1DA5"/>
    <w:rsid w:val="00EE2009"/>
    <w:rsid w:val="00EE2031"/>
    <w:rsid w:val="00EE206C"/>
    <w:rsid w:val="00EE24F9"/>
    <w:rsid w:val="00EE2546"/>
    <w:rsid w:val="00EE26FC"/>
    <w:rsid w:val="00EE2738"/>
    <w:rsid w:val="00EE284F"/>
    <w:rsid w:val="00EE28B6"/>
    <w:rsid w:val="00EE2BA7"/>
    <w:rsid w:val="00EE2DA9"/>
    <w:rsid w:val="00EE2E38"/>
    <w:rsid w:val="00EE3030"/>
    <w:rsid w:val="00EE3546"/>
    <w:rsid w:val="00EE36E1"/>
    <w:rsid w:val="00EE373E"/>
    <w:rsid w:val="00EE391E"/>
    <w:rsid w:val="00EE3981"/>
    <w:rsid w:val="00EE3AAB"/>
    <w:rsid w:val="00EE3B1F"/>
    <w:rsid w:val="00EE3BC0"/>
    <w:rsid w:val="00EE3C44"/>
    <w:rsid w:val="00EE3C8F"/>
    <w:rsid w:val="00EE3D9A"/>
    <w:rsid w:val="00EE43CF"/>
    <w:rsid w:val="00EE4426"/>
    <w:rsid w:val="00EE44A2"/>
    <w:rsid w:val="00EE485F"/>
    <w:rsid w:val="00EE4A10"/>
    <w:rsid w:val="00EE4C0E"/>
    <w:rsid w:val="00EE4D38"/>
    <w:rsid w:val="00EE5006"/>
    <w:rsid w:val="00EE5169"/>
    <w:rsid w:val="00EE51CC"/>
    <w:rsid w:val="00EE52AD"/>
    <w:rsid w:val="00EE562A"/>
    <w:rsid w:val="00EE5B6D"/>
    <w:rsid w:val="00EE5B7D"/>
    <w:rsid w:val="00EE5B87"/>
    <w:rsid w:val="00EE5C24"/>
    <w:rsid w:val="00EE5CBE"/>
    <w:rsid w:val="00EE5E21"/>
    <w:rsid w:val="00EE5F92"/>
    <w:rsid w:val="00EE5FD8"/>
    <w:rsid w:val="00EE6512"/>
    <w:rsid w:val="00EE69AA"/>
    <w:rsid w:val="00EE6AC6"/>
    <w:rsid w:val="00EE6B3A"/>
    <w:rsid w:val="00EE6C1E"/>
    <w:rsid w:val="00EE6ECB"/>
    <w:rsid w:val="00EE71ED"/>
    <w:rsid w:val="00EE72DD"/>
    <w:rsid w:val="00EE73EA"/>
    <w:rsid w:val="00EE7413"/>
    <w:rsid w:val="00EE75C1"/>
    <w:rsid w:val="00EE77BE"/>
    <w:rsid w:val="00EE7C05"/>
    <w:rsid w:val="00EE7C1C"/>
    <w:rsid w:val="00EE7D43"/>
    <w:rsid w:val="00EE7DE8"/>
    <w:rsid w:val="00EE7E59"/>
    <w:rsid w:val="00EE7EE7"/>
    <w:rsid w:val="00EE7F8F"/>
    <w:rsid w:val="00EE7FCB"/>
    <w:rsid w:val="00EF0103"/>
    <w:rsid w:val="00EF01F2"/>
    <w:rsid w:val="00EF03B2"/>
    <w:rsid w:val="00EF0598"/>
    <w:rsid w:val="00EF0697"/>
    <w:rsid w:val="00EF08C0"/>
    <w:rsid w:val="00EF08C5"/>
    <w:rsid w:val="00EF0D79"/>
    <w:rsid w:val="00EF0DF5"/>
    <w:rsid w:val="00EF0E36"/>
    <w:rsid w:val="00EF0EFD"/>
    <w:rsid w:val="00EF0F95"/>
    <w:rsid w:val="00EF1220"/>
    <w:rsid w:val="00EF132F"/>
    <w:rsid w:val="00EF15CB"/>
    <w:rsid w:val="00EF16B1"/>
    <w:rsid w:val="00EF170C"/>
    <w:rsid w:val="00EF18B4"/>
    <w:rsid w:val="00EF199F"/>
    <w:rsid w:val="00EF1F29"/>
    <w:rsid w:val="00EF2262"/>
    <w:rsid w:val="00EF22C1"/>
    <w:rsid w:val="00EF2309"/>
    <w:rsid w:val="00EF2373"/>
    <w:rsid w:val="00EF254A"/>
    <w:rsid w:val="00EF2DE4"/>
    <w:rsid w:val="00EF312D"/>
    <w:rsid w:val="00EF3480"/>
    <w:rsid w:val="00EF35BB"/>
    <w:rsid w:val="00EF38EF"/>
    <w:rsid w:val="00EF3A0E"/>
    <w:rsid w:val="00EF3A82"/>
    <w:rsid w:val="00EF3B07"/>
    <w:rsid w:val="00EF3CE3"/>
    <w:rsid w:val="00EF3D61"/>
    <w:rsid w:val="00EF4065"/>
    <w:rsid w:val="00EF4070"/>
    <w:rsid w:val="00EF47F7"/>
    <w:rsid w:val="00EF4B2B"/>
    <w:rsid w:val="00EF4B4F"/>
    <w:rsid w:val="00EF4B9C"/>
    <w:rsid w:val="00EF502D"/>
    <w:rsid w:val="00EF5104"/>
    <w:rsid w:val="00EF524E"/>
    <w:rsid w:val="00EF52E2"/>
    <w:rsid w:val="00EF5381"/>
    <w:rsid w:val="00EF539C"/>
    <w:rsid w:val="00EF53A7"/>
    <w:rsid w:val="00EF541E"/>
    <w:rsid w:val="00EF555A"/>
    <w:rsid w:val="00EF568E"/>
    <w:rsid w:val="00EF57B4"/>
    <w:rsid w:val="00EF5A43"/>
    <w:rsid w:val="00EF5BE0"/>
    <w:rsid w:val="00EF5D15"/>
    <w:rsid w:val="00EF5D59"/>
    <w:rsid w:val="00EF5EB7"/>
    <w:rsid w:val="00EF5ECC"/>
    <w:rsid w:val="00EF624E"/>
    <w:rsid w:val="00EF637C"/>
    <w:rsid w:val="00EF659B"/>
    <w:rsid w:val="00EF66BA"/>
    <w:rsid w:val="00EF6B6E"/>
    <w:rsid w:val="00EF6B72"/>
    <w:rsid w:val="00EF6C07"/>
    <w:rsid w:val="00EF6CE8"/>
    <w:rsid w:val="00EF6DAB"/>
    <w:rsid w:val="00EF6E2B"/>
    <w:rsid w:val="00EF6E4E"/>
    <w:rsid w:val="00EF70BD"/>
    <w:rsid w:val="00EF70F7"/>
    <w:rsid w:val="00EF719A"/>
    <w:rsid w:val="00EF7861"/>
    <w:rsid w:val="00EF7937"/>
    <w:rsid w:val="00EF7988"/>
    <w:rsid w:val="00EF7ACA"/>
    <w:rsid w:val="00EF7BE0"/>
    <w:rsid w:val="00EF7C91"/>
    <w:rsid w:val="00EF7DF7"/>
    <w:rsid w:val="00EF7E61"/>
    <w:rsid w:val="00EF7EDC"/>
    <w:rsid w:val="00EF7F68"/>
    <w:rsid w:val="00EF7FEA"/>
    <w:rsid w:val="00F0003A"/>
    <w:rsid w:val="00F00044"/>
    <w:rsid w:val="00F0010E"/>
    <w:rsid w:val="00F0013F"/>
    <w:rsid w:val="00F00228"/>
    <w:rsid w:val="00F003E0"/>
    <w:rsid w:val="00F003E6"/>
    <w:rsid w:val="00F009D4"/>
    <w:rsid w:val="00F00B4B"/>
    <w:rsid w:val="00F00BC4"/>
    <w:rsid w:val="00F00E2A"/>
    <w:rsid w:val="00F00E6D"/>
    <w:rsid w:val="00F00E8A"/>
    <w:rsid w:val="00F00EFC"/>
    <w:rsid w:val="00F00F11"/>
    <w:rsid w:val="00F00FFC"/>
    <w:rsid w:val="00F01078"/>
    <w:rsid w:val="00F010F7"/>
    <w:rsid w:val="00F0131D"/>
    <w:rsid w:val="00F01501"/>
    <w:rsid w:val="00F015A3"/>
    <w:rsid w:val="00F016B0"/>
    <w:rsid w:val="00F01930"/>
    <w:rsid w:val="00F01A4C"/>
    <w:rsid w:val="00F01A6B"/>
    <w:rsid w:val="00F01B01"/>
    <w:rsid w:val="00F01DB7"/>
    <w:rsid w:val="00F01F99"/>
    <w:rsid w:val="00F022C0"/>
    <w:rsid w:val="00F02366"/>
    <w:rsid w:val="00F023DB"/>
    <w:rsid w:val="00F0269D"/>
    <w:rsid w:val="00F0290F"/>
    <w:rsid w:val="00F02953"/>
    <w:rsid w:val="00F0295A"/>
    <w:rsid w:val="00F0298A"/>
    <w:rsid w:val="00F02AA3"/>
    <w:rsid w:val="00F02AF3"/>
    <w:rsid w:val="00F02BDA"/>
    <w:rsid w:val="00F02C6D"/>
    <w:rsid w:val="00F02CA2"/>
    <w:rsid w:val="00F02DB1"/>
    <w:rsid w:val="00F02F82"/>
    <w:rsid w:val="00F02F9B"/>
    <w:rsid w:val="00F03164"/>
    <w:rsid w:val="00F03329"/>
    <w:rsid w:val="00F03764"/>
    <w:rsid w:val="00F03906"/>
    <w:rsid w:val="00F03D28"/>
    <w:rsid w:val="00F03D87"/>
    <w:rsid w:val="00F040A3"/>
    <w:rsid w:val="00F04265"/>
    <w:rsid w:val="00F04289"/>
    <w:rsid w:val="00F04436"/>
    <w:rsid w:val="00F04520"/>
    <w:rsid w:val="00F04902"/>
    <w:rsid w:val="00F04D46"/>
    <w:rsid w:val="00F04DAF"/>
    <w:rsid w:val="00F04FBC"/>
    <w:rsid w:val="00F04FEA"/>
    <w:rsid w:val="00F05065"/>
    <w:rsid w:val="00F0554A"/>
    <w:rsid w:val="00F055B7"/>
    <w:rsid w:val="00F057DF"/>
    <w:rsid w:val="00F05AB1"/>
    <w:rsid w:val="00F05B3D"/>
    <w:rsid w:val="00F05BE4"/>
    <w:rsid w:val="00F05D72"/>
    <w:rsid w:val="00F05E44"/>
    <w:rsid w:val="00F05EF5"/>
    <w:rsid w:val="00F0620B"/>
    <w:rsid w:val="00F06226"/>
    <w:rsid w:val="00F064F6"/>
    <w:rsid w:val="00F065EE"/>
    <w:rsid w:val="00F06795"/>
    <w:rsid w:val="00F067E2"/>
    <w:rsid w:val="00F068A4"/>
    <w:rsid w:val="00F06C8C"/>
    <w:rsid w:val="00F06C90"/>
    <w:rsid w:val="00F06CE4"/>
    <w:rsid w:val="00F06F2D"/>
    <w:rsid w:val="00F0728E"/>
    <w:rsid w:val="00F077E5"/>
    <w:rsid w:val="00F0796E"/>
    <w:rsid w:val="00F07993"/>
    <w:rsid w:val="00F079A9"/>
    <w:rsid w:val="00F07B46"/>
    <w:rsid w:val="00F07C37"/>
    <w:rsid w:val="00F07D16"/>
    <w:rsid w:val="00F07D55"/>
    <w:rsid w:val="00F07DCD"/>
    <w:rsid w:val="00F07E2C"/>
    <w:rsid w:val="00F07E5D"/>
    <w:rsid w:val="00F101B9"/>
    <w:rsid w:val="00F104CA"/>
    <w:rsid w:val="00F1062E"/>
    <w:rsid w:val="00F106F0"/>
    <w:rsid w:val="00F10C45"/>
    <w:rsid w:val="00F10E59"/>
    <w:rsid w:val="00F110FD"/>
    <w:rsid w:val="00F11668"/>
    <w:rsid w:val="00F119A0"/>
    <w:rsid w:val="00F119C9"/>
    <w:rsid w:val="00F12039"/>
    <w:rsid w:val="00F12072"/>
    <w:rsid w:val="00F123EB"/>
    <w:rsid w:val="00F12512"/>
    <w:rsid w:val="00F1257D"/>
    <w:rsid w:val="00F127D2"/>
    <w:rsid w:val="00F12860"/>
    <w:rsid w:val="00F12D58"/>
    <w:rsid w:val="00F12E11"/>
    <w:rsid w:val="00F12E79"/>
    <w:rsid w:val="00F12FFC"/>
    <w:rsid w:val="00F13126"/>
    <w:rsid w:val="00F132C2"/>
    <w:rsid w:val="00F1345D"/>
    <w:rsid w:val="00F134DC"/>
    <w:rsid w:val="00F1369D"/>
    <w:rsid w:val="00F136A4"/>
    <w:rsid w:val="00F137F7"/>
    <w:rsid w:val="00F1380A"/>
    <w:rsid w:val="00F1391F"/>
    <w:rsid w:val="00F13A57"/>
    <w:rsid w:val="00F13AE2"/>
    <w:rsid w:val="00F13C7F"/>
    <w:rsid w:val="00F13F1C"/>
    <w:rsid w:val="00F13FB0"/>
    <w:rsid w:val="00F1415C"/>
    <w:rsid w:val="00F14342"/>
    <w:rsid w:val="00F144E1"/>
    <w:rsid w:val="00F144FB"/>
    <w:rsid w:val="00F146A7"/>
    <w:rsid w:val="00F1482A"/>
    <w:rsid w:val="00F1498B"/>
    <w:rsid w:val="00F14BFF"/>
    <w:rsid w:val="00F14E59"/>
    <w:rsid w:val="00F14E73"/>
    <w:rsid w:val="00F14F68"/>
    <w:rsid w:val="00F15161"/>
    <w:rsid w:val="00F151AF"/>
    <w:rsid w:val="00F151C7"/>
    <w:rsid w:val="00F15626"/>
    <w:rsid w:val="00F159A2"/>
    <w:rsid w:val="00F15A2C"/>
    <w:rsid w:val="00F15BB2"/>
    <w:rsid w:val="00F15E3A"/>
    <w:rsid w:val="00F15F65"/>
    <w:rsid w:val="00F16409"/>
    <w:rsid w:val="00F16530"/>
    <w:rsid w:val="00F16618"/>
    <w:rsid w:val="00F166B7"/>
    <w:rsid w:val="00F16810"/>
    <w:rsid w:val="00F169A6"/>
    <w:rsid w:val="00F16B71"/>
    <w:rsid w:val="00F16C40"/>
    <w:rsid w:val="00F16DCF"/>
    <w:rsid w:val="00F16E18"/>
    <w:rsid w:val="00F16E3D"/>
    <w:rsid w:val="00F1700D"/>
    <w:rsid w:val="00F171AD"/>
    <w:rsid w:val="00F172D1"/>
    <w:rsid w:val="00F17489"/>
    <w:rsid w:val="00F174DC"/>
    <w:rsid w:val="00F176DB"/>
    <w:rsid w:val="00F1784B"/>
    <w:rsid w:val="00F17B7A"/>
    <w:rsid w:val="00F17D58"/>
    <w:rsid w:val="00F17D97"/>
    <w:rsid w:val="00F17EBF"/>
    <w:rsid w:val="00F2054D"/>
    <w:rsid w:val="00F20565"/>
    <w:rsid w:val="00F206BC"/>
    <w:rsid w:val="00F206DC"/>
    <w:rsid w:val="00F20740"/>
    <w:rsid w:val="00F20C9D"/>
    <w:rsid w:val="00F20ECD"/>
    <w:rsid w:val="00F20FBC"/>
    <w:rsid w:val="00F211E3"/>
    <w:rsid w:val="00F213CD"/>
    <w:rsid w:val="00F215F1"/>
    <w:rsid w:val="00F21B01"/>
    <w:rsid w:val="00F21FE2"/>
    <w:rsid w:val="00F21FE7"/>
    <w:rsid w:val="00F22246"/>
    <w:rsid w:val="00F2275F"/>
    <w:rsid w:val="00F22EA5"/>
    <w:rsid w:val="00F22EF8"/>
    <w:rsid w:val="00F23016"/>
    <w:rsid w:val="00F2318C"/>
    <w:rsid w:val="00F231D8"/>
    <w:rsid w:val="00F23651"/>
    <w:rsid w:val="00F237EF"/>
    <w:rsid w:val="00F23B28"/>
    <w:rsid w:val="00F23BE3"/>
    <w:rsid w:val="00F23C3A"/>
    <w:rsid w:val="00F23CF6"/>
    <w:rsid w:val="00F23FAC"/>
    <w:rsid w:val="00F24393"/>
    <w:rsid w:val="00F24559"/>
    <w:rsid w:val="00F247F1"/>
    <w:rsid w:val="00F24876"/>
    <w:rsid w:val="00F249A4"/>
    <w:rsid w:val="00F249F6"/>
    <w:rsid w:val="00F24BDD"/>
    <w:rsid w:val="00F24F36"/>
    <w:rsid w:val="00F2516C"/>
    <w:rsid w:val="00F259B9"/>
    <w:rsid w:val="00F25A15"/>
    <w:rsid w:val="00F25C60"/>
    <w:rsid w:val="00F25F9F"/>
    <w:rsid w:val="00F26001"/>
    <w:rsid w:val="00F260E8"/>
    <w:rsid w:val="00F26109"/>
    <w:rsid w:val="00F26339"/>
    <w:rsid w:val="00F263FC"/>
    <w:rsid w:val="00F264A6"/>
    <w:rsid w:val="00F26550"/>
    <w:rsid w:val="00F265DA"/>
    <w:rsid w:val="00F2681B"/>
    <w:rsid w:val="00F26A05"/>
    <w:rsid w:val="00F2708C"/>
    <w:rsid w:val="00F2755B"/>
    <w:rsid w:val="00F27A67"/>
    <w:rsid w:val="00F27B3A"/>
    <w:rsid w:val="00F27D4E"/>
    <w:rsid w:val="00F27DAE"/>
    <w:rsid w:val="00F27F44"/>
    <w:rsid w:val="00F3038F"/>
    <w:rsid w:val="00F30663"/>
    <w:rsid w:val="00F30760"/>
    <w:rsid w:val="00F30AE8"/>
    <w:rsid w:val="00F30B61"/>
    <w:rsid w:val="00F30E1C"/>
    <w:rsid w:val="00F30F8E"/>
    <w:rsid w:val="00F3117C"/>
    <w:rsid w:val="00F311E1"/>
    <w:rsid w:val="00F31249"/>
    <w:rsid w:val="00F313E5"/>
    <w:rsid w:val="00F313FE"/>
    <w:rsid w:val="00F3166B"/>
    <w:rsid w:val="00F31754"/>
    <w:rsid w:val="00F31784"/>
    <w:rsid w:val="00F31872"/>
    <w:rsid w:val="00F31DFF"/>
    <w:rsid w:val="00F31E6F"/>
    <w:rsid w:val="00F321A5"/>
    <w:rsid w:val="00F3228F"/>
    <w:rsid w:val="00F324B0"/>
    <w:rsid w:val="00F3252D"/>
    <w:rsid w:val="00F32640"/>
    <w:rsid w:val="00F327E9"/>
    <w:rsid w:val="00F3286F"/>
    <w:rsid w:val="00F32A14"/>
    <w:rsid w:val="00F32D5D"/>
    <w:rsid w:val="00F32DBB"/>
    <w:rsid w:val="00F32DE7"/>
    <w:rsid w:val="00F32E34"/>
    <w:rsid w:val="00F331AD"/>
    <w:rsid w:val="00F331CF"/>
    <w:rsid w:val="00F33285"/>
    <w:rsid w:val="00F336A8"/>
    <w:rsid w:val="00F3372F"/>
    <w:rsid w:val="00F3374D"/>
    <w:rsid w:val="00F33929"/>
    <w:rsid w:val="00F339CD"/>
    <w:rsid w:val="00F33A89"/>
    <w:rsid w:val="00F33BCA"/>
    <w:rsid w:val="00F33BF0"/>
    <w:rsid w:val="00F33E97"/>
    <w:rsid w:val="00F3414E"/>
    <w:rsid w:val="00F34198"/>
    <w:rsid w:val="00F3420D"/>
    <w:rsid w:val="00F342C4"/>
    <w:rsid w:val="00F34429"/>
    <w:rsid w:val="00F34480"/>
    <w:rsid w:val="00F34728"/>
    <w:rsid w:val="00F3487A"/>
    <w:rsid w:val="00F34887"/>
    <w:rsid w:val="00F34A2C"/>
    <w:rsid w:val="00F34B27"/>
    <w:rsid w:val="00F34DEE"/>
    <w:rsid w:val="00F34FF1"/>
    <w:rsid w:val="00F3500B"/>
    <w:rsid w:val="00F35107"/>
    <w:rsid w:val="00F351F1"/>
    <w:rsid w:val="00F35209"/>
    <w:rsid w:val="00F35259"/>
    <w:rsid w:val="00F35388"/>
    <w:rsid w:val="00F35642"/>
    <w:rsid w:val="00F359B3"/>
    <w:rsid w:val="00F359D6"/>
    <w:rsid w:val="00F35AB6"/>
    <w:rsid w:val="00F35B40"/>
    <w:rsid w:val="00F36336"/>
    <w:rsid w:val="00F364DF"/>
    <w:rsid w:val="00F36865"/>
    <w:rsid w:val="00F36892"/>
    <w:rsid w:val="00F36C47"/>
    <w:rsid w:val="00F36D31"/>
    <w:rsid w:val="00F36F59"/>
    <w:rsid w:val="00F36FC2"/>
    <w:rsid w:val="00F370AF"/>
    <w:rsid w:val="00F371E7"/>
    <w:rsid w:val="00F373BC"/>
    <w:rsid w:val="00F37511"/>
    <w:rsid w:val="00F3766D"/>
    <w:rsid w:val="00F37744"/>
    <w:rsid w:val="00F377C6"/>
    <w:rsid w:val="00F37829"/>
    <w:rsid w:val="00F37DFD"/>
    <w:rsid w:val="00F37F2B"/>
    <w:rsid w:val="00F4025C"/>
    <w:rsid w:val="00F40621"/>
    <w:rsid w:val="00F4066B"/>
    <w:rsid w:val="00F40920"/>
    <w:rsid w:val="00F40A94"/>
    <w:rsid w:val="00F40C9E"/>
    <w:rsid w:val="00F4111E"/>
    <w:rsid w:val="00F415E7"/>
    <w:rsid w:val="00F41670"/>
    <w:rsid w:val="00F417D6"/>
    <w:rsid w:val="00F419F4"/>
    <w:rsid w:val="00F41CE4"/>
    <w:rsid w:val="00F41E09"/>
    <w:rsid w:val="00F41E8E"/>
    <w:rsid w:val="00F41E98"/>
    <w:rsid w:val="00F41ECB"/>
    <w:rsid w:val="00F42332"/>
    <w:rsid w:val="00F4258F"/>
    <w:rsid w:val="00F425E2"/>
    <w:rsid w:val="00F429DD"/>
    <w:rsid w:val="00F42CD7"/>
    <w:rsid w:val="00F432DB"/>
    <w:rsid w:val="00F43312"/>
    <w:rsid w:val="00F4331C"/>
    <w:rsid w:val="00F4345E"/>
    <w:rsid w:val="00F43515"/>
    <w:rsid w:val="00F4369F"/>
    <w:rsid w:val="00F4372F"/>
    <w:rsid w:val="00F4373E"/>
    <w:rsid w:val="00F437AC"/>
    <w:rsid w:val="00F438D5"/>
    <w:rsid w:val="00F43D12"/>
    <w:rsid w:val="00F43E3B"/>
    <w:rsid w:val="00F43F62"/>
    <w:rsid w:val="00F44016"/>
    <w:rsid w:val="00F4406D"/>
    <w:rsid w:val="00F44139"/>
    <w:rsid w:val="00F44284"/>
    <w:rsid w:val="00F442C3"/>
    <w:rsid w:val="00F44649"/>
    <w:rsid w:val="00F4470E"/>
    <w:rsid w:val="00F44973"/>
    <w:rsid w:val="00F449A3"/>
    <w:rsid w:val="00F449AA"/>
    <w:rsid w:val="00F44F51"/>
    <w:rsid w:val="00F45148"/>
    <w:rsid w:val="00F45193"/>
    <w:rsid w:val="00F453B6"/>
    <w:rsid w:val="00F453D0"/>
    <w:rsid w:val="00F454C2"/>
    <w:rsid w:val="00F45791"/>
    <w:rsid w:val="00F459A6"/>
    <w:rsid w:val="00F459F2"/>
    <w:rsid w:val="00F45CBC"/>
    <w:rsid w:val="00F45F4B"/>
    <w:rsid w:val="00F4606E"/>
    <w:rsid w:val="00F460DA"/>
    <w:rsid w:val="00F4628A"/>
    <w:rsid w:val="00F462F2"/>
    <w:rsid w:val="00F463E3"/>
    <w:rsid w:val="00F46473"/>
    <w:rsid w:val="00F46514"/>
    <w:rsid w:val="00F4696D"/>
    <w:rsid w:val="00F46BAA"/>
    <w:rsid w:val="00F46E87"/>
    <w:rsid w:val="00F46FC6"/>
    <w:rsid w:val="00F474A1"/>
    <w:rsid w:val="00F4789F"/>
    <w:rsid w:val="00F47E03"/>
    <w:rsid w:val="00F47F21"/>
    <w:rsid w:val="00F50076"/>
    <w:rsid w:val="00F500CD"/>
    <w:rsid w:val="00F500D2"/>
    <w:rsid w:val="00F5032C"/>
    <w:rsid w:val="00F505A7"/>
    <w:rsid w:val="00F506F6"/>
    <w:rsid w:val="00F508B2"/>
    <w:rsid w:val="00F50AB3"/>
    <w:rsid w:val="00F50B8A"/>
    <w:rsid w:val="00F50C11"/>
    <w:rsid w:val="00F50E00"/>
    <w:rsid w:val="00F50E0A"/>
    <w:rsid w:val="00F50E89"/>
    <w:rsid w:val="00F517C9"/>
    <w:rsid w:val="00F5189E"/>
    <w:rsid w:val="00F51B62"/>
    <w:rsid w:val="00F51BE0"/>
    <w:rsid w:val="00F51D45"/>
    <w:rsid w:val="00F51DD2"/>
    <w:rsid w:val="00F51DD9"/>
    <w:rsid w:val="00F51F09"/>
    <w:rsid w:val="00F52027"/>
    <w:rsid w:val="00F5203B"/>
    <w:rsid w:val="00F520EA"/>
    <w:rsid w:val="00F52369"/>
    <w:rsid w:val="00F5238F"/>
    <w:rsid w:val="00F52442"/>
    <w:rsid w:val="00F52682"/>
    <w:rsid w:val="00F52685"/>
    <w:rsid w:val="00F529BB"/>
    <w:rsid w:val="00F52C07"/>
    <w:rsid w:val="00F52C4E"/>
    <w:rsid w:val="00F52DC3"/>
    <w:rsid w:val="00F52EE2"/>
    <w:rsid w:val="00F52F70"/>
    <w:rsid w:val="00F5307B"/>
    <w:rsid w:val="00F530CE"/>
    <w:rsid w:val="00F53549"/>
    <w:rsid w:val="00F535BE"/>
    <w:rsid w:val="00F539E6"/>
    <w:rsid w:val="00F53D5A"/>
    <w:rsid w:val="00F53E5E"/>
    <w:rsid w:val="00F53FE1"/>
    <w:rsid w:val="00F5410E"/>
    <w:rsid w:val="00F5455B"/>
    <w:rsid w:val="00F54670"/>
    <w:rsid w:val="00F5468A"/>
    <w:rsid w:val="00F54774"/>
    <w:rsid w:val="00F548F7"/>
    <w:rsid w:val="00F54912"/>
    <w:rsid w:val="00F5497A"/>
    <w:rsid w:val="00F54D9C"/>
    <w:rsid w:val="00F54E86"/>
    <w:rsid w:val="00F55078"/>
    <w:rsid w:val="00F550D8"/>
    <w:rsid w:val="00F55369"/>
    <w:rsid w:val="00F555B2"/>
    <w:rsid w:val="00F55753"/>
    <w:rsid w:val="00F557AB"/>
    <w:rsid w:val="00F55ACF"/>
    <w:rsid w:val="00F55BC4"/>
    <w:rsid w:val="00F55F0D"/>
    <w:rsid w:val="00F55F7F"/>
    <w:rsid w:val="00F5666F"/>
    <w:rsid w:val="00F567D1"/>
    <w:rsid w:val="00F568F7"/>
    <w:rsid w:val="00F56F6F"/>
    <w:rsid w:val="00F570F9"/>
    <w:rsid w:val="00F57127"/>
    <w:rsid w:val="00F574B1"/>
    <w:rsid w:val="00F574FE"/>
    <w:rsid w:val="00F57625"/>
    <w:rsid w:val="00F5779E"/>
    <w:rsid w:val="00F57955"/>
    <w:rsid w:val="00F57BE3"/>
    <w:rsid w:val="00F57CEB"/>
    <w:rsid w:val="00F57D53"/>
    <w:rsid w:val="00F57EBF"/>
    <w:rsid w:val="00F57F38"/>
    <w:rsid w:val="00F6006D"/>
    <w:rsid w:val="00F60171"/>
    <w:rsid w:val="00F60173"/>
    <w:rsid w:val="00F60560"/>
    <w:rsid w:val="00F606A1"/>
    <w:rsid w:val="00F60A75"/>
    <w:rsid w:val="00F60AA2"/>
    <w:rsid w:val="00F60BD9"/>
    <w:rsid w:val="00F60DBF"/>
    <w:rsid w:val="00F611E8"/>
    <w:rsid w:val="00F6143E"/>
    <w:rsid w:val="00F614EF"/>
    <w:rsid w:val="00F6154C"/>
    <w:rsid w:val="00F61629"/>
    <w:rsid w:val="00F61726"/>
    <w:rsid w:val="00F61997"/>
    <w:rsid w:val="00F61B51"/>
    <w:rsid w:val="00F61C97"/>
    <w:rsid w:val="00F61CBE"/>
    <w:rsid w:val="00F620B0"/>
    <w:rsid w:val="00F623A2"/>
    <w:rsid w:val="00F627DD"/>
    <w:rsid w:val="00F6288A"/>
    <w:rsid w:val="00F62978"/>
    <w:rsid w:val="00F629EE"/>
    <w:rsid w:val="00F62CBB"/>
    <w:rsid w:val="00F62E56"/>
    <w:rsid w:val="00F62F10"/>
    <w:rsid w:val="00F62F9F"/>
    <w:rsid w:val="00F631A2"/>
    <w:rsid w:val="00F63248"/>
    <w:rsid w:val="00F6331C"/>
    <w:rsid w:val="00F633A9"/>
    <w:rsid w:val="00F6354F"/>
    <w:rsid w:val="00F635B9"/>
    <w:rsid w:val="00F6393B"/>
    <w:rsid w:val="00F63A0B"/>
    <w:rsid w:val="00F63A56"/>
    <w:rsid w:val="00F63B37"/>
    <w:rsid w:val="00F63BA4"/>
    <w:rsid w:val="00F63DCB"/>
    <w:rsid w:val="00F640B1"/>
    <w:rsid w:val="00F64149"/>
    <w:rsid w:val="00F6436B"/>
    <w:rsid w:val="00F644F2"/>
    <w:rsid w:val="00F64638"/>
    <w:rsid w:val="00F64835"/>
    <w:rsid w:val="00F648DD"/>
    <w:rsid w:val="00F648E7"/>
    <w:rsid w:val="00F64BEC"/>
    <w:rsid w:val="00F64C3A"/>
    <w:rsid w:val="00F64C74"/>
    <w:rsid w:val="00F64EBB"/>
    <w:rsid w:val="00F6500C"/>
    <w:rsid w:val="00F6515D"/>
    <w:rsid w:val="00F6517C"/>
    <w:rsid w:val="00F651EA"/>
    <w:rsid w:val="00F6531A"/>
    <w:rsid w:val="00F6535D"/>
    <w:rsid w:val="00F655F6"/>
    <w:rsid w:val="00F65666"/>
    <w:rsid w:val="00F6599C"/>
    <w:rsid w:val="00F65C79"/>
    <w:rsid w:val="00F65CDA"/>
    <w:rsid w:val="00F65D09"/>
    <w:rsid w:val="00F65EE5"/>
    <w:rsid w:val="00F6615D"/>
    <w:rsid w:val="00F66A4D"/>
    <w:rsid w:val="00F66BF9"/>
    <w:rsid w:val="00F66C32"/>
    <w:rsid w:val="00F66CBA"/>
    <w:rsid w:val="00F66D01"/>
    <w:rsid w:val="00F66D35"/>
    <w:rsid w:val="00F66D85"/>
    <w:rsid w:val="00F671A1"/>
    <w:rsid w:val="00F672AD"/>
    <w:rsid w:val="00F672E3"/>
    <w:rsid w:val="00F672F0"/>
    <w:rsid w:val="00F676CB"/>
    <w:rsid w:val="00F676D3"/>
    <w:rsid w:val="00F6775D"/>
    <w:rsid w:val="00F67D2B"/>
    <w:rsid w:val="00F67E59"/>
    <w:rsid w:val="00F6FAF6"/>
    <w:rsid w:val="00F70086"/>
    <w:rsid w:val="00F70577"/>
    <w:rsid w:val="00F705B7"/>
    <w:rsid w:val="00F709F6"/>
    <w:rsid w:val="00F70A34"/>
    <w:rsid w:val="00F70A4F"/>
    <w:rsid w:val="00F70BA9"/>
    <w:rsid w:val="00F70C2A"/>
    <w:rsid w:val="00F70CC7"/>
    <w:rsid w:val="00F70E43"/>
    <w:rsid w:val="00F710B7"/>
    <w:rsid w:val="00F712BF"/>
    <w:rsid w:val="00F712CC"/>
    <w:rsid w:val="00F71799"/>
    <w:rsid w:val="00F71997"/>
    <w:rsid w:val="00F71A92"/>
    <w:rsid w:val="00F71B89"/>
    <w:rsid w:val="00F71B99"/>
    <w:rsid w:val="00F71BF9"/>
    <w:rsid w:val="00F71BFA"/>
    <w:rsid w:val="00F71C38"/>
    <w:rsid w:val="00F71E8C"/>
    <w:rsid w:val="00F71EB8"/>
    <w:rsid w:val="00F71F19"/>
    <w:rsid w:val="00F720A6"/>
    <w:rsid w:val="00F72403"/>
    <w:rsid w:val="00F72453"/>
    <w:rsid w:val="00F7280F"/>
    <w:rsid w:val="00F72B54"/>
    <w:rsid w:val="00F72E23"/>
    <w:rsid w:val="00F72E29"/>
    <w:rsid w:val="00F72FAA"/>
    <w:rsid w:val="00F73033"/>
    <w:rsid w:val="00F73514"/>
    <w:rsid w:val="00F737B2"/>
    <w:rsid w:val="00F7385A"/>
    <w:rsid w:val="00F738F8"/>
    <w:rsid w:val="00F73954"/>
    <w:rsid w:val="00F739AE"/>
    <w:rsid w:val="00F73B3E"/>
    <w:rsid w:val="00F73C1F"/>
    <w:rsid w:val="00F73D44"/>
    <w:rsid w:val="00F73D98"/>
    <w:rsid w:val="00F73F27"/>
    <w:rsid w:val="00F73F4A"/>
    <w:rsid w:val="00F740A9"/>
    <w:rsid w:val="00F74148"/>
    <w:rsid w:val="00F744AC"/>
    <w:rsid w:val="00F74532"/>
    <w:rsid w:val="00F748F0"/>
    <w:rsid w:val="00F7494F"/>
    <w:rsid w:val="00F749C4"/>
    <w:rsid w:val="00F749FA"/>
    <w:rsid w:val="00F74A7B"/>
    <w:rsid w:val="00F74DF3"/>
    <w:rsid w:val="00F74FA5"/>
    <w:rsid w:val="00F755BD"/>
    <w:rsid w:val="00F755ED"/>
    <w:rsid w:val="00F75642"/>
    <w:rsid w:val="00F758BF"/>
    <w:rsid w:val="00F75910"/>
    <w:rsid w:val="00F75BD1"/>
    <w:rsid w:val="00F75DE8"/>
    <w:rsid w:val="00F76173"/>
    <w:rsid w:val="00F7647A"/>
    <w:rsid w:val="00F764A9"/>
    <w:rsid w:val="00F76780"/>
    <w:rsid w:val="00F768E5"/>
    <w:rsid w:val="00F76AA4"/>
    <w:rsid w:val="00F76C68"/>
    <w:rsid w:val="00F76DE4"/>
    <w:rsid w:val="00F76EAF"/>
    <w:rsid w:val="00F770CE"/>
    <w:rsid w:val="00F77119"/>
    <w:rsid w:val="00F77253"/>
    <w:rsid w:val="00F772DC"/>
    <w:rsid w:val="00F7765B"/>
    <w:rsid w:val="00F7770A"/>
    <w:rsid w:val="00F7776A"/>
    <w:rsid w:val="00F777D2"/>
    <w:rsid w:val="00F77837"/>
    <w:rsid w:val="00F7786C"/>
    <w:rsid w:val="00F77B11"/>
    <w:rsid w:val="00F77C21"/>
    <w:rsid w:val="00F77C81"/>
    <w:rsid w:val="00F77D1F"/>
    <w:rsid w:val="00F77DA1"/>
    <w:rsid w:val="00F800F5"/>
    <w:rsid w:val="00F80230"/>
    <w:rsid w:val="00F80286"/>
    <w:rsid w:val="00F80460"/>
    <w:rsid w:val="00F808A5"/>
    <w:rsid w:val="00F80B2F"/>
    <w:rsid w:val="00F81201"/>
    <w:rsid w:val="00F812AC"/>
    <w:rsid w:val="00F81341"/>
    <w:rsid w:val="00F81429"/>
    <w:rsid w:val="00F81502"/>
    <w:rsid w:val="00F815D8"/>
    <w:rsid w:val="00F8193F"/>
    <w:rsid w:val="00F81AA7"/>
    <w:rsid w:val="00F81BE5"/>
    <w:rsid w:val="00F81E8F"/>
    <w:rsid w:val="00F82109"/>
    <w:rsid w:val="00F82195"/>
    <w:rsid w:val="00F822DF"/>
    <w:rsid w:val="00F8230B"/>
    <w:rsid w:val="00F8233E"/>
    <w:rsid w:val="00F8242D"/>
    <w:rsid w:val="00F824E6"/>
    <w:rsid w:val="00F825A9"/>
    <w:rsid w:val="00F825AA"/>
    <w:rsid w:val="00F827A3"/>
    <w:rsid w:val="00F827C0"/>
    <w:rsid w:val="00F82A7A"/>
    <w:rsid w:val="00F83074"/>
    <w:rsid w:val="00F83175"/>
    <w:rsid w:val="00F831C3"/>
    <w:rsid w:val="00F83365"/>
    <w:rsid w:val="00F83476"/>
    <w:rsid w:val="00F8373F"/>
    <w:rsid w:val="00F83CD3"/>
    <w:rsid w:val="00F83DDA"/>
    <w:rsid w:val="00F83F40"/>
    <w:rsid w:val="00F83F42"/>
    <w:rsid w:val="00F83FD5"/>
    <w:rsid w:val="00F84045"/>
    <w:rsid w:val="00F84067"/>
    <w:rsid w:val="00F842FA"/>
    <w:rsid w:val="00F8464A"/>
    <w:rsid w:val="00F84740"/>
    <w:rsid w:val="00F84821"/>
    <w:rsid w:val="00F84991"/>
    <w:rsid w:val="00F84B6F"/>
    <w:rsid w:val="00F84F65"/>
    <w:rsid w:val="00F84F89"/>
    <w:rsid w:val="00F850EC"/>
    <w:rsid w:val="00F8514E"/>
    <w:rsid w:val="00F8521A"/>
    <w:rsid w:val="00F852C3"/>
    <w:rsid w:val="00F85470"/>
    <w:rsid w:val="00F85554"/>
    <w:rsid w:val="00F8569A"/>
    <w:rsid w:val="00F85986"/>
    <w:rsid w:val="00F859F7"/>
    <w:rsid w:val="00F85A9E"/>
    <w:rsid w:val="00F85E77"/>
    <w:rsid w:val="00F85F37"/>
    <w:rsid w:val="00F864A5"/>
    <w:rsid w:val="00F867D3"/>
    <w:rsid w:val="00F867E0"/>
    <w:rsid w:val="00F86921"/>
    <w:rsid w:val="00F86C4A"/>
    <w:rsid w:val="00F86DCD"/>
    <w:rsid w:val="00F86FF8"/>
    <w:rsid w:val="00F87112"/>
    <w:rsid w:val="00F87255"/>
    <w:rsid w:val="00F873C2"/>
    <w:rsid w:val="00F87534"/>
    <w:rsid w:val="00F87619"/>
    <w:rsid w:val="00F87662"/>
    <w:rsid w:val="00F877DF"/>
    <w:rsid w:val="00F879B6"/>
    <w:rsid w:val="00F87BFA"/>
    <w:rsid w:val="00F87DE9"/>
    <w:rsid w:val="00F87E1B"/>
    <w:rsid w:val="00F902B5"/>
    <w:rsid w:val="00F90D20"/>
    <w:rsid w:val="00F90D80"/>
    <w:rsid w:val="00F90E7E"/>
    <w:rsid w:val="00F90FFD"/>
    <w:rsid w:val="00F91037"/>
    <w:rsid w:val="00F910E5"/>
    <w:rsid w:val="00F91211"/>
    <w:rsid w:val="00F914DC"/>
    <w:rsid w:val="00F9160B"/>
    <w:rsid w:val="00F91AA8"/>
    <w:rsid w:val="00F91BFD"/>
    <w:rsid w:val="00F91C3D"/>
    <w:rsid w:val="00F91D18"/>
    <w:rsid w:val="00F91E86"/>
    <w:rsid w:val="00F91F00"/>
    <w:rsid w:val="00F91F0A"/>
    <w:rsid w:val="00F91F6F"/>
    <w:rsid w:val="00F921A6"/>
    <w:rsid w:val="00F923D7"/>
    <w:rsid w:val="00F92458"/>
    <w:rsid w:val="00F92802"/>
    <w:rsid w:val="00F92828"/>
    <w:rsid w:val="00F92A41"/>
    <w:rsid w:val="00F92EF0"/>
    <w:rsid w:val="00F92F0D"/>
    <w:rsid w:val="00F92F14"/>
    <w:rsid w:val="00F931AF"/>
    <w:rsid w:val="00F93435"/>
    <w:rsid w:val="00F9354A"/>
    <w:rsid w:val="00F9358A"/>
    <w:rsid w:val="00F93718"/>
    <w:rsid w:val="00F937D2"/>
    <w:rsid w:val="00F939E1"/>
    <w:rsid w:val="00F93A48"/>
    <w:rsid w:val="00F93AF2"/>
    <w:rsid w:val="00F93AF9"/>
    <w:rsid w:val="00F9400F"/>
    <w:rsid w:val="00F94298"/>
    <w:rsid w:val="00F9435D"/>
    <w:rsid w:val="00F94625"/>
    <w:rsid w:val="00F94656"/>
    <w:rsid w:val="00F9470A"/>
    <w:rsid w:val="00F9477D"/>
    <w:rsid w:val="00F94791"/>
    <w:rsid w:val="00F9479D"/>
    <w:rsid w:val="00F94A44"/>
    <w:rsid w:val="00F94A4E"/>
    <w:rsid w:val="00F9515E"/>
    <w:rsid w:val="00F9535D"/>
    <w:rsid w:val="00F95364"/>
    <w:rsid w:val="00F95436"/>
    <w:rsid w:val="00F9560F"/>
    <w:rsid w:val="00F95733"/>
    <w:rsid w:val="00F95A0E"/>
    <w:rsid w:val="00F95A88"/>
    <w:rsid w:val="00F95BA9"/>
    <w:rsid w:val="00F95D08"/>
    <w:rsid w:val="00F95D26"/>
    <w:rsid w:val="00F95E2E"/>
    <w:rsid w:val="00F96045"/>
    <w:rsid w:val="00F960FB"/>
    <w:rsid w:val="00F96178"/>
    <w:rsid w:val="00F96278"/>
    <w:rsid w:val="00F96837"/>
    <w:rsid w:val="00F96996"/>
    <w:rsid w:val="00F969B1"/>
    <w:rsid w:val="00F96BE6"/>
    <w:rsid w:val="00F96D8B"/>
    <w:rsid w:val="00F96F89"/>
    <w:rsid w:val="00F96FBD"/>
    <w:rsid w:val="00F9705B"/>
    <w:rsid w:val="00F9736D"/>
    <w:rsid w:val="00F9748E"/>
    <w:rsid w:val="00F9750F"/>
    <w:rsid w:val="00F97676"/>
    <w:rsid w:val="00F9793A"/>
    <w:rsid w:val="00F97B18"/>
    <w:rsid w:val="00F97DBB"/>
    <w:rsid w:val="00F97F74"/>
    <w:rsid w:val="00F97FA7"/>
    <w:rsid w:val="00FA02D4"/>
    <w:rsid w:val="00FA0419"/>
    <w:rsid w:val="00FA0740"/>
    <w:rsid w:val="00FA0781"/>
    <w:rsid w:val="00FA07F5"/>
    <w:rsid w:val="00FA0816"/>
    <w:rsid w:val="00FA0968"/>
    <w:rsid w:val="00FA0A13"/>
    <w:rsid w:val="00FA0B9E"/>
    <w:rsid w:val="00FA0BEC"/>
    <w:rsid w:val="00FA1100"/>
    <w:rsid w:val="00FA1480"/>
    <w:rsid w:val="00FA14AA"/>
    <w:rsid w:val="00FA16E4"/>
    <w:rsid w:val="00FA17A7"/>
    <w:rsid w:val="00FA186B"/>
    <w:rsid w:val="00FA1A13"/>
    <w:rsid w:val="00FA1C18"/>
    <w:rsid w:val="00FA1C6B"/>
    <w:rsid w:val="00FA1CF2"/>
    <w:rsid w:val="00FA1D72"/>
    <w:rsid w:val="00FA1DD9"/>
    <w:rsid w:val="00FA1EE1"/>
    <w:rsid w:val="00FA201B"/>
    <w:rsid w:val="00FA2181"/>
    <w:rsid w:val="00FA2201"/>
    <w:rsid w:val="00FA2753"/>
    <w:rsid w:val="00FA2A09"/>
    <w:rsid w:val="00FA2E01"/>
    <w:rsid w:val="00FA2EFC"/>
    <w:rsid w:val="00FA31C5"/>
    <w:rsid w:val="00FA3320"/>
    <w:rsid w:val="00FA3490"/>
    <w:rsid w:val="00FA358F"/>
    <w:rsid w:val="00FA362A"/>
    <w:rsid w:val="00FA3EF8"/>
    <w:rsid w:val="00FA40EE"/>
    <w:rsid w:val="00FA442E"/>
    <w:rsid w:val="00FA494E"/>
    <w:rsid w:val="00FA4A4E"/>
    <w:rsid w:val="00FA4AF0"/>
    <w:rsid w:val="00FA4E7E"/>
    <w:rsid w:val="00FA4F2B"/>
    <w:rsid w:val="00FA4F67"/>
    <w:rsid w:val="00FA5260"/>
    <w:rsid w:val="00FA52C8"/>
    <w:rsid w:val="00FA567E"/>
    <w:rsid w:val="00FA56C0"/>
    <w:rsid w:val="00FA580D"/>
    <w:rsid w:val="00FA58DC"/>
    <w:rsid w:val="00FA5917"/>
    <w:rsid w:val="00FA59C0"/>
    <w:rsid w:val="00FA59EF"/>
    <w:rsid w:val="00FA5A52"/>
    <w:rsid w:val="00FA5B62"/>
    <w:rsid w:val="00FA5C46"/>
    <w:rsid w:val="00FA5E43"/>
    <w:rsid w:val="00FA5E5C"/>
    <w:rsid w:val="00FA6061"/>
    <w:rsid w:val="00FA61DE"/>
    <w:rsid w:val="00FA637B"/>
    <w:rsid w:val="00FA6425"/>
    <w:rsid w:val="00FA644A"/>
    <w:rsid w:val="00FA695F"/>
    <w:rsid w:val="00FA6C9B"/>
    <w:rsid w:val="00FA6D34"/>
    <w:rsid w:val="00FA6E89"/>
    <w:rsid w:val="00FA7097"/>
    <w:rsid w:val="00FA70FE"/>
    <w:rsid w:val="00FA7358"/>
    <w:rsid w:val="00FA7519"/>
    <w:rsid w:val="00FA76B3"/>
    <w:rsid w:val="00FA7DAD"/>
    <w:rsid w:val="00FA7DF5"/>
    <w:rsid w:val="00FB006D"/>
    <w:rsid w:val="00FB0125"/>
    <w:rsid w:val="00FB0784"/>
    <w:rsid w:val="00FB07A7"/>
    <w:rsid w:val="00FB07E4"/>
    <w:rsid w:val="00FB083F"/>
    <w:rsid w:val="00FB0AC0"/>
    <w:rsid w:val="00FB0BA7"/>
    <w:rsid w:val="00FB0C72"/>
    <w:rsid w:val="00FB0DE4"/>
    <w:rsid w:val="00FB10CA"/>
    <w:rsid w:val="00FB1232"/>
    <w:rsid w:val="00FB1559"/>
    <w:rsid w:val="00FB1608"/>
    <w:rsid w:val="00FB18DA"/>
    <w:rsid w:val="00FB1A72"/>
    <w:rsid w:val="00FB1BBC"/>
    <w:rsid w:val="00FB1C0E"/>
    <w:rsid w:val="00FB1F7F"/>
    <w:rsid w:val="00FB216D"/>
    <w:rsid w:val="00FB21A9"/>
    <w:rsid w:val="00FB2361"/>
    <w:rsid w:val="00FB237D"/>
    <w:rsid w:val="00FB23B1"/>
    <w:rsid w:val="00FB255B"/>
    <w:rsid w:val="00FB2671"/>
    <w:rsid w:val="00FB2789"/>
    <w:rsid w:val="00FB2864"/>
    <w:rsid w:val="00FB2A55"/>
    <w:rsid w:val="00FB313A"/>
    <w:rsid w:val="00FB3177"/>
    <w:rsid w:val="00FB3242"/>
    <w:rsid w:val="00FB32A5"/>
    <w:rsid w:val="00FB3469"/>
    <w:rsid w:val="00FB3681"/>
    <w:rsid w:val="00FB36CF"/>
    <w:rsid w:val="00FB36E7"/>
    <w:rsid w:val="00FB3752"/>
    <w:rsid w:val="00FB3760"/>
    <w:rsid w:val="00FB37E2"/>
    <w:rsid w:val="00FB3B29"/>
    <w:rsid w:val="00FB3C81"/>
    <w:rsid w:val="00FB3D9A"/>
    <w:rsid w:val="00FB3FE5"/>
    <w:rsid w:val="00FB3FED"/>
    <w:rsid w:val="00FB4128"/>
    <w:rsid w:val="00FB4133"/>
    <w:rsid w:val="00FB426A"/>
    <w:rsid w:val="00FB42F8"/>
    <w:rsid w:val="00FB4937"/>
    <w:rsid w:val="00FB4A46"/>
    <w:rsid w:val="00FB4EF0"/>
    <w:rsid w:val="00FB5175"/>
    <w:rsid w:val="00FB52FD"/>
    <w:rsid w:val="00FB544B"/>
    <w:rsid w:val="00FB557A"/>
    <w:rsid w:val="00FB560B"/>
    <w:rsid w:val="00FB56B4"/>
    <w:rsid w:val="00FB588F"/>
    <w:rsid w:val="00FB5945"/>
    <w:rsid w:val="00FB5D2D"/>
    <w:rsid w:val="00FB5DB9"/>
    <w:rsid w:val="00FB5E9D"/>
    <w:rsid w:val="00FB5EA6"/>
    <w:rsid w:val="00FB60B9"/>
    <w:rsid w:val="00FB61DE"/>
    <w:rsid w:val="00FB6357"/>
    <w:rsid w:val="00FB6822"/>
    <w:rsid w:val="00FB68FF"/>
    <w:rsid w:val="00FB6900"/>
    <w:rsid w:val="00FB6F8F"/>
    <w:rsid w:val="00FB6F96"/>
    <w:rsid w:val="00FB6FF4"/>
    <w:rsid w:val="00FB7054"/>
    <w:rsid w:val="00FB70C7"/>
    <w:rsid w:val="00FB7231"/>
    <w:rsid w:val="00FB7274"/>
    <w:rsid w:val="00FB7289"/>
    <w:rsid w:val="00FB76CC"/>
    <w:rsid w:val="00FB78DF"/>
    <w:rsid w:val="00FB7933"/>
    <w:rsid w:val="00FB7A62"/>
    <w:rsid w:val="00FB7B39"/>
    <w:rsid w:val="00FB7B5A"/>
    <w:rsid w:val="00FB7D26"/>
    <w:rsid w:val="00FB7D7C"/>
    <w:rsid w:val="00FC0105"/>
    <w:rsid w:val="00FC0229"/>
    <w:rsid w:val="00FC0231"/>
    <w:rsid w:val="00FC0389"/>
    <w:rsid w:val="00FC040F"/>
    <w:rsid w:val="00FC0462"/>
    <w:rsid w:val="00FC058F"/>
    <w:rsid w:val="00FC0844"/>
    <w:rsid w:val="00FC0D11"/>
    <w:rsid w:val="00FC0DA7"/>
    <w:rsid w:val="00FC1011"/>
    <w:rsid w:val="00FC1185"/>
    <w:rsid w:val="00FC119F"/>
    <w:rsid w:val="00FC13A2"/>
    <w:rsid w:val="00FC153A"/>
    <w:rsid w:val="00FC15D1"/>
    <w:rsid w:val="00FC19A8"/>
    <w:rsid w:val="00FC1A7C"/>
    <w:rsid w:val="00FC1C7F"/>
    <w:rsid w:val="00FC1D4E"/>
    <w:rsid w:val="00FC1DBE"/>
    <w:rsid w:val="00FC1FD4"/>
    <w:rsid w:val="00FC204E"/>
    <w:rsid w:val="00FC217F"/>
    <w:rsid w:val="00FC237B"/>
    <w:rsid w:val="00FC242C"/>
    <w:rsid w:val="00FC28F5"/>
    <w:rsid w:val="00FC2C75"/>
    <w:rsid w:val="00FC2DF4"/>
    <w:rsid w:val="00FC2E46"/>
    <w:rsid w:val="00FC2F0F"/>
    <w:rsid w:val="00FC2FAB"/>
    <w:rsid w:val="00FC3043"/>
    <w:rsid w:val="00FC34C8"/>
    <w:rsid w:val="00FC34F3"/>
    <w:rsid w:val="00FC36BB"/>
    <w:rsid w:val="00FC385F"/>
    <w:rsid w:val="00FC3879"/>
    <w:rsid w:val="00FC3896"/>
    <w:rsid w:val="00FC39F3"/>
    <w:rsid w:val="00FC3CB1"/>
    <w:rsid w:val="00FC3D08"/>
    <w:rsid w:val="00FC3DD1"/>
    <w:rsid w:val="00FC3E02"/>
    <w:rsid w:val="00FC3F18"/>
    <w:rsid w:val="00FC3F5B"/>
    <w:rsid w:val="00FC4437"/>
    <w:rsid w:val="00FC454B"/>
    <w:rsid w:val="00FC45AB"/>
    <w:rsid w:val="00FC49F7"/>
    <w:rsid w:val="00FC4B3D"/>
    <w:rsid w:val="00FC4C27"/>
    <w:rsid w:val="00FC50DC"/>
    <w:rsid w:val="00FC5199"/>
    <w:rsid w:val="00FC536C"/>
    <w:rsid w:val="00FC551D"/>
    <w:rsid w:val="00FC557A"/>
    <w:rsid w:val="00FC5586"/>
    <w:rsid w:val="00FC5668"/>
    <w:rsid w:val="00FC57DB"/>
    <w:rsid w:val="00FC5A55"/>
    <w:rsid w:val="00FC5AED"/>
    <w:rsid w:val="00FC5CE7"/>
    <w:rsid w:val="00FC5FA7"/>
    <w:rsid w:val="00FC61DB"/>
    <w:rsid w:val="00FC641E"/>
    <w:rsid w:val="00FC667E"/>
    <w:rsid w:val="00FC66EA"/>
    <w:rsid w:val="00FC688D"/>
    <w:rsid w:val="00FC68DC"/>
    <w:rsid w:val="00FC68E3"/>
    <w:rsid w:val="00FC6B38"/>
    <w:rsid w:val="00FC6FE1"/>
    <w:rsid w:val="00FC6FEA"/>
    <w:rsid w:val="00FC76C6"/>
    <w:rsid w:val="00FC78F1"/>
    <w:rsid w:val="00FC79FD"/>
    <w:rsid w:val="00FC7B33"/>
    <w:rsid w:val="00FC7DFA"/>
    <w:rsid w:val="00FC7E30"/>
    <w:rsid w:val="00FD0103"/>
    <w:rsid w:val="00FD0168"/>
    <w:rsid w:val="00FD0271"/>
    <w:rsid w:val="00FD042C"/>
    <w:rsid w:val="00FD045D"/>
    <w:rsid w:val="00FD048D"/>
    <w:rsid w:val="00FD05AC"/>
    <w:rsid w:val="00FD0AD9"/>
    <w:rsid w:val="00FD0BAC"/>
    <w:rsid w:val="00FD0D4B"/>
    <w:rsid w:val="00FD0F0F"/>
    <w:rsid w:val="00FD0F29"/>
    <w:rsid w:val="00FD0F73"/>
    <w:rsid w:val="00FD0FF0"/>
    <w:rsid w:val="00FD1129"/>
    <w:rsid w:val="00FD1152"/>
    <w:rsid w:val="00FD1216"/>
    <w:rsid w:val="00FD1533"/>
    <w:rsid w:val="00FD15FB"/>
    <w:rsid w:val="00FD1606"/>
    <w:rsid w:val="00FD1628"/>
    <w:rsid w:val="00FD1661"/>
    <w:rsid w:val="00FD1688"/>
    <w:rsid w:val="00FD1B9D"/>
    <w:rsid w:val="00FD1F7D"/>
    <w:rsid w:val="00FD2049"/>
    <w:rsid w:val="00FD20BA"/>
    <w:rsid w:val="00FD23D1"/>
    <w:rsid w:val="00FD23D6"/>
    <w:rsid w:val="00FD24E0"/>
    <w:rsid w:val="00FD26CB"/>
    <w:rsid w:val="00FD27F6"/>
    <w:rsid w:val="00FD28E1"/>
    <w:rsid w:val="00FD2969"/>
    <w:rsid w:val="00FD2B55"/>
    <w:rsid w:val="00FD2C3A"/>
    <w:rsid w:val="00FD2DAA"/>
    <w:rsid w:val="00FD3103"/>
    <w:rsid w:val="00FD33F1"/>
    <w:rsid w:val="00FD3610"/>
    <w:rsid w:val="00FD372C"/>
    <w:rsid w:val="00FD3861"/>
    <w:rsid w:val="00FD392A"/>
    <w:rsid w:val="00FD396C"/>
    <w:rsid w:val="00FD3D92"/>
    <w:rsid w:val="00FD3ED5"/>
    <w:rsid w:val="00FD432D"/>
    <w:rsid w:val="00FD436C"/>
    <w:rsid w:val="00FD4598"/>
    <w:rsid w:val="00FD4823"/>
    <w:rsid w:val="00FD4827"/>
    <w:rsid w:val="00FD4B64"/>
    <w:rsid w:val="00FD4C75"/>
    <w:rsid w:val="00FD4D3F"/>
    <w:rsid w:val="00FD51A2"/>
    <w:rsid w:val="00FD5268"/>
    <w:rsid w:val="00FD543B"/>
    <w:rsid w:val="00FD5530"/>
    <w:rsid w:val="00FD5AB2"/>
    <w:rsid w:val="00FD5B59"/>
    <w:rsid w:val="00FD5BEB"/>
    <w:rsid w:val="00FD6361"/>
    <w:rsid w:val="00FD6419"/>
    <w:rsid w:val="00FD650A"/>
    <w:rsid w:val="00FD6604"/>
    <w:rsid w:val="00FD670D"/>
    <w:rsid w:val="00FD6B40"/>
    <w:rsid w:val="00FD6EBC"/>
    <w:rsid w:val="00FD6F09"/>
    <w:rsid w:val="00FD7370"/>
    <w:rsid w:val="00FD7709"/>
    <w:rsid w:val="00FD774B"/>
    <w:rsid w:val="00FD7780"/>
    <w:rsid w:val="00FD7C4B"/>
    <w:rsid w:val="00FD7EBC"/>
    <w:rsid w:val="00FE01B6"/>
    <w:rsid w:val="00FE05E9"/>
    <w:rsid w:val="00FE081D"/>
    <w:rsid w:val="00FE0C17"/>
    <w:rsid w:val="00FE0CE6"/>
    <w:rsid w:val="00FE11C5"/>
    <w:rsid w:val="00FE1270"/>
    <w:rsid w:val="00FE130E"/>
    <w:rsid w:val="00FE135D"/>
    <w:rsid w:val="00FE145C"/>
    <w:rsid w:val="00FE149F"/>
    <w:rsid w:val="00FE176F"/>
    <w:rsid w:val="00FE1822"/>
    <w:rsid w:val="00FE186F"/>
    <w:rsid w:val="00FE18A2"/>
    <w:rsid w:val="00FE1976"/>
    <w:rsid w:val="00FE1BB7"/>
    <w:rsid w:val="00FE2036"/>
    <w:rsid w:val="00FE2099"/>
    <w:rsid w:val="00FE211B"/>
    <w:rsid w:val="00FE257E"/>
    <w:rsid w:val="00FE25C2"/>
    <w:rsid w:val="00FE276F"/>
    <w:rsid w:val="00FE2884"/>
    <w:rsid w:val="00FE2A67"/>
    <w:rsid w:val="00FE2E50"/>
    <w:rsid w:val="00FE2E51"/>
    <w:rsid w:val="00FE2E5B"/>
    <w:rsid w:val="00FE3139"/>
    <w:rsid w:val="00FE360E"/>
    <w:rsid w:val="00FE3624"/>
    <w:rsid w:val="00FE3A2B"/>
    <w:rsid w:val="00FE3B11"/>
    <w:rsid w:val="00FE3D78"/>
    <w:rsid w:val="00FE3F30"/>
    <w:rsid w:val="00FE3FF0"/>
    <w:rsid w:val="00FE43F4"/>
    <w:rsid w:val="00FE4543"/>
    <w:rsid w:val="00FE484E"/>
    <w:rsid w:val="00FE4954"/>
    <w:rsid w:val="00FE4CC1"/>
    <w:rsid w:val="00FE4E4D"/>
    <w:rsid w:val="00FE4F15"/>
    <w:rsid w:val="00FE4F2F"/>
    <w:rsid w:val="00FE54F1"/>
    <w:rsid w:val="00FE594B"/>
    <w:rsid w:val="00FE5B81"/>
    <w:rsid w:val="00FE5D32"/>
    <w:rsid w:val="00FE5E27"/>
    <w:rsid w:val="00FE602D"/>
    <w:rsid w:val="00FE65B8"/>
    <w:rsid w:val="00FE67DD"/>
    <w:rsid w:val="00FE69DE"/>
    <w:rsid w:val="00FE6A5B"/>
    <w:rsid w:val="00FE6ADC"/>
    <w:rsid w:val="00FE6B6C"/>
    <w:rsid w:val="00FE6CE1"/>
    <w:rsid w:val="00FE6E12"/>
    <w:rsid w:val="00FE6FAA"/>
    <w:rsid w:val="00FE7090"/>
    <w:rsid w:val="00FE70EB"/>
    <w:rsid w:val="00FE738F"/>
    <w:rsid w:val="00FE7AE6"/>
    <w:rsid w:val="00FE7BC7"/>
    <w:rsid w:val="00FE7D45"/>
    <w:rsid w:val="00FE7EF3"/>
    <w:rsid w:val="00FF02AF"/>
    <w:rsid w:val="00FF0541"/>
    <w:rsid w:val="00FF081B"/>
    <w:rsid w:val="00FF0CFF"/>
    <w:rsid w:val="00FF1090"/>
    <w:rsid w:val="00FF10FD"/>
    <w:rsid w:val="00FF114E"/>
    <w:rsid w:val="00FF11CF"/>
    <w:rsid w:val="00FF13B7"/>
    <w:rsid w:val="00FF157A"/>
    <w:rsid w:val="00FF1583"/>
    <w:rsid w:val="00FF16DB"/>
    <w:rsid w:val="00FF16DD"/>
    <w:rsid w:val="00FF171D"/>
    <w:rsid w:val="00FF186C"/>
    <w:rsid w:val="00FF1BCC"/>
    <w:rsid w:val="00FF1E06"/>
    <w:rsid w:val="00FF1F45"/>
    <w:rsid w:val="00FF1F59"/>
    <w:rsid w:val="00FF203C"/>
    <w:rsid w:val="00FF21DC"/>
    <w:rsid w:val="00FF21DF"/>
    <w:rsid w:val="00FF2239"/>
    <w:rsid w:val="00FF2695"/>
    <w:rsid w:val="00FF2881"/>
    <w:rsid w:val="00FF289D"/>
    <w:rsid w:val="00FF2927"/>
    <w:rsid w:val="00FF297E"/>
    <w:rsid w:val="00FF29D0"/>
    <w:rsid w:val="00FF2A95"/>
    <w:rsid w:val="00FF2DCE"/>
    <w:rsid w:val="00FF2EE0"/>
    <w:rsid w:val="00FF30E0"/>
    <w:rsid w:val="00FF34C0"/>
    <w:rsid w:val="00FF3AD9"/>
    <w:rsid w:val="00FF3BE0"/>
    <w:rsid w:val="00FF3C8E"/>
    <w:rsid w:val="00FF3C9F"/>
    <w:rsid w:val="00FF3EAE"/>
    <w:rsid w:val="00FF4040"/>
    <w:rsid w:val="00FF416E"/>
    <w:rsid w:val="00FF4507"/>
    <w:rsid w:val="00FF45D0"/>
    <w:rsid w:val="00FF45DE"/>
    <w:rsid w:val="00FF4772"/>
    <w:rsid w:val="00FF4C61"/>
    <w:rsid w:val="00FF4C62"/>
    <w:rsid w:val="00FF50C9"/>
    <w:rsid w:val="00FF5414"/>
    <w:rsid w:val="00FF5502"/>
    <w:rsid w:val="00FF5549"/>
    <w:rsid w:val="00FF5610"/>
    <w:rsid w:val="00FF56C6"/>
    <w:rsid w:val="00FF5736"/>
    <w:rsid w:val="00FF5762"/>
    <w:rsid w:val="00FF5A53"/>
    <w:rsid w:val="00FF5B14"/>
    <w:rsid w:val="00FF5C7C"/>
    <w:rsid w:val="00FF5CAB"/>
    <w:rsid w:val="00FF5EC4"/>
    <w:rsid w:val="00FF5FF5"/>
    <w:rsid w:val="00FF621D"/>
    <w:rsid w:val="00FF661F"/>
    <w:rsid w:val="00FF66B8"/>
    <w:rsid w:val="00FF71FD"/>
    <w:rsid w:val="00FF724C"/>
    <w:rsid w:val="00FF73A7"/>
    <w:rsid w:val="00FF741F"/>
    <w:rsid w:val="00FF743A"/>
    <w:rsid w:val="00FF7620"/>
    <w:rsid w:val="00FF7853"/>
    <w:rsid w:val="00FF7A46"/>
    <w:rsid w:val="00FF7DF3"/>
    <w:rsid w:val="00FF7F0C"/>
    <w:rsid w:val="00FF7F57"/>
    <w:rsid w:val="010EE2DB"/>
    <w:rsid w:val="0116042C"/>
    <w:rsid w:val="01655B83"/>
    <w:rsid w:val="017AC130"/>
    <w:rsid w:val="018332D3"/>
    <w:rsid w:val="0185A79B"/>
    <w:rsid w:val="01943167"/>
    <w:rsid w:val="01A358B6"/>
    <w:rsid w:val="01ADAB3F"/>
    <w:rsid w:val="01B1FF40"/>
    <w:rsid w:val="01B42662"/>
    <w:rsid w:val="01B957E3"/>
    <w:rsid w:val="01C6135A"/>
    <w:rsid w:val="01C8D953"/>
    <w:rsid w:val="01C94115"/>
    <w:rsid w:val="01CDF7B7"/>
    <w:rsid w:val="01E2C62D"/>
    <w:rsid w:val="01F5959C"/>
    <w:rsid w:val="02387BB9"/>
    <w:rsid w:val="02732CA0"/>
    <w:rsid w:val="028E92BF"/>
    <w:rsid w:val="029F72E4"/>
    <w:rsid w:val="02A064DE"/>
    <w:rsid w:val="02B125E3"/>
    <w:rsid w:val="02B4D2C1"/>
    <w:rsid w:val="02BAAD2D"/>
    <w:rsid w:val="02BD482A"/>
    <w:rsid w:val="02C79677"/>
    <w:rsid w:val="02C9B589"/>
    <w:rsid w:val="02C9DFB6"/>
    <w:rsid w:val="02CA9415"/>
    <w:rsid w:val="02F15ACA"/>
    <w:rsid w:val="02F18AC1"/>
    <w:rsid w:val="02FBDE0B"/>
    <w:rsid w:val="03074D2F"/>
    <w:rsid w:val="0307E926"/>
    <w:rsid w:val="03084AEF"/>
    <w:rsid w:val="0308A517"/>
    <w:rsid w:val="032C75C7"/>
    <w:rsid w:val="0335157B"/>
    <w:rsid w:val="03381C7F"/>
    <w:rsid w:val="03543171"/>
    <w:rsid w:val="035D0460"/>
    <w:rsid w:val="03656B70"/>
    <w:rsid w:val="03693B82"/>
    <w:rsid w:val="036FC119"/>
    <w:rsid w:val="0385EB1E"/>
    <w:rsid w:val="03871317"/>
    <w:rsid w:val="03986A57"/>
    <w:rsid w:val="03B05DF5"/>
    <w:rsid w:val="03C9BB4C"/>
    <w:rsid w:val="03CA7976"/>
    <w:rsid w:val="03DDE869"/>
    <w:rsid w:val="03F4F46D"/>
    <w:rsid w:val="03F6E889"/>
    <w:rsid w:val="0419EE66"/>
    <w:rsid w:val="0425F5C3"/>
    <w:rsid w:val="0431ED85"/>
    <w:rsid w:val="04337CA8"/>
    <w:rsid w:val="043A3DB9"/>
    <w:rsid w:val="04470417"/>
    <w:rsid w:val="04555CAD"/>
    <w:rsid w:val="0457B52B"/>
    <w:rsid w:val="045FD6A8"/>
    <w:rsid w:val="04659BFB"/>
    <w:rsid w:val="046714F2"/>
    <w:rsid w:val="046D405C"/>
    <w:rsid w:val="0470EC2F"/>
    <w:rsid w:val="04776EA0"/>
    <w:rsid w:val="0479F088"/>
    <w:rsid w:val="0482CF12"/>
    <w:rsid w:val="04907999"/>
    <w:rsid w:val="04927740"/>
    <w:rsid w:val="049C59B9"/>
    <w:rsid w:val="04A1B678"/>
    <w:rsid w:val="04A23E27"/>
    <w:rsid w:val="04A2D882"/>
    <w:rsid w:val="04A88710"/>
    <w:rsid w:val="04AEDFA2"/>
    <w:rsid w:val="04BB078C"/>
    <w:rsid w:val="04D02298"/>
    <w:rsid w:val="04D9D267"/>
    <w:rsid w:val="04E1BAD2"/>
    <w:rsid w:val="04EEAF58"/>
    <w:rsid w:val="04FFF5F5"/>
    <w:rsid w:val="05055211"/>
    <w:rsid w:val="050A5564"/>
    <w:rsid w:val="050AE720"/>
    <w:rsid w:val="05108AE6"/>
    <w:rsid w:val="05120A21"/>
    <w:rsid w:val="051567E1"/>
    <w:rsid w:val="0516BB9F"/>
    <w:rsid w:val="051AEA0A"/>
    <w:rsid w:val="052B95BB"/>
    <w:rsid w:val="05441EA4"/>
    <w:rsid w:val="0551E939"/>
    <w:rsid w:val="0555E389"/>
    <w:rsid w:val="0562E040"/>
    <w:rsid w:val="056CDB0A"/>
    <w:rsid w:val="0574AD69"/>
    <w:rsid w:val="0579397B"/>
    <w:rsid w:val="057AF7FE"/>
    <w:rsid w:val="059877C1"/>
    <w:rsid w:val="059EA983"/>
    <w:rsid w:val="05A82886"/>
    <w:rsid w:val="05AD61B7"/>
    <w:rsid w:val="05B6C10E"/>
    <w:rsid w:val="05BD9EB8"/>
    <w:rsid w:val="05C4EA4B"/>
    <w:rsid w:val="05DDAE8D"/>
    <w:rsid w:val="05DF7637"/>
    <w:rsid w:val="05EA3557"/>
    <w:rsid w:val="05F19546"/>
    <w:rsid w:val="05F6A2D5"/>
    <w:rsid w:val="06012584"/>
    <w:rsid w:val="06059A49"/>
    <w:rsid w:val="060875A3"/>
    <w:rsid w:val="061485ED"/>
    <w:rsid w:val="061C1DE2"/>
    <w:rsid w:val="062CFBC7"/>
    <w:rsid w:val="06302B4B"/>
    <w:rsid w:val="0639C3B8"/>
    <w:rsid w:val="063C39B6"/>
    <w:rsid w:val="06446037"/>
    <w:rsid w:val="06656820"/>
    <w:rsid w:val="06684AFC"/>
    <w:rsid w:val="0693884C"/>
    <w:rsid w:val="06ABC745"/>
    <w:rsid w:val="06AE4640"/>
    <w:rsid w:val="06B2AF2D"/>
    <w:rsid w:val="06B308EC"/>
    <w:rsid w:val="06B98779"/>
    <w:rsid w:val="06BFB7CA"/>
    <w:rsid w:val="06DF21D4"/>
    <w:rsid w:val="06E513B6"/>
    <w:rsid w:val="06EF293B"/>
    <w:rsid w:val="06F14588"/>
    <w:rsid w:val="06F3687A"/>
    <w:rsid w:val="07093D98"/>
    <w:rsid w:val="070BB66B"/>
    <w:rsid w:val="0712E847"/>
    <w:rsid w:val="07209CE5"/>
    <w:rsid w:val="07365EBA"/>
    <w:rsid w:val="0738D49A"/>
    <w:rsid w:val="074E2E3E"/>
    <w:rsid w:val="074F238A"/>
    <w:rsid w:val="075118D7"/>
    <w:rsid w:val="07572A5B"/>
    <w:rsid w:val="07573D47"/>
    <w:rsid w:val="0762A909"/>
    <w:rsid w:val="076B41F6"/>
    <w:rsid w:val="07778533"/>
    <w:rsid w:val="0779D8DB"/>
    <w:rsid w:val="077EBA6C"/>
    <w:rsid w:val="078F310D"/>
    <w:rsid w:val="07959D39"/>
    <w:rsid w:val="0799881D"/>
    <w:rsid w:val="0799D054"/>
    <w:rsid w:val="07A00C3B"/>
    <w:rsid w:val="07A30553"/>
    <w:rsid w:val="07AA489D"/>
    <w:rsid w:val="07AD135C"/>
    <w:rsid w:val="07AEA53E"/>
    <w:rsid w:val="07BA71D8"/>
    <w:rsid w:val="07C8AB08"/>
    <w:rsid w:val="08041B8D"/>
    <w:rsid w:val="08085020"/>
    <w:rsid w:val="0828E543"/>
    <w:rsid w:val="082A2CAB"/>
    <w:rsid w:val="08309E31"/>
    <w:rsid w:val="08461C57"/>
    <w:rsid w:val="084A2CD2"/>
    <w:rsid w:val="084C34E0"/>
    <w:rsid w:val="085F0222"/>
    <w:rsid w:val="085F90FD"/>
    <w:rsid w:val="086BB6B3"/>
    <w:rsid w:val="08757360"/>
    <w:rsid w:val="0878F78E"/>
    <w:rsid w:val="087F998A"/>
    <w:rsid w:val="088243FF"/>
    <w:rsid w:val="088D33CB"/>
    <w:rsid w:val="08944B14"/>
    <w:rsid w:val="08A0DE3E"/>
    <w:rsid w:val="08A2DBC0"/>
    <w:rsid w:val="08A4248F"/>
    <w:rsid w:val="08A8E5AD"/>
    <w:rsid w:val="08AF3F33"/>
    <w:rsid w:val="08D69C74"/>
    <w:rsid w:val="08D71213"/>
    <w:rsid w:val="08ED61FF"/>
    <w:rsid w:val="08F45ECD"/>
    <w:rsid w:val="09047F6C"/>
    <w:rsid w:val="09065A27"/>
    <w:rsid w:val="0919BCA9"/>
    <w:rsid w:val="093103BA"/>
    <w:rsid w:val="09327731"/>
    <w:rsid w:val="09360C04"/>
    <w:rsid w:val="094602F7"/>
    <w:rsid w:val="094C583C"/>
    <w:rsid w:val="095E1F48"/>
    <w:rsid w:val="096AF8A5"/>
    <w:rsid w:val="0970E72D"/>
    <w:rsid w:val="097F6004"/>
    <w:rsid w:val="0980C717"/>
    <w:rsid w:val="09A0A8C4"/>
    <w:rsid w:val="09A1CD59"/>
    <w:rsid w:val="09B325E2"/>
    <w:rsid w:val="09B3E940"/>
    <w:rsid w:val="09BF9096"/>
    <w:rsid w:val="09C64A32"/>
    <w:rsid w:val="09C73FD5"/>
    <w:rsid w:val="09C89D55"/>
    <w:rsid w:val="09D896DC"/>
    <w:rsid w:val="09E7FC20"/>
    <w:rsid w:val="09EF499A"/>
    <w:rsid w:val="09F551B9"/>
    <w:rsid w:val="0A00E69C"/>
    <w:rsid w:val="0A01044C"/>
    <w:rsid w:val="0A0E7275"/>
    <w:rsid w:val="0A15DD4E"/>
    <w:rsid w:val="0A395394"/>
    <w:rsid w:val="0A4D6F0D"/>
    <w:rsid w:val="0A606FEE"/>
    <w:rsid w:val="0A6BD4C6"/>
    <w:rsid w:val="0A6D4255"/>
    <w:rsid w:val="0A6D85AA"/>
    <w:rsid w:val="0A6E179A"/>
    <w:rsid w:val="0A765382"/>
    <w:rsid w:val="0A7A3EA0"/>
    <w:rsid w:val="0A7DBF6F"/>
    <w:rsid w:val="0A7F9A52"/>
    <w:rsid w:val="0A813274"/>
    <w:rsid w:val="0A86B148"/>
    <w:rsid w:val="0A8B7A1B"/>
    <w:rsid w:val="0A8E8A9A"/>
    <w:rsid w:val="0A9C5AB8"/>
    <w:rsid w:val="0AA8F03D"/>
    <w:rsid w:val="0AB167BF"/>
    <w:rsid w:val="0AB8305E"/>
    <w:rsid w:val="0AB91C85"/>
    <w:rsid w:val="0AC60AA8"/>
    <w:rsid w:val="0AD627ED"/>
    <w:rsid w:val="0AD964A4"/>
    <w:rsid w:val="0AE5A034"/>
    <w:rsid w:val="0AF31DB1"/>
    <w:rsid w:val="0AF46440"/>
    <w:rsid w:val="0AF99E7B"/>
    <w:rsid w:val="0B006249"/>
    <w:rsid w:val="0B0DB5D4"/>
    <w:rsid w:val="0B1C1DC7"/>
    <w:rsid w:val="0B2653F0"/>
    <w:rsid w:val="0B2C9E7F"/>
    <w:rsid w:val="0B385E06"/>
    <w:rsid w:val="0B596BDD"/>
    <w:rsid w:val="0B5FB790"/>
    <w:rsid w:val="0B68322F"/>
    <w:rsid w:val="0B77F1FD"/>
    <w:rsid w:val="0B86E3AD"/>
    <w:rsid w:val="0B8ACAAC"/>
    <w:rsid w:val="0B974E8F"/>
    <w:rsid w:val="0B9FDDD9"/>
    <w:rsid w:val="0BC4CC47"/>
    <w:rsid w:val="0BC7240B"/>
    <w:rsid w:val="0BE103CB"/>
    <w:rsid w:val="0BE9390C"/>
    <w:rsid w:val="0BEA0FD5"/>
    <w:rsid w:val="0BF4768E"/>
    <w:rsid w:val="0C16BD20"/>
    <w:rsid w:val="0C24A2EF"/>
    <w:rsid w:val="0C24F730"/>
    <w:rsid w:val="0C2864B6"/>
    <w:rsid w:val="0C481BB8"/>
    <w:rsid w:val="0C562E99"/>
    <w:rsid w:val="0C6EA68F"/>
    <w:rsid w:val="0C6EE4C5"/>
    <w:rsid w:val="0C75A30D"/>
    <w:rsid w:val="0C80DA55"/>
    <w:rsid w:val="0C914709"/>
    <w:rsid w:val="0C9207E9"/>
    <w:rsid w:val="0C95848B"/>
    <w:rsid w:val="0C95F5AC"/>
    <w:rsid w:val="0C993C78"/>
    <w:rsid w:val="0CA4D8FE"/>
    <w:rsid w:val="0CB17711"/>
    <w:rsid w:val="0CB1D516"/>
    <w:rsid w:val="0CBC73DC"/>
    <w:rsid w:val="0CCB8CDF"/>
    <w:rsid w:val="0CCEF516"/>
    <w:rsid w:val="0CCFE907"/>
    <w:rsid w:val="0CD46660"/>
    <w:rsid w:val="0CD8DC85"/>
    <w:rsid w:val="0CFDE608"/>
    <w:rsid w:val="0D0AD3E6"/>
    <w:rsid w:val="0D0FE5BD"/>
    <w:rsid w:val="0D125C75"/>
    <w:rsid w:val="0D1647CC"/>
    <w:rsid w:val="0D2000A2"/>
    <w:rsid w:val="0D220366"/>
    <w:rsid w:val="0D386CF5"/>
    <w:rsid w:val="0D40A3D3"/>
    <w:rsid w:val="0D45712E"/>
    <w:rsid w:val="0D541601"/>
    <w:rsid w:val="0D556138"/>
    <w:rsid w:val="0D57F2FC"/>
    <w:rsid w:val="0D628AFB"/>
    <w:rsid w:val="0D8CE194"/>
    <w:rsid w:val="0D92BDED"/>
    <w:rsid w:val="0DA02386"/>
    <w:rsid w:val="0DA76A57"/>
    <w:rsid w:val="0DAB7FA0"/>
    <w:rsid w:val="0DB0A5CB"/>
    <w:rsid w:val="0DB7888C"/>
    <w:rsid w:val="0DBE5D96"/>
    <w:rsid w:val="0DC22FF8"/>
    <w:rsid w:val="0DC2BC08"/>
    <w:rsid w:val="0DC74AF3"/>
    <w:rsid w:val="0DC8DFA0"/>
    <w:rsid w:val="0DD66345"/>
    <w:rsid w:val="0DE9EEF4"/>
    <w:rsid w:val="0DEAC7E8"/>
    <w:rsid w:val="0E02D92A"/>
    <w:rsid w:val="0E0A9BE2"/>
    <w:rsid w:val="0E14FFE0"/>
    <w:rsid w:val="0E224019"/>
    <w:rsid w:val="0E285761"/>
    <w:rsid w:val="0E28B250"/>
    <w:rsid w:val="0E47AEB0"/>
    <w:rsid w:val="0E4A91F0"/>
    <w:rsid w:val="0E58D4A3"/>
    <w:rsid w:val="0E6DCAC8"/>
    <w:rsid w:val="0E7261EB"/>
    <w:rsid w:val="0E8BC7E9"/>
    <w:rsid w:val="0E8E5427"/>
    <w:rsid w:val="0E9B8BFE"/>
    <w:rsid w:val="0EBEA7E1"/>
    <w:rsid w:val="0EC54D2E"/>
    <w:rsid w:val="0ED19E94"/>
    <w:rsid w:val="0EEB00A9"/>
    <w:rsid w:val="0EF3A16C"/>
    <w:rsid w:val="0F02EBC1"/>
    <w:rsid w:val="0F058AD1"/>
    <w:rsid w:val="0F0D2F63"/>
    <w:rsid w:val="0F160268"/>
    <w:rsid w:val="0F1D7C0F"/>
    <w:rsid w:val="0F2043A8"/>
    <w:rsid w:val="0F29CF83"/>
    <w:rsid w:val="0F347E36"/>
    <w:rsid w:val="0F3AAE31"/>
    <w:rsid w:val="0F3CCA34"/>
    <w:rsid w:val="0F4213A9"/>
    <w:rsid w:val="0F565FF0"/>
    <w:rsid w:val="0F71AD64"/>
    <w:rsid w:val="0F787B13"/>
    <w:rsid w:val="0F9905D7"/>
    <w:rsid w:val="0FA02499"/>
    <w:rsid w:val="0FABE20A"/>
    <w:rsid w:val="0FAC375C"/>
    <w:rsid w:val="0FB0881C"/>
    <w:rsid w:val="0FB2D453"/>
    <w:rsid w:val="0FB9DBB3"/>
    <w:rsid w:val="0FC07382"/>
    <w:rsid w:val="0FC40FB1"/>
    <w:rsid w:val="0FD27E03"/>
    <w:rsid w:val="0FD5F40E"/>
    <w:rsid w:val="0FE71BF9"/>
    <w:rsid w:val="0FF5C793"/>
    <w:rsid w:val="0FFB2453"/>
    <w:rsid w:val="10006F04"/>
    <w:rsid w:val="100B3F6F"/>
    <w:rsid w:val="10204791"/>
    <w:rsid w:val="102AAF5A"/>
    <w:rsid w:val="1037FE3A"/>
    <w:rsid w:val="1053DA62"/>
    <w:rsid w:val="106226B5"/>
    <w:rsid w:val="106E7959"/>
    <w:rsid w:val="10733806"/>
    <w:rsid w:val="1075AC79"/>
    <w:rsid w:val="1075E1A0"/>
    <w:rsid w:val="10827F87"/>
    <w:rsid w:val="1086EC30"/>
    <w:rsid w:val="108B8D92"/>
    <w:rsid w:val="10B317BF"/>
    <w:rsid w:val="10B6DD40"/>
    <w:rsid w:val="10C95D29"/>
    <w:rsid w:val="10CA1DDC"/>
    <w:rsid w:val="10CACD12"/>
    <w:rsid w:val="10D25CF7"/>
    <w:rsid w:val="10D3ABED"/>
    <w:rsid w:val="10E43F46"/>
    <w:rsid w:val="10E64639"/>
    <w:rsid w:val="10EBFBC5"/>
    <w:rsid w:val="10EF3309"/>
    <w:rsid w:val="10F8A0AD"/>
    <w:rsid w:val="10FA83E3"/>
    <w:rsid w:val="1134DDD8"/>
    <w:rsid w:val="113627E1"/>
    <w:rsid w:val="113A2A33"/>
    <w:rsid w:val="11486477"/>
    <w:rsid w:val="11492D01"/>
    <w:rsid w:val="114BAC2B"/>
    <w:rsid w:val="11650FAB"/>
    <w:rsid w:val="1168E95A"/>
    <w:rsid w:val="116ED1F7"/>
    <w:rsid w:val="1180058B"/>
    <w:rsid w:val="118017A7"/>
    <w:rsid w:val="11894E8A"/>
    <w:rsid w:val="118F9355"/>
    <w:rsid w:val="1197E6EF"/>
    <w:rsid w:val="11A9CDD9"/>
    <w:rsid w:val="11B3DF55"/>
    <w:rsid w:val="11B8789A"/>
    <w:rsid w:val="11DF29AF"/>
    <w:rsid w:val="11E60586"/>
    <w:rsid w:val="11E672F6"/>
    <w:rsid w:val="11F05B94"/>
    <w:rsid w:val="11F507EC"/>
    <w:rsid w:val="11F7F399"/>
    <w:rsid w:val="1203F706"/>
    <w:rsid w:val="1211058C"/>
    <w:rsid w:val="1219859B"/>
    <w:rsid w:val="122C05CA"/>
    <w:rsid w:val="1257EF19"/>
    <w:rsid w:val="126034F9"/>
    <w:rsid w:val="1264A03C"/>
    <w:rsid w:val="126F16C2"/>
    <w:rsid w:val="1273CF72"/>
    <w:rsid w:val="12784067"/>
    <w:rsid w:val="12784535"/>
    <w:rsid w:val="12837A33"/>
    <w:rsid w:val="12838264"/>
    <w:rsid w:val="12890C1C"/>
    <w:rsid w:val="129A9D6D"/>
    <w:rsid w:val="129AA7EC"/>
    <w:rsid w:val="12A65BB8"/>
    <w:rsid w:val="12AE73FE"/>
    <w:rsid w:val="12B53629"/>
    <w:rsid w:val="12C36392"/>
    <w:rsid w:val="12DA674C"/>
    <w:rsid w:val="12E99BCB"/>
    <w:rsid w:val="1305DF9A"/>
    <w:rsid w:val="130DB5D7"/>
    <w:rsid w:val="131D1082"/>
    <w:rsid w:val="132C9E9F"/>
    <w:rsid w:val="132E64D5"/>
    <w:rsid w:val="1339F2CF"/>
    <w:rsid w:val="13513BD4"/>
    <w:rsid w:val="1358A879"/>
    <w:rsid w:val="135A23F5"/>
    <w:rsid w:val="135AC97D"/>
    <w:rsid w:val="135BA3B3"/>
    <w:rsid w:val="135D62B0"/>
    <w:rsid w:val="135EBDC4"/>
    <w:rsid w:val="1363AA9E"/>
    <w:rsid w:val="1366F830"/>
    <w:rsid w:val="13815C60"/>
    <w:rsid w:val="13831E94"/>
    <w:rsid w:val="138CF8C3"/>
    <w:rsid w:val="138D8FBE"/>
    <w:rsid w:val="13A2A392"/>
    <w:rsid w:val="13A9DE98"/>
    <w:rsid w:val="13C03673"/>
    <w:rsid w:val="13D2B9D2"/>
    <w:rsid w:val="13D55C4F"/>
    <w:rsid w:val="13E462EB"/>
    <w:rsid w:val="13E69316"/>
    <w:rsid w:val="13E8A40D"/>
    <w:rsid w:val="13EE5038"/>
    <w:rsid w:val="13EFB3C9"/>
    <w:rsid w:val="13F1738A"/>
    <w:rsid w:val="13FF29F2"/>
    <w:rsid w:val="13FF581F"/>
    <w:rsid w:val="140B70B1"/>
    <w:rsid w:val="140D51A5"/>
    <w:rsid w:val="1413E0B8"/>
    <w:rsid w:val="1428182F"/>
    <w:rsid w:val="142A797A"/>
    <w:rsid w:val="144F162A"/>
    <w:rsid w:val="144F56F6"/>
    <w:rsid w:val="1474F7C2"/>
    <w:rsid w:val="14751318"/>
    <w:rsid w:val="14761320"/>
    <w:rsid w:val="1485F6A4"/>
    <w:rsid w:val="148A41AA"/>
    <w:rsid w:val="148ED384"/>
    <w:rsid w:val="14BBAAA3"/>
    <w:rsid w:val="14BC976F"/>
    <w:rsid w:val="14BE695F"/>
    <w:rsid w:val="14CC1CF7"/>
    <w:rsid w:val="14CEE8C4"/>
    <w:rsid w:val="14DC350E"/>
    <w:rsid w:val="14DD3975"/>
    <w:rsid w:val="14E3BEA6"/>
    <w:rsid w:val="14E885A3"/>
    <w:rsid w:val="14F1CCE4"/>
    <w:rsid w:val="14F23768"/>
    <w:rsid w:val="14F5534F"/>
    <w:rsid w:val="15007FEE"/>
    <w:rsid w:val="1501EB7E"/>
    <w:rsid w:val="150DBEAE"/>
    <w:rsid w:val="152E7CD7"/>
    <w:rsid w:val="153041A8"/>
    <w:rsid w:val="15340257"/>
    <w:rsid w:val="154B8794"/>
    <w:rsid w:val="154D3535"/>
    <w:rsid w:val="154E0167"/>
    <w:rsid w:val="154F8821"/>
    <w:rsid w:val="1551EB39"/>
    <w:rsid w:val="155EFF81"/>
    <w:rsid w:val="156439A3"/>
    <w:rsid w:val="156B74A2"/>
    <w:rsid w:val="15739665"/>
    <w:rsid w:val="1587CE77"/>
    <w:rsid w:val="15997A19"/>
    <w:rsid w:val="159B2F55"/>
    <w:rsid w:val="15A1FAD6"/>
    <w:rsid w:val="15B8DBE7"/>
    <w:rsid w:val="15CFD079"/>
    <w:rsid w:val="15D4D04F"/>
    <w:rsid w:val="15D8F7B4"/>
    <w:rsid w:val="15E1B0C1"/>
    <w:rsid w:val="15E938AC"/>
    <w:rsid w:val="15F7711B"/>
    <w:rsid w:val="16226BCB"/>
    <w:rsid w:val="1643123F"/>
    <w:rsid w:val="165966E0"/>
    <w:rsid w:val="166084D9"/>
    <w:rsid w:val="16610A83"/>
    <w:rsid w:val="16622FC4"/>
    <w:rsid w:val="1678AF50"/>
    <w:rsid w:val="1679E13D"/>
    <w:rsid w:val="16880FA6"/>
    <w:rsid w:val="16931FF3"/>
    <w:rsid w:val="16AFCB6C"/>
    <w:rsid w:val="16BB3996"/>
    <w:rsid w:val="16C27629"/>
    <w:rsid w:val="16CB667D"/>
    <w:rsid w:val="16D8ADFB"/>
    <w:rsid w:val="16DA8A46"/>
    <w:rsid w:val="16DCA725"/>
    <w:rsid w:val="17059F01"/>
    <w:rsid w:val="1708967F"/>
    <w:rsid w:val="170B2189"/>
    <w:rsid w:val="170E4904"/>
    <w:rsid w:val="1713534F"/>
    <w:rsid w:val="1720265D"/>
    <w:rsid w:val="17230259"/>
    <w:rsid w:val="172BC626"/>
    <w:rsid w:val="172DEE08"/>
    <w:rsid w:val="1731A496"/>
    <w:rsid w:val="1739E4DA"/>
    <w:rsid w:val="173D4FB7"/>
    <w:rsid w:val="173E60C3"/>
    <w:rsid w:val="1747C70F"/>
    <w:rsid w:val="1750BF57"/>
    <w:rsid w:val="17664D3E"/>
    <w:rsid w:val="176F0E06"/>
    <w:rsid w:val="177DCB39"/>
    <w:rsid w:val="1789D659"/>
    <w:rsid w:val="178BA761"/>
    <w:rsid w:val="178D0A68"/>
    <w:rsid w:val="1790E4E5"/>
    <w:rsid w:val="17A23F1F"/>
    <w:rsid w:val="17A966B7"/>
    <w:rsid w:val="17AC59FD"/>
    <w:rsid w:val="17B8DA4E"/>
    <w:rsid w:val="17BAA85F"/>
    <w:rsid w:val="17C90E09"/>
    <w:rsid w:val="17D8D2B8"/>
    <w:rsid w:val="17E8067B"/>
    <w:rsid w:val="17E853FA"/>
    <w:rsid w:val="17EA6011"/>
    <w:rsid w:val="17EADAAD"/>
    <w:rsid w:val="17EB2FBD"/>
    <w:rsid w:val="1805A341"/>
    <w:rsid w:val="1809033A"/>
    <w:rsid w:val="18192960"/>
    <w:rsid w:val="18246B8C"/>
    <w:rsid w:val="183E9D55"/>
    <w:rsid w:val="184513CB"/>
    <w:rsid w:val="1846A476"/>
    <w:rsid w:val="185B815B"/>
    <w:rsid w:val="1862DA11"/>
    <w:rsid w:val="1879742B"/>
    <w:rsid w:val="188375D8"/>
    <w:rsid w:val="1884E43C"/>
    <w:rsid w:val="18890A63"/>
    <w:rsid w:val="188A7B8C"/>
    <w:rsid w:val="1896D489"/>
    <w:rsid w:val="18C07629"/>
    <w:rsid w:val="18C61CB0"/>
    <w:rsid w:val="18CA6338"/>
    <w:rsid w:val="18D93DA7"/>
    <w:rsid w:val="18E804CA"/>
    <w:rsid w:val="18FA2E72"/>
    <w:rsid w:val="1900AFE9"/>
    <w:rsid w:val="19013FF7"/>
    <w:rsid w:val="190312F2"/>
    <w:rsid w:val="190D144A"/>
    <w:rsid w:val="1912E0E3"/>
    <w:rsid w:val="19366D8D"/>
    <w:rsid w:val="1942FD8A"/>
    <w:rsid w:val="19584371"/>
    <w:rsid w:val="19656DA4"/>
    <w:rsid w:val="196E269B"/>
    <w:rsid w:val="197E039D"/>
    <w:rsid w:val="198DEBFB"/>
    <w:rsid w:val="19907ABB"/>
    <w:rsid w:val="1999E132"/>
    <w:rsid w:val="19A6F2CC"/>
    <w:rsid w:val="19A76E7C"/>
    <w:rsid w:val="19ABE70F"/>
    <w:rsid w:val="19AC79AD"/>
    <w:rsid w:val="19B0C45C"/>
    <w:rsid w:val="19B9DF94"/>
    <w:rsid w:val="19BAEBB1"/>
    <w:rsid w:val="19BF7851"/>
    <w:rsid w:val="19C4CF34"/>
    <w:rsid w:val="19CF0104"/>
    <w:rsid w:val="19DA670A"/>
    <w:rsid w:val="19E139D3"/>
    <w:rsid w:val="19E6E9B7"/>
    <w:rsid w:val="19EC7748"/>
    <w:rsid w:val="19F01DE2"/>
    <w:rsid w:val="19F17264"/>
    <w:rsid w:val="19F6FE10"/>
    <w:rsid w:val="1A0867E6"/>
    <w:rsid w:val="1A10CC01"/>
    <w:rsid w:val="1A18A3F0"/>
    <w:rsid w:val="1A20451F"/>
    <w:rsid w:val="1A215FA7"/>
    <w:rsid w:val="1A400F4C"/>
    <w:rsid w:val="1A509D45"/>
    <w:rsid w:val="1A72C349"/>
    <w:rsid w:val="1A737FFF"/>
    <w:rsid w:val="1A776F71"/>
    <w:rsid w:val="1A892340"/>
    <w:rsid w:val="1A8C3033"/>
    <w:rsid w:val="1A8EB52B"/>
    <w:rsid w:val="1A96E41D"/>
    <w:rsid w:val="1A9B62F1"/>
    <w:rsid w:val="1AAB27EC"/>
    <w:rsid w:val="1AAFDB2E"/>
    <w:rsid w:val="1AB43352"/>
    <w:rsid w:val="1ABC8A8B"/>
    <w:rsid w:val="1AD17992"/>
    <w:rsid w:val="1AD32B34"/>
    <w:rsid w:val="1AD8F18C"/>
    <w:rsid w:val="1AE798D5"/>
    <w:rsid w:val="1AFD7715"/>
    <w:rsid w:val="1B02F026"/>
    <w:rsid w:val="1B0D3C12"/>
    <w:rsid w:val="1B225EDF"/>
    <w:rsid w:val="1B226C37"/>
    <w:rsid w:val="1B22F684"/>
    <w:rsid w:val="1B387A94"/>
    <w:rsid w:val="1B6539CD"/>
    <w:rsid w:val="1B6926A6"/>
    <w:rsid w:val="1B6C1866"/>
    <w:rsid w:val="1B6F3F00"/>
    <w:rsid w:val="1B765ECE"/>
    <w:rsid w:val="1B899F19"/>
    <w:rsid w:val="1B91C4E8"/>
    <w:rsid w:val="1B93B706"/>
    <w:rsid w:val="1BAE39C5"/>
    <w:rsid w:val="1BC6A0E7"/>
    <w:rsid w:val="1BD5FDA4"/>
    <w:rsid w:val="1BDA6E45"/>
    <w:rsid w:val="1BE0C436"/>
    <w:rsid w:val="1BE6D3BE"/>
    <w:rsid w:val="1BF6BE30"/>
    <w:rsid w:val="1BFBE1AD"/>
    <w:rsid w:val="1BFD45BA"/>
    <w:rsid w:val="1C027D60"/>
    <w:rsid w:val="1C099326"/>
    <w:rsid w:val="1C13EFB6"/>
    <w:rsid w:val="1C142B44"/>
    <w:rsid w:val="1C193446"/>
    <w:rsid w:val="1C31C549"/>
    <w:rsid w:val="1C378E3F"/>
    <w:rsid w:val="1C3A28FB"/>
    <w:rsid w:val="1C3A5A1F"/>
    <w:rsid w:val="1C45AA74"/>
    <w:rsid w:val="1C5FE94E"/>
    <w:rsid w:val="1C6881BD"/>
    <w:rsid w:val="1C694CDE"/>
    <w:rsid w:val="1C75BC22"/>
    <w:rsid w:val="1C7B92AD"/>
    <w:rsid w:val="1C9B2A02"/>
    <w:rsid w:val="1C9B557D"/>
    <w:rsid w:val="1C9C293E"/>
    <w:rsid w:val="1C9C5E3E"/>
    <w:rsid w:val="1CAF8DF2"/>
    <w:rsid w:val="1CB855E1"/>
    <w:rsid w:val="1CD7C422"/>
    <w:rsid w:val="1CE5101F"/>
    <w:rsid w:val="1CEAA8E2"/>
    <w:rsid w:val="1CEABC6D"/>
    <w:rsid w:val="1CED6120"/>
    <w:rsid w:val="1CFB25DA"/>
    <w:rsid w:val="1CFBC2F3"/>
    <w:rsid w:val="1D0C129F"/>
    <w:rsid w:val="1D0D121C"/>
    <w:rsid w:val="1D0E7996"/>
    <w:rsid w:val="1D235661"/>
    <w:rsid w:val="1D359EBC"/>
    <w:rsid w:val="1D3A3EDE"/>
    <w:rsid w:val="1D4875AD"/>
    <w:rsid w:val="1D504350"/>
    <w:rsid w:val="1D561A71"/>
    <w:rsid w:val="1D68423B"/>
    <w:rsid w:val="1D7ACB5B"/>
    <w:rsid w:val="1D814A63"/>
    <w:rsid w:val="1D861A6B"/>
    <w:rsid w:val="1D95AE22"/>
    <w:rsid w:val="1D978A26"/>
    <w:rsid w:val="1DB396E9"/>
    <w:rsid w:val="1DBF805A"/>
    <w:rsid w:val="1DC4E84B"/>
    <w:rsid w:val="1DCCCE62"/>
    <w:rsid w:val="1DD5DA86"/>
    <w:rsid w:val="1DDF4ACE"/>
    <w:rsid w:val="1DDFA62B"/>
    <w:rsid w:val="1DE58936"/>
    <w:rsid w:val="1DE8B567"/>
    <w:rsid w:val="1DEDB9F3"/>
    <w:rsid w:val="1DF03708"/>
    <w:rsid w:val="1DF63E08"/>
    <w:rsid w:val="1E0494C2"/>
    <w:rsid w:val="1E06D728"/>
    <w:rsid w:val="1E1A1EFC"/>
    <w:rsid w:val="1E1C73AF"/>
    <w:rsid w:val="1E209797"/>
    <w:rsid w:val="1E2B3344"/>
    <w:rsid w:val="1E31EF05"/>
    <w:rsid w:val="1E3A4D04"/>
    <w:rsid w:val="1E43D8F6"/>
    <w:rsid w:val="1E43E11C"/>
    <w:rsid w:val="1E49E956"/>
    <w:rsid w:val="1E4A5B03"/>
    <w:rsid w:val="1E502934"/>
    <w:rsid w:val="1E517A58"/>
    <w:rsid w:val="1E524B7D"/>
    <w:rsid w:val="1E52B84E"/>
    <w:rsid w:val="1E5697D4"/>
    <w:rsid w:val="1E610B43"/>
    <w:rsid w:val="1E6D3E91"/>
    <w:rsid w:val="1E7294D9"/>
    <w:rsid w:val="1E75B1B4"/>
    <w:rsid w:val="1E7C99CF"/>
    <w:rsid w:val="1E7D6464"/>
    <w:rsid w:val="1E82E4F6"/>
    <w:rsid w:val="1E860095"/>
    <w:rsid w:val="1E8D3AE8"/>
    <w:rsid w:val="1E8F25C6"/>
    <w:rsid w:val="1E927DEC"/>
    <w:rsid w:val="1E936A93"/>
    <w:rsid w:val="1EA8818A"/>
    <w:rsid w:val="1EC143C3"/>
    <w:rsid w:val="1EDB0BCD"/>
    <w:rsid w:val="1EDFD367"/>
    <w:rsid w:val="1EE83E48"/>
    <w:rsid w:val="1EF2B4CF"/>
    <w:rsid w:val="1EF746D7"/>
    <w:rsid w:val="1F1B47C0"/>
    <w:rsid w:val="1F34C218"/>
    <w:rsid w:val="1F361742"/>
    <w:rsid w:val="1F4B8222"/>
    <w:rsid w:val="1F5C2583"/>
    <w:rsid w:val="1F5C66A5"/>
    <w:rsid w:val="1F6A49D3"/>
    <w:rsid w:val="1F6AA899"/>
    <w:rsid w:val="1F6CC24D"/>
    <w:rsid w:val="1F6F00F5"/>
    <w:rsid w:val="1F6FAD38"/>
    <w:rsid w:val="1F707E97"/>
    <w:rsid w:val="1F71E39E"/>
    <w:rsid w:val="1F737791"/>
    <w:rsid w:val="1F75ADC2"/>
    <w:rsid w:val="1F760222"/>
    <w:rsid w:val="1F9006C1"/>
    <w:rsid w:val="1F98A99A"/>
    <w:rsid w:val="1F9F91C0"/>
    <w:rsid w:val="1FA58CBB"/>
    <w:rsid w:val="1FC1956D"/>
    <w:rsid w:val="1FE074B6"/>
    <w:rsid w:val="1FE5E020"/>
    <w:rsid w:val="20039EB8"/>
    <w:rsid w:val="200C15E4"/>
    <w:rsid w:val="2018F0ED"/>
    <w:rsid w:val="201C274C"/>
    <w:rsid w:val="201C9D3A"/>
    <w:rsid w:val="20209F63"/>
    <w:rsid w:val="20302475"/>
    <w:rsid w:val="2031DAC9"/>
    <w:rsid w:val="2036E945"/>
    <w:rsid w:val="2037A098"/>
    <w:rsid w:val="20514104"/>
    <w:rsid w:val="2051C2BE"/>
    <w:rsid w:val="2051F508"/>
    <w:rsid w:val="205A1E1A"/>
    <w:rsid w:val="207A0403"/>
    <w:rsid w:val="20830709"/>
    <w:rsid w:val="20853BF9"/>
    <w:rsid w:val="208A660C"/>
    <w:rsid w:val="209EAEAD"/>
    <w:rsid w:val="20AF9F00"/>
    <w:rsid w:val="20B4B6DB"/>
    <w:rsid w:val="20C5D4BD"/>
    <w:rsid w:val="20CC0622"/>
    <w:rsid w:val="20D6191F"/>
    <w:rsid w:val="20E1A198"/>
    <w:rsid w:val="20E28459"/>
    <w:rsid w:val="20EAA936"/>
    <w:rsid w:val="20ED8501"/>
    <w:rsid w:val="20F1CB22"/>
    <w:rsid w:val="20F1E48C"/>
    <w:rsid w:val="2100D3AE"/>
    <w:rsid w:val="2110F9E4"/>
    <w:rsid w:val="211F227D"/>
    <w:rsid w:val="2122BE2C"/>
    <w:rsid w:val="21496124"/>
    <w:rsid w:val="21605EB8"/>
    <w:rsid w:val="2162735F"/>
    <w:rsid w:val="216C2CD2"/>
    <w:rsid w:val="217E5E90"/>
    <w:rsid w:val="21841E2E"/>
    <w:rsid w:val="21B0BFA8"/>
    <w:rsid w:val="21B9CC33"/>
    <w:rsid w:val="21CE08B0"/>
    <w:rsid w:val="21DA8668"/>
    <w:rsid w:val="21DE1B11"/>
    <w:rsid w:val="21DECA39"/>
    <w:rsid w:val="21E39267"/>
    <w:rsid w:val="21F96BF3"/>
    <w:rsid w:val="22034D82"/>
    <w:rsid w:val="220423A3"/>
    <w:rsid w:val="22049690"/>
    <w:rsid w:val="221AC7DF"/>
    <w:rsid w:val="221AE55E"/>
    <w:rsid w:val="2230321C"/>
    <w:rsid w:val="2233378F"/>
    <w:rsid w:val="22375153"/>
    <w:rsid w:val="2242F725"/>
    <w:rsid w:val="2245BBCD"/>
    <w:rsid w:val="22463AA2"/>
    <w:rsid w:val="2267CDE3"/>
    <w:rsid w:val="226CB837"/>
    <w:rsid w:val="226D9259"/>
    <w:rsid w:val="227B409C"/>
    <w:rsid w:val="227E6661"/>
    <w:rsid w:val="228266CF"/>
    <w:rsid w:val="22837D82"/>
    <w:rsid w:val="22857DBC"/>
    <w:rsid w:val="2286D048"/>
    <w:rsid w:val="228F1C38"/>
    <w:rsid w:val="2291B911"/>
    <w:rsid w:val="2293CAA5"/>
    <w:rsid w:val="22A52017"/>
    <w:rsid w:val="22AD5F0F"/>
    <w:rsid w:val="22BC0500"/>
    <w:rsid w:val="22C0B6E8"/>
    <w:rsid w:val="22C37004"/>
    <w:rsid w:val="22DA87EE"/>
    <w:rsid w:val="22DAB967"/>
    <w:rsid w:val="22E5F855"/>
    <w:rsid w:val="22E71C1B"/>
    <w:rsid w:val="22F1C3C2"/>
    <w:rsid w:val="22F9B21A"/>
    <w:rsid w:val="22FAAAE3"/>
    <w:rsid w:val="23050DB1"/>
    <w:rsid w:val="23058878"/>
    <w:rsid w:val="23095346"/>
    <w:rsid w:val="231102B4"/>
    <w:rsid w:val="231A61E3"/>
    <w:rsid w:val="232453F3"/>
    <w:rsid w:val="2331D71B"/>
    <w:rsid w:val="2348509A"/>
    <w:rsid w:val="23488B4C"/>
    <w:rsid w:val="235FCA89"/>
    <w:rsid w:val="2365F91B"/>
    <w:rsid w:val="237767DF"/>
    <w:rsid w:val="23787656"/>
    <w:rsid w:val="238104C8"/>
    <w:rsid w:val="23890C85"/>
    <w:rsid w:val="2390ED95"/>
    <w:rsid w:val="23991AAC"/>
    <w:rsid w:val="239FC783"/>
    <w:rsid w:val="23BC282C"/>
    <w:rsid w:val="23C3618A"/>
    <w:rsid w:val="23CCC002"/>
    <w:rsid w:val="23CEE540"/>
    <w:rsid w:val="23D724EE"/>
    <w:rsid w:val="24043C69"/>
    <w:rsid w:val="2418F5A4"/>
    <w:rsid w:val="2432D667"/>
    <w:rsid w:val="24358185"/>
    <w:rsid w:val="2437B34A"/>
    <w:rsid w:val="243CDAF7"/>
    <w:rsid w:val="243F4DBE"/>
    <w:rsid w:val="2444B6AD"/>
    <w:rsid w:val="24454876"/>
    <w:rsid w:val="2450C047"/>
    <w:rsid w:val="245627A0"/>
    <w:rsid w:val="24613CC8"/>
    <w:rsid w:val="24973147"/>
    <w:rsid w:val="24997536"/>
    <w:rsid w:val="2499FD75"/>
    <w:rsid w:val="24AC6EED"/>
    <w:rsid w:val="24AC85FD"/>
    <w:rsid w:val="24C46470"/>
    <w:rsid w:val="24CEF32F"/>
    <w:rsid w:val="24D3FB53"/>
    <w:rsid w:val="24E577AF"/>
    <w:rsid w:val="24EC8E44"/>
    <w:rsid w:val="24EE27C5"/>
    <w:rsid w:val="24F3163C"/>
    <w:rsid w:val="250230B9"/>
    <w:rsid w:val="2502AA8E"/>
    <w:rsid w:val="250810EC"/>
    <w:rsid w:val="250C8B79"/>
    <w:rsid w:val="2515AC6B"/>
    <w:rsid w:val="2515E4BA"/>
    <w:rsid w:val="251C12B6"/>
    <w:rsid w:val="252916CB"/>
    <w:rsid w:val="252E5383"/>
    <w:rsid w:val="253A3E75"/>
    <w:rsid w:val="253AAE14"/>
    <w:rsid w:val="2546E9F1"/>
    <w:rsid w:val="2549657F"/>
    <w:rsid w:val="2556137D"/>
    <w:rsid w:val="2557B704"/>
    <w:rsid w:val="255C2B5D"/>
    <w:rsid w:val="255E5D94"/>
    <w:rsid w:val="256003BC"/>
    <w:rsid w:val="25679053"/>
    <w:rsid w:val="256AD793"/>
    <w:rsid w:val="258319EB"/>
    <w:rsid w:val="25890459"/>
    <w:rsid w:val="25931CDC"/>
    <w:rsid w:val="259A7191"/>
    <w:rsid w:val="259B78E8"/>
    <w:rsid w:val="25AD867F"/>
    <w:rsid w:val="25BE1B69"/>
    <w:rsid w:val="25C6154A"/>
    <w:rsid w:val="25E45536"/>
    <w:rsid w:val="25EFCEBF"/>
    <w:rsid w:val="25F0BD1E"/>
    <w:rsid w:val="25F38B7F"/>
    <w:rsid w:val="25F73173"/>
    <w:rsid w:val="2603521D"/>
    <w:rsid w:val="2613E048"/>
    <w:rsid w:val="26242C40"/>
    <w:rsid w:val="2643979F"/>
    <w:rsid w:val="264ABA78"/>
    <w:rsid w:val="26790E8D"/>
    <w:rsid w:val="267B8B59"/>
    <w:rsid w:val="26929473"/>
    <w:rsid w:val="2697BFAE"/>
    <w:rsid w:val="269F0267"/>
    <w:rsid w:val="26BF96C7"/>
    <w:rsid w:val="26BFD5D2"/>
    <w:rsid w:val="26C7F8C3"/>
    <w:rsid w:val="26E43D38"/>
    <w:rsid w:val="26F08285"/>
    <w:rsid w:val="26F803A9"/>
    <w:rsid w:val="2701AAA9"/>
    <w:rsid w:val="270BA173"/>
    <w:rsid w:val="270D3E0A"/>
    <w:rsid w:val="270FAABE"/>
    <w:rsid w:val="27286AD8"/>
    <w:rsid w:val="272D5B1A"/>
    <w:rsid w:val="272FCE5E"/>
    <w:rsid w:val="2733C4C6"/>
    <w:rsid w:val="273AD212"/>
    <w:rsid w:val="27401FD4"/>
    <w:rsid w:val="274165FC"/>
    <w:rsid w:val="27424D1C"/>
    <w:rsid w:val="27462586"/>
    <w:rsid w:val="274A45C5"/>
    <w:rsid w:val="27524685"/>
    <w:rsid w:val="2752B75B"/>
    <w:rsid w:val="27582E4B"/>
    <w:rsid w:val="275AD1FF"/>
    <w:rsid w:val="27632347"/>
    <w:rsid w:val="276690FC"/>
    <w:rsid w:val="2779F303"/>
    <w:rsid w:val="277E56DD"/>
    <w:rsid w:val="278D1560"/>
    <w:rsid w:val="278D680F"/>
    <w:rsid w:val="2790C067"/>
    <w:rsid w:val="279A0049"/>
    <w:rsid w:val="279A2C94"/>
    <w:rsid w:val="27A532E5"/>
    <w:rsid w:val="27C31C5C"/>
    <w:rsid w:val="27C48E77"/>
    <w:rsid w:val="27C9B96D"/>
    <w:rsid w:val="27D18501"/>
    <w:rsid w:val="27D9AE4A"/>
    <w:rsid w:val="27ECC4F0"/>
    <w:rsid w:val="27EE856D"/>
    <w:rsid w:val="27F1CEB3"/>
    <w:rsid w:val="27F252FF"/>
    <w:rsid w:val="27F6F969"/>
    <w:rsid w:val="27FDFE06"/>
    <w:rsid w:val="280096AA"/>
    <w:rsid w:val="2800A399"/>
    <w:rsid w:val="2802CA35"/>
    <w:rsid w:val="280FD06A"/>
    <w:rsid w:val="2814F7A4"/>
    <w:rsid w:val="281AF00B"/>
    <w:rsid w:val="281B510D"/>
    <w:rsid w:val="282604DA"/>
    <w:rsid w:val="28360F2C"/>
    <w:rsid w:val="283F15DE"/>
    <w:rsid w:val="284E4828"/>
    <w:rsid w:val="28535537"/>
    <w:rsid w:val="285F69BA"/>
    <w:rsid w:val="28649C53"/>
    <w:rsid w:val="287EB354"/>
    <w:rsid w:val="28881075"/>
    <w:rsid w:val="2892B0FF"/>
    <w:rsid w:val="28AA1F38"/>
    <w:rsid w:val="28C355FF"/>
    <w:rsid w:val="28CF0B5C"/>
    <w:rsid w:val="28D9B27C"/>
    <w:rsid w:val="28E24113"/>
    <w:rsid w:val="28F03DEF"/>
    <w:rsid w:val="28F7D23E"/>
    <w:rsid w:val="28F9AB7B"/>
    <w:rsid w:val="292981E3"/>
    <w:rsid w:val="2929AF54"/>
    <w:rsid w:val="292C74E6"/>
    <w:rsid w:val="29390962"/>
    <w:rsid w:val="2955B755"/>
    <w:rsid w:val="295AADF5"/>
    <w:rsid w:val="2971BFC1"/>
    <w:rsid w:val="297C904B"/>
    <w:rsid w:val="2980AFF8"/>
    <w:rsid w:val="2988E1C8"/>
    <w:rsid w:val="299B2312"/>
    <w:rsid w:val="29AA207B"/>
    <w:rsid w:val="29CE627A"/>
    <w:rsid w:val="29CF01EE"/>
    <w:rsid w:val="29D699DE"/>
    <w:rsid w:val="29E1AA44"/>
    <w:rsid w:val="29F0482A"/>
    <w:rsid w:val="2A1507B8"/>
    <w:rsid w:val="2A18F760"/>
    <w:rsid w:val="2A1A8E6E"/>
    <w:rsid w:val="2A1BCD97"/>
    <w:rsid w:val="2A2D6D62"/>
    <w:rsid w:val="2A59C10B"/>
    <w:rsid w:val="2A641CB0"/>
    <w:rsid w:val="2A6B0FF8"/>
    <w:rsid w:val="2A6B4CF9"/>
    <w:rsid w:val="2A79F015"/>
    <w:rsid w:val="2A7AFF99"/>
    <w:rsid w:val="2A80DF7B"/>
    <w:rsid w:val="2A81584C"/>
    <w:rsid w:val="2A8D95D7"/>
    <w:rsid w:val="2A9A3A1B"/>
    <w:rsid w:val="2A9A795E"/>
    <w:rsid w:val="2AAEDF84"/>
    <w:rsid w:val="2AB543DB"/>
    <w:rsid w:val="2AC13702"/>
    <w:rsid w:val="2AD1F9D2"/>
    <w:rsid w:val="2AD30CC1"/>
    <w:rsid w:val="2AE04C82"/>
    <w:rsid w:val="2AEA9900"/>
    <w:rsid w:val="2AED20F3"/>
    <w:rsid w:val="2AF6591F"/>
    <w:rsid w:val="2B02C42F"/>
    <w:rsid w:val="2B049E01"/>
    <w:rsid w:val="2B1289E9"/>
    <w:rsid w:val="2B12E2EE"/>
    <w:rsid w:val="2B1FD24C"/>
    <w:rsid w:val="2B359E4C"/>
    <w:rsid w:val="2B3A2F49"/>
    <w:rsid w:val="2B3EDB3F"/>
    <w:rsid w:val="2B48BBEB"/>
    <w:rsid w:val="2B49FB04"/>
    <w:rsid w:val="2B4B183A"/>
    <w:rsid w:val="2B4D449E"/>
    <w:rsid w:val="2B4E1BA9"/>
    <w:rsid w:val="2B4ED38C"/>
    <w:rsid w:val="2B5CB0D7"/>
    <w:rsid w:val="2B6CEC3A"/>
    <w:rsid w:val="2B8CDA8F"/>
    <w:rsid w:val="2B9240B7"/>
    <w:rsid w:val="2BA2229B"/>
    <w:rsid w:val="2BA52BF7"/>
    <w:rsid w:val="2BAEC431"/>
    <w:rsid w:val="2BB15342"/>
    <w:rsid w:val="2BBA9331"/>
    <w:rsid w:val="2BD36BCA"/>
    <w:rsid w:val="2BD49032"/>
    <w:rsid w:val="2BDC8920"/>
    <w:rsid w:val="2BE5D718"/>
    <w:rsid w:val="2BF31C72"/>
    <w:rsid w:val="2BF55A85"/>
    <w:rsid w:val="2C196624"/>
    <w:rsid w:val="2C22506A"/>
    <w:rsid w:val="2C2A49DB"/>
    <w:rsid w:val="2C2F80D7"/>
    <w:rsid w:val="2C313257"/>
    <w:rsid w:val="2C34CB93"/>
    <w:rsid w:val="2C54A396"/>
    <w:rsid w:val="2C75DB94"/>
    <w:rsid w:val="2C789FDD"/>
    <w:rsid w:val="2C7F12F5"/>
    <w:rsid w:val="2C82618D"/>
    <w:rsid w:val="2C92D207"/>
    <w:rsid w:val="2CAEE5BE"/>
    <w:rsid w:val="2CB163F7"/>
    <w:rsid w:val="2CB48635"/>
    <w:rsid w:val="2CBCA670"/>
    <w:rsid w:val="2CD34D76"/>
    <w:rsid w:val="2CD69250"/>
    <w:rsid w:val="2CDDA954"/>
    <w:rsid w:val="2CE5724F"/>
    <w:rsid w:val="2CE84A1A"/>
    <w:rsid w:val="2CEACA24"/>
    <w:rsid w:val="2CEC7069"/>
    <w:rsid w:val="2CFFDB2D"/>
    <w:rsid w:val="2D04B880"/>
    <w:rsid w:val="2D08A5F6"/>
    <w:rsid w:val="2D26360B"/>
    <w:rsid w:val="2D282F1E"/>
    <w:rsid w:val="2D2F3B65"/>
    <w:rsid w:val="2D47E114"/>
    <w:rsid w:val="2D50D850"/>
    <w:rsid w:val="2D53839B"/>
    <w:rsid w:val="2D684820"/>
    <w:rsid w:val="2D78814A"/>
    <w:rsid w:val="2D7A692D"/>
    <w:rsid w:val="2D7BC798"/>
    <w:rsid w:val="2D94B7A0"/>
    <w:rsid w:val="2D953C97"/>
    <w:rsid w:val="2D974F86"/>
    <w:rsid w:val="2D9ABC9B"/>
    <w:rsid w:val="2D9E7812"/>
    <w:rsid w:val="2DA123E3"/>
    <w:rsid w:val="2DB95D79"/>
    <w:rsid w:val="2DBC545E"/>
    <w:rsid w:val="2DC70282"/>
    <w:rsid w:val="2DD25034"/>
    <w:rsid w:val="2DDD6602"/>
    <w:rsid w:val="2E1CB052"/>
    <w:rsid w:val="2E222E72"/>
    <w:rsid w:val="2E222ED6"/>
    <w:rsid w:val="2E283F5A"/>
    <w:rsid w:val="2E33DB92"/>
    <w:rsid w:val="2E42D999"/>
    <w:rsid w:val="2E52605C"/>
    <w:rsid w:val="2E5E7FDC"/>
    <w:rsid w:val="2E5F79FA"/>
    <w:rsid w:val="2E794437"/>
    <w:rsid w:val="2E8292C7"/>
    <w:rsid w:val="2E8B5D69"/>
    <w:rsid w:val="2E946043"/>
    <w:rsid w:val="2EA11DE7"/>
    <w:rsid w:val="2EABDA0B"/>
    <w:rsid w:val="2EB02984"/>
    <w:rsid w:val="2EB4F10E"/>
    <w:rsid w:val="2EBA6B07"/>
    <w:rsid w:val="2EBAEBA0"/>
    <w:rsid w:val="2ED85659"/>
    <w:rsid w:val="2EF0BF69"/>
    <w:rsid w:val="2EF8E0F3"/>
    <w:rsid w:val="2EFC9606"/>
    <w:rsid w:val="2F010AC0"/>
    <w:rsid w:val="2F1AE153"/>
    <w:rsid w:val="2F2A9487"/>
    <w:rsid w:val="2F2ABF37"/>
    <w:rsid w:val="2F2E66EC"/>
    <w:rsid w:val="2F33803B"/>
    <w:rsid w:val="2F39F6C6"/>
    <w:rsid w:val="2F4014F2"/>
    <w:rsid w:val="2F4078F3"/>
    <w:rsid w:val="2F464512"/>
    <w:rsid w:val="2F54D927"/>
    <w:rsid w:val="2F58129F"/>
    <w:rsid w:val="2F5D5C4A"/>
    <w:rsid w:val="2F635D2D"/>
    <w:rsid w:val="2F7B85ED"/>
    <w:rsid w:val="2F7D3554"/>
    <w:rsid w:val="2F94D5D9"/>
    <w:rsid w:val="2F9790C6"/>
    <w:rsid w:val="2F9EBAF2"/>
    <w:rsid w:val="2FAEEE3F"/>
    <w:rsid w:val="2FBCF4CC"/>
    <w:rsid w:val="2FBD4F46"/>
    <w:rsid w:val="2FBDA077"/>
    <w:rsid w:val="2FC67F46"/>
    <w:rsid w:val="2FE4C2E8"/>
    <w:rsid w:val="2FE5E9AA"/>
    <w:rsid w:val="2FFD346C"/>
    <w:rsid w:val="301225FF"/>
    <w:rsid w:val="304C3D6E"/>
    <w:rsid w:val="3052676C"/>
    <w:rsid w:val="305F8CAA"/>
    <w:rsid w:val="306515C6"/>
    <w:rsid w:val="306A0CA3"/>
    <w:rsid w:val="306EBAAC"/>
    <w:rsid w:val="307007A6"/>
    <w:rsid w:val="3075E4F9"/>
    <w:rsid w:val="307B5949"/>
    <w:rsid w:val="307B7FD5"/>
    <w:rsid w:val="308FBCC2"/>
    <w:rsid w:val="309755FC"/>
    <w:rsid w:val="30BAF3DC"/>
    <w:rsid w:val="30CDDF4F"/>
    <w:rsid w:val="30D0803F"/>
    <w:rsid w:val="30E0DB6D"/>
    <w:rsid w:val="30F8F555"/>
    <w:rsid w:val="30FFDE2D"/>
    <w:rsid w:val="31247218"/>
    <w:rsid w:val="31262AFB"/>
    <w:rsid w:val="312856BE"/>
    <w:rsid w:val="312F8E1C"/>
    <w:rsid w:val="31459714"/>
    <w:rsid w:val="3150CF0E"/>
    <w:rsid w:val="31543668"/>
    <w:rsid w:val="3158B37D"/>
    <w:rsid w:val="31643F7C"/>
    <w:rsid w:val="31769C02"/>
    <w:rsid w:val="318707B8"/>
    <w:rsid w:val="3199B97C"/>
    <w:rsid w:val="319C47C0"/>
    <w:rsid w:val="319F9AD0"/>
    <w:rsid w:val="31AB2E3F"/>
    <w:rsid w:val="31AB5C65"/>
    <w:rsid w:val="31B6BE9A"/>
    <w:rsid w:val="31BBF199"/>
    <w:rsid w:val="31C3613C"/>
    <w:rsid w:val="31C3D3D2"/>
    <w:rsid w:val="31CD2DF2"/>
    <w:rsid w:val="31EE7986"/>
    <w:rsid w:val="31F4A994"/>
    <w:rsid w:val="31F74256"/>
    <w:rsid w:val="320363A5"/>
    <w:rsid w:val="321DDC2F"/>
    <w:rsid w:val="3229DF6E"/>
    <w:rsid w:val="322F6B75"/>
    <w:rsid w:val="3238C873"/>
    <w:rsid w:val="323A573A"/>
    <w:rsid w:val="323F28D9"/>
    <w:rsid w:val="324EAD4D"/>
    <w:rsid w:val="3253788B"/>
    <w:rsid w:val="325ECB95"/>
    <w:rsid w:val="32733EAF"/>
    <w:rsid w:val="327C6FA5"/>
    <w:rsid w:val="3281AD16"/>
    <w:rsid w:val="328D295E"/>
    <w:rsid w:val="329314FE"/>
    <w:rsid w:val="32A4A317"/>
    <w:rsid w:val="32BFB6FA"/>
    <w:rsid w:val="32C6AE4C"/>
    <w:rsid w:val="32D415B0"/>
    <w:rsid w:val="32D63582"/>
    <w:rsid w:val="32DE5DE1"/>
    <w:rsid w:val="32FEABB9"/>
    <w:rsid w:val="32FFBCDF"/>
    <w:rsid w:val="330FD92B"/>
    <w:rsid w:val="331656CF"/>
    <w:rsid w:val="331B2285"/>
    <w:rsid w:val="331C1AFD"/>
    <w:rsid w:val="33201C2F"/>
    <w:rsid w:val="33213443"/>
    <w:rsid w:val="3326A679"/>
    <w:rsid w:val="3328649A"/>
    <w:rsid w:val="33340648"/>
    <w:rsid w:val="33341BDA"/>
    <w:rsid w:val="33404970"/>
    <w:rsid w:val="33432B5F"/>
    <w:rsid w:val="334C97CA"/>
    <w:rsid w:val="3356CD9A"/>
    <w:rsid w:val="335C1A82"/>
    <w:rsid w:val="3360213C"/>
    <w:rsid w:val="33713A02"/>
    <w:rsid w:val="33723691"/>
    <w:rsid w:val="3375B37E"/>
    <w:rsid w:val="337DB787"/>
    <w:rsid w:val="33868A8D"/>
    <w:rsid w:val="33881ADD"/>
    <w:rsid w:val="3391973D"/>
    <w:rsid w:val="339A1C7C"/>
    <w:rsid w:val="33A80D7D"/>
    <w:rsid w:val="33B460EF"/>
    <w:rsid w:val="33C6D2F7"/>
    <w:rsid w:val="33E03ABF"/>
    <w:rsid w:val="33E1C5B5"/>
    <w:rsid w:val="33E5F498"/>
    <w:rsid w:val="33FB68C0"/>
    <w:rsid w:val="33FB72FD"/>
    <w:rsid w:val="33FBF10D"/>
    <w:rsid w:val="34016AEF"/>
    <w:rsid w:val="34034747"/>
    <w:rsid w:val="340DB3BF"/>
    <w:rsid w:val="341FB194"/>
    <w:rsid w:val="34200824"/>
    <w:rsid w:val="342759C2"/>
    <w:rsid w:val="343B70CF"/>
    <w:rsid w:val="343C390A"/>
    <w:rsid w:val="343F5FDC"/>
    <w:rsid w:val="344979AA"/>
    <w:rsid w:val="344E3EB9"/>
    <w:rsid w:val="345173C6"/>
    <w:rsid w:val="345D75B4"/>
    <w:rsid w:val="3465C0F6"/>
    <w:rsid w:val="346D7C89"/>
    <w:rsid w:val="34741A3E"/>
    <w:rsid w:val="348A4711"/>
    <w:rsid w:val="348DCDC9"/>
    <w:rsid w:val="3497E1CC"/>
    <w:rsid w:val="34A0FE76"/>
    <w:rsid w:val="34A94074"/>
    <w:rsid w:val="34AAB1AB"/>
    <w:rsid w:val="34AECBA0"/>
    <w:rsid w:val="34AFAD59"/>
    <w:rsid w:val="34FD4F7F"/>
    <w:rsid w:val="34FEA34B"/>
    <w:rsid w:val="3505B987"/>
    <w:rsid w:val="350F2BCB"/>
    <w:rsid w:val="352B56CC"/>
    <w:rsid w:val="3538CD13"/>
    <w:rsid w:val="353F637E"/>
    <w:rsid w:val="35421B57"/>
    <w:rsid w:val="3556796A"/>
    <w:rsid w:val="355CB529"/>
    <w:rsid w:val="355E37F7"/>
    <w:rsid w:val="355FE17C"/>
    <w:rsid w:val="356B03DB"/>
    <w:rsid w:val="35803ED9"/>
    <w:rsid w:val="359B734E"/>
    <w:rsid w:val="35AAE9D3"/>
    <w:rsid w:val="35C18CFC"/>
    <w:rsid w:val="35CC1F37"/>
    <w:rsid w:val="35CF00AF"/>
    <w:rsid w:val="35D47FF3"/>
    <w:rsid w:val="35D6353C"/>
    <w:rsid w:val="35EA78A0"/>
    <w:rsid w:val="35F02098"/>
    <w:rsid w:val="36030188"/>
    <w:rsid w:val="360DF680"/>
    <w:rsid w:val="360E0410"/>
    <w:rsid w:val="361F4767"/>
    <w:rsid w:val="3628875C"/>
    <w:rsid w:val="364AC2D4"/>
    <w:rsid w:val="3654894A"/>
    <w:rsid w:val="36564958"/>
    <w:rsid w:val="365C4280"/>
    <w:rsid w:val="366FD69E"/>
    <w:rsid w:val="3670C0EB"/>
    <w:rsid w:val="367A2394"/>
    <w:rsid w:val="368C7705"/>
    <w:rsid w:val="36BA278F"/>
    <w:rsid w:val="36BA7D09"/>
    <w:rsid w:val="36BD4087"/>
    <w:rsid w:val="36CFED3C"/>
    <w:rsid w:val="36D15A02"/>
    <w:rsid w:val="36D65F39"/>
    <w:rsid w:val="36F12436"/>
    <w:rsid w:val="36F48492"/>
    <w:rsid w:val="36F58CA7"/>
    <w:rsid w:val="3701279C"/>
    <w:rsid w:val="371ABDC6"/>
    <w:rsid w:val="37244288"/>
    <w:rsid w:val="37334904"/>
    <w:rsid w:val="373E37A6"/>
    <w:rsid w:val="374264C1"/>
    <w:rsid w:val="3743130C"/>
    <w:rsid w:val="375A0A04"/>
    <w:rsid w:val="376D46F7"/>
    <w:rsid w:val="376D890E"/>
    <w:rsid w:val="37763AA3"/>
    <w:rsid w:val="37808FCD"/>
    <w:rsid w:val="3791956D"/>
    <w:rsid w:val="3799A080"/>
    <w:rsid w:val="379A3E64"/>
    <w:rsid w:val="37B2F699"/>
    <w:rsid w:val="37BB0CA2"/>
    <w:rsid w:val="37BE13CA"/>
    <w:rsid w:val="37C78050"/>
    <w:rsid w:val="37E6E66F"/>
    <w:rsid w:val="37F8532C"/>
    <w:rsid w:val="37FDC211"/>
    <w:rsid w:val="3808235A"/>
    <w:rsid w:val="3830A4CD"/>
    <w:rsid w:val="38363137"/>
    <w:rsid w:val="384A3E4B"/>
    <w:rsid w:val="3859CD3D"/>
    <w:rsid w:val="38622906"/>
    <w:rsid w:val="38719F6F"/>
    <w:rsid w:val="387C578B"/>
    <w:rsid w:val="388AD38B"/>
    <w:rsid w:val="388DE204"/>
    <w:rsid w:val="38B0A578"/>
    <w:rsid w:val="38B2C82C"/>
    <w:rsid w:val="38B3D26D"/>
    <w:rsid w:val="38BDB22F"/>
    <w:rsid w:val="38E00209"/>
    <w:rsid w:val="395CC37B"/>
    <w:rsid w:val="39604ACE"/>
    <w:rsid w:val="396BBC08"/>
    <w:rsid w:val="39703642"/>
    <w:rsid w:val="3986256F"/>
    <w:rsid w:val="39923FF3"/>
    <w:rsid w:val="399E8BBD"/>
    <w:rsid w:val="399FF208"/>
    <w:rsid w:val="39AA763E"/>
    <w:rsid w:val="39C9B994"/>
    <w:rsid w:val="39CE1375"/>
    <w:rsid w:val="39D0FB6E"/>
    <w:rsid w:val="39D72618"/>
    <w:rsid w:val="39E6A4AB"/>
    <w:rsid w:val="39EBE4CA"/>
    <w:rsid w:val="39F7D0B0"/>
    <w:rsid w:val="39FBB1EF"/>
    <w:rsid w:val="3A033069"/>
    <w:rsid w:val="3A4587C4"/>
    <w:rsid w:val="3A6D0C71"/>
    <w:rsid w:val="3A7838AF"/>
    <w:rsid w:val="3A8CBC8D"/>
    <w:rsid w:val="3A949CDF"/>
    <w:rsid w:val="3A9BEE33"/>
    <w:rsid w:val="3A9FE463"/>
    <w:rsid w:val="3AAD4F70"/>
    <w:rsid w:val="3AC10C64"/>
    <w:rsid w:val="3AD8286C"/>
    <w:rsid w:val="3AE4C8B1"/>
    <w:rsid w:val="3AE9A81F"/>
    <w:rsid w:val="3AF35483"/>
    <w:rsid w:val="3AFF8A6E"/>
    <w:rsid w:val="3B00E261"/>
    <w:rsid w:val="3B022E1D"/>
    <w:rsid w:val="3B02DDA3"/>
    <w:rsid w:val="3B0CF2C2"/>
    <w:rsid w:val="3B1EBFAD"/>
    <w:rsid w:val="3B21EABC"/>
    <w:rsid w:val="3B28E00C"/>
    <w:rsid w:val="3B3F5A6B"/>
    <w:rsid w:val="3B458407"/>
    <w:rsid w:val="3B623FBF"/>
    <w:rsid w:val="3B6492D1"/>
    <w:rsid w:val="3B78DDDD"/>
    <w:rsid w:val="3B854144"/>
    <w:rsid w:val="3B86F2F2"/>
    <w:rsid w:val="3B9390FF"/>
    <w:rsid w:val="3B9C17E3"/>
    <w:rsid w:val="3B9E8259"/>
    <w:rsid w:val="3BA7E2C9"/>
    <w:rsid w:val="3BB37F8A"/>
    <w:rsid w:val="3BC4A92B"/>
    <w:rsid w:val="3BCBC61D"/>
    <w:rsid w:val="3BD76B55"/>
    <w:rsid w:val="3BE7CC5C"/>
    <w:rsid w:val="3BF9F3E1"/>
    <w:rsid w:val="3BFDEB46"/>
    <w:rsid w:val="3C016C0C"/>
    <w:rsid w:val="3C01F3AE"/>
    <w:rsid w:val="3C13239E"/>
    <w:rsid w:val="3C1AC433"/>
    <w:rsid w:val="3C1B723A"/>
    <w:rsid w:val="3C203DBF"/>
    <w:rsid w:val="3C2248BB"/>
    <w:rsid w:val="3C2DFE70"/>
    <w:rsid w:val="3C3585E5"/>
    <w:rsid w:val="3C39D47B"/>
    <w:rsid w:val="3C4F06D5"/>
    <w:rsid w:val="3C553850"/>
    <w:rsid w:val="3C579EBB"/>
    <w:rsid w:val="3C5A5F0B"/>
    <w:rsid w:val="3C6930C7"/>
    <w:rsid w:val="3C7BBBA2"/>
    <w:rsid w:val="3C8C69AE"/>
    <w:rsid w:val="3C9370B7"/>
    <w:rsid w:val="3CA76240"/>
    <w:rsid w:val="3CA99C3A"/>
    <w:rsid w:val="3CB24EE5"/>
    <w:rsid w:val="3CBBA09A"/>
    <w:rsid w:val="3CCDD84A"/>
    <w:rsid w:val="3CD0EBC3"/>
    <w:rsid w:val="3CD0EEFC"/>
    <w:rsid w:val="3CD21EA3"/>
    <w:rsid w:val="3CDBAC35"/>
    <w:rsid w:val="3CE0B1AA"/>
    <w:rsid w:val="3CEEAD17"/>
    <w:rsid w:val="3CFD044D"/>
    <w:rsid w:val="3CFD15A9"/>
    <w:rsid w:val="3D0C5A52"/>
    <w:rsid w:val="3D165706"/>
    <w:rsid w:val="3D170943"/>
    <w:rsid w:val="3D2D04DE"/>
    <w:rsid w:val="3D46E734"/>
    <w:rsid w:val="3D6D4A1D"/>
    <w:rsid w:val="3D7B26E7"/>
    <w:rsid w:val="3D7CD079"/>
    <w:rsid w:val="3D7D1157"/>
    <w:rsid w:val="3D80240C"/>
    <w:rsid w:val="3D895DE8"/>
    <w:rsid w:val="3D89F5E6"/>
    <w:rsid w:val="3D9F0C50"/>
    <w:rsid w:val="3DA19EAE"/>
    <w:rsid w:val="3DA46A57"/>
    <w:rsid w:val="3DABC66C"/>
    <w:rsid w:val="3DC099D7"/>
    <w:rsid w:val="3DC249BC"/>
    <w:rsid w:val="3DE5808B"/>
    <w:rsid w:val="3DEF9F9D"/>
    <w:rsid w:val="3DFE741B"/>
    <w:rsid w:val="3DFF00E5"/>
    <w:rsid w:val="3E01BEE6"/>
    <w:rsid w:val="3E1E6DEA"/>
    <w:rsid w:val="3E24376B"/>
    <w:rsid w:val="3E265C34"/>
    <w:rsid w:val="3E2F563E"/>
    <w:rsid w:val="3E40384F"/>
    <w:rsid w:val="3E43EA7A"/>
    <w:rsid w:val="3E4F12F9"/>
    <w:rsid w:val="3E607E4B"/>
    <w:rsid w:val="3E7BFB1F"/>
    <w:rsid w:val="3E7C8C1F"/>
    <w:rsid w:val="3E807F8C"/>
    <w:rsid w:val="3E8089DB"/>
    <w:rsid w:val="3E83B20B"/>
    <w:rsid w:val="3E8ACEBD"/>
    <w:rsid w:val="3E92FFDE"/>
    <w:rsid w:val="3EA1E07C"/>
    <w:rsid w:val="3EA4424F"/>
    <w:rsid w:val="3EBEADDD"/>
    <w:rsid w:val="3EC3ED7F"/>
    <w:rsid w:val="3ECF3686"/>
    <w:rsid w:val="3ED7ED90"/>
    <w:rsid w:val="3EE54FB3"/>
    <w:rsid w:val="3EF6FB6C"/>
    <w:rsid w:val="3EFA4CF7"/>
    <w:rsid w:val="3F1381C9"/>
    <w:rsid w:val="3F15973B"/>
    <w:rsid w:val="3F1C2683"/>
    <w:rsid w:val="3F203167"/>
    <w:rsid w:val="3F214171"/>
    <w:rsid w:val="3F235CC3"/>
    <w:rsid w:val="3F3C7549"/>
    <w:rsid w:val="3F3EC8F5"/>
    <w:rsid w:val="3F4ABA35"/>
    <w:rsid w:val="3F4C1004"/>
    <w:rsid w:val="3F4D672E"/>
    <w:rsid w:val="3F6C11D5"/>
    <w:rsid w:val="3F6C40DB"/>
    <w:rsid w:val="3F83EDC4"/>
    <w:rsid w:val="3F96141C"/>
    <w:rsid w:val="3FBDAA0D"/>
    <w:rsid w:val="3FBF93AF"/>
    <w:rsid w:val="3FC8E9D3"/>
    <w:rsid w:val="3FE8F6A0"/>
    <w:rsid w:val="3FEDDB9B"/>
    <w:rsid w:val="3FEDE6AD"/>
    <w:rsid w:val="3FFEB483"/>
    <w:rsid w:val="400A5ADC"/>
    <w:rsid w:val="400F764E"/>
    <w:rsid w:val="40208B50"/>
    <w:rsid w:val="402A6F0C"/>
    <w:rsid w:val="402CF982"/>
    <w:rsid w:val="4047C6D7"/>
    <w:rsid w:val="40500C73"/>
    <w:rsid w:val="4059CCCE"/>
    <w:rsid w:val="406312B6"/>
    <w:rsid w:val="4064AA72"/>
    <w:rsid w:val="406854E7"/>
    <w:rsid w:val="406C5B2A"/>
    <w:rsid w:val="406F3D1B"/>
    <w:rsid w:val="40761ECC"/>
    <w:rsid w:val="4080F4FC"/>
    <w:rsid w:val="4081A7FC"/>
    <w:rsid w:val="40B8AE95"/>
    <w:rsid w:val="40BA22E5"/>
    <w:rsid w:val="40C8F1A7"/>
    <w:rsid w:val="40D6813A"/>
    <w:rsid w:val="40D7777A"/>
    <w:rsid w:val="40D7CC61"/>
    <w:rsid w:val="40D8136F"/>
    <w:rsid w:val="40D98C11"/>
    <w:rsid w:val="40E2FFCA"/>
    <w:rsid w:val="40E8C55E"/>
    <w:rsid w:val="40F146D7"/>
    <w:rsid w:val="40F69B36"/>
    <w:rsid w:val="40F91B4D"/>
    <w:rsid w:val="40FAD6C6"/>
    <w:rsid w:val="410DC189"/>
    <w:rsid w:val="410DD2F9"/>
    <w:rsid w:val="41183A3D"/>
    <w:rsid w:val="411E3AC1"/>
    <w:rsid w:val="4127B696"/>
    <w:rsid w:val="41453133"/>
    <w:rsid w:val="414DCA9E"/>
    <w:rsid w:val="415322E4"/>
    <w:rsid w:val="4155E96F"/>
    <w:rsid w:val="417D9A11"/>
    <w:rsid w:val="41875CC9"/>
    <w:rsid w:val="419FFA39"/>
    <w:rsid w:val="41A8BFCA"/>
    <w:rsid w:val="41B91FF6"/>
    <w:rsid w:val="41C42BD1"/>
    <w:rsid w:val="41D0D941"/>
    <w:rsid w:val="41D7F74B"/>
    <w:rsid w:val="41D8D219"/>
    <w:rsid w:val="41DCAFF0"/>
    <w:rsid w:val="41EBE34B"/>
    <w:rsid w:val="41F1D362"/>
    <w:rsid w:val="41F39288"/>
    <w:rsid w:val="41FFA371"/>
    <w:rsid w:val="42187A57"/>
    <w:rsid w:val="422FB769"/>
    <w:rsid w:val="428A3540"/>
    <w:rsid w:val="428C20B4"/>
    <w:rsid w:val="429F9CA6"/>
    <w:rsid w:val="42AB3AAC"/>
    <w:rsid w:val="42E946B3"/>
    <w:rsid w:val="42FB73C5"/>
    <w:rsid w:val="43136AE6"/>
    <w:rsid w:val="4314C211"/>
    <w:rsid w:val="4318B037"/>
    <w:rsid w:val="43260608"/>
    <w:rsid w:val="43277B65"/>
    <w:rsid w:val="433F12EE"/>
    <w:rsid w:val="433F54F6"/>
    <w:rsid w:val="435EA2A7"/>
    <w:rsid w:val="43697AA9"/>
    <w:rsid w:val="43791300"/>
    <w:rsid w:val="4379A037"/>
    <w:rsid w:val="43829104"/>
    <w:rsid w:val="438F6804"/>
    <w:rsid w:val="438FEDDB"/>
    <w:rsid w:val="43A6CE6E"/>
    <w:rsid w:val="43BE1BC7"/>
    <w:rsid w:val="43D0031C"/>
    <w:rsid w:val="43D49975"/>
    <w:rsid w:val="43D93594"/>
    <w:rsid w:val="43E8178F"/>
    <w:rsid w:val="43EF3033"/>
    <w:rsid w:val="43F9B377"/>
    <w:rsid w:val="440592F0"/>
    <w:rsid w:val="4405ADBD"/>
    <w:rsid w:val="4406C0E7"/>
    <w:rsid w:val="440E728E"/>
    <w:rsid w:val="440E9AC3"/>
    <w:rsid w:val="441BCD14"/>
    <w:rsid w:val="4422B42A"/>
    <w:rsid w:val="443029D5"/>
    <w:rsid w:val="4432A37F"/>
    <w:rsid w:val="443A5034"/>
    <w:rsid w:val="444A699A"/>
    <w:rsid w:val="4458AFA1"/>
    <w:rsid w:val="446F1503"/>
    <w:rsid w:val="4477E151"/>
    <w:rsid w:val="4482538E"/>
    <w:rsid w:val="44833CFF"/>
    <w:rsid w:val="44A6CE5F"/>
    <w:rsid w:val="44AC4C75"/>
    <w:rsid w:val="44B8120F"/>
    <w:rsid w:val="44C76A1D"/>
    <w:rsid w:val="44CA4935"/>
    <w:rsid w:val="44CC9A6F"/>
    <w:rsid w:val="44CF0C3B"/>
    <w:rsid w:val="44DD93E8"/>
    <w:rsid w:val="44E7D142"/>
    <w:rsid w:val="44F701B8"/>
    <w:rsid w:val="4509F095"/>
    <w:rsid w:val="450F066C"/>
    <w:rsid w:val="451133B3"/>
    <w:rsid w:val="45116D6A"/>
    <w:rsid w:val="45428907"/>
    <w:rsid w:val="4544AAD1"/>
    <w:rsid w:val="45574954"/>
    <w:rsid w:val="458EDF83"/>
    <w:rsid w:val="4599E5BA"/>
    <w:rsid w:val="45B49F55"/>
    <w:rsid w:val="45BDD547"/>
    <w:rsid w:val="45C76946"/>
    <w:rsid w:val="45D9D525"/>
    <w:rsid w:val="45E77DBF"/>
    <w:rsid w:val="4608E2F9"/>
    <w:rsid w:val="460946B1"/>
    <w:rsid w:val="4633E418"/>
    <w:rsid w:val="464A38FB"/>
    <w:rsid w:val="46516043"/>
    <w:rsid w:val="465A7A05"/>
    <w:rsid w:val="465E193A"/>
    <w:rsid w:val="4663501C"/>
    <w:rsid w:val="46661DDC"/>
    <w:rsid w:val="466D1C53"/>
    <w:rsid w:val="466DCBDF"/>
    <w:rsid w:val="467C0A31"/>
    <w:rsid w:val="467C2D72"/>
    <w:rsid w:val="467FBDDF"/>
    <w:rsid w:val="4688F411"/>
    <w:rsid w:val="468D307F"/>
    <w:rsid w:val="468FE889"/>
    <w:rsid w:val="46919D48"/>
    <w:rsid w:val="4695C797"/>
    <w:rsid w:val="46A8CB6C"/>
    <w:rsid w:val="46AC9372"/>
    <w:rsid w:val="46C23EE7"/>
    <w:rsid w:val="46C5788A"/>
    <w:rsid w:val="46CA1E16"/>
    <w:rsid w:val="46D6152E"/>
    <w:rsid w:val="46D6D025"/>
    <w:rsid w:val="46DCF069"/>
    <w:rsid w:val="46E31D82"/>
    <w:rsid w:val="46E8CB69"/>
    <w:rsid w:val="46FABC29"/>
    <w:rsid w:val="47122935"/>
    <w:rsid w:val="47209B7A"/>
    <w:rsid w:val="47348ACE"/>
    <w:rsid w:val="473960C1"/>
    <w:rsid w:val="475FC335"/>
    <w:rsid w:val="476C2675"/>
    <w:rsid w:val="47821DA8"/>
    <w:rsid w:val="478D91DA"/>
    <w:rsid w:val="479FA74F"/>
    <w:rsid w:val="47BCBBDA"/>
    <w:rsid w:val="47D7290C"/>
    <w:rsid w:val="47D931B1"/>
    <w:rsid w:val="47D95EF5"/>
    <w:rsid w:val="47F427AF"/>
    <w:rsid w:val="47F5A436"/>
    <w:rsid w:val="47F6071D"/>
    <w:rsid w:val="47FF646E"/>
    <w:rsid w:val="4823C808"/>
    <w:rsid w:val="482616B7"/>
    <w:rsid w:val="48395B85"/>
    <w:rsid w:val="48478F40"/>
    <w:rsid w:val="48483C7A"/>
    <w:rsid w:val="484FFFBD"/>
    <w:rsid w:val="485D8DD7"/>
    <w:rsid w:val="487511A6"/>
    <w:rsid w:val="48751742"/>
    <w:rsid w:val="48773D23"/>
    <w:rsid w:val="487CA728"/>
    <w:rsid w:val="48986624"/>
    <w:rsid w:val="489FDB61"/>
    <w:rsid w:val="48BD1176"/>
    <w:rsid w:val="48C1CFCB"/>
    <w:rsid w:val="48CCB470"/>
    <w:rsid w:val="48D1770A"/>
    <w:rsid w:val="48EAC064"/>
    <w:rsid w:val="49061C00"/>
    <w:rsid w:val="492468BF"/>
    <w:rsid w:val="49332010"/>
    <w:rsid w:val="49395CF0"/>
    <w:rsid w:val="493986F9"/>
    <w:rsid w:val="494E17F9"/>
    <w:rsid w:val="495DB994"/>
    <w:rsid w:val="49603B5D"/>
    <w:rsid w:val="496CECBD"/>
    <w:rsid w:val="49756B60"/>
    <w:rsid w:val="4977D056"/>
    <w:rsid w:val="497DB8B1"/>
    <w:rsid w:val="4983B78D"/>
    <w:rsid w:val="49888A01"/>
    <w:rsid w:val="4992229A"/>
    <w:rsid w:val="499C4C8E"/>
    <w:rsid w:val="499D3DA6"/>
    <w:rsid w:val="49A2C081"/>
    <w:rsid w:val="49B0D68B"/>
    <w:rsid w:val="49B58521"/>
    <w:rsid w:val="49BE235B"/>
    <w:rsid w:val="49C0866E"/>
    <w:rsid w:val="49C0F602"/>
    <w:rsid w:val="49CD003F"/>
    <w:rsid w:val="49D41EED"/>
    <w:rsid w:val="49D9FF1C"/>
    <w:rsid w:val="49E146DF"/>
    <w:rsid w:val="49E31E30"/>
    <w:rsid w:val="49EC4A17"/>
    <w:rsid w:val="49F703AC"/>
    <w:rsid w:val="4A00B946"/>
    <w:rsid w:val="4A022AD1"/>
    <w:rsid w:val="4A0DF67C"/>
    <w:rsid w:val="4A11829A"/>
    <w:rsid w:val="4A13CE0B"/>
    <w:rsid w:val="4A180725"/>
    <w:rsid w:val="4A19155E"/>
    <w:rsid w:val="4A19B404"/>
    <w:rsid w:val="4A1E1FEB"/>
    <w:rsid w:val="4A3B89D7"/>
    <w:rsid w:val="4A3FB6F9"/>
    <w:rsid w:val="4A43580C"/>
    <w:rsid w:val="4A457B3A"/>
    <w:rsid w:val="4A49FD97"/>
    <w:rsid w:val="4A669C54"/>
    <w:rsid w:val="4A6A0369"/>
    <w:rsid w:val="4A71E76B"/>
    <w:rsid w:val="4A73B364"/>
    <w:rsid w:val="4A858FC7"/>
    <w:rsid w:val="4A8EBCEE"/>
    <w:rsid w:val="4AA2081F"/>
    <w:rsid w:val="4ABCB6FE"/>
    <w:rsid w:val="4AD3B108"/>
    <w:rsid w:val="4AD7CEE7"/>
    <w:rsid w:val="4ADB6471"/>
    <w:rsid w:val="4ADF0920"/>
    <w:rsid w:val="4AEBE73E"/>
    <w:rsid w:val="4AFA6A0D"/>
    <w:rsid w:val="4B0503DA"/>
    <w:rsid w:val="4B06DC9D"/>
    <w:rsid w:val="4B115FB4"/>
    <w:rsid w:val="4B15DE6D"/>
    <w:rsid w:val="4B163227"/>
    <w:rsid w:val="4B17AEED"/>
    <w:rsid w:val="4B3F7C71"/>
    <w:rsid w:val="4B4568AF"/>
    <w:rsid w:val="4B67AB1A"/>
    <w:rsid w:val="4B68E756"/>
    <w:rsid w:val="4B7ED31A"/>
    <w:rsid w:val="4B87054A"/>
    <w:rsid w:val="4B8F3386"/>
    <w:rsid w:val="4B9038D4"/>
    <w:rsid w:val="4B92669A"/>
    <w:rsid w:val="4BA51B30"/>
    <w:rsid w:val="4BA853AA"/>
    <w:rsid w:val="4BABA67C"/>
    <w:rsid w:val="4BB6D2CA"/>
    <w:rsid w:val="4BBB6DFD"/>
    <w:rsid w:val="4BCBB26D"/>
    <w:rsid w:val="4BE00829"/>
    <w:rsid w:val="4BF8CC5F"/>
    <w:rsid w:val="4BFB3622"/>
    <w:rsid w:val="4BFE37D9"/>
    <w:rsid w:val="4BFF2DAB"/>
    <w:rsid w:val="4BFFCF0E"/>
    <w:rsid w:val="4C099543"/>
    <w:rsid w:val="4C1D1A20"/>
    <w:rsid w:val="4C25F597"/>
    <w:rsid w:val="4C26674D"/>
    <w:rsid w:val="4C27A568"/>
    <w:rsid w:val="4C2AEDFC"/>
    <w:rsid w:val="4C319E93"/>
    <w:rsid w:val="4C3FFEBC"/>
    <w:rsid w:val="4C45DA3A"/>
    <w:rsid w:val="4C4E9DFB"/>
    <w:rsid w:val="4C68DA89"/>
    <w:rsid w:val="4C72950D"/>
    <w:rsid w:val="4C754944"/>
    <w:rsid w:val="4C79EBC4"/>
    <w:rsid w:val="4C7B9751"/>
    <w:rsid w:val="4C91D044"/>
    <w:rsid w:val="4C9B0B41"/>
    <w:rsid w:val="4C9E2927"/>
    <w:rsid w:val="4CC9AE0D"/>
    <w:rsid w:val="4CE39F7F"/>
    <w:rsid w:val="4CE62455"/>
    <w:rsid w:val="4CEDFE7E"/>
    <w:rsid w:val="4CFDA6DF"/>
    <w:rsid w:val="4D0F315D"/>
    <w:rsid w:val="4D1727DD"/>
    <w:rsid w:val="4D2BDC43"/>
    <w:rsid w:val="4D2FFC21"/>
    <w:rsid w:val="4D4AB6C1"/>
    <w:rsid w:val="4D624A59"/>
    <w:rsid w:val="4D62F0E6"/>
    <w:rsid w:val="4D6D3D46"/>
    <w:rsid w:val="4D6F2203"/>
    <w:rsid w:val="4D7ADD55"/>
    <w:rsid w:val="4D8645B6"/>
    <w:rsid w:val="4DB18D20"/>
    <w:rsid w:val="4DD8C1A6"/>
    <w:rsid w:val="4DEAE003"/>
    <w:rsid w:val="4DF139E7"/>
    <w:rsid w:val="4DF749DF"/>
    <w:rsid w:val="4DFE084A"/>
    <w:rsid w:val="4DFEA9DA"/>
    <w:rsid w:val="4E0BA7A5"/>
    <w:rsid w:val="4E134E3C"/>
    <w:rsid w:val="4E1E55AA"/>
    <w:rsid w:val="4E1F776E"/>
    <w:rsid w:val="4E2272DC"/>
    <w:rsid w:val="4E2A5E8F"/>
    <w:rsid w:val="4E2E9BEF"/>
    <w:rsid w:val="4E416770"/>
    <w:rsid w:val="4E49FD27"/>
    <w:rsid w:val="4E4AAD51"/>
    <w:rsid w:val="4E4E7747"/>
    <w:rsid w:val="4E569EBA"/>
    <w:rsid w:val="4E59C343"/>
    <w:rsid w:val="4E70943F"/>
    <w:rsid w:val="4E7781D1"/>
    <w:rsid w:val="4E7A4986"/>
    <w:rsid w:val="4E834254"/>
    <w:rsid w:val="4EC37618"/>
    <w:rsid w:val="4EC3E307"/>
    <w:rsid w:val="4ED145E6"/>
    <w:rsid w:val="4EDE31D9"/>
    <w:rsid w:val="4EE0709D"/>
    <w:rsid w:val="4F099B1B"/>
    <w:rsid w:val="4F1617F2"/>
    <w:rsid w:val="4F295002"/>
    <w:rsid w:val="4F2A02E3"/>
    <w:rsid w:val="4F4B8F63"/>
    <w:rsid w:val="4F75CC79"/>
    <w:rsid w:val="4F8D9344"/>
    <w:rsid w:val="4F8DD4B7"/>
    <w:rsid w:val="4F8E468A"/>
    <w:rsid w:val="4F920454"/>
    <w:rsid w:val="4F9920C3"/>
    <w:rsid w:val="4F9ED56A"/>
    <w:rsid w:val="4FBA081F"/>
    <w:rsid w:val="4FBBCB6A"/>
    <w:rsid w:val="4FBED429"/>
    <w:rsid w:val="4FD17556"/>
    <w:rsid w:val="4FD82902"/>
    <w:rsid w:val="4FDFE4B6"/>
    <w:rsid w:val="4FF9A394"/>
    <w:rsid w:val="4FFE2BC6"/>
    <w:rsid w:val="5018205A"/>
    <w:rsid w:val="502012A8"/>
    <w:rsid w:val="5034F9B8"/>
    <w:rsid w:val="50421AB9"/>
    <w:rsid w:val="5042C108"/>
    <w:rsid w:val="50643690"/>
    <w:rsid w:val="50886C2D"/>
    <w:rsid w:val="508FF4BB"/>
    <w:rsid w:val="50945630"/>
    <w:rsid w:val="50977157"/>
    <w:rsid w:val="509A2DC1"/>
    <w:rsid w:val="50A601AD"/>
    <w:rsid w:val="50AD89C6"/>
    <w:rsid w:val="50CF7898"/>
    <w:rsid w:val="50EC0239"/>
    <w:rsid w:val="511A6167"/>
    <w:rsid w:val="511D19E3"/>
    <w:rsid w:val="51294F00"/>
    <w:rsid w:val="512CB3FD"/>
    <w:rsid w:val="5133BE51"/>
    <w:rsid w:val="513F95BB"/>
    <w:rsid w:val="515EE96A"/>
    <w:rsid w:val="5163A9CB"/>
    <w:rsid w:val="51647916"/>
    <w:rsid w:val="51684D4C"/>
    <w:rsid w:val="516885FE"/>
    <w:rsid w:val="5170021C"/>
    <w:rsid w:val="517DC76A"/>
    <w:rsid w:val="518F6B0A"/>
    <w:rsid w:val="51935402"/>
    <w:rsid w:val="519402E7"/>
    <w:rsid w:val="51944CA0"/>
    <w:rsid w:val="51A30731"/>
    <w:rsid w:val="51B354B6"/>
    <w:rsid w:val="51C17583"/>
    <w:rsid w:val="51F3D1F5"/>
    <w:rsid w:val="5201C651"/>
    <w:rsid w:val="52090FA5"/>
    <w:rsid w:val="520A9AC1"/>
    <w:rsid w:val="52127336"/>
    <w:rsid w:val="52163DEF"/>
    <w:rsid w:val="5216FDE5"/>
    <w:rsid w:val="521C43F6"/>
    <w:rsid w:val="52247B2E"/>
    <w:rsid w:val="5239694D"/>
    <w:rsid w:val="52429BDD"/>
    <w:rsid w:val="5244061B"/>
    <w:rsid w:val="524FC62C"/>
    <w:rsid w:val="5257EDA1"/>
    <w:rsid w:val="5261AF19"/>
    <w:rsid w:val="526CE813"/>
    <w:rsid w:val="52912AAC"/>
    <w:rsid w:val="52938EBE"/>
    <w:rsid w:val="529BD2E9"/>
    <w:rsid w:val="52A1B258"/>
    <w:rsid w:val="52A88066"/>
    <w:rsid w:val="52AF6E87"/>
    <w:rsid w:val="52C7BB4F"/>
    <w:rsid w:val="52C84AA3"/>
    <w:rsid w:val="52D5EBA9"/>
    <w:rsid w:val="52E14ED0"/>
    <w:rsid w:val="52E4EA0F"/>
    <w:rsid w:val="52E6876F"/>
    <w:rsid w:val="52F54ADB"/>
    <w:rsid w:val="52FF3CAC"/>
    <w:rsid w:val="53284E3A"/>
    <w:rsid w:val="532878F2"/>
    <w:rsid w:val="5332F24A"/>
    <w:rsid w:val="533CC43F"/>
    <w:rsid w:val="5355259D"/>
    <w:rsid w:val="53554957"/>
    <w:rsid w:val="535B6445"/>
    <w:rsid w:val="5367076B"/>
    <w:rsid w:val="537AE2C1"/>
    <w:rsid w:val="5391F5FF"/>
    <w:rsid w:val="53A2E023"/>
    <w:rsid w:val="53A59171"/>
    <w:rsid w:val="53AEF820"/>
    <w:rsid w:val="53BA27D1"/>
    <w:rsid w:val="53BF0D0A"/>
    <w:rsid w:val="53BF3651"/>
    <w:rsid w:val="53C53684"/>
    <w:rsid w:val="53D1546B"/>
    <w:rsid w:val="53D89B00"/>
    <w:rsid w:val="53D98006"/>
    <w:rsid w:val="53DDC014"/>
    <w:rsid w:val="53E00ECF"/>
    <w:rsid w:val="53F219C3"/>
    <w:rsid w:val="53F583E7"/>
    <w:rsid w:val="54092182"/>
    <w:rsid w:val="540A2A80"/>
    <w:rsid w:val="540C264E"/>
    <w:rsid w:val="54158FCB"/>
    <w:rsid w:val="5416ED86"/>
    <w:rsid w:val="541C3EF9"/>
    <w:rsid w:val="54389EB3"/>
    <w:rsid w:val="543C76B0"/>
    <w:rsid w:val="54424DD7"/>
    <w:rsid w:val="544683DB"/>
    <w:rsid w:val="5455648E"/>
    <w:rsid w:val="5457A57D"/>
    <w:rsid w:val="545E0E4F"/>
    <w:rsid w:val="545EC308"/>
    <w:rsid w:val="5464B48F"/>
    <w:rsid w:val="54756D7F"/>
    <w:rsid w:val="547603BB"/>
    <w:rsid w:val="54762033"/>
    <w:rsid w:val="547C255C"/>
    <w:rsid w:val="548E7879"/>
    <w:rsid w:val="549792B9"/>
    <w:rsid w:val="54A0EB3E"/>
    <w:rsid w:val="54AA63FA"/>
    <w:rsid w:val="54AFAF3F"/>
    <w:rsid w:val="54B40983"/>
    <w:rsid w:val="54B58C1B"/>
    <w:rsid w:val="54CFE6D7"/>
    <w:rsid w:val="54D490B6"/>
    <w:rsid w:val="54D6E84F"/>
    <w:rsid w:val="54F1959E"/>
    <w:rsid w:val="54F2B458"/>
    <w:rsid w:val="54F46CAB"/>
    <w:rsid w:val="54F9123E"/>
    <w:rsid w:val="55015309"/>
    <w:rsid w:val="55090802"/>
    <w:rsid w:val="5512C841"/>
    <w:rsid w:val="5515E980"/>
    <w:rsid w:val="553813BD"/>
    <w:rsid w:val="555653FD"/>
    <w:rsid w:val="5560D94D"/>
    <w:rsid w:val="55831E71"/>
    <w:rsid w:val="5589BBB1"/>
    <w:rsid w:val="55949220"/>
    <w:rsid w:val="55BEC5A3"/>
    <w:rsid w:val="55D8EA8B"/>
    <w:rsid w:val="55DE3619"/>
    <w:rsid w:val="55F5290A"/>
    <w:rsid w:val="5604398A"/>
    <w:rsid w:val="562CC3F0"/>
    <w:rsid w:val="56307DC3"/>
    <w:rsid w:val="5634FB91"/>
    <w:rsid w:val="5635C8A3"/>
    <w:rsid w:val="565A9C20"/>
    <w:rsid w:val="56618C85"/>
    <w:rsid w:val="567CEF06"/>
    <w:rsid w:val="567DBBF9"/>
    <w:rsid w:val="56837DC9"/>
    <w:rsid w:val="5683AF29"/>
    <w:rsid w:val="568CA43C"/>
    <w:rsid w:val="5691F32D"/>
    <w:rsid w:val="56A05247"/>
    <w:rsid w:val="56A8C692"/>
    <w:rsid w:val="56B1F0C8"/>
    <w:rsid w:val="56B46A81"/>
    <w:rsid w:val="56BE229E"/>
    <w:rsid w:val="56D65542"/>
    <w:rsid w:val="56EBE4F0"/>
    <w:rsid w:val="56F8CD67"/>
    <w:rsid w:val="56FF9FC5"/>
    <w:rsid w:val="570A9FD0"/>
    <w:rsid w:val="570C612F"/>
    <w:rsid w:val="571E33AC"/>
    <w:rsid w:val="5723B9A8"/>
    <w:rsid w:val="5738475E"/>
    <w:rsid w:val="573B5902"/>
    <w:rsid w:val="573D10A3"/>
    <w:rsid w:val="5743DF25"/>
    <w:rsid w:val="574DC481"/>
    <w:rsid w:val="574F88D4"/>
    <w:rsid w:val="57517E5D"/>
    <w:rsid w:val="57520B78"/>
    <w:rsid w:val="57568539"/>
    <w:rsid w:val="575C992E"/>
    <w:rsid w:val="575E8591"/>
    <w:rsid w:val="576DCDC2"/>
    <w:rsid w:val="5770684B"/>
    <w:rsid w:val="577758BF"/>
    <w:rsid w:val="577D93D4"/>
    <w:rsid w:val="577F569C"/>
    <w:rsid w:val="57841FD3"/>
    <w:rsid w:val="57974CCA"/>
    <w:rsid w:val="579EAF73"/>
    <w:rsid w:val="57ADA6C2"/>
    <w:rsid w:val="57AE70D3"/>
    <w:rsid w:val="57B2D7A0"/>
    <w:rsid w:val="57B76958"/>
    <w:rsid w:val="57B9C937"/>
    <w:rsid w:val="57C26F53"/>
    <w:rsid w:val="57CCEF89"/>
    <w:rsid w:val="57D2C636"/>
    <w:rsid w:val="57D4182A"/>
    <w:rsid w:val="57D6664C"/>
    <w:rsid w:val="57D7C519"/>
    <w:rsid w:val="57DABCEC"/>
    <w:rsid w:val="57E412D5"/>
    <w:rsid w:val="580C087E"/>
    <w:rsid w:val="580E7964"/>
    <w:rsid w:val="581E3B92"/>
    <w:rsid w:val="58220AE6"/>
    <w:rsid w:val="5827F4A6"/>
    <w:rsid w:val="5828138C"/>
    <w:rsid w:val="582A3DD7"/>
    <w:rsid w:val="582B33EE"/>
    <w:rsid w:val="5854CA16"/>
    <w:rsid w:val="585F3F89"/>
    <w:rsid w:val="5860F248"/>
    <w:rsid w:val="5863E303"/>
    <w:rsid w:val="586676AE"/>
    <w:rsid w:val="58735727"/>
    <w:rsid w:val="587A0CF4"/>
    <w:rsid w:val="588503DB"/>
    <w:rsid w:val="588AEA5B"/>
    <w:rsid w:val="5894CDE1"/>
    <w:rsid w:val="58990E6A"/>
    <w:rsid w:val="589B8E69"/>
    <w:rsid w:val="58AB0FC5"/>
    <w:rsid w:val="58B5104F"/>
    <w:rsid w:val="58C379B5"/>
    <w:rsid w:val="58CABEA5"/>
    <w:rsid w:val="58D039D9"/>
    <w:rsid w:val="58DB58F7"/>
    <w:rsid w:val="58E4A168"/>
    <w:rsid w:val="59051740"/>
    <w:rsid w:val="59051E75"/>
    <w:rsid w:val="5906D13B"/>
    <w:rsid w:val="5908A319"/>
    <w:rsid w:val="590FF62D"/>
    <w:rsid w:val="59177DC9"/>
    <w:rsid w:val="592346BF"/>
    <w:rsid w:val="592E9D5A"/>
    <w:rsid w:val="594CF2F1"/>
    <w:rsid w:val="5955C7A8"/>
    <w:rsid w:val="5968BBE7"/>
    <w:rsid w:val="596D8DFE"/>
    <w:rsid w:val="5974AD59"/>
    <w:rsid w:val="5981A2B9"/>
    <w:rsid w:val="598E578C"/>
    <w:rsid w:val="598FB106"/>
    <w:rsid w:val="59977D59"/>
    <w:rsid w:val="599BEE87"/>
    <w:rsid w:val="59A3C6E2"/>
    <w:rsid w:val="59E1EF3D"/>
    <w:rsid w:val="59E251DC"/>
    <w:rsid w:val="59E6A162"/>
    <w:rsid w:val="59EFBECC"/>
    <w:rsid w:val="5A00E58A"/>
    <w:rsid w:val="5A025398"/>
    <w:rsid w:val="5A0F7F11"/>
    <w:rsid w:val="5A18E800"/>
    <w:rsid w:val="5A1B7FFC"/>
    <w:rsid w:val="5A220582"/>
    <w:rsid w:val="5A2AD965"/>
    <w:rsid w:val="5A34481A"/>
    <w:rsid w:val="5A383463"/>
    <w:rsid w:val="5A3A1B6C"/>
    <w:rsid w:val="5A3ECD66"/>
    <w:rsid w:val="5A40872D"/>
    <w:rsid w:val="5A44CDD4"/>
    <w:rsid w:val="5A4DF05D"/>
    <w:rsid w:val="5A51D231"/>
    <w:rsid w:val="5A5E84D8"/>
    <w:rsid w:val="5A600D89"/>
    <w:rsid w:val="5A6840C8"/>
    <w:rsid w:val="5A6A4099"/>
    <w:rsid w:val="5A8475EB"/>
    <w:rsid w:val="5A9DA307"/>
    <w:rsid w:val="5AA4257B"/>
    <w:rsid w:val="5AB3F3AC"/>
    <w:rsid w:val="5ABC0709"/>
    <w:rsid w:val="5AD918D7"/>
    <w:rsid w:val="5ADDA4FD"/>
    <w:rsid w:val="5ADFF347"/>
    <w:rsid w:val="5AEF0FF0"/>
    <w:rsid w:val="5AFB15D4"/>
    <w:rsid w:val="5AFC2418"/>
    <w:rsid w:val="5B010395"/>
    <w:rsid w:val="5B103C8F"/>
    <w:rsid w:val="5B3DAEED"/>
    <w:rsid w:val="5B5016CA"/>
    <w:rsid w:val="5B8E183A"/>
    <w:rsid w:val="5B8E5F18"/>
    <w:rsid w:val="5B9B834E"/>
    <w:rsid w:val="5B9C10F9"/>
    <w:rsid w:val="5B9EA28A"/>
    <w:rsid w:val="5BB3A5B8"/>
    <w:rsid w:val="5BB76079"/>
    <w:rsid w:val="5BCED584"/>
    <w:rsid w:val="5BD2ED2E"/>
    <w:rsid w:val="5C20CA07"/>
    <w:rsid w:val="5C2819F9"/>
    <w:rsid w:val="5C321692"/>
    <w:rsid w:val="5C33BAA6"/>
    <w:rsid w:val="5C45A2F6"/>
    <w:rsid w:val="5C4EB955"/>
    <w:rsid w:val="5C64F92F"/>
    <w:rsid w:val="5C76ECCE"/>
    <w:rsid w:val="5C803685"/>
    <w:rsid w:val="5C83B88A"/>
    <w:rsid w:val="5C8AF4B1"/>
    <w:rsid w:val="5C8D3735"/>
    <w:rsid w:val="5C910355"/>
    <w:rsid w:val="5CA4AA6F"/>
    <w:rsid w:val="5CA6E637"/>
    <w:rsid w:val="5CB7CC63"/>
    <w:rsid w:val="5CE0DF54"/>
    <w:rsid w:val="5CE92A38"/>
    <w:rsid w:val="5CFC6DF7"/>
    <w:rsid w:val="5CFF4E3E"/>
    <w:rsid w:val="5D030FE6"/>
    <w:rsid w:val="5D0310FC"/>
    <w:rsid w:val="5D057008"/>
    <w:rsid w:val="5D0A77A0"/>
    <w:rsid w:val="5D14ED07"/>
    <w:rsid w:val="5D250551"/>
    <w:rsid w:val="5D251679"/>
    <w:rsid w:val="5D25CF34"/>
    <w:rsid w:val="5D2B28CF"/>
    <w:rsid w:val="5D2E55CE"/>
    <w:rsid w:val="5D377792"/>
    <w:rsid w:val="5D39B840"/>
    <w:rsid w:val="5D3E37A1"/>
    <w:rsid w:val="5D443D14"/>
    <w:rsid w:val="5D53F97A"/>
    <w:rsid w:val="5D5A35B7"/>
    <w:rsid w:val="5D6562AE"/>
    <w:rsid w:val="5D6DA572"/>
    <w:rsid w:val="5D7CBB55"/>
    <w:rsid w:val="5D8097D9"/>
    <w:rsid w:val="5D83B274"/>
    <w:rsid w:val="5D8492D8"/>
    <w:rsid w:val="5D8D3451"/>
    <w:rsid w:val="5DAD9B70"/>
    <w:rsid w:val="5DB436FB"/>
    <w:rsid w:val="5DBD26F9"/>
    <w:rsid w:val="5DBD6F8F"/>
    <w:rsid w:val="5DC414DC"/>
    <w:rsid w:val="5DC7C3EE"/>
    <w:rsid w:val="5DE0D5F7"/>
    <w:rsid w:val="5DFD64BA"/>
    <w:rsid w:val="5E10F7FC"/>
    <w:rsid w:val="5E16690F"/>
    <w:rsid w:val="5E1C0C14"/>
    <w:rsid w:val="5E1D468D"/>
    <w:rsid w:val="5E2862CA"/>
    <w:rsid w:val="5E3FEA42"/>
    <w:rsid w:val="5E423539"/>
    <w:rsid w:val="5E43884E"/>
    <w:rsid w:val="5E46FA86"/>
    <w:rsid w:val="5E4BBDD8"/>
    <w:rsid w:val="5E629236"/>
    <w:rsid w:val="5E68FCA9"/>
    <w:rsid w:val="5E693D12"/>
    <w:rsid w:val="5E6B2A68"/>
    <w:rsid w:val="5E74ABB9"/>
    <w:rsid w:val="5E764AA2"/>
    <w:rsid w:val="5E76A4E7"/>
    <w:rsid w:val="5E8AC49D"/>
    <w:rsid w:val="5E94812B"/>
    <w:rsid w:val="5EA11376"/>
    <w:rsid w:val="5EA834E2"/>
    <w:rsid w:val="5EA8CE2C"/>
    <w:rsid w:val="5EBCFC19"/>
    <w:rsid w:val="5EBEEBD4"/>
    <w:rsid w:val="5EC8AC8D"/>
    <w:rsid w:val="5EE23F00"/>
    <w:rsid w:val="5EEA0094"/>
    <w:rsid w:val="5F112E4C"/>
    <w:rsid w:val="5F202A0B"/>
    <w:rsid w:val="5F314DF6"/>
    <w:rsid w:val="5F37ED5B"/>
    <w:rsid w:val="5F3CBB29"/>
    <w:rsid w:val="5F3FCFB8"/>
    <w:rsid w:val="5F44D9E7"/>
    <w:rsid w:val="5F455AA9"/>
    <w:rsid w:val="5F4BF304"/>
    <w:rsid w:val="5F508E8A"/>
    <w:rsid w:val="5F5577A0"/>
    <w:rsid w:val="5F693B30"/>
    <w:rsid w:val="5F6BDC9A"/>
    <w:rsid w:val="5F7C1CD3"/>
    <w:rsid w:val="5F832D61"/>
    <w:rsid w:val="5F866C9C"/>
    <w:rsid w:val="5F8CAC93"/>
    <w:rsid w:val="5F9553E2"/>
    <w:rsid w:val="5F9E6E6F"/>
    <w:rsid w:val="5F9F52DA"/>
    <w:rsid w:val="5FAFAF60"/>
    <w:rsid w:val="5FC0BD01"/>
    <w:rsid w:val="5FC0EE6D"/>
    <w:rsid w:val="5FC9714E"/>
    <w:rsid w:val="600AF558"/>
    <w:rsid w:val="601D1065"/>
    <w:rsid w:val="601F51C8"/>
    <w:rsid w:val="60231BD0"/>
    <w:rsid w:val="602E0282"/>
    <w:rsid w:val="60311E49"/>
    <w:rsid w:val="604A3852"/>
    <w:rsid w:val="6051FDDF"/>
    <w:rsid w:val="6054CB1B"/>
    <w:rsid w:val="605927FB"/>
    <w:rsid w:val="607968EE"/>
    <w:rsid w:val="607C37B6"/>
    <w:rsid w:val="6089D5E0"/>
    <w:rsid w:val="608D80B2"/>
    <w:rsid w:val="60915A72"/>
    <w:rsid w:val="609588F0"/>
    <w:rsid w:val="60B2D85A"/>
    <w:rsid w:val="60B6EA0A"/>
    <w:rsid w:val="60BBFED5"/>
    <w:rsid w:val="60BE2564"/>
    <w:rsid w:val="60CBFD75"/>
    <w:rsid w:val="60D536A0"/>
    <w:rsid w:val="60DB0BD5"/>
    <w:rsid w:val="60DF3981"/>
    <w:rsid w:val="60E1E16E"/>
    <w:rsid w:val="60EBAB1B"/>
    <w:rsid w:val="61099593"/>
    <w:rsid w:val="612C32C9"/>
    <w:rsid w:val="613C5945"/>
    <w:rsid w:val="6145E856"/>
    <w:rsid w:val="61610C3C"/>
    <w:rsid w:val="6161E65D"/>
    <w:rsid w:val="6169CDCB"/>
    <w:rsid w:val="6176F5DF"/>
    <w:rsid w:val="617DD28B"/>
    <w:rsid w:val="6181D37C"/>
    <w:rsid w:val="61869D55"/>
    <w:rsid w:val="618FBD09"/>
    <w:rsid w:val="618FE248"/>
    <w:rsid w:val="61B07821"/>
    <w:rsid w:val="61B7EA01"/>
    <w:rsid w:val="61C01EC2"/>
    <w:rsid w:val="61C9B32D"/>
    <w:rsid w:val="61E555CA"/>
    <w:rsid w:val="61E8A5B9"/>
    <w:rsid w:val="61EA72D8"/>
    <w:rsid w:val="6213645E"/>
    <w:rsid w:val="622643E4"/>
    <w:rsid w:val="622BA3F3"/>
    <w:rsid w:val="62391FBB"/>
    <w:rsid w:val="623F681F"/>
    <w:rsid w:val="62453938"/>
    <w:rsid w:val="624CA2B4"/>
    <w:rsid w:val="626E1A5E"/>
    <w:rsid w:val="62898887"/>
    <w:rsid w:val="62AAA5F4"/>
    <w:rsid w:val="62B5B21A"/>
    <w:rsid w:val="62BC6CD6"/>
    <w:rsid w:val="62C4D446"/>
    <w:rsid w:val="62CD6E95"/>
    <w:rsid w:val="62D71420"/>
    <w:rsid w:val="62E77A2A"/>
    <w:rsid w:val="62E96FE9"/>
    <w:rsid w:val="62F18D8C"/>
    <w:rsid w:val="630FD91F"/>
    <w:rsid w:val="6315AE10"/>
    <w:rsid w:val="631775E4"/>
    <w:rsid w:val="632AE55B"/>
    <w:rsid w:val="6330D746"/>
    <w:rsid w:val="633F13CD"/>
    <w:rsid w:val="6344BDEA"/>
    <w:rsid w:val="6344F7BC"/>
    <w:rsid w:val="634DAE67"/>
    <w:rsid w:val="634F839F"/>
    <w:rsid w:val="6354A29F"/>
    <w:rsid w:val="636E0A0A"/>
    <w:rsid w:val="637147BD"/>
    <w:rsid w:val="638C0891"/>
    <w:rsid w:val="638F10A3"/>
    <w:rsid w:val="6392AF05"/>
    <w:rsid w:val="63967602"/>
    <w:rsid w:val="6396E079"/>
    <w:rsid w:val="63A53C55"/>
    <w:rsid w:val="63A918C7"/>
    <w:rsid w:val="63AC37E6"/>
    <w:rsid w:val="63C1565A"/>
    <w:rsid w:val="63C315FE"/>
    <w:rsid w:val="63C4388E"/>
    <w:rsid w:val="63C94815"/>
    <w:rsid w:val="63E33E6A"/>
    <w:rsid w:val="64062905"/>
    <w:rsid w:val="640A5AEF"/>
    <w:rsid w:val="640AF0DB"/>
    <w:rsid w:val="64109931"/>
    <w:rsid w:val="641C160D"/>
    <w:rsid w:val="644E8226"/>
    <w:rsid w:val="64562701"/>
    <w:rsid w:val="645869BE"/>
    <w:rsid w:val="64586D34"/>
    <w:rsid w:val="646C7352"/>
    <w:rsid w:val="648127B7"/>
    <w:rsid w:val="6483B41B"/>
    <w:rsid w:val="649B52B2"/>
    <w:rsid w:val="64ABF044"/>
    <w:rsid w:val="64B5B208"/>
    <w:rsid w:val="64CCD0CF"/>
    <w:rsid w:val="64D15263"/>
    <w:rsid w:val="64F0BCC2"/>
    <w:rsid w:val="64F80DBB"/>
    <w:rsid w:val="65056112"/>
    <w:rsid w:val="6507CCEB"/>
    <w:rsid w:val="6510C493"/>
    <w:rsid w:val="65296D89"/>
    <w:rsid w:val="652ED95F"/>
    <w:rsid w:val="65326BA0"/>
    <w:rsid w:val="6537A7B2"/>
    <w:rsid w:val="656E54C6"/>
    <w:rsid w:val="656EC410"/>
    <w:rsid w:val="657DF109"/>
    <w:rsid w:val="658535E7"/>
    <w:rsid w:val="6594262D"/>
    <w:rsid w:val="65A22F4E"/>
    <w:rsid w:val="65BDB3E8"/>
    <w:rsid w:val="65F32531"/>
    <w:rsid w:val="65FA80E9"/>
    <w:rsid w:val="65FEC581"/>
    <w:rsid w:val="660C6272"/>
    <w:rsid w:val="66116E18"/>
    <w:rsid w:val="66279AF3"/>
    <w:rsid w:val="6628C69F"/>
    <w:rsid w:val="662ADA77"/>
    <w:rsid w:val="664955D9"/>
    <w:rsid w:val="6665B00A"/>
    <w:rsid w:val="66678A06"/>
    <w:rsid w:val="6669713B"/>
    <w:rsid w:val="666A5B66"/>
    <w:rsid w:val="666C871F"/>
    <w:rsid w:val="6676CAFA"/>
    <w:rsid w:val="667C8938"/>
    <w:rsid w:val="66836DB8"/>
    <w:rsid w:val="66931074"/>
    <w:rsid w:val="669935B3"/>
    <w:rsid w:val="669D623E"/>
    <w:rsid w:val="66A43AA8"/>
    <w:rsid w:val="66A6685F"/>
    <w:rsid w:val="66AF4F0D"/>
    <w:rsid w:val="66B700CE"/>
    <w:rsid w:val="66BFA596"/>
    <w:rsid w:val="66D60C9B"/>
    <w:rsid w:val="66DEAF61"/>
    <w:rsid w:val="66E3BF7B"/>
    <w:rsid w:val="66FF0ED9"/>
    <w:rsid w:val="6711C546"/>
    <w:rsid w:val="67161F68"/>
    <w:rsid w:val="6726911E"/>
    <w:rsid w:val="672AF971"/>
    <w:rsid w:val="67467F52"/>
    <w:rsid w:val="674FB410"/>
    <w:rsid w:val="675DAC7D"/>
    <w:rsid w:val="675E0DDA"/>
    <w:rsid w:val="676C6EAE"/>
    <w:rsid w:val="67786D86"/>
    <w:rsid w:val="6783AE6E"/>
    <w:rsid w:val="67967CBA"/>
    <w:rsid w:val="679856F3"/>
    <w:rsid w:val="679C9D8E"/>
    <w:rsid w:val="67A5BAE6"/>
    <w:rsid w:val="67ADBE8D"/>
    <w:rsid w:val="67B54F3D"/>
    <w:rsid w:val="67BB3C3C"/>
    <w:rsid w:val="67C8BF59"/>
    <w:rsid w:val="67CAD5C0"/>
    <w:rsid w:val="67CD744E"/>
    <w:rsid w:val="67D24C79"/>
    <w:rsid w:val="67D43AF9"/>
    <w:rsid w:val="6805FC64"/>
    <w:rsid w:val="680A21DB"/>
    <w:rsid w:val="681118DD"/>
    <w:rsid w:val="68118B65"/>
    <w:rsid w:val="68122B01"/>
    <w:rsid w:val="681439FA"/>
    <w:rsid w:val="68149C15"/>
    <w:rsid w:val="681A8B1A"/>
    <w:rsid w:val="681D8EA4"/>
    <w:rsid w:val="68271B41"/>
    <w:rsid w:val="683785B2"/>
    <w:rsid w:val="683ECC17"/>
    <w:rsid w:val="683FA48D"/>
    <w:rsid w:val="6846052A"/>
    <w:rsid w:val="684B7ACF"/>
    <w:rsid w:val="684BFF1B"/>
    <w:rsid w:val="685253B9"/>
    <w:rsid w:val="685FE170"/>
    <w:rsid w:val="686C70A9"/>
    <w:rsid w:val="6873ACBC"/>
    <w:rsid w:val="68768F84"/>
    <w:rsid w:val="6878B7C2"/>
    <w:rsid w:val="6886E758"/>
    <w:rsid w:val="6897CD31"/>
    <w:rsid w:val="68AEE71D"/>
    <w:rsid w:val="68BB6CDB"/>
    <w:rsid w:val="68BF5395"/>
    <w:rsid w:val="68DE8DB2"/>
    <w:rsid w:val="68E892AE"/>
    <w:rsid w:val="68EA968E"/>
    <w:rsid w:val="68FDDFC1"/>
    <w:rsid w:val="6923EA45"/>
    <w:rsid w:val="692B9D7B"/>
    <w:rsid w:val="694E2A56"/>
    <w:rsid w:val="695A8C95"/>
    <w:rsid w:val="695FC4E4"/>
    <w:rsid w:val="6963AD58"/>
    <w:rsid w:val="6964095B"/>
    <w:rsid w:val="696512AB"/>
    <w:rsid w:val="6965348A"/>
    <w:rsid w:val="6970C8C5"/>
    <w:rsid w:val="69821634"/>
    <w:rsid w:val="698C75F7"/>
    <w:rsid w:val="699E5D50"/>
    <w:rsid w:val="699F9064"/>
    <w:rsid w:val="69A1074D"/>
    <w:rsid w:val="69A3FD91"/>
    <w:rsid w:val="69A86F29"/>
    <w:rsid w:val="69ADCF5B"/>
    <w:rsid w:val="69B7F847"/>
    <w:rsid w:val="69B82A7F"/>
    <w:rsid w:val="69C4CCE7"/>
    <w:rsid w:val="69C515AF"/>
    <w:rsid w:val="69C84FFF"/>
    <w:rsid w:val="69D381DF"/>
    <w:rsid w:val="69FA4E25"/>
    <w:rsid w:val="6A13FB4A"/>
    <w:rsid w:val="6A14FFC6"/>
    <w:rsid w:val="6A174083"/>
    <w:rsid w:val="6A207ED4"/>
    <w:rsid w:val="6A252491"/>
    <w:rsid w:val="6A3CEC55"/>
    <w:rsid w:val="6A41A80B"/>
    <w:rsid w:val="6A57D875"/>
    <w:rsid w:val="6A612FFE"/>
    <w:rsid w:val="6A617CC9"/>
    <w:rsid w:val="6A7175F5"/>
    <w:rsid w:val="6A72F89D"/>
    <w:rsid w:val="6A84AC8F"/>
    <w:rsid w:val="6A88E7B8"/>
    <w:rsid w:val="6A8A6FA4"/>
    <w:rsid w:val="6AAC61F4"/>
    <w:rsid w:val="6AB2FFCE"/>
    <w:rsid w:val="6AB324B2"/>
    <w:rsid w:val="6AB3FF5C"/>
    <w:rsid w:val="6ABA2644"/>
    <w:rsid w:val="6AC1B556"/>
    <w:rsid w:val="6AC736B4"/>
    <w:rsid w:val="6B028F92"/>
    <w:rsid w:val="6B0F2CCF"/>
    <w:rsid w:val="6B110ECD"/>
    <w:rsid w:val="6B134D5A"/>
    <w:rsid w:val="6B180E1D"/>
    <w:rsid w:val="6B19E2EB"/>
    <w:rsid w:val="6B21AE25"/>
    <w:rsid w:val="6B2EC010"/>
    <w:rsid w:val="6B317FED"/>
    <w:rsid w:val="6B3323C9"/>
    <w:rsid w:val="6B3C46FB"/>
    <w:rsid w:val="6B4270C7"/>
    <w:rsid w:val="6B45065B"/>
    <w:rsid w:val="6B46DD40"/>
    <w:rsid w:val="6B5011EC"/>
    <w:rsid w:val="6B558FF1"/>
    <w:rsid w:val="6B55AD60"/>
    <w:rsid w:val="6B5FA970"/>
    <w:rsid w:val="6B61C33B"/>
    <w:rsid w:val="6B650589"/>
    <w:rsid w:val="6B662610"/>
    <w:rsid w:val="6B6E1223"/>
    <w:rsid w:val="6B788C99"/>
    <w:rsid w:val="6B7F174F"/>
    <w:rsid w:val="6BABCD82"/>
    <w:rsid w:val="6BAC6C5F"/>
    <w:rsid w:val="6BBBB9AC"/>
    <w:rsid w:val="6BC0DE63"/>
    <w:rsid w:val="6BC98FF1"/>
    <w:rsid w:val="6BCF11C2"/>
    <w:rsid w:val="6BD7CC88"/>
    <w:rsid w:val="6BE436F8"/>
    <w:rsid w:val="6BEEB9A5"/>
    <w:rsid w:val="6C0D1865"/>
    <w:rsid w:val="6C0EAA80"/>
    <w:rsid w:val="6C19AD11"/>
    <w:rsid w:val="6C2907D0"/>
    <w:rsid w:val="6C2C84BA"/>
    <w:rsid w:val="6C34E773"/>
    <w:rsid w:val="6C36CB37"/>
    <w:rsid w:val="6C38052D"/>
    <w:rsid w:val="6C55D717"/>
    <w:rsid w:val="6C58378C"/>
    <w:rsid w:val="6C5BC2C3"/>
    <w:rsid w:val="6C641FFF"/>
    <w:rsid w:val="6C7384FA"/>
    <w:rsid w:val="6C7B19DE"/>
    <w:rsid w:val="6C828910"/>
    <w:rsid w:val="6C87389F"/>
    <w:rsid w:val="6C9ABAB0"/>
    <w:rsid w:val="6C9F05DE"/>
    <w:rsid w:val="6CA0D723"/>
    <w:rsid w:val="6CAB2D32"/>
    <w:rsid w:val="6CDB2407"/>
    <w:rsid w:val="6CE1E95F"/>
    <w:rsid w:val="6CE23CF2"/>
    <w:rsid w:val="6CEC9097"/>
    <w:rsid w:val="6CF781BC"/>
    <w:rsid w:val="6CFCDE58"/>
    <w:rsid w:val="6CFD1404"/>
    <w:rsid w:val="6D01357F"/>
    <w:rsid w:val="6D051DA6"/>
    <w:rsid w:val="6D089F6B"/>
    <w:rsid w:val="6D0F0202"/>
    <w:rsid w:val="6D1D631F"/>
    <w:rsid w:val="6D3600E8"/>
    <w:rsid w:val="6D396DA9"/>
    <w:rsid w:val="6D3AE612"/>
    <w:rsid w:val="6D3EAACC"/>
    <w:rsid w:val="6D45E320"/>
    <w:rsid w:val="6D4817A8"/>
    <w:rsid w:val="6D4E6382"/>
    <w:rsid w:val="6D51E79D"/>
    <w:rsid w:val="6D57A73B"/>
    <w:rsid w:val="6D57ED4A"/>
    <w:rsid w:val="6D59DCFD"/>
    <w:rsid w:val="6D613FE8"/>
    <w:rsid w:val="6D7BDE57"/>
    <w:rsid w:val="6D817671"/>
    <w:rsid w:val="6D81E5DE"/>
    <w:rsid w:val="6D866C07"/>
    <w:rsid w:val="6D961353"/>
    <w:rsid w:val="6D9731E1"/>
    <w:rsid w:val="6D9AA46A"/>
    <w:rsid w:val="6D9E1839"/>
    <w:rsid w:val="6DA767DB"/>
    <w:rsid w:val="6DA814CF"/>
    <w:rsid w:val="6DB11DB6"/>
    <w:rsid w:val="6DC4F8AD"/>
    <w:rsid w:val="6DCA2DBD"/>
    <w:rsid w:val="6DF47617"/>
    <w:rsid w:val="6DFEA933"/>
    <w:rsid w:val="6E030230"/>
    <w:rsid w:val="6E08CC54"/>
    <w:rsid w:val="6E08EB45"/>
    <w:rsid w:val="6E0C604C"/>
    <w:rsid w:val="6E1005CB"/>
    <w:rsid w:val="6E1165B6"/>
    <w:rsid w:val="6E2541D0"/>
    <w:rsid w:val="6E292183"/>
    <w:rsid w:val="6E29C036"/>
    <w:rsid w:val="6E3615CC"/>
    <w:rsid w:val="6E41A26E"/>
    <w:rsid w:val="6E4A0CF6"/>
    <w:rsid w:val="6E4B0F00"/>
    <w:rsid w:val="6E4BD0C1"/>
    <w:rsid w:val="6E4DF994"/>
    <w:rsid w:val="6E51D76A"/>
    <w:rsid w:val="6E520978"/>
    <w:rsid w:val="6E53C05B"/>
    <w:rsid w:val="6E55B628"/>
    <w:rsid w:val="6E82393A"/>
    <w:rsid w:val="6E882531"/>
    <w:rsid w:val="6E9F18CB"/>
    <w:rsid w:val="6E9FD151"/>
    <w:rsid w:val="6EA075B9"/>
    <w:rsid w:val="6EA19425"/>
    <w:rsid w:val="6EA8B205"/>
    <w:rsid w:val="6EC2C322"/>
    <w:rsid w:val="6ECE1CE7"/>
    <w:rsid w:val="6ED35C73"/>
    <w:rsid w:val="6EE507EF"/>
    <w:rsid w:val="6EFFA1C5"/>
    <w:rsid w:val="6F011401"/>
    <w:rsid w:val="6F1443F5"/>
    <w:rsid w:val="6F2CE4EC"/>
    <w:rsid w:val="6F2DEC45"/>
    <w:rsid w:val="6F36DCF8"/>
    <w:rsid w:val="6F38104B"/>
    <w:rsid w:val="6F45D8AF"/>
    <w:rsid w:val="6F494D53"/>
    <w:rsid w:val="6F4C62B0"/>
    <w:rsid w:val="6F51233D"/>
    <w:rsid w:val="6F6B86B4"/>
    <w:rsid w:val="6F6F2C9A"/>
    <w:rsid w:val="6F6FF19A"/>
    <w:rsid w:val="6F75D3EF"/>
    <w:rsid w:val="6F77FDB0"/>
    <w:rsid w:val="6F7FC360"/>
    <w:rsid w:val="6F87A9A1"/>
    <w:rsid w:val="6F8A75AD"/>
    <w:rsid w:val="6F92987F"/>
    <w:rsid w:val="6FA3094F"/>
    <w:rsid w:val="6FA55E5B"/>
    <w:rsid w:val="6FA7BD6D"/>
    <w:rsid w:val="6FAE0921"/>
    <w:rsid w:val="6FAE5F3E"/>
    <w:rsid w:val="6FB2C343"/>
    <w:rsid w:val="6FB48E82"/>
    <w:rsid w:val="6FD85F1A"/>
    <w:rsid w:val="6FDD559D"/>
    <w:rsid w:val="6FE2F907"/>
    <w:rsid w:val="6FEAB02B"/>
    <w:rsid w:val="6FF1E6E9"/>
    <w:rsid w:val="70091456"/>
    <w:rsid w:val="700F2EEC"/>
    <w:rsid w:val="701B1BBF"/>
    <w:rsid w:val="7039F093"/>
    <w:rsid w:val="705858C3"/>
    <w:rsid w:val="705E8977"/>
    <w:rsid w:val="705F417E"/>
    <w:rsid w:val="7070803C"/>
    <w:rsid w:val="70862BA4"/>
    <w:rsid w:val="708F0778"/>
    <w:rsid w:val="70941CA6"/>
    <w:rsid w:val="70963DE2"/>
    <w:rsid w:val="70B0F8BF"/>
    <w:rsid w:val="70B88870"/>
    <w:rsid w:val="70BB2518"/>
    <w:rsid w:val="70BDB273"/>
    <w:rsid w:val="70C712E0"/>
    <w:rsid w:val="70C817DD"/>
    <w:rsid w:val="70CA89F4"/>
    <w:rsid w:val="70D200F9"/>
    <w:rsid w:val="70D34A3D"/>
    <w:rsid w:val="70DCF453"/>
    <w:rsid w:val="70F00AA1"/>
    <w:rsid w:val="7113BF01"/>
    <w:rsid w:val="711EAF3C"/>
    <w:rsid w:val="7125A271"/>
    <w:rsid w:val="712AF062"/>
    <w:rsid w:val="71308B70"/>
    <w:rsid w:val="714AD8BE"/>
    <w:rsid w:val="715104AC"/>
    <w:rsid w:val="7163F734"/>
    <w:rsid w:val="71677BC9"/>
    <w:rsid w:val="7167DFDB"/>
    <w:rsid w:val="716C855D"/>
    <w:rsid w:val="717E3BED"/>
    <w:rsid w:val="718E6991"/>
    <w:rsid w:val="71918837"/>
    <w:rsid w:val="719E127E"/>
    <w:rsid w:val="71B580E0"/>
    <w:rsid w:val="71B9EA2A"/>
    <w:rsid w:val="71CC329F"/>
    <w:rsid w:val="71D956A4"/>
    <w:rsid w:val="71E86BD4"/>
    <w:rsid w:val="71EB2C83"/>
    <w:rsid w:val="71ED7342"/>
    <w:rsid w:val="71EF4A38"/>
    <w:rsid w:val="71F3D240"/>
    <w:rsid w:val="71FB1D24"/>
    <w:rsid w:val="721120EE"/>
    <w:rsid w:val="7229B889"/>
    <w:rsid w:val="7242E5ED"/>
    <w:rsid w:val="724967AB"/>
    <w:rsid w:val="7249DE64"/>
    <w:rsid w:val="724B9928"/>
    <w:rsid w:val="724C5B5B"/>
    <w:rsid w:val="7250B584"/>
    <w:rsid w:val="726D554D"/>
    <w:rsid w:val="7276CA57"/>
    <w:rsid w:val="72931E52"/>
    <w:rsid w:val="729BA679"/>
    <w:rsid w:val="72A3B489"/>
    <w:rsid w:val="72A6E2AF"/>
    <w:rsid w:val="72AA548D"/>
    <w:rsid w:val="72AB27A5"/>
    <w:rsid w:val="72BAAEB8"/>
    <w:rsid w:val="72BCB315"/>
    <w:rsid w:val="72D33AA3"/>
    <w:rsid w:val="72D5F3BF"/>
    <w:rsid w:val="72DEBC9F"/>
    <w:rsid w:val="72E3B55D"/>
    <w:rsid w:val="72F4B4EC"/>
    <w:rsid w:val="730E1A12"/>
    <w:rsid w:val="731732AD"/>
    <w:rsid w:val="731E61F6"/>
    <w:rsid w:val="732271BC"/>
    <w:rsid w:val="73296C8D"/>
    <w:rsid w:val="732992AD"/>
    <w:rsid w:val="732A501D"/>
    <w:rsid w:val="732C9E66"/>
    <w:rsid w:val="732D9339"/>
    <w:rsid w:val="73355E0E"/>
    <w:rsid w:val="7345FE58"/>
    <w:rsid w:val="7347D254"/>
    <w:rsid w:val="73602AA6"/>
    <w:rsid w:val="73685773"/>
    <w:rsid w:val="736C1C63"/>
    <w:rsid w:val="73809052"/>
    <w:rsid w:val="739EDF31"/>
    <w:rsid w:val="73B48D7B"/>
    <w:rsid w:val="73B5DC47"/>
    <w:rsid w:val="73BC7916"/>
    <w:rsid w:val="73BFE6C7"/>
    <w:rsid w:val="73C34D44"/>
    <w:rsid w:val="73C482CF"/>
    <w:rsid w:val="73D47866"/>
    <w:rsid w:val="73EBE12F"/>
    <w:rsid w:val="73EF8361"/>
    <w:rsid w:val="7400B3C1"/>
    <w:rsid w:val="740D2F93"/>
    <w:rsid w:val="7429DB3E"/>
    <w:rsid w:val="743567F5"/>
    <w:rsid w:val="7437988A"/>
    <w:rsid w:val="743BCECF"/>
    <w:rsid w:val="7442C59F"/>
    <w:rsid w:val="745BB2A6"/>
    <w:rsid w:val="74674AE1"/>
    <w:rsid w:val="746A5530"/>
    <w:rsid w:val="747289EA"/>
    <w:rsid w:val="7477582C"/>
    <w:rsid w:val="74781F79"/>
    <w:rsid w:val="747B997B"/>
    <w:rsid w:val="747F33A1"/>
    <w:rsid w:val="74816180"/>
    <w:rsid w:val="7482D75C"/>
    <w:rsid w:val="74A151BB"/>
    <w:rsid w:val="74A93254"/>
    <w:rsid w:val="74B375E5"/>
    <w:rsid w:val="74D5B7D5"/>
    <w:rsid w:val="74DB2CFA"/>
    <w:rsid w:val="74DE0B3E"/>
    <w:rsid w:val="74E8A960"/>
    <w:rsid w:val="74F59193"/>
    <w:rsid w:val="74FBE822"/>
    <w:rsid w:val="7535E393"/>
    <w:rsid w:val="753C9951"/>
    <w:rsid w:val="754091E9"/>
    <w:rsid w:val="75473F91"/>
    <w:rsid w:val="754C3B8C"/>
    <w:rsid w:val="756368C2"/>
    <w:rsid w:val="75759A05"/>
    <w:rsid w:val="758F23B0"/>
    <w:rsid w:val="75946806"/>
    <w:rsid w:val="759FA78E"/>
    <w:rsid w:val="75C25AA3"/>
    <w:rsid w:val="75C3BAA0"/>
    <w:rsid w:val="75D4EFAC"/>
    <w:rsid w:val="75D9AD92"/>
    <w:rsid w:val="75E556BA"/>
    <w:rsid w:val="75FD6375"/>
    <w:rsid w:val="763ED73B"/>
    <w:rsid w:val="76503F46"/>
    <w:rsid w:val="765D94CF"/>
    <w:rsid w:val="76674600"/>
    <w:rsid w:val="7681A60D"/>
    <w:rsid w:val="76913002"/>
    <w:rsid w:val="76981DEB"/>
    <w:rsid w:val="76A9D2C2"/>
    <w:rsid w:val="76B00443"/>
    <w:rsid w:val="76BECC84"/>
    <w:rsid w:val="76CC2AC5"/>
    <w:rsid w:val="76CC5FC0"/>
    <w:rsid w:val="76E43F49"/>
    <w:rsid w:val="76F1C8C4"/>
    <w:rsid w:val="76FF86B3"/>
    <w:rsid w:val="770C81C7"/>
    <w:rsid w:val="77295D1B"/>
    <w:rsid w:val="772F25B0"/>
    <w:rsid w:val="7732C72E"/>
    <w:rsid w:val="7734FC22"/>
    <w:rsid w:val="77464DFE"/>
    <w:rsid w:val="7746E449"/>
    <w:rsid w:val="774937CB"/>
    <w:rsid w:val="77558B40"/>
    <w:rsid w:val="7756DE27"/>
    <w:rsid w:val="77745BEC"/>
    <w:rsid w:val="777DF9B0"/>
    <w:rsid w:val="77865B70"/>
    <w:rsid w:val="778D4FC2"/>
    <w:rsid w:val="778E48CC"/>
    <w:rsid w:val="7797C828"/>
    <w:rsid w:val="7799680D"/>
    <w:rsid w:val="779B55C8"/>
    <w:rsid w:val="77B071DA"/>
    <w:rsid w:val="77BCEFAE"/>
    <w:rsid w:val="77BDF4C3"/>
    <w:rsid w:val="77C1D746"/>
    <w:rsid w:val="77C6A375"/>
    <w:rsid w:val="77EAD387"/>
    <w:rsid w:val="77EE452C"/>
    <w:rsid w:val="77FBA8BF"/>
    <w:rsid w:val="77FEDC46"/>
    <w:rsid w:val="7810B8F3"/>
    <w:rsid w:val="7814CB57"/>
    <w:rsid w:val="7815D0FD"/>
    <w:rsid w:val="7839916E"/>
    <w:rsid w:val="783AA19D"/>
    <w:rsid w:val="784796D7"/>
    <w:rsid w:val="78521EF1"/>
    <w:rsid w:val="785E9894"/>
    <w:rsid w:val="78602139"/>
    <w:rsid w:val="786428FE"/>
    <w:rsid w:val="7864BF10"/>
    <w:rsid w:val="786B71C4"/>
    <w:rsid w:val="786E6E5C"/>
    <w:rsid w:val="787A2211"/>
    <w:rsid w:val="787C6A59"/>
    <w:rsid w:val="787F6C08"/>
    <w:rsid w:val="7883FEBE"/>
    <w:rsid w:val="788ADEA2"/>
    <w:rsid w:val="788CDEA3"/>
    <w:rsid w:val="788EFBD9"/>
    <w:rsid w:val="78AD4AF0"/>
    <w:rsid w:val="78C3C605"/>
    <w:rsid w:val="78CA89DF"/>
    <w:rsid w:val="78D4E3FC"/>
    <w:rsid w:val="78D9D7A2"/>
    <w:rsid w:val="78EAA3F5"/>
    <w:rsid w:val="78F1736A"/>
    <w:rsid w:val="7902C2DD"/>
    <w:rsid w:val="790CDDFB"/>
    <w:rsid w:val="791A8FD4"/>
    <w:rsid w:val="791FEA57"/>
    <w:rsid w:val="793BEBA5"/>
    <w:rsid w:val="79414F59"/>
    <w:rsid w:val="794F6D44"/>
    <w:rsid w:val="795B43F2"/>
    <w:rsid w:val="795F4A26"/>
    <w:rsid w:val="796CD86A"/>
    <w:rsid w:val="7970BA37"/>
    <w:rsid w:val="7980722C"/>
    <w:rsid w:val="79AFFE5A"/>
    <w:rsid w:val="79B16D1C"/>
    <w:rsid w:val="79B88938"/>
    <w:rsid w:val="79C1720F"/>
    <w:rsid w:val="79CA02CA"/>
    <w:rsid w:val="79CBFFC5"/>
    <w:rsid w:val="79CE4EC9"/>
    <w:rsid w:val="79D3D560"/>
    <w:rsid w:val="79D77DE1"/>
    <w:rsid w:val="79E1F007"/>
    <w:rsid w:val="79E473E8"/>
    <w:rsid w:val="79E6342D"/>
    <w:rsid w:val="79EC3142"/>
    <w:rsid w:val="79EE25AC"/>
    <w:rsid w:val="79FA6135"/>
    <w:rsid w:val="79FB544A"/>
    <w:rsid w:val="7A167B1F"/>
    <w:rsid w:val="7A1C1EFB"/>
    <w:rsid w:val="7A2DA34C"/>
    <w:rsid w:val="7A30177F"/>
    <w:rsid w:val="7A575A2A"/>
    <w:rsid w:val="7A720B31"/>
    <w:rsid w:val="7A7EAC21"/>
    <w:rsid w:val="7A7F4E29"/>
    <w:rsid w:val="7A89E915"/>
    <w:rsid w:val="7A975A56"/>
    <w:rsid w:val="7A9A810F"/>
    <w:rsid w:val="7ABDB5AC"/>
    <w:rsid w:val="7AC8B1C4"/>
    <w:rsid w:val="7ACB13E0"/>
    <w:rsid w:val="7AD2B116"/>
    <w:rsid w:val="7AD5EAB7"/>
    <w:rsid w:val="7AE5DDF6"/>
    <w:rsid w:val="7AED672C"/>
    <w:rsid w:val="7AF103E5"/>
    <w:rsid w:val="7B00A017"/>
    <w:rsid w:val="7B0AFD6B"/>
    <w:rsid w:val="7B102A27"/>
    <w:rsid w:val="7B1FDE80"/>
    <w:rsid w:val="7B23578C"/>
    <w:rsid w:val="7B2E38C5"/>
    <w:rsid w:val="7B3005B4"/>
    <w:rsid w:val="7B3A5B7C"/>
    <w:rsid w:val="7B4BCB40"/>
    <w:rsid w:val="7B645404"/>
    <w:rsid w:val="7B64615D"/>
    <w:rsid w:val="7B6C18E9"/>
    <w:rsid w:val="7B7824AF"/>
    <w:rsid w:val="7B7EDF61"/>
    <w:rsid w:val="7B80DAFA"/>
    <w:rsid w:val="7BA75D4F"/>
    <w:rsid w:val="7BAAEF9C"/>
    <w:rsid w:val="7BAEE85A"/>
    <w:rsid w:val="7BB19CD9"/>
    <w:rsid w:val="7BB87D34"/>
    <w:rsid w:val="7BBA9C6E"/>
    <w:rsid w:val="7BCE5F25"/>
    <w:rsid w:val="7BDDAC79"/>
    <w:rsid w:val="7BDF5A9E"/>
    <w:rsid w:val="7BEA252D"/>
    <w:rsid w:val="7C054A7E"/>
    <w:rsid w:val="7C05E5F9"/>
    <w:rsid w:val="7C0A8228"/>
    <w:rsid w:val="7C2F90B4"/>
    <w:rsid w:val="7C38E98D"/>
    <w:rsid w:val="7C47F3C7"/>
    <w:rsid w:val="7C488DEF"/>
    <w:rsid w:val="7C5AA26D"/>
    <w:rsid w:val="7C6EA457"/>
    <w:rsid w:val="7C828275"/>
    <w:rsid w:val="7C85B6F4"/>
    <w:rsid w:val="7C889FFD"/>
    <w:rsid w:val="7C93DFEE"/>
    <w:rsid w:val="7CB45C0F"/>
    <w:rsid w:val="7CB56E97"/>
    <w:rsid w:val="7CB928C5"/>
    <w:rsid w:val="7CBC983E"/>
    <w:rsid w:val="7CBCA684"/>
    <w:rsid w:val="7CC97779"/>
    <w:rsid w:val="7CDDF234"/>
    <w:rsid w:val="7CF4A944"/>
    <w:rsid w:val="7D0B5147"/>
    <w:rsid w:val="7D0C101D"/>
    <w:rsid w:val="7D118FA4"/>
    <w:rsid w:val="7D26EA03"/>
    <w:rsid w:val="7D274C73"/>
    <w:rsid w:val="7D2F4047"/>
    <w:rsid w:val="7D3910D1"/>
    <w:rsid w:val="7D3A3BF6"/>
    <w:rsid w:val="7D479A89"/>
    <w:rsid w:val="7D5A5BD9"/>
    <w:rsid w:val="7D65A7F5"/>
    <w:rsid w:val="7D7118CA"/>
    <w:rsid w:val="7D714BF6"/>
    <w:rsid w:val="7D71D4E7"/>
    <w:rsid w:val="7D7717F5"/>
    <w:rsid w:val="7D897C49"/>
    <w:rsid w:val="7DA51342"/>
    <w:rsid w:val="7DA69AA6"/>
    <w:rsid w:val="7DC63B5D"/>
    <w:rsid w:val="7DC88937"/>
    <w:rsid w:val="7DCCB365"/>
    <w:rsid w:val="7DE28CBC"/>
    <w:rsid w:val="7DF14105"/>
    <w:rsid w:val="7E07D113"/>
    <w:rsid w:val="7E142242"/>
    <w:rsid w:val="7E1A285D"/>
    <w:rsid w:val="7E24FBB8"/>
    <w:rsid w:val="7E476C84"/>
    <w:rsid w:val="7E586B00"/>
    <w:rsid w:val="7E7336EE"/>
    <w:rsid w:val="7E7DBFB3"/>
    <w:rsid w:val="7E81CEA3"/>
    <w:rsid w:val="7E8F691F"/>
    <w:rsid w:val="7E932A3B"/>
    <w:rsid w:val="7E99AF90"/>
    <w:rsid w:val="7EA2AF05"/>
    <w:rsid w:val="7EB0B66E"/>
    <w:rsid w:val="7EB89F10"/>
    <w:rsid w:val="7EC1F260"/>
    <w:rsid w:val="7EC7046F"/>
    <w:rsid w:val="7EC95F8C"/>
    <w:rsid w:val="7ECF5131"/>
    <w:rsid w:val="7ED68F89"/>
    <w:rsid w:val="7EEE2EE4"/>
    <w:rsid w:val="7EF80DC4"/>
    <w:rsid w:val="7F113F33"/>
    <w:rsid w:val="7F24C38D"/>
    <w:rsid w:val="7F2D9FE5"/>
    <w:rsid w:val="7F4616DE"/>
    <w:rsid w:val="7F4D44C7"/>
    <w:rsid w:val="7F6A9817"/>
    <w:rsid w:val="7F6D1E5C"/>
    <w:rsid w:val="7F756D0C"/>
    <w:rsid w:val="7F7C4812"/>
    <w:rsid w:val="7F8A2D7D"/>
    <w:rsid w:val="7F8D280F"/>
    <w:rsid w:val="7F99CBBE"/>
    <w:rsid w:val="7FA653F7"/>
    <w:rsid w:val="7FA7A6D1"/>
    <w:rsid w:val="7FAED8E1"/>
    <w:rsid w:val="7FC4B793"/>
    <w:rsid w:val="7FC72375"/>
    <w:rsid w:val="7FCE619C"/>
    <w:rsid w:val="7FD14C29"/>
    <w:rsid w:val="7FD7BACE"/>
    <w:rsid w:val="7FD80E3D"/>
    <w:rsid w:val="7FE3FFD4"/>
    <w:rsid w:val="7FE9DBD3"/>
    <w:rsid w:val="7FF5661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C03A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5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5F3"/>
  </w:style>
  <w:style w:type="paragraph" w:styleId="Footer">
    <w:name w:val="footer"/>
    <w:basedOn w:val="Normal"/>
    <w:link w:val="FooterChar"/>
    <w:uiPriority w:val="99"/>
    <w:unhideWhenUsed/>
    <w:rsid w:val="00A735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5F3"/>
  </w:style>
  <w:style w:type="paragraph" w:customStyle="1" w:styleId="paragraph">
    <w:name w:val="paragraph"/>
    <w:basedOn w:val="Normal"/>
    <w:rsid w:val="00CE60A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CE60AE"/>
  </w:style>
  <w:style w:type="character" w:customStyle="1" w:styleId="eop">
    <w:name w:val="eop"/>
    <w:basedOn w:val="DefaultParagraphFont"/>
    <w:rsid w:val="00CE60AE"/>
  </w:style>
  <w:style w:type="character" w:customStyle="1" w:styleId="wacimagecontainer">
    <w:name w:val="wacimagecontainer"/>
    <w:basedOn w:val="DefaultParagraphFont"/>
    <w:rsid w:val="00C957AB"/>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unhideWhenUsed/>
    <w:qFormat/>
    <w:rsid w:val="00C957AB"/>
    <w:rPr>
      <w:sz w:val="20"/>
      <w:vertAlign w:val="superscript"/>
    </w:rPr>
  </w:style>
  <w:style w:type="paragraph" w:styleId="NoSpacing">
    <w:name w:val="No Spacing"/>
    <w:uiPriority w:val="1"/>
    <w:qFormat/>
    <w:rsid w:val="00C957AB"/>
    <w:pPr>
      <w:spacing w:after="0" w:line="240" w:lineRule="auto"/>
      <w:jc w:val="both"/>
    </w:pPr>
    <w:rPr>
      <w:rFonts w:ascii="Times New Roman" w:hAnsi="Times New Roman" w:cs="Times New Roman"/>
      <w:kern w:val="0"/>
      <w:sz w:val="24"/>
      <w:szCs w:val="24"/>
      <w14:ligatures w14:val="none"/>
    </w:rPr>
  </w:style>
  <w:style w:type="paragraph" w:customStyle="1" w:styleId="CharCharChar1">
    <w:name w:val="Char Char Char1"/>
    <w:basedOn w:val="Normal"/>
    <w:link w:val="FootnoteReference"/>
    <w:uiPriority w:val="99"/>
    <w:rsid w:val="00C957AB"/>
    <w:pPr>
      <w:spacing w:line="240" w:lineRule="exact"/>
      <w:jc w:val="both"/>
    </w:pPr>
    <w:rPr>
      <w:sz w:val="20"/>
      <w:vertAlign w:val="superscript"/>
    </w:rPr>
  </w:style>
  <w:style w:type="paragraph" w:styleId="ListParagraph">
    <w:name w:val="List Paragraph"/>
    <w:basedOn w:val="Normal"/>
    <w:uiPriority w:val="34"/>
    <w:qFormat/>
    <w:rsid w:val="00C957AB"/>
    <w:pPr>
      <w:ind w:left="720"/>
      <w:contextualSpacing/>
    </w:pPr>
  </w:style>
  <w:style w:type="paragraph" w:styleId="CommentText">
    <w:name w:val="annotation text"/>
    <w:basedOn w:val="Normal"/>
    <w:link w:val="CommentTextChar"/>
    <w:uiPriority w:val="99"/>
    <w:unhideWhenUsed/>
    <w:rsid w:val="009E6ECB"/>
    <w:pPr>
      <w:spacing w:line="240" w:lineRule="auto"/>
    </w:pPr>
    <w:rPr>
      <w:sz w:val="20"/>
      <w:szCs w:val="20"/>
    </w:rPr>
  </w:style>
  <w:style w:type="character" w:customStyle="1" w:styleId="CommentTextChar">
    <w:name w:val="Comment Text Char"/>
    <w:basedOn w:val="DefaultParagraphFont"/>
    <w:link w:val="CommentText"/>
    <w:uiPriority w:val="99"/>
    <w:rsid w:val="009E6ECB"/>
    <w:rPr>
      <w:sz w:val="20"/>
      <w:szCs w:val="20"/>
    </w:rPr>
  </w:style>
  <w:style w:type="character" w:styleId="CommentReference">
    <w:name w:val="annotation reference"/>
    <w:basedOn w:val="DefaultParagraphFont"/>
    <w:uiPriority w:val="99"/>
    <w:semiHidden/>
    <w:unhideWhenUsed/>
    <w:rsid w:val="009E6ECB"/>
    <w:rPr>
      <w:sz w:val="16"/>
      <w:szCs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4241BA"/>
    <w:pPr>
      <w:spacing w:after="240" w:line="240" w:lineRule="auto"/>
      <w:ind w:left="357" w:hanging="357"/>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241BA"/>
    <w:rPr>
      <w:rFonts w:ascii="Times New Roman" w:eastAsia="Times New Roman" w:hAnsi="Times New Roman" w:cs="Times New Roman"/>
      <w:kern w:val="0"/>
      <w:sz w:val="20"/>
      <w:szCs w:val="20"/>
      <w:lang w:val="ro-RO"/>
      <w14:ligatures w14:val="none"/>
    </w:rPr>
  </w:style>
  <w:style w:type="character" w:styleId="Hyperlink">
    <w:name w:val="Hyperlink"/>
    <w:aliases w:val="draft"/>
    <w:basedOn w:val="DefaultParagraphFont"/>
    <w:uiPriority w:val="99"/>
    <w:unhideWhenUsed/>
    <w:rsid w:val="00A44894"/>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BE3E79"/>
    <w:rPr>
      <w:b/>
      <w:bCs/>
    </w:rPr>
  </w:style>
  <w:style w:type="character" w:customStyle="1" w:styleId="CommentSubjectChar">
    <w:name w:val="Comment Subject Char"/>
    <w:basedOn w:val="CommentTextChar"/>
    <w:link w:val="CommentSubject"/>
    <w:uiPriority w:val="99"/>
    <w:semiHidden/>
    <w:rsid w:val="00BE3E79"/>
    <w:rPr>
      <w:b/>
      <w:bCs/>
      <w:sz w:val="20"/>
      <w:szCs w:val="20"/>
    </w:rPr>
  </w:style>
  <w:style w:type="character" w:customStyle="1" w:styleId="UnresolvedMention1">
    <w:name w:val="Unresolved Mention1"/>
    <w:basedOn w:val="DefaultParagraphFont"/>
    <w:uiPriority w:val="99"/>
    <w:semiHidden/>
    <w:unhideWhenUsed/>
    <w:rsid w:val="007B752A"/>
    <w:rPr>
      <w:color w:val="605E5C"/>
      <w:shd w:val="clear" w:color="auto" w:fill="E1DFDD"/>
    </w:rPr>
  </w:style>
  <w:style w:type="paragraph" w:styleId="Revision">
    <w:name w:val="Revision"/>
    <w:hidden/>
    <w:uiPriority w:val="99"/>
    <w:semiHidden/>
    <w:rsid w:val="001B3631"/>
    <w:pPr>
      <w:spacing w:after="0" w:line="240" w:lineRule="auto"/>
    </w:pPr>
  </w:style>
  <w:style w:type="paragraph" w:styleId="NormalWeb">
    <w:name w:val="Normal (Web)"/>
    <w:basedOn w:val="Normal"/>
    <w:uiPriority w:val="99"/>
    <w:unhideWhenUsed/>
    <w:rsid w:val="001B3631"/>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Strong">
    <w:name w:val="Strong"/>
    <w:basedOn w:val="DefaultParagraphFont"/>
    <w:uiPriority w:val="22"/>
    <w:qFormat/>
    <w:rsid w:val="001B3631"/>
    <w:rPr>
      <w:b/>
      <w:bCs/>
    </w:rPr>
  </w:style>
  <w:style w:type="character" w:customStyle="1" w:styleId="findhit">
    <w:name w:val="findhit"/>
    <w:basedOn w:val="DefaultParagraphFont"/>
    <w:rsid w:val="005A33CB"/>
  </w:style>
  <w:style w:type="character" w:customStyle="1" w:styleId="Mention1">
    <w:name w:val="Mention1"/>
    <w:basedOn w:val="DefaultParagraphFont"/>
    <w:uiPriority w:val="99"/>
    <w:unhideWhenUsed/>
    <w:rsid w:val="00514B4C"/>
    <w:rPr>
      <w:color w:val="2B579A"/>
      <w:shd w:val="clear" w:color="auto" w:fill="E1DFDD"/>
    </w:rPr>
  </w:style>
  <w:style w:type="character" w:styleId="FollowedHyperlink">
    <w:name w:val="FollowedHyperlink"/>
    <w:basedOn w:val="DefaultParagraphFont"/>
    <w:uiPriority w:val="99"/>
    <w:semiHidden/>
    <w:unhideWhenUsed/>
    <w:rsid w:val="002A15D5"/>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BE01A0"/>
    <w:pPr>
      <w:spacing w:line="240" w:lineRule="exact"/>
      <w:jc w:val="both"/>
    </w:pPr>
    <w:rPr>
      <w:rFonts w:ascii="Times New Roman" w:eastAsia="Times New Roman" w:hAnsi="Times New Roman" w:cs="Times New Roman"/>
      <w:kern w:val="0"/>
      <w:sz w:val="24"/>
      <w:szCs w:val="20"/>
      <w:vertAlign w:val="superscript"/>
      <w:lang w:eastAsia="en-IE"/>
      <w14:ligatures w14:val="none"/>
    </w:rPr>
  </w:style>
  <w:style w:type="paragraph" w:customStyle="1" w:styleId="ftrefCharCharCharCharCharCharCharCharChar">
    <w:name w:val="ftref Char Char Char Char Char Char Char Char Char"/>
    <w:basedOn w:val="Normal"/>
    <w:next w:val="Normal"/>
    <w:uiPriority w:val="99"/>
    <w:rsid w:val="00B5072B"/>
    <w:pPr>
      <w:spacing w:after="0" w:line="240" w:lineRule="auto"/>
      <w:jc w:val="both"/>
    </w:pPr>
    <w:rPr>
      <w:rFonts w:ascii="Times New Roman" w:eastAsia="Times New Roman" w:hAnsi="Times New Roman" w:cs="Times New Roman"/>
      <w:kern w:val="0"/>
      <w:sz w:val="24"/>
      <w:szCs w:val="20"/>
      <w:vertAlign w:val="superscript"/>
      <w:lang w:eastAsia="fr-BE"/>
      <w14:ligatures w14:val="none"/>
    </w:rPr>
  </w:style>
  <w:style w:type="character" w:customStyle="1" w:styleId="superscript">
    <w:name w:val="superscript"/>
    <w:basedOn w:val="DefaultParagraphFont"/>
    <w:rsid w:val="00156926"/>
  </w:style>
  <w:style w:type="paragraph" w:styleId="Caption">
    <w:name w:val="caption"/>
    <w:basedOn w:val="Normal"/>
    <w:next w:val="Normal"/>
    <w:uiPriority w:val="35"/>
    <w:unhideWhenUsed/>
    <w:qFormat/>
    <w:rsid w:val="005661FF"/>
    <w:pPr>
      <w:spacing w:after="200" w:line="240" w:lineRule="auto"/>
    </w:pPr>
    <w:rPr>
      <w:rFonts w:eastAsiaTheme="minorEastAsia"/>
      <w:i/>
      <w:iCs/>
      <w:color w:val="44546A" w:themeColor="text2"/>
      <w:kern w:val="0"/>
      <w:sz w:val="18"/>
      <w:szCs w:val="18"/>
      <w:lang w:eastAsia="ja-JP"/>
      <w14:ligatures w14:val="none"/>
    </w:rPr>
  </w:style>
  <w:style w:type="character" w:customStyle="1" w:styleId="Marker">
    <w:name w:val="Marker"/>
    <w:basedOn w:val="DefaultParagraphFont"/>
    <w:rsid w:val="00A30CE9"/>
    <w:rPr>
      <w:color w:val="0000FF"/>
      <w:shd w:val="clear" w:color="auto" w:fill="auto"/>
    </w:rPr>
  </w:style>
  <w:style w:type="paragraph" w:customStyle="1" w:styleId="Pagedecouverture">
    <w:name w:val="Page de couverture"/>
    <w:basedOn w:val="Normal"/>
    <w:next w:val="Normal"/>
    <w:link w:val="PagedecouvertureChar"/>
    <w:rsid w:val="00A30CE9"/>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30CE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A30CE9"/>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A30CE9"/>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A30CE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A30CE9"/>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A30CE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A30CE9"/>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A30CE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A30CE9"/>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2F29F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A30CE9"/>
    <w:rPr>
      <w:rFonts w:ascii="Times New Roman" w:hAnsi="Times New Roman" w:cs="Times New Roman"/>
      <w:kern w:val="0"/>
      <w:sz w:val="28"/>
      <w14:ligatures w14:val="none"/>
    </w:rPr>
  </w:style>
  <w:style w:type="character" w:customStyle="1" w:styleId="UnresolvedMention2">
    <w:name w:val="Unresolved Mention2"/>
    <w:basedOn w:val="DefaultParagraphFont"/>
    <w:uiPriority w:val="99"/>
    <w:semiHidden/>
    <w:unhideWhenUsed/>
    <w:rsid w:val="008822D8"/>
    <w:rPr>
      <w:color w:val="605E5C"/>
      <w:shd w:val="clear" w:color="auto" w:fill="E1DFDD"/>
    </w:rPr>
  </w:style>
  <w:style w:type="paragraph" w:customStyle="1" w:styleId="Disclaimer">
    <w:name w:val="Disclaimer"/>
    <w:basedOn w:val="Normal"/>
    <w:rsid w:val="002F29F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2F29F0"/>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2F29F0"/>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2F29F0"/>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50699">
      <w:bodyDiv w:val="1"/>
      <w:marLeft w:val="0"/>
      <w:marRight w:val="0"/>
      <w:marTop w:val="0"/>
      <w:marBottom w:val="0"/>
      <w:divBdr>
        <w:top w:val="none" w:sz="0" w:space="0" w:color="auto"/>
        <w:left w:val="none" w:sz="0" w:space="0" w:color="auto"/>
        <w:bottom w:val="none" w:sz="0" w:space="0" w:color="auto"/>
        <w:right w:val="none" w:sz="0" w:space="0" w:color="auto"/>
      </w:divBdr>
    </w:div>
    <w:div w:id="628362418">
      <w:bodyDiv w:val="1"/>
      <w:marLeft w:val="0"/>
      <w:marRight w:val="0"/>
      <w:marTop w:val="0"/>
      <w:marBottom w:val="0"/>
      <w:divBdr>
        <w:top w:val="none" w:sz="0" w:space="0" w:color="auto"/>
        <w:left w:val="none" w:sz="0" w:space="0" w:color="auto"/>
        <w:bottom w:val="none" w:sz="0" w:space="0" w:color="auto"/>
        <w:right w:val="none" w:sz="0" w:space="0" w:color="auto"/>
      </w:divBdr>
    </w:div>
    <w:div w:id="637951941">
      <w:bodyDiv w:val="1"/>
      <w:marLeft w:val="0"/>
      <w:marRight w:val="0"/>
      <w:marTop w:val="0"/>
      <w:marBottom w:val="0"/>
      <w:divBdr>
        <w:top w:val="none" w:sz="0" w:space="0" w:color="auto"/>
        <w:left w:val="none" w:sz="0" w:space="0" w:color="auto"/>
        <w:bottom w:val="none" w:sz="0" w:space="0" w:color="auto"/>
        <w:right w:val="none" w:sz="0" w:space="0" w:color="auto"/>
      </w:divBdr>
    </w:div>
    <w:div w:id="881786983">
      <w:bodyDiv w:val="1"/>
      <w:marLeft w:val="0"/>
      <w:marRight w:val="0"/>
      <w:marTop w:val="0"/>
      <w:marBottom w:val="0"/>
      <w:divBdr>
        <w:top w:val="none" w:sz="0" w:space="0" w:color="auto"/>
        <w:left w:val="none" w:sz="0" w:space="0" w:color="auto"/>
        <w:bottom w:val="none" w:sz="0" w:space="0" w:color="auto"/>
        <w:right w:val="none" w:sz="0" w:space="0" w:color="auto"/>
      </w:divBdr>
      <w:divsChild>
        <w:div w:id="935134773">
          <w:marLeft w:val="0"/>
          <w:marRight w:val="0"/>
          <w:marTop w:val="0"/>
          <w:marBottom w:val="0"/>
          <w:divBdr>
            <w:top w:val="none" w:sz="0" w:space="0" w:color="auto"/>
            <w:left w:val="none" w:sz="0" w:space="0" w:color="auto"/>
            <w:bottom w:val="none" w:sz="0" w:space="0" w:color="auto"/>
            <w:right w:val="none" w:sz="0" w:space="0" w:color="auto"/>
          </w:divBdr>
        </w:div>
        <w:div w:id="1847015503">
          <w:marLeft w:val="0"/>
          <w:marRight w:val="0"/>
          <w:marTop w:val="0"/>
          <w:marBottom w:val="0"/>
          <w:divBdr>
            <w:top w:val="none" w:sz="0" w:space="0" w:color="auto"/>
            <w:left w:val="none" w:sz="0" w:space="0" w:color="auto"/>
            <w:bottom w:val="none" w:sz="0" w:space="0" w:color="auto"/>
            <w:right w:val="none" w:sz="0" w:space="0" w:color="auto"/>
          </w:divBdr>
        </w:div>
      </w:divsChild>
    </w:div>
    <w:div w:id="1266111386">
      <w:bodyDiv w:val="1"/>
      <w:marLeft w:val="0"/>
      <w:marRight w:val="0"/>
      <w:marTop w:val="0"/>
      <w:marBottom w:val="0"/>
      <w:divBdr>
        <w:top w:val="none" w:sz="0" w:space="0" w:color="auto"/>
        <w:left w:val="none" w:sz="0" w:space="0" w:color="auto"/>
        <w:bottom w:val="none" w:sz="0" w:space="0" w:color="auto"/>
        <w:right w:val="none" w:sz="0" w:space="0" w:color="auto"/>
      </w:divBdr>
    </w:div>
    <w:div w:id="1282345958">
      <w:bodyDiv w:val="1"/>
      <w:marLeft w:val="0"/>
      <w:marRight w:val="0"/>
      <w:marTop w:val="0"/>
      <w:marBottom w:val="0"/>
      <w:divBdr>
        <w:top w:val="none" w:sz="0" w:space="0" w:color="auto"/>
        <w:left w:val="none" w:sz="0" w:space="0" w:color="auto"/>
        <w:bottom w:val="none" w:sz="0" w:space="0" w:color="auto"/>
        <w:right w:val="none" w:sz="0" w:space="0" w:color="auto"/>
      </w:divBdr>
      <w:divsChild>
        <w:div w:id="274673129">
          <w:marLeft w:val="0"/>
          <w:marRight w:val="0"/>
          <w:marTop w:val="0"/>
          <w:marBottom w:val="0"/>
          <w:divBdr>
            <w:top w:val="none" w:sz="0" w:space="0" w:color="auto"/>
            <w:left w:val="none" w:sz="0" w:space="0" w:color="auto"/>
            <w:bottom w:val="none" w:sz="0" w:space="0" w:color="auto"/>
            <w:right w:val="none" w:sz="0" w:space="0" w:color="auto"/>
          </w:divBdr>
          <w:divsChild>
            <w:div w:id="273169377">
              <w:marLeft w:val="0"/>
              <w:marRight w:val="0"/>
              <w:marTop w:val="0"/>
              <w:marBottom w:val="0"/>
              <w:divBdr>
                <w:top w:val="none" w:sz="0" w:space="0" w:color="auto"/>
                <w:left w:val="none" w:sz="0" w:space="0" w:color="auto"/>
                <w:bottom w:val="none" w:sz="0" w:space="0" w:color="auto"/>
                <w:right w:val="none" w:sz="0" w:space="0" w:color="auto"/>
              </w:divBdr>
            </w:div>
            <w:div w:id="365983317">
              <w:marLeft w:val="0"/>
              <w:marRight w:val="0"/>
              <w:marTop w:val="0"/>
              <w:marBottom w:val="0"/>
              <w:divBdr>
                <w:top w:val="none" w:sz="0" w:space="0" w:color="auto"/>
                <w:left w:val="none" w:sz="0" w:space="0" w:color="auto"/>
                <w:bottom w:val="none" w:sz="0" w:space="0" w:color="auto"/>
                <w:right w:val="none" w:sz="0" w:space="0" w:color="auto"/>
              </w:divBdr>
            </w:div>
            <w:div w:id="410322508">
              <w:marLeft w:val="0"/>
              <w:marRight w:val="0"/>
              <w:marTop w:val="0"/>
              <w:marBottom w:val="0"/>
              <w:divBdr>
                <w:top w:val="none" w:sz="0" w:space="0" w:color="auto"/>
                <w:left w:val="none" w:sz="0" w:space="0" w:color="auto"/>
                <w:bottom w:val="none" w:sz="0" w:space="0" w:color="auto"/>
                <w:right w:val="none" w:sz="0" w:space="0" w:color="auto"/>
              </w:divBdr>
            </w:div>
            <w:div w:id="438918506">
              <w:marLeft w:val="0"/>
              <w:marRight w:val="0"/>
              <w:marTop w:val="0"/>
              <w:marBottom w:val="0"/>
              <w:divBdr>
                <w:top w:val="none" w:sz="0" w:space="0" w:color="auto"/>
                <w:left w:val="none" w:sz="0" w:space="0" w:color="auto"/>
                <w:bottom w:val="none" w:sz="0" w:space="0" w:color="auto"/>
                <w:right w:val="none" w:sz="0" w:space="0" w:color="auto"/>
              </w:divBdr>
            </w:div>
            <w:div w:id="469784051">
              <w:marLeft w:val="0"/>
              <w:marRight w:val="0"/>
              <w:marTop w:val="0"/>
              <w:marBottom w:val="0"/>
              <w:divBdr>
                <w:top w:val="none" w:sz="0" w:space="0" w:color="auto"/>
                <w:left w:val="none" w:sz="0" w:space="0" w:color="auto"/>
                <w:bottom w:val="none" w:sz="0" w:space="0" w:color="auto"/>
                <w:right w:val="none" w:sz="0" w:space="0" w:color="auto"/>
              </w:divBdr>
            </w:div>
            <w:div w:id="942155651">
              <w:marLeft w:val="0"/>
              <w:marRight w:val="0"/>
              <w:marTop w:val="0"/>
              <w:marBottom w:val="0"/>
              <w:divBdr>
                <w:top w:val="none" w:sz="0" w:space="0" w:color="auto"/>
                <w:left w:val="none" w:sz="0" w:space="0" w:color="auto"/>
                <w:bottom w:val="none" w:sz="0" w:space="0" w:color="auto"/>
                <w:right w:val="none" w:sz="0" w:space="0" w:color="auto"/>
              </w:divBdr>
            </w:div>
            <w:div w:id="977997589">
              <w:marLeft w:val="0"/>
              <w:marRight w:val="0"/>
              <w:marTop w:val="0"/>
              <w:marBottom w:val="0"/>
              <w:divBdr>
                <w:top w:val="none" w:sz="0" w:space="0" w:color="auto"/>
                <w:left w:val="none" w:sz="0" w:space="0" w:color="auto"/>
                <w:bottom w:val="none" w:sz="0" w:space="0" w:color="auto"/>
                <w:right w:val="none" w:sz="0" w:space="0" w:color="auto"/>
              </w:divBdr>
            </w:div>
            <w:div w:id="1008287603">
              <w:marLeft w:val="0"/>
              <w:marRight w:val="0"/>
              <w:marTop w:val="0"/>
              <w:marBottom w:val="0"/>
              <w:divBdr>
                <w:top w:val="none" w:sz="0" w:space="0" w:color="auto"/>
                <w:left w:val="none" w:sz="0" w:space="0" w:color="auto"/>
                <w:bottom w:val="none" w:sz="0" w:space="0" w:color="auto"/>
                <w:right w:val="none" w:sz="0" w:space="0" w:color="auto"/>
              </w:divBdr>
            </w:div>
            <w:div w:id="1051416901">
              <w:marLeft w:val="0"/>
              <w:marRight w:val="0"/>
              <w:marTop w:val="0"/>
              <w:marBottom w:val="0"/>
              <w:divBdr>
                <w:top w:val="none" w:sz="0" w:space="0" w:color="auto"/>
                <w:left w:val="none" w:sz="0" w:space="0" w:color="auto"/>
                <w:bottom w:val="none" w:sz="0" w:space="0" w:color="auto"/>
                <w:right w:val="none" w:sz="0" w:space="0" w:color="auto"/>
              </w:divBdr>
            </w:div>
            <w:div w:id="1092818100">
              <w:marLeft w:val="0"/>
              <w:marRight w:val="0"/>
              <w:marTop w:val="0"/>
              <w:marBottom w:val="0"/>
              <w:divBdr>
                <w:top w:val="none" w:sz="0" w:space="0" w:color="auto"/>
                <w:left w:val="none" w:sz="0" w:space="0" w:color="auto"/>
                <w:bottom w:val="none" w:sz="0" w:space="0" w:color="auto"/>
                <w:right w:val="none" w:sz="0" w:space="0" w:color="auto"/>
              </w:divBdr>
            </w:div>
            <w:div w:id="1298144582">
              <w:marLeft w:val="0"/>
              <w:marRight w:val="0"/>
              <w:marTop w:val="0"/>
              <w:marBottom w:val="0"/>
              <w:divBdr>
                <w:top w:val="none" w:sz="0" w:space="0" w:color="auto"/>
                <w:left w:val="none" w:sz="0" w:space="0" w:color="auto"/>
                <w:bottom w:val="none" w:sz="0" w:space="0" w:color="auto"/>
                <w:right w:val="none" w:sz="0" w:space="0" w:color="auto"/>
              </w:divBdr>
            </w:div>
            <w:div w:id="1495603745">
              <w:marLeft w:val="0"/>
              <w:marRight w:val="0"/>
              <w:marTop w:val="0"/>
              <w:marBottom w:val="0"/>
              <w:divBdr>
                <w:top w:val="none" w:sz="0" w:space="0" w:color="auto"/>
                <w:left w:val="none" w:sz="0" w:space="0" w:color="auto"/>
                <w:bottom w:val="none" w:sz="0" w:space="0" w:color="auto"/>
                <w:right w:val="none" w:sz="0" w:space="0" w:color="auto"/>
              </w:divBdr>
            </w:div>
            <w:div w:id="1785341867">
              <w:marLeft w:val="0"/>
              <w:marRight w:val="0"/>
              <w:marTop w:val="0"/>
              <w:marBottom w:val="0"/>
              <w:divBdr>
                <w:top w:val="none" w:sz="0" w:space="0" w:color="auto"/>
                <w:left w:val="none" w:sz="0" w:space="0" w:color="auto"/>
                <w:bottom w:val="none" w:sz="0" w:space="0" w:color="auto"/>
                <w:right w:val="none" w:sz="0" w:space="0" w:color="auto"/>
              </w:divBdr>
            </w:div>
            <w:div w:id="1798912187">
              <w:marLeft w:val="0"/>
              <w:marRight w:val="0"/>
              <w:marTop w:val="0"/>
              <w:marBottom w:val="0"/>
              <w:divBdr>
                <w:top w:val="none" w:sz="0" w:space="0" w:color="auto"/>
                <w:left w:val="none" w:sz="0" w:space="0" w:color="auto"/>
                <w:bottom w:val="none" w:sz="0" w:space="0" w:color="auto"/>
                <w:right w:val="none" w:sz="0" w:space="0" w:color="auto"/>
              </w:divBdr>
            </w:div>
            <w:div w:id="1874879779">
              <w:marLeft w:val="0"/>
              <w:marRight w:val="0"/>
              <w:marTop w:val="0"/>
              <w:marBottom w:val="0"/>
              <w:divBdr>
                <w:top w:val="none" w:sz="0" w:space="0" w:color="auto"/>
                <w:left w:val="none" w:sz="0" w:space="0" w:color="auto"/>
                <w:bottom w:val="none" w:sz="0" w:space="0" w:color="auto"/>
                <w:right w:val="none" w:sz="0" w:space="0" w:color="auto"/>
              </w:divBdr>
            </w:div>
            <w:div w:id="1885209533">
              <w:marLeft w:val="0"/>
              <w:marRight w:val="0"/>
              <w:marTop w:val="0"/>
              <w:marBottom w:val="0"/>
              <w:divBdr>
                <w:top w:val="none" w:sz="0" w:space="0" w:color="auto"/>
                <w:left w:val="none" w:sz="0" w:space="0" w:color="auto"/>
                <w:bottom w:val="none" w:sz="0" w:space="0" w:color="auto"/>
                <w:right w:val="none" w:sz="0" w:space="0" w:color="auto"/>
              </w:divBdr>
            </w:div>
            <w:div w:id="1886602157">
              <w:marLeft w:val="0"/>
              <w:marRight w:val="0"/>
              <w:marTop w:val="0"/>
              <w:marBottom w:val="0"/>
              <w:divBdr>
                <w:top w:val="none" w:sz="0" w:space="0" w:color="auto"/>
                <w:left w:val="none" w:sz="0" w:space="0" w:color="auto"/>
                <w:bottom w:val="none" w:sz="0" w:space="0" w:color="auto"/>
                <w:right w:val="none" w:sz="0" w:space="0" w:color="auto"/>
              </w:divBdr>
            </w:div>
            <w:div w:id="2042245035">
              <w:marLeft w:val="0"/>
              <w:marRight w:val="0"/>
              <w:marTop w:val="0"/>
              <w:marBottom w:val="0"/>
              <w:divBdr>
                <w:top w:val="none" w:sz="0" w:space="0" w:color="auto"/>
                <w:left w:val="none" w:sz="0" w:space="0" w:color="auto"/>
                <w:bottom w:val="none" w:sz="0" w:space="0" w:color="auto"/>
                <w:right w:val="none" w:sz="0" w:space="0" w:color="auto"/>
              </w:divBdr>
            </w:div>
          </w:divsChild>
        </w:div>
        <w:div w:id="1042176133">
          <w:marLeft w:val="0"/>
          <w:marRight w:val="0"/>
          <w:marTop w:val="0"/>
          <w:marBottom w:val="0"/>
          <w:divBdr>
            <w:top w:val="none" w:sz="0" w:space="0" w:color="auto"/>
            <w:left w:val="none" w:sz="0" w:space="0" w:color="auto"/>
            <w:bottom w:val="none" w:sz="0" w:space="0" w:color="auto"/>
            <w:right w:val="none" w:sz="0" w:space="0" w:color="auto"/>
          </w:divBdr>
          <w:divsChild>
            <w:div w:id="56320826">
              <w:marLeft w:val="0"/>
              <w:marRight w:val="0"/>
              <w:marTop w:val="0"/>
              <w:marBottom w:val="0"/>
              <w:divBdr>
                <w:top w:val="none" w:sz="0" w:space="0" w:color="auto"/>
                <w:left w:val="none" w:sz="0" w:space="0" w:color="auto"/>
                <w:bottom w:val="none" w:sz="0" w:space="0" w:color="auto"/>
                <w:right w:val="none" w:sz="0" w:space="0" w:color="auto"/>
              </w:divBdr>
            </w:div>
            <w:div w:id="341511678">
              <w:marLeft w:val="0"/>
              <w:marRight w:val="0"/>
              <w:marTop w:val="0"/>
              <w:marBottom w:val="0"/>
              <w:divBdr>
                <w:top w:val="none" w:sz="0" w:space="0" w:color="auto"/>
                <w:left w:val="none" w:sz="0" w:space="0" w:color="auto"/>
                <w:bottom w:val="none" w:sz="0" w:space="0" w:color="auto"/>
                <w:right w:val="none" w:sz="0" w:space="0" w:color="auto"/>
              </w:divBdr>
            </w:div>
            <w:div w:id="463889332">
              <w:marLeft w:val="0"/>
              <w:marRight w:val="0"/>
              <w:marTop w:val="0"/>
              <w:marBottom w:val="0"/>
              <w:divBdr>
                <w:top w:val="none" w:sz="0" w:space="0" w:color="auto"/>
                <w:left w:val="none" w:sz="0" w:space="0" w:color="auto"/>
                <w:bottom w:val="none" w:sz="0" w:space="0" w:color="auto"/>
                <w:right w:val="none" w:sz="0" w:space="0" w:color="auto"/>
              </w:divBdr>
            </w:div>
            <w:div w:id="601035165">
              <w:marLeft w:val="0"/>
              <w:marRight w:val="0"/>
              <w:marTop w:val="0"/>
              <w:marBottom w:val="0"/>
              <w:divBdr>
                <w:top w:val="none" w:sz="0" w:space="0" w:color="auto"/>
                <w:left w:val="none" w:sz="0" w:space="0" w:color="auto"/>
                <w:bottom w:val="none" w:sz="0" w:space="0" w:color="auto"/>
                <w:right w:val="none" w:sz="0" w:space="0" w:color="auto"/>
              </w:divBdr>
            </w:div>
            <w:div w:id="613708177">
              <w:marLeft w:val="0"/>
              <w:marRight w:val="0"/>
              <w:marTop w:val="0"/>
              <w:marBottom w:val="0"/>
              <w:divBdr>
                <w:top w:val="none" w:sz="0" w:space="0" w:color="auto"/>
                <w:left w:val="none" w:sz="0" w:space="0" w:color="auto"/>
                <w:bottom w:val="none" w:sz="0" w:space="0" w:color="auto"/>
                <w:right w:val="none" w:sz="0" w:space="0" w:color="auto"/>
              </w:divBdr>
            </w:div>
            <w:div w:id="745106533">
              <w:marLeft w:val="0"/>
              <w:marRight w:val="0"/>
              <w:marTop w:val="0"/>
              <w:marBottom w:val="0"/>
              <w:divBdr>
                <w:top w:val="none" w:sz="0" w:space="0" w:color="auto"/>
                <w:left w:val="none" w:sz="0" w:space="0" w:color="auto"/>
                <w:bottom w:val="none" w:sz="0" w:space="0" w:color="auto"/>
                <w:right w:val="none" w:sz="0" w:space="0" w:color="auto"/>
              </w:divBdr>
            </w:div>
            <w:div w:id="753016302">
              <w:marLeft w:val="0"/>
              <w:marRight w:val="0"/>
              <w:marTop w:val="0"/>
              <w:marBottom w:val="0"/>
              <w:divBdr>
                <w:top w:val="none" w:sz="0" w:space="0" w:color="auto"/>
                <w:left w:val="none" w:sz="0" w:space="0" w:color="auto"/>
                <w:bottom w:val="none" w:sz="0" w:space="0" w:color="auto"/>
                <w:right w:val="none" w:sz="0" w:space="0" w:color="auto"/>
              </w:divBdr>
            </w:div>
            <w:div w:id="1015764854">
              <w:marLeft w:val="0"/>
              <w:marRight w:val="0"/>
              <w:marTop w:val="0"/>
              <w:marBottom w:val="0"/>
              <w:divBdr>
                <w:top w:val="none" w:sz="0" w:space="0" w:color="auto"/>
                <w:left w:val="none" w:sz="0" w:space="0" w:color="auto"/>
                <w:bottom w:val="none" w:sz="0" w:space="0" w:color="auto"/>
                <w:right w:val="none" w:sz="0" w:space="0" w:color="auto"/>
              </w:divBdr>
            </w:div>
            <w:div w:id="1045250402">
              <w:marLeft w:val="0"/>
              <w:marRight w:val="0"/>
              <w:marTop w:val="0"/>
              <w:marBottom w:val="0"/>
              <w:divBdr>
                <w:top w:val="none" w:sz="0" w:space="0" w:color="auto"/>
                <w:left w:val="none" w:sz="0" w:space="0" w:color="auto"/>
                <w:bottom w:val="none" w:sz="0" w:space="0" w:color="auto"/>
                <w:right w:val="none" w:sz="0" w:space="0" w:color="auto"/>
              </w:divBdr>
            </w:div>
            <w:div w:id="1077240781">
              <w:marLeft w:val="0"/>
              <w:marRight w:val="0"/>
              <w:marTop w:val="0"/>
              <w:marBottom w:val="0"/>
              <w:divBdr>
                <w:top w:val="none" w:sz="0" w:space="0" w:color="auto"/>
                <w:left w:val="none" w:sz="0" w:space="0" w:color="auto"/>
                <w:bottom w:val="none" w:sz="0" w:space="0" w:color="auto"/>
                <w:right w:val="none" w:sz="0" w:space="0" w:color="auto"/>
              </w:divBdr>
            </w:div>
            <w:div w:id="1096943217">
              <w:marLeft w:val="0"/>
              <w:marRight w:val="0"/>
              <w:marTop w:val="0"/>
              <w:marBottom w:val="0"/>
              <w:divBdr>
                <w:top w:val="none" w:sz="0" w:space="0" w:color="auto"/>
                <w:left w:val="none" w:sz="0" w:space="0" w:color="auto"/>
                <w:bottom w:val="none" w:sz="0" w:space="0" w:color="auto"/>
                <w:right w:val="none" w:sz="0" w:space="0" w:color="auto"/>
              </w:divBdr>
            </w:div>
            <w:div w:id="1123229681">
              <w:marLeft w:val="0"/>
              <w:marRight w:val="0"/>
              <w:marTop w:val="0"/>
              <w:marBottom w:val="0"/>
              <w:divBdr>
                <w:top w:val="none" w:sz="0" w:space="0" w:color="auto"/>
                <w:left w:val="none" w:sz="0" w:space="0" w:color="auto"/>
                <w:bottom w:val="none" w:sz="0" w:space="0" w:color="auto"/>
                <w:right w:val="none" w:sz="0" w:space="0" w:color="auto"/>
              </w:divBdr>
            </w:div>
            <w:div w:id="1349066875">
              <w:marLeft w:val="0"/>
              <w:marRight w:val="0"/>
              <w:marTop w:val="0"/>
              <w:marBottom w:val="0"/>
              <w:divBdr>
                <w:top w:val="none" w:sz="0" w:space="0" w:color="auto"/>
                <w:left w:val="none" w:sz="0" w:space="0" w:color="auto"/>
                <w:bottom w:val="none" w:sz="0" w:space="0" w:color="auto"/>
                <w:right w:val="none" w:sz="0" w:space="0" w:color="auto"/>
              </w:divBdr>
            </w:div>
            <w:div w:id="1387755440">
              <w:marLeft w:val="0"/>
              <w:marRight w:val="0"/>
              <w:marTop w:val="0"/>
              <w:marBottom w:val="0"/>
              <w:divBdr>
                <w:top w:val="none" w:sz="0" w:space="0" w:color="auto"/>
                <w:left w:val="none" w:sz="0" w:space="0" w:color="auto"/>
                <w:bottom w:val="none" w:sz="0" w:space="0" w:color="auto"/>
                <w:right w:val="none" w:sz="0" w:space="0" w:color="auto"/>
              </w:divBdr>
            </w:div>
            <w:div w:id="1646396211">
              <w:marLeft w:val="0"/>
              <w:marRight w:val="0"/>
              <w:marTop w:val="0"/>
              <w:marBottom w:val="0"/>
              <w:divBdr>
                <w:top w:val="none" w:sz="0" w:space="0" w:color="auto"/>
                <w:left w:val="none" w:sz="0" w:space="0" w:color="auto"/>
                <w:bottom w:val="none" w:sz="0" w:space="0" w:color="auto"/>
                <w:right w:val="none" w:sz="0" w:space="0" w:color="auto"/>
              </w:divBdr>
            </w:div>
            <w:div w:id="1884754683">
              <w:marLeft w:val="0"/>
              <w:marRight w:val="0"/>
              <w:marTop w:val="0"/>
              <w:marBottom w:val="0"/>
              <w:divBdr>
                <w:top w:val="none" w:sz="0" w:space="0" w:color="auto"/>
                <w:left w:val="none" w:sz="0" w:space="0" w:color="auto"/>
                <w:bottom w:val="none" w:sz="0" w:space="0" w:color="auto"/>
                <w:right w:val="none" w:sz="0" w:space="0" w:color="auto"/>
              </w:divBdr>
            </w:div>
            <w:div w:id="2024477697">
              <w:marLeft w:val="0"/>
              <w:marRight w:val="0"/>
              <w:marTop w:val="0"/>
              <w:marBottom w:val="0"/>
              <w:divBdr>
                <w:top w:val="none" w:sz="0" w:space="0" w:color="auto"/>
                <w:left w:val="none" w:sz="0" w:space="0" w:color="auto"/>
                <w:bottom w:val="none" w:sz="0" w:space="0" w:color="auto"/>
                <w:right w:val="none" w:sz="0" w:space="0" w:color="auto"/>
              </w:divBdr>
            </w:div>
            <w:div w:id="2031102788">
              <w:marLeft w:val="0"/>
              <w:marRight w:val="0"/>
              <w:marTop w:val="0"/>
              <w:marBottom w:val="0"/>
              <w:divBdr>
                <w:top w:val="none" w:sz="0" w:space="0" w:color="auto"/>
                <w:left w:val="none" w:sz="0" w:space="0" w:color="auto"/>
                <w:bottom w:val="none" w:sz="0" w:space="0" w:color="auto"/>
                <w:right w:val="none" w:sz="0" w:space="0" w:color="auto"/>
              </w:divBdr>
            </w:div>
            <w:div w:id="2054424125">
              <w:marLeft w:val="0"/>
              <w:marRight w:val="0"/>
              <w:marTop w:val="0"/>
              <w:marBottom w:val="0"/>
              <w:divBdr>
                <w:top w:val="none" w:sz="0" w:space="0" w:color="auto"/>
                <w:left w:val="none" w:sz="0" w:space="0" w:color="auto"/>
                <w:bottom w:val="none" w:sz="0" w:space="0" w:color="auto"/>
                <w:right w:val="none" w:sz="0" w:space="0" w:color="auto"/>
              </w:divBdr>
            </w:div>
            <w:div w:id="20625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237042">
      <w:bodyDiv w:val="1"/>
      <w:marLeft w:val="0"/>
      <w:marRight w:val="0"/>
      <w:marTop w:val="0"/>
      <w:marBottom w:val="0"/>
      <w:divBdr>
        <w:top w:val="none" w:sz="0" w:space="0" w:color="auto"/>
        <w:left w:val="none" w:sz="0" w:space="0" w:color="auto"/>
        <w:bottom w:val="none" w:sz="0" w:space="0" w:color="auto"/>
        <w:right w:val="none" w:sz="0" w:space="0" w:color="auto"/>
      </w:divBdr>
    </w:div>
    <w:div w:id="1573925285">
      <w:bodyDiv w:val="1"/>
      <w:marLeft w:val="0"/>
      <w:marRight w:val="0"/>
      <w:marTop w:val="0"/>
      <w:marBottom w:val="0"/>
      <w:divBdr>
        <w:top w:val="none" w:sz="0" w:space="0" w:color="auto"/>
        <w:left w:val="none" w:sz="0" w:space="0" w:color="auto"/>
        <w:bottom w:val="none" w:sz="0" w:space="0" w:color="auto"/>
        <w:right w:val="none" w:sz="0" w:space="0" w:color="auto"/>
      </w:divBdr>
      <w:divsChild>
        <w:div w:id="2142535679">
          <w:marLeft w:val="0"/>
          <w:marRight w:val="0"/>
          <w:marTop w:val="0"/>
          <w:marBottom w:val="0"/>
          <w:divBdr>
            <w:top w:val="none" w:sz="0" w:space="0" w:color="auto"/>
            <w:left w:val="none" w:sz="0" w:space="0" w:color="auto"/>
            <w:bottom w:val="none" w:sz="0" w:space="0" w:color="auto"/>
            <w:right w:val="none" w:sz="0" w:space="0" w:color="auto"/>
          </w:divBdr>
        </w:div>
      </w:divsChild>
    </w:div>
    <w:div w:id="1618102626">
      <w:bodyDiv w:val="1"/>
      <w:marLeft w:val="0"/>
      <w:marRight w:val="0"/>
      <w:marTop w:val="0"/>
      <w:marBottom w:val="0"/>
      <w:divBdr>
        <w:top w:val="none" w:sz="0" w:space="0" w:color="auto"/>
        <w:left w:val="none" w:sz="0" w:space="0" w:color="auto"/>
        <w:bottom w:val="none" w:sz="0" w:space="0" w:color="auto"/>
        <w:right w:val="none" w:sz="0" w:space="0" w:color="auto"/>
      </w:divBdr>
      <w:divsChild>
        <w:div w:id="288362083">
          <w:marLeft w:val="0"/>
          <w:marRight w:val="0"/>
          <w:marTop w:val="0"/>
          <w:marBottom w:val="0"/>
          <w:divBdr>
            <w:top w:val="none" w:sz="0" w:space="0" w:color="auto"/>
            <w:left w:val="none" w:sz="0" w:space="0" w:color="auto"/>
            <w:bottom w:val="none" w:sz="0" w:space="0" w:color="auto"/>
            <w:right w:val="none" w:sz="0" w:space="0" w:color="auto"/>
          </w:divBdr>
        </w:div>
        <w:div w:id="881138755">
          <w:marLeft w:val="0"/>
          <w:marRight w:val="0"/>
          <w:marTop w:val="0"/>
          <w:marBottom w:val="0"/>
          <w:divBdr>
            <w:top w:val="none" w:sz="0" w:space="0" w:color="auto"/>
            <w:left w:val="none" w:sz="0" w:space="0" w:color="auto"/>
            <w:bottom w:val="none" w:sz="0" w:space="0" w:color="auto"/>
            <w:right w:val="none" w:sz="0" w:space="0" w:color="auto"/>
          </w:divBdr>
        </w:div>
        <w:div w:id="1160342986">
          <w:marLeft w:val="0"/>
          <w:marRight w:val="0"/>
          <w:marTop w:val="0"/>
          <w:marBottom w:val="0"/>
          <w:divBdr>
            <w:top w:val="none" w:sz="0" w:space="0" w:color="auto"/>
            <w:left w:val="none" w:sz="0" w:space="0" w:color="auto"/>
            <w:bottom w:val="none" w:sz="0" w:space="0" w:color="auto"/>
            <w:right w:val="none" w:sz="0" w:space="0" w:color="auto"/>
          </w:divBdr>
        </w:div>
        <w:div w:id="1275164312">
          <w:marLeft w:val="0"/>
          <w:marRight w:val="0"/>
          <w:marTop w:val="0"/>
          <w:marBottom w:val="0"/>
          <w:divBdr>
            <w:top w:val="none" w:sz="0" w:space="0" w:color="auto"/>
            <w:left w:val="none" w:sz="0" w:space="0" w:color="auto"/>
            <w:bottom w:val="none" w:sz="0" w:space="0" w:color="auto"/>
            <w:right w:val="none" w:sz="0" w:space="0" w:color="auto"/>
          </w:divBdr>
        </w:div>
        <w:div w:id="1662926804">
          <w:marLeft w:val="0"/>
          <w:marRight w:val="0"/>
          <w:marTop w:val="0"/>
          <w:marBottom w:val="0"/>
          <w:divBdr>
            <w:top w:val="none" w:sz="0" w:space="0" w:color="auto"/>
            <w:left w:val="none" w:sz="0" w:space="0" w:color="auto"/>
            <w:bottom w:val="none" w:sz="0" w:space="0" w:color="auto"/>
            <w:right w:val="none" w:sz="0" w:space="0" w:color="auto"/>
          </w:divBdr>
        </w:div>
        <w:div w:id="1795441991">
          <w:marLeft w:val="0"/>
          <w:marRight w:val="0"/>
          <w:marTop w:val="0"/>
          <w:marBottom w:val="0"/>
          <w:divBdr>
            <w:top w:val="none" w:sz="0" w:space="0" w:color="auto"/>
            <w:left w:val="none" w:sz="0" w:space="0" w:color="auto"/>
            <w:bottom w:val="none" w:sz="0" w:space="0" w:color="auto"/>
            <w:right w:val="none" w:sz="0" w:space="0" w:color="auto"/>
          </w:divBdr>
        </w:div>
        <w:div w:id="2137141921">
          <w:marLeft w:val="0"/>
          <w:marRight w:val="0"/>
          <w:marTop w:val="0"/>
          <w:marBottom w:val="0"/>
          <w:divBdr>
            <w:top w:val="none" w:sz="0" w:space="0" w:color="auto"/>
            <w:left w:val="none" w:sz="0" w:space="0" w:color="auto"/>
            <w:bottom w:val="none" w:sz="0" w:space="0" w:color="auto"/>
            <w:right w:val="none" w:sz="0" w:space="0" w:color="auto"/>
          </w:divBdr>
        </w:div>
      </w:divsChild>
    </w:div>
    <w:div w:id="1706716799">
      <w:bodyDiv w:val="1"/>
      <w:marLeft w:val="0"/>
      <w:marRight w:val="0"/>
      <w:marTop w:val="0"/>
      <w:marBottom w:val="0"/>
      <w:divBdr>
        <w:top w:val="none" w:sz="0" w:space="0" w:color="auto"/>
        <w:left w:val="none" w:sz="0" w:space="0" w:color="auto"/>
        <w:bottom w:val="none" w:sz="0" w:space="0" w:color="auto"/>
        <w:right w:val="none" w:sz="0" w:space="0" w:color="auto"/>
      </w:divBdr>
    </w:div>
    <w:div w:id="1751613044">
      <w:bodyDiv w:val="1"/>
      <w:marLeft w:val="0"/>
      <w:marRight w:val="0"/>
      <w:marTop w:val="0"/>
      <w:marBottom w:val="0"/>
      <w:divBdr>
        <w:top w:val="none" w:sz="0" w:space="0" w:color="auto"/>
        <w:left w:val="none" w:sz="0" w:space="0" w:color="auto"/>
        <w:bottom w:val="none" w:sz="0" w:space="0" w:color="auto"/>
        <w:right w:val="none" w:sz="0" w:space="0" w:color="auto"/>
      </w:divBdr>
    </w:div>
    <w:div w:id="1853686167">
      <w:bodyDiv w:val="1"/>
      <w:marLeft w:val="0"/>
      <w:marRight w:val="0"/>
      <w:marTop w:val="0"/>
      <w:marBottom w:val="0"/>
      <w:divBdr>
        <w:top w:val="none" w:sz="0" w:space="0" w:color="auto"/>
        <w:left w:val="none" w:sz="0" w:space="0" w:color="auto"/>
        <w:bottom w:val="none" w:sz="0" w:space="0" w:color="auto"/>
        <w:right w:val="none" w:sz="0" w:space="0" w:color="auto"/>
      </w:divBdr>
      <w:divsChild>
        <w:div w:id="70396307">
          <w:marLeft w:val="0"/>
          <w:marRight w:val="0"/>
          <w:marTop w:val="0"/>
          <w:marBottom w:val="0"/>
          <w:divBdr>
            <w:top w:val="none" w:sz="0" w:space="0" w:color="auto"/>
            <w:left w:val="none" w:sz="0" w:space="0" w:color="auto"/>
            <w:bottom w:val="none" w:sz="0" w:space="0" w:color="auto"/>
            <w:right w:val="none" w:sz="0" w:space="0" w:color="auto"/>
          </w:divBdr>
        </w:div>
        <w:div w:id="328093898">
          <w:marLeft w:val="0"/>
          <w:marRight w:val="0"/>
          <w:marTop w:val="0"/>
          <w:marBottom w:val="0"/>
          <w:divBdr>
            <w:top w:val="none" w:sz="0" w:space="0" w:color="auto"/>
            <w:left w:val="none" w:sz="0" w:space="0" w:color="auto"/>
            <w:bottom w:val="none" w:sz="0" w:space="0" w:color="auto"/>
            <w:right w:val="none" w:sz="0" w:space="0" w:color="auto"/>
          </w:divBdr>
        </w:div>
        <w:div w:id="530218467">
          <w:marLeft w:val="0"/>
          <w:marRight w:val="0"/>
          <w:marTop w:val="0"/>
          <w:marBottom w:val="0"/>
          <w:divBdr>
            <w:top w:val="none" w:sz="0" w:space="0" w:color="auto"/>
            <w:left w:val="none" w:sz="0" w:space="0" w:color="auto"/>
            <w:bottom w:val="none" w:sz="0" w:space="0" w:color="auto"/>
            <w:right w:val="none" w:sz="0" w:space="0" w:color="auto"/>
          </w:divBdr>
        </w:div>
        <w:div w:id="2049643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nergy.ec.europa.eu/publications/repowereu-2-years_en" TargetMode="External"/><Relationship Id="rId2" Type="http://schemas.openxmlformats.org/officeDocument/2006/relationships/hyperlink" Target="https://www.eea.europa.eu/en/analysis/indicators/economic-losses-from-climate-related" TargetMode="External"/><Relationship Id="rId1" Type="http://schemas.openxmlformats.org/officeDocument/2006/relationships/hyperlink" Target="https://commission.europa.eu/topics/strengthening-european-competitiveness/eu-competitiveness-looking-ahead_en" TargetMode="External"/><Relationship Id="rId6" Type="http://schemas.openxmlformats.org/officeDocument/2006/relationships/hyperlink" Target="https://consilium.europa.eu/ro/press/press-releases/2024/11/08/the-budapest-declaration/" TargetMode="External"/><Relationship Id="rId5" Type="http://schemas.openxmlformats.org/officeDocument/2006/relationships/hyperlink" Target="https://op.europa.eu/ro/publication-detail/-/publication/0f519222-47ed-11ef-aea6-01aa75ed71a1" TargetMode="External"/><Relationship Id="rId4" Type="http://schemas.openxmlformats.org/officeDocument/2006/relationships/hyperlink" Target="https://cohesiondata.ec.europa.eu/cohesion_overview/2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TaxCatchAll xmlns="b6d4cde7-209b-4353-8904-a6d145be66ae" xsi:nil="true"/>
    <lcf76f155ced4ddcb4097134ff3c332f xmlns="f76611c0-4082-4d80-aa9e-b82bf290bb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Comments xmlns="f76611c0-4082-4d80-aa9e-b82bf290bb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18" ma:contentTypeDescription="Create a new document." ma:contentTypeScope="" ma:versionID="583c84450667ca32b9ed2bc623c62fe5">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2b90ad3b337f98c90dcccb811d9ce9a1"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Comments" ma:format="Dropdown" ma:internalName="Comments" ma:readOnly="false">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45D44-8C45-45BD-8482-AE6937F4E4F0}">
  <ds:schemaRefs>
    <ds:schemaRef ds:uri="http://schemas.microsoft.com/sharepoint/v3/contenttype/forms"/>
  </ds:schemaRefs>
</ds:datastoreItem>
</file>

<file path=customXml/itemProps2.xml><?xml version="1.0" encoding="utf-8"?>
<ds:datastoreItem xmlns:ds="http://schemas.openxmlformats.org/officeDocument/2006/customXml" ds:itemID="{6A0F9850-0E77-4FCF-B01A-61B40D02D850}">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3.xml><?xml version="1.0" encoding="utf-8"?>
<ds:datastoreItem xmlns:ds="http://schemas.openxmlformats.org/officeDocument/2006/customXml" ds:itemID="{397C808A-86F7-43AF-9361-CD61A660D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62FD23-B341-447C-AF73-88456ACBA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7465</Words>
  <Characters>42553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49919</CharactersWithSpaces>
  <SharedDoc>false</SharedDoc>
  <HLinks>
    <vt:vector size="36" baseType="variant">
      <vt:variant>
        <vt:i4>262165</vt:i4>
      </vt:variant>
      <vt:variant>
        <vt:i4>15</vt:i4>
      </vt:variant>
      <vt:variant>
        <vt:i4>0</vt:i4>
      </vt:variant>
      <vt:variant>
        <vt:i4>5</vt:i4>
      </vt:variant>
      <vt:variant>
        <vt:lpwstr>https://consilium.europa.eu/en/press/press-releases/2024/11/08/the-budapest-declaration/</vt:lpwstr>
      </vt:variant>
      <vt:variant>
        <vt:lpwstr/>
      </vt:variant>
      <vt:variant>
        <vt:i4>2555947</vt:i4>
      </vt:variant>
      <vt:variant>
        <vt:i4>12</vt:i4>
      </vt:variant>
      <vt:variant>
        <vt:i4>0</vt:i4>
      </vt:variant>
      <vt:variant>
        <vt:i4>5</vt:i4>
      </vt:variant>
      <vt:variant>
        <vt:lpwstr>https://op.europa.eu/publication-detail/-/publication/0f519222-47ed-11ef-aea6-01aa75ed71a1</vt:lpwstr>
      </vt:variant>
      <vt:variant>
        <vt:lpwstr/>
      </vt:variant>
      <vt:variant>
        <vt:i4>6160507</vt:i4>
      </vt:variant>
      <vt:variant>
        <vt:i4>9</vt:i4>
      </vt:variant>
      <vt:variant>
        <vt:i4>0</vt:i4>
      </vt:variant>
      <vt:variant>
        <vt:i4>5</vt:i4>
      </vt:variant>
      <vt:variant>
        <vt:lpwstr>https://cohesiondata.ec.europa.eu/cohesion_overview/21-27</vt:lpwstr>
      </vt:variant>
      <vt:variant>
        <vt:lpwstr/>
      </vt:variant>
      <vt:variant>
        <vt:i4>5373990</vt:i4>
      </vt:variant>
      <vt:variant>
        <vt:i4>6</vt:i4>
      </vt:variant>
      <vt:variant>
        <vt:i4>0</vt:i4>
      </vt:variant>
      <vt:variant>
        <vt:i4>5</vt:i4>
      </vt:variant>
      <vt:variant>
        <vt:lpwstr>https://energy.ec.europa.eu/publications/repowereu-2-years_en</vt:lpwstr>
      </vt:variant>
      <vt:variant>
        <vt:lpwstr/>
      </vt:variant>
      <vt:variant>
        <vt:i4>4849752</vt:i4>
      </vt:variant>
      <vt:variant>
        <vt:i4>3</vt:i4>
      </vt:variant>
      <vt:variant>
        <vt:i4>0</vt:i4>
      </vt:variant>
      <vt:variant>
        <vt:i4>5</vt:i4>
      </vt:variant>
      <vt:variant>
        <vt:lpwstr>https://www.eea.europa.eu/en/analysis/indicators/economic-losses-from-climate-related</vt:lpwstr>
      </vt:variant>
      <vt:variant>
        <vt:lpwstr/>
      </vt:variant>
      <vt:variant>
        <vt:i4>4653108</vt:i4>
      </vt:variant>
      <vt:variant>
        <vt:i4>0</vt:i4>
      </vt:variant>
      <vt:variant>
        <vt:i4>0</vt:i4>
      </vt:variant>
      <vt:variant>
        <vt:i4>5</vt:i4>
      </vt:variant>
      <vt:variant>
        <vt:lpwstr>https://commission.europa.eu/topics/strengthening-european-competitiveness/eu-competitiveness-looking-ahead_en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2025-02-11T10:56:00Z</dcterms:created>
  <dcterms:modified xsi:type="dcterms:W3CDTF">2025-02-19T18:14:00Z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2025-02-08T10:40:40Z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fb28e387-b0c9-4503-a00c-fea312a29445</vt:lpwstr>
  </property>
  <property fmtid="{D5CDD505-2E9C-101B-9397-08002B2CF9AE}" pid="8" name="MSIP_Label_6bd9ddd1-4d20-43f6-abfa-fc3c07406f94_ContentBits">
    <vt:lpwstr>0</vt:lpwstr>
  </property>
  <property fmtid="{D5CDD505-2E9C-101B-9397-08002B2CF9AE}" pid="9" name="ContentTypeId">
    <vt:lpwstr>0x0101007B5A12EBBE768C458E41CF953221EDB1</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Last edited using">
    <vt:lpwstr>LW 9.1, Build 20240808</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CP-009</vt:lpwstr>
  </property>
</Properties>
</file>