
<file path=[Content_Types].xml><?xml version="1.0" encoding="utf-8"?>
<Types xmlns="http://schemas.openxmlformats.org/package/2006/content-types">
  <Default Extension="png" ContentType="image/png"/>
  <Default Extension="svg" ContentType="image/svg+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6A6C09" w14:textId="592E433A" w:rsidR="007D4BCC" w:rsidRPr="006154EC" w:rsidRDefault="0020590D" w:rsidP="0020590D">
      <w:pPr>
        <w:pStyle w:val="Pagedecouverture"/>
        <w:rPr>
          <w:noProof/>
        </w:rPr>
      </w:pPr>
      <w:bookmarkStart w:id="0" w:name="LW_BM_COVERPAGE"/>
      <w:r>
        <w:rPr>
          <w:noProof/>
        </w:rPr>
        <w:pict w14:anchorId="53B2B7E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58340102-6AB5-43A0-9C5D-FFEF3420588A" style="width:455.25pt;height:336.75pt">
            <v:imagedata r:id="rId12" o:title=""/>
          </v:shape>
        </w:pict>
      </w:r>
    </w:p>
    <w:bookmarkEnd w:id="0"/>
    <w:p w14:paraId="49CB0EE8" w14:textId="77777777" w:rsidR="00731C94" w:rsidRPr="006154EC" w:rsidRDefault="00731C94" w:rsidP="00731C94">
      <w:pPr>
        <w:rPr>
          <w:noProof/>
        </w:rPr>
        <w:sectPr w:rsidR="00731C94" w:rsidRPr="006154EC" w:rsidSect="0020590D">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0"/>
          <w:cols w:space="720"/>
          <w:docGrid w:linePitch="360"/>
        </w:sectPr>
      </w:pPr>
    </w:p>
    <w:p w14:paraId="4517AFB0" w14:textId="77777777" w:rsidR="002C4C01" w:rsidRPr="006154EC" w:rsidRDefault="002C4C01" w:rsidP="00447AD9">
      <w:pPr>
        <w:pStyle w:val="ListParagraph"/>
        <w:numPr>
          <w:ilvl w:val="0"/>
          <w:numId w:val="5"/>
        </w:numPr>
        <w:spacing w:after="240" w:line="240" w:lineRule="auto"/>
        <w:jc w:val="both"/>
        <w:rPr>
          <w:rFonts w:ascii="Times New Roman" w:hAnsi="Times New Roman" w:cs="Times New Roman"/>
          <w:b/>
          <w:bCs/>
          <w:smallCaps/>
          <w:noProof/>
          <w:sz w:val="28"/>
          <w:szCs w:val="28"/>
        </w:rPr>
      </w:pPr>
      <w:bookmarkStart w:id="1" w:name="_GoBack"/>
      <w:bookmarkEnd w:id="1"/>
      <w:r>
        <w:rPr>
          <w:rFonts w:ascii="Times New Roman" w:hAnsi="Times New Roman"/>
          <w:b/>
          <w:smallCaps/>
          <w:noProof/>
          <w:sz w:val="28"/>
        </w:rPr>
        <w:lastRenderedPageBreak/>
        <w:t>Introduction</w:t>
      </w:r>
    </w:p>
    <w:p w14:paraId="38BBC1B0" w14:textId="77777777" w:rsidR="002C4C01" w:rsidRPr="006154EC" w:rsidRDefault="002C4C01" w:rsidP="00447AD9">
      <w:pPr>
        <w:spacing w:after="240" w:line="240" w:lineRule="auto"/>
        <w:jc w:val="both"/>
        <w:rPr>
          <w:rFonts w:ascii="Times New Roman" w:hAnsi="Times New Roman" w:cs="Times New Roman"/>
          <w:noProof/>
          <w:sz w:val="24"/>
          <w:szCs w:val="24"/>
        </w:rPr>
      </w:pPr>
      <w:r>
        <w:rPr>
          <w:rFonts w:ascii="Times New Roman" w:hAnsi="Times New Roman"/>
          <w:noProof/>
          <w:sz w:val="24"/>
        </w:rPr>
        <w:t>Au cours des cinq prochaines années, la Commission appliquera un programme ambitieux, défini dans les orientations politiques</w:t>
      </w:r>
      <w:r w:rsidRPr="006154EC">
        <w:rPr>
          <w:rFonts w:ascii="Times New Roman" w:hAnsi="Times New Roman" w:cs="Times New Roman"/>
          <w:noProof/>
          <w:sz w:val="24"/>
          <w:szCs w:val="24"/>
          <w:vertAlign w:val="superscript"/>
        </w:rPr>
        <w:endnoteReference w:id="2"/>
      </w:r>
      <w:r>
        <w:rPr>
          <w:rFonts w:ascii="Times New Roman" w:hAnsi="Times New Roman"/>
          <w:noProof/>
          <w:sz w:val="24"/>
        </w:rPr>
        <w:t>, assorti de politiques innovantes et tournées vers l’avenir, tout en maintenant des normes élevées. Ces nouvelles initiatives s’appuieront sur les fondements d’une Union européenne prospère, diversifiée et équitable, afin de faire de l’Europe un lieu de vie, de travail et d’investissement encore plus attrayant.</w:t>
      </w:r>
    </w:p>
    <w:p w14:paraId="1602531C" w14:textId="77777777" w:rsidR="002C4C01" w:rsidRPr="007B1ED8" w:rsidRDefault="002C4C01" w:rsidP="00447AD9">
      <w:pPr>
        <w:spacing w:after="240" w:line="240" w:lineRule="auto"/>
        <w:jc w:val="both"/>
        <w:rPr>
          <w:rFonts w:ascii="Times New Roman" w:hAnsi="Times New Roman" w:cs="Times New Roman"/>
          <w:noProof/>
          <w:sz w:val="24"/>
          <w:szCs w:val="24"/>
        </w:rPr>
      </w:pPr>
      <w:r>
        <w:rPr>
          <w:rFonts w:ascii="Times New Roman" w:hAnsi="Times New Roman"/>
          <w:noProof/>
          <w:sz w:val="24"/>
        </w:rPr>
        <w:t>Dans le même temps, nous allégerons radicalement la charge réglementaire pour les citoyens, les entreprises et les administrations de l’UE. Pour accroître la prospérité et la résilience, la Commission proposera une simplification sans précédent, afin d’ouvrir des perspectives, ainsi que de stimuler l’innovation et la croissance. Nous créerons un nouvel élan pour accélérer, simplifier et améliorer les politiques et la législation de l’UE, pour rendre les règles plus claires et plus faciles à comprendre et pour mettre ces dernières en œuvre plus rapidement. Par ailleurs, nous approfondirons notre coopération avec toutes les institutions et parties prenantes concernées, pour que le partage des responsabilités apporte de meilleurs résultats.</w:t>
      </w:r>
    </w:p>
    <w:p w14:paraId="723B084D" w14:textId="77777777" w:rsidR="002C4C01" w:rsidRPr="007B1ED8" w:rsidRDefault="002C4C01" w:rsidP="00447AD9">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Le renforcement de la compétitivité de l’UE est devenu plus important que jamais dans le monde instable et incertain qui est le nôtre aujourd’hui. Il nécessite un environnement juridique qui stimule la création d’entreprises et la croissance, et qui protège les citoyens et leur donne les moyens d’agir de la manière la plus simple, la plus rapide et la plus efficace possible. Il requiert également de se concentrer sur les réalités mouvantes du terrain et d’affirmer clairement l’objectif d’atteindre nos objectifs économiques, sociaux et environnementaux par les moyens les plus efficients possibles. </w:t>
      </w:r>
    </w:p>
    <w:p w14:paraId="5DBA557A" w14:textId="77777777" w:rsidR="002C4C01" w:rsidRPr="007B1ED8" w:rsidRDefault="002C4C01" w:rsidP="00447AD9">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Des normes élevées peuvent être une source estimable d’avantages concurrentiels. Dans de nombreux cas, elles font la valeur et la qualité des produits européens, protègent nos citoyens, stimulent l’innovation et assurent la durabilité et l’équité de notre économie. Ces avantages ne se concrétisent que si les règles de l’UE sont proportionnées, efficaces et appliquées dans leur intégralité et de manière cohérente. Nos règles doivent aussi rester en phase avec les progrès humains et technologiques et tenir compte des évolutions mondiales. </w:t>
      </w:r>
    </w:p>
    <w:p w14:paraId="506E0B8D" w14:textId="77777777" w:rsidR="002C4C01" w:rsidRPr="006154EC" w:rsidRDefault="002C4C01" w:rsidP="00447AD9">
      <w:pPr>
        <w:spacing w:after="240" w:line="240" w:lineRule="auto"/>
        <w:jc w:val="both"/>
        <w:rPr>
          <w:rFonts w:ascii="Times New Roman" w:hAnsi="Times New Roman" w:cs="Times New Roman"/>
          <w:noProof/>
          <w:sz w:val="24"/>
          <w:szCs w:val="24"/>
        </w:rPr>
      </w:pPr>
      <w:r>
        <w:rPr>
          <w:rFonts w:ascii="Times New Roman" w:hAnsi="Times New Roman"/>
          <w:noProof/>
          <w:sz w:val="24"/>
        </w:rPr>
        <w:t>Comme le souligne le rapport Draghi</w:t>
      </w:r>
      <w:r w:rsidRPr="007B1ED8">
        <w:rPr>
          <w:rStyle w:val="EndnoteReference"/>
          <w:rFonts w:ascii="Times New Roman" w:hAnsi="Times New Roman" w:cs="Times New Roman"/>
          <w:noProof/>
          <w:sz w:val="24"/>
          <w:szCs w:val="24"/>
        </w:rPr>
        <w:endnoteReference w:id="3"/>
      </w:r>
      <w:r>
        <w:rPr>
          <w:rFonts w:ascii="Times New Roman" w:hAnsi="Times New Roman"/>
          <w:noProof/>
          <w:sz w:val="24"/>
        </w:rPr>
        <w:t>, l’accumulation de règles au fil du temps et à différents niveaux, leur complexité accrue et les difficultés liées à leur mise en œuvre ont une incidence non négligeable sur la compétitivité de l’Europe, qui limite notre potentiel économique et notre prospérité. Le moment est venu de faire le bilan et de perfectionner notre cadre réglementaire, pour accélérer la réalisation des objectifs que nous nous sommes fixés.</w:t>
      </w:r>
    </w:p>
    <w:p w14:paraId="28BDFF15" w14:textId="77777777" w:rsidR="002C4C01" w:rsidRDefault="002C4C01" w:rsidP="00447AD9">
      <w:pPr>
        <w:spacing w:after="240" w:line="240" w:lineRule="auto"/>
        <w:jc w:val="both"/>
        <w:rPr>
          <w:rFonts w:ascii="Times New Roman" w:hAnsi="Times New Roman" w:cs="Times New Roman"/>
          <w:noProof/>
          <w:sz w:val="24"/>
          <w:szCs w:val="24"/>
        </w:rPr>
      </w:pPr>
      <w:r>
        <w:rPr>
          <w:rFonts w:ascii="Times New Roman" w:hAnsi="Times New Roman"/>
          <w:noProof/>
          <w:sz w:val="24"/>
        </w:rPr>
        <w:t>Cela nécessite une action audacieuse et concertée, plutôt qu’une approche progressive. La Commission, le Parlement européen, le Conseil, les autorités des États membres à tous les niveaux et les parties prenantes devront collaborer pour rationaliser et simplifier les règles européennes, nationales et régionales et appliquer les politiques de manière plus efficace. Il est par ailleurs nécessaire de remédier à la fragmentation réglementaire sur le marché unique pour obtenir bien davantage de croissance économique.</w:t>
      </w:r>
    </w:p>
    <w:p w14:paraId="1BEFA0D2" w14:textId="77777777" w:rsidR="002C4C01" w:rsidRDefault="002C4C01" w:rsidP="00447AD9">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La présente communication expose la vision d’un programme de mise en œuvre et de simplification qui produira des améliorations rapides et visibles au profit des citoyens et des entreprises, pour une Union plus prospère, décarbonée et résiliente. Les trains de mesures </w:t>
      </w:r>
      <w:r>
        <w:rPr>
          <w:rFonts w:ascii="Times New Roman" w:hAnsi="Times New Roman"/>
          <w:i/>
          <w:noProof/>
          <w:sz w:val="24"/>
        </w:rPr>
        <w:t>omnibus</w:t>
      </w:r>
      <w:r>
        <w:rPr>
          <w:rFonts w:ascii="Times New Roman" w:hAnsi="Times New Roman"/>
          <w:noProof/>
          <w:sz w:val="24"/>
        </w:rPr>
        <w:t xml:space="preserve"> décrits dans le programme de travail de la Commission pour 2025 constitueront nos premiers résultats de ce mandat. Ils ne sont qu’un début. Cet effort se poursuivra tout au long du mandat, avec l’ambition de soumettre tout l’acquis législatif existant de l’UE à un test de résistance, en étroite coopération avec les praticiens et les parties prenantes.</w:t>
      </w:r>
    </w:p>
    <w:p w14:paraId="52F96A1C" w14:textId="77777777" w:rsidR="002C4C01" w:rsidRDefault="002C4C01" w:rsidP="00447AD9">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Pour obtenir des résultats, la présente communication expose un ensemble complet d’outils, sans créer de niveaux redondants de procédure ou d’administration. La Commission redirigera plutôt ses efforts et ses ressources sur l’utilisation de ces outils, afin de simplifier les règles et d’assurer une mise en œuvre plus efficace au regard des coûts. Ce changement de culture réglementaire et institutionnelle concernera l’ensemble de notre organisation. Chaque service de la Commission concourra à cet effort de rationalisation. </w:t>
      </w:r>
    </w:p>
    <w:p w14:paraId="45689B7F" w14:textId="77777777" w:rsidR="002C4C01" w:rsidRDefault="002C4C01" w:rsidP="00447AD9">
      <w:pPr>
        <w:spacing w:after="240" w:line="240" w:lineRule="auto"/>
        <w:jc w:val="both"/>
        <w:rPr>
          <w:rFonts w:ascii="Times New Roman" w:hAnsi="Times New Roman" w:cs="Times New Roman"/>
          <w:noProof/>
          <w:sz w:val="24"/>
          <w:szCs w:val="24"/>
        </w:rPr>
      </w:pPr>
      <w:r>
        <w:rPr>
          <w:rFonts w:ascii="Times New Roman" w:hAnsi="Times New Roman"/>
          <w:noProof/>
          <w:sz w:val="24"/>
        </w:rPr>
        <w:t>L’approche de la Commission pour la mise en œuvre et la simplification sera guidée par la nécessité de faire le bilan du passé, de naviguer dans le présent et de façonner l’avenir. Pour mieux atteindre nos objectifs, nous simplifierons les règles existantes lorsque c’est nécessaire et nous veillerons à ce qu’elles soient mieux appliquées. Nous réexaminerons et adapterons notre cadre réglementaire afin qu’il soit mieux adapté aux besoins des citoyens et des entreprises. La Commission tiendra dûment compte des principes d’amélioration de la réglementation et de sécurité juridique lorsqu’elle formulera des propositions de simplification. Grâce à de nouveaux outils d’amélioration de la réglementation et de simplification, il sera tenu compte des aspects de mise en œuvre et de simplification dès les tout premiers stades de l’élaboration des futurs actes législatifs. Par toutes ces initiatives, nous nous efforcerons d’atteindre nos objectifs économiques, sociaux et environnementaux de manière plus efficace et efficiente.</w:t>
      </w:r>
    </w:p>
    <w:p w14:paraId="5922437B" w14:textId="77777777" w:rsidR="002C4C01" w:rsidRPr="006154EC" w:rsidRDefault="002C4C01" w:rsidP="00447AD9">
      <w:pPr>
        <w:pStyle w:val="ListParagraph"/>
        <w:numPr>
          <w:ilvl w:val="0"/>
          <w:numId w:val="5"/>
        </w:numPr>
        <w:spacing w:before="360" w:after="240" w:line="240" w:lineRule="auto"/>
        <w:ind w:left="1077"/>
        <w:contextualSpacing w:val="0"/>
        <w:jc w:val="both"/>
        <w:rPr>
          <w:rFonts w:ascii="Times New Roman" w:hAnsi="Times New Roman" w:cs="Times New Roman"/>
          <w:b/>
          <w:bCs/>
          <w:noProof/>
          <w:sz w:val="24"/>
          <w:szCs w:val="24"/>
        </w:rPr>
      </w:pPr>
      <w:r>
        <w:rPr>
          <w:rFonts w:ascii="Times New Roman" w:hAnsi="Times New Roman"/>
          <w:b/>
          <w:smallCaps/>
          <w:noProof/>
          <w:sz w:val="28"/>
        </w:rPr>
        <w:t>Veiller à ce que les politiques de l’UE produisent des résultats</w:t>
      </w:r>
    </w:p>
    <w:p w14:paraId="1283B88D" w14:textId="77777777" w:rsidR="002C4C01" w:rsidRPr="006154EC" w:rsidRDefault="002C4C01" w:rsidP="00447AD9">
      <w:pPr>
        <w:spacing w:after="240" w:line="240" w:lineRule="auto"/>
        <w:jc w:val="both"/>
        <w:rPr>
          <w:rFonts w:ascii="Times New Roman" w:hAnsi="Times New Roman" w:cs="Times New Roman"/>
          <w:noProof/>
          <w:sz w:val="24"/>
          <w:szCs w:val="24"/>
        </w:rPr>
      </w:pPr>
      <w:r>
        <w:rPr>
          <w:rFonts w:ascii="Times New Roman" w:hAnsi="Times New Roman"/>
          <w:noProof/>
          <w:sz w:val="24"/>
        </w:rPr>
        <w:t>Ces dernières années, l’UE a démontré sa détermination à aborder les défis de front, en adoptant des politiques ambitieuses à un rythme rapide, pour réagir à des crises et à des événements multiples et complexes. Pour réussir, il nous faut maintenant à la fois assurer une bonne mise en œuvre et éviter que l’accumulation des charges pour les citoyens, les entreprises et les administrations n’aille à l’encontre de notre objectif.</w:t>
      </w:r>
    </w:p>
    <w:p w14:paraId="624BBE28" w14:textId="77777777" w:rsidR="002C4C01" w:rsidRPr="006154EC" w:rsidRDefault="002C4C01" w:rsidP="00447AD9">
      <w:pPr>
        <w:spacing w:after="240" w:line="240" w:lineRule="auto"/>
        <w:jc w:val="both"/>
        <w:rPr>
          <w:rFonts w:ascii="Times New Roman" w:hAnsi="Times New Roman" w:cs="Times New Roman"/>
          <w:noProof/>
          <w:sz w:val="24"/>
          <w:szCs w:val="24"/>
        </w:rPr>
      </w:pPr>
      <w:r>
        <w:rPr>
          <w:rFonts w:ascii="Times New Roman" w:hAnsi="Times New Roman"/>
          <w:noProof/>
          <w:sz w:val="24"/>
        </w:rPr>
        <w:t>La mise en œuvre concerne essentiellement les États membres, lorsqu’ils transposent le droit de l’Union dans leur législation nationale et veillent à le faire respecter. Elle porte également sur l’application des règles par les autorités, les citoyens et les entreprises. Même dans les domaines où il n’existe pas de législation contraignante de l’UE, une action coordonnée sur les objectifs convenus au niveau de l’UE est devenu essentielle pour obtenir des résultats. Cette action coordonnée est en outre nécessaire pour éviter que des exigences nationales supplémentaires qui ne proviennent pas du droit de l’Union – ce que l’on appelle la «surréglementation»</w:t>
      </w:r>
      <w:r w:rsidRPr="006154EC">
        <w:rPr>
          <w:rStyle w:val="EndnoteReference"/>
          <w:rFonts w:ascii="Times New Roman" w:hAnsi="Times New Roman" w:cs="Times New Roman"/>
          <w:noProof/>
          <w:sz w:val="24"/>
          <w:szCs w:val="24"/>
        </w:rPr>
        <w:endnoteReference w:id="4"/>
      </w:r>
      <w:r>
        <w:rPr>
          <w:rFonts w:ascii="Times New Roman" w:hAnsi="Times New Roman"/>
          <w:noProof/>
          <w:sz w:val="24"/>
        </w:rPr>
        <w:t xml:space="preserve"> – n’aboutissent à une fragmentation du marché unique et ne créent une charge supplémentaire pour les citoyens et les entreprises. En résumé, il s’agit d’une responsabilité partagée.</w:t>
      </w:r>
    </w:p>
    <w:p w14:paraId="0ECAE292" w14:textId="77777777" w:rsidR="002C4C01" w:rsidRPr="006154EC" w:rsidRDefault="002C4C01" w:rsidP="00447AD9">
      <w:pPr>
        <w:spacing w:after="240" w:line="240" w:lineRule="auto"/>
        <w:jc w:val="both"/>
        <w:rPr>
          <w:rFonts w:ascii="Times New Roman" w:hAnsi="Times New Roman" w:cs="Times New Roman"/>
          <w:noProof/>
          <w:sz w:val="24"/>
          <w:szCs w:val="24"/>
        </w:rPr>
      </w:pPr>
      <w:r>
        <w:rPr>
          <w:rFonts w:ascii="Times New Roman" w:hAnsi="Times New Roman"/>
          <w:noProof/>
          <w:sz w:val="24"/>
        </w:rPr>
        <w:t>Les lacunes dans la mise en œuvre des règles et dans l’achèvement du marché unique</w:t>
      </w:r>
      <w:r w:rsidRPr="006154EC">
        <w:rPr>
          <w:rStyle w:val="EndnoteReference"/>
          <w:rFonts w:ascii="Times New Roman" w:hAnsi="Times New Roman" w:cs="Times New Roman"/>
          <w:noProof/>
          <w:sz w:val="24"/>
          <w:szCs w:val="24"/>
        </w:rPr>
        <w:endnoteReference w:id="5"/>
      </w:r>
      <w:r>
        <w:rPr>
          <w:rFonts w:ascii="Times New Roman" w:hAnsi="Times New Roman"/>
          <w:noProof/>
          <w:sz w:val="24"/>
        </w:rPr>
        <w:t xml:space="preserve"> sont un frein à notre prospérité et à notre compétitivité. Elles peuvent également compromettre la capacité de l’UE d’atteindre ses objectifs stratégiques et de défendre les valeurs de l’Union. Les citoyens et les entreprises ne bénéficient alors pas de tous les avantages offerts par les politiques de l’UE, et les entreprises ont souvent de grandes difficultés à surmonter les obstacles réglementaires et les charges administratives</w:t>
      </w:r>
      <w:r w:rsidRPr="006154EC">
        <w:rPr>
          <w:rStyle w:val="EndnoteReference"/>
          <w:rFonts w:ascii="Times New Roman" w:hAnsi="Times New Roman" w:cs="Times New Roman"/>
          <w:noProof/>
          <w:sz w:val="24"/>
          <w:szCs w:val="24"/>
        </w:rPr>
        <w:endnoteReference w:id="6"/>
      </w:r>
      <w:r>
        <w:rPr>
          <w:rFonts w:ascii="Times New Roman" w:hAnsi="Times New Roman"/>
          <w:noProof/>
          <w:sz w:val="24"/>
        </w:rPr>
        <w:t xml:space="preserve">. </w:t>
      </w:r>
    </w:p>
    <w:p w14:paraId="1862ACF2" w14:textId="77777777" w:rsidR="002C4C01" w:rsidRPr="006154EC" w:rsidRDefault="002C4C01" w:rsidP="00447AD9">
      <w:pPr>
        <w:spacing w:after="240" w:line="240" w:lineRule="auto"/>
        <w:jc w:val="both"/>
        <w:rPr>
          <w:rFonts w:ascii="Times New Roman" w:hAnsi="Times New Roman" w:cs="Times New Roman"/>
          <w:noProof/>
          <w:sz w:val="24"/>
          <w:szCs w:val="24"/>
        </w:rPr>
      </w:pPr>
      <w:r>
        <w:rPr>
          <w:rFonts w:ascii="Times New Roman" w:hAnsi="Times New Roman"/>
          <w:noProof/>
          <w:sz w:val="24"/>
        </w:rPr>
        <w:t>Dans le cadre de l’évolution plus large de la culture réglementaire, l’UE doit avant tout améliorer la mise en œuvre de nos règles et réunir les forces des institutions de l’UE, des États membres et des parties prenantes. La Commission accélérera son action en vue d’une meilleure mise en œuvre:</w:t>
      </w:r>
    </w:p>
    <w:p w14:paraId="1C917258" w14:textId="77777777" w:rsidR="002C4C01" w:rsidRPr="006154EC" w:rsidRDefault="002C4C01" w:rsidP="00447AD9">
      <w:pPr>
        <w:pStyle w:val="ListParagraph"/>
        <w:numPr>
          <w:ilvl w:val="0"/>
          <w:numId w:val="21"/>
        </w:numPr>
        <w:spacing w:after="360" w:line="240" w:lineRule="auto"/>
        <w:jc w:val="both"/>
        <w:rPr>
          <w:rFonts w:ascii="Times New Roman" w:hAnsi="Times New Roman" w:cs="Times New Roman"/>
          <w:noProof/>
          <w:sz w:val="24"/>
          <w:szCs w:val="24"/>
        </w:rPr>
      </w:pPr>
      <w:r>
        <w:rPr>
          <w:rFonts w:ascii="Times New Roman" w:hAnsi="Times New Roman"/>
          <w:noProof/>
          <w:sz w:val="24"/>
        </w:rPr>
        <w:t>en collaborant plus étroitement avec les États membres;</w:t>
      </w:r>
    </w:p>
    <w:p w14:paraId="12DC56D0" w14:textId="77777777" w:rsidR="002C4C01" w:rsidRPr="004F176A" w:rsidRDefault="002C4C01" w:rsidP="00447AD9">
      <w:pPr>
        <w:pStyle w:val="ListParagraph"/>
        <w:numPr>
          <w:ilvl w:val="0"/>
          <w:numId w:val="21"/>
        </w:numPr>
        <w:spacing w:after="360" w:line="240" w:lineRule="auto"/>
        <w:ind w:left="714" w:hanging="357"/>
        <w:jc w:val="both"/>
        <w:rPr>
          <w:rFonts w:ascii="Times New Roman" w:hAnsi="Times New Roman" w:cs="Times New Roman"/>
          <w:noProof/>
          <w:sz w:val="24"/>
          <w:szCs w:val="24"/>
        </w:rPr>
      </w:pPr>
      <w:r>
        <w:rPr>
          <w:rFonts w:ascii="Times New Roman" w:hAnsi="Times New Roman"/>
          <w:noProof/>
          <w:sz w:val="24"/>
        </w:rPr>
        <w:t>en investissant dans les capacités administratives, les outils numériques et les données;</w:t>
      </w:r>
    </w:p>
    <w:p w14:paraId="29FB2FEC" w14:textId="77777777" w:rsidR="002C4C01" w:rsidRPr="006154EC" w:rsidRDefault="002C4C01" w:rsidP="00447AD9">
      <w:pPr>
        <w:pStyle w:val="ListParagraph"/>
        <w:numPr>
          <w:ilvl w:val="0"/>
          <w:numId w:val="21"/>
        </w:numPr>
        <w:spacing w:after="360" w:line="240" w:lineRule="auto"/>
        <w:ind w:left="714" w:hanging="357"/>
        <w:jc w:val="both"/>
        <w:rPr>
          <w:rFonts w:ascii="Times New Roman" w:hAnsi="Times New Roman" w:cs="Times New Roman"/>
          <w:noProof/>
          <w:sz w:val="24"/>
          <w:szCs w:val="24"/>
        </w:rPr>
      </w:pPr>
      <w:r>
        <w:rPr>
          <w:rFonts w:ascii="Times New Roman" w:hAnsi="Times New Roman"/>
          <w:noProof/>
          <w:sz w:val="24"/>
        </w:rPr>
        <w:t>en dialoguant plus efficacement avec les parties prenantes;</w:t>
      </w:r>
    </w:p>
    <w:p w14:paraId="246A39B7" w14:textId="77777777" w:rsidR="002C4C01" w:rsidRPr="006154EC" w:rsidRDefault="002C4C01" w:rsidP="00447AD9">
      <w:pPr>
        <w:pStyle w:val="ListParagraph"/>
        <w:numPr>
          <w:ilvl w:val="0"/>
          <w:numId w:val="21"/>
        </w:numPr>
        <w:spacing w:after="360" w:line="240" w:lineRule="auto"/>
        <w:jc w:val="both"/>
        <w:rPr>
          <w:rFonts w:ascii="Times New Roman" w:hAnsi="Times New Roman" w:cs="Times New Roman"/>
          <w:noProof/>
          <w:sz w:val="24"/>
          <w:szCs w:val="24"/>
        </w:rPr>
      </w:pPr>
      <w:r>
        <w:rPr>
          <w:rFonts w:ascii="Times New Roman" w:hAnsi="Times New Roman"/>
          <w:noProof/>
          <w:sz w:val="24"/>
        </w:rPr>
        <w:t>en prenant des mesures coercitives rapides et fermes.</w:t>
      </w:r>
    </w:p>
    <w:p w14:paraId="1A34F82D" w14:textId="77777777" w:rsidR="002C4C01" w:rsidRPr="006154EC" w:rsidRDefault="002C4C01" w:rsidP="00447AD9">
      <w:pPr>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both"/>
        <w:rPr>
          <w:rFonts w:ascii="Times New Roman" w:hAnsi="Times New Roman" w:cs="Times New Roman"/>
          <w:b/>
          <w:bCs/>
          <w:i/>
          <w:iCs/>
          <w:noProof/>
          <w:sz w:val="24"/>
          <w:szCs w:val="24"/>
        </w:rPr>
      </w:pPr>
      <w:r>
        <w:rPr>
          <w:rFonts w:ascii="Times New Roman" w:hAnsi="Times New Roman"/>
          <w:b/>
          <w:i/>
          <w:noProof/>
          <w:sz w:val="24"/>
        </w:rPr>
        <w:t>a) Coopérer plus étroitement avec les États membres</w:t>
      </w:r>
    </w:p>
    <w:p w14:paraId="7D218FE4" w14:textId="77777777" w:rsidR="002C4C01" w:rsidRPr="006154EC" w:rsidRDefault="002C4C01" w:rsidP="00447AD9">
      <w:pPr>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both"/>
        <w:rPr>
          <w:rFonts w:ascii="Times New Roman" w:hAnsi="Times New Roman" w:cs="Times New Roman"/>
          <w:noProof/>
          <w:sz w:val="24"/>
          <w:szCs w:val="24"/>
        </w:rPr>
      </w:pPr>
      <w:r>
        <w:rPr>
          <w:rFonts w:ascii="Times New Roman" w:hAnsi="Times New Roman"/>
          <w:noProof/>
          <w:sz w:val="24"/>
        </w:rPr>
        <w:t>La coopération avec les États membres pour la mise en œuvre du droit de l’Union constitue le plus rapide moyen d’assurer que les règles de l’UE atteignent leur objectif. Elle permet également d’éviter d’emblée que des infractions ne soient commises. Pour la Commission, cela implique d’intensifier le dialogue avec les États membres et de les aider davantage à appliquer le droit de l’Union correctement et dans les délais.</w:t>
      </w:r>
    </w:p>
    <w:p w14:paraId="0B9A0ADA" w14:textId="77777777" w:rsidR="002C4C01" w:rsidRDefault="002C4C01" w:rsidP="00447AD9">
      <w:pPr>
        <w:pBdr>
          <w:top w:val="single" w:sz="4" w:space="1" w:color="auto"/>
          <w:left w:val="single" w:sz="4" w:space="4" w:color="auto"/>
          <w:bottom w:val="single" w:sz="4" w:space="1" w:color="auto"/>
          <w:right w:val="single" w:sz="4" w:space="4" w:color="auto"/>
        </w:pBdr>
        <w:shd w:val="clear" w:color="auto" w:fill="D9E2F3" w:themeFill="accent1" w:themeFillTint="33"/>
        <w:spacing w:after="0" w:line="240" w:lineRule="auto"/>
        <w:jc w:val="both"/>
        <w:rPr>
          <w:rFonts w:ascii="Times New Roman" w:hAnsi="Times New Roman" w:cs="Times New Roman"/>
          <w:noProof/>
          <w:sz w:val="24"/>
          <w:szCs w:val="24"/>
        </w:rPr>
      </w:pPr>
      <w:r>
        <w:rPr>
          <w:rFonts w:ascii="Times New Roman" w:hAnsi="Times New Roman"/>
          <w:noProof/>
          <w:sz w:val="24"/>
        </w:rPr>
        <w:t xml:space="preserve">Lorsqu’un acte juridique majeur sera sur le point d’être adopté par le Parlement européen et le Conseil, la Commission établira systématiquement une </w:t>
      </w:r>
      <w:r>
        <w:rPr>
          <w:rFonts w:ascii="Times New Roman" w:hAnsi="Times New Roman"/>
          <w:b/>
          <w:bCs/>
          <w:noProof/>
          <w:sz w:val="24"/>
        </w:rPr>
        <w:t>stratégie de mise en œuvre</w:t>
      </w:r>
      <w:r>
        <w:rPr>
          <w:rStyle w:val="EndnoteReference"/>
          <w:rFonts w:ascii="Times New Roman" w:hAnsi="Times New Roman" w:cs="Times New Roman"/>
          <w:b/>
          <w:bCs/>
          <w:noProof/>
          <w:sz w:val="24"/>
          <w:szCs w:val="24"/>
        </w:rPr>
        <w:endnoteReference w:id="7"/>
      </w:r>
      <w:r>
        <w:rPr>
          <w:rFonts w:ascii="Times New Roman" w:hAnsi="Times New Roman"/>
          <w:noProof/>
          <w:sz w:val="24"/>
        </w:rPr>
        <w:t xml:space="preserve"> pour planifier la manière dont elle apportera son soutien aux États membres tout au long du processus de mise en œuvre. Cette stratégie décrira les difficultés (juridiques, administratives ou pratiques) que poseront la transposition et l’application de l’acte juridique et définira les modalités de suivi des progrès accomplis, des mesures de soutien (y compris pour les PME) et un calendrier précis. Un bon exemple en est la récente stratégie «Accele-RES», qui aide les États membres à mettre en œuvre les procédures simplifiées d’octroi de permis prévues par la directive révisée sur les énergies renouvelables</w:t>
      </w:r>
      <w:r w:rsidRPr="00623255">
        <w:rPr>
          <w:rStyle w:val="EndnoteReference"/>
          <w:rFonts w:ascii="Times New Roman" w:hAnsi="Times New Roman" w:cs="Times New Roman"/>
          <w:noProof/>
          <w:sz w:val="24"/>
          <w:szCs w:val="24"/>
        </w:rPr>
        <w:endnoteReference w:id="8"/>
      </w:r>
      <w:r>
        <w:rPr>
          <w:rFonts w:ascii="Times New Roman" w:hAnsi="Times New Roman"/>
          <w:noProof/>
          <w:sz w:val="24"/>
        </w:rPr>
        <w:t>.</w:t>
      </w:r>
    </w:p>
    <w:p w14:paraId="2F9F0BC3" w14:textId="77777777" w:rsidR="002C4C01" w:rsidRPr="00623255" w:rsidRDefault="002C4C01" w:rsidP="00447AD9">
      <w:pPr>
        <w:pBdr>
          <w:top w:val="single" w:sz="4" w:space="1" w:color="auto"/>
          <w:left w:val="single" w:sz="4" w:space="4" w:color="auto"/>
          <w:bottom w:val="single" w:sz="4" w:space="1" w:color="auto"/>
          <w:right w:val="single" w:sz="4" w:space="4" w:color="auto"/>
        </w:pBdr>
        <w:shd w:val="clear" w:color="auto" w:fill="D9E2F3" w:themeFill="accent1" w:themeFillTint="33"/>
        <w:spacing w:after="0" w:line="240" w:lineRule="auto"/>
        <w:jc w:val="both"/>
        <w:rPr>
          <w:rFonts w:ascii="Times New Roman" w:hAnsi="Times New Roman" w:cs="Times New Roman"/>
          <w:noProof/>
          <w:sz w:val="24"/>
          <w:szCs w:val="24"/>
        </w:rPr>
      </w:pPr>
    </w:p>
    <w:p w14:paraId="03930505" w14:textId="77777777" w:rsidR="002C4C01" w:rsidRPr="00F264CF" w:rsidRDefault="002C4C01" w:rsidP="00447AD9">
      <w:pPr>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both"/>
        <w:rPr>
          <w:rFonts w:ascii="Times New Roman" w:hAnsi="Times New Roman" w:cs="Times New Roman"/>
          <w:noProof/>
          <w:sz w:val="24"/>
          <w:szCs w:val="24"/>
        </w:rPr>
      </w:pPr>
      <w:r>
        <w:rPr>
          <w:rFonts w:ascii="Times New Roman" w:hAnsi="Times New Roman"/>
          <w:noProof/>
          <w:sz w:val="24"/>
        </w:rPr>
        <w:t xml:space="preserve">Recevoir rapidement des </w:t>
      </w:r>
      <w:r>
        <w:rPr>
          <w:rFonts w:ascii="Times New Roman" w:hAnsi="Times New Roman"/>
          <w:b/>
          <w:noProof/>
          <w:sz w:val="24"/>
        </w:rPr>
        <w:t>informations de la part des États membres et des parties prenantes</w:t>
      </w:r>
      <w:r>
        <w:rPr>
          <w:rFonts w:ascii="Times New Roman" w:hAnsi="Times New Roman"/>
          <w:noProof/>
          <w:sz w:val="24"/>
        </w:rPr>
        <w:t xml:space="preserve"> est indispensable pour que la Commission élabore des stratégies de mise en œuvre efficaces, qui intègrent des mesures de soutien ciblées et efficaces. Pour les directives, des </w:t>
      </w:r>
      <w:r>
        <w:rPr>
          <w:rFonts w:ascii="Times New Roman" w:hAnsi="Times New Roman"/>
          <w:b/>
          <w:noProof/>
          <w:sz w:val="24"/>
        </w:rPr>
        <w:t>modèles explicatifs</w:t>
      </w:r>
      <w:r>
        <w:rPr>
          <w:rFonts w:ascii="Times New Roman" w:hAnsi="Times New Roman"/>
          <w:noProof/>
          <w:sz w:val="24"/>
        </w:rPr>
        <w:t xml:space="preserve"> et des </w:t>
      </w:r>
      <w:r>
        <w:rPr>
          <w:rFonts w:ascii="Times New Roman" w:hAnsi="Times New Roman"/>
          <w:b/>
          <w:noProof/>
          <w:sz w:val="24"/>
        </w:rPr>
        <w:t>feuilles de route pour la transposition</w:t>
      </w:r>
      <w:r>
        <w:rPr>
          <w:rFonts w:ascii="Times New Roman" w:hAnsi="Times New Roman"/>
          <w:noProof/>
          <w:sz w:val="24"/>
        </w:rPr>
        <w:t xml:space="preserve"> établis par la Commission, que les États membres devront remplir, permettront une transposition plus rapide et complète. De même, des mises à jour proactives sur les obligations nationales allant au-delà des exigences du droit de l’Union (surréglementation) aideraient à </w:t>
      </w:r>
      <w:r>
        <w:rPr>
          <w:rFonts w:ascii="Times New Roman" w:hAnsi="Times New Roman"/>
          <w:b/>
          <w:noProof/>
          <w:sz w:val="24"/>
        </w:rPr>
        <w:t>remédier aux effets des règles divergentes</w:t>
      </w:r>
      <w:r>
        <w:rPr>
          <w:rFonts w:ascii="Times New Roman" w:hAnsi="Times New Roman"/>
          <w:noProof/>
          <w:sz w:val="24"/>
        </w:rPr>
        <w:t xml:space="preserve"> au sein de l’UE.</w:t>
      </w:r>
    </w:p>
    <w:p w14:paraId="3A3447BD" w14:textId="77777777" w:rsidR="002C4C01" w:rsidRDefault="002C4C01" w:rsidP="00447AD9">
      <w:pPr>
        <w:pBdr>
          <w:top w:val="single" w:sz="4" w:space="1" w:color="auto"/>
          <w:left w:val="single" w:sz="4" w:space="4" w:color="auto"/>
          <w:bottom w:val="single" w:sz="4" w:space="1" w:color="auto"/>
          <w:right w:val="single" w:sz="4" w:space="4" w:color="auto"/>
        </w:pBdr>
        <w:shd w:val="clear" w:color="auto" w:fill="D9E2F3" w:themeFill="accent1" w:themeFillTint="33"/>
        <w:spacing w:after="0" w:line="240" w:lineRule="auto"/>
        <w:jc w:val="both"/>
        <w:rPr>
          <w:rFonts w:ascii="Times New Roman" w:hAnsi="Times New Roman" w:cs="Times New Roman"/>
          <w:noProof/>
          <w:sz w:val="24"/>
          <w:szCs w:val="24"/>
        </w:rPr>
      </w:pPr>
      <w:r>
        <w:rPr>
          <w:rFonts w:ascii="Times New Roman" w:hAnsi="Times New Roman"/>
          <w:noProof/>
          <w:sz w:val="24"/>
        </w:rPr>
        <w:t xml:space="preserve">La Commission aura recours à des </w:t>
      </w:r>
      <w:r>
        <w:rPr>
          <w:rFonts w:ascii="Times New Roman" w:hAnsi="Times New Roman"/>
          <w:b/>
          <w:noProof/>
          <w:sz w:val="24"/>
        </w:rPr>
        <w:t>groupes d’experts</w:t>
      </w:r>
      <w:r>
        <w:rPr>
          <w:rFonts w:ascii="Times New Roman" w:hAnsi="Times New Roman"/>
          <w:noProof/>
          <w:sz w:val="24"/>
        </w:rPr>
        <w:t xml:space="preserve"> et à des formations similaires pour établir des partenariats plus étroits entre les autorités nationales, qui appuieront la mise en œuvre et assureront un soutien par les pairs entre les États membres. L’approche volontaire adoptée dans le </w:t>
      </w:r>
      <w:r>
        <w:rPr>
          <w:rFonts w:ascii="Times New Roman" w:hAnsi="Times New Roman"/>
          <w:b/>
          <w:bCs/>
          <w:noProof/>
          <w:sz w:val="24"/>
        </w:rPr>
        <w:t>groupe de travail sur le respect de l’application des règles du marché unique</w:t>
      </w:r>
      <w:r>
        <w:rPr>
          <w:rFonts w:ascii="Times New Roman" w:hAnsi="Times New Roman"/>
          <w:noProof/>
          <w:sz w:val="24"/>
        </w:rPr>
        <w:t xml:space="preserve"> dans le cadre duquel la Commission et les États membres collaborent pour supprimer les obstacles au marché, peut servir de modèle pour des travaux similaires dans d’autres secteurs tels que la concurrence, les télécommunications ou l’énergie. En outre, les organismes de réglementation de l’UE peuvent, eux aussi, œuvrer en faveur d’une application cohérente du droit de l’Union, notamment en contribuant à instaurer une culture commune de la surveillance.</w:t>
      </w:r>
    </w:p>
    <w:p w14:paraId="02B0FCF9" w14:textId="77777777" w:rsidR="002C4C01" w:rsidRPr="006154EC" w:rsidRDefault="002C4C01" w:rsidP="00447AD9">
      <w:pPr>
        <w:spacing w:after="0" w:line="240" w:lineRule="auto"/>
        <w:jc w:val="both"/>
        <w:rPr>
          <w:rFonts w:ascii="Times New Roman" w:hAnsi="Times New Roman" w:cs="Times New Roman"/>
          <w:b/>
          <w:i/>
          <w:noProof/>
          <w:sz w:val="24"/>
          <w:szCs w:val="24"/>
          <w:highlight w:val="cyan"/>
        </w:rPr>
      </w:pPr>
    </w:p>
    <w:p w14:paraId="5AE591BB" w14:textId="77777777" w:rsidR="002C4C01" w:rsidRPr="006154EC" w:rsidRDefault="002C4C01" w:rsidP="00447AD9">
      <w:pPr>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both"/>
        <w:rPr>
          <w:rFonts w:ascii="Times New Roman" w:hAnsi="Times New Roman" w:cs="Times New Roman"/>
          <w:b/>
          <w:bCs/>
          <w:i/>
          <w:iCs/>
          <w:noProof/>
          <w:sz w:val="24"/>
          <w:szCs w:val="24"/>
        </w:rPr>
      </w:pPr>
      <w:r>
        <w:rPr>
          <w:rFonts w:ascii="Times New Roman" w:hAnsi="Times New Roman"/>
          <w:b/>
          <w:i/>
          <w:noProof/>
          <w:sz w:val="24"/>
        </w:rPr>
        <w:t>b) Investir dans les capacités administratives, les outils numériques et les données</w:t>
      </w:r>
    </w:p>
    <w:p w14:paraId="34149265" w14:textId="77777777" w:rsidR="002C4C01" w:rsidRDefault="002C4C01" w:rsidP="00447AD9">
      <w:pPr>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Pour une bonne mise en œuvre des politiques, il faut des administrations publiques bien équipées et efficientes. Cela nécessite un haut degré de numérisation et un accès aux données et aux éléments de preuve</w:t>
      </w:r>
      <w:r w:rsidRPr="00904597">
        <w:rPr>
          <w:rStyle w:val="EndnoteReference"/>
          <w:rFonts w:ascii="Times New Roman" w:hAnsi="Times New Roman"/>
          <w:noProof/>
          <w:sz w:val="24"/>
        </w:rPr>
        <w:endnoteReference w:id="9"/>
      </w:r>
      <w:r>
        <w:rPr>
          <w:rFonts w:ascii="Times New Roman" w:hAnsi="Times New Roman"/>
          <w:noProof/>
          <w:sz w:val="24"/>
        </w:rPr>
        <w:t>, ainsi que des effectifs et des compétences appropriés dans toutes les administrations qui participent à la mise en œuvre. L’UE dispose d’une série d’outils et de programmes pour appuyer la mise en œuvre, le suivi et l’évaluation. Par exemple, l’</w:t>
      </w:r>
      <w:r>
        <w:rPr>
          <w:rFonts w:ascii="Times New Roman" w:hAnsi="Times New Roman"/>
          <w:b/>
          <w:noProof/>
          <w:sz w:val="24"/>
        </w:rPr>
        <w:t>instrument d’appui technique</w:t>
      </w:r>
      <w:r>
        <w:rPr>
          <w:rFonts w:ascii="Times New Roman" w:hAnsi="Times New Roman"/>
          <w:noProof/>
          <w:sz w:val="24"/>
        </w:rPr>
        <w:t xml:space="preserve"> aide les États membres à développer leurs capacités administratives, à numériser, à réaliser des réformes et à appliquer l’ensemble des priorités de l’UE, avec une charge minimale pour les États membres. Dans l’</w:t>
      </w:r>
      <w:r>
        <w:rPr>
          <w:rFonts w:ascii="Times New Roman" w:hAnsi="Times New Roman"/>
          <w:b/>
          <w:bCs/>
          <w:noProof/>
          <w:sz w:val="24"/>
        </w:rPr>
        <w:t>espace administratif européen</w:t>
      </w:r>
      <w:r>
        <w:rPr>
          <w:rFonts w:ascii="Times New Roman" w:hAnsi="Times New Roman"/>
          <w:noProof/>
          <w:sz w:val="24"/>
        </w:rPr>
        <w:t xml:space="preserve"> </w:t>
      </w:r>
      <w:r>
        <w:rPr>
          <w:rFonts w:ascii="Times New Roman" w:hAnsi="Times New Roman"/>
          <w:b/>
          <w:bCs/>
          <w:noProof/>
          <w:sz w:val="24"/>
        </w:rPr>
        <w:t>(ComPAct)</w:t>
      </w:r>
      <w:r w:rsidRPr="0086585F">
        <w:rPr>
          <w:rStyle w:val="EndnoteReference"/>
          <w:rFonts w:ascii="Times New Roman" w:hAnsi="Times New Roman"/>
          <w:noProof/>
          <w:sz w:val="24"/>
        </w:rPr>
        <w:endnoteReference w:id="10"/>
      </w:r>
      <w:r>
        <w:rPr>
          <w:rFonts w:ascii="Times New Roman" w:hAnsi="Times New Roman"/>
          <w:noProof/>
          <w:sz w:val="24"/>
        </w:rPr>
        <w:t>, la Commission apporte un soutien pour développer les capacités administratives aux niveaux national, régional et local — en mettant l’accent sur les compétences et sur les transitions numérique et écologique – et les échanges de fonctionnaires pour partager les bonnes pratiques et travailler ensemble sur des problèmes communs par-delà les frontières</w:t>
      </w:r>
      <w:r w:rsidRPr="006154EC">
        <w:rPr>
          <w:rStyle w:val="EndnoteReference"/>
          <w:rFonts w:ascii="Times New Roman" w:hAnsi="Times New Roman" w:cs="Times New Roman"/>
          <w:noProof/>
          <w:sz w:val="24"/>
          <w:szCs w:val="24"/>
        </w:rPr>
        <w:endnoteReference w:id="11"/>
      </w:r>
      <w:r>
        <w:rPr>
          <w:rFonts w:ascii="Times New Roman" w:hAnsi="Times New Roman"/>
          <w:noProof/>
          <w:sz w:val="24"/>
        </w:rPr>
        <w:t xml:space="preserve">. En outre, dans le cadre du </w:t>
      </w:r>
      <w:r>
        <w:rPr>
          <w:rFonts w:ascii="Times New Roman" w:hAnsi="Times New Roman"/>
          <w:b/>
          <w:noProof/>
          <w:sz w:val="24"/>
        </w:rPr>
        <w:t>système d’information du marché intérieur</w:t>
      </w:r>
      <w:r>
        <w:rPr>
          <w:rFonts w:ascii="Times New Roman" w:hAnsi="Times New Roman"/>
          <w:noProof/>
          <w:sz w:val="24"/>
        </w:rPr>
        <w:t xml:space="preserve">, la Commission facilite la coopération administrative transfrontière numérique pour la mise en œuvre des règles du marché unique. </w:t>
      </w:r>
    </w:p>
    <w:p w14:paraId="144106E8" w14:textId="77777777" w:rsidR="002C4C01" w:rsidRPr="00904597" w:rsidRDefault="002C4C01" w:rsidP="00447AD9">
      <w:pPr>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both"/>
        <w:rPr>
          <w:rFonts w:ascii="Times New Roman" w:hAnsi="Times New Roman" w:cs="Times New Roman"/>
          <w:i/>
          <w:iCs/>
          <w:noProof/>
          <w:sz w:val="24"/>
          <w:szCs w:val="24"/>
        </w:rPr>
      </w:pPr>
      <w:r>
        <w:rPr>
          <w:rFonts w:ascii="Times New Roman" w:hAnsi="Times New Roman"/>
          <w:noProof/>
          <w:sz w:val="24"/>
        </w:rPr>
        <w:t>La Commission encouragera l’utilisation efficace de ces outils dans la mise en œuvre des nouvelles politiques ou législations majeures.</w:t>
      </w:r>
    </w:p>
    <w:p w14:paraId="1DB2C06F" w14:textId="77777777" w:rsidR="002C4C01" w:rsidRPr="006154EC" w:rsidRDefault="002C4C01" w:rsidP="00447AD9">
      <w:pPr>
        <w:pBdr>
          <w:top w:val="single" w:sz="4" w:space="0" w:color="auto"/>
          <w:left w:val="single" w:sz="4" w:space="4" w:color="auto"/>
          <w:bottom w:val="single" w:sz="4" w:space="1" w:color="auto"/>
          <w:right w:val="single" w:sz="4" w:space="4" w:color="auto"/>
        </w:pBdr>
        <w:shd w:val="clear" w:color="auto" w:fill="D9E2F3" w:themeFill="accent1" w:themeFillTint="33"/>
        <w:spacing w:after="0" w:line="240" w:lineRule="auto"/>
        <w:jc w:val="both"/>
        <w:rPr>
          <w:rFonts w:ascii="Times New Roman" w:hAnsi="Times New Roman" w:cs="Times New Roman"/>
          <w:b/>
          <w:bCs/>
          <w:i/>
          <w:iCs/>
          <w:noProof/>
          <w:sz w:val="24"/>
          <w:szCs w:val="24"/>
        </w:rPr>
      </w:pPr>
      <w:r>
        <w:rPr>
          <w:rFonts w:ascii="Times New Roman" w:hAnsi="Times New Roman"/>
          <w:b/>
          <w:i/>
          <w:noProof/>
          <w:sz w:val="24"/>
        </w:rPr>
        <w:t>c) Collaborer plus efficacement avec les parties prenantes</w:t>
      </w:r>
    </w:p>
    <w:p w14:paraId="6D8D271B" w14:textId="77777777" w:rsidR="002C4C01" w:rsidRPr="006154EC" w:rsidRDefault="002C4C01" w:rsidP="00447AD9">
      <w:pPr>
        <w:pBdr>
          <w:top w:val="single" w:sz="4" w:space="0" w:color="auto"/>
          <w:left w:val="single" w:sz="4" w:space="4" w:color="auto"/>
          <w:bottom w:val="single" w:sz="4" w:space="1" w:color="auto"/>
          <w:right w:val="single" w:sz="4" w:space="4" w:color="auto"/>
        </w:pBdr>
        <w:shd w:val="clear" w:color="auto" w:fill="D9E2F3" w:themeFill="accent1" w:themeFillTint="33"/>
        <w:spacing w:before="240" w:after="240" w:line="240" w:lineRule="auto"/>
        <w:jc w:val="both"/>
        <w:rPr>
          <w:rFonts w:ascii="Times New Roman" w:hAnsi="Times New Roman" w:cs="Times New Roman"/>
          <w:noProof/>
          <w:sz w:val="24"/>
          <w:szCs w:val="24"/>
        </w:rPr>
      </w:pPr>
      <w:r>
        <w:rPr>
          <w:rFonts w:ascii="Times New Roman" w:hAnsi="Times New Roman"/>
          <w:noProof/>
          <w:sz w:val="24"/>
        </w:rPr>
        <w:t>Certains problèmes de mise en œuvre ne peuvent être anticipés. C’est pourquoi la Commission a besoin d’entretenir des contacts réguliers avec les parties prenantes et les praticiens, pour être informée de ce qui fonctionne et ne fonctionne pas et pour déterminer les moyens d’améliorer et de faciliter la mise en œuvre.</w:t>
      </w:r>
    </w:p>
    <w:p w14:paraId="5B222D45" w14:textId="77777777" w:rsidR="002C4C01" w:rsidRPr="006154EC" w:rsidRDefault="002C4C01" w:rsidP="00447AD9">
      <w:pPr>
        <w:pBdr>
          <w:top w:val="single" w:sz="4" w:space="0" w:color="auto"/>
          <w:left w:val="single" w:sz="4" w:space="4" w:color="auto"/>
          <w:bottom w:val="single" w:sz="4" w:space="1" w:color="auto"/>
          <w:right w:val="single" w:sz="4" w:space="4" w:color="auto"/>
        </w:pBdr>
        <w:shd w:val="clear" w:color="auto" w:fill="D9E2F3" w:themeFill="accent1" w:themeFillTint="33"/>
        <w:spacing w:before="240" w:after="240" w:line="240" w:lineRule="auto"/>
        <w:jc w:val="both"/>
        <w:rPr>
          <w:rFonts w:ascii="Times New Roman" w:hAnsi="Times New Roman" w:cs="Times New Roman"/>
          <w:noProof/>
          <w:sz w:val="24"/>
          <w:szCs w:val="24"/>
        </w:rPr>
      </w:pPr>
      <w:r>
        <w:rPr>
          <w:rFonts w:ascii="Times New Roman" w:hAnsi="Times New Roman"/>
          <w:b/>
          <w:noProof/>
          <w:sz w:val="24"/>
        </w:rPr>
        <w:t>Chaque commissaire organisera au moins deux dialogues sur la mise en œuvre par an</w:t>
      </w:r>
      <w:r>
        <w:rPr>
          <w:rFonts w:ascii="Times New Roman" w:hAnsi="Times New Roman"/>
          <w:noProof/>
          <w:sz w:val="24"/>
        </w:rPr>
        <w:t xml:space="preserve"> avec les parties prenantes. Ces dialogues serviront à évaluer les progrès accomplis et à détecter les domaines nécessitant une attention particulière pour que les politiques de l’UE produisent des résultats. Ils s’adresseront aux principaux groupes concernés par les politiques de l’UE, tels que les entreprises – y compris les PME – les partenaires sociaux, les autorités régionales et locales, et la société civile, le but étant d’avoir une représentation des intérêts et une participation équilibrées. Leurs résultats seront présentés dans des rapports annuels sur les progrès accomplis en matière d’application et de mise en œuvre. Ces derniers permettront de recenser les problèmes de mauvaise mise en œuvre, de surréglementation, de surconformité ou de fragmentation, et de trouver des possibilités de simplification et d’harmonisation. Les dialogues débuteront immédiatement, avec un premier cycle au cours du premier semestre de 2025.</w:t>
      </w:r>
    </w:p>
    <w:p w14:paraId="492F90A6" w14:textId="77777777" w:rsidR="002C4C01" w:rsidRPr="006154EC" w:rsidRDefault="002C4C01" w:rsidP="00447AD9">
      <w:pPr>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both"/>
        <w:rPr>
          <w:rFonts w:ascii="Times New Roman" w:hAnsi="Times New Roman" w:cs="Times New Roman"/>
          <w:b/>
          <w:i/>
          <w:iCs/>
          <w:noProof/>
          <w:sz w:val="24"/>
          <w:szCs w:val="24"/>
        </w:rPr>
      </w:pPr>
      <w:r>
        <w:rPr>
          <w:rFonts w:ascii="Times New Roman" w:hAnsi="Times New Roman"/>
          <w:b/>
          <w:i/>
          <w:noProof/>
          <w:sz w:val="24"/>
        </w:rPr>
        <w:t>d) Des mesures coercitives rapides et fermes</w:t>
      </w:r>
    </w:p>
    <w:p w14:paraId="40CD0F50" w14:textId="77777777" w:rsidR="002C4C01" w:rsidRPr="006154EC" w:rsidRDefault="002C4C01" w:rsidP="00447AD9">
      <w:pPr>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both"/>
        <w:rPr>
          <w:rFonts w:ascii="Times New Roman" w:hAnsi="Times New Roman" w:cs="Times New Roman"/>
          <w:noProof/>
          <w:sz w:val="24"/>
          <w:szCs w:val="24"/>
        </w:rPr>
      </w:pPr>
      <w:r>
        <w:rPr>
          <w:rFonts w:ascii="Times New Roman" w:hAnsi="Times New Roman"/>
          <w:noProof/>
          <w:sz w:val="24"/>
        </w:rPr>
        <w:t xml:space="preserve">Si, malgré le soutien de la Commission décrit ci-dessus, des lacunes persistent dans la mise en œuvre et l’application du droit de l’Union, nous accélérerons les mesures pour atteindre la conformité. Les </w:t>
      </w:r>
      <w:r>
        <w:rPr>
          <w:rFonts w:ascii="Times New Roman" w:hAnsi="Times New Roman"/>
          <w:b/>
          <w:bCs/>
          <w:noProof/>
          <w:sz w:val="24"/>
        </w:rPr>
        <w:t>mécanismes de suivi et de prévention</w:t>
      </w:r>
      <w:r>
        <w:rPr>
          <w:rFonts w:ascii="Times New Roman" w:hAnsi="Times New Roman"/>
          <w:noProof/>
          <w:sz w:val="24"/>
        </w:rPr>
        <w:t xml:space="preserve"> sectoriels</w:t>
      </w:r>
      <w:r w:rsidRPr="006154EC">
        <w:rPr>
          <w:rStyle w:val="EndnoteReference"/>
          <w:rFonts w:ascii="Times New Roman" w:hAnsi="Times New Roman" w:cs="Times New Roman"/>
          <w:noProof/>
          <w:sz w:val="24"/>
          <w:szCs w:val="24"/>
        </w:rPr>
        <w:endnoteReference w:id="12"/>
      </w:r>
      <w:r>
        <w:rPr>
          <w:rFonts w:ascii="Times New Roman" w:hAnsi="Times New Roman"/>
          <w:noProof/>
          <w:sz w:val="24"/>
        </w:rPr>
        <w:t xml:space="preserve"> et les </w:t>
      </w:r>
      <w:r>
        <w:rPr>
          <w:rFonts w:ascii="Times New Roman" w:hAnsi="Times New Roman"/>
          <w:b/>
          <w:bCs/>
          <w:noProof/>
          <w:sz w:val="24"/>
        </w:rPr>
        <w:t>outils de résolution des problèmes</w:t>
      </w:r>
      <w:r w:rsidRPr="006154EC">
        <w:rPr>
          <w:rStyle w:val="EndnoteReference"/>
          <w:rFonts w:ascii="Times New Roman" w:hAnsi="Times New Roman" w:cs="Times New Roman"/>
          <w:noProof/>
          <w:sz w:val="24"/>
          <w:szCs w:val="24"/>
        </w:rPr>
        <w:endnoteReference w:id="13"/>
      </w:r>
      <w:r>
        <w:rPr>
          <w:rFonts w:ascii="Times New Roman" w:hAnsi="Times New Roman"/>
          <w:noProof/>
          <w:sz w:val="24"/>
        </w:rPr>
        <w:t xml:space="preserve"> demeurent utiles pour détecter les problèmes de conformité et traiter des aspects spécifiques. Un </w:t>
      </w:r>
      <w:r>
        <w:rPr>
          <w:rFonts w:ascii="Times New Roman" w:hAnsi="Times New Roman"/>
          <w:b/>
          <w:bCs/>
          <w:noProof/>
          <w:sz w:val="24"/>
        </w:rPr>
        <w:t>dialogue préalable au déclenchement d’une procédure d’infraction</w:t>
      </w:r>
      <w:r w:rsidRPr="006154EC">
        <w:rPr>
          <w:rStyle w:val="EndnoteReference"/>
          <w:rFonts w:ascii="Times New Roman" w:hAnsi="Times New Roman" w:cs="Times New Roman"/>
          <w:noProof/>
          <w:sz w:val="24"/>
          <w:szCs w:val="24"/>
        </w:rPr>
        <w:endnoteReference w:id="14"/>
      </w:r>
      <w:r>
        <w:rPr>
          <w:rFonts w:ascii="Times New Roman" w:hAnsi="Times New Roman"/>
          <w:noProof/>
          <w:sz w:val="24"/>
        </w:rPr>
        <w:t xml:space="preserve"> permet également de trouver des solutions rapides. </w:t>
      </w:r>
    </w:p>
    <w:p w14:paraId="15D15631" w14:textId="77777777" w:rsidR="002C4C01" w:rsidRPr="006154EC" w:rsidRDefault="002C4C01" w:rsidP="00447AD9">
      <w:pPr>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both"/>
        <w:rPr>
          <w:rFonts w:ascii="Times New Roman" w:hAnsi="Times New Roman" w:cs="Times New Roman"/>
          <w:noProof/>
          <w:sz w:val="24"/>
          <w:szCs w:val="24"/>
        </w:rPr>
      </w:pPr>
      <w:r>
        <w:rPr>
          <w:rFonts w:ascii="Times New Roman" w:hAnsi="Times New Roman"/>
          <w:noProof/>
          <w:sz w:val="24"/>
        </w:rPr>
        <w:t xml:space="preserve">Lorsque la coopération ne permet pas la mise en œuvre rapide des règles convenues, une </w:t>
      </w:r>
      <w:r>
        <w:rPr>
          <w:rFonts w:ascii="Times New Roman" w:hAnsi="Times New Roman"/>
          <w:b/>
          <w:noProof/>
          <w:sz w:val="24"/>
        </w:rPr>
        <w:t>procédure d’infraction est nécessaire</w:t>
      </w:r>
      <w:r>
        <w:rPr>
          <w:rFonts w:ascii="Times New Roman" w:hAnsi="Times New Roman"/>
          <w:noProof/>
          <w:sz w:val="24"/>
        </w:rPr>
        <w:t>, assortie d’une communication claire des motifs de l’action. En sa qualité de gardienne des traités, la Commission prendra des mesures coercitives fermes pour garantir l’application des règles et pour éviter la fragmentation du marché unique et toute surréglementation illégale</w:t>
      </w:r>
      <w:r>
        <w:rPr>
          <w:rStyle w:val="EndnoteReference"/>
          <w:rFonts w:ascii="Times New Roman" w:hAnsi="Times New Roman" w:cs="Times New Roman"/>
          <w:noProof/>
          <w:kern w:val="0"/>
          <w:sz w:val="24"/>
          <w:szCs w:val="24"/>
        </w:rPr>
        <w:endnoteReference w:id="15"/>
      </w:r>
      <w:r>
        <w:rPr>
          <w:rFonts w:ascii="Times New Roman" w:hAnsi="Times New Roman"/>
          <w:noProof/>
          <w:sz w:val="24"/>
        </w:rPr>
        <w:t>. Elle continuera également d’appliquer son approche stratégique</w:t>
      </w:r>
      <w:r>
        <w:rPr>
          <w:rStyle w:val="EndnoteReference"/>
          <w:rFonts w:ascii="Times New Roman" w:hAnsi="Times New Roman" w:cs="Times New Roman"/>
          <w:noProof/>
          <w:sz w:val="24"/>
          <w:szCs w:val="24"/>
        </w:rPr>
        <w:endnoteReference w:id="16"/>
      </w:r>
      <w:r>
        <w:rPr>
          <w:rFonts w:ascii="Times New Roman" w:hAnsi="Times New Roman"/>
          <w:noProof/>
          <w:sz w:val="24"/>
        </w:rPr>
        <w:t xml:space="preserve">, en donnant la priorité aux infractions qui ont le plus de conséquences sur les intérêts publics et commerciaux. </w:t>
      </w:r>
    </w:p>
    <w:p w14:paraId="1AE45F62" w14:textId="77777777" w:rsidR="002C4C01" w:rsidRDefault="002C4C01" w:rsidP="00447AD9">
      <w:pPr>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both"/>
        <w:rPr>
          <w:rFonts w:ascii="Times New Roman" w:hAnsi="Times New Roman" w:cs="Times New Roman"/>
          <w:noProof/>
          <w:sz w:val="24"/>
          <w:szCs w:val="24"/>
        </w:rPr>
      </w:pPr>
      <w:r>
        <w:rPr>
          <w:rFonts w:ascii="Times New Roman" w:hAnsi="Times New Roman"/>
          <w:noProof/>
          <w:sz w:val="24"/>
        </w:rPr>
        <w:t>Le nombre de procédures d’infraction ouvertes demeure élevé (environ 1 500 affaires</w:t>
      </w:r>
      <w:r>
        <w:rPr>
          <w:rStyle w:val="EndnoteReference"/>
          <w:rFonts w:ascii="Times New Roman" w:hAnsi="Times New Roman" w:cs="Times New Roman"/>
          <w:noProof/>
          <w:sz w:val="24"/>
          <w:szCs w:val="24"/>
        </w:rPr>
        <w:endnoteReference w:id="17"/>
      </w:r>
      <w:r>
        <w:rPr>
          <w:rFonts w:ascii="Times New Roman" w:hAnsi="Times New Roman"/>
          <w:noProof/>
          <w:sz w:val="24"/>
        </w:rPr>
        <w:t xml:space="preserve"> début 2025), dont certaines ont été engagées de longue date. La Commission poursuivra ses travaux en vue de </w:t>
      </w:r>
      <w:r>
        <w:rPr>
          <w:rFonts w:ascii="Times New Roman" w:hAnsi="Times New Roman"/>
          <w:b/>
          <w:noProof/>
          <w:sz w:val="24"/>
        </w:rPr>
        <w:t>clôturer les procédures d’infraction avec succès</w:t>
      </w:r>
      <w:r>
        <w:rPr>
          <w:rFonts w:ascii="Times New Roman" w:hAnsi="Times New Roman"/>
          <w:noProof/>
          <w:sz w:val="24"/>
        </w:rPr>
        <w:t xml:space="preserve">, afin que le droit de l’Union produise les avantages attendus. S’il n’est pas mis fin aux violations du droit de l’Union aux premiers stades de la procédure d’infraction, la Commission n’hésitera pas à </w:t>
      </w:r>
      <w:r>
        <w:rPr>
          <w:rFonts w:ascii="Times New Roman" w:hAnsi="Times New Roman"/>
          <w:b/>
          <w:bCs/>
          <w:noProof/>
          <w:sz w:val="24"/>
        </w:rPr>
        <w:t>saisir la Cour de justice de l’Union européenne et à demander des sanctions financières</w:t>
      </w:r>
      <w:r>
        <w:rPr>
          <w:rFonts w:ascii="Times New Roman" w:hAnsi="Times New Roman"/>
          <w:noProof/>
          <w:sz w:val="24"/>
        </w:rPr>
        <w:t xml:space="preserve"> lorsque cela sera juridiquement possible</w:t>
      </w:r>
      <w:r w:rsidRPr="006154EC">
        <w:rPr>
          <w:rStyle w:val="EndnoteReference"/>
          <w:rFonts w:ascii="Times New Roman" w:hAnsi="Times New Roman" w:cs="Times New Roman"/>
          <w:noProof/>
          <w:sz w:val="24"/>
          <w:szCs w:val="24"/>
        </w:rPr>
        <w:endnoteReference w:id="18"/>
      </w:r>
      <w:r>
        <w:rPr>
          <w:rFonts w:ascii="Times New Roman" w:hAnsi="Times New Roman"/>
          <w:noProof/>
          <w:sz w:val="24"/>
        </w:rPr>
        <w:t xml:space="preserve">. </w:t>
      </w:r>
    </w:p>
    <w:p w14:paraId="462BF450" w14:textId="77777777" w:rsidR="002C4C01" w:rsidRPr="006154EC" w:rsidRDefault="002C4C01" w:rsidP="00447AD9">
      <w:pPr>
        <w:pStyle w:val="ListParagraph"/>
        <w:numPr>
          <w:ilvl w:val="0"/>
          <w:numId w:val="5"/>
        </w:numPr>
        <w:spacing w:before="360" w:after="240" w:line="240" w:lineRule="auto"/>
        <w:ind w:left="1077"/>
        <w:contextualSpacing w:val="0"/>
        <w:jc w:val="both"/>
        <w:rPr>
          <w:rFonts w:ascii="Times New Roman" w:hAnsi="Times New Roman" w:cs="Times New Roman"/>
          <w:b/>
          <w:bCs/>
          <w:noProof/>
          <w:sz w:val="24"/>
          <w:szCs w:val="24"/>
        </w:rPr>
      </w:pPr>
      <w:r>
        <w:rPr>
          <w:rFonts w:ascii="Times New Roman" w:hAnsi="Times New Roman"/>
          <w:b/>
          <w:smallCaps/>
          <w:noProof/>
          <w:sz w:val="28"/>
        </w:rPr>
        <w:t>Une Europe plus simple et plus rapide</w:t>
      </w:r>
    </w:p>
    <w:p w14:paraId="1F48865E" w14:textId="77777777" w:rsidR="002C4C01" w:rsidRPr="00BD0030" w:rsidRDefault="002C4C01" w:rsidP="00447AD9">
      <w:pPr>
        <w:spacing w:after="240" w:line="240" w:lineRule="auto"/>
        <w:jc w:val="both"/>
        <w:rPr>
          <w:rFonts w:ascii="Times New Roman" w:hAnsi="Times New Roman" w:cs="Times New Roman"/>
          <w:noProof/>
          <w:sz w:val="24"/>
          <w:szCs w:val="24"/>
        </w:rPr>
      </w:pPr>
      <w:r>
        <w:rPr>
          <w:rFonts w:ascii="Times New Roman" w:hAnsi="Times New Roman"/>
          <w:noProof/>
          <w:sz w:val="24"/>
        </w:rPr>
        <w:t>Les transitions écologique et numérique transforment les économies et les sociétés du monde entier, ce qui crée une concurrence féroce pour les ressources et l’innovation. Pour réussir dans ce nouvel environnement, il faut adopter une approche audacieuse pour stimuler notre compétitivité, notamment en simplifiant notre cadre réglementaire, sans compromettre nos objectifs stratégiques et nos normes élevées. Cette nouvelle approche visera à réduire toutes les sources de charges réglementaires – obligations de déclaration, coûts administratifs récurrents, ainsi que, plus généralement, coûts de mise en conformité – chaque fois qu’il est possible de trouver des solutions adéquates pour atteindre l’objectif réglementaire initial par des moyens plus simples et plus efficaces.</w:t>
      </w:r>
    </w:p>
    <w:p w14:paraId="3C578DCE" w14:textId="77777777" w:rsidR="002C4C01" w:rsidRPr="00BD0030" w:rsidRDefault="002C4C01" w:rsidP="00447AD9">
      <w:pPr>
        <w:spacing w:after="240" w:line="240" w:lineRule="auto"/>
        <w:jc w:val="both"/>
        <w:rPr>
          <w:rFonts w:ascii="Times New Roman" w:hAnsi="Times New Roman" w:cs="Times New Roman"/>
          <w:noProof/>
          <w:sz w:val="24"/>
          <w:szCs w:val="24"/>
        </w:rPr>
      </w:pPr>
      <w:r>
        <w:rPr>
          <w:rFonts w:ascii="Times New Roman" w:hAnsi="Times New Roman"/>
          <w:noProof/>
          <w:sz w:val="24"/>
        </w:rPr>
        <w:t>Ces dernières années, la Commission a pris des mesures pour réduire la charge administrative. En mars 2023, elle a ainsi annoncé l’objectif de réduire de 25 % la charge de déclaration pour les entreprises et les administrations, sans compromettre les objectifs stratégiques</w:t>
      </w:r>
      <w:r w:rsidRPr="00BD0030">
        <w:rPr>
          <w:rStyle w:val="EndnoteReference"/>
          <w:rFonts w:ascii="Times New Roman" w:hAnsi="Times New Roman" w:cs="Times New Roman"/>
          <w:noProof/>
          <w:sz w:val="24"/>
          <w:szCs w:val="24"/>
        </w:rPr>
        <w:endnoteReference w:id="19"/>
      </w:r>
      <w:r>
        <w:rPr>
          <w:rFonts w:ascii="Times New Roman" w:hAnsi="Times New Roman"/>
          <w:noProof/>
          <w:sz w:val="24"/>
        </w:rPr>
        <w:t>. Avec son programme de travail 2024</w:t>
      </w:r>
      <w:r w:rsidRPr="00BD0030">
        <w:rPr>
          <w:rStyle w:val="EndnoteReference"/>
          <w:rFonts w:ascii="Times New Roman" w:hAnsi="Times New Roman" w:cs="Times New Roman"/>
          <w:noProof/>
          <w:sz w:val="24"/>
          <w:szCs w:val="24"/>
        </w:rPr>
        <w:endnoteReference w:id="20"/>
      </w:r>
      <w:r>
        <w:rPr>
          <w:rFonts w:ascii="Times New Roman" w:hAnsi="Times New Roman"/>
          <w:noProof/>
          <w:sz w:val="24"/>
        </w:rPr>
        <w:t>, elle a présenté une première série de 41 mesures visant à atteindre cet objectif. Parmi les mesures notables figurent la réforme douanière de l’UE, qui, à elle seule, devrait permettre d’économiser 2,7 milliards d’euros, des adaptations des seuils de la directive comptable, dont bénéficieront plus d’un million d’entreprises, et un formulaire commun électronique pour les déclarations des travailleurs détachés</w:t>
      </w:r>
      <w:r w:rsidRPr="00BD0030">
        <w:rPr>
          <w:rStyle w:val="EndnoteReference"/>
          <w:rFonts w:ascii="Times New Roman" w:hAnsi="Times New Roman" w:cs="Times New Roman"/>
          <w:noProof/>
          <w:sz w:val="24"/>
          <w:szCs w:val="24"/>
        </w:rPr>
        <w:endnoteReference w:id="21"/>
      </w:r>
      <w:r>
        <w:rPr>
          <w:rFonts w:ascii="Times New Roman" w:hAnsi="Times New Roman"/>
          <w:noProof/>
          <w:sz w:val="24"/>
        </w:rPr>
        <w:t xml:space="preserve">. </w:t>
      </w:r>
    </w:p>
    <w:p w14:paraId="05E7E085" w14:textId="77777777" w:rsidR="002C4C01" w:rsidRDefault="002C4C01" w:rsidP="00447AD9">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En 2025, la Commission a procédé à une simplification, en réduisant la charge de déclaration, en allégeant les formalités administratives, en simplifiant le processus d’obtention des permis ainsi que les principales priorités législatives pour les cinq prochaines années. Chaque commissaire poursuivra ces objectifs dans ses domaines de compétence, sous la coordination du commissaire à la mise en œuvre et à la simplification. </w:t>
      </w:r>
    </w:p>
    <w:p w14:paraId="2B9D0923" w14:textId="77777777" w:rsidR="002C4C01" w:rsidRPr="00BD0030" w:rsidRDefault="002C4C01" w:rsidP="00447AD9">
      <w:pPr>
        <w:spacing w:after="240" w:line="240" w:lineRule="auto"/>
        <w:jc w:val="both"/>
        <w:rPr>
          <w:rFonts w:ascii="Times New Roman" w:hAnsi="Times New Roman" w:cs="Times New Roman"/>
          <w:noProof/>
          <w:sz w:val="24"/>
          <w:szCs w:val="24"/>
        </w:rPr>
      </w:pPr>
      <w:r>
        <w:rPr>
          <w:rFonts w:ascii="Times New Roman" w:hAnsi="Times New Roman"/>
          <w:noProof/>
          <w:sz w:val="24"/>
        </w:rPr>
        <w:t>Ces modifications viennent compléter le principe «un ajout, un retrait» destiné à compenser les coûts de nouveaux actes législatifs en réduisant les charges</w:t>
      </w:r>
      <w:r>
        <w:rPr>
          <w:rStyle w:val="EndnoteReference"/>
          <w:rFonts w:ascii="Times New Roman" w:hAnsi="Times New Roman"/>
          <w:noProof/>
          <w:sz w:val="24"/>
        </w:rPr>
        <w:endnoteReference w:id="22"/>
      </w:r>
      <w:r>
        <w:rPr>
          <w:rFonts w:ascii="Times New Roman" w:hAnsi="Times New Roman"/>
          <w:noProof/>
          <w:sz w:val="24"/>
        </w:rPr>
        <w:t>, normalement dans les mêmes domaines d’action</w:t>
      </w:r>
      <w:r>
        <w:rPr>
          <w:rStyle w:val="EndnoteReference"/>
          <w:rFonts w:ascii="Times New Roman" w:hAnsi="Times New Roman"/>
          <w:noProof/>
          <w:sz w:val="24"/>
        </w:rPr>
        <w:endnoteReference w:id="23"/>
      </w:r>
      <w:r>
        <w:rPr>
          <w:rFonts w:ascii="Times New Roman" w:hAnsi="Times New Roman"/>
          <w:noProof/>
          <w:sz w:val="24"/>
        </w:rPr>
        <w:t>. Ce principe est pleinement appliqué depuis 2022 et a donné lieu à des propositions de la Commission qui permettraient de réaliser d’importantes économies nettes si elles étaient pleinement adoptées par les colégislateurs</w:t>
      </w:r>
      <w:r>
        <w:rPr>
          <w:rStyle w:val="EndnoteReference"/>
          <w:rFonts w:ascii="Times New Roman" w:hAnsi="Times New Roman"/>
          <w:noProof/>
          <w:sz w:val="24"/>
        </w:rPr>
        <w:endnoteReference w:id="24"/>
      </w:r>
      <w:r>
        <w:rPr>
          <w:rFonts w:ascii="Times New Roman" w:hAnsi="Times New Roman"/>
          <w:noProof/>
          <w:sz w:val="24"/>
        </w:rPr>
        <w:t xml:space="preserve">. </w:t>
      </w:r>
    </w:p>
    <w:p w14:paraId="42744DBF" w14:textId="77777777" w:rsidR="002C4C01" w:rsidRPr="002C25BF" w:rsidRDefault="002C4C01" w:rsidP="00447AD9">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Un effort de simplification, reposant sur des examens approfondis et des modifications ciblées de nos règles, facilitera la vie des citoyens et des entreprises, dont nos 33 millions de PME et des milliers de petites entreprises à moyenne capitalisation. Nous collaborerons avec eux pour optimiser l’utilisation de nos </w:t>
      </w:r>
      <w:r>
        <w:rPr>
          <w:rFonts w:ascii="Times New Roman" w:hAnsi="Times New Roman"/>
          <w:b/>
          <w:bCs/>
          <w:noProof/>
          <w:sz w:val="24"/>
        </w:rPr>
        <w:t>outils de retour d’information en ligne</w:t>
      </w:r>
      <w:r w:rsidRPr="002C25BF">
        <w:rPr>
          <w:rFonts w:ascii="Times New Roman" w:hAnsi="Times New Roman" w:cs="Times New Roman"/>
          <w:noProof/>
          <w:sz w:val="24"/>
          <w:szCs w:val="24"/>
          <w:vertAlign w:val="superscript"/>
        </w:rPr>
        <w:endnoteReference w:id="25"/>
      </w:r>
      <w:r>
        <w:rPr>
          <w:rFonts w:ascii="Times New Roman" w:hAnsi="Times New Roman"/>
          <w:noProof/>
          <w:sz w:val="24"/>
        </w:rPr>
        <w:t>, afin d’en savoir plus sur les problèmes de mise en œuvre et les possibilités de simplification.</w:t>
      </w:r>
    </w:p>
    <w:p w14:paraId="02D75D8D" w14:textId="77777777" w:rsidR="002C4C01" w:rsidRPr="006154EC" w:rsidRDefault="002C4C01" w:rsidP="00447AD9">
      <w:pPr>
        <w:spacing w:after="240" w:line="240" w:lineRule="auto"/>
        <w:jc w:val="both"/>
        <w:rPr>
          <w:rFonts w:ascii="Times New Roman" w:hAnsi="Times New Roman" w:cs="Times New Roman"/>
          <w:noProof/>
          <w:sz w:val="24"/>
          <w:szCs w:val="24"/>
        </w:rPr>
      </w:pPr>
      <w:r>
        <w:rPr>
          <w:rFonts w:ascii="Times New Roman" w:hAnsi="Times New Roman"/>
          <w:noProof/>
          <w:sz w:val="24"/>
        </w:rPr>
        <w:t>La Commission s’appuiera sur les travaux de la plateforme «Prêts pour l’avenir» (Fit for Future), un groupe d’experts de haut niveau qui, ces dernières années, a considérablement contribué aux efforts de simplification</w:t>
      </w:r>
      <w:r>
        <w:rPr>
          <w:rStyle w:val="EndnoteReference"/>
          <w:rFonts w:ascii="Times New Roman" w:hAnsi="Times New Roman" w:cs="Times New Roman"/>
          <w:noProof/>
          <w:sz w:val="24"/>
          <w:szCs w:val="24"/>
        </w:rPr>
        <w:endnoteReference w:id="26"/>
      </w:r>
      <w:r>
        <w:rPr>
          <w:rFonts w:ascii="Times New Roman" w:hAnsi="Times New Roman"/>
          <w:noProof/>
          <w:sz w:val="24"/>
        </w:rPr>
        <w:t>. Les membres de la plateforme ont apporté l’expertise d’administrations nationales, d’entreprises, de partenaires sociaux et de la société civile, du Comité des régions et du Comité économique et social européen. Le réseau de pôles régionaux pour l’évaluation de la mise en œuvre de la politique de l’UE (RegHub) a également apporté son éclairage sur les problèmes de mise en œuvre aux niveaux régional et local.</w:t>
      </w:r>
    </w:p>
    <w:p w14:paraId="1B2C9070" w14:textId="77777777" w:rsidR="002C4C01" w:rsidRPr="006154EC" w:rsidRDefault="002C4C01" w:rsidP="00447AD9">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Pour convertir cette nouvelle dynamique en actions concrètes, la Commission recourra aux </w:t>
      </w:r>
      <w:r>
        <w:rPr>
          <w:rFonts w:ascii="Times New Roman" w:hAnsi="Times New Roman"/>
          <w:b/>
          <w:bCs/>
          <w:noProof/>
          <w:sz w:val="24"/>
        </w:rPr>
        <w:t>outils et actions</w:t>
      </w:r>
      <w:r>
        <w:rPr>
          <w:rFonts w:ascii="Times New Roman" w:hAnsi="Times New Roman"/>
          <w:noProof/>
          <w:sz w:val="24"/>
        </w:rPr>
        <w:t xml:space="preserve"> suivants:</w:t>
      </w:r>
    </w:p>
    <w:p w14:paraId="17ADE498" w14:textId="77777777" w:rsidR="002C4C01" w:rsidRPr="00BD0030" w:rsidRDefault="002C4C01" w:rsidP="00447AD9">
      <w:pPr>
        <w:pStyle w:val="ListParagraph"/>
        <w:numPr>
          <w:ilvl w:val="0"/>
          <w:numId w:val="26"/>
        </w:numPr>
        <w:spacing w:after="240" w:line="240" w:lineRule="auto"/>
        <w:jc w:val="both"/>
        <w:rPr>
          <w:rFonts w:ascii="Times New Roman" w:hAnsi="Times New Roman" w:cs="Times New Roman"/>
          <w:noProof/>
          <w:sz w:val="24"/>
          <w:szCs w:val="24"/>
        </w:rPr>
      </w:pPr>
      <w:r>
        <w:rPr>
          <w:rFonts w:ascii="Times New Roman" w:hAnsi="Times New Roman"/>
          <w:noProof/>
          <w:sz w:val="24"/>
        </w:rPr>
        <w:t>de nouveaux objectifs pour réduire la charge administrative;</w:t>
      </w:r>
    </w:p>
    <w:p w14:paraId="052765C7" w14:textId="77777777" w:rsidR="002C4C01" w:rsidRPr="00BD0030" w:rsidRDefault="002C4C01" w:rsidP="00447AD9">
      <w:pPr>
        <w:pStyle w:val="ListParagraph"/>
        <w:numPr>
          <w:ilvl w:val="0"/>
          <w:numId w:val="26"/>
        </w:numPr>
        <w:spacing w:after="240" w:line="240" w:lineRule="auto"/>
        <w:jc w:val="both"/>
        <w:rPr>
          <w:rFonts w:ascii="Times New Roman" w:hAnsi="Times New Roman" w:cs="Times New Roman"/>
          <w:noProof/>
          <w:sz w:val="24"/>
          <w:szCs w:val="24"/>
        </w:rPr>
      </w:pPr>
      <w:r>
        <w:rPr>
          <w:rFonts w:ascii="Times New Roman" w:hAnsi="Times New Roman"/>
          <w:noProof/>
          <w:sz w:val="24"/>
        </w:rPr>
        <w:t>donner la priorité aux nouvelles mesures de simplification;</w:t>
      </w:r>
    </w:p>
    <w:p w14:paraId="53782C81" w14:textId="77777777" w:rsidR="002C4C01" w:rsidRPr="00BD0030" w:rsidRDefault="002C4C01" w:rsidP="00447AD9">
      <w:pPr>
        <w:pStyle w:val="ListParagraph"/>
        <w:numPr>
          <w:ilvl w:val="0"/>
          <w:numId w:val="26"/>
        </w:numPr>
        <w:spacing w:after="240" w:line="240" w:lineRule="auto"/>
        <w:jc w:val="both"/>
        <w:rPr>
          <w:rFonts w:ascii="Times New Roman" w:hAnsi="Times New Roman" w:cs="Times New Roman"/>
          <w:noProof/>
          <w:sz w:val="24"/>
          <w:szCs w:val="24"/>
        </w:rPr>
      </w:pPr>
      <w:r>
        <w:rPr>
          <w:rFonts w:ascii="Times New Roman" w:hAnsi="Times New Roman"/>
          <w:noProof/>
          <w:sz w:val="24"/>
        </w:rPr>
        <w:t>soumettre progressivement le corpus législatif de l’UE à un test de résistance;</w:t>
      </w:r>
    </w:p>
    <w:p w14:paraId="445026F5" w14:textId="77777777" w:rsidR="002C4C01" w:rsidRPr="00BD0030" w:rsidRDefault="002C4C01" w:rsidP="00447AD9">
      <w:pPr>
        <w:pStyle w:val="ListParagraph"/>
        <w:numPr>
          <w:ilvl w:val="0"/>
          <w:numId w:val="26"/>
        </w:numPr>
        <w:rPr>
          <w:rFonts w:ascii="Times New Roman" w:hAnsi="Times New Roman" w:cs="Times New Roman"/>
          <w:noProof/>
          <w:sz w:val="24"/>
          <w:szCs w:val="24"/>
        </w:rPr>
      </w:pPr>
      <w:r>
        <w:rPr>
          <w:rFonts w:ascii="Times New Roman" w:hAnsi="Times New Roman"/>
          <w:noProof/>
          <w:sz w:val="24"/>
        </w:rPr>
        <w:t>un budget de l’UE plus simple, plus ciblé et plus efficace;</w:t>
      </w:r>
    </w:p>
    <w:p w14:paraId="51F35387" w14:textId="77777777" w:rsidR="002C4C01" w:rsidRPr="00BD0030" w:rsidRDefault="002C4C01" w:rsidP="00447AD9">
      <w:pPr>
        <w:pStyle w:val="ListParagraph"/>
        <w:numPr>
          <w:ilvl w:val="0"/>
          <w:numId w:val="26"/>
        </w:numPr>
        <w:spacing w:after="240" w:line="240" w:lineRule="auto"/>
        <w:jc w:val="both"/>
        <w:rPr>
          <w:rFonts w:ascii="Times New Roman" w:hAnsi="Times New Roman" w:cs="Times New Roman"/>
          <w:noProof/>
          <w:sz w:val="24"/>
          <w:szCs w:val="24"/>
        </w:rPr>
      </w:pPr>
      <w:r>
        <w:rPr>
          <w:rFonts w:ascii="Times New Roman" w:hAnsi="Times New Roman"/>
          <w:noProof/>
          <w:sz w:val="24"/>
        </w:rPr>
        <w:t>acquérir une expérience pratique en réalisant des vérifications sur le terrain.</w:t>
      </w:r>
    </w:p>
    <w:p w14:paraId="7ED849AA" w14:textId="77777777" w:rsidR="002C4C01" w:rsidRPr="00BD0030" w:rsidRDefault="002C4C01" w:rsidP="00447AD9">
      <w:pPr>
        <w:pStyle w:val="ListParagraph"/>
        <w:spacing w:after="240" w:line="240" w:lineRule="auto"/>
        <w:jc w:val="both"/>
        <w:rPr>
          <w:rFonts w:ascii="Times New Roman" w:hAnsi="Times New Roman" w:cs="Times New Roman"/>
          <w:noProof/>
          <w:sz w:val="24"/>
          <w:szCs w:val="24"/>
        </w:rPr>
      </w:pPr>
    </w:p>
    <w:p w14:paraId="4A8F06FA" w14:textId="77777777" w:rsidR="002C4C01" w:rsidRPr="00BD0030" w:rsidRDefault="002C4C01" w:rsidP="002C4C01">
      <w:pPr>
        <w:pStyle w:val="ListParagraph"/>
        <w:numPr>
          <w:ilvl w:val="0"/>
          <w:numId w:val="27"/>
        </w:numPr>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ind w:left="360"/>
        <w:jc w:val="both"/>
        <w:rPr>
          <w:rFonts w:ascii="Times New Roman" w:hAnsi="Times New Roman" w:cs="Times New Roman"/>
          <w:noProof/>
          <w:sz w:val="24"/>
          <w:szCs w:val="24"/>
        </w:rPr>
      </w:pPr>
      <w:r>
        <w:rPr>
          <w:rFonts w:ascii="Times New Roman" w:hAnsi="Times New Roman"/>
          <w:b/>
          <w:i/>
          <w:noProof/>
          <w:sz w:val="24"/>
        </w:rPr>
        <w:t>De nouveaux objectifs pour réduire la charge administrative</w:t>
      </w:r>
    </w:p>
    <w:p w14:paraId="6C0B8759" w14:textId="77777777" w:rsidR="002C4C01" w:rsidRPr="00F57A6B" w:rsidRDefault="002C4C01" w:rsidP="00447AD9">
      <w:pPr>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both"/>
        <w:rPr>
          <w:rFonts w:ascii="Times New Roman" w:hAnsi="Times New Roman"/>
          <w:noProof/>
          <w:sz w:val="24"/>
        </w:rPr>
      </w:pPr>
      <w:r>
        <w:rPr>
          <w:rFonts w:ascii="Times New Roman" w:hAnsi="Times New Roman"/>
          <w:noProof/>
          <w:sz w:val="24"/>
        </w:rPr>
        <w:t xml:space="preserve">Pour que les efforts soient soutenus et mesurables pendant les années à venir, la Commission avait fixé des objectifs de réduction de la charge de déclaration d’au moins </w:t>
      </w:r>
      <w:r>
        <w:rPr>
          <w:rFonts w:ascii="Times New Roman" w:hAnsi="Times New Roman"/>
          <w:b/>
          <w:bCs/>
          <w:noProof/>
          <w:sz w:val="24"/>
        </w:rPr>
        <w:t>25 % pour toutes les entreprises et de 35 % pour les PME</w:t>
      </w:r>
      <w:r>
        <w:rPr>
          <w:rFonts w:ascii="Times New Roman" w:hAnsi="Times New Roman"/>
          <w:noProof/>
          <w:sz w:val="24"/>
        </w:rPr>
        <w:t xml:space="preserve">, sans compromettre les objectifs stratégiques. Les coûts de déclaration ne constituent toutefois qu’un sous-ensemble des coûts administratifs et, compte tenu des retours d’information reçus, nous estimons nécessaire de suivre une approche plus globale. La Commission </w:t>
      </w:r>
      <w:r>
        <w:rPr>
          <w:rFonts w:ascii="Times New Roman" w:hAnsi="Times New Roman"/>
          <w:b/>
          <w:bCs/>
          <w:noProof/>
          <w:sz w:val="24"/>
        </w:rPr>
        <w:t>appliquera donc ses objectifs de réduction de la charge à une valeur de référence fixée pour tous les coûts administratifs</w:t>
      </w:r>
      <w:r>
        <w:rPr>
          <w:rFonts w:ascii="Times New Roman" w:hAnsi="Times New Roman"/>
          <w:noProof/>
          <w:sz w:val="24"/>
        </w:rPr>
        <w:t>.</w:t>
      </w:r>
    </w:p>
    <w:p w14:paraId="11545C11" w14:textId="77777777" w:rsidR="002C4C01" w:rsidRPr="00893173" w:rsidRDefault="002C4C01" w:rsidP="00447AD9">
      <w:pPr>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both"/>
        <w:rPr>
          <w:rFonts w:ascii="Times New Roman" w:hAnsi="Times New Roman" w:cs="Times New Roman"/>
          <w:noProof/>
          <w:sz w:val="24"/>
          <w:szCs w:val="24"/>
        </w:rPr>
      </w:pPr>
      <w:r>
        <w:rPr>
          <w:rFonts w:ascii="Times New Roman" w:hAnsi="Times New Roman"/>
          <w:noProof/>
          <w:sz w:val="24"/>
        </w:rPr>
        <w:t>À partir des données disponibles au niveau de l’UE et au niveau national, Eurostat a estimé les coûts administratifs récurrents globaux à 150 milliards d’euros dans l’UE en 2022</w:t>
      </w:r>
      <w:r w:rsidRPr="00BD0030">
        <w:rPr>
          <w:rStyle w:val="EndnoteReference"/>
          <w:rFonts w:ascii="Times New Roman" w:hAnsi="Times New Roman"/>
          <w:noProof/>
          <w:sz w:val="24"/>
          <w:szCs w:val="24"/>
        </w:rPr>
        <w:endnoteReference w:id="27"/>
      </w:r>
      <w:r>
        <w:rPr>
          <w:rFonts w:ascii="Times New Roman" w:hAnsi="Times New Roman"/>
          <w:noProof/>
          <w:sz w:val="24"/>
        </w:rPr>
        <w:t xml:space="preserve">. Une réduction de 25 % de cette valeur de référence imposera de </w:t>
      </w:r>
      <w:r>
        <w:rPr>
          <w:rFonts w:ascii="Times New Roman" w:hAnsi="Times New Roman"/>
          <w:b/>
          <w:bCs/>
          <w:noProof/>
          <w:sz w:val="24"/>
        </w:rPr>
        <w:t>réduire les coûts administratifs récurrents de 37,5 milliards d’euros</w:t>
      </w:r>
      <w:r>
        <w:rPr>
          <w:rFonts w:ascii="Times New Roman" w:hAnsi="Times New Roman"/>
          <w:noProof/>
          <w:sz w:val="24"/>
        </w:rPr>
        <w:t xml:space="preserve"> d’ici la fin du mandat. Des mesures spécifiques pour les PME viseront à atteindre l’objectif de 35 %. Nous ferons le point sur notre avancement vers cet objectif dans des rapports annuels sur les progrès accomplis en matière d’application et de mise en œuvre, qui comprendront également des orientations pour les futures initiatives de simplification.</w:t>
      </w:r>
    </w:p>
    <w:p w14:paraId="6C5CC008" w14:textId="77777777" w:rsidR="002C4C01" w:rsidRDefault="002C4C01" w:rsidP="00447AD9">
      <w:pPr>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both"/>
        <w:rPr>
          <w:rFonts w:ascii="Times New Roman" w:hAnsi="Times New Roman" w:cs="Times New Roman"/>
          <w:noProof/>
          <w:sz w:val="24"/>
          <w:szCs w:val="24"/>
        </w:rPr>
      </w:pPr>
      <w:r>
        <w:rPr>
          <w:rFonts w:ascii="Times New Roman" w:hAnsi="Times New Roman"/>
          <w:noProof/>
          <w:sz w:val="24"/>
        </w:rPr>
        <w:t>Depuis l’annonce, en mars 2023, de l’objectif consistant à réduire la charge de 25 %, la Commission a proposé des mesures qui, selon les estimations, permettront d’économiser environ 5 milliards d’euros</w:t>
      </w:r>
      <w:r w:rsidRPr="006154EC">
        <w:rPr>
          <w:rStyle w:val="EndnoteReference"/>
          <w:rFonts w:ascii="Times New Roman" w:hAnsi="Times New Roman" w:cs="Times New Roman"/>
          <w:noProof/>
          <w:sz w:val="24"/>
          <w:szCs w:val="24"/>
        </w:rPr>
        <w:endnoteReference w:id="28"/>
      </w:r>
      <w:r>
        <w:rPr>
          <w:rFonts w:ascii="Times New Roman" w:hAnsi="Times New Roman"/>
          <w:noProof/>
          <w:sz w:val="24"/>
        </w:rPr>
        <w:t xml:space="preserve">. Il </w:t>
      </w:r>
      <w:r>
        <w:rPr>
          <w:rFonts w:ascii="Times New Roman" w:hAnsi="Times New Roman"/>
          <w:b/>
          <w:bCs/>
          <w:noProof/>
          <w:sz w:val="24"/>
        </w:rPr>
        <w:t>incombe au Parlement européen et au Conseil</w:t>
      </w:r>
      <w:r>
        <w:rPr>
          <w:rFonts w:ascii="Times New Roman" w:hAnsi="Times New Roman"/>
          <w:noProof/>
          <w:sz w:val="24"/>
        </w:rPr>
        <w:t xml:space="preserve"> de maintenir ou, dans la mesure du possible, d’accroître, au cours des négociations législatives, le potentiel de réduction de la charge indiqué dans les propositions de la Commission, et il incombe aux États membres d’éviter la surréglementation dans la transposition ou l’application du droit de l’Union au niveau national.</w:t>
      </w:r>
    </w:p>
    <w:p w14:paraId="3D3FD42A" w14:textId="77777777" w:rsidR="002C4C01" w:rsidRPr="006154EC" w:rsidRDefault="002C4C01" w:rsidP="002C4C01">
      <w:pPr>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both"/>
        <w:rPr>
          <w:rFonts w:ascii="Times New Roman" w:hAnsi="Times New Roman" w:cs="Times New Roman"/>
          <w:noProof/>
          <w:sz w:val="24"/>
          <w:szCs w:val="24"/>
        </w:rPr>
      </w:pPr>
      <w:r>
        <w:rPr>
          <w:rFonts w:ascii="Times New Roman" w:hAnsi="Times New Roman"/>
          <w:noProof/>
          <w:sz w:val="24"/>
        </w:rPr>
        <w:t>Parallèlement aux efforts qui seront déployés en vue d’atteindre ces objectifs quantifiés relatifs à la réduction des coûts de déclaration et d’autres coûts administratifs récurrents, la Commission continuera de procéder à des réductions significatives d’autres coûts de mise en conformité réglementaire, chaque fois qu’un moyen plus rentable d’atteindre l’objectif pourra être trouvé.</w:t>
      </w:r>
    </w:p>
    <w:tbl>
      <w:tblPr>
        <w:tblStyle w:val="TableGrid"/>
        <w:tblW w:w="0" w:type="auto"/>
        <w:shd w:val="clear" w:color="auto" w:fill="D9E2F3" w:themeFill="accent1" w:themeFillTint="33"/>
        <w:tblLook w:val="04A0" w:firstRow="1" w:lastRow="0" w:firstColumn="1" w:lastColumn="0" w:noHBand="0" w:noVBand="1"/>
      </w:tblPr>
      <w:tblGrid>
        <w:gridCol w:w="9242"/>
      </w:tblGrid>
      <w:tr w:rsidR="00E7306A" w14:paraId="3883E5D3" w14:textId="77777777" w:rsidTr="001F5A75">
        <w:tc>
          <w:tcPr>
            <w:tcW w:w="9242" w:type="dxa"/>
            <w:shd w:val="clear" w:color="auto" w:fill="D9E2F3" w:themeFill="accent1" w:themeFillTint="33"/>
          </w:tcPr>
          <w:p w14:paraId="542E2C82" w14:textId="528A9480" w:rsidR="00E7306A" w:rsidRPr="00695365" w:rsidRDefault="00E7306A" w:rsidP="00CD444F">
            <w:pPr>
              <w:pStyle w:val="ListBullet"/>
              <w:numPr>
                <w:ilvl w:val="0"/>
                <w:numId w:val="27"/>
              </w:numPr>
              <w:spacing w:after="240"/>
              <w:ind w:left="357" w:hanging="357"/>
              <w:contextualSpacing w:val="0"/>
              <w:jc w:val="both"/>
              <w:rPr>
                <w:rFonts w:ascii="Times New Roman" w:hAnsi="Times New Roman"/>
                <w:noProof/>
                <w:sz w:val="24"/>
              </w:rPr>
            </w:pPr>
            <w:r>
              <w:rPr>
                <w:rFonts w:ascii="Times New Roman" w:hAnsi="Times New Roman"/>
                <w:b/>
                <w:i/>
                <w:noProof/>
                <w:sz w:val="24"/>
              </w:rPr>
              <w:t>Donner la priorité aux nouvelles mesures de simplification</w:t>
            </w:r>
          </w:p>
          <w:p w14:paraId="713EB282" w14:textId="78258D38" w:rsidR="00E7306A" w:rsidRDefault="00E7306A" w:rsidP="006F4109">
            <w:pPr>
              <w:pStyle w:val="ListBullet"/>
              <w:numPr>
                <w:ilvl w:val="0"/>
                <w:numId w:val="0"/>
              </w:numPr>
              <w:spacing w:after="240"/>
              <w:contextualSpacing w:val="0"/>
              <w:jc w:val="both"/>
              <w:rPr>
                <w:rFonts w:ascii="Times New Roman" w:hAnsi="Times New Roman" w:cs="Times New Roman"/>
                <w:noProof/>
                <w:sz w:val="24"/>
                <w:szCs w:val="24"/>
              </w:rPr>
            </w:pPr>
            <w:r>
              <w:rPr>
                <w:rFonts w:ascii="Times New Roman" w:hAnsi="Times New Roman"/>
                <w:b/>
                <w:noProof/>
                <w:sz w:val="24"/>
              </w:rPr>
              <w:t>Le programme de travail de la Commission 2025</w:t>
            </w:r>
            <w:r>
              <w:rPr>
                <w:rFonts w:ascii="Times New Roman" w:hAnsi="Times New Roman"/>
                <w:noProof/>
                <w:sz w:val="24"/>
              </w:rPr>
              <w:t xml:space="preserve"> met davantage l’accent sur la simplification que jamais auparavant. Il comprend une série de trains de mesures omnibus et d’autres propositions de simplification visant à couvrir les domaines prioritaires recensés avec les parties prenantes au cours de l’année écoulée</w:t>
            </w:r>
            <w:r w:rsidRPr="006154EC">
              <w:rPr>
                <w:rStyle w:val="EndnoteReference"/>
                <w:rFonts w:ascii="Times New Roman" w:hAnsi="Times New Roman" w:cs="Times New Roman"/>
                <w:noProof/>
                <w:sz w:val="24"/>
                <w:szCs w:val="24"/>
              </w:rPr>
              <w:endnoteReference w:id="29"/>
            </w:r>
            <w:r>
              <w:rPr>
                <w:rFonts w:ascii="Times New Roman" w:hAnsi="Times New Roman"/>
                <w:noProof/>
                <w:sz w:val="24"/>
              </w:rPr>
              <w:t xml:space="preserve">. </w:t>
            </w:r>
            <w:r>
              <w:rPr>
                <w:rFonts w:ascii="Times New Roman" w:hAnsi="Times New Roman"/>
                <w:b/>
                <w:noProof/>
                <w:sz w:val="24"/>
              </w:rPr>
              <w:t>Nous invitons le Parlement européen et le Conseil à envisager un traitement accéléré de ces dossiers, en se prononçant sur les</w:t>
            </w:r>
            <w:r>
              <w:rPr>
                <w:rFonts w:ascii="Times New Roman" w:hAnsi="Times New Roman"/>
                <w:noProof/>
                <w:sz w:val="24"/>
              </w:rPr>
              <w:t xml:space="preserve"> </w:t>
            </w:r>
            <w:r>
              <w:rPr>
                <w:rFonts w:ascii="Times New Roman" w:hAnsi="Times New Roman"/>
                <w:b/>
                <w:noProof/>
                <w:sz w:val="24"/>
              </w:rPr>
              <w:t>propositions de simplification</w:t>
            </w:r>
            <w:r>
              <w:rPr>
                <w:rFonts w:ascii="Times New Roman" w:hAnsi="Times New Roman"/>
                <w:noProof/>
                <w:sz w:val="24"/>
              </w:rPr>
              <w:t xml:space="preserve"> sans rouvrir d’autres parties de la législation, afin d'apporter rapidement un maximum de clarté et de soulagement aux entreprises. Le programme de travail continuera à mettre en évidence les mesures de simplification qui bénéficieront d’un tel statut prioritaire dans les années à venir.</w:t>
            </w:r>
          </w:p>
          <w:p w14:paraId="383C50A4" w14:textId="234854A9" w:rsidR="00E7306A" w:rsidRDefault="00E7306A" w:rsidP="006F4109">
            <w:pPr>
              <w:pStyle w:val="ListBullet"/>
              <w:numPr>
                <w:ilvl w:val="0"/>
                <w:numId w:val="0"/>
              </w:numPr>
              <w:spacing w:after="240"/>
              <w:contextualSpacing w:val="0"/>
              <w:jc w:val="both"/>
              <w:rPr>
                <w:rFonts w:ascii="Times New Roman" w:hAnsi="Times New Roman" w:cs="Times New Roman"/>
                <w:noProof/>
                <w:sz w:val="24"/>
                <w:szCs w:val="24"/>
              </w:rPr>
            </w:pPr>
            <w:r>
              <w:rPr>
                <w:rFonts w:ascii="Times New Roman" w:hAnsi="Times New Roman"/>
                <w:b/>
                <w:noProof/>
                <w:sz w:val="24"/>
              </w:rPr>
              <w:t>Les trains de mesures omnibus et autres propositions de simplification</w:t>
            </w:r>
            <w:r>
              <w:rPr>
                <w:rFonts w:ascii="Times New Roman" w:hAnsi="Times New Roman"/>
                <w:noProof/>
                <w:sz w:val="24"/>
              </w:rPr>
              <w:t xml:space="preserve"> qui seront adoptés tout au long de l’année optimiseront la simplification en favorisant les interactions entre différents textes législatifs. Ils comprendront, entre autres:</w:t>
            </w:r>
          </w:p>
          <w:p w14:paraId="656E8EB2" w14:textId="597549F8" w:rsidR="00E7306A" w:rsidRPr="00CF7C55" w:rsidRDefault="00E7306A" w:rsidP="00CF7C55">
            <w:pPr>
              <w:pStyle w:val="ListBullet"/>
              <w:spacing w:before="120"/>
              <w:ind w:left="357" w:hanging="357"/>
              <w:jc w:val="both"/>
              <w:rPr>
                <w:rFonts w:ascii="Times New Roman" w:hAnsi="Times New Roman"/>
                <w:b/>
                <w:i/>
                <w:noProof/>
                <w:sz w:val="24"/>
              </w:rPr>
            </w:pPr>
            <w:r>
              <w:rPr>
                <w:rFonts w:ascii="Times New Roman" w:hAnsi="Times New Roman"/>
                <w:b/>
                <w:i/>
                <w:noProof/>
                <w:sz w:val="24"/>
              </w:rPr>
              <w:t>Un train de mesures omnibus sur la durabilité.</w:t>
            </w:r>
            <w:r>
              <w:rPr>
                <w:rFonts w:ascii="Times New Roman" w:hAnsi="Times New Roman"/>
                <w:noProof/>
                <w:sz w:val="24"/>
              </w:rPr>
              <w:t xml:space="preserve"> Cette proposition portera sur une simplification en profondeur dans les domaines de la publication d’informations en matière de finance durable, du devoir de vigilance en matière de durabilité et de la taxinomie. Elle garantira un meilleur alignement des exigences sur les besoins des investisseurs, des délais proportionnés, des indicateurs financiers qui ne découragent pas les investissements dans les petites entreprises en transition et des obligations proportionnées à l’ampleur des activités des différentes entreprises. Elle s’attaquera notamment à l'effet de ruissellement afin d’éviter que les petites entreprises tout au long des chaînes d’approvisionnement ne soient soumises, dans la pratique, à des demandes de déclaration excessives qui n'ont à aucun moment été souhaitées par les législateurs. Les exigences liées au mécanisme d’ajustement carbone aux frontières seront assouplies au profit des importateurs de taille plus modeste, en particulier des PME et des autorités.</w:t>
            </w:r>
          </w:p>
          <w:p w14:paraId="4C7D52E9" w14:textId="03A38544" w:rsidR="00E7306A" w:rsidRPr="00A7766A" w:rsidRDefault="00E7306A" w:rsidP="00A7766A">
            <w:pPr>
              <w:pStyle w:val="ListBullet"/>
              <w:numPr>
                <w:ilvl w:val="0"/>
                <w:numId w:val="0"/>
              </w:numPr>
              <w:spacing w:before="120"/>
              <w:ind w:left="357"/>
              <w:jc w:val="both"/>
              <w:rPr>
                <w:rFonts w:ascii="Times New Roman" w:hAnsi="Times New Roman" w:cs="Times New Roman"/>
                <w:noProof/>
                <w:sz w:val="24"/>
                <w:szCs w:val="24"/>
              </w:rPr>
            </w:pPr>
          </w:p>
          <w:p w14:paraId="5BAD869D" w14:textId="1C859DC7" w:rsidR="00E7306A" w:rsidRPr="003D72EB" w:rsidRDefault="00E7306A" w:rsidP="00533210">
            <w:pPr>
              <w:pStyle w:val="ListBullet"/>
              <w:spacing w:before="120"/>
              <w:ind w:left="357" w:hanging="357"/>
              <w:jc w:val="both"/>
              <w:rPr>
                <w:rFonts w:ascii="Times New Roman" w:hAnsi="Times New Roman" w:cs="Times New Roman"/>
                <w:noProof/>
                <w:sz w:val="24"/>
                <w:szCs w:val="24"/>
              </w:rPr>
            </w:pPr>
            <w:r>
              <w:rPr>
                <w:rFonts w:ascii="Times New Roman" w:hAnsi="Times New Roman"/>
                <w:b/>
                <w:i/>
                <w:noProof/>
                <w:sz w:val="24"/>
              </w:rPr>
              <w:t>Un train de mesures omnibus sur la simplification en matière d’investissement.</w:t>
            </w:r>
            <w:r>
              <w:rPr>
                <w:rFonts w:ascii="Times New Roman" w:hAnsi="Times New Roman"/>
                <w:noProof/>
                <w:sz w:val="24"/>
              </w:rPr>
              <w:t xml:space="preserve"> Ce train de mesures facilitera notamment le déploiement d’InvestEU et du Fonds européen pour les investissements stratégiques et simplifiera la déclaration en la matière.</w:t>
            </w:r>
          </w:p>
          <w:p w14:paraId="79AD935C" w14:textId="77777777" w:rsidR="003D72EB" w:rsidRDefault="003D72EB" w:rsidP="003D72EB">
            <w:pPr>
              <w:pStyle w:val="ListParagraph"/>
              <w:rPr>
                <w:rFonts w:ascii="Times New Roman" w:hAnsi="Times New Roman" w:cs="Times New Roman"/>
                <w:noProof/>
                <w:sz w:val="24"/>
                <w:szCs w:val="24"/>
              </w:rPr>
            </w:pPr>
          </w:p>
          <w:p w14:paraId="0937A529" w14:textId="4D02AA6B" w:rsidR="00E7306A" w:rsidRDefault="00E7306A" w:rsidP="00CF7C55">
            <w:pPr>
              <w:pStyle w:val="ListBullet"/>
              <w:spacing w:before="120"/>
              <w:ind w:left="357" w:hanging="357"/>
              <w:jc w:val="both"/>
              <w:rPr>
                <w:rFonts w:ascii="Times New Roman" w:hAnsi="Times New Roman" w:cs="Times New Roman"/>
                <w:noProof/>
                <w:sz w:val="24"/>
                <w:szCs w:val="24"/>
              </w:rPr>
            </w:pPr>
            <w:r>
              <w:rPr>
                <w:rFonts w:ascii="Times New Roman" w:hAnsi="Times New Roman"/>
                <w:b/>
                <w:bCs/>
                <w:i/>
                <w:iCs/>
                <w:noProof/>
                <w:sz w:val="24"/>
              </w:rPr>
              <w:t>Un train de mesures omnibus portant notamment sur les petites entreprises à moyenne capitalisation et la suppression des exigences en matière de support papier.</w:t>
            </w:r>
            <w:r>
              <w:rPr>
                <w:rFonts w:ascii="Times New Roman" w:hAnsi="Times New Roman"/>
                <w:noProof/>
                <w:sz w:val="24"/>
              </w:rPr>
              <w:t xml:space="preserve"> Ce train de mesures omnibus fera en sorte que les exigences auxquelles sont soumises les petites entreprises à moyenne capitalisation fassent également l’objet d’une adaptation, et supprimera les demandes inefficaces d'utilisation du support papier dans la législation applicable aux produits.</w:t>
            </w:r>
          </w:p>
          <w:p w14:paraId="0AB3A083" w14:textId="4034E165" w:rsidR="00E7306A" w:rsidRPr="00A7766A" w:rsidRDefault="00E7306A" w:rsidP="00A7766A">
            <w:pPr>
              <w:pStyle w:val="ListBullet"/>
              <w:numPr>
                <w:ilvl w:val="0"/>
                <w:numId w:val="0"/>
              </w:numPr>
              <w:spacing w:before="120"/>
              <w:ind w:left="357"/>
              <w:jc w:val="both"/>
              <w:rPr>
                <w:rFonts w:ascii="Times New Roman" w:hAnsi="Times New Roman" w:cs="Times New Roman"/>
                <w:noProof/>
                <w:sz w:val="24"/>
                <w:szCs w:val="24"/>
              </w:rPr>
            </w:pPr>
          </w:p>
          <w:p w14:paraId="62CCECFC" w14:textId="41C6B2EB" w:rsidR="00E7306A" w:rsidRDefault="00E7306A" w:rsidP="00CF7C55">
            <w:pPr>
              <w:pStyle w:val="ListBullet"/>
              <w:spacing w:before="120"/>
              <w:ind w:left="357" w:hanging="357"/>
              <w:jc w:val="both"/>
              <w:rPr>
                <w:rFonts w:ascii="Times New Roman" w:hAnsi="Times New Roman" w:cs="Times New Roman"/>
                <w:noProof/>
                <w:sz w:val="24"/>
                <w:szCs w:val="24"/>
              </w:rPr>
            </w:pPr>
            <w:r>
              <w:rPr>
                <w:rFonts w:ascii="Times New Roman" w:hAnsi="Times New Roman"/>
                <w:b/>
                <w:i/>
                <w:noProof/>
                <w:sz w:val="24"/>
              </w:rPr>
              <w:t>Un train de mesures sur le numérique.</w:t>
            </w:r>
            <w:r>
              <w:rPr>
                <w:rFonts w:ascii="Times New Roman" w:hAnsi="Times New Roman"/>
                <w:noProof/>
                <w:sz w:val="24"/>
              </w:rPr>
              <w:t xml:space="preserve"> Le réexamen du règlement sur la cybersécurité et la simplification de la législation sur la cybersécurité permettront de se doter de moyens à la fois plus simples et plus souples pour faciliter une déclaration à objectifs multiples visant à éviter les doubles emplois. Cela fera partie de l’évaluation plus large qui sera réalisée au cours de la première année du mandat en vue de déterminer si l’acquis numérique élargi tient bien compte des besoins et des contraintes d’entreprises telles que les PME et les petites entreprises à moyenne capitalisation, par-delà les orientations et les normes nécessaires facilitant la mise en conformité</w:t>
            </w:r>
            <w:r>
              <w:rPr>
                <w:rStyle w:val="EndnoteReference"/>
                <w:rFonts w:ascii="Times New Roman" w:hAnsi="Times New Roman" w:cs="Times New Roman"/>
                <w:noProof/>
                <w:sz w:val="24"/>
                <w:szCs w:val="24"/>
              </w:rPr>
              <w:endnoteReference w:id="30"/>
            </w:r>
            <w:r>
              <w:rPr>
                <w:rFonts w:ascii="Times New Roman" w:hAnsi="Times New Roman"/>
                <w:noProof/>
                <w:sz w:val="24"/>
              </w:rPr>
              <w:t>. Entre autres mesures, une stratégie pour une union européenne des données examinera les règles existantes en matière de données afin de garantir un cadre juridique simplifié, clair et cohérent permettant aux entreprises et aux administrations de partager des données de manière fluide et à grande échelle, tout en respectant des normes élevées en ce qui concerne la protection de la vie privée et la sécurité.</w:t>
            </w:r>
          </w:p>
          <w:p w14:paraId="6B123249" w14:textId="77777777" w:rsidR="00E7306A" w:rsidRPr="00C724DC" w:rsidRDefault="00E7306A" w:rsidP="00C724DC">
            <w:pPr>
              <w:pStyle w:val="ListBullet"/>
              <w:numPr>
                <w:ilvl w:val="0"/>
                <w:numId w:val="0"/>
              </w:numPr>
              <w:spacing w:before="120"/>
              <w:ind w:left="357"/>
              <w:jc w:val="both"/>
              <w:rPr>
                <w:rFonts w:ascii="Times New Roman" w:hAnsi="Times New Roman" w:cs="Times New Roman"/>
                <w:noProof/>
                <w:sz w:val="24"/>
                <w:szCs w:val="24"/>
              </w:rPr>
            </w:pPr>
          </w:p>
          <w:p w14:paraId="740AC703" w14:textId="36174DF2" w:rsidR="00E7306A" w:rsidRDefault="00E7306A" w:rsidP="00CF7C55">
            <w:pPr>
              <w:pStyle w:val="ListBullet"/>
              <w:spacing w:before="120"/>
              <w:ind w:left="357" w:hanging="357"/>
              <w:jc w:val="both"/>
              <w:rPr>
                <w:rFonts w:ascii="Times New Roman" w:hAnsi="Times New Roman" w:cs="Times New Roman"/>
                <w:noProof/>
                <w:sz w:val="24"/>
                <w:szCs w:val="24"/>
              </w:rPr>
            </w:pPr>
            <w:r>
              <w:rPr>
                <w:rFonts w:ascii="Times New Roman" w:hAnsi="Times New Roman"/>
                <w:b/>
                <w:i/>
                <w:noProof/>
                <w:sz w:val="24"/>
              </w:rPr>
              <w:t>La simplification de la politique agricole commune.</w:t>
            </w:r>
            <w:r>
              <w:rPr>
                <w:rFonts w:ascii="Times New Roman" w:hAnsi="Times New Roman"/>
                <w:b/>
                <w:noProof/>
                <w:sz w:val="24"/>
              </w:rPr>
              <w:t xml:space="preserve"> </w:t>
            </w:r>
            <w:r>
              <w:rPr>
                <w:rFonts w:ascii="Times New Roman" w:hAnsi="Times New Roman"/>
                <w:noProof/>
                <w:sz w:val="24"/>
              </w:rPr>
              <w:t>Ce train de mesures s’attaquera aux sources de complexité et de charge administrative excessive pour les agriculteurs et les administrations nationales en gérant le potentiel de numérisation, en assurant son suivi et l’établissement de rapports le concernant, et en exploitant ledit potentiel.</w:t>
            </w:r>
          </w:p>
          <w:p w14:paraId="582D9DB5" w14:textId="77777777" w:rsidR="00E7306A" w:rsidRDefault="00E7306A" w:rsidP="00C724DC">
            <w:pPr>
              <w:pStyle w:val="ListParagraph"/>
              <w:rPr>
                <w:rFonts w:ascii="Times New Roman" w:hAnsi="Times New Roman" w:cs="Times New Roman"/>
                <w:noProof/>
                <w:sz w:val="24"/>
                <w:szCs w:val="24"/>
              </w:rPr>
            </w:pPr>
          </w:p>
          <w:p w14:paraId="5937378B" w14:textId="7A509D84" w:rsidR="00E7306A" w:rsidRDefault="00E7306A" w:rsidP="00C724DC">
            <w:pPr>
              <w:pStyle w:val="ListBullet"/>
              <w:numPr>
                <w:ilvl w:val="0"/>
                <w:numId w:val="0"/>
              </w:numPr>
              <w:spacing w:after="240"/>
              <w:contextualSpacing w:val="0"/>
              <w:jc w:val="both"/>
              <w:rPr>
                <w:rFonts w:ascii="Times New Roman" w:hAnsi="Times New Roman" w:cs="Times New Roman"/>
                <w:noProof/>
                <w:sz w:val="24"/>
                <w:szCs w:val="24"/>
              </w:rPr>
            </w:pPr>
            <w:r>
              <w:rPr>
                <w:rFonts w:ascii="Times New Roman" w:hAnsi="Times New Roman"/>
                <w:noProof/>
                <w:sz w:val="24"/>
              </w:rPr>
              <w:t xml:space="preserve">En sus de ces propositions, d’autres initiatives figurant dans le programme de travail simplifieront la législation de manière à </w:t>
            </w:r>
            <w:r>
              <w:rPr>
                <w:rFonts w:ascii="Times New Roman" w:hAnsi="Times New Roman"/>
                <w:b/>
                <w:noProof/>
                <w:sz w:val="24"/>
              </w:rPr>
              <w:t>rationaliser l’octroi de permis, les autorisations et les exigences en matière d’établissement de rapports.</w:t>
            </w:r>
            <w:r>
              <w:rPr>
                <w:rFonts w:ascii="Times New Roman" w:hAnsi="Times New Roman"/>
                <w:noProof/>
                <w:sz w:val="24"/>
              </w:rPr>
              <w:t xml:space="preserve"> En font notamment partie l’</w:t>
            </w:r>
            <w:r>
              <w:rPr>
                <w:rFonts w:ascii="Times New Roman" w:hAnsi="Times New Roman"/>
                <w:b/>
                <w:i/>
                <w:noProof/>
                <w:sz w:val="24"/>
              </w:rPr>
              <w:t>acte législatif visant à accélérer la décarbonation de l’industrie</w:t>
            </w:r>
            <w:r>
              <w:rPr>
                <w:rFonts w:ascii="Times New Roman" w:hAnsi="Times New Roman"/>
                <w:noProof/>
                <w:sz w:val="24"/>
              </w:rPr>
              <w:t xml:space="preserve">, qui étendra l’octroi accéléré de permis à un plus grand nombre de secteurs en transition, ou encore la révision ciblée des règles de l’UE sur les produits chimiques </w:t>
            </w:r>
            <w:r>
              <w:rPr>
                <w:rFonts w:ascii="Times New Roman" w:hAnsi="Times New Roman"/>
                <w:b/>
                <w:i/>
                <w:noProof/>
                <w:sz w:val="24"/>
              </w:rPr>
              <w:t>(REACH)</w:t>
            </w:r>
            <w:r>
              <w:rPr>
                <w:rFonts w:ascii="Times New Roman" w:hAnsi="Times New Roman"/>
                <w:noProof/>
                <w:sz w:val="24"/>
              </w:rPr>
              <w:t>, qui simplifiera les règles applicables à l’industrie chimique sans transiger sur la santé, la sécurité et la protection de l’environnement.</w:t>
            </w:r>
          </w:p>
          <w:p w14:paraId="64E5EAC2" w14:textId="2110B4A7" w:rsidR="00E7306A" w:rsidRPr="00CF7C55" w:rsidRDefault="00E7306A" w:rsidP="00C724DC">
            <w:pPr>
              <w:pStyle w:val="ListBullet"/>
              <w:numPr>
                <w:ilvl w:val="0"/>
                <w:numId w:val="0"/>
              </w:numPr>
              <w:spacing w:after="240"/>
              <w:contextualSpacing w:val="0"/>
              <w:jc w:val="both"/>
              <w:rPr>
                <w:rFonts w:ascii="Times New Roman" w:hAnsi="Times New Roman"/>
                <w:noProof/>
                <w:sz w:val="24"/>
              </w:rPr>
            </w:pPr>
            <w:r>
              <w:rPr>
                <w:rFonts w:ascii="Times New Roman" w:hAnsi="Times New Roman"/>
                <w:b/>
                <w:noProof/>
                <w:sz w:val="24"/>
              </w:rPr>
              <w:t>Les initiatives numériques contribueront à la simplification et à la mise en œuvre dans tous les domaines d’action</w:t>
            </w:r>
            <w:r>
              <w:rPr>
                <w:rStyle w:val="EndnoteReference"/>
                <w:rFonts w:ascii="Times New Roman" w:hAnsi="Times New Roman" w:cs="Times New Roman"/>
                <w:b/>
                <w:bCs/>
                <w:noProof/>
                <w:sz w:val="24"/>
                <w:szCs w:val="24"/>
              </w:rPr>
              <w:endnoteReference w:id="31"/>
            </w:r>
            <w:r>
              <w:rPr>
                <w:rFonts w:ascii="Times New Roman" w:hAnsi="Times New Roman"/>
                <w:noProof/>
                <w:sz w:val="24"/>
              </w:rPr>
              <w:t xml:space="preserve">. En nous appuyant sur le portefeuille numérique, nous présenterons le </w:t>
            </w:r>
            <w:r>
              <w:rPr>
                <w:rFonts w:ascii="Times New Roman" w:hAnsi="Times New Roman"/>
                <w:b/>
                <w:noProof/>
                <w:sz w:val="24"/>
              </w:rPr>
              <w:t>portefeuille d’entreprises européennes</w:t>
            </w:r>
            <w:r>
              <w:rPr>
                <w:rFonts w:ascii="Times New Roman" w:hAnsi="Times New Roman"/>
                <w:noProof/>
                <w:sz w:val="24"/>
              </w:rPr>
              <w:t>, destiné à permettre aux entreprises de gérer dans un environnement unique et de manière conviviale les exigences, notifications et procédures de conformité nationales, transfrontières et de l’UE.</w:t>
            </w:r>
          </w:p>
          <w:p w14:paraId="322B79D7" w14:textId="6C652D90" w:rsidR="00E7306A" w:rsidRDefault="007F3A57" w:rsidP="00904597">
            <w:pPr>
              <w:pStyle w:val="ListBullet"/>
              <w:numPr>
                <w:ilvl w:val="0"/>
                <w:numId w:val="0"/>
              </w:numPr>
              <w:spacing w:before="120" w:after="240"/>
              <w:contextualSpacing w:val="0"/>
              <w:jc w:val="both"/>
              <w:rPr>
                <w:rFonts w:ascii="Times New Roman" w:hAnsi="Times New Roman" w:cs="Times New Roman"/>
                <w:noProof/>
                <w:sz w:val="24"/>
                <w:szCs w:val="24"/>
              </w:rPr>
            </w:pPr>
            <w:r>
              <w:rPr>
                <w:rFonts w:ascii="Times New Roman" w:hAnsi="Times New Roman"/>
                <w:noProof/>
                <w:sz w:val="24"/>
              </w:rPr>
              <w:t>D’autres propositions de simplification seront étudiées, y compris une éventuelle proposition omnibus dans le domaine de la défense afin, d’une part, de contribuer à la réalisation des objectifs d’investissement qui seront définis dans le livre blanc et, d’autre part, de permettre aux entreprises innovantes de prospérer.</w:t>
            </w:r>
          </w:p>
          <w:p w14:paraId="65EFB872" w14:textId="7B12CFC5" w:rsidR="00E7306A" w:rsidRDefault="00E7306A" w:rsidP="00904597">
            <w:pPr>
              <w:pStyle w:val="ListBullet"/>
              <w:numPr>
                <w:ilvl w:val="0"/>
                <w:numId w:val="0"/>
              </w:numPr>
              <w:spacing w:before="120" w:after="240"/>
              <w:contextualSpacing w:val="0"/>
              <w:jc w:val="both"/>
              <w:rPr>
                <w:rFonts w:ascii="Times New Roman" w:hAnsi="Times New Roman" w:cs="Times New Roman"/>
                <w:noProof/>
                <w:sz w:val="24"/>
                <w:szCs w:val="24"/>
              </w:rPr>
            </w:pPr>
            <w:r>
              <w:rPr>
                <w:rFonts w:ascii="Times New Roman" w:hAnsi="Times New Roman"/>
                <w:noProof/>
                <w:sz w:val="24"/>
              </w:rPr>
              <w:t>S’il est vrai que les propositions d’abrogation pure et simple de textes législatifs existants ou de retrait de propositions en cours peuvent aussi être motivées par d’autres considérations (obsolescence de certaines règles, absence d'avancées politiques sur des propositions soumises de longue date), des considérations de simplification et de rapport coût/efficacité peuvent souvent s’appliquer également en pareils cas.</w:t>
            </w:r>
          </w:p>
        </w:tc>
      </w:tr>
    </w:tbl>
    <w:p w14:paraId="655EB3C8" w14:textId="77777777" w:rsidR="00E7306A" w:rsidRPr="006154EC" w:rsidRDefault="00E7306A" w:rsidP="007D7C42">
      <w:pPr>
        <w:pStyle w:val="ListBullet"/>
        <w:numPr>
          <w:ilvl w:val="0"/>
          <w:numId w:val="0"/>
        </w:numPr>
        <w:contextualSpacing w:val="0"/>
        <w:jc w:val="both"/>
        <w:rPr>
          <w:rFonts w:ascii="Times New Roman" w:hAnsi="Times New Roman" w:cs="Times New Roman"/>
          <w:noProof/>
          <w:sz w:val="24"/>
          <w:szCs w:val="24"/>
        </w:rPr>
      </w:pPr>
    </w:p>
    <w:p w14:paraId="47017DC9" w14:textId="5C749E0D" w:rsidR="00E7306A" w:rsidRPr="006154EC" w:rsidRDefault="00E7306A" w:rsidP="00F02F84">
      <w:pPr>
        <w:pStyle w:val="ListParagraph"/>
        <w:numPr>
          <w:ilvl w:val="0"/>
          <w:numId w:val="27"/>
        </w:numPr>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ind w:left="360"/>
        <w:jc w:val="both"/>
        <w:rPr>
          <w:rFonts w:ascii="Times New Roman" w:hAnsi="Times New Roman" w:cs="Times New Roman"/>
          <w:b/>
          <w:bCs/>
          <w:i/>
          <w:iCs/>
          <w:noProof/>
          <w:sz w:val="24"/>
          <w:szCs w:val="24"/>
        </w:rPr>
      </w:pPr>
      <w:r w:rsidRPr="00F02F84">
        <w:rPr>
          <w:rFonts w:ascii="Times New Roman" w:eastAsiaTheme="minorEastAsia" w:hAnsi="Times New Roman"/>
          <w:noProof/>
          <w:kern w:val="0"/>
          <w:sz w:val="24"/>
          <w:lang w:eastAsia="en-GB"/>
        </w:rPr>
        <w:t>Soumettre progressivement le</w:t>
      </w:r>
      <w:r>
        <w:rPr>
          <w:rFonts w:ascii="Times New Roman" w:hAnsi="Times New Roman"/>
          <w:b/>
          <w:i/>
          <w:noProof/>
          <w:sz w:val="24"/>
        </w:rPr>
        <w:t xml:space="preserve"> corpus législatif de l’UE à un test de résistance</w:t>
      </w:r>
    </w:p>
    <w:p w14:paraId="3694314F" w14:textId="01B7B835" w:rsidR="00E7306A" w:rsidRDefault="00E7306A" w:rsidP="00202C89">
      <w:pPr>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both"/>
        <w:rPr>
          <w:rFonts w:ascii="Times New Roman" w:hAnsi="Times New Roman" w:cs="Times New Roman"/>
          <w:noProof/>
          <w:sz w:val="24"/>
          <w:szCs w:val="24"/>
        </w:rPr>
      </w:pPr>
      <w:r>
        <w:rPr>
          <w:rFonts w:ascii="Times New Roman" w:hAnsi="Times New Roman"/>
          <w:noProof/>
          <w:sz w:val="24"/>
        </w:rPr>
        <w:t>Le programme de travail comporte aussi une première liste d’</w:t>
      </w:r>
      <w:r>
        <w:rPr>
          <w:rFonts w:ascii="Times New Roman" w:hAnsi="Times New Roman"/>
          <w:b/>
          <w:noProof/>
          <w:sz w:val="24"/>
        </w:rPr>
        <w:t>évaluations de textes législatifs, pris individuellement, ou de domaines d’action complets (bilans de qualité)</w:t>
      </w:r>
      <w:r>
        <w:rPr>
          <w:rFonts w:ascii="Times New Roman" w:hAnsi="Times New Roman"/>
          <w:noProof/>
          <w:sz w:val="24"/>
        </w:rPr>
        <w:t xml:space="preserve"> donnant le coup d’envoi à un processus ayant pour but de soumettre le corpus législatif de l’UE à un test de résistance. Il s’agira d’examiner de manière critique le potentiel de simplification et de mettre l’accent sur la recherche de possibilités de réduction des coûts et de consolidation des règles, en tenant particulièrement compte des difficultés auxquelles les PME sont confrontées. Les résultats viendront alimenter le prochain cycle de trains de mesures de simplification, donnant ainsi lieu à un cercle vertueux.</w:t>
      </w:r>
    </w:p>
    <w:p w14:paraId="77924D00" w14:textId="0022886C" w:rsidR="00E7306A" w:rsidRPr="006154EC" w:rsidRDefault="00E7306A" w:rsidP="00202C89">
      <w:pPr>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both"/>
        <w:rPr>
          <w:rFonts w:ascii="Times New Roman" w:hAnsi="Times New Roman" w:cs="Times New Roman"/>
          <w:noProof/>
          <w:sz w:val="24"/>
          <w:szCs w:val="24"/>
        </w:rPr>
      </w:pPr>
      <w:r>
        <w:rPr>
          <w:rFonts w:ascii="Times New Roman" w:hAnsi="Times New Roman"/>
          <w:noProof/>
          <w:sz w:val="24"/>
        </w:rPr>
        <w:t>Le test de résistance sera un</w:t>
      </w:r>
      <w:r>
        <w:rPr>
          <w:rFonts w:ascii="Times New Roman" w:hAnsi="Times New Roman"/>
          <w:b/>
          <w:noProof/>
          <w:sz w:val="24"/>
        </w:rPr>
        <w:t xml:space="preserve"> processus continu</w:t>
      </w:r>
      <w:r>
        <w:rPr>
          <w:rFonts w:ascii="Times New Roman" w:hAnsi="Times New Roman"/>
          <w:noProof/>
          <w:sz w:val="24"/>
        </w:rPr>
        <w:t xml:space="preserve"> visant à passer au crible la législation de l’UE. L’objectif est de passer en revue la totalité de l’acquis de l’UE afin de faire apparaître ses effets cumulés et ses incohérences potentielles et de le simplifier, tout en faisant en sorte qu’il atteigne plus efficacement ses objectifs stratégiques. Chaque commissaire veillera à ce que la législation relevant de son domaine de compétence soit soumise à ce test de résistance, sous la direction du commissaire à la mise en œuvre et à la simplification. Sur la base de ce processus, des </w:t>
      </w:r>
      <w:r>
        <w:rPr>
          <w:rFonts w:ascii="Times New Roman" w:hAnsi="Times New Roman"/>
          <w:b/>
          <w:noProof/>
          <w:sz w:val="24"/>
        </w:rPr>
        <w:t>mesures de simplification concrètes</w:t>
      </w:r>
      <w:r>
        <w:rPr>
          <w:rFonts w:ascii="Times New Roman" w:hAnsi="Times New Roman"/>
          <w:noProof/>
          <w:sz w:val="24"/>
        </w:rPr>
        <w:t xml:space="preserve"> seront intégrées chaque année au programme de travail de la Commission.</w:t>
      </w:r>
    </w:p>
    <w:p w14:paraId="025AD4DF" w14:textId="77777777" w:rsidR="00E7306A" w:rsidRDefault="00E7306A" w:rsidP="00CC14D3">
      <w:pPr>
        <w:pStyle w:val="ListBullet"/>
        <w:numPr>
          <w:ilvl w:val="0"/>
          <w:numId w:val="0"/>
        </w:numPr>
        <w:contextualSpacing w:val="0"/>
        <w:jc w:val="both"/>
        <w:rPr>
          <w:rFonts w:ascii="Times New Roman" w:hAnsi="Times New Roman" w:cs="Times New Roman"/>
          <w:noProof/>
          <w:sz w:val="24"/>
          <w:szCs w:val="24"/>
        </w:rPr>
      </w:pPr>
    </w:p>
    <w:p w14:paraId="6BDDD0C3" w14:textId="77777777" w:rsidR="00E7306A" w:rsidRPr="00695365" w:rsidRDefault="00E7306A" w:rsidP="00F02F84">
      <w:pPr>
        <w:pStyle w:val="ListParagraph"/>
        <w:numPr>
          <w:ilvl w:val="0"/>
          <w:numId w:val="27"/>
        </w:numPr>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ind w:left="360"/>
        <w:jc w:val="both"/>
        <w:rPr>
          <w:rFonts w:ascii="Times New Roman" w:hAnsi="Times New Roman"/>
          <w:b/>
          <w:i/>
          <w:noProof/>
          <w:sz w:val="24"/>
        </w:rPr>
      </w:pPr>
      <w:r>
        <w:rPr>
          <w:rFonts w:ascii="Times New Roman" w:hAnsi="Times New Roman"/>
          <w:b/>
          <w:i/>
          <w:noProof/>
          <w:sz w:val="24"/>
        </w:rPr>
        <w:t>Un budget de l’UE plus simple, plus ciblé et plus efficace</w:t>
      </w:r>
    </w:p>
    <w:p w14:paraId="462DB5FD" w14:textId="7566D092" w:rsidR="00E7306A" w:rsidDel="0000054D" w:rsidRDefault="00E7306A" w:rsidP="00FF2A4E">
      <w:pPr>
        <w:pBdr>
          <w:top w:val="single" w:sz="4" w:space="1" w:color="auto"/>
          <w:left w:val="single" w:sz="4" w:space="4" w:color="auto"/>
          <w:bottom w:val="single" w:sz="4" w:space="1" w:color="auto"/>
          <w:right w:val="single" w:sz="4" w:space="4" w:color="auto"/>
        </w:pBdr>
        <w:shd w:val="clear" w:color="auto" w:fill="D9E2F3" w:themeFill="accent1" w:themeFillTint="33"/>
        <w:spacing w:after="0" w:line="240" w:lineRule="auto"/>
        <w:jc w:val="both"/>
        <w:rPr>
          <w:rFonts w:ascii="Times New Roman" w:hAnsi="Times New Roman" w:cs="Times New Roman"/>
          <w:noProof/>
          <w:sz w:val="24"/>
          <w:szCs w:val="24"/>
        </w:rPr>
      </w:pPr>
      <w:r>
        <w:rPr>
          <w:rFonts w:ascii="Times New Roman" w:hAnsi="Times New Roman"/>
          <w:noProof/>
          <w:sz w:val="24"/>
        </w:rPr>
        <w:t>La simplification est également essentielle pour</w:t>
      </w:r>
      <w:r>
        <w:rPr>
          <w:rFonts w:ascii="Times New Roman" w:hAnsi="Times New Roman"/>
          <w:b/>
          <w:noProof/>
          <w:sz w:val="24"/>
        </w:rPr>
        <w:t xml:space="preserve"> faire face à la fragmentation actuelle du paysage financier de l’UE et réduire la charge administrative</w:t>
      </w:r>
      <w:r>
        <w:rPr>
          <w:rFonts w:ascii="Times New Roman" w:hAnsi="Times New Roman"/>
          <w:noProof/>
          <w:sz w:val="24"/>
        </w:rPr>
        <w:t xml:space="preserve"> que doivent supporter toutes les parties prenantes, afin de garantir la mise en œuvre efficace et en temps utile des fonds de l’UE. Ainsi que souligné dans la communication intitulée «La voie vers le prochain cadre financier pluriannuel» </w:t>
      </w:r>
      <w:r w:rsidRPr="00F75165">
        <w:rPr>
          <w:rStyle w:val="EndnoteReference"/>
          <w:rFonts w:ascii="Times New Roman" w:hAnsi="Times New Roman" w:cs="Times New Roman"/>
          <w:noProof/>
          <w:sz w:val="24"/>
          <w:szCs w:val="24"/>
        </w:rPr>
        <w:endnoteReference w:id="32"/>
      </w:r>
      <w:r>
        <w:rPr>
          <w:rFonts w:ascii="Times New Roman" w:hAnsi="Times New Roman"/>
          <w:noProof/>
          <w:sz w:val="24"/>
        </w:rPr>
        <w:t>, la Commission présentera en 2025 une proposition en faveur d’un budget à long terme à la fois plus simple, plus ciblé et plus réactif, qui concrétise les priorités de l’UE, tout en facilitant l’accès des bénéficiaires aux financements de l’UE et en maximisant leur impact. Cette proposition réduira aussi la complexité à laquelle se heurtent les autorités de mise en œuvre, tout en maintenant de solides garanties concernant la protection des intérêts financiers de l’UE. Cette proposition s’appuiera sur les enseignements tirés de la période de programmation actuelle et d’une</w:t>
      </w:r>
      <w:r>
        <w:rPr>
          <w:rFonts w:ascii="Times New Roman" w:hAnsi="Times New Roman"/>
          <w:b/>
          <w:noProof/>
          <w:sz w:val="24"/>
        </w:rPr>
        <w:t xml:space="preserve"> vaste consultation</w:t>
      </w:r>
      <w:r>
        <w:rPr>
          <w:rFonts w:ascii="Times New Roman" w:hAnsi="Times New Roman"/>
          <w:noProof/>
          <w:sz w:val="24"/>
        </w:rPr>
        <w:t xml:space="preserve"> aux niveaux politique, institutionnel et des parties prenantes, ainsi que d’actions de sensibilisation proactives auprès des citoyens.</w:t>
      </w:r>
    </w:p>
    <w:p w14:paraId="5CB6CCDB" w14:textId="77777777" w:rsidR="00E7306A" w:rsidRPr="0086585F" w:rsidRDefault="00E7306A" w:rsidP="00CC14D3">
      <w:pPr>
        <w:pStyle w:val="ListBullet"/>
        <w:numPr>
          <w:ilvl w:val="0"/>
          <w:numId w:val="0"/>
        </w:numPr>
        <w:contextualSpacing w:val="0"/>
        <w:jc w:val="both"/>
        <w:rPr>
          <w:rFonts w:ascii="Times New Roman" w:hAnsi="Times New Roman"/>
          <w:noProof/>
          <w:sz w:val="24"/>
        </w:rPr>
      </w:pPr>
    </w:p>
    <w:p w14:paraId="2B6EFCF0" w14:textId="11CBA701" w:rsidR="00E7306A" w:rsidRPr="006154EC" w:rsidRDefault="00E7306A" w:rsidP="00F02F84">
      <w:pPr>
        <w:pStyle w:val="ListParagraph"/>
        <w:numPr>
          <w:ilvl w:val="0"/>
          <w:numId w:val="27"/>
        </w:numPr>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ind w:left="360"/>
        <w:jc w:val="both"/>
        <w:rPr>
          <w:rFonts w:ascii="Times New Roman" w:hAnsi="Times New Roman" w:cs="Times New Roman"/>
          <w:b/>
          <w:bCs/>
          <w:i/>
          <w:iCs/>
          <w:noProof/>
          <w:sz w:val="24"/>
          <w:szCs w:val="24"/>
        </w:rPr>
      </w:pPr>
      <w:r>
        <w:rPr>
          <w:rFonts w:ascii="Times New Roman" w:hAnsi="Times New Roman"/>
          <w:b/>
          <w:i/>
          <w:noProof/>
          <w:sz w:val="24"/>
        </w:rPr>
        <w:t>Une expérience pratique acquise par la réalisation de vérifications sur le terrain</w:t>
      </w:r>
    </w:p>
    <w:p w14:paraId="0BB1337B" w14:textId="47D84F6F" w:rsidR="00E7306A" w:rsidRDefault="00E7306A" w:rsidP="003F5272">
      <w:pPr>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both"/>
        <w:rPr>
          <w:rFonts w:ascii="Times New Roman" w:hAnsi="Times New Roman" w:cs="Times New Roman"/>
          <w:noProof/>
          <w:sz w:val="24"/>
          <w:szCs w:val="24"/>
        </w:rPr>
      </w:pPr>
      <w:r>
        <w:rPr>
          <w:rFonts w:ascii="Times New Roman" w:hAnsi="Times New Roman"/>
          <w:noProof/>
          <w:sz w:val="24"/>
        </w:rPr>
        <w:t xml:space="preserve">La Commission </w:t>
      </w:r>
      <w:r>
        <w:rPr>
          <w:rFonts w:ascii="Times New Roman" w:hAnsi="Times New Roman"/>
          <w:b/>
          <w:noProof/>
          <w:sz w:val="24"/>
        </w:rPr>
        <w:t>entrera en contact avec des praticiens issus d’entreprises, notamment de PME et de petites entreprises à moyenne capitalisation, dans un large éventail de domaines</w:t>
      </w:r>
      <w:r>
        <w:rPr>
          <w:rFonts w:ascii="Times New Roman" w:hAnsi="Times New Roman"/>
          <w:noProof/>
          <w:sz w:val="24"/>
        </w:rPr>
        <w:t>, de manière à comprendre leur expérience sur le terrain et l’incidence de la législation de l’UE sur leurs activités. Ces échanges sur le plan technique contribueront à recenser et à résoudre des problèmes pratiques, notamment liés aux autorisations, aux permis, aux contrôles ou à la conformité.</w:t>
      </w:r>
    </w:p>
    <w:p w14:paraId="6534910C" w14:textId="506C28A3" w:rsidR="00E7306A" w:rsidRDefault="00E7306A" w:rsidP="00013B6C">
      <w:pPr>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both"/>
        <w:rPr>
          <w:rFonts w:ascii="Times New Roman" w:hAnsi="Times New Roman" w:cs="Times New Roman"/>
          <w:noProof/>
          <w:sz w:val="24"/>
          <w:szCs w:val="24"/>
        </w:rPr>
      </w:pPr>
      <w:r>
        <w:rPr>
          <w:rFonts w:ascii="Times New Roman" w:hAnsi="Times New Roman"/>
          <w:noProof/>
          <w:sz w:val="24"/>
        </w:rPr>
        <w:t xml:space="preserve">Les vérifications sur le terrain auront pour but d'inventorier tous les obstacles rencontrés ou toutes les expériences positives engrangées, et d’examiner leur rapport avec les règles de l’UE, leur mise en œuvre et leur transposition nationale. Elles permettront de </w:t>
      </w:r>
      <w:r>
        <w:rPr>
          <w:rFonts w:ascii="Times New Roman" w:hAnsi="Times New Roman"/>
          <w:b/>
          <w:noProof/>
          <w:sz w:val="24"/>
        </w:rPr>
        <w:t>vérifier si les hypothèses qui sous-tendent la législation de l’UE sont correctes et procurent les avantages escomptés</w:t>
      </w:r>
      <w:r>
        <w:rPr>
          <w:rFonts w:ascii="Times New Roman" w:hAnsi="Times New Roman"/>
          <w:noProof/>
          <w:sz w:val="24"/>
        </w:rPr>
        <w:t>. Elles contribueront aussi à déterminer si les mesures de simplification prévues permettront de réaliser des économies de coûts et si elles sont adéquates et réalistes.</w:t>
      </w:r>
    </w:p>
    <w:p w14:paraId="544B7FC7" w14:textId="465332B7" w:rsidR="00E7306A" w:rsidRPr="006154EC" w:rsidRDefault="00E7306A" w:rsidP="006F4109">
      <w:pPr>
        <w:pBdr>
          <w:top w:val="single" w:sz="4" w:space="1" w:color="auto"/>
          <w:left w:val="single" w:sz="4" w:space="4" w:color="auto"/>
          <w:bottom w:val="single" w:sz="4" w:space="1" w:color="auto"/>
          <w:right w:val="single" w:sz="4" w:space="4" w:color="auto"/>
        </w:pBdr>
        <w:shd w:val="clear" w:color="auto" w:fill="D9E2F3" w:themeFill="accent1" w:themeFillTint="33"/>
        <w:spacing w:after="0" w:line="240" w:lineRule="auto"/>
        <w:jc w:val="both"/>
        <w:rPr>
          <w:rFonts w:ascii="Times New Roman" w:hAnsi="Times New Roman" w:cs="Times New Roman"/>
          <w:noProof/>
          <w:sz w:val="24"/>
          <w:szCs w:val="24"/>
        </w:rPr>
      </w:pPr>
      <w:r>
        <w:rPr>
          <w:rFonts w:ascii="Times New Roman" w:hAnsi="Times New Roman"/>
          <w:noProof/>
          <w:sz w:val="24"/>
        </w:rPr>
        <w:t>Les résultats des vérifications sur le terrain viendront alimenter les tests de résistance de la législation en cours (comprenant des évaluations et des bilans de qualité) et contribueront à l’élaboration des futures propositions de simplification.</w:t>
      </w:r>
    </w:p>
    <w:p w14:paraId="1EB03F90" w14:textId="77777777" w:rsidR="00E7306A" w:rsidRPr="006154EC" w:rsidRDefault="00E7306A" w:rsidP="00D8136E">
      <w:pPr>
        <w:pStyle w:val="ListBullet"/>
        <w:numPr>
          <w:ilvl w:val="0"/>
          <w:numId w:val="0"/>
        </w:numPr>
        <w:contextualSpacing w:val="0"/>
        <w:jc w:val="both"/>
        <w:rPr>
          <w:rFonts w:ascii="Times New Roman" w:hAnsi="Times New Roman" w:cs="Times New Roman"/>
          <w:noProof/>
          <w:sz w:val="24"/>
          <w:szCs w:val="24"/>
        </w:rPr>
      </w:pPr>
    </w:p>
    <w:p w14:paraId="339BC984" w14:textId="7D887337" w:rsidR="00E7306A" w:rsidRPr="006154EC" w:rsidRDefault="00E7306A" w:rsidP="2BA52686">
      <w:pPr>
        <w:pStyle w:val="ListParagraph"/>
        <w:numPr>
          <w:ilvl w:val="0"/>
          <w:numId w:val="5"/>
        </w:numPr>
        <w:spacing w:after="240" w:line="240" w:lineRule="auto"/>
        <w:jc w:val="both"/>
        <w:rPr>
          <w:rFonts w:ascii="Times New Roman" w:hAnsi="Times New Roman" w:cs="Times New Roman"/>
          <w:b/>
          <w:bCs/>
          <w:noProof/>
          <w:sz w:val="24"/>
          <w:szCs w:val="24"/>
        </w:rPr>
      </w:pPr>
      <w:r>
        <w:rPr>
          <w:rFonts w:ascii="Times New Roman" w:hAnsi="Times New Roman"/>
          <w:b/>
          <w:smallCaps/>
          <w:noProof/>
          <w:sz w:val="28"/>
        </w:rPr>
        <w:t>Améliorer la manière dont nous concevons de nouvelles règles</w:t>
      </w:r>
    </w:p>
    <w:p w14:paraId="0724C32A" w14:textId="684ED668" w:rsidR="00E7306A" w:rsidRDefault="00E7306A" w:rsidP="0075775E">
      <w:pPr>
        <w:pStyle w:val="ListBullet"/>
        <w:numPr>
          <w:ilvl w:val="0"/>
          <w:numId w:val="0"/>
        </w:numPr>
        <w:spacing w:after="240"/>
        <w:contextualSpacing w:val="0"/>
        <w:jc w:val="both"/>
        <w:rPr>
          <w:rFonts w:ascii="Times New Roman" w:hAnsi="Times New Roman" w:cs="Times New Roman"/>
          <w:noProof/>
          <w:sz w:val="24"/>
          <w:szCs w:val="24"/>
        </w:rPr>
      </w:pPr>
      <w:r>
        <w:rPr>
          <w:rFonts w:ascii="Times New Roman" w:hAnsi="Times New Roman"/>
          <w:noProof/>
          <w:sz w:val="24"/>
        </w:rPr>
        <w:t>Aussi important soit-il de simplifier les règles existantes, il importe tout autant de veiller à ce que la nouvelle législation soit simple, facile à comprendre et à mettre en œuvre, clairement rédigée et sans ambiguïté. Il y a lieu de prendre en considération les questions de mise en œuvre et d’application dès le stade d’élaboration des propositions par la Commission, comme énoncé dans les lignes directrices et la boîte à outils pour une meilleure réglementation</w:t>
      </w:r>
      <w:r w:rsidRPr="0086585F">
        <w:rPr>
          <w:rStyle w:val="EndnoteReference"/>
          <w:rFonts w:ascii="Times New Roman" w:hAnsi="Times New Roman"/>
          <w:noProof/>
          <w:sz w:val="24"/>
        </w:rPr>
        <w:endnoteReference w:id="33"/>
      </w:r>
      <w:r>
        <w:rPr>
          <w:rFonts w:ascii="Times New Roman" w:hAnsi="Times New Roman"/>
          <w:noProof/>
          <w:sz w:val="24"/>
        </w:rPr>
        <w:t>, et tout au long du processus législatif.</w:t>
      </w:r>
    </w:p>
    <w:p w14:paraId="621A0F42" w14:textId="605FE48E" w:rsidR="00E7306A" w:rsidRDefault="00E7306A" w:rsidP="0075775E">
      <w:pPr>
        <w:pStyle w:val="ListBullet"/>
        <w:numPr>
          <w:ilvl w:val="0"/>
          <w:numId w:val="0"/>
        </w:numPr>
        <w:spacing w:after="240"/>
        <w:contextualSpacing w:val="0"/>
        <w:jc w:val="both"/>
        <w:rPr>
          <w:rFonts w:ascii="Times New Roman" w:hAnsi="Times New Roman" w:cs="Times New Roman"/>
          <w:noProof/>
          <w:sz w:val="24"/>
          <w:szCs w:val="24"/>
        </w:rPr>
      </w:pPr>
      <w:r>
        <w:rPr>
          <w:rFonts w:ascii="Times New Roman" w:hAnsi="Times New Roman"/>
          <w:noProof/>
          <w:sz w:val="24"/>
        </w:rPr>
        <w:t>L’UE peut s’appuyer sur son approche en matière d’amélioration de la réglementation, qui est reconnue comme faisant partie des meilleures dans l’OCDE, y compris en ce qui concerne les consultations, les évaluations et les analyses d’impact</w:t>
      </w:r>
      <w:r w:rsidRPr="006154EC">
        <w:rPr>
          <w:rStyle w:val="EndnoteReference"/>
          <w:rFonts w:ascii="Times New Roman" w:hAnsi="Times New Roman" w:cs="Times New Roman"/>
          <w:noProof/>
          <w:sz w:val="24"/>
          <w:szCs w:val="24"/>
        </w:rPr>
        <w:endnoteReference w:id="34"/>
      </w:r>
      <w:r>
        <w:rPr>
          <w:rFonts w:ascii="Times New Roman" w:hAnsi="Times New Roman"/>
          <w:noProof/>
          <w:sz w:val="24"/>
        </w:rPr>
        <w:t>. Elle tire également parti des travaux du comité d’examen de la réglementation, garant de la qualité élevée des données probantes qui sous-tendent les propositions législatives.</w:t>
      </w:r>
    </w:p>
    <w:p w14:paraId="72B7072A" w14:textId="0E49E3BA" w:rsidR="00E7306A" w:rsidRDefault="00E7306A" w:rsidP="74F19C86">
      <w:pPr>
        <w:pStyle w:val="ListBullet"/>
        <w:numPr>
          <w:ilvl w:val="0"/>
          <w:numId w:val="0"/>
        </w:numPr>
        <w:spacing w:after="240"/>
        <w:jc w:val="both"/>
        <w:rPr>
          <w:rFonts w:ascii="Times New Roman" w:hAnsi="Times New Roman" w:cs="Times New Roman"/>
          <w:noProof/>
          <w:sz w:val="24"/>
          <w:szCs w:val="24"/>
        </w:rPr>
      </w:pPr>
      <w:r>
        <w:rPr>
          <w:rFonts w:ascii="Times New Roman" w:hAnsi="Times New Roman"/>
          <w:noProof/>
          <w:sz w:val="24"/>
        </w:rPr>
        <w:t>Néanmoins, dans la plupart des entreprises (les PME en particulier), les exigences réglementaires et leurs effets cumulés sont perçus comme étant le principal obstacle à surmonter sur la voie de la création d’une entreprise et de son développement au sein de l’UE. Il importe dès lors de renforcer l’examen des effets de la nouvelle législation envisagée sur la compétitivité, les PME et les jeunes pousses, ainsi que les petites entreprises à moyenne capitalisation. Il y a lieu également que le Parlement européen et le Conseil se penchent plus attentivement sur l’incidence des modifications qu’ils apportent au cours du processus législatif. En outre, il sera nécessaire de procéder à un examen plus approfondi des modalités des habilitations insérées dans la législation et, par la suite, des actes délégués et d’exécution correspondants.</w:t>
      </w:r>
    </w:p>
    <w:p w14:paraId="311FAE88" w14:textId="77777777" w:rsidR="00E7306A" w:rsidRPr="006154EC" w:rsidRDefault="00E7306A" w:rsidP="74F19C86">
      <w:pPr>
        <w:pStyle w:val="ListBullet"/>
        <w:numPr>
          <w:ilvl w:val="0"/>
          <w:numId w:val="0"/>
        </w:numPr>
        <w:spacing w:after="240"/>
        <w:jc w:val="both"/>
        <w:rPr>
          <w:rFonts w:ascii="Times New Roman" w:hAnsi="Times New Roman" w:cs="Times New Roman"/>
          <w:noProof/>
          <w:sz w:val="24"/>
          <w:szCs w:val="24"/>
        </w:rPr>
      </w:pPr>
    </w:p>
    <w:p w14:paraId="3E6D77CE" w14:textId="72A0BC2D" w:rsidR="00E7306A" w:rsidRPr="006154EC" w:rsidRDefault="00E7306A" w:rsidP="004F176A">
      <w:pPr>
        <w:pStyle w:val="ListBullet"/>
        <w:numPr>
          <w:ilvl w:val="0"/>
          <w:numId w:val="0"/>
        </w:numPr>
        <w:spacing w:after="240"/>
        <w:contextualSpacing w:val="0"/>
        <w:jc w:val="both"/>
        <w:rPr>
          <w:rFonts w:ascii="Times New Roman" w:hAnsi="Times New Roman" w:cs="Times New Roman"/>
          <w:noProof/>
          <w:sz w:val="24"/>
          <w:szCs w:val="24"/>
        </w:rPr>
      </w:pPr>
      <w:r>
        <w:rPr>
          <w:rFonts w:ascii="Times New Roman" w:hAnsi="Times New Roman"/>
          <w:noProof/>
          <w:sz w:val="24"/>
        </w:rPr>
        <w:t>Pour relever ces défis, il convient de suivre une nouvelle approche du processus législatif, qui comportera les aspects suivants:</w:t>
      </w:r>
    </w:p>
    <w:p w14:paraId="7E3A4FB7" w14:textId="01FE1C54" w:rsidR="00E7306A" w:rsidRPr="00904597" w:rsidRDefault="00E7306A" w:rsidP="00A83EEC">
      <w:pPr>
        <w:pStyle w:val="ListParagraph"/>
        <w:numPr>
          <w:ilvl w:val="0"/>
          <w:numId w:val="35"/>
        </w:numPr>
        <w:spacing w:after="240" w:line="240" w:lineRule="auto"/>
        <w:jc w:val="both"/>
        <w:rPr>
          <w:rFonts w:ascii="Times New Roman" w:hAnsi="Times New Roman" w:cs="Times New Roman"/>
          <w:noProof/>
          <w:sz w:val="24"/>
          <w:szCs w:val="24"/>
        </w:rPr>
      </w:pPr>
      <w:r>
        <w:rPr>
          <w:rFonts w:ascii="Times New Roman" w:hAnsi="Times New Roman"/>
          <w:noProof/>
          <w:sz w:val="24"/>
        </w:rPr>
        <w:t>des mécanismes de contrôle renforcé concernant l'incidence sur la compétitivité et sur les PME;</w:t>
      </w:r>
    </w:p>
    <w:p w14:paraId="35A8553A" w14:textId="209898D5" w:rsidR="00E7306A" w:rsidRPr="00904597" w:rsidRDefault="00E7306A" w:rsidP="00A83EEC">
      <w:pPr>
        <w:pStyle w:val="ListParagraph"/>
        <w:numPr>
          <w:ilvl w:val="0"/>
          <w:numId w:val="35"/>
        </w:numPr>
        <w:spacing w:after="240" w:line="240" w:lineRule="auto"/>
        <w:jc w:val="both"/>
        <w:rPr>
          <w:rFonts w:ascii="Times New Roman" w:hAnsi="Times New Roman" w:cs="Times New Roman"/>
          <w:noProof/>
          <w:sz w:val="24"/>
          <w:szCs w:val="24"/>
        </w:rPr>
      </w:pPr>
      <w:r>
        <w:rPr>
          <w:rFonts w:ascii="Times New Roman" w:hAnsi="Times New Roman"/>
          <w:noProof/>
          <w:sz w:val="24"/>
        </w:rPr>
        <w:t>un examen approfondi des actes délégués et d’exécution, ainsi que des habilitations connexes;</w:t>
      </w:r>
    </w:p>
    <w:p w14:paraId="3CCE8A97" w14:textId="1E2BF5DC" w:rsidR="00E7306A" w:rsidRPr="00904597" w:rsidRDefault="00E7306A" w:rsidP="00D44828">
      <w:pPr>
        <w:pStyle w:val="ListParagraph"/>
        <w:numPr>
          <w:ilvl w:val="0"/>
          <w:numId w:val="35"/>
        </w:numPr>
        <w:rPr>
          <w:rFonts w:ascii="Times New Roman" w:hAnsi="Times New Roman" w:cs="Times New Roman"/>
          <w:noProof/>
          <w:sz w:val="24"/>
          <w:szCs w:val="24"/>
        </w:rPr>
      </w:pPr>
      <w:r>
        <w:rPr>
          <w:rFonts w:ascii="Times New Roman" w:hAnsi="Times New Roman"/>
          <w:noProof/>
          <w:sz w:val="24"/>
        </w:rPr>
        <w:t>une livraison intelligente et numérique intégrée dans la conception de la législation de l’UE;</w:t>
      </w:r>
    </w:p>
    <w:p w14:paraId="6A8DA550" w14:textId="31DE3234" w:rsidR="00E7306A" w:rsidRPr="00904597" w:rsidRDefault="00E7306A" w:rsidP="00D44828">
      <w:pPr>
        <w:pStyle w:val="ListParagraph"/>
        <w:numPr>
          <w:ilvl w:val="0"/>
          <w:numId w:val="35"/>
        </w:numPr>
        <w:spacing w:after="240" w:line="240" w:lineRule="auto"/>
        <w:jc w:val="both"/>
        <w:rPr>
          <w:rFonts w:ascii="Times New Roman" w:hAnsi="Times New Roman" w:cs="Times New Roman"/>
          <w:noProof/>
          <w:sz w:val="24"/>
          <w:szCs w:val="24"/>
        </w:rPr>
      </w:pPr>
      <w:r>
        <w:rPr>
          <w:rFonts w:ascii="Times New Roman" w:hAnsi="Times New Roman"/>
          <w:noProof/>
          <w:sz w:val="24"/>
        </w:rPr>
        <w:t>une méthodologie simple permettant d’évaluer l’incidence des modifications importantes.</w:t>
      </w:r>
    </w:p>
    <w:p w14:paraId="3AE0B7CA" w14:textId="77777777" w:rsidR="00E7306A" w:rsidRPr="00904597" w:rsidRDefault="00E7306A" w:rsidP="005F030D">
      <w:pPr>
        <w:spacing w:after="0" w:line="240" w:lineRule="auto"/>
        <w:jc w:val="both"/>
        <w:rPr>
          <w:rFonts w:ascii="Times New Roman" w:hAnsi="Times New Roman" w:cs="Times New Roman"/>
          <w:noProof/>
          <w:sz w:val="4"/>
          <w:szCs w:val="4"/>
        </w:rPr>
      </w:pPr>
    </w:p>
    <w:p w14:paraId="02B3738E" w14:textId="4FFFEDED" w:rsidR="00E7306A" w:rsidRPr="00904597" w:rsidRDefault="00E7306A" w:rsidP="00CC14D3">
      <w:pPr>
        <w:pStyle w:val="ListBullet"/>
        <w:numPr>
          <w:ilvl w:val="0"/>
          <w:numId w:val="0"/>
        </w:numPr>
        <w:contextualSpacing w:val="0"/>
        <w:jc w:val="both"/>
        <w:rPr>
          <w:rFonts w:ascii="Times New Roman" w:hAnsi="Times New Roman" w:cs="Times New Roman"/>
          <w:noProof/>
          <w:sz w:val="4"/>
          <w:szCs w:val="4"/>
        </w:rPr>
      </w:pPr>
    </w:p>
    <w:p w14:paraId="1DBA7BB3" w14:textId="5B23DDCD" w:rsidR="00E7306A" w:rsidRPr="00904597" w:rsidRDefault="00E7306A" w:rsidP="00A83EEC">
      <w:pPr>
        <w:pStyle w:val="ListParagraph"/>
        <w:numPr>
          <w:ilvl w:val="0"/>
          <w:numId w:val="36"/>
        </w:numPr>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both"/>
        <w:rPr>
          <w:rFonts w:ascii="Times New Roman" w:hAnsi="Times New Roman" w:cs="Times New Roman"/>
          <w:b/>
          <w:bCs/>
          <w:i/>
          <w:iCs/>
          <w:noProof/>
          <w:sz w:val="24"/>
          <w:szCs w:val="24"/>
        </w:rPr>
      </w:pPr>
      <w:r>
        <w:rPr>
          <w:rFonts w:ascii="Times New Roman" w:hAnsi="Times New Roman"/>
          <w:b/>
          <w:i/>
          <w:noProof/>
          <w:sz w:val="24"/>
        </w:rPr>
        <w:t>Des mécanismes de contrôle renforcé concernant l'incidence sur la compétitivité et sur les PME</w:t>
      </w:r>
    </w:p>
    <w:p w14:paraId="49B07686" w14:textId="33843557" w:rsidR="00E7306A" w:rsidRDefault="00E7306A" w:rsidP="00F37314">
      <w:pPr>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both"/>
        <w:rPr>
          <w:rFonts w:ascii="Times New Roman" w:hAnsi="Times New Roman" w:cs="Times New Roman"/>
          <w:noProof/>
          <w:sz w:val="24"/>
          <w:szCs w:val="24"/>
        </w:rPr>
      </w:pPr>
      <w:r>
        <w:rPr>
          <w:rFonts w:ascii="Times New Roman" w:hAnsi="Times New Roman"/>
          <w:noProof/>
          <w:sz w:val="24"/>
        </w:rPr>
        <w:t xml:space="preserve">Ces mécanismes de contrôle renforcé concernant l'incidence sur la compétitivité et sur les PME seront systématiquement appliqués à toute législation envisagée ayant des effets prévisibles sur les entreprises, en particulier les petites entreprises, afin d’examiner ces effets de manière plus approfondie. Le contrôle de compétitivité porte sur quatre aspects essentiels: la compétitivité des coûts et des prix, la compétitivité internationale, la capacité d’innovation et les effets sur la compétitivité des PME. Ce contrôle mettra </w:t>
      </w:r>
      <w:r>
        <w:rPr>
          <w:rFonts w:ascii="Times New Roman" w:hAnsi="Times New Roman"/>
          <w:b/>
          <w:noProof/>
          <w:sz w:val="24"/>
        </w:rPr>
        <w:t>davantage l’accent sur l’aspect sectoriel</w:t>
      </w:r>
      <w:r>
        <w:rPr>
          <w:rFonts w:ascii="Times New Roman" w:hAnsi="Times New Roman"/>
          <w:noProof/>
          <w:sz w:val="24"/>
        </w:rPr>
        <w:t xml:space="preserve">. Il consistera à évaluer la position concurrentielle des entreprises de l’UE dans les secteurs les plus touchés par chaque proposition, au moyen d'indicateurs et d'informations qualitatives, en donnant une indication de la </w:t>
      </w:r>
      <w:r>
        <w:rPr>
          <w:rFonts w:ascii="Times New Roman" w:hAnsi="Times New Roman"/>
          <w:b/>
          <w:noProof/>
          <w:sz w:val="24"/>
        </w:rPr>
        <w:t>position concurrentielle des entreprises de l’UE concernées</w:t>
      </w:r>
      <w:r>
        <w:rPr>
          <w:rFonts w:ascii="Times New Roman" w:hAnsi="Times New Roman"/>
          <w:noProof/>
          <w:sz w:val="24"/>
        </w:rPr>
        <w:t xml:space="preserve">, afin de mieux comprendre les effets cumulés sur certains secteurs, tels que ceux répertoriés dans le rapport Draghi, comme revêtant une importance déterminante pour la compétitivité européenne. La Commission examinera ensuite les </w:t>
      </w:r>
      <w:r>
        <w:rPr>
          <w:rFonts w:ascii="Times New Roman" w:hAnsi="Times New Roman"/>
          <w:b/>
          <w:noProof/>
          <w:sz w:val="24"/>
        </w:rPr>
        <w:t>mesures d’atténuation</w:t>
      </w:r>
      <w:r>
        <w:rPr>
          <w:rFonts w:ascii="Times New Roman" w:hAnsi="Times New Roman"/>
          <w:noProof/>
          <w:sz w:val="24"/>
        </w:rPr>
        <w:t xml:space="preserve"> les plus appropriées lorsque des problèmes de compétitivité seront détectés.</w:t>
      </w:r>
    </w:p>
    <w:p w14:paraId="19201B06" w14:textId="708D8AD7" w:rsidR="00E7306A" w:rsidRPr="006154EC" w:rsidRDefault="00E7306A" w:rsidP="0086585F">
      <w:pPr>
        <w:pBdr>
          <w:top w:val="single" w:sz="4" w:space="1" w:color="auto"/>
          <w:left w:val="single" w:sz="4" w:space="4" w:color="auto"/>
          <w:bottom w:val="single" w:sz="4" w:space="1" w:color="auto"/>
          <w:right w:val="single" w:sz="4" w:space="4" w:color="auto"/>
        </w:pBdr>
        <w:shd w:val="clear" w:color="auto" w:fill="D9E2F3" w:themeFill="accent1" w:themeFillTint="33"/>
        <w:spacing w:after="0" w:line="240" w:lineRule="auto"/>
        <w:jc w:val="both"/>
        <w:rPr>
          <w:rFonts w:ascii="Times New Roman" w:hAnsi="Times New Roman" w:cs="Times New Roman"/>
          <w:noProof/>
          <w:sz w:val="24"/>
          <w:szCs w:val="24"/>
        </w:rPr>
      </w:pPr>
      <w:r>
        <w:rPr>
          <w:rFonts w:ascii="Times New Roman" w:hAnsi="Times New Roman"/>
          <w:noProof/>
          <w:sz w:val="24"/>
        </w:rPr>
        <w:t>La Commission suivra les recommandations de l’avis de la plateforme «Prêts pour l’avenir», où sont suggérés des moyens de renouveler le test PME</w:t>
      </w:r>
      <w:r w:rsidRPr="2D403AE4">
        <w:rPr>
          <w:rFonts w:ascii="Times New Roman" w:hAnsi="Times New Roman" w:cs="Times New Roman"/>
          <w:noProof/>
          <w:sz w:val="24"/>
          <w:szCs w:val="24"/>
          <w:vertAlign w:val="superscript"/>
        </w:rPr>
        <w:endnoteReference w:id="35"/>
      </w:r>
      <w:r>
        <w:rPr>
          <w:rFonts w:ascii="Times New Roman" w:hAnsi="Times New Roman"/>
          <w:noProof/>
          <w:sz w:val="24"/>
        </w:rPr>
        <w:t xml:space="preserve">. Les analyses d’impact portant sur la législation pertinente </w:t>
      </w:r>
      <w:r>
        <w:rPr>
          <w:rFonts w:ascii="Times New Roman" w:hAnsi="Times New Roman"/>
          <w:b/>
          <w:noProof/>
          <w:sz w:val="24"/>
        </w:rPr>
        <w:t>présenteront de manière plus claire les incidences sur les PME, ainsi que les mesures de soutien et d’atténuation</w:t>
      </w:r>
      <w:r>
        <w:rPr>
          <w:rFonts w:ascii="Times New Roman" w:hAnsi="Times New Roman"/>
          <w:noProof/>
          <w:sz w:val="24"/>
        </w:rPr>
        <w:t xml:space="preserve">, en améliorant la qualité des informations mises à la disposition du collège des commissaires et des colégislateurs. En outre, l’analyse des effets indirects de la législation sur les PME sera renforcée. L’ensemble des évaluations et des bilans de qualité comporteront aussi une </w:t>
      </w:r>
      <w:r>
        <w:rPr>
          <w:rFonts w:ascii="Times New Roman" w:hAnsi="Times New Roman"/>
          <w:b/>
          <w:noProof/>
          <w:sz w:val="24"/>
        </w:rPr>
        <w:t>analyse spécifique de l’efficacité et de l’efficience des politiques pour les PME.</w:t>
      </w:r>
    </w:p>
    <w:p w14:paraId="5EA23450" w14:textId="48107C6E" w:rsidR="00E7306A" w:rsidRPr="0086585F" w:rsidRDefault="00E7306A" w:rsidP="00CC14D3">
      <w:pPr>
        <w:pStyle w:val="ListBullet"/>
        <w:numPr>
          <w:ilvl w:val="0"/>
          <w:numId w:val="0"/>
        </w:numPr>
        <w:contextualSpacing w:val="0"/>
        <w:jc w:val="both"/>
        <w:rPr>
          <w:rFonts w:ascii="Times New Roman" w:hAnsi="Times New Roman"/>
          <w:noProof/>
          <w:sz w:val="20"/>
        </w:rPr>
      </w:pPr>
    </w:p>
    <w:p w14:paraId="2B42F1E2" w14:textId="594BE58E" w:rsidR="00E7306A" w:rsidRPr="006154EC" w:rsidRDefault="00E7306A" w:rsidP="00A83EEC">
      <w:pPr>
        <w:pStyle w:val="ListParagraph"/>
        <w:numPr>
          <w:ilvl w:val="0"/>
          <w:numId w:val="36"/>
        </w:numPr>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both"/>
        <w:rPr>
          <w:rFonts w:ascii="Times New Roman" w:hAnsi="Times New Roman" w:cs="Times New Roman"/>
          <w:b/>
          <w:i/>
          <w:noProof/>
          <w:sz w:val="24"/>
          <w:szCs w:val="24"/>
        </w:rPr>
      </w:pPr>
      <w:r>
        <w:rPr>
          <w:rFonts w:ascii="Times New Roman" w:hAnsi="Times New Roman"/>
          <w:b/>
          <w:i/>
          <w:noProof/>
          <w:sz w:val="24"/>
        </w:rPr>
        <w:t>Un examen approfondi des actes délégués et d’exécution, ainsi que des habilitations connexes</w:t>
      </w:r>
    </w:p>
    <w:p w14:paraId="23576251" w14:textId="59D018A4" w:rsidR="00E7306A" w:rsidRDefault="00E7306A" w:rsidP="063F224F">
      <w:pPr>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both"/>
        <w:rPr>
          <w:rFonts w:ascii="Times New Roman" w:hAnsi="Times New Roman" w:cs="Times New Roman"/>
          <w:noProof/>
          <w:sz w:val="24"/>
          <w:szCs w:val="24"/>
        </w:rPr>
      </w:pPr>
      <w:r>
        <w:rPr>
          <w:rFonts w:ascii="Times New Roman" w:hAnsi="Times New Roman"/>
          <w:noProof/>
          <w:sz w:val="24"/>
        </w:rPr>
        <w:t xml:space="preserve">La Commission adopte chaque année un </w:t>
      </w:r>
      <w:r>
        <w:rPr>
          <w:rFonts w:ascii="Times New Roman" w:hAnsi="Times New Roman"/>
          <w:b/>
          <w:noProof/>
          <w:sz w:val="24"/>
        </w:rPr>
        <w:t>grand nombre d’actes délégués</w:t>
      </w:r>
      <w:r w:rsidRPr="00904597">
        <w:rPr>
          <w:rStyle w:val="EndnoteReference"/>
          <w:rFonts w:ascii="Times New Roman" w:hAnsi="Times New Roman" w:cs="Times New Roman"/>
          <w:b/>
          <w:bCs/>
          <w:noProof/>
          <w:sz w:val="24"/>
          <w:szCs w:val="24"/>
        </w:rPr>
        <w:endnoteReference w:id="36"/>
      </w:r>
      <w:r>
        <w:rPr>
          <w:rFonts w:ascii="Times New Roman" w:hAnsi="Times New Roman"/>
          <w:b/>
          <w:noProof/>
          <w:sz w:val="24"/>
        </w:rPr>
        <w:t xml:space="preserve"> et d’actes d’exécution</w:t>
      </w:r>
      <w:r w:rsidRPr="00904597">
        <w:rPr>
          <w:rStyle w:val="EndnoteReference"/>
          <w:rFonts w:ascii="Times New Roman" w:hAnsi="Times New Roman" w:cs="Times New Roman"/>
          <w:b/>
          <w:bCs/>
          <w:noProof/>
          <w:sz w:val="24"/>
          <w:szCs w:val="24"/>
        </w:rPr>
        <w:endnoteReference w:id="37"/>
      </w:r>
      <w:r>
        <w:rPr>
          <w:rFonts w:ascii="Times New Roman" w:hAnsi="Times New Roman"/>
          <w:noProof/>
          <w:sz w:val="24"/>
        </w:rPr>
        <w:t>, ainsi que le prévoit la législation adoptée par le Parlement européen et le Conseil. Beaucoup de ces actes présentent un caractère technique et ont des incidences limitées, qui auront probablement déjà été prises en compte dans le cadre de la proposition de la législation de base. Ils ne nécessitent dès lors aucune analyse d’impact spécifique.</w:t>
      </w:r>
    </w:p>
    <w:p w14:paraId="64509FBB" w14:textId="1F4E2B7D" w:rsidR="00E7306A" w:rsidRDefault="00E7306A" w:rsidP="063F224F">
      <w:pPr>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both"/>
        <w:rPr>
          <w:rFonts w:ascii="Times New Roman" w:hAnsi="Times New Roman" w:cs="Times New Roman"/>
          <w:noProof/>
          <w:sz w:val="24"/>
          <w:szCs w:val="24"/>
        </w:rPr>
      </w:pPr>
      <w:r>
        <w:rPr>
          <w:rFonts w:ascii="Times New Roman" w:hAnsi="Times New Roman"/>
          <w:noProof/>
          <w:sz w:val="24"/>
        </w:rPr>
        <w:t xml:space="preserve">Toutefois, </w:t>
      </w:r>
      <w:r>
        <w:rPr>
          <w:rFonts w:ascii="Times New Roman" w:hAnsi="Times New Roman"/>
          <w:b/>
          <w:bCs/>
          <w:noProof/>
          <w:sz w:val="24"/>
        </w:rPr>
        <w:t>lorsque la Commission doit</w:t>
      </w:r>
      <w:r>
        <w:rPr>
          <w:rFonts w:ascii="Times New Roman" w:hAnsi="Times New Roman"/>
          <w:noProof/>
          <w:sz w:val="24"/>
        </w:rPr>
        <w:t xml:space="preserve"> </w:t>
      </w:r>
      <w:r>
        <w:rPr>
          <w:rFonts w:ascii="Times New Roman" w:hAnsi="Times New Roman"/>
          <w:b/>
          <w:bCs/>
          <w:noProof/>
          <w:sz w:val="24"/>
        </w:rPr>
        <w:t>faire un choix entre différentes possibilités d’action et qu’il existe des incidences significatives qui n’ont pas été prises en compte lors de la préparation de la proposition de la Commission relative à la législation de base, les actes délégués et d’exécution devront faire l’objet d’une analyse d’impact</w:t>
      </w:r>
      <w:r w:rsidRPr="006154EC">
        <w:rPr>
          <w:rStyle w:val="EndnoteReference"/>
          <w:rFonts w:ascii="Times New Roman" w:hAnsi="Times New Roman" w:cs="Times New Roman"/>
          <w:noProof/>
          <w:sz w:val="24"/>
          <w:szCs w:val="24"/>
        </w:rPr>
        <w:endnoteReference w:id="38"/>
      </w:r>
      <w:r>
        <w:rPr>
          <w:rFonts w:ascii="Times New Roman" w:hAnsi="Times New Roman"/>
          <w:b/>
          <w:bCs/>
          <w:noProof/>
          <w:sz w:val="24"/>
        </w:rPr>
        <w:t>.</w:t>
      </w:r>
      <w:r>
        <w:rPr>
          <w:rFonts w:ascii="Times New Roman" w:hAnsi="Times New Roman"/>
          <w:noProof/>
          <w:sz w:val="24"/>
        </w:rPr>
        <w:t xml:space="preserve"> Même en l’absence de choix, dès lors que des incidences significatives sont attendues, la Commission présentera une analyse des coûts ou des économies de coûts. Le cas échéant, une attention particulière sera accordée à l’incidence sur les PME.</w:t>
      </w:r>
    </w:p>
    <w:p w14:paraId="375F31FC" w14:textId="65831AB7" w:rsidR="00E7306A" w:rsidRPr="006154EC" w:rsidRDefault="00E7306A" w:rsidP="063F224F">
      <w:pPr>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both"/>
        <w:rPr>
          <w:rFonts w:ascii="Times New Roman" w:hAnsi="Times New Roman" w:cs="Times New Roman"/>
          <w:noProof/>
          <w:sz w:val="24"/>
          <w:szCs w:val="24"/>
        </w:rPr>
      </w:pPr>
      <w:r>
        <w:rPr>
          <w:rFonts w:ascii="Times New Roman" w:hAnsi="Times New Roman"/>
          <w:noProof/>
          <w:sz w:val="24"/>
        </w:rPr>
        <w:t xml:space="preserve">Durant le processus législatif, la Commission examinera attentivement les </w:t>
      </w:r>
      <w:r>
        <w:rPr>
          <w:rFonts w:ascii="Times New Roman" w:hAnsi="Times New Roman"/>
          <w:b/>
          <w:noProof/>
          <w:sz w:val="24"/>
        </w:rPr>
        <w:t xml:space="preserve">implications des habilitations correspondantes </w:t>
      </w:r>
      <w:r>
        <w:rPr>
          <w:rFonts w:ascii="Times New Roman" w:hAnsi="Times New Roman"/>
          <w:noProof/>
          <w:sz w:val="24"/>
        </w:rPr>
        <w:t>proposées par les colégislateurs afin qu’elle soit à même d’adopter des actes délégués et d’exécution, le but étant d’éviter leur prolifération, mais aussi une complexité et des coûts inutiles.</w:t>
      </w:r>
    </w:p>
    <w:p w14:paraId="7A9AE15A" w14:textId="1B834040" w:rsidR="00E7306A" w:rsidRPr="0086585F" w:rsidRDefault="00E7306A" w:rsidP="00CC14D3">
      <w:pPr>
        <w:pStyle w:val="ListBullet"/>
        <w:numPr>
          <w:ilvl w:val="0"/>
          <w:numId w:val="0"/>
        </w:numPr>
        <w:contextualSpacing w:val="0"/>
        <w:jc w:val="both"/>
        <w:rPr>
          <w:rFonts w:ascii="Times New Roman" w:hAnsi="Times New Roman"/>
          <w:noProof/>
          <w:sz w:val="4"/>
        </w:rPr>
      </w:pPr>
    </w:p>
    <w:p w14:paraId="4F48A80E" w14:textId="62744921" w:rsidR="00E7306A" w:rsidRPr="006154EC" w:rsidRDefault="00E7306A" w:rsidP="00A83EEC">
      <w:pPr>
        <w:pStyle w:val="ListParagraph"/>
        <w:numPr>
          <w:ilvl w:val="0"/>
          <w:numId w:val="36"/>
        </w:numPr>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both"/>
        <w:rPr>
          <w:rFonts w:ascii="Times New Roman" w:hAnsi="Times New Roman" w:cs="Times New Roman"/>
          <w:b/>
          <w:i/>
          <w:noProof/>
          <w:sz w:val="24"/>
          <w:szCs w:val="24"/>
        </w:rPr>
      </w:pPr>
      <w:r>
        <w:rPr>
          <w:rFonts w:ascii="Times New Roman" w:hAnsi="Times New Roman"/>
          <w:b/>
          <w:i/>
          <w:noProof/>
          <w:sz w:val="24"/>
        </w:rPr>
        <w:t>Une livraison intelligente et numérique intégrée dans la conception de la législation de l’UE</w:t>
      </w:r>
    </w:p>
    <w:p w14:paraId="0F48398E" w14:textId="14E72112" w:rsidR="00E7306A" w:rsidRDefault="00E7306A" w:rsidP="0018435E">
      <w:pPr>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both"/>
        <w:rPr>
          <w:rFonts w:ascii="Times New Roman" w:hAnsi="Times New Roman" w:cs="Times New Roman"/>
          <w:noProof/>
          <w:sz w:val="24"/>
          <w:szCs w:val="24"/>
        </w:rPr>
      </w:pPr>
      <w:r>
        <w:rPr>
          <w:rFonts w:ascii="Times New Roman" w:hAnsi="Times New Roman"/>
          <w:noProof/>
          <w:sz w:val="24"/>
        </w:rPr>
        <w:t>Il faut que le contenu d’une initiative soit de bonne qualité, autrement dit qu’il soit facile à comprendre, sans ambiguïté et suffisamment clair pour permettre sa traduction univoque dans toutes les langues officielles de l’Union, et que sa mise en œuvre effective soit envisagée dès sa conception.</w:t>
      </w:r>
    </w:p>
    <w:p w14:paraId="5227267A" w14:textId="0FDC9F60" w:rsidR="00E7306A" w:rsidRPr="006154EC" w:rsidRDefault="00E7306A" w:rsidP="0018435E">
      <w:pPr>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both"/>
        <w:rPr>
          <w:rFonts w:ascii="Times New Roman" w:hAnsi="Times New Roman" w:cs="Times New Roman"/>
          <w:noProof/>
          <w:sz w:val="24"/>
          <w:szCs w:val="24"/>
        </w:rPr>
      </w:pPr>
      <w:r>
        <w:rPr>
          <w:rFonts w:ascii="Times New Roman" w:hAnsi="Times New Roman"/>
          <w:noProof/>
          <w:sz w:val="24"/>
        </w:rPr>
        <w:t xml:space="preserve">Le meilleur moyen de détecter de futurs problèmes de mise en œuvre est de mettre en place un dialogue et une coopération précoces avec les États membres, les autorités régionales et locales, les partenaires sociaux et d’autres parties prenantes. Pour atteindre cet objectif, les </w:t>
      </w:r>
      <w:r>
        <w:rPr>
          <w:rFonts w:ascii="Times New Roman" w:hAnsi="Times New Roman"/>
          <w:b/>
          <w:noProof/>
          <w:sz w:val="24"/>
        </w:rPr>
        <w:t>aspects juridiques et pratiques de la mise en œuvre seront intégrés dans les consultations auprès des parties prenantes et les analyses d’impact,</w:t>
      </w:r>
      <w:r>
        <w:rPr>
          <w:rFonts w:ascii="Times New Roman" w:hAnsi="Times New Roman"/>
          <w:noProof/>
          <w:sz w:val="24"/>
        </w:rPr>
        <w:t xml:space="preserve"> s’il y a lieu.</w:t>
      </w:r>
    </w:p>
    <w:p w14:paraId="3EDD24CA" w14:textId="5B0E0A0A" w:rsidR="00E7306A" w:rsidRPr="000230DA" w:rsidRDefault="00E7306A" w:rsidP="0094071C">
      <w:pPr>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both"/>
        <w:rPr>
          <w:rFonts w:ascii="Times New Roman" w:hAnsi="Times New Roman" w:cs="Times New Roman"/>
          <w:noProof/>
          <w:sz w:val="24"/>
          <w:szCs w:val="24"/>
        </w:rPr>
      </w:pPr>
      <w:r>
        <w:rPr>
          <w:rFonts w:ascii="Times New Roman" w:hAnsi="Times New Roman"/>
          <w:noProof/>
          <w:sz w:val="24"/>
        </w:rPr>
        <w:t xml:space="preserve">La Commission mettra en œuvre des </w:t>
      </w:r>
      <w:r>
        <w:rPr>
          <w:rFonts w:ascii="Times New Roman" w:hAnsi="Times New Roman"/>
          <w:b/>
          <w:noProof/>
          <w:sz w:val="24"/>
        </w:rPr>
        <w:t>politiques adaptées au numérique</w:t>
      </w:r>
      <w:r>
        <w:rPr>
          <w:rFonts w:ascii="Times New Roman" w:hAnsi="Times New Roman"/>
          <w:noProof/>
          <w:sz w:val="24"/>
        </w:rPr>
        <w:t>, en veillant à ce que les considérations d’ordre numérique soient prises en compte dès le départ</w:t>
      </w:r>
      <w:r>
        <w:rPr>
          <w:rStyle w:val="EndnoteReference"/>
          <w:rFonts w:ascii="Times New Roman" w:hAnsi="Times New Roman"/>
          <w:noProof/>
          <w:sz w:val="24"/>
        </w:rPr>
        <w:endnoteReference w:id="39"/>
      </w:r>
      <w:r>
        <w:rPr>
          <w:rFonts w:ascii="Times New Roman" w:hAnsi="Times New Roman"/>
          <w:noProof/>
          <w:sz w:val="24"/>
        </w:rPr>
        <w:t xml:space="preserve"> et en recourant à des outils innovants, tels que les </w:t>
      </w:r>
      <w:r>
        <w:rPr>
          <w:rFonts w:ascii="Times New Roman" w:hAnsi="Times New Roman"/>
          <w:b/>
          <w:noProof/>
          <w:sz w:val="24"/>
        </w:rPr>
        <w:t>bacs à sable réglementaires</w:t>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pour «tester» les options stratégiques sur le tissu entrepreneurial de l’Europe</w:t>
      </w:r>
      <w:r>
        <w:rPr>
          <w:rStyle w:val="EndnoteReference"/>
          <w:rFonts w:ascii="Times New Roman" w:hAnsi="Times New Roman"/>
          <w:noProof/>
          <w:sz w:val="24"/>
        </w:rPr>
        <w:endnoteReference w:id="40"/>
      </w:r>
      <w:r>
        <w:rPr>
          <w:rFonts w:ascii="Times New Roman" w:hAnsi="Times New Roman"/>
          <w:noProof/>
          <w:sz w:val="24"/>
        </w:rPr>
        <w:t>. Nous ferons aussi progresser l’</w:t>
      </w:r>
      <w:r>
        <w:rPr>
          <w:rFonts w:ascii="Times New Roman" w:hAnsi="Times New Roman"/>
          <w:b/>
          <w:noProof/>
          <w:sz w:val="24"/>
        </w:rPr>
        <w:t>interopérabilité transfrontière</w:t>
      </w:r>
      <w:r w:rsidRPr="00FC12B7">
        <w:rPr>
          <w:rStyle w:val="EndnoteReference"/>
          <w:rFonts w:ascii="Times New Roman" w:hAnsi="Times New Roman"/>
          <w:bCs/>
          <w:noProof/>
          <w:sz w:val="24"/>
        </w:rPr>
        <w:endnoteReference w:id="41"/>
      </w:r>
      <w:r>
        <w:rPr>
          <w:rFonts w:ascii="Times New Roman" w:hAnsi="Times New Roman"/>
          <w:noProof/>
          <w:sz w:val="24"/>
        </w:rPr>
        <w:t xml:space="preserve"> parmi les administrations publiques, et nous étendrons l’utilisation des </w:t>
      </w:r>
      <w:r>
        <w:rPr>
          <w:rFonts w:ascii="Times New Roman" w:hAnsi="Times New Roman"/>
          <w:b/>
          <w:noProof/>
          <w:sz w:val="24"/>
        </w:rPr>
        <w:t>plateformes en ligne,</w:t>
      </w:r>
      <w:r>
        <w:rPr>
          <w:rFonts w:ascii="Times New Roman" w:hAnsi="Times New Roman"/>
          <w:noProof/>
          <w:sz w:val="24"/>
        </w:rPr>
        <w:t xml:space="preserve"> telles que le portail numérique unique</w:t>
      </w:r>
      <w:r w:rsidRPr="00FC12B7">
        <w:rPr>
          <w:rStyle w:val="EndnoteReference"/>
          <w:rFonts w:ascii="Times New Roman" w:hAnsi="Times New Roman"/>
          <w:noProof/>
          <w:sz w:val="24"/>
        </w:rPr>
        <w:endnoteReference w:id="42"/>
      </w:r>
      <w:r>
        <w:rPr>
          <w:rFonts w:ascii="Times New Roman" w:hAnsi="Times New Roman"/>
          <w:noProof/>
          <w:sz w:val="24"/>
        </w:rPr>
        <w:t xml:space="preserve">, ainsi que la </w:t>
      </w:r>
      <w:r>
        <w:rPr>
          <w:rFonts w:ascii="Times New Roman" w:hAnsi="Times New Roman"/>
          <w:b/>
          <w:noProof/>
          <w:sz w:val="24"/>
        </w:rPr>
        <w:t>réutilisation des données existantes</w:t>
      </w:r>
      <w:r>
        <w:rPr>
          <w:rFonts w:ascii="Times New Roman" w:hAnsi="Times New Roman"/>
          <w:noProof/>
          <w:sz w:val="24"/>
        </w:rPr>
        <w:t>, notamment au moyen du préremplissage des formulaires, afin de répondre aux exigences actuelles ou à venir</w:t>
      </w:r>
      <w:r w:rsidRPr="000230DA">
        <w:rPr>
          <w:rStyle w:val="EndnoteReference"/>
          <w:rFonts w:ascii="Times New Roman" w:hAnsi="Times New Roman" w:cs="Times New Roman"/>
          <w:noProof/>
          <w:sz w:val="24"/>
          <w:szCs w:val="24"/>
        </w:rPr>
        <w:endnoteReference w:id="43"/>
      </w:r>
      <w:r>
        <w:rPr>
          <w:rFonts w:ascii="Times New Roman" w:hAnsi="Times New Roman"/>
          <w:noProof/>
          <w:sz w:val="24"/>
        </w:rPr>
        <w:t>.</w:t>
      </w:r>
    </w:p>
    <w:p w14:paraId="23944CC8" w14:textId="01EC6E09" w:rsidR="00E7306A" w:rsidRPr="00E16769" w:rsidRDefault="00E7306A" w:rsidP="00FF2A4E">
      <w:pPr>
        <w:pBdr>
          <w:top w:val="single" w:sz="4" w:space="1" w:color="auto"/>
          <w:left w:val="single" w:sz="4" w:space="4" w:color="auto"/>
          <w:bottom w:val="single" w:sz="4" w:space="1" w:color="auto"/>
          <w:right w:val="single" w:sz="4" w:space="4" w:color="auto"/>
        </w:pBdr>
        <w:shd w:val="clear" w:color="auto" w:fill="D9E2F3" w:themeFill="accent1" w:themeFillTint="33"/>
        <w:spacing w:after="0" w:line="240" w:lineRule="auto"/>
        <w:jc w:val="both"/>
        <w:rPr>
          <w:rFonts w:ascii="Times New Roman" w:hAnsi="Times New Roman" w:cs="Times New Roman"/>
          <w:noProof/>
          <w:sz w:val="24"/>
          <w:szCs w:val="24"/>
        </w:rPr>
      </w:pPr>
      <w:r>
        <w:rPr>
          <w:rFonts w:ascii="Times New Roman" w:hAnsi="Times New Roman"/>
          <w:noProof/>
          <w:sz w:val="24"/>
        </w:rPr>
        <w:t>Pour alléger la charge de déclaration et les coûts de mise en conformité, nous intégrerons de façon plus approfondie les</w:t>
      </w:r>
      <w:r>
        <w:rPr>
          <w:rFonts w:ascii="Times New Roman" w:hAnsi="Times New Roman"/>
          <w:b/>
          <w:noProof/>
          <w:sz w:val="24"/>
        </w:rPr>
        <w:t xml:space="preserve"> principes du «numérique par défaut» et d’«une fois pour toutes»</w:t>
      </w:r>
      <w:r>
        <w:rPr>
          <w:rFonts w:ascii="Times New Roman" w:hAnsi="Times New Roman"/>
          <w:noProof/>
          <w:sz w:val="24"/>
        </w:rPr>
        <w:t xml:space="preserve"> dans tout partenariat avec des autorités nationales, régionales et locales, ainsi qu’avec les agences compétentes de l’UE.</w:t>
      </w:r>
    </w:p>
    <w:p w14:paraId="765403D4" w14:textId="03D0B29A" w:rsidR="00E7306A" w:rsidRDefault="00E7306A" w:rsidP="00B90849">
      <w:pPr>
        <w:spacing w:after="0" w:line="240" w:lineRule="auto"/>
        <w:jc w:val="both"/>
        <w:rPr>
          <w:rFonts w:ascii="Times New Roman" w:hAnsi="Times New Roman" w:cs="Times New Roman"/>
          <w:noProof/>
          <w:sz w:val="24"/>
          <w:szCs w:val="24"/>
        </w:rPr>
      </w:pPr>
    </w:p>
    <w:p w14:paraId="41497D07" w14:textId="2F9D4C4E" w:rsidR="00E7306A" w:rsidRPr="006154EC" w:rsidRDefault="00E7306A" w:rsidP="000A0D90">
      <w:pPr>
        <w:pStyle w:val="ListParagraph"/>
        <w:numPr>
          <w:ilvl w:val="0"/>
          <w:numId w:val="36"/>
        </w:numPr>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both"/>
        <w:rPr>
          <w:rFonts w:ascii="Times New Roman" w:hAnsi="Times New Roman" w:cs="Times New Roman"/>
          <w:b/>
          <w:bCs/>
          <w:i/>
          <w:iCs/>
          <w:noProof/>
          <w:sz w:val="24"/>
          <w:szCs w:val="24"/>
        </w:rPr>
      </w:pPr>
      <w:r>
        <w:rPr>
          <w:rFonts w:ascii="Times New Roman" w:hAnsi="Times New Roman"/>
          <w:b/>
          <w:i/>
          <w:noProof/>
          <w:sz w:val="24"/>
        </w:rPr>
        <w:t>Une méthodologie simple permettant d’évaluer l’incidence des modifications importantes</w:t>
      </w:r>
    </w:p>
    <w:p w14:paraId="56893D92" w14:textId="2D1EA536" w:rsidR="00E7306A" w:rsidRPr="006154EC" w:rsidRDefault="00E7306A" w:rsidP="0059112E">
      <w:pPr>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both"/>
        <w:rPr>
          <w:rFonts w:ascii="Times New Roman" w:hAnsi="Times New Roman" w:cs="Times New Roman"/>
          <w:noProof/>
          <w:sz w:val="24"/>
          <w:szCs w:val="24"/>
        </w:rPr>
      </w:pPr>
      <w:r>
        <w:rPr>
          <w:rFonts w:ascii="Times New Roman" w:hAnsi="Times New Roman"/>
          <w:noProof/>
          <w:sz w:val="24"/>
        </w:rPr>
        <w:t>La Commission présentera des suggestions aux colégislateurs concernant une méthodologie simple pour l’évaluation des incidences de leurs modifications importantes, afin d’</w:t>
      </w:r>
      <w:r>
        <w:rPr>
          <w:rFonts w:ascii="Times New Roman" w:hAnsi="Times New Roman"/>
          <w:b/>
          <w:noProof/>
          <w:sz w:val="24"/>
        </w:rPr>
        <w:t>expérimenter et de démontrer la possibilité de réaliser de telles évaluations</w:t>
      </w:r>
      <w:r>
        <w:rPr>
          <w:rFonts w:ascii="Times New Roman" w:hAnsi="Times New Roman"/>
          <w:noProof/>
          <w:sz w:val="24"/>
        </w:rPr>
        <w:t xml:space="preserve"> sans retarder indûment le processus législatif. En s’appuyant autant que faire se peut sur les outils, modèles et données existants, cette méthodologie pourrait fournir une estimation des coûts administratifs générés par les modifications importantes, de même qu'une présentation plus informative des autres coûts. La Commission présentera ces suggestions en vue d'une concertation avec les colégislateurs au deuxième trimestre 2025.</w:t>
      </w:r>
    </w:p>
    <w:p w14:paraId="229B60A7" w14:textId="3218C541" w:rsidR="00E7306A" w:rsidRPr="006154EC" w:rsidRDefault="00E7306A" w:rsidP="00F97862">
      <w:pPr>
        <w:pStyle w:val="ListParagraph"/>
        <w:numPr>
          <w:ilvl w:val="0"/>
          <w:numId w:val="5"/>
        </w:numPr>
        <w:spacing w:before="120" w:after="240" w:line="240" w:lineRule="auto"/>
        <w:ind w:left="1077"/>
        <w:jc w:val="both"/>
        <w:rPr>
          <w:rFonts w:ascii="Times New Roman" w:hAnsi="Times New Roman" w:cs="Times New Roman"/>
          <w:noProof/>
          <w:sz w:val="24"/>
          <w:szCs w:val="24"/>
        </w:rPr>
      </w:pPr>
      <w:r>
        <w:rPr>
          <w:rFonts w:ascii="Times New Roman" w:hAnsi="Times New Roman"/>
          <w:b/>
          <w:smallCaps/>
          <w:noProof/>
          <w:sz w:val="28"/>
        </w:rPr>
        <w:t>Prochaines étapes: partenariat et appropriation commune</w:t>
      </w:r>
    </w:p>
    <w:p w14:paraId="7F221FDE" w14:textId="77665B0C" w:rsidR="00E7306A" w:rsidRDefault="00E7306A" w:rsidP="009003F7">
      <w:pPr>
        <w:pStyle w:val="ListBullet"/>
        <w:numPr>
          <w:ilvl w:val="0"/>
          <w:numId w:val="0"/>
        </w:numPr>
        <w:spacing w:after="240"/>
        <w:contextualSpacing w:val="0"/>
        <w:jc w:val="both"/>
        <w:rPr>
          <w:rFonts w:ascii="Times New Roman" w:hAnsi="Times New Roman" w:cs="Times New Roman"/>
          <w:noProof/>
          <w:sz w:val="24"/>
          <w:szCs w:val="24"/>
        </w:rPr>
      </w:pPr>
      <w:r>
        <w:rPr>
          <w:rFonts w:ascii="Times New Roman" w:hAnsi="Times New Roman"/>
          <w:noProof/>
          <w:sz w:val="24"/>
        </w:rPr>
        <w:t>Dans la présente communication, la Commission a exposé un programme ambitieux en matière de simplification et de mise en œuvre destiné à renforcer la compétitivité, la prospérité, la mise en œuvre des politiques et la résilience dans l’UE. La réalisation de ces objectifs nécessitera la détermination sans faille de l’ensemble des autres institutions et parties prenantes, en particulier le Parlement européen et le Conseil.</w:t>
      </w:r>
    </w:p>
    <w:p w14:paraId="7E9F9B8A" w14:textId="6645EF1D" w:rsidR="00E7306A" w:rsidRDefault="00E7306A" w:rsidP="00D36276">
      <w:pPr>
        <w:pStyle w:val="ListBullet"/>
        <w:numPr>
          <w:ilvl w:val="0"/>
          <w:numId w:val="0"/>
        </w:numPr>
        <w:spacing w:after="240"/>
        <w:contextualSpacing w:val="0"/>
        <w:jc w:val="both"/>
        <w:rPr>
          <w:rFonts w:ascii="Times New Roman" w:hAnsi="Times New Roman" w:cs="Times New Roman"/>
          <w:noProof/>
          <w:sz w:val="24"/>
          <w:szCs w:val="24"/>
        </w:rPr>
      </w:pPr>
      <w:r>
        <w:rPr>
          <w:rFonts w:ascii="Times New Roman" w:hAnsi="Times New Roman"/>
          <w:noProof/>
          <w:sz w:val="24"/>
        </w:rPr>
        <w:t>Les autorités nationales, régionales et locales seront également des partenaires essentiels pour transformer les ambitions en actions concrètes, en recensant les possibilités de simplification, en suggérant des noms de parties prenantes à inviter lors des nouvelles activités de consultation (dialogues sur la mise en œuvre et vérifications sur le terrain) et en multipliant les mesures de simplification en les traduisant à tous les niveaux de gouvernance.</w:t>
      </w:r>
    </w:p>
    <w:p w14:paraId="6A0A9EBB" w14:textId="61468584" w:rsidR="00E7306A" w:rsidRPr="006154EC" w:rsidRDefault="00E7306A" w:rsidP="00E16769">
      <w:pPr>
        <w:spacing w:after="240" w:line="240" w:lineRule="auto"/>
        <w:jc w:val="both"/>
        <w:rPr>
          <w:rFonts w:ascii="Times New Roman" w:hAnsi="Times New Roman" w:cs="Times New Roman"/>
          <w:noProof/>
          <w:sz w:val="24"/>
          <w:szCs w:val="24"/>
        </w:rPr>
      </w:pPr>
      <w:r>
        <w:rPr>
          <w:rFonts w:ascii="Times New Roman" w:hAnsi="Times New Roman"/>
          <w:noProof/>
          <w:sz w:val="24"/>
        </w:rPr>
        <w:t>Les principes de partenariat et de coopération guideront les travaux de la Commission:</w:t>
      </w:r>
    </w:p>
    <w:p w14:paraId="307CB7FD" w14:textId="3ED73ED1" w:rsidR="00E7306A" w:rsidRPr="006154EC" w:rsidRDefault="00E7306A" w:rsidP="0086585F">
      <w:pPr>
        <w:pStyle w:val="ListParagraph"/>
        <w:numPr>
          <w:ilvl w:val="0"/>
          <w:numId w:val="37"/>
        </w:numPr>
        <w:spacing w:after="0" w:line="240" w:lineRule="auto"/>
        <w:jc w:val="both"/>
        <w:rPr>
          <w:rFonts w:ascii="Times New Roman" w:hAnsi="Times New Roman" w:cs="Times New Roman"/>
          <w:noProof/>
          <w:sz w:val="24"/>
          <w:szCs w:val="24"/>
        </w:rPr>
      </w:pPr>
      <w:r>
        <w:rPr>
          <w:rFonts w:ascii="Times New Roman" w:hAnsi="Times New Roman"/>
          <w:noProof/>
          <w:sz w:val="24"/>
        </w:rPr>
        <w:t>faire régulièrement rapport sur les progrès réalisés, veiller à la transparence et au respect de l’obligation de rendre des comptes;</w:t>
      </w:r>
    </w:p>
    <w:p w14:paraId="0831792B" w14:textId="5E1A4951" w:rsidR="00E7306A" w:rsidRPr="006154EC" w:rsidRDefault="00E7306A" w:rsidP="00DA1CFC">
      <w:pPr>
        <w:pStyle w:val="ListParagraph"/>
        <w:numPr>
          <w:ilvl w:val="0"/>
          <w:numId w:val="37"/>
        </w:numPr>
        <w:spacing w:after="240" w:line="240" w:lineRule="auto"/>
        <w:jc w:val="both"/>
        <w:rPr>
          <w:rFonts w:ascii="Times New Roman" w:hAnsi="Times New Roman" w:cs="Times New Roman"/>
          <w:noProof/>
          <w:sz w:val="24"/>
          <w:szCs w:val="24"/>
        </w:rPr>
      </w:pPr>
      <w:r>
        <w:rPr>
          <w:rFonts w:ascii="Times New Roman" w:hAnsi="Times New Roman"/>
          <w:noProof/>
          <w:sz w:val="24"/>
        </w:rPr>
        <w:t>collaborer avec les colégislateurs afin de créer des règles de l’UE plus simples et plus efficaces.</w:t>
      </w:r>
    </w:p>
    <w:p w14:paraId="534CFA9B" w14:textId="21CBC834" w:rsidR="00E7306A" w:rsidRPr="006154EC" w:rsidRDefault="00E7306A" w:rsidP="008C51A3">
      <w:pPr>
        <w:pBdr>
          <w:top w:val="single" w:sz="4" w:space="1" w:color="auto"/>
          <w:left w:val="single" w:sz="4" w:space="4" w:color="auto"/>
          <w:bottom w:val="single" w:sz="4" w:space="1" w:color="auto"/>
          <w:right w:val="single" w:sz="4" w:space="4" w:color="auto"/>
        </w:pBdr>
        <w:shd w:val="clear" w:color="auto" w:fill="D9E2F3" w:themeFill="accent1" w:themeFillTint="33"/>
        <w:spacing w:after="120"/>
        <w:jc w:val="both"/>
        <w:rPr>
          <w:rFonts w:ascii="Times New Roman" w:hAnsi="Times New Roman" w:cs="Times New Roman"/>
          <w:i/>
          <w:noProof/>
          <w:sz w:val="24"/>
          <w:szCs w:val="24"/>
        </w:rPr>
      </w:pPr>
      <w:r>
        <w:rPr>
          <w:rFonts w:ascii="Times New Roman" w:hAnsi="Times New Roman"/>
          <w:b/>
          <w:i/>
          <w:noProof/>
          <w:sz w:val="24"/>
        </w:rPr>
        <w:t>a) Faire régulièrement rapport sur les progrès réalisés, veiller à la transparence et au respect de l’obligation de rendre des comptes</w:t>
      </w:r>
    </w:p>
    <w:p w14:paraId="0E4714EB" w14:textId="1EFAF5AD" w:rsidR="00E7306A" w:rsidRPr="006154EC" w:rsidRDefault="00E7306A" w:rsidP="00EC455D">
      <w:pPr>
        <w:pBdr>
          <w:top w:val="single" w:sz="4" w:space="1" w:color="auto"/>
          <w:left w:val="single" w:sz="4" w:space="4" w:color="auto"/>
          <w:bottom w:val="single" w:sz="4" w:space="1" w:color="auto"/>
          <w:right w:val="single" w:sz="4" w:space="4" w:color="auto"/>
        </w:pBdr>
        <w:shd w:val="clear" w:color="auto" w:fill="D9E2F3" w:themeFill="accent1" w:themeFillTint="33"/>
        <w:spacing w:after="240"/>
        <w:jc w:val="both"/>
        <w:rPr>
          <w:rFonts w:ascii="Times New Roman" w:hAnsi="Times New Roman" w:cs="Times New Roman"/>
          <w:noProof/>
          <w:sz w:val="24"/>
          <w:szCs w:val="24"/>
        </w:rPr>
      </w:pPr>
      <w:r>
        <w:rPr>
          <w:rFonts w:ascii="Times New Roman" w:hAnsi="Times New Roman"/>
          <w:noProof/>
          <w:sz w:val="24"/>
        </w:rPr>
        <w:t xml:space="preserve">La Commission fera régulièrement rapport sur les progrès accomplis. Chaque commissaire présentera un </w:t>
      </w:r>
      <w:r>
        <w:rPr>
          <w:rFonts w:ascii="Times New Roman" w:hAnsi="Times New Roman"/>
          <w:b/>
          <w:noProof/>
          <w:sz w:val="24"/>
        </w:rPr>
        <w:t>rapport annuel sur les progrès accomplis en matière de mise en œuvre et d’application</w:t>
      </w:r>
      <w:r>
        <w:rPr>
          <w:rFonts w:ascii="Times New Roman" w:hAnsi="Times New Roman"/>
          <w:noProof/>
          <w:sz w:val="24"/>
        </w:rPr>
        <w:t xml:space="preserve"> dans son domaine à la commission parlementaire et la formation du Conseil correspondantes. Ces rapports exposeront les progrès accomplis au regard des grands objectifs stratégiques, des mesures coercitives, de la mise en œuvre, ainsi que des mesures de soutien et de simplification. Les rapports feront aussi le point sur les dialogues avec les parties prenantes (notamment sur la mise en œuvre), les tests de résistance et les vérifications sur le terrain. Ils esquisseront les mesures supplémentaires qui pourraient s’avérer nécessaires.</w:t>
      </w:r>
    </w:p>
    <w:p w14:paraId="6577823D" w14:textId="0E74AB2A" w:rsidR="00E7306A" w:rsidRPr="00134EE4" w:rsidRDefault="00E7306A" w:rsidP="00081705">
      <w:pPr>
        <w:pBdr>
          <w:top w:val="single" w:sz="4" w:space="1" w:color="auto"/>
          <w:left w:val="single" w:sz="4" w:space="4" w:color="auto"/>
          <w:bottom w:val="single" w:sz="4" w:space="1" w:color="auto"/>
          <w:right w:val="single" w:sz="4" w:space="4" w:color="auto"/>
        </w:pBdr>
        <w:shd w:val="clear" w:color="auto" w:fill="D9E2F3" w:themeFill="accent1" w:themeFillTint="33"/>
        <w:spacing w:after="240"/>
        <w:jc w:val="both"/>
        <w:rPr>
          <w:rFonts w:ascii="Times New Roman" w:hAnsi="Times New Roman" w:cs="Times New Roman"/>
          <w:noProof/>
          <w:sz w:val="24"/>
          <w:szCs w:val="24"/>
        </w:rPr>
      </w:pPr>
      <w:r>
        <w:rPr>
          <w:rFonts w:ascii="Times New Roman" w:hAnsi="Times New Roman"/>
          <w:noProof/>
          <w:sz w:val="24"/>
        </w:rPr>
        <w:t xml:space="preserve">La Commission présentera un </w:t>
      </w:r>
      <w:r>
        <w:rPr>
          <w:rFonts w:ascii="Times New Roman" w:hAnsi="Times New Roman"/>
          <w:b/>
          <w:noProof/>
          <w:sz w:val="24"/>
        </w:rPr>
        <w:t>rapport de synthèse</w:t>
      </w:r>
      <w:r>
        <w:rPr>
          <w:rFonts w:ascii="Times New Roman" w:hAnsi="Times New Roman"/>
          <w:noProof/>
          <w:sz w:val="24"/>
        </w:rPr>
        <w:t xml:space="preserve"> promouvant le respect de l’obligation de rendre des comptes et un suivi dans le cycle annuel de mise en œuvre et de simplification. Elle publiera également sur son site web </w:t>
      </w:r>
      <w:r>
        <w:rPr>
          <w:rFonts w:ascii="Times New Roman" w:hAnsi="Times New Roman"/>
          <w:b/>
          <w:i/>
          <w:noProof/>
          <w:sz w:val="24"/>
        </w:rPr>
        <w:t>Europa</w:t>
      </w:r>
      <w:r>
        <w:rPr>
          <w:rFonts w:ascii="Times New Roman" w:hAnsi="Times New Roman"/>
          <w:noProof/>
          <w:sz w:val="24"/>
        </w:rPr>
        <w:t xml:space="preserve"> des informations conviviales sur des questions telles que les progrès accomplis vers la réalisation des objectifs de réduction de la charge, les mesures coercitives et la mise en œuvre de la législation de l’UE au niveau national, informations assorties de cartes interactives et de graphiques personnalisables.</w:t>
      </w:r>
    </w:p>
    <w:p w14:paraId="1D841E00" w14:textId="44B6E800" w:rsidR="00E7306A" w:rsidRPr="0086585F" w:rsidRDefault="00E7306A" w:rsidP="0086585F">
      <w:pPr>
        <w:spacing w:before="480" w:after="0" w:line="240" w:lineRule="auto"/>
        <w:jc w:val="center"/>
        <w:rPr>
          <w:rFonts w:ascii="Times New Roman" w:hAnsi="Times New Roman"/>
          <w:b/>
          <w:noProof/>
          <w:sz w:val="24"/>
        </w:rPr>
      </w:pPr>
      <w:r>
        <w:rPr>
          <w:rFonts w:ascii="Times New Roman" w:hAnsi="Times New Roman"/>
          <w:b/>
          <w:noProof/>
          <w:sz w:val="24"/>
        </w:rPr>
        <w:t>Cycle annuel de mise en œuvre et de simplification</w:t>
      </w:r>
    </w:p>
    <w:tbl>
      <w:tblPr>
        <w:tblStyle w:val="PlainTable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bottom w:w="113" w:type="dxa"/>
        </w:tblCellMar>
        <w:tblLook w:val="06A0" w:firstRow="1" w:lastRow="0" w:firstColumn="1" w:lastColumn="0" w:noHBand="1" w:noVBand="1"/>
      </w:tblPr>
      <w:tblGrid>
        <w:gridCol w:w="1134"/>
        <w:gridCol w:w="1344"/>
        <w:gridCol w:w="6264"/>
      </w:tblGrid>
      <w:tr w:rsidR="00E7306A" w14:paraId="60AAFC30" w14:textId="77777777" w:rsidTr="005618FF">
        <w:trPr>
          <w:cnfStyle w:val="100000000000" w:firstRow="1" w:lastRow="0" w:firstColumn="0" w:lastColumn="0" w:oddVBand="0" w:evenVBand="0" w:oddHBand="0" w:evenHBand="0" w:firstRowFirstColumn="0" w:firstRowLastColumn="0" w:lastRowFirstColumn="0" w:lastRowLastColumn="0"/>
          <w:trHeight w:val="398"/>
        </w:trPr>
        <w:tc>
          <w:tcPr>
            <w:cnfStyle w:val="001000000000" w:firstRow="0" w:lastRow="0" w:firstColumn="1" w:lastColumn="0" w:oddVBand="0" w:evenVBand="0" w:oddHBand="0" w:evenHBand="0" w:firstRowFirstColumn="0" w:firstRowLastColumn="0" w:lastRowFirstColumn="0" w:lastRowLastColumn="0"/>
            <w:tcW w:w="1134" w:type="dxa"/>
            <w:shd w:val="clear" w:color="auto" w:fill="auto"/>
          </w:tcPr>
          <w:p w14:paraId="6EA038E2" w14:textId="6CD04133" w:rsidR="00E7306A" w:rsidRPr="009A0D8C" w:rsidRDefault="0020590D">
            <w:pPr>
              <w:pStyle w:val="Timelineicons"/>
            </w:pPr>
            <w:r>
              <w:rPr>
                <w:rFonts w:asciiTheme="minorHAnsi" w:hAnsiTheme="minorHAnsi"/>
              </w:rPr>
              <w:pict w14:anchorId="435C485A">
                <v:rect id="_x0000_s2071" style="position:absolute;left:0;text-align:left;margin-left:43.85pt;margin-top:18.8pt;width:41.7pt;height:251pt;z-index:-251656191" fillcolor="#8eaadb [1940]" stroked="f">
                  <v:fill color2="fill lighten(51)" focusposition="1" focussize="" method="linear sigma" focus="100%" type="gradient"/>
                  <v:shadow on="t"/>
                  <v:textbox style="layout-flow:vertical;mso-layout-flow-alt:bottom-to-top;mso-next-textbox:#_x0000_s2071">
                    <w:txbxContent>
                      <w:p w14:paraId="16419FE8" w14:textId="77777777" w:rsidR="00E7306A" w:rsidRPr="00C24E99" w:rsidRDefault="00E7306A" w:rsidP="00221CC3">
                        <w:pPr>
                          <w:spacing w:after="0" w:line="240" w:lineRule="auto"/>
                          <w:jc w:val="center"/>
                          <w:rPr>
                            <w:rFonts w:ascii="EC Square Sans Cond Pro" w:hAnsi="EC Square Sans Cond Pro"/>
                            <w:color w:val="1F3864" w:themeColor="accent1" w:themeShade="80"/>
                            <w:sz w:val="24"/>
                            <w:szCs w:val="24"/>
                          </w:rPr>
                        </w:pPr>
                        <w:r>
                          <w:rPr>
                            <w:rFonts w:ascii="EC Square Sans Cond Pro" w:hAnsi="EC Square Sans Cond Pro"/>
                            <w:color w:val="1F3864" w:themeColor="accent1" w:themeShade="80"/>
                            <w:sz w:val="24"/>
                          </w:rPr>
                          <w:t>Cycle annuel</w:t>
                        </w:r>
                      </w:p>
                    </w:txbxContent>
                  </v:textbox>
                </v:rect>
              </w:pict>
            </w:r>
          </w:p>
        </w:tc>
        <w:tc>
          <w:tcPr>
            <w:tcW w:w="1344" w:type="dxa"/>
            <w:shd w:val="clear" w:color="auto" w:fill="auto"/>
            <w:vAlign w:val="center"/>
          </w:tcPr>
          <w:p w14:paraId="13B31962" w14:textId="77777777" w:rsidR="00E7306A" w:rsidRPr="009A0D8C" w:rsidRDefault="0020590D">
            <w:pPr>
              <w:pStyle w:val="Timelineicons"/>
              <w:cnfStyle w:val="100000000000" w:firstRow="1" w:lastRow="0" w:firstColumn="0" w:lastColumn="0" w:oddVBand="0" w:evenVBand="0" w:oddHBand="0" w:evenHBand="0" w:firstRowFirstColumn="0" w:firstRowLastColumn="0" w:lastRowFirstColumn="0" w:lastRowLastColumn="0"/>
            </w:pPr>
            <w:r>
              <w:pict w14:anchorId="46506BBA">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x0000_s2072" type="#_x0000_t34" style="position:absolute;left:0;text-align:left;margin-left:-95.1pt;margin-top:142.7pt;width:247.85pt;height:.05pt;rotation:90;z-index:-251655167;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" adj="10798,-156664800,-15238" strokecolor="#ffc000" strokeweight="3pt">
                  <v:stroke startarrow="oval" endarrow="oval"/>
                </v:shape>
              </w:pict>
            </w:r>
          </w:p>
        </w:tc>
        <w:tc>
          <w:tcPr>
            <w:tcW w:w="6264" w:type="dxa"/>
          </w:tcPr>
          <w:p w14:paraId="58E19200" w14:textId="77777777" w:rsidR="00E7306A" w:rsidRPr="005E18FF" w:rsidRDefault="00E7306A">
            <w:pPr>
              <w:pStyle w:val="Timelinebullets"/>
              <w:numPr>
                <w:ilvl w:val="0"/>
                <w:numId w:val="0"/>
              </w:numPr>
              <w:ind w:left="391" w:hanging="357"/>
              <w:cnfStyle w:val="100000000000" w:firstRow="1" w:lastRow="0" w:firstColumn="0" w:lastColumn="0" w:oddVBand="0" w:evenVBand="0" w:oddHBand="0" w:evenHBand="0" w:firstRowFirstColumn="0" w:firstRowLastColumn="0" w:lastRowFirstColumn="0" w:lastRowLastColumn="0"/>
              <w:rPr>
                <w:b w:val="0"/>
                <w:noProof/>
                <w:sz w:val="24"/>
                <w:szCs w:val="24"/>
              </w:rPr>
            </w:pPr>
          </w:p>
        </w:tc>
      </w:tr>
      <w:tr w:rsidR="00E7306A" w:rsidRPr="000D54F3" w14:paraId="46153D26" w14:textId="77777777" w:rsidTr="005618FF">
        <w:trPr>
          <w:trHeight w:val="497"/>
        </w:trPr>
        <w:tc>
          <w:tcPr>
            <w:cnfStyle w:val="001000000000" w:firstRow="0" w:lastRow="0" w:firstColumn="1" w:lastColumn="0" w:oddVBand="0" w:evenVBand="0" w:oddHBand="0" w:evenHBand="0" w:firstRowFirstColumn="0" w:firstRowLastColumn="0" w:lastRowFirstColumn="0" w:lastRowLastColumn="0"/>
            <w:tcW w:w="1134" w:type="dxa"/>
            <w:shd w:val="clear" w:color="auto" w:fill="auto"/>
            <w:vAlign w:val="center"/>
          </w:tcPr>
          <w:p w14:paraId="1A99B6C0" w14:textId="77777777" w:rsidR="00E7306A" w:rsidRPr="00885EE2" w:rsidRDefault="00E7306A">
            <w:pPr>
              <w:pStyle w:val="Timelinedate"/>
              <w:rPr>
                <w:noProof/>
              </w:rPr>
            </w:pPr>
          </w:p>
        </w:tc>
        <w:tc>
          <w:tcPr>
            <w:tcW w:w="1344" w:type="dxa"/>
            <w:shd w:val="clear" w:color="auto" w:fill="auto"/>
            <w:vAlign w:val="center"/>
          </w:tcPr>
          <w:p w14:paraId="16049A27" w14:textId="77777777" w:rsidR="00E7306A" w:rsidRPr="00885EE2" w:rsidRDefault="00E7306A">
            <w:pPr>
              <w:pStyle w:val="Timelineicons"/>
              <w:cnfStyle w:val="000000000000" w:firstRow="0" w:lastRow="0" w:firstColumn="0" w:lastColumn="0" w:oddVBand="0" w:evenVBand="0" w:oddHBand="0" w:evenHBand="0" w:firstRowFirstColumn="0" w:firstRowLastColumn="0" w:lastRowFirstColumn="0" w:lastRowLastColumn="0"/>
            </w:pPr>
            <w:r>
              <w:rPr>
                <w:lang w:val="en-GB" w:eastAsia="en-GB"/>
              </w:rPr>
              <w:drawing>
                <wp:inline distT="0" distB="0" distL="0" distR="0" wp14:anchorId="6D57866A" wp14:editId="51CC840C">
                  <wp:extent cx="401955" cy="401955"/>
                  <wp:effectExtent l="0" t="0" r="0" b="0"/>
                  <wp:docPr id="50760608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67410" name="Graphic 1"/>
                          <pic:cNvPicPr/>
                        </pic:nvPicPr>
                        <pic:blipFill>
                          <a:blip r:embed="rId19"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r:embed="rId20"/>
                              </a:ext>
                            </a:extLst>
                          </a:blip>
                          <a:stretch>
                            <a:fillRect/>
                          </a:stretch>
                        </pic:blipFill>
                        <pic:spPr>
                          <a:xfrm>
                            <a:off x="0" y="0"/>
                            <a:ext cx="401955" cy="401955"/>
                          </a:xfrm>
                          <a:prstGeom prst="ellipse">
                            <a:avLst/>
                          </a:prstGeom>
                        </pic:spPr>
                      </pic:pic>
                    </a:graphicData>
                  </a:graphic>
                </wp:inline>
              </w:drawing>
            </w:r>
          </w:p>
        </w:tc>
        <w:tc>
          <w:tcPr>
            <w:tcW w:w="6264" w:type="dxa"/>
            <w:vAlign w:val="center"/>
          </w:tcPr>
          <w:p w14:paraId="499A78B3" w14:textId="65D67828" w:rsidR="00E7306A" w:rsidRDefault="00E7306A">
            <w:pPr>
              <w:pStyle w:val="Timelinebullets"/>
              <w:ind w:left="391" w:hanging="357"/>
              <w:cnfStyle w:val="000000000000" w:firstRow="0" w:lastRow="0" w:firstColumn="0" w:lastColumn="0" w:oddVBand="0" w:evenVBand="0" w:oddHBand="0" w:evenHBand="0" w:firstRowFirstColumn="0" w:firstRowLastColumn="0" w:lastRowFirstColumn="0" w:lastRowLastColumn="0"/>
              <w:rPr>
                <w:noProof/>
              </w:rPr>
            </w:pPr>
            <w:r>
              <w:rPr>
                <w:noProof/>
              </w:rPr>
              <w:t xml:space="preserve">Les commissaires </w:t>
            </w:r>
            <w:r>
              <w:rPr>
                <w:rStyle w:val="Timelinebold"/>
                <w:noProof/>
              </w:rPr>
              <w:t>lancent</w:t>
            </w:r>
            <w:r>
              <w:rPr>
                <w:noProof/>
              </w:rPr>
              <w:t xml:space="preserve"> le processus des deux dialogues sur la mise en œuvre de l’année.</w:t>
            </w:r>
          </w:p>
        </w:tc>
      </w:tr>
      <w:tr w:rsidR="00E7306A" w14:paraId="167032F0" w14:textId="77777777" w:rsidTr="005618FF">
        <w:trPr>
          <w:trHeight w:val="547"/>
        </w:trPr>
        <w:tc>
          <w:tcPr>
            <w:cnfStyle w:val="001000000000" w:firstRow="0" w:lastRow="0" w:firstColumn="1" w:lastColumn="0" w:oddVBand="0" w:evenVBand="0" w:oddHBand="0" w:evenHBand="0" w:firstRowFirstColumn="0" w:firstRowLastColumn="0" w:lastRowFirstColumn="0" w:lastRowLastColumn="0"/>
            <w:tcW w:w="1134" w:type="dxa"/>
            <w:shd w:val="clear" w:color="auto" w:fill="auto"/>
            <w:vAlign w:val="center"/>
          </w:tcPr>
          <w:p w14:paraId="37D7B7A4" w14:textId="77777777" w:rsidR="00E7306A" w:rsidRPr="00885EE2" w:rsidRDefault="00E7306A">
            <w:pPr>
              <w:pStyle w:val="Timelinedate"/>
              <w:rPr>
                <w:noProof/>
              </w:rPr>
            </w:pPr>
          </w:p>
        </w:tc>
        <w:tc>
          <w:tcPr>
            <w:tcW w:w="1344" w:type="dxa"/>
            <w:shd w:val="clear" w:color="auto" w:fill="auto"/>
            <w:vAlign w:val="center"/>
          </w:tcPr>
          <w:p w14:paraId="69ACEA70" w14:textId="77777777" w:rsidR="00E7306A" w:rsidRDefault="00E7306A">
            <w:pPr>
              <w:pStyle w:val="Timelineicons"/>
              <w:cnfStyle w:val="000000000000" w:firstRow="0" w:lastRow="0" w:firstColumn="0" w:lastColumn="0" w:oddVBand="0" w:evenVBand="0" w:oddHBand="0" w:evenHBand="0" w:firstRowFirstColumn="0" w:firstRowLastColumn="0" w:lastRowFirstColumn="0" w:lastRowLastColumn="0"/>
            </w:pPr>
            <w:r>
              <w:rPr>
                <w:lang w:val="en-GB" w:eastAsia="en-GB"/>
              </w:rPr>
              <w:drawing>
                <wp:inline distT="0" distB="0" distL="0" distR="0" wp14:anchorId="2DF29DCC" wp14:editId="4F9C61FE">
                  <wp:extent cx="401955" cy="401955"/>
                  <wp:effectExtent l="0" t="0" r="0" b="0"/>
                  <wp:docPr id="68506996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3922073" name="Graphic 1"/>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r:embed="rId22"/>
                              </a:ext>
                            </a:extLst>
                          </a:blip>
                          <a:stretch>
                            <a:fillRect/>
                          </a:stretch>
                        </pic:blipFill>
                        <pic:spPr>
                          <a:xfrm>
                            <a:off x="0" y="0"/>
                            <a:ext cx="401955" cy="401955"/>
                          </a:xfrm>
                          <a:prstGeom prst="rect">
                            <a:avLst/>
                          </a:prstGeom>
                        </pic:spPr>
                      </pic:pic>
                    </a:graphicData>
                  </a:graphic>
                </wp:inline>
              </w:drawing>
            </w:r>
          </w:p>
        </w:tc>
        <w:tc>
          <w:tcPr>
            <w:tcW w:w="6264" w:type="dxa"/>
            <w:vAlign w:val="center"/>
          </w:tcPr>
          <w:p w14:paraId="29AABF0E" w14:textId="6A94228A" w:rsidR="00E7306A" w:rsidRPr="00885EE2" w:rsidRDefault="00E7306A">
            <w:pPr>
              <w:pStyle w:val="Timelinebullets"/>
              <w:ind w:left="318" w:hanging="284"/>
              <w:cnfStyle w:val="000000000000" w:firstRow="0" w:lastRow="0" w:firstColumn="0" w:lastColumn="0" w:oddVBand="0" w:evenVBand="0" w:oddHBand="0" w:evenHBand="0" w:firstRowFirstColumn="0" w:firstRowLastColumn="0" w:lastRowFirstColumn="0" w:lastRowLastColumn="0"/>
              <w:rPr>
                <w:rStyle w:val="Timelinebold"/>
                <w:b w:val="0"/>
                <w:noProof/>
              </w:rPr>
            </w:pPr>
            <w:r>
              <w:rPr>
                <w:noProof/>
              </w:rPr>
              <w:t xml:space="preserve">Les commissaires </w:t>
            </w:r>
            <w:r>
              <w:rPr>
                <w:rStyle w:val="Timelinebold"/>
                <w:noProof/>
              </w:rPr>
              <w:t>pr</w:t>
            </w:r>
            <w:r>
              <w:rPr>
                <w:rStyle w:val="Timelinebold"/>
                <w:noProof/>
              </w:rPr>
              <w:t>é</w:t>
            </w:r>
            <w:r>
              <w:rPr>
                <w:rStyle w:val="Timelinebold"/>
                <w:noProof/>
              </w:rPr>
              <w:t>parent</w:t>
            </w:r>
            <w:r>
              <w:rPr>
                <w:noProof/>
              </w:rPr>
              <w:t xml:space="preserve"> les rapports annuels sur les progrès accomplis en matière d’application et de mise en œuvre.</w:t>
            </w:r>
          </w:p>
        </w:tc>
      </w:tr>
      <w:tr w:rsidR="00E7306A" w14:paraId="7953EEF0" w14:textId="77777777" w:rsidTr="005618FF">
        <w:trPr>
          <w:trHeight w:val="547"/>
        </w:trPr>
        <w:tc>
          <w:tcPr>
            <w:cnfStyle w:val="001000000000" w:firstRow="0" w:lastRow="0" w:firstColumn="1" w:lastColumn="0" w:oddVBand="0" w:evenVBand="0" w:oddHBand="0" w:evenHBand="0" w:firstRowFirstColumn="0" w:firstRowLastColumn="0" w:lastRowFirstColumn="0" w:lastRowLastColumn="0"/>
            <w:tcW w:w="1134" w:type="dxa"/>
            <w:shd w:val="clear" w:color="auto" w:fill="auto"/>
          </w:tcPr>
          <w:p w14:paraId="695ED32A" w14:textId="77777777" w:rsidR="00E7306A" w:rsidRPr="00885EE2" w:rsidRDefault="00E7306A">
            <w:pPr>
              <w:pStyle w:val="Timelineicons"/>
            </w:pPr>
          </w:p>
        </w:tc>
        <w:tc>
          <w:tcPr>
            <w:tcW w:w="1344" w:type="dxa"/>
            <w:shd w:val="clear" w:color="auto" w:fill="auto"/>
            <w:vAlign w:val="center"/>
          </w:tcPr>
          <w:p w14:paraId="75D7D203" w14:textId="77777777" w:rsidR="00E7306A" w:rsidRPr="009A0D8C" w:rsidRDefault="00E7306A">
            <w:pPr>
              <w:pStyle w:val="Timelineicons"/>
              <w:cnfStyle w:val="000000000000" w:firstRow="0" w:lastRow="0" w:firstColumn="0" w:lastColumn="0" w:oddVBand="0" w:evenVBand="0" w:oddHBand="0" w:evenHBand="0" w:firstRowFirstColumn="0" w:firstRowLastColumn="0" w:lastRowFirstColumn="0" w:lastRowLastColumn="0"/>
            </w:pPr>
            <w:r>
              <w:rPr>
                <w:lang w:val="en-GB" w:eastAsia="en-GB"/>
              </w:rPr>
              <w:drawing>
                <wp:inline distT="0" distB="0" distL="0" distR="0" wp14:anchorId="3D6820AB" wp14:editId="5EBA2054">
                  <wp:extent cx="401955" cy="401955"/>
                  <wp:effectExtent l="0" t="0" r="0" b="0"/>
                  <wp:docPr id="169425376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781546" name="Graphic 1"/>
                          <pic:cNvPicPr/>
                        </pic:nvPicPr>
                        <pic:blipFill>
                          <a:blip r:embed="rId23"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r:embed="rId24"/>
                              </a:ext>
                            </a:extLst>
                          </a:blip>
                          <a:stretch>
                            <a:fillRect/>
                          </a:stretch>
                        </pic:blipFill>
                        <pic:spPr>
                          <a:xfrm>
                            <a:off x="0" y="0"/>
                            <a:ext cx="401955" cy="401955"/>
                          </a:xfrm>
                          <a:prstGeom prst="rect">
                            <a:avLst/>
                          </a:prstGeom>
                        </pic:spPr>
                      </pic:pic>
                    </a:graphicData>
                  </a:graphic>
                </wp:inline>
              </w:drawing>
            </w:r>
          </w:p>
        </w:tc>
        <w:tc>
          <w:tcPr>
            <w:tcW w:w="6264" w:type="dxa"/>
            <w:vAlign w:val="center"/>
          </w:tcPr>
          <w:p w14:paraId="73A0C289" w14:textId="3C56B7D0" w:rsidR="00E7306A" w:rsidRPr="00BC3BA7" w:rsidRDefault="00E7306A">
            <w:pPr>
              <w:pStyle w:val="Timelinebullets"/>
              <w:ind w:left="391" w:hanging="357"/>
              <w:cnfStyle w:val="000000000000" w:firstRow="0" w:lastRow="0" w:firstColumn="0" w:lastColumn="0" w:oddVBand="0" w:evenVBand="0" w:oddHBand="0" w:evenHBand="0" w:firstRowFirstColumn="0" w:firstRowLastColumn="0" w:lastRowFirstColumn="0" w:lastRowLastColumn="0"/>
              <w:rPr>
                <w:rStyle w:val="Timelinebold"/>
                <w:noProof/>
              </w:rPr>
            </w:pPr>
            <w:r>
              <w:rPr>
                <w:noProof/>
              </w:rPr>
              <w:t xml:space="preserve">Les commissaires </w:t>
            </w:r>
            <w:r>
              <w:rPr>
                <w:rStyle w:val="Timelinebold"/>
                <w:noProof/>
              </w:rPr>
              <w:t>rencontrent</w:t>
            </w:r>
            <w:r>
              <w:rPr>
                <w:noProof/>
              </w:rPr>
              <w:t xml:space="preserve"> les commissions parlementaires et les formations du Conseil pour leur présenter leurs rapports et leurs travaux en matière de simplification.</w:t>
            </w:r>
          </w:p>
        </w:tc>
      </w:tr>
      <w:tr w:rsidR="00E7306A" w14:paraId="6C522459" w14:textId="77777777" w:rsidTr="005618FF">
        <w:trPr>
          <w:trHeight w:val="398"/>
        </w:trPr>
        <w:tc>
          <w:tcPr>
            <w:cnfStyle w:val="001000000000" w:firstRow="0" w:lastRow="0" w:firstColumn="1" w:lastColumn="0" w:oddVBand="0" w:evenVBand="0" w:oddHBand="0" w:evenHBand="0" w:firstRowFirstColumn="0" w:firstRowLastColumn="0" w:lastRowFirstColumn="0" w:lastRowLastColumn="0"/>
            <w:tcW w:w="1134" w:type="dxa"/>
            <w:shd w:val="clear" w:color="auto" w:fill="auto"/>
            <w:vAlign w:val="center"/>
          </w:tcPr>
          <w:p w14:paraId="2402600E" w14:textId="77777777" w:rsidR="00E7306A" w:rsidRPr="00885EE2" w:rsidRDefault="00E7306A">
            <w:pPr>
              <w:pStyle w:val="Timelinedate"/>
              <w:rPr>
                <w:noProof/>
              </w:rPr>
            </w:pPr>
          </w:p>
        </w:tc>
        <w:tc>
          <w:tcPr>
            <w:tcW w:w="1344" w:type="dxa"/>
            <w:shd w:val="clear" w:color="auto" w:fill="auto"/>
            <w:vAlign w:val="center"/>
          </w:tcPr>
          <w:p w14:paraId="0A2BBE19" w14:textId="77777777" w:rsidR="00E7306A" w:rsidRDefault="00E7306A">
            <w:pPr>
              <w:pStyle w:val="Timelineicons"/>
              <w:cnfStyle w:val="000000000000" w:firstRow="0" w:lastRow="0" w:firstColumn="0" w:lastColumn="0" w:oddVBand="0" w:evenVBand="0" w:oddHBand="0" w:evenHBand="0" w:firstRowFirstColumn="0" w:firstRowLastColumn="0" w:lastRowFirstColumn="0" w:lastRowLastColumn="0"/>
            </w:pPr>
            <w:r>
              <w:rPr>
                <w:lang w:val="en-GB" w:eastAsia="en-GB"/>
              </w:rPr>
              <w:drawing>
                <wp:inline distT="0" distB="0" distL="0" distR="0" wp14:anchorId="2577190C" wp14:editId="6508B5BA">
                  <wp:extent cx="401955" cy="401955"/>
                  <wp:effectExtent l="0" t="0" r="0" b="0"/>
                  <wp:docPr id="56623625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899722" name="Graphic 1"/>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r:embed="rId22"/>
                              </a:ext>
                            </a:extLst>
                          </a:blip>
                          <a:stretch>
                            <a:fillRect/>
                          </a:stretch>
                        </pic:blipFill>
                        <pic:spPr>
                          <a:xfrm>
                            <a:off x="0" y="0"/>
                            <a:ext cx="401955" cy="401955"/>
                          </a:xfrm>
                          <a:prstGeom prst="rect">
                            <a:avLst/>
                          </a:prstGeom>
                        </pic:spPr>
                      </pic:pic>
                    </a:graphicData>
                  </a:graphic>
                </wp:inline>
              </w:drawing>
            </w:r>
          </w:p>
        </w:tc>
        <w:tc>
          <w:tcPr>
            <w:tcW w:w="6264" w:type="dxa"/>
            <w:vAlign w:val="center"/>
          </w:tcPr>
          <w:p w14:paraId="4B2883B9" w14:textId="4FFE0184" w:rsidR="00E7306A" w:rsidRPr="008F26D3" w:rsidRDefault="00E7306A">
            <w:pPr>
              <w:pStyle w:val="Timelinebullets"/>
              <w:ind w:left="391" w:hanging="357"/>
              <w:cnfStyle w:val="000000000000" w:firstRow="0" w:lastRow="0" w:firstColumn="0" w:lastColumn="0" w:oddVBand="0" w:evenVBand="0" w:oddHBand="0" w:evenHBand="0" w:firstRowFirstColumn="0" w:firstRowLastColumn="0" w:lastRowFirstColumn="0" w:lastRowLastColumn="0"/>
              <w:rPr>
                <w:rStyle w:val="Timelinebold"/>
                <w:b w:val="0"/>
                <w:noProof/>
              </w:rPr>
            </w:pPr>
            <w:r>
              <w:rPr>
                <w:noProof/>
              </w:rPr>
              <w:t xml:space="preserve">Les commissaires </w:t>
            </w:r>
            <w:r>
              <w:rPr>
                <w:rStyle w:val="Timelinebold"/>
                <w:noProof/>
              </w:rPr>
              <w:t>entament</w:t>
            </w:r>
            <w:r>
              <w:rPr>
                <w:noProof/>
              </w:rPr>
              <w:t xml:space="preserve"> la préparation des mesures de simplification à présenter dans le cadre du programme de travail de la Commission.</w:t>
            </w:r>
          </w:p>
        </w:tc>
      </w:tr>
      <w:tr w:rsidR="00E7306A" w14:paraId="24B275A2" w14:textId="77777777" w:rsidTr="005618FF">
        <w:trPr>
          <w:trHeight w:val="398"/>
        </w:trPr>
        <w:tc>
          <w:tcPr>
            <w:cnfStyle w:val="001000000000" w:firstRow="0" w:lastRow="0" w:firstColumn="1" w:lastColumn="0" w:oddVBand="0" w:evenVBand="0" w:oddHBand="0" w:evenHBand="0" w:firstRowFirstColumn="0" w:firstRowLastColumn="0" w:lastRowFirstColumn="0" w:lastRowLastColumn="0"/>
            <w:tcW w:w="1134" w:type="dxa"/>
            <w:shd w:val="clear" w:color="auto" w:fill="auto"/>
            <w:vAlign w:val="center"/>
          </w:tcPr>
          <w:p w14:paraId="264969DD" w14:textId="77777777" w:rsidR="00E7306A" w:rsidRPr="00885EE2" w:rsidRDefault="00E7306A">
            <w:pPr>
              <w:pStyle w:val="Timelinedate"/>
              <w:rPr>
                <w:noProof/>
              </w:rPr>
            </w:pPr>
          </w:p>
        </w:tc>
        <w:tc>
          <w:tcPr>
            <w:tcW w:w="1344" w:type="dxa"/>
            <w:shd w:val="clear" w:color="auto" w:fill="auto"/>
          </w:tcPr>
          <w:p w14:paraId="696EFCC1" w14:textId="77777777" w:rsidR="00E7306A" w:rsidRPr="00885EE2" w:rsidRDefault="00E7306A">
            <w:pPr>
              <w:pStyle w:val="Timelineicons"/>
              <w:cnfStyle w:val="000000000000" w:firstRow="0" w:lastRow="0" w:firstColumn="0" w:lastColumn="0" w:oddVBand="0" w:evenVBand="0" w:oddHBand="0" w:evenHBand="0" w:firstRowFirstColumn="0" w:firstRowLastColumn="0" w:lastRowFirstColumn="0" w:lastRowLastColumn="0"/>
            </w:pPr>
            <w:r>
              <w:rPr>
                <w:lang w:val="en-GB" w:eastAsia="en-GB"/>
              </w:rPr>
              <w:drawing>
                <wp:inline distT="0" distB="0" distL="0" distR="0" wp14:anchorId="1A308EA5" wp14:editId="53DCFCE6">
                  <wp:extent cx="401955" cy="401955"/>
                  <wp:effectExtent l="0" t="0" r="0" b="0"/>
                  <wp:docPr id="18029389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601752" name="Graphic 1"/>
                          <pic:cNvPicPr/>
                        </pic:nvPicPr>
                        <pic:blipFill>
                          <a:blip r:embed="rId25"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r:embed="rId26"/>
                              </a:ext>
                            </a:extLst>
                          </a:blip>
                          <a:stretch>
                            <a:fillRect/>
                          </a:stretch>
                        </pic:blipFill>
                        <pic:spPr>
                          <a:xfrm>
                            <a:off x="0" y="0"/>
                            <a:ext cx="401955" cy="401955"/>
                          </a:xfrm>
                          <a:prstGeom prst="rect">
                            <a:avLst/>
                          </a:prstGeom>
                        </pic:spPr>
                      </pic:pic>
                    </a:graphicData>
                  </a:graphic>
                </wp:inline>
              </w:drawing>
            </w:r>
          </w:p>
        </w:tc>
        <w:tc>
          <w:tcPr>
            <w:tcW w:w="6264" w:type="dxa"/>
            <w:vAlign w:val="center"/>
          </w:tcPr>
          <w:p w14:paraId="61E35E2A" w14:textId="15A2E8C6" w:rsidR="00E7306A" w:rsidRPr="0066174F" w:rsidRDefault="00E7306A">
            <w:pPr>
              <w:pStyle w:val="Timelinebullets"/>
              <w:ind w:left="391" w:hanging="357"/>
              <w:cnfStyle w:val="000000000000" w:firstRow="0" w:lastRow="0" w:firstColumn="0" w:lastColumn="0" w:oddVBand="0" w:evenVBand="0" w:oddHBand="0" w:evenHBand="0" w:firstRowFirstColumn="0" w:firstRowLastColumn="0" w:lastRowFirstColumn="0" w:lastRowLastColumn="0"/>
              <w:rPr>
                <w:rFonts w:ascii="EC Square Sans Pro"/>
                <w:noProof/>
                <w:sz w:val="24"/>
              </w:rPr>
            </w:pPr>
            <w:r>
              <w:rPr>
                <w:noProof/>
              </w:rPr>
              <w:t>Un</w:t>
            </w:r>
            <w:r>
              <w:rPr>
                <w:rStyle w:val="Timelinebold"/>
                <w:b w:val="0"/>
                <w:noProof/>
              </w:rPr>
              <w:t xml:space="preserve"> </w:t>
            </w:r>
            <w:r>
              <w:rPr>
                <w:rStyle w:val="Timelinebold"/>
                <w:noProof/>
              </w:rPr>
              <w:t>rapport de synth</w:t>
            </w:r>
            <w:r>
              <w:rPr>
                <w:rStyle w:val="Timelinebold"/>
                <w:noProof/>
              </w:rPr>
              <w:t>è</w:t>
            </w:r>
            <w:r>
              <w:rPr>
                <w:rStyle w:val="Timelinebold"/>
                <w:noProof/>
              </w:rPr>
              <w:t>se annuel</w:t>
            </w:r>
            <w:r>
              <w:rPr>
                <w:noProof/>
              </w:rPr>
              <w:t xml:space="preserve"> sur la mise en œuvre et la simplification est publié.</w:t>
            </w:r>
          </w:p>
          <w:p w14:paraId="6AA05A3B" w14:textId="77777777" w:rsidR="00E7306A" w:rsidRPr="00885EE2" w:rsidRDefault="00E7306A">
            <w:pPr>
              <w:pStyle w:val="Timelinebullets"/>
              <w:ind w:left="391" w:hanging="357"/>
              <w:cnfStyle w:val="000000000000" w:firstRow="0" w:lastRow="0" w:firstColumn="0" w:lastColumn="0" w:oddVBand="0" w:evenVBand="0" w:oddHBand="0" w:evenHBand="0" w:firstRowFirstColumn="0" w:firstRowLastColumn="0" w:lastRowFirstColumn="0" w:lastRowLastColumn="0"/>
              <w:rPr>
                <w:rStyle w:val="Timelinebold"/>
                <w:b w:val="0"/>
                <w:noProof/>
              </w:rPr>
            </w:pPr>
            <w:r>
              <w:rPr>
                <w:noProof/>
              </w:rPr>
              <w:t>Il est procédé à l'</w:t>
            </w:r>
            <w:r>
              <w:rPr>
                <w:rStyle w:val="Timelinebold"/>
                <w:noProof/>
              </w:rPr>
              <w:t>adoption</w:t>
            </w:r>
            <w:r>
              <w:rPr>
                <w:noProof/>
              </w:rPr>
              <w:t xml:space="preserve"> du programme de travail de la Commission, comprenant d’importantes mesures de simplification et un plan annuel de bilans de qualité et d’évaluations, dans le cadre du test de résistance.</w:t>
            </w:r>
          </w:p>
        </w:tc>
      </w:tr>
    </w:tbl>
    <w:p w14:paraId="1EE08262" w14:textId="77777777" w:rsidR="00E7306A" w:rsidRPr="0086585F" w:rsidRDefault="00E7306A" w:rsidP="00CD444F">
      <w:pPr>
        <w:spacing w:after="240" w:line="240" w:lineRule="auto"/>
        <w:jc w:val="both"/>
        <w:rPr>
          <w:rFonts w:ascii="EC Square Sans Cond Pro" w:hAnsi="EC Square Sans Cond Pro"/>
          <w:i/>
          <w:noProof/>
          <w:sz w:val="20"/>
        </w:rPr>
      </w:pPr>
    </w:p>
    <w:p w14:paraId="0ACA51B0" w14:textId="53D4455C" w:rsidR="00E7306A" w:rsidRPr="006154EC" w:rsidRDefault="00E7306A" w:rsidP="0096757C">
      <w:pPr>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both"/>
        <w:rPr>
          <w:rFonts w:ascii="Times New Roman" w:hAnsi="Times New Roman" w:cs="Times New Roman"/>
          <w:b/>
          <w:i/>
          <w:noProof/>
          <w:sz w:val="24"/>
          <w:szCs w:val="24"/>
        </w:rPr>
      </w:pPr>
      <w:r>
        <w:rPr>
          <w:rFonts w:ascii="Times New Roman" w:hAnsi="Times New Roman"/>
          <w:b/>
          <w:i/>
          <w:noProof/>
          <w:sz w:val="24"/>
        </w:rPr>
        <w:t>b) Collaborer avec les colégislateurs afin de créer des règles de l’UE plus simples et plus efficaces</w:t>
      </w:r>
    </w:p>
    <w:p w14:paraId="4F553C7E" w14:textId="23F30CF2" w:rsidR="00E7306A" w:rsidRDefault="00E7306A" w:rsidP="0096757C">
      <w:pPr>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both"/>
        <w:rPr>
          <w:rFonts w:ascii="Times New Roman" w:hAnsi="Times New Roman" w:cs="Times New Roman"/>
          <w:noProof/>
          <w:sz w:val="24"/>
          <w:szCs w:val="24"/>
        </w:rPr>
      </w:pPr>
      <w:r>
        <w:rPr>
          <w:rFonts w:ascii="Times New Roman" w:hAnsi="Times New Roman"/>
          <w:noProof/>
          <w:sz w:val="24"/>
        </w:rPr>
        <w:t xml:space="preserve">Le </w:t>
      </w:r>
      <w:r>
        <w:rPr>
          <w:rFonts w:ascii="Times New Roman" w:hAnsi="Times New Roman"/>
          <w:b/>
          <w:noProof/>
          <w:sz w:val="24"/>
        </w:rPr>
        <w:t>Parlement européen et le Conseil</w:t>
      </w:r>
      <w:r>
        <w:rPr>
          <w:rFonts w:ascii="Times New Roman" w:hAnsi="Times New Roman"/>
          <w:noProof/>
          <w:sz w:val="24"/>
        </w:rPr>
        <w:t xml:space="preserve"> ont un rôle central à jouer dans la création de règles simples, efficaces et au coût administratif le plus bas possible pour les citoyens et les entreprises.</w:t>
      </w:r>
    </w:p>
    <w:p w14:paraId="4DDB299B" w14:textId="5FCBF763" w:rsidR="00E7306A" w:rsidRPr="006154EC" w:rsidRDefault="00E7306A" w:rsidP="0096757C">
      <w:pPr>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both"/>
        <w:rPr>
          <w:rFonts w:ascii="Times New Roman" w:hAnsi="Times New Roman" w:cs="Times New Roman"/>
          <w:noProof/>
          <w:sz w:val="24"/>
          <w:szCs w:val="24"/>
        </w:rPr>
      </w:pPr>
      <w:r>
        <w:rPr>
          <w:rFonts w:ascii="Times New Roman" w:hAnsi="Times New Roman"/>
          <w:noProof/>
          <w:sz w:val="24"/>
        </w:rPr>
        <w:t xml:space="preserve">En 2016, les deux institutions se sont engagées à respecter le principe consistant à </w:t>
      </w:r>
      <w:r>
        <w:rPr>
          <w:rFonts w:ascii="Times New Roman" w:hAnsi="Times New Roman"/>
          <w:b/>
          <w:noProof/>
          <w:sz w:val="24"/>
        </w:rPr>
        <w:t>procéder à des analyses d'impact des modifications substantielles</w:t>
      </w:r>
      <w:r>
        <w:rPr>
          <w:rFonts w:ascii="Times New Roman" w:hAnsi="Times New Roman"/>
          <w:noProof/>
          <w:sz w:val="24"/>
        </w:rPr>
        <w:t xml:space="preserve"> qu’elles apportent, le cas échéant.</w:t>
      </w:r>
      <w:r w:rsidRPr="006154EC">
        <w:rPr>
          <w:rStyle w:val="EndnoteReference"/>
          <w:rFonts w:ascii="Times New Roman" w:hAnsi="Times New Roman" w:cs="Times New Roman"/>
          <w:noProof/>
          <w:sz w:val="24"/>
          <w:szCs w:val="24"/>
        </w:rPr>
        <w:endnoteReference w:id="44"/>
      </w:r>
      <w:r>
        <w:rPr>
          <w:rFonts w:ascii="Times New Roman" w:hAnsi="Times New Roman"/>
          <w:noProof/>
          <w:sz w:val="24"/>
        </w:rPr>
        <w:t xml:space="preserve"> Il peut notamment s’agir de modifications ayant pour effet d’augmenter les coûts, d’accroître les risques d’incidences négatives supplémentaires ou de réduire sensiblement les possibilités de simplification offertes par une proposition de la Commission. Toutefois, le Parlement européen et le Conseil ne procèdent pas de la sorte en pratique.</w:t>
      </w:r>
    </w:p>
    <w:p w14:paraId="02C679A5" w14:textId="3AB52FA3" w:rsidR="00BB63D8" w:rsidRPr="006154EC" w:rsidRDefault="00E7306A" w:rsidP="0096757C">
      <w:pPr>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both"/>
        <w:rPr>
          <w:rFonts w:ascii="Times New Roman" w:hAnsi="Times New Roman" w:cs="Times New Roman"/>
          <w:noProof/>
          <w:sz w:val="24"/>
          <w:szCs w:val="24"/>
        </w:rPr>
      </w:pPr>
      <w:r>
        <w:rPr>
          <w:rFonts w:ascii="Times New Roman" w:hAnsi="Times New Roman"/>
          <w:noProof/>
          <w:sz w:val="24"/>
        </w:rPr>
        <w:t xml:space="preserve">En conséquence, la Commission invite le Parlement européen et le Conseil à </w:t>
      </w:r>
      <w:r>
        <w:rPr>
          <w:rFonts w:ascii="Times New Roman" w:hAnsi="Times New Roman"/>
          <w:b/>
          <w:noProof/>
          <w:sz w:val="24"/>
        </w:rPr>
        <w:t>mettre en place les processus et les ressources nécessaires</w:t>
      </w:r>
      <w:r w:rsidRPr="009C29EB">
        <w:rPr>
          <w:rStyle w:val="EndnoteReference"/>
          <w:rFonts w:ascii="Times New Roman" w:hAnsi="Times New Roman"/>
          <w:noProof/>
          <w:sz w:val="24"/>
        </w:rPr>
        <w:endnoteReference w:id="45"/>
      </w:r>
      <w:r>
        <w:rPr>
          <w:rFonts w:ascii="Times New Roman" w:hAnsi="Times New Roman"/>
          <w:noProof/>
          <w:sz w:val="24"/>
        </w:rPr>
        <w:t xml:space="preserve">. Si les modifications ne peuvent pas faire l'objet d'une analyse d'impact complète en raison du délai serré des négociations, chaque institution devrait pouvoir </w:t>
      </w:r>
      <w:r>
        <w:rPr>
          <w:rFonts w:ascii="Times New Roman" w:hAnsi="Times New Roman"/>
          <w:b/>
          <w:noProof/>
          <w:sz w:val="24"/>
        </w:rPr>
        <w:t>recourir à une méthodologie simple pour évaluer leurs coûts</w:t>
      </w:r>
      <w:r>
        <w:rPr>
          <w:rFonts w:ascii="Times New Roman" w:hAnsi="Times New Roman"/>
          <w:noProof/>
          <w:sz w:val="24"/>
        </w:rPr>
        <w:t>, comme indiqué plus haut.</w:t>
      </w:r>
    </w:p>
    <w:p w14:paraId="5D599C8F" w14:textId="3E446F7D" w:rsidR="006D79E5" w:rsidRDefault="005F65EF" w:rsidP="0096757C">
      <w:pPr>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both"/>
        <w:rPr>
          <w:rFonts w:ascii="Times New Roman" w:hAnsi="Times New Roman" w:cs="Times New Roman"/>
          <w:noProof/>
          <w:sz w:val="24"/>
          <w:szCs w:val="24"/>
        </w:rPr>
      </w:pPr>
      <w:r>
        <w:rPr>
          <w:rFonts w:ascii="Times New Roman" w:hAnsi="Times New Roman"/>
          <w:noProof/>
          <w:sz w:val="24"/>
        </w:rPr>
        <w:t xml:space="preserve">Une mise en œuvre et une simplification de qualité sont le fruit d'un effort commun fourni par l’ensemble des institutions de l’UE tout au long du processus législatif. En conséquence, les mesures de simplification devraient être clairement identifiées et reconnues par les colégislateurs, de sorte qu’elles puissent être </w:t>
      </w:r>
      <w:r>
        <w:rPr>
          <w:rFonts w:ascii="Times New Roman" w:hAnsi="Times New Roman"/>
          <w:b/>
          <w:noProof/>
          <w:sz w:val="24"/>
        </w:rPr>
        <w:t>traitées de manière ciblée en priorité</w:t>
      </w:r>
      <w:r>
        <w:rPr>
          <w:rFonts w:ascii="Times New Roman" w:hAnsi="Times New Roman"/>
          <w:noProof/>
          <w:sz w:val="24"/>
        </w:rPr>
        <w:t>, le but étant que la simplification procure rapidement des avantages.</w:t>
      </w:r>
    </w:p>
    <w:p w14:paraId="2B696E9D" w14:textId="2EDE7898" w:rsidR="00307886" w:rsidRPr="006154EC" w:rsidRDefault="00CF7F3E" w:rsidP="0086585F">
      <w:pPr>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both"/>
        <w:rPr>
          <w:rFonts w:ascii="Times New Roman" w:hAnsi="Times New Roman" w:cs="Times New Roman"/>
          <w:i/>
          <w:noProof/>
          <w:sz w:val="24"/>
          <w:szCs w:val="24"/>
        </w:rPr>
      </w:pPr>
      <w:r>
        <w:rPr>
          <w:rFonts w:ascii="Times New Roman" w:hAnsi="Times New Roman"/>
          <w:noProof/>
          <w:sz w:val="24"/>
        </w:rPr>
        <w:t xml:space="preserve">La Commission est disposée à travailler main dans la main avec le Parlement et le Conseil à cette fin, notamment en </w:t>
      </w:r>
      <w:r>
        <w:rPr>
          <w:rFonts w:ascii="Times New Roman" w:hAnsi="Times New Roman"/>
          <w:b/>
          <w:noProof/>
          <w:sz w:val="24"/>
        </w:rPr>
        <w:t>renouvelant l’accord interinstitutionnel «Mieux légiférer»</w:t>
      </w:r>
      <w:r>
        <w:rPr>
          <w:rFonts w:ascii="Times New Roman" w:hAnsi="Times New Roman"/>
          <w:noProof/>
          <w:sz w:val="24"/>
        </w:rPr>
        <w:t>, afin de déterminer clairement la manière d’atteindre au mieux ces objectifs.</w:t>
      </w:r>
    </w:p>
    <w:sectPr w:rsidR="00307886" w:rsidRPr="006154EC" w:rsidSect="00E3551D">
      <w:headerReference w:type="even" r:id="rId27"/>
      <w:headerReference w:type="default" r:id="rId28"/>
      <w:footerReference w:type="even" r:id="rId29"/>
      <w:footerReference w:type="default" r:id="rId30"/>
      <w:headerReference w:type="first" r:id="rId31"/>
      <w:footerReference w:type="first" r:id="rId32"/>
      <w:endnotePr>
        <w:numFmt w:val="decimal"/>
      </w:endnotePr>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3C9DCB" w14:textId="77777777" w:rsidR="00846B28" w:rsidRPr="006154EC" w:rsidRDefault="00846B28" w:rsidP="00A51683">
      <w:pPr>
        <w:spacing w:after="0" w:line="240" w:lineRule="auto"/>
      </w:pPr>
      <w:r w:rsidRPr="006154EC">
        <w:separator/>
      </w:r>
    </w:p>
  </w:endnote>
  <w:endnote w:type="continuationSeparator" w:id="0">
    <w:p w14:paraId="058E22AF" w14:textId="77777777" w:rsidR="00846B28" w:rsidRPr="006154EC" w:rsidRDefault="00846B28" w:rsidP="00A51683">
      <w:pPr>
        <w:spacing w:after="0" w:line="240" w:lineRule="auto"/>
      </w:pPr>
      <w:r w:rsidRPr="006154EC">
        <w:continuationSeparator/>
      </w:r>
    </w:p>
  </w:endnote>
  <w:endnote w:type="continuationNotice" w:id="1">
    <w:p w14:paraId="6B7AB3B7" w14:textId="77777777" w:rsidR="00846B28" w:rsidRPr="006154EC" w:rsidRDefault="00846B28">
      <w:pPr>
        <w:spacing w:after="0" w:line="240" w:lineRule="auto"/>
      </w:pPr>
    </w:p>
  </w:endnote>
  <w:endnote w:id="2">
    <w:p w14:paraId="54BB2067" w14:textId="77777777" w:rsidR="002C4C01" w:rsidRPr="001E7CBC" w:rsidRDefault="002C4C01" w:rsidP="002C4C01">
      <w:pPr>
        <w:pStyle w:val="EndnoteText"/>
        <w:ind w:left="170" w:hanging="170"/>
        <w:jc w:val="both"/>
        <w:rPr>
          <w:rFonts w:ascii="Times New Roman" w:hAnsi="Times New Roman" w:cs="Times New Roman"/>
        </w:rPr>
      </w:pPr>
      <w:r>
        <w:rPr>
          <w:rFonts w:ascii="Times New Roman" w:hAnsi="Times New Roman" w:cs="Times New Roman"/>
          <w:vertAlign w:val="superscript"/>
        </w:rPr>
        <w:endnoteRef/>
      </w:r>
      <w:r>
        <w:rPr>
          <w:rFonts w:ascii="Times New Roman" w:hAnsi="Times New Roman"/>
        </w:rPr>
        <w:t xml:space="preserve"> </w:t>
      </w:r>
      <w:hyperlink r:id="rId1" w:history="1">
        <w:r>
          <w:rPr>
            <w:rFonts w:ascii="Times New Roman" w:hAnsi="Times New Roman"/>
          </w:rPr>
          <w:t>Orientations politiques 2024-2029 |</w:t>
        </w:r>
      </w:hyperlink>
      <w:hyperlink r:id="rId2" w:history="1">
        <w:r>
          <w:rPr>
            <w:rFonts w:ascii="Times New Roman" w:hAnsi="Times New Roman"/>
          </w:rPr>
          <w:t xml:space="preserve"> Commission européenne</w:t>
        </w:r>
      </w:hyperlink>
      <w:r>
        <w:rPr>
          <w:rFonts w:ascii="Times New Roman" w:hAnsi="Times New Roman"/>
        </w:rPr>
        <w:t>.</w:t>
      </w:r>
    </w:p>
  </w:endnote>
  <w:endnote w:id="3">
    <w:p w14:paraId="29D704C2" w14:textId="77777777" w:rsidR="002C4C01" w:rsidRPr="001E7CBC" w:rsidRDefault="002C4C01" w:rsidP="002C4C01">
      <w:pPr>
        <w:pStyle w:val="EndnoteText"/>
        <w:ind w:left="170" w:hanging="170"/>
        <w:jc w:val="both"/>
        <w:rPr>
          <w:rFonts w:ascii="Times New Roman" w:hAnsi="Times New Roman" w:cs="Times New Roman"/>
        </w:rPr>
      </w:pPr>
      <w:r>
        <w:rPr>
          <w:rStyle w:val="EndnoteReference"/>
          <w:rFonts w:ascii="Times New Roman" w:hAnsi="Times New Roman" w:cs="Times New Roman"/>
        </w:rPr>
        <w:endnoteRef/>
      </w:r>
      <w:r>
        <w:rPr>
          <w:rFonts w:ascii="Times New Roman" w:hAnsi="Times New Roman"/>
        </w:rPr>
        <w:t xml:space="preserve"> Rapport 2024 de Mario Draghi sur l’avenir de la compétitivité européenne: </w:t>
      </w:r>
      <w:hyperlink r:id="rId3" w:history="1">
        <w:r>
          <w:rPr>
            <w:rStyle w:val="Hyperlink"/>
            <w:rFonts w:ascii="Times New Roman" w:hAnsi="Times New Roman"/>
          </w:rPr>
          <w:t>https://commission.europa.eu/ topics/strengthening-european-competitiveness/eu-competitiveness-looking-ahead_en#paragraph_47059</w:t>
        </w:r>
      </w:hyperlink>
      <w:r>
        <w:rPr>
          <w:rFonts w:ascii="Times New Roman" w:hAnsi="Times New Roman"/>
        </w:rPr>
        <w:t>.</w:t>
      </w:r>
    </w:p>
  </w:endnote>
  <w:endnote w:id="4">
    <w:p w14:paraId="38DE4B30" w14:textId="77777777" w:rsidR="002C4C01" w:rsidRPr="001E7CBC" w:rsidRDefault="002C4C01" w:rsidP="002C4C01">
      <w:pPr>
        <w:pStyle w:val="EndnoteText"/>
        <w:ind w:left="170" w:hanging="170"/>
        <w:jc w:val="both"/>
        <w:rPr>
          <w:rFonts w:ascii="Times New Roman" w:hAnsi="Times New Roman" w:cs="Times New Roman"/>
        </w:rPr>
      </w:pPr>
      <w:r>
        <w:rPr>
          <w:rStyle w:val="EndnoteReference"/>
          <w:rFonts w:ascii="Times New Roman" w:hAnsi="Times New Roman" w:cs="Times New Roman"/>
        </w:rPr>
        <w:endnoteRef/>
      </w:r>
      <w:r>
        <w:rPr>
          <w:rFonts w:ascii="Times New Roman" w:hAnsi="Times New Roman"/>
        </w:rPr>
        <w:t xml:space="preserve"> La «surréglementation» est un terme couramment utilisé dans le contexte de la mise en œuvre du droit de l’Union, qui désigne des obligations nationales supplémentaires qui vont au-delà des exigences de l’UE. D’un point de vue pratique, elle est considérée comme l’imposition d’exigences supplémentaires et d’une charge administrative (normes, lignes directrices et procédures) qui nuisent aux objectifs attendus de la législation de l’UE.</w:t>
      </w:r>
    </w:p>
  </w:endnote>
  <w:endnote w:id="5">
    <w:p w14:paraId="42F73991" w14:textId="77777777" w:rsidR="002C4C01" w:rsidRPr="001E7CBC" w:rsidRDefault="002C4C01" w:rsidP="002C4C01">
      <w:pPr>
        <w:pStyle w:val="EndnoteText"/>
        <w:ind w:left="170" w:hanging="170"/>
        <w:jc w:val="both"/>
        <w:rPr>
          <w:rFonts w:ascii="Times New Roman" w:hAnsi="Times New Roman" w:cs="Times New Roman"/>
        </w:rPr>
      </w:pPr>
      <w:r>
        <w:rPr>
          <w:rStyle w:val="EndnoteReference"/>
          <w:rFonts w:ascii="Times New Roman" w:hAnsi="Times New Roman" w:cs="Times New Roman"/>
        </w:rPr>
        <w:endnoteRef/>
      </w:r>
      <w:r>
        <w:rPr>
          <w:rFonts w:ascii="Times New Roman" w:hAnsi="Times New Roman"/>
        </w:rPr>
        <w:t xml:space="preserve"> Rapport 2024 d’Enrico Letta sur l’avenir du marché unique: </w:t>
      </w:r>
      <w:hyperlink r:id="rId4" w:history="1">
        <w:r>
          <w:rPr>
            <w:rStyle w:val="Hyperlink"/>
            <w:rFonts w:ascii="Times New Roman" w:hAnsi="Times New Roman"/>
          </w:rPr>
          <w:t>https://www.consilium.europa.eu/media/ ny3j24sm/much-more-than-a-market-report-by-enrico-l</w:t>
        </w:r>
        <w:bookmarkStart w:id="2" w:name="_Hlt189579463"/>
        <w:bookmarkStart w:id="3" w:name="_Hlt189579464"/>
        <w:r>
          <w:rPr>
            <w:rStyle w:val="Hyperlink"/>
            <w:rFonts w:ascii="Times New Roman" w:hAnsi="Times New Roman"/>
          </w:rPr>
          <w:t>e</w:t>
        </w:r>
        <w:bookmarkEnd w:id="2"/>
        <w:bookmarkEnd w:id="3"/>
        <w:r>
          <w:rPr>
            <w:rStyle w:val="Hyperlink"/>
            <w:rFonts w:ascii="Times New Roman" w:hAnsi="Times New Roman"/>
          </w:rPr>
          <w:t>tta.pdf</w:t>
        </w:r>
      </w:hyperlink>
    </w:p>
  </w:endnote>
  <w:endnote w:id="6">
    <w:p w14:paraId="2168544F" w14:textId="77777777" w:rsidR="002C4C01" w:rsidRPr="001E7CBC" w:rsidRDefault="002C4C01" w:rsidP="002C4C01">
      <w:pPr>
        <w:pStyle w:val="EndnoteText"/>
        <w:ind w:left="170" w:hanging="170"/>
        <w:jc w:val="both"/>
        <w:rPr>
          <w:rFonts w:ascii="Times New Roman" w:hAnsi="Times New Roman" w:cs="Times New Roman"/>
        </w:rPr>
      </w:pPr>
      <w:r>
        <w:rPr>
          <w:rStyle w:val="EndnoteReference"/>
          <w:rFonts w:ascii="Times New Roman" w:hAnsi="Times New Roman" w:cs="Times New Roman"/>
        </w:rPr>
        <w:endnoteRef/>
      </w:r>
      <w:r>
        <w:rPr>
          <w:rFonts w:ascii="Times New Roman" w:hAnsi="Times New Roman"/>
        </w:rPr>
        <w:t xml:space="preserve"> Rapport Draghi.</w:t>
      </w:r>
    </w:p>
  </w:endnote>
  <w:endnote w:id="7">
    <w:p w14:paraId="3A770C01" w14:textId="77777777" w:rsidR="002C4C01" w:rsidRPr="001E7CBC" w:rsidRDefault="002C4C01" w:rsidP="002C4C01">
      <w:pPr>
        <w:pStyle w:val="EndnoteText"/>
        <w:ind w:left="170" w:hanging="170"/>
        <w:jc w:val="both"/>
        <w:rPr>
          <w:rFonts w:ascii="Times New Roman" w:hAnsi="Times New Roman" w:cs="Times New Roman"/>
        </w:rPr>
      </w:pPr>
      <w:r>
        <w:rPr>
          <w:rStyle w:val="EndnoteReference"/>
          <w:rFonts w:ascii="Times New Roman" w:hAnsi="Times New Roman" w:cs="Times New Roman"/>
        </w:rPr>
        <w:endnoteRef/>
      </w:r>
      <w:r>
        <w:rPr>
          <w:rFonts w:ascii="Times New Roman" w:hAnsi="Times New Roman"/>
        </w:rPr>
        <w:t xml:space="preserve"> Lignes directrices pour une meilleure réglementation, SWD(2021) 0305 final, et outil 38 de la boîte à outils pour une meilleure réglementation.</w:t>
      </w:r>
    </w:p>
  </w:endnote>
  <w:endnote w:id="8">
    <w:p w14:paraId="041449C6" w14:textId="77777777" w:rsidR="002C4C01" w:rsidRPr="00B66A31" w:rsidRDefault="002C4C01" w:rsidP="002C4C01">
      <w:pPr>
        <w:pStyle w:val="EndnoteText"/>
        <w:ind w:left="170" w:hanging="170"/>
        <w:jc w:val="both"/>
        <w:rPr>
          <w:rFonts w:ascii="Times New Roman" w:hAnsi="Times New Roman" w:cs="Times New Roman"/>
          <w:lang w:val="en-IE"/>
        </w:rPr>
      </w:pPr>
      <w:r>
        <w:rPr>
          <w:rFonts w:ascii="Times New Roman" w:hAnsi="Times New Roman" w:cs="Times New Roman"/>
          <w:vertAlign w:val="superscript"/>
        </w:rPr>
        <w:endnoteRef/>
      </w:r>
      <w:r>
        <w:rPr>
          <w:rFonts w:ascii="Times New Roman" w:hAnsi="Times New Roman"/>
        </w:rPr>
        <w:t xml:space="preserve"> Les procédures simplifiées d’octroi de permis sont essentielles pour atteindre les objectifs en matière d’énergies renouvelables à l’horizon 2030. La Commission appuie cette action en organisant des dialogues structurés et des réunions bilatérales avec les États membres, pour examiner les programmes de transposition, en particulier pour l’octroi des permis. </w:t>
      </w:r>
      <w:hyperlink r:id="rId5" w:history="1">
        <w:r w:rsidRPr="00B66A31">
          <w:rPr>
            <w:rStyle w:val="Hyperlink"/>
            <w:rFonts w:ascii="Times New Roman" w:hAnsi="Times New Roman"/>
            <w:lang w:val="en-IE"/>
          </w:rPr>
          <w:t>https://energy.ec.europa.eu/news/commission-adopts-guidance-eu-countries-implementing-revised-directiv es-renewable-energy-and-energy-2024-09-02_en</w:t>
        </w:r>
      </w:hyperlink>
    </w:p>
  </w:endnote>
  <w:endnote w:id="9">
    <w:p w14:paraId="195EE861" w14:textId="77777777" w:rsidR="002C4C01" w:rsidRPr="00B66A31" w:rsidRDefault="002C4C01" w:rsidP="002C4C01">
      <w:pPr>
        <w:pStyle w:val="EndnoteText"/>
        <w:ind w:left="170" w:hanging="170"/>
        <w:jc w:val="both"/>
        <w:rPr>
          <w:rFonts w:ascii="Times New Roman" w:hAnsi="Times New Roman" w:cs="Times New Roman"/>
          <w:lang w:val="en-IE"/>
        </w:rPr>
      </w:pPr>
      <w:r>
        <w:rPr>
          <w:rStyle w:val="EndnoteReference"/>
          <w:rFonts w:ascii="Times New Roman" w:hAnsi="Times New Roman" w:cs="Times New Roman"/>
        </w:rPr>
        <w:endnoteRef/>
      </w:r>
      <w:r w:rsidRPr="00B66A31">
        <w:rPr>
          <w:rFonts w:ascii="Times New Roman" w:hAnsi="Times New Roman"/>
          <w:lang w:val="en-IE"/>
        </w:rPr>
        <w:t xml:space="preserve"> Voir le récent projet d’instrument d’appui technique «Building capacity for evidence-informed policymaking in governance and public administration in a post-pandemic Europe».</w:t>
      </w:r>
    </w:p>
  </w:endnote>
  <w:endnote w:id="10">
    <w:p w14:paraId="69059499" w14:textId="77777777" w:rsidR="002C4C01" w:rsidRPr="001E7CBC" w:rsidRDefault="002C4C01" w:rsidP="002C4C01">
      <w:pPr>
        <w:pStyle w:val="EndnoteText"/>
        <w:ind w:left="170" w:hanging="170"/>
        <w:jc w:val="both"/>
        <w:rPr>
          <w:rFonts w:ascii="Times New Roman" w:hAnsi="Times New Roman" w:cs="Times New Roman"/>
        </w:rPr>
      </w:pPr>
      <w:r>
        <w:rPr>
          <w:rStyle w:val="EndnoteReference"/>
          <w:rFonts w:ascii="Times New Roman" w:hAnsi="Times New Roman" w:cs="Times New Roman"/>
        </w:rPr>
        <w:endnoteRef/>
      </w:r>
      <w:r>
        <w:t xml:space="preserve"> </w:t>
      </w:r>
      <w:r>
        <w:rPr>
          <w:rFonts w:ascii="Times New Roman" w:hAnsi="Times New Roman"/>
        </w:rPr>
        <w:t xml:space="preserve">Commission européenne, </w:t>
      </w:r>
      <w:r>
        <w:rPr>
          <w:rFonts w:ascii="Times New Roman" w:hAnsi="Times New Roman"/>
          <w:i/>
          <w:iCs/>
        </w:rPr>
        <w:t>Renforcer l’espace administratif européen (ComPAct)</w:t>
      </w:r>
      <w:r>
        <w:rPr>
          <w:rFonts w:ascii="Times New Roman" w:hAnsi="Times New Roman"/>
        </w:rPr>
        <w:t>, COM(2023) 667 final.</w:t>
      </w:r>
    </w:p>
  </w:endnote>
  <w:endnote w:id="11">
    <w:p w14:paraId="162296BD" w14:textId="77777777" w:rsidR="002C4C01" w:rsidRPr="001E7CBC" w:rsidRDefault="002C4C01" w:rsidP="002C4C01">
      <w:pPr>
        <w:pStyle w:val="EndnoteText"/>
        <w:ind w:left="170" w:hanging="170"/>
        <w:jc w:val="both"/>
        <w:rPr>
          <w:rFonts w:ascii="Times New Roman" w:hAnsi="Times New Roman" w:cs="Times New Roman"/>
        </w:rPr>
      </w:pPr>
      <w:r>
        <w:rPr>
          <w:rStyle w:val="EndnoteReference"/>
          <w:rFonts w:ascii="Times New Roman" w:hAnsi="Times New Roman" w:cs="Times New Roman"/>
        </w:rPr>
        <w:endnoteRef/>
      </w:r>
      <w:r>
        <w:rPr>
          <w:rFonts w:ascii="Times New Roman" w:hAnsi="Times New Roman"/>
        </w:rPr>
        <w:t xml:space="preserve"> Le programme de coopération et d’échange de l’administration publique (PACE) facilite les échanges sur des sujets tels que la professionnalisation de l’administration publique, l’amélioration de la performance administrative et l’administration publique verte et numérique.</w:t>
      </w:r>
    </w:p>
  </w:endnote>
  <w:endnote w:id="12">
    <w:p w14:paraId="47FD8C61" w14:textId="77777777" w:rsidR="002C4C01" w:rsidRPr="001E7CBC" w:rsidRDefault="002C4C01" w:rsidP="002C4C01">
      <w:pPr>
        <w:pStyle w:val="EndnoteText"/>
        <w:ind w:left="170" w:hanging="170"/>
        <w:jc w:val="both"/>
        <w:rPr>
          <w:rFonts w:ascii="Times New Roman" w:hAnsi="Times New Roman" w:cs="Times New Roman"/>
        </w:rPr>
      </w:pPr>
      <w:r>
        <w:rPr>
          <w:rStyle w:val="EndnoteReference"/>
          <w:rFonts w:ascii="Times New Roman" w:hAnsi="Times New Roman" w:cs="Times New Roman"/>
        </w:rPr>
        <w:endnoteRef/>
      </w:r>
      <w:r>
        <w:rPr>
          <w:rFonts w:ascii="Times New Roman" w:hAnsi="Times New Roman"/>
        </w:rPr>
        <w:t xml:space="preserve"> Par exemple, la directive sur la transparence du marché unique et la directive sur le contrôle de proportionnalité, afin d’éviter la création de nouveaux obstacles et barrières, le tableau d’affichage du marché unique, les rapports par pays du Semestre européen, les plans nationaux en matière d’énergie et de climat, le rapport d’étape sur l’action climatique, l’examen de la mise en œuvre de la politique environnementale et les plans d’action nationaux dans le domaine de la pêche.</w:t>
      </w:r>
    </w:p>
  </w:endnote>
  <w:endnote w:id="13">
    <w:p w14:paraId="64FF3629" w14:textId="77777777" w:rsidR="002C4C01" w:rsidRPr="001E7CBC" w:rsidRDefault="002C4C01" w:rsidP="002C4C01">
      <w:pPr>
        <w:pStyle w:val="EndnoteText"/>
        <w:ind w:left="170" w:hanging="170"/>
        <w:jc w:val="both"/>
        <w:rPr>
          <w:rFonts w:ascii="Times New Roman" w:hAnsi="Times New Roman" w:cs="Times New Roman"/>
        </w:rPr>
      </w:pPr>
      <w:r>
        <w:rPr>
          <w:rStyle w:val="EndnoteReference"/>
          <w:rFonts w:ascii="Times New Roman" w:hAnsi="Times New Roman" w:cs="Times New Roman"/>
        </w:rPr>
        <w:endnoteRef/>
      </w:r>
      <w:r>
        <w:rPr>
          <w:rFonts w:ascii="Times New Roman" w:hAnsi="Times New Roman"/>
        </w:rPr>
        <w:t xml:space="preserve"> Par exemple, des outils tels que </w:t>
      </w:r>
      <w:hyperlink r:id="rId6" w:history="1">
        <w:r>
          <w:rPr>
            <w:rStyle w:val="Hyperlink"/>
            <w:rFonts w:ascii="Times New Roman" w:hAnsi="Times New Roman"/>
          </w:rPr>
          <w:t>SOLVIT</w:t>
        </w:r>
      </w:hyperlink>
      <w:r>
        <w:rPr>
          <w:rStyle w:val="Hyperlink"/>
          <w:rFonts w:ascii="Times New Roman" w:hAnsi="Times New Roman"/>
        </w:rPr>
        <w:t>,</w:t>
      </w:r>
      <w:r>
        <w:rPr>
          <w:rFonts w:ascii="Times New Roman" w:hAnsi="Times New Roman"/>
        </w:rPr>
        <w:t xml:space="preserve"> </w:t>
      </w:r>
      <w:hyperlink r:id="rId7" w:history="1">
        <w:r>
          <w:rPr>
            <w:rStyle w:val="Hyperlink"/>
            <w:rFonts w:ascii="Times New Roman" w:hAnsi="Times New Roman"/>
          </w:rPr>
          <w:t>FIN-NET</w:t>
        </w:r>
      </w:hyperlink>
      <w:r>
        <w:rPr>
          <w:rFonts w:ascii="Times New Roman" w:hAnsi="Times New Roman"/>
        </w:rPr>
        <w:t xml:space="preserve"> et </w:t>
      </w:r>
      <w:hyperlink r:id="rId8" w:history="1">
        <w:r>
          <w:rPr>
            <w:rStyle w:val="Hyperlink"/>
            <w:rFonts w:ascii="Times New Roman" w:hAnsi="Times New Roman"/>
          </w:rPr>
          <w:t>Your Europe</w:t>
        </w:r>
      </w:hyperlink>
      <w:r>
        <w:rPr>
          <w:rFonts w:ascii="Times New Roman" w:hAnsi="Times New Roman"/>
        </w:rPr>
        <w:t xml:space="preserve"> permettent aux citoyens et aux entreprises d’exercer pleinement leurs droits au sein du marché unique. Ils offrent des informations claires, une assistance pour des problèmes précis et des solutions en cas de problème.</w:t>
      </w:r>
    </w:p>
  </w:endnote>
  <w:endnote w:id="14">
    <w:p w14:paraId="2DCDA354" w14:textId="77777777" w:rsidR="002C4C01" w:rsidRPr="001E7CBC" w:rsidRDefault="002C4C01" w:rsidP="002C4C01">
      <w:pPr>
        <w:pStyle w:val="EndnoteText"/>
        <w:ind w:left="170" w:hanging="170"/>
        <w:jc w:val="both"/>
        <w:rPr>
          <w:rFonts w:ascii="Times New Roman" w:hAnsi="Times New Roman" w:cs="Times New Roman"/>
        </w:rPr>
      </w:pPr>
      <w:r>
        <w:rPr>
          <w:rStyle w:val="EndnoteReference"/>
          <w:rFonts w:ascii="Times New Roman" w:hAnsi="Times New Roman" w:cs="Times New Roman"/>
        </w:rPr>
        <w:endnoteRef/>
      </w:r>
      <w:r>
        <w:rPr>
          <w:rFonts w:ascii="Times New Roman" w:hAnsi="Times New Roman"/>
        </w:rPr>
        <w:t xml:space="preserve"> Connu sous le nom de «dialogue EU Pilot», dont le taux de réussite était de 75 % en 2024. Cette forme de dialogue est utilisée lorsqu’elle est susceptible d’aboutir à une mise en conformité plus rapidement qu’une procédure d’infraction formelle.</w:t>
      </w:r>
    </w:p>
  </w:endnote>
  <w:endnote w:id="15">
    <w:p w14:paraId="44FF9E97" w14:textId="77777777" w:rsidR="002C4C01" w:rsidRPr="00472275" w:rsidRDefault="002C4C01" w:rsidP="002C4C01">
      <w:pPr>
        <w:pStyle w:val="EndnoteText"/>
        <w:ind w:left="170" w:hanging="170"/>
        <w:rPr>
          <w:rFonts w:ascii="Times New Roman" w:hAnsi="Times New Roman" w:cs="Times New Roman"/>
        </w:rPr>
      </w:pPr>
      <w:r>
        <w:rPr>
          <w:rStyle w:val="EndnoteReference"/>
          <w:rFonts w:ascii="Times New Roman" w:hAnsi="Times New Roman" w:cs="Times New Roman"/>
        </w:rPr>
        <w:endnoteRef/>
      </w:r>
      <w:r>
        <w:rPr>
          <w:rFonts w:ascii="Times New Roman" w:hAnsi="Times New Roman"/>
        </w:rPr>
        <w:t xml:space="preserve"> Par exemple, lorsque la législation de l’UE établit des règles entièrement harmonisées. En outre, la Commission peut proposer une harmonisation complète plus fréquemment, dans les domaines où cela est possible, afin de garantir des conditions de concurrence équitables dans l’ensemble du marché unique, Commission européenne, </w:t>
      </w:r>
      <w:r>
        <w:rPr>
          <w:rFonts w:ascii="Times New Roman" w:hAnsi="Times New Roman"/>
          <w:i/>
        </w:rPr>
        <w:t>Une boussole pour la compétitivité de l’UE</w:t>
      </w:r>
      <w:r>
        <w:rPr>
          <w:rFonts w:ascii="Times New Roman" w:hAnsi="Times New Roman"/>
        </w:rPr>
        <w:t>, COM(2025) 30 final.</w:t>
      </w:r>
    </w:p>
  </w:endnote>
  <w:endnote w:id="16">
    <w:p w14:paraId="1D73CEDD" w14:textId="77777777" w:rsidR="002C4C01" w:rsidRPr="001E7CBC" w:rsidRDefault="002C4C01" w:rsidP="002C4C01">
      <w:pPr>
        <w:pStyle w:val="EndnoteText"/>
        <w:ind w:left="170" w:hanging="170"/>
        <w:jc w:val="both"/>
        <w:rPr>
          <w:rFonts w:ascii="Times New Roman" w:hAnsi="Times New Roman" w:cs="Times New Roman"/>
        </w:rPr>
      </w:pPr>
      <w:r>
        <w:rPr>
          <w:rStyle w:val="EndnoteReference"/>
          <w:rFonts w:ascii="Times New Roman" w:hAnsi="Times New Roman" w:cs="Times New Roman"/>
        </w:rPr>
        <w:endnoteRef/>
      </w:r>
      <w:r>
        <w:rPr>
          <w:rFonts w:ascii="Times New Roman" w:hAnsi="Times New Roman"/>
        </w:rPr>
        <w:t xml:space="preserve"> Commission européenne, «</w:t>
      </w:r>
      <w:r>
        <w:rPr>
          <w:rFonts w:ascii="Times New Roman" w:hAnsi="Times New Roman"/>
          <w:i/>
          <w:iCs/>
        </w:rPr>
        <w:t>Le droit de l’UE: une meilleure application pour de meilleurs résultats»</w:t>
      </w:r>
      <w:r>
        <w:rPr>
          <w:rFonts w:ascii="Times New Roman" w:hAnsi="Times New Roman"/>
        </w:rPr>
        <w:t xml:space="preserve"> [C(2016) 8600] et «</w:t>
      </w:r>
      <w:r>
        <w:rPr>
          <w:rFonts w:ascii="Times New Roman" w:hAnsi="Times New Roman"/>
          <w:i/>
          <w:iCs/>
        </w:rPr>
        <w:t>Faire appliquer le droit de l’Union afin de permettre à l’Europe de tenir ses engagements</w:t>
      </w:r>
      <w:r>
        <w:rPr>
          <w:rFonts w:ascii="Times New Roman" w:hAnsi="Times New Roman"/>
        </w:rPr>
        <w:t>», COM(2022) 518 final.</w:t>
      </w:r>
    </w:p>
  </w:endnote>
  <w:endnote w:id="17">
    <w:p w14:paraId="7ED3BD1D" w14:textId="77777777" w:rsidR="002C4C01" w:rsidRPr="00CD1E31" w:rsidRDefault="002C4C01" w:rsidP="002C4C01">
      <w:pPr>
        <w:pStyle w:val="EndnoteText"/>
      </w:pPr>
      <w:r>
        <w:rPr>
          <w:rStyle w:val="EndnoteReference"/>
        </w:rPr>
        <w:endnoteRef/>
      </w:r>
      <w:r>
        <w:t xml:space="preserve"> </w:t>
      </w:r>
      <w:r>
        <w:rPr>
          <w:rFonts w:ascii="Times New Roman" w:hAnsi="Times New Roman"/>
        </w:rPr>
        <w:t>Plus de 900 de ces affaires concernent la transposition incomplète ou incorrecte de directives.</w:t>
      </w:r>
    </w:p>
  </w:endnote>
  <w:endnote w:id="18">
    <w:p w14:paraId="1C0AF0A8" w14:textId="77777777" w:rsidR="002C4C01" w:rsidRPr="001E7CBC" w:rsidRDefault="002C4C01" w:rsidP="002C4C01">
      <w:pPr>
        <w:pStyle w:val="EndnoteText"/>
        <w:ind w:left="170" w:hanging="170"/>
        <w:jc w:val="both"/>
        <w:rPr>
          <w:rFonts w:ascii="Times New Roman" w:hAnsi="Times New Roman" w:cs="Times New Roman"/>
        </w:rPr>
      </w:pPr>
      <w:r>
        <w:rPr>
          <w:rStyle w:val="EndnoteReference"/>
          <w:rFonts w:ascii="Times New Roman" w:hAnsi="Times New Roman" w:cs="Times New Roman"/>
        </w:rPr>
        <w:endnoteRef/>
      </w:r>
      <w:r>
        <w:rPr>
          <w:rFonts w:ascii="Times New Roman" w:hAnsi="Times New Roman"/>
        </w:rPr>
        <w:t xml:space="preserve"> La Commission demande systématiquement à la Cour d’infliger des sanctions financières, sous la forme d’une somme forfaitaire et d’une astreinte journalière, lorsqu’un État membre ne prend pas les mesures nécessaires pour se conformer à un arrêt antérieur de la Cour constatant une infraction au droit de l’Union (article 260, paragraphe 2, du TFUE) et lorsqu’un État membre ne communique pas les mesures de transposition d’une directive adoptées dans le cadre d’une procédure législative (article 260, paragraphe 3, du TFUE). En 2023 et 2024, la Commission a engagé 134 procédures d’infraction devant la Cour de justice, en demandant des sanctions financières dans 55 de ces affaires.</w:t>
      </w:r>
    </w:p>
  </w:endnote>
  <w:endnote w:id="19">
    <w:p w14:paraId="6ABF1EE4" w14:textId="77777777" w:rsidR="002C4C01" w:rsidRPr="001E7CBC" w:rsidRDefault="002C4C01" w:rsidP="002C4C01">
      <w:pPr>
        <w:pStyle w:val="EndnoteText"/>
        <w:ind w:left="170" w:hanging="170"/>
        <w:jc w:val="both"/>
        <w:rPr>
          <w:rFonts w:ascii="Times New Roman" w:hAnsi="Times New Roman" w:cs="Times New Roman"/>
        </w:rPr>
      </w:pPr>
      <w:r>
        <w:rPr>
          <w:rStyle w:val="EndnoteReference"/>
          <w:rFonts w:ascii="Times New Roman" w:hAnsi="Times New Roman" w:cs="Times New Roman"/>
        </w:rPr>
        <w:endnoteRef/>
      </w:r>
      <w:r>
        <w:rPr>
          <w:rFonts w:ascii="Times New Roman" w:hAnsi="Times New Roman"/>
        </w:rPr>
        <w:t xml:space="preserve"> Commission européenne, «</w:t>
      </w:r>
      <w:r>
        <w:rPr>
          <w:rFonts w:ascii="Times New Roman" w:hAnsi="Times New Roman"/>
          <w:i/>
          <w:iCs/>
        </w:rPr>
        <w:t>La compétitivité à long terme de l’UE: se projeter au-delà de 2030</w:t>
      </w:r>
      <w:r>
        <w:rPr>
          <w:rFonts w:ascii="Times New Roman" w:hAnsi="Times New Roman"/>
        </w:rPr>
        <w:t>», COM(2023) 168 final.</w:t>
      </w:r>
    </w:p>
  </w:endnote>
  <w:endnote w:id="20">
    <w:p w14:paraId="41110411" w14:textId="77777777" w:rsidR="002C4C01" w:rsidRPr="001E7CBC" w:rsidRDefault="002C4C01" w:rsidP="002C4C01">
      <w:pPr>
        <w:pStyle w:val="EndnoteText"/>
        <w:ind w:left="170" w:hanging="170"/>
        <w:jc w:val="both"/>
        <w:rPr>
          <w:rFonts w:ascii="Times New Roman" w:hAnsi="Times New Roman" w:cs="Times New Roman"/>
        </w:rPr>
      </w:pPr>
      <w:r>
        <w:rPr>
          <w:rStyle w:val="EndnoteReference"/>
          <w:rFonts w:ascii="Times New Roman" w:hAnsi="Times New Roman" w:cs="Times New Roman"/>
        </w:rPr>
        <w:endnoteRef/>
      </w:r>
      <w:r>
        <w:rPr>
          <w:rFonts w:ascii="Times New Roman" w:hAnsi="Times New Roman"/>
        </w:rPr>
        <w:t>Programme de travail 2024 de la Commission européenne - Obtenir des résultats aujourd’hui et préparer demain – Annexe II, COM(2023) 638 final.</w:t>
      </w:r>
    </w:p>
  </w:endnote>
  <w:endnote w:id="21">
    <w:p w14:paraId="44D5E7F4" w14:textId="77777777" w:rsidR="002C4C01" w:rsidRPr="001E7CBC" w:rsidRDefault="002C4C01" w:rsidP="002C4C01">
      <w:pPr>
        <w:pStyle w:val="EndnoteText"/>
        <w:ind w:left="170" w:hanging="170"/>
        <w:jc w:val="both"/>
        <w:rPr>
          <w:rFonts w:ascii="Times New Roman" w:hAnsi="Times New Roman" w:cs="Times New Roman"/>
        </w:rPr>
      </w:pPr>
      <w:r>
        <w:rPr>
          <w:rStyle w:val="EndnoteReference"/>
          <w:rFonts w:ascii="Times New Roman" w:hAnsi="Times New Roman" w:cs="Times New Roman"/>
        </w:rPr>
        <w:endnoteRef/>
      </w:r>
      <w:r>
        <w:rPr>
          <w:rFonts w:ascii="Times New Roman" w:hAnsi="Times New Roman"/>
        </w:rPr>
        <w:t xml:space="preserve"> En 2024, la Commission a présenté une proposition de règlement qui établit une interface publique multilingue reposant sur un formulaire type facultatif pour la déclaration des travailleurs détachés. La réduction moyenne du temps nécessaire pour remplir une déclaration de détachement avec le formulaire type est estimée à environ 73 % par rapport au temps moyen actuellement nécessaire dans l’ensemble de l’UE. Cela renforcera la protection des travailleurs, en améliorant la transparence des détachements, et aidera les États membres à réaliser des inspections efficaces et ciblées.</w:t>
      </w:r>
    </w:p>
  </w:endnote>
  <w:endnote w:id="22">
    <w:p w14:paraId="5D304512" w14:textId="77777777" w:rsidR="002C4C01" w:rsidRPr="00C6572C" w:rsidRDefault="002C4C01" w:rsidP="002C4C01">
      <w:pPr>
        <w:pStyle w:val="EndnoteText"/>
        <w:rPr>
          <w:rFonts w:ascii="Times New Roman" w:hAnsi="Times New Roman" w:cs="Times New Roman"/>
        </w:rPr>
      </w:pPr>
      <w:r>
        <w:rPr>
          <w:rStyle w:val="EndnoteReference"/>
          <w:rFonts w:ascii="Times New Roman" w:hAnsi="Times New Roman" w:cs="Times New Roman"/>
        </w:rPr>
        <w:endnoteRef/>
      </w:r>
      <w:r>
        <w:rPr>
          <w:rFonts w:ascii="Times New Roman" w:hAnsi="Times New Roman"/>
        </w:rPr>
        <w:t xml:space="preserve"> Cela inclut les coûts ponctuels récurrents et annualisés.</w:t>
      </w:r>
    </w:p>
  </w:endnote>
  <w:endnote w:id="23">
    <w:p w14:paraId="1FD69DAE" w14:textId="77777777" w:rsidR="002C4C01" w:rsidRPr="004A3DFF" w:rsidRDefault="002C4C01" w:rsidP="002C4C01">
      <w:pPr>
        <w:pStyle w:val="EndnoteText"/>
      </w:pPr>
      <w:r>
        <w:rPr>
          <w:rStyle w:val="EndnoteReference"/>
        </w:rPr>
        <w:endnoteRef/>
      </w:r>
      <w:r>
        <w:t xml:space="preserve"> </w:t>
      </w:r>
      <w:r>
        <w:rPr>
          <w:rFonts w:ascii="Times New Roman" w:hAnsi="Times New Roman"/>
        </w:rPr>
        <w:t>Commission européenne, «</w:t>
      </w:r>
      <w:r>
        <w:rPr>
          <w:rFonts w:ascii="Times New Roman" w:hAnsi="Times New Roman"/>
          <w:i/>
          <w:iCs/>
        </w:rPr>
        <w:t>Une meilleure réglementation: unir nos forces pour améliorer la législation</w:t>
      </w:r>
      <w:r>
        <w:rPr>
          <w:rFonts w:ascii="Times New Roman" w:hAnsi="Times New Roman"/>
        </w:rPr>
        <w:t>», COM(2021) 219 final.</w:t>
      </w:r>
    </w:p>
  </w:endnote>
  <w:endnote w:id="24">
    <w:p w14:paraId="076BE366" w14:textId="77777777" w:rsidR="002C4C01" w:rsidRPr="001E7CBC" w:rsidRDefault="002C4C01" w:rsidP="002C4C01">
      <w:pPr>
        <w:pStyle w:val="EndnoteText"/>
        <w:ind w:left="170" w:hanging="170"/>
        <w:jc w:val="both"/>
        <w:rPr>
          <w:rFonts w:ascii="Times New Roman" w:hAnsi="Times New Roman" w:cs="Times New Roman"/>
        </w:rPr>
      </w:pPr>
      <w:r>
        <w:rPr>
          <w:rStyle w:val="EndnoteReference"/>
          <w:rFonts w:ascii="Times New Roman" w:hAnsi="Times New Roman" w:cs="Times New Roman"/>
        </w:rPr>
        <w:endnoteRef/>
      </w:r>
      <w:r>
        <w:rPr>
          <w:rFonts w:ascii="Times New Roman" w:hAnsi="Times New Roman"/>
        </w:rPr>
        <w:t xml:space="preserve"> Ces économies sont fondées sur les initiatives adoptées par la Commission et sont estimées à 7,3 milliards d’euros en 2022, à 6,3 milliards d’euros en 2023 et à 260 millions d’euros en 2024 (année de transition à la fin du précédent mandat de la Commission, avec un niveau d’activité législative plus faible). Certaines de ces mesures n’ont toutefois pas encore été adoptées ou le potentiel d’économies de coûts a été réduit par des modifications de la législation proposée.</w:t>
      </w:r>
    </w:p>
  </w:endnote>
  <w:endnote w:id="25">
    <w:p w14:paraId="50FF6299" w14:textId="77777777" w:rsidR="002C4C01" w:rsidRPr="00B705E9" w:rsidRDefault="002C4C01" w:rsidP="002C4C01">
      <w:pPr>
        <w:pStyle w:val="EndnoteText"/>
        <w:ind w:left="170" w:hanging="170"/>
        <w:jc w:val="both"/>
        <w:rPr>
          <w:rFonts w:ascii="Times New Roman" w:hAnsi="Times New Roman" w:cs="Times New Roman"/>
        </w:rPr>
      </w:pPr>
      <w:r>
        <w:rPr>
          <w:rStyle w:val="EndnoteReference"/>
          <w:rFonts w:ascii="Times New Roman" w:hAnsi="Times New Roman" w:cs="Times New Roman"/>
        </w:rPr>
        <w:endnoteRef/>
      </w:r>
      <w:r>
        <w:rPr>
          <w:rFonts w:ascii="Times New Roman" w:hAnsi="Times New Roman"/>
        </w:rPr>
        <w:t xml:space="preserve"> Les entreprises rencontrant des obstacles juridiques ou administratifs dans un État membre peuvent les signaler sur le site </w:t>
      </w:r>
      <w:hyperlink r:id="rId9" w:history="1">
        <w:r>
          <w:rPr>
            <w:rStyle w:val="Hyperlink"/>
            <w:rFonts w:ascii="Times New Roman" w:hAnsi="Times New Roman"/>
          </w:rPr>
          <w:t>https://fosmo.youreurope.europa.eu/</w:t>
        </w:r>
      </w:hyperlink>
      <w:r>
        <w:rPr>
          <w:rFonts w:ascii="Times New Roman" w:hAnsi="Times New Roman"/>
        </w:rPr>
        <w:t xml:space="preserve"> et les associations professionnelles et autres organisations réunissant plusieurs sociétés peuvent contacter </w:t>
      </w:r>
      <w:hyperlink r:id="rId10" w:history="1">
        <w:r>
          <w:rPr>
            <w:rStyle w:val="Hyperlink"/>
            <w:rFonts w:ascii="Times New Roman" w:hAnsi="Times New Roman"/>
          </w:rPr>
          <w:t>grow-single-digital-gateway@ec.europa.eu</w:t>
        </w:r>
      </w:hyperlink>
      <w:r>
        <w:rPr>
          <w:rFonts w:ascii="Times New Roman" w:hAnsi="Times New Roman"/>
        </w:rPr>
        <w:t xml:space="preserve"> pour signaler des obstacles. Elles peuvent tout d’abord obtenir une aide et des conseils personnalisés sur le site </w:t>
      </w:r>
      <w:hyperlink r:id="rId11" w:history="1">
        <w:r>
          <w:rPr>
            <w:rStyle w:val="Hyperlink"/>
            <w:rFonts w:ascii="Times New Roman" w:hAnsi="Times New Roman"/>
          </w:rPr>
          <w:t>https://asf.youreurope.europa.eu/</w:t>
        </w:r>
      </w:hyperlink>
      <w:r>
        <w:rPr>
          <w:rFonts w:ascii="Times New Roman" w:hAnsi="Times New Roman"/>
        </w:rPr>
        <w:t>.</w:t>
      </w:r>
    </w:p>
  </w:endnote>
  <w:endnote w:id="26">
    <w:p w14:paraId="7076574E" w14:textId="77777777" w:rsidR="002C4C01" w:rsidRPr="00EE562D" w:rsidRDefault="002C4C01" w:rsidP="002C4C01">
      <w:pPr>
        <w:pStyle w:val="EndnoteText"/>
        <w:ind w:left="170" w:hanging="170"/>
        <w:jc w:val="both"/>
      </w:pPr>
      <w:r>
        <w:rPr>
          <w:rStyle w:val="EndnoteReference"/>
        </w:rPr>
        <w:endnoteRef/>
      </w:r>
      <w:r>
        <w:t xml:space="preserve"> </w:t>
      </w:r>
      <w:r>
        <w:rPr>
          <w:rFonts w:ascii="Times New Roman" w:hAnsi="Times New Roman"/>
        </w:rPr>
        <w:t>Pendant les quatre années de son mandat, la plateforme a émis 41 avis et 260 suggestions spécifiques. Plusieurs initiatives phares de la Commission ont bénéficié de cette expertise, notamment le paquet «La TVA à l’ère du numérique», le règlement sur l’écoconception pour des produits durables, le règlement sur les infrastructures gigabit, le règlement pour une Europe interopérable, le paquet «Union bancaire» et l’acte législatif sur l’admission à la cote.</w:t>
      </w:r>
    </w:p>
  </w:endnote>
  <w:endnote w:id="27">
    <w:p w14:paraId="07002F5E" w14:textId="77777777" w:rsidR="002C4C01" w:rsidRPr="001E7CBC" w:rsidRDefault="002C4C01" w:rsidP="002C4C01">
      <w:pPr>
        <w:pStyle w:val="EndnoteText"/>
        <w:ind w:left="170" w:hanging="170"/>
        <w:jc w:val="both"/>
        <w:rPr>
          <w:rFonts w:ascii="Times New Roman" w:hAnsi="Times New Roman" w:cs="Times New Roman"/>
        </w:rPr>
      </w:pPr>
      <w:r>
        <w:rPr>
          <w:rStyle w:val="EndnoteReference"/>
          <w:rFonts w:ascii="Times New Roman" w:hAnsi="Times New Roman" w:cs="Times New Roman"/>
        </w:rPr>
        <w:endnoteRef/>
      </w:r>
      <w:r>
        <w:rPr>
          <w:rFonts w:ascii="Times New Roman" w:hAnsi="Times New Roman"/>
        </w:rPr>
        <w:t xml:space="preserve"> Les calculs suivent une approche pragmatique; ils reposent sur des travaux antérieurs et tiennent compte des estimations de la charge réalisées par le groupe de haut niveau sur les charges administratives en 2012 et des tendances de la charge observées pendant la période 2012-2022 pour certains États membres pour lesquels les données sont disponibles. </w:t>
      </w:r>
    </w:p>
  </w:endnote>
  <w:endnote w:id="28">
    <w:p w14:paraId="2D25EF82" w14:textId="77777777" w:rsidR="002C4C01" w:rsidRPr="001E7CBC" w:rsidRDefault="002C4C01" w:rsidP="002C4C01">
      <w:pPr>
        <w:pStyle w:val="EndnoteText"/>
        <w:ind w:left="170" w:hanging="170"/>
        <w:jc w:val="both"/>
        <w:rPr>
          <w:rFonts w:ascii="Times New Roman" w:hAnsi="Times New Roman" w:cs="Times New Roman"/>
        </w:rPr>
      </w:pPr>
      <w:r>
        <w:rPr>
          <w:rStyle w:val="EndnoteReference"/>
          <w:rFonts w:ascii="Times New Roman" w:hAnsi="Times New Roman" w:cs="Times New Roman"/>
        </w:rPr>
        <w:endnoteRef/>
      </w:r>
      <w:r>
        <w:rPr>
          <w:rFonts w:ascii="Times New Roman" w:hAnsi="Times New Roman"/>
        </w:rPr>
        <w:t xml:space="preserve"> Il s’agit notamment des 41 initiatives adoptées parallèlement au programme de travail 2024 de la Commission, ainsi que de propositions ultérieures présentées par cette dernière, telles que le train de mesures de simplification pour l’agriculture. Ces économies ont été estimées à l’aide de la méthode des coûts standard de l’UE.</w:t>
      </w:r>
    </w:p>
  </w:endnote>
  <w:endnote w:id="29">
    <w:p w14:paraId="08BAE6FD" w14:textId="77777777" w:rsidR="00E7306A" w:rsidRPr="001E7CBC" w:rsidRDefault="00E7306A" w:rsidP="006F7B45">
      <w:pPr>
        <w:pStyle w:val="EndnoteText"/>
        <w:ind w:left="170" w:hanging="170"/>
        <w:jc w:val="both"/>
        <w:rPr>
          <w:rFonts w:ascii="Times New Roman" w:hAnsi="Times New Roman" w:cs="Times New Roman"/>
        </w:rPr>
      </w:pPr>
      <w:r>
        <w:rPr>
          <w:rStyle w:val="EndnoteReference"/>
          <w:rFonts w:ascii="Times New Roman" w:hAnsi="Times New Roman" w:cs="Times New Roman"/>
        </w:rPr>
        <w:endnoteRef/>
      </w:r>
      <w:r>
        <w:rPr>
          <w:rFonts w:ascii="Times New Roman" w:hAnsi="Times New Roman"/>
        </w:rPr>
        <w:t xml:space="preserve"> Les parties prenantes ont pu donner leur avis dans le cadre d'un appel à contributions sur la rationalisation des obligations d’information, resté ouvert jusqu’en décembre 2023. Quelque 200 personnes y ont répondu, leur contribution venant s’ajouter à des discussions ciblées avec des associations et d’autres parties prenantes, notamment sous la forme d’ateliers avec les entreprises (dont des PME).</w:t>
      </w:r>
    </w:p>
  </w:endnote>
  <w:endnote w:id="30">
    <w:p w14:paraId="0B0DCF03" w14:textId="092522CA" w:rsidR="00E7306A" w:rsidRPr="00247401" w:rsidRDefault="00E7306A" w:rsidP="00CF7C55">
      <w:pPr>
        <w:pStyle w:val="EndnoteText"/>
        <w:ind w:left="170" w:hanging="170"/>
      </w:pPr>
      <w:r>
        <w:rPr>
          <w:rStyle w:val="EndnoteReference"/>
        </w:rPr>
        <w:endnoteRef/>
      </w:r>
      <w:r>
        <w:t xml:space="preserve"> </w:t>
      </w:r>
      <w:r>
        <w:rPr>
          <w:rFonts w:ascii="Times New Roman" w:hAnsi="Times New Roman"/>
        </w:rPr>
        <w:t>L’acquis numérique comprend notamment le règlement général sur la protection des données, le règlement sur la gouvernance des données, le règlement sur les données, le règlement sur la cybersécurité, le règlement sur la cyberrésilience, le règlement de l’UE sur les semi-conducteurs et le règlement sur l’intelligence artificielle.</w:t>
      </w:r>
    </w:p>
  </w:endnote>
  <w:endnote w:id="31">
    <w:p w14:paraId="5A1F79DE" w14:textId="241C860C" w:rsidR="00E7306A" w:rsidRPr="00A0689A" w:rsidRDefault="00E7306A">
      <w:pPr>
        <w:pStyle w:val="EndnoteText"/>
      </w:pPr>
      <w:r>
        <w:rPr>
          <w:rStyle w:val="EndnoteReference"/>
        </w:rPr>
        <w:endnoteRef/>
      </w:r>
      <w:r>
        <w:t xml:space="preserve"> </w:t>
      </w:r>
      <w:r>
        <w:rPr>
          <w:rFonts w:ascii="Times New Roman" w:hAnsi="Times New Roman"/>
        </w:rPr>
        <w:t>Voir aussi la section IV c) ci-après, intitulée «Livraison intelligente et numérique intégrée dans la conception de la législation de l’UE».</w:t>
      </w:r>
    </w:p>
  </w:endnote>
  <w:endnote w:id="32">
    <w:p w14:paraId="1905327F" w14:textId="4DF0C10D" w:rsidR="00E7306A" w:rsidRPr="00D1036F" w:rsidRDefault="00E7306A" w:rsidP="006F7B45">
      <w:pPr>
        <w:pStyle w:val="EndnoteText"/>
        <w:ind w:left="170" w:hanging="170"/>
        <w:jc w:val="both"/>
        <w:rPr>
          <w:rFonts w:ascii="Times New Roman" w:hAnsi="Times New Roman" w:cs="Times New Roman"/>
          <w:lang w:val="en-IE"/>
        </w:rPr>
      </w:pPr>
      <w:r>
        <w:rPr>
          <w:rStyle w:val="EndnoteReference"/>
          <w:rFonts w:ascii="Times New Roman" w:hAnsi="Times New Roman" w:cs="Times New Roman"/>
        </w:rPr>
        <w:endnoteRef/>
      </w:r>
      <w:r w:rsidRPr="00D1036F">
        <w:rPr>
          <w:rFonts w:ascii="Times New Roman" w:hAnsi="Times New Roman"/>
          <w:lang w:val="en-IE"/>
        </w:rPr>
        <w:t xml:space="preserve"> COM(2025) 46 final.</w:t>
      </w:r>
    </w:p>
  </w:endnote>
  <w:endnote w:id="33">
    <w:p w14:paraId="01160614" w14:textId="54A76062" w:rsidR="00E7306A" w:rsidRPr="00D1036F" w:rsidRDefault="00E7306A" w:rsidP="006F7B45">
      <w:pPr>
        <w:pStyle w:val="EndnoteText"/>
        <w:ind w:left="170" w:hanging="170"/>
        <w:jc w:val="both"/>
        <w:rPr>
          <w:rFonts w:ascii="Times New Roman" w:hAnsi="Times New Roman" w:cs="Times New Roman"/>
          <w:lang w:val="en-IE"/>
        </w:rPr>
      </w:pPr>
      <w:r>
        <w:rPr>
          <w:rStyle w:val="EndnoteReference"/>
          <w:rFonts w:ascii="Times New Roman" w:hAnsi="Times New Roman" w:cs="Times New Roman"/>
        </w:rPr>
        <w:endnoteRef/>
      </w:r>
      <w:r w:rsidRPr="00D1036F">
        <w:rPr>
          <w:rFonts w:ascii="Times New Roman" w:hAnsi="Times New Roman"/>
          <w:lang w:val="en-IE"/>
        </w:rPr>
        <w:t xml:space="preserve"> </w:t>
      </w:r>
      <w:hyperlink r:id="rId12" w:history="1">
        <w:r w:rsidRPr="00D1036F">
          <w:rPr>
            <w:rStyle w:val="Hyperlink"/>
            <w:rFonts w:ascii="Times New Roman" w:hAnsi="Times New Roman"/>
            <w:lang w:val="en-IE"/>
          </w:rPr>
          <w:t>https://commission.europa.eu/law/law-making-process/planning-and-proposing-law/better-regulation/better-regulation-guidelines-and-toolbox_en?prefLang=fr</w:t>
        </w:r>
      </w:hyperlink>
      <w:r w:rsidRPr="00D1036F">
        <w:rPr>
          <w:rStyle w:val="Hyperlink"/>
          <w:rFonts w:ascii="Times New Roman" w:hAnsi="Times New Roman"/>
          <w:lang w:val="en-IE"/>
        </w:rPr>
        <w:t>.</w:t>
      </w:r>
      <w:r w:rsidRPr="00D1036F">
        <w:rPr>
          <w:rFonts w:ascii="Times New Roman" w:hAnsi="Times New Roman"/>
          <w:lang w:val="en-IE"/>
        </w:rPr>
        <w:t xml:space="preserve"> </w:t>
      </w:r>
    </w:p>
  </w:endnote>
  <w:endnote w:id="34">
    <w:p w14:paraId="43C6FD04" w14:textId="33ADF0EB" w:rsidR="00E7306A" w:rsidRPr="001E7CBC" w:rsidRDefault="00E7306A" w:rsidP="006F7B45">
      <w:pPr>
        <w:pStyle w:val="EndnoteText"/>
        <w:ind w:left="170" w:hanging="170"/>
        <w:jc w:val="both"/>
        <w:rPr>
          <w:rFonts w:ascii="Times New Roman" w:hAnsi="Times New Roman" w:cs="Times New Roman"/>
        </w:rPr>
      </w:pPr>
      <w:r>
        <w:rPr>
          <w:rStyle w:val="EndnoteReference"/>
          <w:rFonts w:ascii="Times New Roman" w:hAnsi="Times New Roman" w:cs="Times New Roman"/>
        </w:rPr>
        <w:endnoteRef/>
      </w:r>
      <w:r>
        <w:rPr>
          <w:rFonts w:ascii="Times New Roman" w:hAnsi="Times New Roman"/>
        </w:rPr>
        <w:t xml:space="preserve"> Sur la base du document intitulé </w:t>
      </w:r>
      <w:hyperlink r:id="rId13" w:history="1">
        <w:r>
          <w:rPr>
            <w:rStyle w:val="Hyperlink"/>
            <w:rFonts w:ascii="Times New Roman" w:hAnsi="Times New Roman"/>
          </w:rPr>
          <w:t>«Politique de la réglementation: perspectives de l’OCDE 2021» | OCDE</w:t>
        </w:r>
      </w:hyperlink>
      <w:r>
        <w:rPr>
          <w:rStyle w:val="Hyperlink"/>
          <w:rFonts w:ascii="Times New Roman" w:hAnsi="Times New Roman"/>
          <w:color w:val="auto"/>
          <w:u w:val="none"/>
        </w:rPr>
        <w:t>.</w:t>
      </w:r>
      <w:r>
        <w:rPr>
          <w:rFonts w:ascii="Times New Roman" w:hAnsi="Times New Roman"/>
        </w:rPr>
        <w:t xml:space="preserve"> Le processus de consultation sera également amélioré grâce aux changements à apporter aux dialogues sur la mise en œuvre et aux vérifications sur le terrain dont il a été question plus haut.</w:t>
      </w:r>
    </w:p>
  </w:endnote>
  <w:endnote w:id="35">
    <w:p w14:paraId="6331F4E2" w14:textId="452732FA" w:rsidR="00E7306A" w:rsidRPr="001E7CBC" w:rsidRDefault="00E7306A" w:rsidP="00E81FA8">
      <w:pPr>
        <w:pStyle w:val="EndnoteText"/>
        <w:ind w:left="170" w:hanging="170"/>
        <w:jc w:val="both"/>
        <w:rPr>
          <w:rFonts w:ascii="Times New Roman" w:hAnsi="Times New Roman" w:cs="Times New Roman"/>
        </w:rPr>
      </w:pPr>
      <w:r>
        <w:rPr>
          <w:rFonts w:ascii="Times New Roman" w:hAnsi="Times New Roman" w:cs="Times New Roman"/>
          <w:vertAlign w:val="superscript"/>
        </w:rPr>
        <w:endnoteRef/>
      </w:r>
      <w:r w:rsidRPr="002C4C01">
        <w:rPr>
          <w:rFonts w:ascii="Times New Roman" w:hAnsi="Times New Roman"/>
          <w:vertAlign w:val="superscript"/>
          <w:lang w:val="fr-BE"/>
        </w:rPr>
        <w:t xml:space="preserve"> </w:t>
      </w:r>
      <w:r w:rsidRPr="002C4C01">
        <w:rPr>
          <w:rFonts w:ascii="Times New Roman" w:hAnsi="Times New Roman"/>
          <w:lang w:val="fr-BE"/>
        </w:rPr>
        <w:t xml:space="preserve">Final opinion SME_test.pdf (europa.eu). </w:t>
      </w:r>
      <w:r>
        <w:rPr>
          <w:rFonts w:ascii="Times New Roman" w:hAnsi="Times New Roman"/>
        </w:rPr>
        <w:t>Le test PME en cours est défini dans l’outil 23. Il y a lieu également de prendre en considération les effets possibles sur les petites entreprises à moyenne capitalisation, dans la mesure où il est possible de les distinguer.</w:t>
      </w:r>
    </w:p>
  </w:endnote>
  <w:endnote w:id="36">
    <w:p w14:paraId="592276AE" w14:textId="08360D84" w:rsidR="00E7306A" w:rsidRPr="001E7CBC" w:rsidRDefault="00E7306A" w:rsidP="00E81FA8">
      <w:pPr>
        <w:pStyle w:val="EndnoteText"/>
        <w:ind w:left="170" w:hanging="170"/>
        <w:jc w:val="both"/>
        <w:rPr>
          <w:rFonts w:ascii="Times New Roman" w:hAnsi="Times New Roman" w:cs="Times New Roman"/>
        </w:rPr>
      </w:pPr>
      <w:r>
        <w:rPr>
          <w:rStyle w:val="EndnoteReference"/>
          <w:rFonts w:ascii="Times New Roman" w:hAnsi="Times New Roman" w:cs="Times New Roman"/>
        </w:rPr>
        <w:endnoteRef/>
      </w:r>
      <w:r>
        <w:rPr>
          <w:rFonts w:ascii="Times New Roman" w:hAnsi="Times New Roman"/>
        </w:rPr>
        <w:t xml:space="preserve"> En vertu de l’article 290 du traité sur le fonctionnement de l’UE (TFUE), les actes délégués peuvent compléter ou modifier certains éléments non essentiels d’un acte législatif si ce dernier délègue de tels pouvoirs.</w:t>
      </w:r>
    </w:p>
  </w:endnote>
  <w:endnote w:id="37">
    <w:p w14:paraId="44248DBE" w14:textId="280A720F" w:rsidR="00E7306A" w:rsidRPr="001E7CBC" w:rsidRDefault="00E7306A" w:rsidP="00E81FA8">
      <w:pPr>
        <w:pStyle w:val="EndnoteText"/>
        <w:ind w:left="170" w:hanging="170"/>
        <w:jc w:val="both"/>
        <w:rPr>
          <w:rFonts w:ascii="Times New Roman" w:hAnsi="Times New Roman" w:cs="Times New Roman"/>
        </w:rPr>
      </w:pPr>
      <w:r>
        <w:rPr>
          <w:rStyle w:val="EndnoteReference"/>
          <w:rFonts w:ascii="Times New Roman" w:hAnsi="Times New Roman" w:cs="Times New Roman"/>
        </w:rPr>
        <w:endnoteRef/>
      </w:r>
      <w:r>
        <w:rPr>
          <w:rFonts w:ascii="Times New Roman" w:hAnsi="Times New Roman"/>
        </w:rPr>
        <w:t>Lorsque des conditions uniformes d'exécution des actes juridiquement contraignants de l'Union sont nécessaires, ces actes confèrent des compétences d'exécution à la Commission en vertu de l'article 291 du TFUE.</w:t>
      </w:r>
    </w:p>
  </w:endnote>
  <w:endnote w:id="38">
    <w:p w14:paraId="013A372A" w14:textId="141DC43B" w:rsidR="00E7306A" w:rsidRPr="001E7CBC" w:rsidRDefault="00E7306A" w:rsidP="00E81FA8">
      <w:pPr>
        <w:pStyle w:val="EndnoteText"/>
        <w:ind w:left="170" w:hanging="170"/>
        <w:jc w:val="both"/>
        <w:rPr>
          <w:rFonts w:ascii="Times New Roman" w:hAnsi="Times New Roman" w:cs="Times New Roman"/>
        </w:rPr>
      </w:pPr>
      <w:r>
        <w:rPr>
          <w:rStyle w:val="EndnoteReference"/>
          <w:rFonts w:ascii="Times New Roman" w:hAnsi="Times New Roman" w:cs="Times New Roman"/>
        </w:rPr>
        <w:endnoteRef/>
      </w:r>
      <w:r>
        <w:rPr>
          <w:rFonts w:ascii="Times New Roman" w:hAnsi="Times New Roman"/>
        </w:rPr>
        <w:t xml:space="preserve"> </w:t>
      </w:r>
      <w:r>
        <w:t xml:space="preserve">Voir l’outil 42 de la </w:t>
      </w:r>
      <w:hyperlink r:id="rId14" w:history="1">
        <w:r>
          <w:rPr>
            <w:rStyle w:val="Hyperlink"/>
            <w:rFonts w:ascii="Times New Roman" w:hAnsi="Times New Roman"/>
          </w:rPr>
          <w:t>boîte à outils pour une meilleure réglementation</w:t>
        </w:r>
      </w:hyperlink>
      <w:r>
        <w:t>.</w:t>
      </w:r>
    </w:p>
  </w:endnote>
  <w:endnote w:id="39">
    <w:p w14:paraId="3143CC33" w14:textId="18DFEA01" w:rsidR="00E7306A" w:rsidRPr="001E7CBC" w:rsidRDefault="00E7306A" w:rsidP="00E81FA8">
      <w:pPr>
        <w:pStyle w:val="EndnoteText"/>
        <w:ind w:left="170" w:hanging="170"/>
        <w:jc w:val="both"/>
        <w:rPr>
          <w:rFonts w:ascii="Times New Roman" w:hAnsi="Times New Roman" w:cs="Times New Roman"/>
        </w:rPr>
      </w:pPr>
      <w:r>
        <w:rPr>
          <w:rStyle w:val="EndnoteReference"/>
          <w:rFonts w:ascii="Times New Roman" w:hAnsi="Times New Roman" w:cs="Times New Roman"/>
        </w:rPr>
        <w:endnoteRef/>
      </w:r>
      <w:r>
        <w:rPr>
          <w:rFonts w:ascii="Times New Roman" w:hAnsi="Times New Roman"/>
        </w:rPr>
        <w:t xml:space="preserve"> Dans son cadre d’élaboration des politiques adaptée au numérique, la Commission a créé une nouvelle fiche financière et numérique législative pour accompagner ses propositions. Le chapitre sur la dimension numérique comprend des informations essentielles sur les aspects numériques des propositions et fait office de rapport d’évaluation de l’interopérabilité de la Commission, conformément aux exigences du règlement pour une Europe interopérable. Il garantit que la Commission évalue de manière approfondie les répercussions sur le plan numérique lors de l’élaboration des propositions, afin que celles-ci soient adaptées à l’ère du numérique.</w:t>
      </w:r>
    </w:p>
  </w:endnote>
  <w:endnote w:id="40">
    <w:p w14:paraId="7C28AEC4" w14:textId="171FADB0" w:rsidR="00E7306A" w:rsidRPr="00E81FA8" w:rsidRDefault="00E7306A">
      <w:pPr>
        <w:pStyle w:val="EndnoteText"/>
        <w:rPr>
          <w:rFonts w:ascii="Times New Roman" w:hAnsi="Times New Roman" w:cs="Times New Roman"/>
        </w:rPr>
      </w:pPr>
      <w:r>
        <w:rPr>
          <w:rStyle w:val="EndnoteReference"/>
          <w:rFonts w:ascii="Times New Roman" w:hAnsi="Times New Roman" w:cs="Times New Roman"/>
        </w:rPr>
        <w:endnoteRef/>
      </w:r>
      <w:r>
        <w:rPr>
          <w:rFonts w:ascii="Times New Roman" w:hAnsi="Times New Roman"/>
        </w:rPr>
        <w:t xml:space="preserve"> Comme prévu par exemple en vertu du règlement de l’UE sur l’intelligence artificielle.</w:t>
      </w:r>
    </w:p>
  </w:endnote>
  <w:endnote w:id="41">
    <w:p w14:paraId="46A24A1F" w14:textId="33F25C10" w:rsidR="00E7306A" w:rsidRPr="001E7CBC" w:rsidRDefault="00E7306A" w:rsidP="00E81FA8">
      <w:pPr>
        <w:pStyle w:val="EndnoteText"/>
        <w:ind w:left="170" w:hanging="170"/>
        <w:jc w:val="both"/>
        <w:rPr>
          <w:rFonts w:ascii="Times New Roman" w:hAnsi="Times New Roman" w:cs="Times New Roman"/>
        </w:rPr>
      </w:pPr>
      <w:r>
        <w:rPr>
          <w:rStyle w:val="EndnoteReference"/>
          <w:rFonts w:ascii="Times New Roman" w:hAnsi="Times New Roman" w:cs="Times New Roman"/>
        </w:rPr>
        <w:endnoteRef/>
      </w:r>
      <w:r>
        <w:rPr>
          <w:rFonts w:ascii="Times New Roman" w:hAnsi="Times New Roman"/>
        </w:rPr>
        <w:t xml:space="preserve"> Les solutions «Europe interopérable» (disponibles sur le portail «Europe interopérable») permettront aux administrations publiques de mettre en place des services publics numériques interconnectés, facilitant la libre circulation des données par-delà les frontières.</w:t>
      </w:r>
    </w:p>
  </w:endnote>
  <w:endnote w:id="42">
    <w:p w14:paraId="14D7027D" w14:textId="398A0ECF" w:rsidR="00E7306A" w:rsidRPr="001E7CBC" w:rsidRDefault="00E7306A" w:rsidP="00E81FA8">
      <w:pPr>
        <w:pStyle w:val="EndnoteText"/>
        <w:ind w:left="170" w:hanging="170"/>
        <w:jc w:val="both"/>
        <w:rPr>
          <w:rFonts w:ascii="Times New Roman" w:hAnsi="Times New Roman" w:cs="Times New Roman"/>
        </w:rPr>
      </w:pPr>
      <w:r>
        <w:rPr>
          <w:rStyle w:val="EndnoteReference"/>
          <w:rFonts w:ascii="Times New Roman" w:hAnsi="Times New Roman" w:cs="Times New Roman"/>
        </w:rPr>
        <w:endnoteRef/>
      </w:r>
      <w:r>
        <w:rPr>
          <w:rFonts w:ascii="Times New Roman" w:hAnsi="Times New Roman"/>
        </w:rPr>
        <w:t xml:space="preserve"> Le portail numérique unique facilite l’accès en ligne aux informations, aux procédures administratives et aux services d’assistance dont les citoyens et entreprises de l’UE peuvent avoir besoin dans un autre État membre.</w:t>
      </w:r>
    </w:p>
  </w:endnote>
  <w:endnote w:id="43">
    <w:p w14:paraId="067C898A" w14:textId="7117D0C0" w:rsidR="00E7306A" w:rsidRPr="001E7CBC" w:rsidRDefault="00E7306A" w:rsidP="00E81FA8">
      <w:pPr>
        <w:pStyle w:val="EndnoteText"/>
        <w:ind w:left="170" w:hanging="170"/>
        <w:jc w:val="both"/>
        <w:rPr>
          <w:rFonts w:ascii="Times New Roman" w:hAnsi="Times New Roman" w:cs="Times New Roman"/>
        </w:rPr>
      </w:pPr>
      <w:r>
        <w:rPr>
          <w:rStyle w:val="EndnoteReference"/>
          <w:rFonts w:ascii="Times New Roman" w:hAnsi="Times New Roman" w:cs="Times New Roman"/>
        </w:rPr>
        <w:endnoteRef/>
      </w:r>
      <w:r>
        <w:rPr>
          <w:rFonts w:ascii="Times New Roman" w:hAnsi="Times New Roman"/>
        </w:rPr>
        <w:t xml:space="preserve"> Il peut notamment s’agir, par exemple, de s’appuyer sur les données disponibles provenant des satellites. Les satellites de l’UE peuvent fournir à distance des informations et des prévisions fiables et comparables en temps quasi réel et d’une manière efficace sur le plan économique.</w:t>
      </w:r>
    </w:p>
  </w:endnote>
  <w:endnote w:id="44">
    <w:p w14:paraId="00A8251A" w14:textId="7B77A00F" w:rsidR="00E7306A" w:rsidRPr="001E7CBC" w:rsidRDefault="00E7306A" w:rsidP="00335BB4">
      <w:pPr>
        <w:pStyle w:val="EndnoteText"/>
        <w:ind w:left="170" w:hanging="170"/>
        <w:jc w:val="both"/>
        <w:rPr>
          <w:rFonts w:ascii="Times New Roman" w:hAnsi="Times New Roman" w:cs="Times New Roman"/>
        </w:rPr>
      </w:pPr>
      <w:r>
        <w:rPr>
          <w:rStyle w:val="EndnoteReference"/>
          <w:rFonts w:ascii="Times New Roman" w:hAnsi="Times New Roman" w:cs="Times New Roman"/>
        </w:rPr>
        <w:endnoteRef/>
      </w:r>
      <w:r>
        <w:rPr>
          <w:rFonts w:ascii="Times New Roman" w:hAnsi="Times New Roman"/>
        </w:rPr>
        <w:t xml:space="preserve"> Voir point 15 </w:t>
      </w:r>
      <w:r>
        <w:t>de l’</w:t>
      </w:r>
      <w:hyperlink r:id="rId15" w:history="1">
        <w:r>
          <w:rPr>
            <w:rStyle w:val="Hyperlink"/>
            <w:rFonts w:ascii="Times New Roman" w:hAnsi="Times New Roman"/>
          </w:rPr>
          <w:t>AII-ML</w:t>
        </w:r>
      </w:hyperlink>
      <w:r>
        <w:rPr>
          <w:rFonts w:ascii="Times New Roman" w:hAnsi="Times New Roman"/>
        </w:rPr>
        <w:t xml:space="preserve">: </w:t>
      </w:r>
      <w:bookmarkStart w:id="4" w:name="_Hlk188345748"/>
      <w:r>
        <w:rPr>
          <w:rFonts w:ascii="Times New Roman" w:hAnsi="Times New Roman"/>
        </w:rPr>
        <w:t>Lorsqu'ils le jugeront approprié et nécessaire</w:t>
      </w:r>
      <w:bookmarkEnd w:id="4"/>
      <w:r>
        <w:rPr>
          <w:rFonts w:ascii="Times New Roman" w:hAnsi="Times New Roman"/>
        </w:rPr>
        <w:t xml:space="preserve"> aux fins du processus législatif, le Parlement européen et le Conseil effectueront des analyses d'impact des modifications substantielles qu'ils apportent à la proposition de la Commission. En règle générale, le Parlement européen et le Conseil prendront comme point de départ de leurs travaux complémentaires l'analyse d'impact de la Commission. Il appartient à chaque institution concernée de déterminer ce qui constitue une modification «substantielle».</w:t>
      </w:r>
    </w:p>
  </w:endnote>
  <w:endnote w:id="45">
    <w:p w14:paraId="02AA818F" w14:textId="1F6245FD" w:rsidR="00E7306A" w:rsidRPr="001E7CBC" w:rsidRDefault="00E7306A" w:rsidP="00335BB4">
      <w:pPr>
        <w:pStyle w:val="EndnoteText"/>
        <w:ind w:left="170" w:hanging="170"/>
        <w:jc w:val="both"/>
        <w:rPr>
          <w:rFonts w:ascii="Times New Roman" w:hAnsi="Times New Roman" w:cs="Times New Roman"/>
        </w:rPr>
      </w:pPr>
      <w:r>
        <w:rPr>
          <w:rStyle w:val="EndnoteReference"/>
          <w:rFonts w:ascii="Times New Roman" w:hAnsi="Times New Roman" w:cs="Times New Roman"/>
        </w:rPr>
        <w:endnoteRef/>
      </w:r>
      <w:r>
        <w:rPr>
          <w:rFonts w:ascii="Times New Roman" w:hAnsi="Times New Roman"/>
        </w:rPr>
        <w:t xml:space="preserve"> La Cour de justice a indiqué que, même s’il n'existait aucune obligation légale de réaliser des analyses d’impact, dont le contenu n’est pas davantage contraignant, le législateur de l’Union doit être en mesure d’exposer clairement les données de base qui ont été prises en considération au moment d’opérer ses choix, en particulier lorsqu’une charge, quelle qu’elle soit, est imposée. Dans l’arrêt qu’elle a rendu dans les affaires C-541/20 à C-555/20 - </w:t>
      </w:r>
      <w:hyperlink r:id="rId16" w:history="1">
        <w:r>
          <w:rPr>
            <w:rStyle w:val="Hyperlink"/>
            <w:rFonts w:ascii="Times New Roman" w:hAnsi="Times New Roman"/>
          </w:rPr>
          <w:t>Recours en annulation – Premier train de mesures sur la mobilité («Paquet mobilité») – 4 octobre 2024</w:t>
        </w:r>
      </w:hyperlink>
      <w:r>
        <w:rPr>
          <w:rFonts w:ascii="Times New Roman" w:hAnsi="Times New Roman"/>
        </w:rPr>
        <w:t>-, la Cour a confirmé que les lourdes exigences introduites dans le processus législatif pour lesquelles les colégislateurs ne peuvent démontrer l’existence de données de base sous-jacentes peuvent être contestées avec succès devant la Cour et annulées par celle-ci.</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 w:name="EC Square Sans Cond Pro">
    <w:altName w:val="Bahnschrift Light"/>
    <w:charset w:val="00"/>
    <w:family w:val="swiss"/>
    <w:pitch w:val="variable"/>
    <w:sig w:usb0="20000287" w:usb1="00000001" w:usb2="00000000" w:usb3="00000000" w:csb0="0000019F" w:csb1="00000000"/>
  </w:font>
  <w:font w:name="EC Square Sans Pro Medium">
    <w:altName w:val="Corbel"/>
    <w:charset w:val="00"/>
    <w:family w:val="swiss"/>
    <w:pitch w:val="variable"/>
    <w:sig w:usb0="20000287" w:usb1="00000001" w:usb2="00000000" w:usb3="00000000" w:csb0="0000019F" w:csb1="00000000"/>
  </w:font>
  <w:font w:name="EC Square Sans Pro">
    <w:altName w:val="Bahnschrift Light"/>
    <w:panose1 w:val="00000000000000000000"/>
    <w:charset w:val="00"/>
    <w:family w:val="swiss"/>
    <w:notTrueType/>
    <w:pitch w:val="variable"/>
    <w:sig w:usb0="00000001" w:usb1="00000001"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58299F" w14:textId="6DFC0CB4" w:rsidR="0020590D" w:rsidRPr="0020590D" w:rsidRDefault="0020590D" w:rsidP="0020590D">
    <w:pPr>
      <w:pStyle w:val="FooterCoverPage"/>
      <w:rPr>
        <w:rFonts w:ascii="Arial" w:hAnsi="Arial" w:cs="Arial"/>
        <w:b/>
        <w:sz w:val="48"/>
      </w:rPr>
    </w:pPr>
    <w:r w:rsidRPr="0020590D">
      <w:rPr>
        <w:rFonts w:ascii="Arial" w:hAnsi="Arial" w:cs="Arial"/>
        <w:b/>
        <w:sz w:val="48"/>
      </w:rPr>
      <w:t>FR</w:t>
    </w:r>
    <w:r w:rsidRPr="0020590D">
      <w:rPr>
        <w:rFonts w:ascii="Arial" w:hAnsi="Arial" w:cs="Arial"/>
        <w:b/>
        <w:sz w:val="48"/>
      </w:rPr>
      <w:tab/>
    </w:r>
    <w:r w:rsidRPr="0020590D">
      <w:rPr>
        <w:rFonts w:ascii="Arial" w:hAnsi="Arial" w:cs="Arial"/>
        <w:b/>
        <w:sz w:val="48"/>
      </w:rPr>
      <w:tab/>
    </w:r>
    <w:r w:rsidRPr="0020590D">
      <w:tab/>
    </w:r>
    <w:r w:rsidRPr="0020590D">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3ACB4B" w14:textId="3CF9AFA8" w:rsidR="0020590D" w:rsidRPr="0020590D" w:rsidRDefault="0020590D" w:rsidP="0020590D">
    <w:pPr>
      <w:pStyle w:val="FooterCoverPage"/>
      <w:rPr>
        <w:rFonts w:ascii="Arial" w:hAnsi="Arial" w:cs="Arial"/>
        <w:b/>
        <w:sz w:val="48"/>
      </w:rPr>
    </w:pPr>
    <w:r w:rsidRPr="0020590D">
      <w:rPr>
        <w:rFonts w:ascii="Arial" w:hAnsi="Arial" w:cs="Arial"/>
        <w:b/>
        <w:sz w:val="48"/>
      </w:rPr>
      <w:t>FR</w:t>
    </w:r>
    <w:r w:rsidRPr="0020590D">
      <w:rPr>
        <w:rFonts w:ascii="Arial" w:hAnsi="Arial" w:cs="Arial"/>
        <w:b/>
        <w:sz w:val="48"/>
      </w:rPr>
      <w:tab/>
    </w:r>
    <w:r w:rsidRPr="0020590D">
      <w:rPr>
        <w:rFonts w:ascii="Arial" w:hAnsi="Arial" w:cs="Arial"/>
        <w:b/>
        <w:sz w:val="48"/>
      </w:rPr>
      <w:tab/>
    </w:r>
    <w:r w:rsidRPr="0020590D">
      <w:tab/>
    </w:r>
    <w:r w:rsidRPr="0020590D">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E9D79A" w14:textId="77777777" w:rsidR="0020590D" w:rsidRPr="0020590D" w:rsidRDefault="0020590D" w:rsidP="0020590D">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980350" w14:textId="77777777" w:rsidR="00D80AF9" w:rsidRPr="006154EC" w:rsidRDefault="00D80AF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6602801"/>
      <w:docPartObj>
        <w:docPartGallery w:val="Page Numbers (Bottom of Page)"/>
        <w:docPartUnique/>
      </w:docPartObj>
    </w:sdtPr>
    <w:sdtEndPr>
      <w:rPr>
        <w:rFonts w:ascii="Times New Roman" w:hAnsi="Times New Roman" w:cs="Times New Roman"/>
        <w:sz w:val="20"/>
        <w:szCs w:val="20"/>
      </w:rPr>
    </w:sdtEndPr>
    <w:sdtContent>
      <w:p w14:paraId="2C9C92DC" w14:textId="2D742C7F" w:rsidR="009D72EB" w:rsidRPr="006154EC" w:rsidRDefault="009D72EB">
        <w:pPr>
          <w:pStyle w:val="Footer"/>
          <w:jc w:val="right"/>
          <w:rPr>
            <w:rFonts w:ascii="Times New Roman" w:hAnsi="Times New Roman" w:cs="Times New Roman"/>
            <w:sz w:val="20"/>
            <w:szCs w:val="20"/>
          </w:rPr>
        </w:pPr>
        <w:r w:rsidRPr="006154EC">
          <w:rPr>
            <w:rFonts w:ascii="Times New Roman" w:hAnsi="Times New Roman" w:cs="Times New Roman"/>
            <w:sz w:val="20"/>
          </w:rPr>
          <w:fldChar w:fldCharType="begin"/>
        </w:r>
        <w:r w:rsidRPr="006154EC">
          <w:rPr>
            <w:rFonts w:ascii="Times New Roman" w:hAnsi="Times New Roman" w:cs="Times New Roman"/>
            <w:sz w:val="20"/>
          </w:rPr>
          <w:instrText xml:space="preserve"> PAGE   \* MERGEFORMAT </w:instrText>
        </w:r>
        <w:r w:rsidRPr="006154EC">
          <w:rPr>
            <w:rFonts w:ascii="Times New Roman" w:hAnsi="Times New Roman" w:cs="Times New Roman"/>
            <w:sz w:val="20"/>
          </w:rPr>
          <w:fldChar w:fldCharType="separate"/>
        </w:r>
        <w:r w:rsidR="0020590D">
          <w:rPr>
            <w:rFonts w:ascii="Times New Roman" w:hAnsi="Times New Roman" w:cs="Times New Roman"/>
            <w:noProof/>
            <w:sz w:val="20"/>
          </w:rPr>
          <w:t>1</w:t>
        </w:r>
        <w:r w:rsidRPr="006154EC">
          <w:rPr>
            <w:rFonts w:ascii="Times New Roman" w:hAnsi="Times New Roman" w:cs="Times New Roman"/>
            <w:sz w:val="20"/>
          </w:rPr>
          <w:fldChar w:fldCharType="end"/>
        </w:r>
      </w:p>
    </w:sdtContent>
  </w:sdt>
  <w:p w14:paraId="0DBACF40" w14:textId="77777777" w:rsidR="009D72EB" w:rsidRPr="006154EC" w:rsidRDefault="009D72E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2A953F" w14:textId="77777777" w:rsidR="00D80AF9" w:rsidRPr="006154EC" w:rsidRDefault="00D80A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3DC738" w14:textId="77777777" w:rsidR="00846B28" w:rsidRPr="006154EC" w:rsidRDefault="00846B28" w:rsidP="00A51683">
      <w:pPr>
        <w:spacing w:after="0" w:line="240" w:lineRule="auto"/>
      </w:pPr>
      <w:r w:rsidRPr="006154EC">
        <w:separator/>
      </w:r>
    </w:p>
  </w:footnote>
  <w:footnote w:type="continuationSeparator" w:id="0">
    <w:p w14:paraId="54A0647A" w14:textId="77777777" w:rsidR="00846B28" w:rsidRPr="006154EC" w:rsidRDefault="00846B28" w:rsidP="00A51683">
      <w:pPr>
        <w:spacing w:after="0" w:line="240" w:lineRule="auto"/>
      </w:pPr>
      <w:r w:rsidRPr="006154EC">
        <w:continuationSeparator/>
      </w:r>
    </w:p>
  </w:footnote>
  <w:footnote w:type="continuationNotice" w:id="1">
    <w:p w14:paraId="0E97F8E5" w14:textId="77777777" w:rsidR="00846B28" w:rsidRPr="006154EC" w:rsidRDefault="00846B2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36E312" w14:textId="77777777" w:rsidR="0020590D" w:rsidRPr="0020590D" w:rsidRDefault="0020590D" w:rsidP="0020590D">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299007" w14:textId="77777777" w:rsidR="0020590D" w:rsidRPr="0020590D" w:rsidRDefault="0020590D" w:rsidP="0020590D">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205D38" w14:textId="77777777" w:rsidR="0020590D" w:rsidRPr="0020590D" w:rsidRDefault="0020590D" w:rsidP="0020590D">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5DF988" w14:textId="77777777" w:rsidR="00ED34D8" w:rsidRPr="006154EC" w:rsidRDefault="00ED34D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21D7F3" w14:textId="77777777" w:rsidR="00ED34D8" w:rsidRPr="006154EC" w:rsidRDefault="00ED34D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30535A" w14:textId="77777777" w:rsidR="00D80AF9" w:rsidRPr="006154EC" w:rsidRDefault="00D80A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1AA2005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A22FA1"/>
    <w:multiLevelType w:val="hybridMultilevel"/>
    <w:tmpl w:val="E7F2BA84"/>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323072C"/>
    <w:multiLevelType w:val="hybridMultilevel"/>
    <w:tmpl w:val="8E40D7EE"/>
    <w:lvl w:ilvl="0" w:tplc="69F65C5A">
      <w:start w:val="1"/>
      <w:numFmt w:val="bullet"/>
      <w:lvlText w:val=""/>
      <w:lvlJc w:val="left"/>
      <w:pPr>
        <w:ind w:left="720" w:hanging="360"/>
      </w:pPr>
      <w:rPr>
        <w:rFonts w:ascii="Symbol" w:hAnsi="Symbol"/>
      </w:rPr>
    </w:lvl>
    <w:lvl w:ilvl="1" w:tplc="632E3E28">
      <w:start w:val="1"/>
      <w:numFmt w:val="bullet"/>
      <w:lvlText w:val=""/>
      <w:lvlJc w:val="left"/>
      <w:pPr>
        <w:ind w:left="720" w:hanging="360"/>
      </w:pPr>
      <w:rPr>
        <w:rFonts w:ascii="Symbol" w:hAnsi="Symbol"/>
      </w:rPr>
    </w:lvl>
    <w:lvl w:ilvl="2" w:tplc="E8E8BB02">
      <w:start w:val="1"/>
      <w:numFmt w:val="bullet"/>
      <w:lvlText w:val=""/>
      <w:lvlJc w:val="left"/>
      <w:pPr>
        <w:ind w:left="720" w:hanging="360"/>
      </w:pPr>
      <w:rPr>
        <w:rFonts w:ascii="Symbol" w:hAnsi="Symbol"/>
      </w:rPr>
    </w:lvl>
    <w:lvl w:ilvl="3" w:tplc="CE30BD7A">
      <w:start w:val="1"/>
      <w:numFmt w:val="bullet"/>
      <w:lvlText w:val=""/>
      <w:lvlJc w:val="left"/>
      <w:pPr>
        <w:ind w:left="720" w:hanging="360"/>
      </w:pPr>
      <w:rPr>
        <w:rFonts w:ascii="Symbol" w:hAnsi="Symbol"/>
      </w:rPr>
    </w:lvl>
    <w:lvl w:ilvl="4" w:tplc="7588451C">
      <w:start w:val="1"/>
      <w:numFmt w:val="bullet"/>
      <w:lvlText w:val=""/>
      <w:lvlJc w:val="left"/>
      <w:pPr>
        <w:ind w:left="720" w:hanging="360"/>
      </w:pPr>
      <w:rPr>
        <w:rFonts w:ascii="Symbol" w:hAnsi="Symbol"/>
      </w:rPr>
    </w:lvl>
    <w:lvl w:ilvl="5" w:tplc="BB1EE152">
      <w:start w:val="1"/>
      <w:numFmt w:val="bullet"/>
      <w:lvlText w:val=""/>
      <w:lvlJc w:val="left"/>
      <w:pPr>
        <w:ind w:left="720" w:hanging="360"/>
      </w:pPr>
      <w:rPr>
        <w:rFonts w:ascii="Symbol" w:hAnsi="Symbol"/>
      </w:rPr>
    </w:lvl>
    <w:lvl w:ilvl="6" w:tplc="8D0C694A">
      <w:start w:val="1"/>
      <w:numFmt w:val="bullet"/>
      <w:lvlText w:val=""/>
      <w:lvlJc w:val="left"/>
      <w:pPr>
        <w:ind w:left="720" w:hanging="360"/>
      </w:pPr>
      <w:rPr>
        <w:rFonts w:ascii="Symbol" w:hAnsi="Symbol"/>
      </w:rPr>
    </w:lvl>
    <w:lvl w:ilvl="7" w:tplc="C7EA17B0">
      <w:start w:val="1"/>
      <w:numFmt w:val="bullet"/>
      <w:lvlText w:val=""/>
      <w:lvlJc w:val="left"/>
      <w:pPr>
        <w:ind w:left="720" w:hanging="360"/>
      </w:pPr>
      <w:rPr>
        <w:rFonts w:ascii="Symbol" w:hAnsi="Symbol"/>
      </w:rPr>
    </w:lvl>
    <w:lvl w:ilvl="8" w:tplc="2B60702E">
      <w:start w:val="1"/>
      <w:numFmt w:val="bullet"/>
      <w:lvlText w:val=""/>
      <w:lvlJc w:val="left"/>
      <w:pPr>
        <w:ind w:left="720" w:hanging="360"/>
      </w:pPr>
      <w:rPr>
        <w:rFonts w:ascii="Symbol" w:hAnsi="Symbol"/>
      </w:rPr>
    </w:lvl>
  </w:abstractNum>
  <w:abstractNum w:abstractNumId="3" w15:restartNumberingAfterBreak="0">
    <w:nsid w:val="054A292F"/>
    <w:multiLevelType w:val="hybridMultilevel"/>
    <w:tmpl w:val="00CE2276"/>
    <w:lvl w:ilvl="0" w:tplc="EBE65548">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560640E"/>
    <w:multiLevelType w:val="hybridMultilevel"/>
    <w:tmpl w:val="78D899DA"/>
    <w:lvl w:ilvl="0" w:tplc="0C36E2F6">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7474E4D"/>
    <w:multiLevelType w:val="hybridMultilevel"/>
    <w:tmpl w:val="50AA0A28"/>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 w15:restartNumberingAfterBreak="0">
    <w:nsid w:val="0B421992"/>
    <w:multiLevelType w:val="hybridMultilevel"/>
    <w:tmpl w:val="87E4B2D6"/>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C432A1A"/>
    <w:multiLevelType w:val="hybridMultilevel"/>
    <w:tmpl w:val="26CA841E"/>
    <w:lvl w:ilvl="0" w:tplc="04070009">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0D5E1288"/>
    <w:multiLevelType w:val="hybridMultilevel"/>
    <w:tmpl w:val="87E4B2D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1132A40"/>
    <w:multiLevelType w:val="hybridMultilevel"/>
    <w:tmpl w:val="1E28273C"/>
    <w:lvl w:ilvl="0" w:tplc="1EAC02E0">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12155EAB"/>
    <w:multiLevelType w:val="hybridMultilevel"/>
    <w:tmpl w:val="4038F1A6"/>
    <w:lvl w:ilvl="0" w:tplc="5FD8601A">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15405C69"/>
    <w:multiLevelType w:val="hybridMultilevel"/>
    <w:tmpl w:val="87E4B2D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15FE5966"/>
    <w:multiLevelType w:val="hybridMultilevel"/>
    <w:tmpl w:val="C4E41900"/>
    <w:lvl w:ilvl="0" w:tplc="6C5A1826">
      <w:start w:val="1"/>
      <w:numFmt w:val="bullet"/>
      <w:lvlText w:val=""/>
      <w:lvlJc w:val="left"/>
      <w:pPr>
        <w:ind w:left="720" w:hanging="360"/>
      </w:pPr>
      <w:rPr>
        <w:rFonts w:ascii="Symbol" w:hAnsi="Symbol"/>
      </w:rPr>
    </w:lvl>
    <w:lvl w:ilvl="1" w:tplc="CDAA89EC">
      <w:start w:val="1"/>
      <w:numFmt w:val="bullet"/>
      <w:lvlText w:val=""/>
      <w:lvlJc w:val="left"/>
      <w:pPr>
        <w:ind w:left="720" w:hanging="360"/>
      </w:pPr>
      <w:rPr>
        <w:rFonts w:ascii="Symbol" w:hAnsi="Symbol"/>
      </w:rPr>
    </w:lvl>
    <w:lvl w:ilvl="2" w:tplc="9446A83C">
      <w:start w:val="1"/>
      <w:numFmt w:val="bullet"/>
      <w:lvlText w:val=""/>
      <w:lvlJc w:val="left"/>
      <w:pPr>
        <w:ind w:left="720" w:hanging="360"/>
      </w:pPr>
      <w:rPr>
        <w:rFonts w:ascii="Symbol" w:hAnsi="Symbol"/>
      </w:rPr>
    </w:lvl>
    <w:lvl w:ilvl="3" w:tplc="A6E659B4">
      <w:start w:val="1"/>
      <w:numFmt w:val="bullet"/>
      <w:lvlText w:val=""/>
      <w:lvlJc w:val="left"/>
      <w:pPr>
        <w:ind w:left="720" w:hanging="360"/>
      </w:pPr>
      <w:rPr>
        <w:rFonts w:ascii="Symbol" w:hAnsi="Symbol"/>
      </w:rPr>
    </w:lvl>
    <w:lvl w:ilvl="4" w:tplc="E58E2380">
      <w:start w:val="1"/>
      <w:numFmt w:val="bullet"/>
      <w:lvlText w:val=""/>
      <w:lvlJc w:val="left"/>
      <w:pPr>
        <w:ind w:left="720" w:hanging="360"/>
      </w:pPr>
      <w:rPr>
        <w:rFonts w:ascii="Symbol" w:hAnsi="Symbol"/>
      </w:rPr>
    </w:lvl>
    <w:lvl w:ilvl="5" w:tplc="65F4D658">
      <w:start w:val="1"/>
      <w:numFmt w:val="bullet"/>
      <w:lvlText w:val=""/>
      <w:lvlJc w:val="left"/>
      <w:pPr>
        <w:ind w:left="720" w:hanging="360"/>
      </w:pPr>
      <w:rPr>
        <w:rFonts w:ascii="Symbol" w:hAnsi="Symbol"/>
      </w:rPr>
    </w:lvl>
    <w:lvl w:ilvl="6" w:tplc="A582DBC4">
      <w:start w:val="1"/>
      <w:numFmt w:val="bullet"/>
      <w:lvlText w:val=""/>
      <w:lvlJc w:val="left"/>
      <w:pPr>
        <w:ind w:left="720" w:hanging="360"/>
      </w:pPr>
      <w:rPr>
        <w:rFonts w:ascii="Symbol" w:hAnsi="Symbol"/>
      </w:rPr>
    </w:lvl>
    <w:lvl w:ilvl="7" w:tplc="868C0FB2">
      <w:start w:val="1"/>
      <w:numFmt w:val="bullet"/>
      <w:lvlText w:val=""/>
      <w:lvlJc w:val="left"/>
      <w:pPr>
        <w:ind w:left="720" w:hanging="360"/>
      </w:pPr>
      <w:rPr>
        <w:rFonts w:ascii="Symbol" w:hAnsi="Symbol"/>
      </w:rPr>
    </w:lvl>
    <w:lvl w:ilvl="8" w:tplc="7C286640">
      <w:start w:val="1"/>
      <w:numFmt w:val="bullet"/>
      <w:lvlText w:val=""/>
      <w:lvlJc w:val="left"/>
      <w:pPr>
        <w:ind w:left="720" w:hanging="360"/>
      </w:pPr>
      <w:rPr>
        <w:rFonts w:ascii="Symbol" w:hAnsi="Symbol"/>
      </w:rPr>
    </w:lvl>
  </w:abstractNum>
  <w:abstractNum w:abstractNumId="13" w15:restartNumberingAfterBreak="0">
    <w:nsid w:val="16FD2BDF"/>
    <w:multiLevelType w:val="hybridMultilevel"/>
    <w:tmpl w:val="ABE04B5A"/>
    <w:lvl w:ilvl="0" w:tplc="1D28EA94">
      <w:start w:val="1"/>
      <w:numFmt w:val="bullet"/>
      <w:lvlText w:val=""/>
      <w:lvlJc w:val="left"/>
      <w:pPr>
        <w:ind w:left="720" w:hanging="360"/>
      </w:pPr>
      <w:rPr>
        <w:rFonts w:ascii="Symbol" w:hAnsi="Symbol"/>
      </w:rPr>
    </w:lvl>
    <w:lvl w:ilvl="1" w:tplc="AEF44EA6">
      <w:start w:val="1"/>
      <w:numFmt w:val="bullet"/>
      <w:lvlText w:val=""/>
      <w:lvlJc w:val="left"/>
      <w:pPr>
        <w:ind w:left="720" w:hanging="360"/>
      </w:pPr>
      <w:rPr>
        <w:rFonts w:ascii="Symbol" w:hAnsi="Symbol"/>
      </w:rPr>
    </w:lvl>
    <w:lvl w:ilvl="2" w:tplc="8FA06ED6">
      <w:start w:val="1"/>
      <w:numFmt w:val="bullet"/>
      <w:lvlText w:val=""/>
      <w:lvlJc w:val="left"/>
      <w:pPr>
        <w:ind w:left="720" w:hanging="360"/>
      </w:pPr>
      <w:rPr>
        <w:rFonts w:ascii="Symbol" w:hAnsi="Symbol"/>
      </w:rPr>
    </w:lvl>
    <w:lvl w:ilvl="3" w:tplc="9DBCE03C">
      <w:start w:val="1"/>
      <w:numFmt w:val="bullet"/>
      <w:lvlText w:val=""/>
      <w:lvlJc w:val="left"/>
      <w:pPr>
        <w:ind w:left="720" w:hanging="360"/>
      </w:pPr>
      <w:rPr>
        <w:rFonts w:ascii="Symbol" w:hAnsi="Symbol"/>
      </w:rPr>
    </w:lvl>
    <w:lvl w:ilvl="4" w:tplc="E012C666">
      <w:start w:val="1"/>
      <w:numFmt w:val="bullet"/>
      <w:lvlText w:val=""/>
      <w:lvlJc w:val="left"/>
      <w:pPr>
        <w:ind w:left="720" w:hanging="360"/>
      </w:pPr>
      <w:rPr>
        <w:rFonts w:ascii="Symbol" w:hAnsi="Symbol"/>
      </w:rPr>
    </w:lvl>
    <w:lvl w:ilvl="5" w:tplc="B66CD920">
      <w:start w:val="1"/>
      <w:numFmt w:val="bullet"/>
      <w:lvlText w:val=""/>
      <w:lvlJc w:val="left"/>
      <w:pPr>
        <w:ind w:left="720" w:hanging="360"/>
      </w:pPr>
      <w:rPr>
        <w:rFonts w:ascii="Symbol" w:hAnsi="Symbol"/>
      </w:rPr>
    </w:lvl>
    <w:lvl w:ilvl="6" w:tplc="3A5E9ED2">
      <w:start w:val="1"/>
      <w:numFmt w:val="bullet"/>
      <w:lvlText w:val=""/>
      <w:lvlJc w:val="left"/>
      <w:pPr>
        <w:ind w:left="720" w:hanging="360"/>
      </w:pPr>
      <w:rPr>
        <w:rFonts w:ascii="Symbol" w:hAnsi="Symbol"/>
      </w:rPr>
    </w:lvl>
    <w:lvl w:ilvl="7" w:tplc="8C8C4AFC">
      <w:start w:val="1"/>
      <w:numFmt w:val="bullet"/>
      <w:lvlText w:val=""/>
      <w:lvlJc w:val="left"/>
      <w:pPr>
        <w:ind w:left="720" w:hanging="360"/>
      </w:pPr>
      <w:rPr>
        <w:rFonts w:ascii="Symbol" w:hAnsi="Symbol"/>
      </w:rPr>
    </w:lvl>
    <w:lvl w:ilvl="8" w:tplc="3E32716E">
      <w:start w:val="1"/>
      <w:numFmt w:val="bullet"/>
      <w:lvlText w:val=""/>
      <w:lvlJc w:val="left"/>
      <w:pPr>
        <w:ind w:left="720" w:hanging="360"/>
      </w:pPr>
      <w:rPr>
        <w:rFonts w:ascii="Symbol" w:hAnsi="Symbol"/>
      </w:rPr>
    </w:lvl>
  </w:abstractNum>
  <w:abstractNum w:abstractNumId="14" w15:restartNumberingAfterBreak="0">
    <w:nsid w:val="1E1DA3C0"/>
    <w:multiLevelType w:val="hybridMultilevel"/>
    <w:tmpl w:val="FFFFFFFF"/>
    <w:lvl w:ilvl="0" w:tplc="08701CA6">
      <w:start w:val="1"/>
      <w:numFmt w:val="bullet"/>
      <w:lvlText w:val=""/>
      <w:lvlJc w:val="left"/>
      <w:pPr>
        <w:ind w:left="720" w:hanging="360"/>
      </w:pPr>
      <w:rPr>
        <w:rFonts w:ascii="Symbol" w:hAnsi="Symbol" w:hint="default"/>
      </w:rPr>
    </w:lvl>
    <w:lvl w:ilvl="1" w:tplc="7D2A42EA">
      <w:start w:val="1"/>
      <w:numFmt w:val="bullet"/>
      <w:lvlText w:val="o"/>
      <w:lvlJc w:val="left"/>
      <w:pPr>
        <w:ind w:left="1440" w:hanging="360"/>
      </w:pPr>
      <w:rPr>
        <w:rFonts w:ascii="Courier New" w:hAnsi="Courier New" w:hint="default"/>
      </w:rPr>
    </w:lvl>
    <w:lvl w:ilvl="2" w:tplc="608EC70E">
      <w:start w:val="1"/>
      <w:numFmt w:val="bullet"/>
      <w:lvlText w:val=""/>
      <w:lvlJc w:val="left"/>
      <w:pPr>
        <w:ind w:left="2160" w:hanging="360"/>
      </w:pPr>
      <w:rPr>
        <w:rFonts w:ascii="Wingdings" w:hAnsi="Wingdings" w:hint="default"/>
      </w:rPr>
    </w:lvl>
    <w:lvl w:ilvl="3" w:tplc="DC449FB6">
      <w:start w:val="1"/>
      <w:numFmt w:val="bullet"/>
      <w:lvlText w:val=""/>
      <w:lvlJc w:val="left"/>
      <w:pPr>
        <w:ind w:left="2880" w:hanging="360"/>
      </w:pPr>
      <w:rPr>
        <w:rFonts w:ascii="Symbol" w:hAnsi="Symbol" w:hint="default"/>
      </w:rPr>
    </w:lvl>
    <w:lvl w:ilvl="4" w:tplc="855CC0BA">
      <w:start w:val="1"/>
      <w:numFmt w:val="bullet"/>
      <w:lvlText w:val="o"/>
      <w:lvlJc w:val="left"/>
      <w:pPr>
        <w:ind w:left="3600" w:hanging="360"/>
      </w:pPr>
      <w:rPr>
        <w:rFonts w:ascii="Courier New" w:hAnsi="Courier New" w:hint="default"/>
      </w:rPr>
    </w:lvl>
    <w:lvl w:ilvl="5" w:tplc="2A4622CA">
      <w:start w:val="1"/>
      <w:numFmt w:val="bullet"/>
      <w:lvlText w:val=""/>
      <w:lvlJc w:val="left"/>
      <w:pPr>
        <w:ind w:left="4320" w:hanging="360"/>
      </w:pPr>
      <w:rPr>
        <w:rFonts w:ascii="Wingdings" w:hAnsi="Wingdings" w:hint="default"/>
      </w:rPr>
    </w:lvl>
    <w:lvl w:ilvl="6" w:tplc="FF04DB16">
      <w:start w:val="1"/>
      <w:numFmt w:val="bullet"/>
      <w:lvlText w:val=""/>
      <w:lvlJc w:val="left"/>
      <w:pPr>
        <w:ind w:left="5040" w:hanging="360"/>
      </w:pPr>
      <w:rPr>
        <w:rFonts w:ascii="Symbol" w:hAnsi="Symbol" w:hint="default"/>
      </w:rPr>
    </w:lvl>
    <w:lvl w:ilvl="7" w:tplc="7A36CA66">
      <w:start w:val="1"/>
      <w:numFmt w:val="bullet"/>
      <w:lvlText w:val="o"/>
      <w:lvlJc w:val="left"/>
      <w:pPr>
        <w:ind w:left="5760" w:hanging="360"/>
      </w:pPr>
      <w:rPr>
        <w:rFonts w:ascii="Courier New" w:hAnsi="Courier New" w:hint="default"/>
      </w:rPr>
    </w:lvl>
    <w:lvl w:ilvl="8" w:tplc="4B7C38D4">
      <w:start w:val="1"/>
      <w:numFmt w:val="bullet"/>
      <w:lvlText w:val=""/>
      <w:lvlJc w:val="left"/>
      <w:pPr>
        <w:ind w:left="6480" w:hanging="360"/>
      </w:pPr>
      <w:rPr>
        <w:rFonts w:ascii="Wingdings" w:hAnsi="Wingdings" w:hint="default"/>
      </w:rPr>
    </w:lvl>
  </w:abstractNum>
  <w:abstractNum w:abstractNumId="15" w15:restartNumberingAfterBreak="0">
    <w:nsid w:val="239D6BEC"/>
    <w:multiLevelType w:val="hybridMultilevel"/>
    <w:tmpl w:val="27C63606"/>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273D0E76"/>
    <w:multiLevelType w:val="hybridMultilevel"/>
    <w:tmpl w:val="EBF6EFCA"/>
    <w:lvl w:ilvl="0" w:tplc="1EAC02E0">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2B755C33"/>
    <w:multiLevelType w:val="hybridMultilevel"/>
    <w:tmpl w:val="4B28CF18"/>
    <w:lvl w:ilvl="0" w:tplc="22AEADFC">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2B9A7D93"/>
    <w:multiLevelType w:val="hybridMultilevel"/>
    <w:tmpl w:val="87E4B2D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18216B9"/>
    <w:multiLevelType w:val="multilevel"/>
    <w:tmpl w:val="BE8E0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73D56AF"/>
    <w:multiLevelType w:val="hybridMultilevel"/>
    <w:tmpl w:val="A51481A2"/>
    <w:lvl w:ilvl="0" w:tplc="0407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392A36B6"/>
    <w:multiLevelType w:val="hybridMultilevel"/>
    <w:tmpl w:val="20F4856A"/>
    <w:lvl w:ilvl="0" w:tplc="1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3B0B64DE"/>
    <w:multiLevelType w:val="hybridMultilevel"/>
    <w:tmpl w:val="D53E49D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42BA253C"/>
    <w:multiLevelType w:val="hybridMultilevel"/>
    <w:tmpl w:val="87E4B2D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6DF28C4"/>
    <w:multiLevelType w:val="hybridMultilevel"/>
    <w:tmpl w:val="87E4B2D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A7415B4"/>
    <w:multiLevelType w:val="hybridMultilevel"/>
    <w:tmpl w:val="85801206"/>
    <w:lvl w:ilvl="0" w:tplc="D2A24A8E">
      <w:start w:val="1"/>
      <w:numFmt w:val="upperRoman"/>
      <w:lvlText w:val="%1."/>
      <w:lvlJc w:val="left"/>
      <w:pPr>
        <w:ind w:left="1080" w:hanging="720"/>
      </w:pPr>
      <w:rPr>
        <w:rFonts w:hint="default"/>
        <w:b/>
        <w:bCs/>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4BF54C2B"/>
    <w:multiLevelType w:val="hybridMultilevel"/>
    <w:tmpl w:val="B5E2402C"/>
    <w:lvl w:ilvl="0" w:tplc="EBE65548">
      <w:numFmt w:val="bullet"/>
      <w:lvlText w:val="-"/>
      <w:lvlJc w:val="left"/>
      <w:pPr>
        <w:ind w:left="360" w:hanging="360"/>
      </w:pPr>
      <w:rPr>
        <w:rFonts w:ascii="Times New Roman" w:eastAsiaTheme="minorHAnsi" w:hAnsi="Times New Roman" w:cs="Times New Roman"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7" w15:restartNumberingAfterBreak="0">
    <w:nsid w:val="55027FE3"/>
    <w:multiLevelType w:val="hybridMultilevel"/>
    <w:tmpl w:val="87E4B2D6"/>
    <w:lvl w:ilvl="0" w:tplc="FFFFFFFF">
      <w:start w:val="1"/>
      <w:numFmt w:val="lowerLetter"/>
      <w:lvlText w:val="%1)"/>
      <w:lvlJc w:val="left"/>
      <w:pPr>
        <w:ind w:left="79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BDF5314"/>
    <w:multiLevelType w:val="hybridMultilevel"/>
    <w:tmpl w:val="EC5661FC"/>
    <w:lvl w:ilvl="0" w:tplc="1EAC02E0">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5EBC18B2"/>
    <w:multiLevelType w:val="hybridMultilevel"/>
    <w:tmpl w:val="23AA7E14"/>
    <w:lvl w:ilvl="0" w:tplc="4244AC5A">
      <w:start w:val="1"/>
      <w:numFmt w:val="bullet"/>
      <w:lvlText w:val=""/>
      <w:lvlJc w:val="left"/>
      <w:pPr>
        <w:ind w:left="720" w:hanging="360"/>
      </w:pPr>
      <w:rPr>
        <w:rFonts w:ascii="Symbol" w:hAnsi="Symbol"/>
      </w:rPr>
    </w:lvl>
    <w:lvl w:ilvl="1" w:tplc="8F22B060">
      <w:start w:val="1"/>
      <w:numFmt w:val="bullet"/>
      <w:lvlText w:val=""/>
      <w:lvlJc w:val="left"/>
      <w:pPr>
        <w:ind w:left="720" w:hanging="360"/>
      </w:pPr>
      <w:rPr>
        <w:rFonts w:ascii="Symbol" w:hAnsi="Symbol"/>
      </w:rPr>
    </w:lvl>
    <w:lvl w:ilvl="2" w:tplc="F2043B76">
      <w:start w:val="1"/>
      <w:numFmt w:val="bullet"/>
      <w:lvlText w:val=""/>
      <w:lvlJc w:val="left"/>
      <w:pPr>
        <w:ind w:left="720" w:hanging="360"/>
      </w:pPr>
      <w:rPr>
        <w:rFonts w:ascii="Symbol" w:hAnsi="Symbol"/>
      </w:rPr>
    </w:lvl>
    <w:lvl w:ilvl="3" w:tplc="9B9401A4">
      <w:start w:val="1"/>
      <w:numFmt w:val="bullet"/>
      <w:lvlText w:val=""/>
      <w:lvlJc w:val="left"/>
      <w:pPr>
        <w:ind w:left="720" w:hanging="360"/>
      </w:pPr>
      <w:rPr>
        <w:rFonts w:ascii="Symbol" w:hAnsi="Symbol"/>
      </w:rPr>
    </w:lvl>
    <w:lvl w:ilvl="4" w:tplc="42E47908">
      <w:start w:val="1"/>
      <w:numFmt w:val="bullet"/>
      <w:lvlText w:val=""/>
      <w:lvlJc w:val="left"/>
      <w:pPr>
        <w:ind w:left="720" w:hanging="360"/>
      </w:pPr>
      <w:rPr>
        <w:rFonts w:ascii="Symbol" w:hAnsi="Symbol"/>
      </w:rPr>
    </w:lvl>
    <w:lvl w:ilvl="5" w:tplc="B3AAF7C0">
      <w:start w:val="1"/>
      <w:numFmt w:val="bullet"/>
      <w:lvlText w:val=""/>
      <w:lvlJc w:val="left"/>
      <w:pPr>
        <w:ind w:left="720" w:hanging="360"/>
      </w:pPr>
      <w:rPr>
        <w:rFonts w:ascii="Symbol" w:hAnsi="Symbol"/>
      </w:rPr>
    </w:lvl>
    <w:lvl w:ilvl="6" w:tplc="0F50B032">
      <w:start w:val="1"/>
      <w:numFmt w:val="bullet"/>
      <w:lvlText w:val=""/>
      <w:lvlJc w:val="left"/>
      <w:pPr>
        <w:ind w:left="720" w:hanging="360"/>
      </w:pPr>
      <w:rPr>
        <w:rFonts w:ascii="Symbol" w:hAnsi="Symbol"/>
      </w:rPr>
    </w:lvl>
    <w:lvl w:ilvl="7" w:tplc="D9622D00">
      <w:start w:val="1"/>
      <w:numFmt w:val="bullet"/>
      <w:lvlText w:val=""/>
      <w:lvlJc w:val="left"/>
      <w:pPr>
        <w:ind w:left="720" w:hanging="360"/>
      </w:pPr>
      <w:rPr>
        <w:rFonts w:ascii="Symbol" w:hAnsi="Symbol"/>
      </w:rPr>
    </w:lvl>
    <w:lvl w:ilvl="8" w:tplc="D22EEE54">
      <w:start w:val="1"/>
      <w:numFmt w:val="bullet"/>
      <w:lvlText w:val=""/>
      <w:lvlJc w:val="left"/>
      <w:pPr>
        <w:ind w:left="720" w:hanging="360"/>
      </w:pPr>
      <w:rPr>
        <w:rFonts w:ascii="Symbol" w:hAnsi="Symbol"/>
      </w:rPr>
    </w:lvl>
  </w:abstractNum>
  <w:abstractNum w:abstractNumId="30" w15:restartNumberingAfterBreak="0">
    <w:nsid w:val="5EEF4A72"/>
    <w:multiLevelType w:val="hybridMultilevel"/>
    <w:tmpl w:val="B86A3DBE"/>
    <w:lvl w:ilvl="0" w:tplc="28E8CBCC">
      <w:start w:val="1"/>
      <w:numFmt w:val="bullet"/>
      <w:pStyle w:val="Timelinebullets"/>
      <w:lvlText w:val=""/>
      <w:lvlJc w:val="left"/>
      <w:pPr>
        <w:ind w:left="394" w:hanging="360"/>
      </w:pPr>
      <w:rPr>
        <w:rFonts w:ascii="Wingdings" w:hAnsi="Wingdings" w:hint="default"/>
        <w:color w:val="FFD966" w:themeColor="accent4" w:themeTint="99"/>
        <w:position w:val="-4"/>
        <w:sz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EFB0359"/>
    <w:multiLevelType w:val="hybridMultilevel"/>
    <w:tmpl w:val="0F44E4CA"/>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2" w15:restartNumberingAfterBreak="0">
    <w:nsid w:val="5F0D3360"/>
    <w:multiLevelType w:val="hybridMultilevel"/>
    <w:tmpl w:val="D96ED284"/>
    <w:lvl w:ilvl="0" w:tplc="327660A4">
      <w:start w:val="1"/>
      <w:numFmt w:val="lowerLetter"/>
      <w:lvlText w:val="%1)"/>
      <w:lvlJc w:val="left"/>
      <w:pPr>
        <w:ind w:left="720" w:hanging="360"/>
      </w:pPr>
      <w:rPr>
        <w:rFonts w:hint="default"/>
        <w:b/>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3" w15:restartNumberingAfterBreak="0">
    <w:nsid w:val="5F1624E9"/>
    <w:multiLevelType w:val="hybridMultilevel"/>
    <w:tmpl w:val="66204720"/>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60527476"/>
    <w:multiLevelType w:val="hybridMultilevel"/>
    <w:tmpl w:val="3A7C037E"/>
    <w:lvl w:ilvl="0" w:tplc="340AC4D0">
      <w:start w:val="1"/>
      <w:numFmt w:val="bullet"/>
      <w:lvlText w:val=""/>
      <w:lvlJc w:val="left"/>
      <w:pPr>
        <w:ind w:left="1440" w:hanging="360"/>
      </w:pPr>
      <w:rPr>
        <w:rFonts w:ascii="Symbol" w:hAnsi="Symbol"/>
      </w:rPr>
    </w:lvl>
    <w:lvl w:ilvl="1" w:tplc="13285484">
      <w:start w:val="1"/>
      <w:numFmt w:val="bullet"/>
      <w:lvlText w:val=""/>
      <w:lvlJc w:val="left"/>
      <w:pPr>
        <w:ind w:left="1440" w:hanging="360"/>
      </w:pPr>
      <w:rPr>
        <w:rFonts w:ascii="Symbol" w:hAnsi="Symbol"/>
      </w:rPr>
    </w:lvl>
    <w:lvl w:ilvl="2" w:tplc="C8AA9F02">
      <w:start w:val="1"/>
      <w:numFmt w:val="bullet"/>
      <w:lvlText w:val=""/>
      <w:lvlJc w:val="left"/>
      <w:pPr>
        <w:ind w:left="1440" w:hanging="360"/>
      </w:pPr>
      <w:rPr>
        <w:rFonts w:ascii="Symbol" w:hAnsi="Symbol"/>
      </w:rPr>
    </w:lvl>
    <w:lvl w:ilvl="3" w:tplc="B656893C">
      <w:start w:val="1"/>
      <w:numFmt w:val="bullet"/>
      <w:lvlText w:val=""/>
      <w:lvlJc w:val="left"/>
      <w:pPr>
        <w:ind w:left="1440" w:hanging="360"/>
      </w:pPr>
      <w:rPr>
        <w:rFonts w:ascii="Symbol" w:hAnsi="Symbol"/>
      </w:rPr>
    </w:lvl>
    <w:lvl w:ilvl="4" w:tplc="6910ED8A">
      <w:start w:val="1"/>
      <w:numFmt w:val="bullet"/>
      <w:lvlText w:val=""/>
      <w:lvlJc w:val="left"/>
      <w:pPr>
        <w:ind w:left="1440" w:hanging="360"/>
      </w:pPr>
      <w:rPr>
        <w:rFonts w:ascii="Symbol" w:hAnsi="Symbol"/>
      </w:rPr>
    </w:lvl>
    <w:lvl w:ilvl="5" w:tplc="498040D2">
      <w:start w:val="1"/>
      <w:numFmt w:val="bullet"/>
      <w:lvlText w:val=""/>
      <w:lvlJc w:val="left"/>
      <w:pPr>
        <w:ind w:left="1440" w:hanging="360"/>
      </w:pPr>
      <w:rPr>
        <w:rFonts w:ascii="Symbol" w:hAnsi="Symbol"/>
      </w:rPr>
    </w:lvl>
    <w:lvl w:ilvl="6" w:tplc="26C269AA">
      <w:start w:val="1"/>
      <w:numFmt w:val="bullet"/>
      <w:lvlText w:val=""/>
      <w:lvlJc w:val="left"/>
      <w:pPr>
        <w:ind w:left="1440" w:hanging="360"/>
      </w:pPr>
      <w:rPr>
        <w:rFonts w:ascii="Symbol" w:hAnsi="Symbol"/>
      </w:rPr>
    </w:lvl>
    <w:lvl w:ilvl="7" w:tplc="26607F70">
      <w:start w:val="1"/>
      <w:numFmt w:val="bullet"/>
      <w:lvlText w:val=""/>
      <w:lvlJc w:val="left"/>
      <w:pPr>
        <w:ind w:left="1440" w:hanging="360"/>
      </w:pPr>
      <w:rPr>
        <w:rFonts w:ascii="Symbol" w:hAnsi="Symbol"/>
      </w:rPr>
    </w:lvl>
    <w:lvl w:ilvl="8" w:tplc="7A324250">
      <w:start w:val="1"/>
      <w:numFmt w:val="bullet"/>
      <w:lvlText w:val=""/>
      <w:lvlJc w:val="left"/>
      <w:pPr>
        <w:ind w:left="1440" w:hanging="360"/>
      </w:pPr>
      <w:rPr>
        <w:rFonts w:ascii="Symbol" w:hAnsi="Symbol"/>
      </w:rPr>
    </w:lvl>
  </w:abstractNum>
  <w:abstractNum w:abstractNumId="35" w15:restartNumberingAfterBreak="0">
    <w:nsid w:val="646A70AF"/>
    <w:multiLevelType w:val="multilevel"/>
    <w:tmpl w:val="8D78CD1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6" w15:restartNumberingAfterBreak="0">
    <w:nsid w:val="6A5E73CA"/>
    <w:multiLevelType w:val="hybridMultilevel"/>
    <w:tmpl w:val="9FEED9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6D2A3E61"/>
    <w:multiLevelType w:val="hybridMultilevel"/>
    <w:tmpl w:val="D22EE1A0"/>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8" w15:restartNumberingAfterBreak="0">
    <w:nsid w:val="6E1444A0"/>
    <w:multiLevelType w:val="hybridMultilevel"/>
    <w:tmpl w:val="D56E76D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6ECB2387"/>
    <w:multiLevelType w:val="hybridMultilevel"/>
    <w:tmpl w:val="662ABA4A"/>
    <w:lvl w:ilvl="0" w:tplc="0407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72086648"/>
    <w:multiLevelType w:val="hybridMultilevel"/>
    <w:tmpl w:val="187EFFFC"/>
    <w:lvl w:ilvl="0" w:tplc="EA287EC0">
      <w:start w:val="1"/>
      <w:numFmt w:val="decimal"/>
      <w:lvlText w:val="%1."/>
      <w:lvlJc w:val="left"/>
      <w:pPr>
        <w:ind w:left="360" w:hanging="360"/>
      </w:pPr>
      <w:rPr>
        <w:i/>
        <w:iCs/>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1" w15:restartNumberingAfterBreak="0">
    <w:nsid w:val="76A4505F"/>
    <w:multiLevelType w:val="hybridMultilevel"/>
    <w:tmpl w:val="EB1419C0"/>
    <w:lvl w:ilvl="0" w:tplc="08C0129A">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2" w15:restartNumberingAfterBreak="0">
    <w:nsid w:val="78A404AF"/>
    <w:multiLevelType w:val="hybridMultilevel"/>
    <w:tmpl w:val="A7EA3A5A"/>
    <w:lvl w:ilvl="0" w:tplc="C18A3EE4">
      <w:start w:val="4"/>
      <w:numFmt w:val="lowerLetter"/>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3" w15:restartNumberingAfterBreak="0">
    <w:nsid w:val="7F455F09"/>
    <w:multiLevelType w:val="hybridMultilevel"/>
    <w:tmpl w:val="5858B28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num w:numId="1">
    <w:abstractNumId w:val="33"/>
  </w:num>
  <w:num w:numId="2">
    <w:abstractNumId w:val="38"/>
  </w:num>
  <w:num w:numId="3">
    <w:abstractNumId w:val="0"/>
  </w:num>
  <w:num w:numId="4">
    <w:abstractNumId w:val="36"/>
  </w:num>
  <w:num w:numId="5">
    <w:abstractNumId w:val="25"/>
  </w:num>
  <w:num w:numId="6">
    <w:abstractNumId w:val="10"/>
  </w:num>
  <w:num w:numId="7">
    <w:abstractNumId w:val="16"/>
  </w:num>
  <w:num w:numId="8">
    <w:abstractNumId w:val="41"/>
  </w:num>
  <w:num w:numId="9">
    <w:abstractNumId w:val="12"/>
  </w:num>
  <w:num w:numId="10">
    <w:abstractNumId w:val="5"/>
  </w:num>
  <w:num w:numId="11">
    <w:abstractNumId w:val="22"/>
  </w:num>
  <w:num w:numId="12">
    <w:abstractNumId w:val="3"/>
  </w:num>
  <w:num w:numId="13">
    <w:abstractNumId w:val="43"/>
  </w:num>
  <w:num w:numId="14">
    <w:abstractNumId w:val="26"/>
  </w:num>
  <w:num w:numId="15">
    <w:abstractNumId w:val="2"/>
  </w:num>
  <w:num w:numId="16">
    <w:abstractNumId w:val="13"/>
  </w:num>
  <w:num w:numId="17">
    <w:abstractNumId w:val="29"/>
  </w:num>
  <w:num w:numId="18">
    <w:abstractNumId w:val="28"/>
  </w:num>
  <w:num w:numId="19">
    <w:abstractNumId w:val="39"/>
  </w:num>
  <w:num w:numId="20">
    <w:abstractNumId w:val="7"/>
  </w:num>
  <w:num w:numId="21">
    <w:abstractNumId w:val="20"/>
  </w:num>
  <w:num w:numId="22">
    <w:abstractNumId w:val="37"/>
  </w:num>
  <w:num w:numId="23">
    <w:abstractNumId w:val="9"/>
  </w:num>
  <w:num w:numId="24">
    <w:abstractNumId w:val="4"/>
  </w:num>
  <w:num w:numId="25">
    <w:abstractNumId w:val="31"/>
  </w:num>
  <w:num w:numId="26">
    <w:abstractNumId w:val="11"/>
  </w:num>
  <w:num w:numId="27">
    <w:abstractNumId w:val="27"/>
  </w:num>
  <w:num w:numId="28">
    <w:abstractNumId w:val="24"/>
  </w:num>
  <w:num w:numId="29">
    <w:abstractNumId w:val="8"/>
  </w:num>
  <w:num w:numId="30">
    <w:abstractNumId w:val="0"/>
  </w:num>
  <w:num w:numId="31">
    <w:abstractNumId w:val="1"/>
  </w:num>
  <w:num w:numId="32">
    <w:abstractNumId w:val="32"/>
  </w:num>
  <w:num w:numId="33">
    <w:abstractNumId w:val="42"/>
  </w:num>
  <w:num w:numId="34">
    <w:abstractNumId w:val="19"/>
  </w:num>
  <w:num w:numId="35">
    <w:abstractNumId w:val="18"/>
  </w:num>
  <w:num w:numId="36">
    <w:abstractNumId w:val="6"/>
  </w:num>
  <w:num w:numId="37">
    <w:abstractNumId w:val="23"/>
  </w:num>
  <w:num w:numId="38">
    <w:abstractNumId w:val="30"/>
  </w:num>
  <w:num w:numId="39">
    <w:abstractNumId w:val="17"/>
  </w:num>
  <w:num w:numId="40">
    <w:abstractNumId w:val="15"/>
  </w:num>
  <w:num w:numId="41">
    <w:abstractNumId w:val="21"/>
  </w:num>
  <w:num w:numId="42">
    <w:abstractNumId w:val="34"/>
  </w:num>
  <w:num w:numId="4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0"/>
  </w:num>
  <w:num w:numId="45">
    <w:abstractNumId w:val="0"/>
  </w:num>
  <w:num w:numId="46">
    <w:abstractNumId w:val="14"/>
  </w:num>
  <w:num w:numId="47">
    <w:abstractNumId w:val="0"/>
  </w:num>
  <w:num w:numId="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75"/>
  </w:hdrShapeDefaults>
  <w:footnotePr>
    <w:footnote w:id="-1"/>
    <w:footnote w:id="0"/>
    <w:footnote w:id="1"/>
  </w:footnotePr>
  <w:endnotePr>
    <w:endnote w:id="-1"/>
    <w:endnote w:id="0"/>
    <w:endnote w:id="1"/>
  </w:endnotePr>
  <w:compat>
    <w:compatSetting w:name="compatibilityMode" w:uri="http://schemas.microsoft.com/office/word" w:val="12"/>
  </w:compat>
  <w:docVars>
    <w:docVar w:name="DocStatus" w:val="Green"/>
    <w:docVar w:name="LW_CORRIGENDUM" w:val="&lt;UNUSED&gt;"/>
    <w:docVar w:name="LW_COVERPAGE_EXISTS" w:val="True"/>
    <w:docVar w:name="LW_COVERPAGE_GUID" w:val="58340102-6AB5-43A0-9C5D-FFEF3420588A"/>
    <w:docVar w:name="LW_COVERPAGE_TYPE" w:val="1"/>
    <w:docVar w:name="LW_CROSSREFERENCE" w:val="&lt;UNUSED&gt;"/>
    <w:docVar w:name="LW_DocType" w:val="NORMAL"/>
    <w:docVar w:name="LW_EMISSION" w:val="11.2.2025"/>
    <w:docVar w:name="LW_EMISSION_ISODATE" w:val="2025-02-11"/>
    <w:docVar w:name="LW_EMISSION_LOCATION" w:val="STR"/>
    <w:docVar w:name="LW_EMISSION_PREFIX" w:val="Strasbourg,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5) 4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Une Europe plus simple et plus rapide: Communication sur la mise en oeuvre et la simplification"/>
    <w:docVar w:name="LW_TYPE.DOC.CP" w:val="COMMUNICATION DE LA COMMISSION AU PARLEMENT EUROPÉEN, AU CONSEIL, AU COMITÉ ÉCONOMIQUE ET SOCIAL EUROPÉEN ET AU COMITÉ DES RÉGIONS"/>
    <w:docVar w:name="LW_TYPE.DOC.CP.USERTEXT" w:val="&lt;EMPTY&gt;"/>
    <w:docVar w:name="LwApiVersions" w:val="LW4CoDe 1.24.5.0; LW 9.0, Build 20240221"/>
    <w:docVar w:name="Stamp" w:val="\\dossiers.dgt.cec.eu.int\dossiers\SG\SG-2025-00149\SG-2025-00149-00-00-EN-EDT-00.202501271022374424939.DOCX"/>
  </w:docVars>
  <w:rsids>
    <w:rsidRoot w:val="007E419D"/>
    <w:rsid w:val="00000308"/>
    <w:rsid w:val="00000433"/>
    <w:rsid w:val="0000044C"/>
    <w:rsid w:val="00000542"/>
    <w:rsid w:val="0000054D"/>
    <w:rsid w:val="00000853"/>
    <w:rsid w:val="000009B7"/>
    <w:rsid w:val="00000A29"/>
    <w:rsid w:val="00000A97"/>
    <w:rsid w:val="00000DAB"/>
    <w:rsid w:val="00000E12"/>
    <w:rsid w:val="0000107C"/>
    <w:rsid w:val="0000147D"/>
    <w:rsid w:val="000014E5"/>
    <w:rsid w:val="000016E6"/>
    <w:rsid w:val="00001B5B"/>
    <w:rsid w:val="00001BF0"/>
    <w:rsid w:val="000024BE"/>
    <w:rsid w:val="000025B5"/>
    <w:rsid w:val="00002727"/>
    <w:rsid w:val="00002759"/>
    <w:rsid w:val="00002CF5"/>
    <w:rsid w:val="000031EF"/>
    <w:rsid w:val="0000321E"/>
    <w:rsid w:val="0000328A"/>
    <w:rsid w:val="00003418"/>
    <w:rsid w:val="00003497"/>
    <w:rsid w:val="0000356D"/>
    <w:rsid w:val="00003710"/>
    <w:rsid w:val="000037E0"/>
    <w:rsid w:val="00003A0C"/>
    <w:rsid w:val="00003C5E"/>
    <w:rsid w:val="00003CE9"/>
    <w:rsid w:val="00003E97"/>
    <w:rsid w:val="00004094"/>
    <w:rsid w:val="00004343"/>
    <w:rsid w:val="000043B7"/>
    <w:rsid w:val="00004439"/>
    <w:rsid w:val="0000498B"/>
    <w:rsid w:val="00004D99"/>
    <w:rsid w:val="00004DBD"/>
    <w:rsid w:val="00004E11"/>
    <w:rsid w:val="00004ED3"/>
    <w:rsid w:val="000050E2"/>
    <w:rsid w:val="00005278"/>
    <w:rsid w:val="0000536A"/>
    <w:rsid w:val="000053CC"/>
    <w:rsid w:val="00005469"/>
    <w:rsid w:val="00005720"/>
    <w:rsid w:val="0000573E"/>
    <w:rsid w:val="00005C44"/>
    <w:rsid w:val="00005F31"/>
    <w:rsid w:val="000062B6"/>
    <w:rsid w:val="000062CC"/>
    <w:rsid w:val="00006342"/>
    <w:rsid w:val="000064DD"/>
    <w:rsid w:val="000066A7"/>
    <w:rsid w:val="00006996"/>
    <w:rsid w:val="00006D0F"/>
    <w:rsid w:val="00006DD3"/>
    <w:rsid w:val="00006FD0"/>
    <w:rsid w:val="000070D8"/>
    <w:rsid w:val="000072B9"/>
    <w:rsid w:val="000072CB"/>
    <w:rsid w:val="000072F2"/>
    <w:rsid w:val="0000765E"/>
    <w:rsid w:val="0000766F"/>
    <w:rsid w:val="00007945"/>
    <w:rsid w:val="00007EBA"/>
    <w:rsid w:val="00010151"/>
    <w:rsid w:val="00010209"/>
    <w:rsid w:val="000106C0"/>
    <w:rsid w:val="000107DE"/>
    <w:rsid w:val="00010940"/>
    <w:rsid w:val="00010A11"/>
    <w:rsid w:val="00010A3A"/>
    <w:rsid w:val="00010B5D"/>
    <w:rsid w:val="000113D7"/>
    <w:rsid w:val="00011649"/>
    <w:rsid w:val="0001182E"/>
    <w:rsid w:val="000119E3"/>
    <w:rsid w:val="00011A27"/>
    <w:rsid w:val="00011B81"/>
    <w:rsid w:val="00011DAC"/>
    <w:rsid w:val="00011DF1"/>
    <w:rsid w:val="00011E3F"/>
    <w:rsid w:val="00011FC9"/>
    <w:rsid w:val="000120F8"/>
    <w:rsid w:val="00012354"/>
    <w:rsid w:val="00012662"/>
    <w:rsid w:val="000126BA"/>
    <w:rsid w:val="00012777"/>
    <w:rsid w:val="000127DB"/>
    <w:rsid w:val="000129B6"/>
    <w:rsid w:val="000129BC"/>
    <w:rsid w:val="00012D07"/>
    <w:rsid w:val="00012D3A"/>
    <w:rsid w:val="00012E1F"/>
    <w:rsid w:val="00012F4D"/>
    <w:rsid w:val="00012FD1"/>
    <w:rsid w:val="000130C5"/>
    <w:rsid w:val="00013173"/>
    <w:rsid w:val="00013511"/>
    <w:rsid w:val="00013852"/>
    <w:rsid w:val="0001392F"/>
    <w:rsid w:val="00013B6C"/>
    <w:rsid w:val="00013C43"/>
    <w:rsid w:val="00013D40"/>
    <w:rsid w:val="00013EB9"/>
    <w:rsid w:val="00013EEA"/>
    <w:rsid w:val="000140AD"/>
    <w:rsid w:val="0001472B"/>
    <w:rsid w:val="00014875"/>
    <w:rsid w:val="00014944"/>
    <w:rsid w:val="00014AB5"/>
    <w:rsid w:val="000152CE"/>
    <w:rsid w:val="000152E5"/>
    <w:rsid w:val="00015402"/>
    <w:rsid w:val="0001592E"/>
    <w:rsid w:val="0001598D"/>
    <w:rsid w:val="00015BB7"/>
    <w:rsid w:val="00015CAE"/>
    <w:rsid w:val="000160CB"/>
    <w:rsid w:val="00016238"/>
    <w:rsid w:val="00016453"/>
    <w:rsid w:val="000164B5"/>
    <w:rsid w:val="000166C3"/>
    <w:rsid w:val="00016C7F"/>
    <w:rsid w:val="00016DF8"/>
    <w:rsid w:val="00016E55"/>
    <w:rsid w:val="000171FF"/>
    <w:rsid w:val="00017460"/>
    <w:rsid w:val="000178AE"/>
    <w:rsid w:val="00017901"/>
    <w:rsid w:val="00017A28"/>
    <w:rsid w:val="00017AEA"/>
    <w:rsid w:val="00017EA8"/>
    <w:rsid w:val="00020006"/>
    <w:rsid w:val="00020143"/>
    <w:rsid w:val="000202B8"/>
    <w:rsid w:val="000203A3"/>
    <w:rsid w:val="00020525"/>
    <w:rsid w:val="00020552"/>
    <w:rsid w:val="0002085D"/>
    <w:rsid w:val="0002094E"/>
    <w:rsid w:val="00020CDB"/>
    <w:rsid w:val="00020E57"/>
    <w:rsid w:val="0002149C"/>
    <w:rsid w:val="000214CB"/>
    <w:rsid w:val="000214E1"/>
    <w:rsid w:val="00021604"/>
    <w:rsid w:val="0002189A"/>
    <w:rsid w:val="000218E6"/>
    <w:rsid w:val="00021A1C"/>
    <w:rsid w:val="0002241B"/>
    <w:rsid w:val="0002275B"/>
    <w:rsid w:val="0002284D"/>
    <w:rsid w:val="00022A52"/>
    <w:rsid w:val="00022B1B"/>
    <w:rsid w:val="00022D56"/>
    <w:rsid w:val="00022D64"/>
    <w:rsid w:val="00022F10"/>
    <w:rsid w:val="000230DA"/>
    <w:rsid w:val="000234BB"/>
    <w:rsid w:val="00023853"/>
    <w:rsid w:val="00023C72"/>
    <w:rsid w:val="00023DE9"/>
    <w:rsid w:val="00023FF7"/>
    <w:rsid w:val="000242ED"/>
    <w:rsid w:val="0002442D"/>
    <w:rsid w:val="00024673"/>
    <w:rsid w:val="00024AE7"/>
    <w:rsid w:val="00024B8B"/>
    <w:rsid w:val="00024CA0"/>
    <w:rsid w:val="00024D94"/>
    <w:rsid w:val="00024F36"/>
    <w:rsid w:val="0002537A"/>
    <w:rsid w:val="000255A8"/>
    <w:rsid w:val="0002567D"/>
    <w:rsid w:val="000256DF"/>
    <w:rsid w:val="00025709"/>
    <w:rsid w:val="00025717"/>
    <w:rsid w:val="00025890"/>
    <w:rsid w:val="00025BA5"/>
    <w:rsid w:val="00025BF6"/>
    <w:rsid w:val="00025C1E"/>
    <w:rsid w:val="00025EAD"/>
    <w:rsid w:val="00026070"/>
    <w:rsid w:val="000260B4"/>
    <w:rsid w:val="00026242"/>
    <w:rsid w:val="0002683B"/>
    <w:rsid w:val="00026D1E"/>
    <w:rsid w:val="00026F13"/>
    <w:rsid w:val="00026FAE"/>
    <w:rsid w:val="000270BC"/>
    <w:rsid w:val="0002729F"/>
    <w:rsid w:val="00027336"/>
    <w:rsid w:val="00027556"/>
    <w:rsid w:val="0002768E"/>
    <w:rsid w:val="00027909"/>
    <w:rsid w:val="00027C98"/>
    <w:rsid w:val="00027CB4"/>
    <w:rsid w:val="00027D16"/>
    <w:rsid w:val="00027D9A"/>
    <w:rsid w:val="00030252"/>
    <w:rsid w:val="00030427"/>
    <w:rsid w:val="000304D2"/>
    <w:rsid w:val="0003058C"/>
    <w:rsid w:val="0003074F"/>
    <w:rsid w:val="00030881"/>
    <w:rsid w:val="000309A0"/>
    <w:rsid w:val="000309E6"/>
    <w:rsid w:val="00030FFF"/>
    <w:rsid w:val="000312E3"/>
    <w:rsid w:val="000312EE"/>
    <w:rsid w:val="0003134E"/>
    <w:rsid w:val="000313FF"/>
    <w:rsid w:val="0003184C"/>
    <w:rsid w:val="000318B1"/>
    <w:rsid w:val="0003196A"/>
    <w:rsid w:val="00031996"/>
    <w:rsid w:val="000319F1"/>
    <w:rsid w:val="00031A38"/>
    <w:rsid w:val="00031D54"/>
    <w:rsid w:val="00031F1E"/>
    <w:rsid w:val="0003222D"/>
    <w:rsid w:val="00032434"/>
    <w:rsid w:val="00032477"/>
    <w:rsid w:val="00032643"/>
    <w:rsid w:val="000327D1"/>
    <w:rsid w:val="00032834"/>
    <w:rsid w:val="000329B6"/>
    <w:rsid w:val="0003306D"/>
    <w:rsid w:val="000332A2"/>
    <w:rsid w:val="00033D8D"/>
    <w:rsid w:val="00033DBF"/>
    <w:rsid w:val="00033EEC"/>
    <w:rsid w:val="00033F24"/>
    <w:rsid w:val="00033F7B"/>
    <w:rsid w:val="00033FB0"/>
    <w:rsid w:val="000340EC"/>
    <w:rsid w:val="0003453A"/>
    <w:rsid w:val="000345F9"/>
    <w:rsid w:val="0003466F"/>
    <w:rsid w:val="0003476A"/>
    <w:rsid w:val="00034907"/>
    <w:rsid w:val="00034AE7"/>
    <w:rsid w:val="00034D57"/>
    <w:rsid w:val="00034D90"/>
    <w:rsid w:val="00034EC4"/>
    <w:rsid w:val="00035199"/>
    <w:rsid w:val="000354A9"/>
    <w:rsid w:val="000358AF"/>
    <w:rsid w:val="0003595F"/>
    <w:rsid w:val="000360C5"/>
    <w:rsid w:val="000361B8"/>
    <w:rsid w:val="00036252"/>
    <w:rsid w:val="00036356"/>
    <w:rsid w:val="00036425"/>
    <w:rsid w:val="00036692"/>
    <w:rsid w:val="000367CF"/>
    <w:rsid w:val="00036C81"/>
    <w:rsid w:val="00036FC2"/>
    <w:rsid w:val="00036FEF"/>
    <w:rsid w:val="000374CD"/>
    <w:rsid w:val="000376D1"/>
    <w:rsid w:val="000377F7"/>
    <w:rsid w:val="00037FDC"/>
    <w:rsid w:val="00037FED"/>
    <w:rsid w:val="000405FA"/>
    <w:rsid w:val="000406A3"/>
    <w:rsid w:val="00040803"/>
    <w:rsid w:val="00040C99"/>
    <w:rsid w:val="00040DC8"/>
    <w:rsid w:val="0004129C"/>
    <w:rsid w:val="000412F5"/>
    <w:rsid w:val="00041691"/>
    <w:rsid w:val="00041778"/>
    <w:rsid w:val="0004192A"/>
    <w:rsid w:val="00041AB4"/>
    <w:rsid w:val="00041AF7"/>
    <w:rsid w:val="00041B7D"/>
    <w:rsid w:val="00041C29"/>
    <w:rsid w:val="00041DBA"/>
    <w:rsid w:val="00041E49"/>
    <w:rsid w:val="00041FC9"/>
    <w:rsid w:val="00042002"/>
    <w:rsid w:val="00042505"/>
    <w:rsid w:val="000425CA"/>
    <w:rsid w:val="0004266E"/>
    <w:rsid w:val="00042671"/>
    <w:rsid w:val="00042693"/>
    <w:rsid w:val="00042BD0"/>
    <w:rsid w:val="0004321D"/>
    <w:rsid w:val="00043A13"/>
    <w:rsid w:val="00043E37"/>
    <w:rsid w:val="00043F4D"/>
    <w:rsid w:val="00043F75"/>
    <w:rsid w:val="0004400F"/>
    <w:rsid w:val="000443B4"/>
    <w:rsid w:val="000444A8"/>
    <w:rsid w:val="000444E0"/>
    <w:rsid w:val="00044593"/>
    <w:rsid w:val="00044595"/>
    <w:rsid w:val="000447C5"/>
    <w:rsid w:val="000447E9"/>
    <w:rsid w:val="00044852"/>
    <w:rsid w:val="00044884"/>
    <w:rsid w:val="00044A16"/>
    <w:rsid w:val="00044A8B"/>
    <w:rsid w:val="00044D28"/>
    <w:rsid w:val="00044D3A"/>
    <w:rsid w:val="00044E2A"/>
    <w:rsid w:val="00044ECE"/>
    <w:rsid w:val="0004515C"/>
    <w:rsid w:val="00045387"/>
    <w:rsid w:val="0004570D"/>
    <w:rsid w:val="0004598B"/>
    <w:rsid w:val="000459F2"/>
    <w:rsid w:val="00045B03"/>
    <w:rsid w:val="00046497"/>
    <w:rsid w:val="000464A5"/>
    <w:rsid w:val="00046768"/>
    <w:rsid w:val="0004689A"/>
    <w:rsid w:val="00046957"/>
    <w:rsid w:val="00046B8E"/>
    <w:rsid w:val="00046CCB"/>
    <w:rsid w:val="00046D43"/>
    <w:rsid w:val="00046DD9"/>
    <w:rsid w:val="00047086"/>
    <w:rsid w:val="000472A8"/>
    <w:rsid w:val="00047503"/>
    <w:rsid w:val="00047789"/>
    <w:rsid w:val="00047960"/>
    <w:rsid w:val="00047EBD"/>
    <w:rsid w:val="00050899"/>
    <w:rsid w:val="000508E0"/>
    <w:rsid w:val="00050C28"/>
    <w:rsid w:val="00050DBC"/>
    <w:rsid w:val="00051439"/>
    <w:rsid w:val="000514D0"/>
    <w:rsid w:val="00051748"/>
    <w:rsid w:val="0005183E"/>
    <w:rsid w:val="00051A9F"/>
    <w:rsid w:val="00051B1F"/>
    <w:rsid w:val="00051B46"/>
    <w:rsid w:val="00051BFA"/>
    <w:rsid w:val="00051C74"/>
    <w:rsid w:val="00051D35"/>
    <w:rsid w:val="0005212D"/>
    <w:rsid w:val="00052158"/>
    <w:rsid w:val="000523C9"/>
    <w:rsid w:val="0005276E"/>
    <w:rsid w:val="00052B2E"/>
    <w:rsid w:val="00052E29"/>
    <w:rsid w:val="00052E65"/>
    <w:rsid w:val="000532B9"/>
    <w:rsid w:val="0005336E"/>
    <w:rsid w:val="000533B4"/>
    <w:rsid w:val="00053453"/>
    <w:rsid w:val="00053715"/>
    <w:rsid w:val="0005398D"/>
    <w:rsid w:val="00053A25"/>
    <w:rsid w:val="00053A7D"/>
    <w:rsid w:val="00053F18"/>
    <w:rsid w:val="0005419D"/>
    <w:rsid w:val="00054415"/>
    <w:rsid w:val="00054618"/>
    <w:rsid w:val="00054763"/>
    <w:rsid w:val="00054DD7"/>
    <w:rsid w:val="00054EDB"/>
    <w:rsid w:val="00055124"/>
    <w:rsid w:val="0005520F"/>
    <w:rsid w:val="00055286"/>
    <w:rsid w:val="00055506"/>
    <w:rsid w:val="000559EE"/>
    <w:rsid w:val="00055BB4"/>
    <w:rsid w:val="00055BDE"/>
    <w:rsid w:val="00055CE6"/>
    <w:rsid w:val="00055D22"/>
    <w:rsid w:val="00055E14"/>
    <w:rsid w:val="00055EC8"/>
    <w:rsid w:val="000565FA"/>
    <w:rsid w:val="00056754"/>
    <w:rsid w:val="000567D1"/>
    <w:rsid w:val="00056843"/>
    <w:rsid w:val="00056C4E"/>
    <w:rsid w:val="00056C68"/>
    <w:rsid w:val="00056CD2"/>
    <w:rsid w:val="00056CD5"/>
    <w:rsid w:val="0005714D"/>
    <w:rsid w:val="00057157"/>
    <w:rsid w:val="00057603"/>
    <w:rsid w:val="00057B21"/>
    <w:rsid w:val="00057B7D"/>
    <w:rsid w:val="00057D8A"/>
    <w:rsid w:val="00057DE0"/>
    <w:rsid w:val="00057DED"/>
    <w:rsid w:val="000602B6"/>
    <w:rsid w:val="00060532"/>
    <w:rsid w:val="00060780"/>
    <w:rsid w:val="000609CF"/>
    <w:rsid w:val="00060D65"/>
    <w:rsid w:val="000617B9"/>
    <w:rsid w:val="00061B67"/>
    <w:rsid w:val="00061B73"/>
    <w:rsid w:val="00061E36"/>
    <w:rsid w:val="00061F66"/>
    <w:rsid w:val="0006211A"/>
    <w:rsid w:val="000621C6"/>
    <w:rsid w:val="000621D5"/>
    <w:rsid w:val="000623DC"/>
    <w:rsid w:val="000625FD"/>
    <w:rsid w:val="000627EB"/>
    <w:rsid w:val="00062857"/>
    <w:rsid w:val="00062A60"/>
    <w:rsid w:val="00062D59"/>
    <w:rsid w:val="00062FBE"/>
    <w:rsid w:val="00062FD2"/>
    <w:rsid w:val="0006309B"/>
    <w:rsid w:val="00063189"/>
    <w:rsid w:val="000631CA"/>
    <w:rsid w:val="000633E2"/>
    <w:rsid w:val="00063455"/>
    <w:rsid w:val="00063527"/>
    <w:rsid w:val="00063670"/>
    <w:rsid w:val="00063ADF"/>
    <w:rsid w:val="00063CE3"/>
    <w:rsid w:val="00063D91"/>
    <w:rsid w:val="00063D97"/>
    <w:rsid w:val="00063E52"/>
    <w:rsid w:val="00064184"/>
    <w:rsid w:val="00064296"/>
    <w:rsid w:val="0006463A"/>
    <w:rsid w:val="000646C1"/>
    <w:rsid w:val="00064939"/>
    <w:rsid w:val="00064AB6"/>
    <w:rsid w:val="00064B78"/>
    <w:rsid w:val="000650DD"/>
    <w:rsid w:val="0006550F"/>
    <w:rsid w:val="000658DC"/>
    <w:rsid w:val="00065CB9"/>
    <w:rsid w:val="00065FB5"/>
    <w:rsid w:val="00066120"/>
    <w:rsid w:val="00066384"/>
    <w:rsid w:val="000663AE"/>
    <w:rsid w:val="00066820"/>
    <w:rsid w:val="00066CE9"/>
    <w:rsid w:val="000671F9"/>
    <w:rsid w:val="00067391"/>
    <w:rsid w:val="0006752E"/>
    <w:rsid w:val="000676F5"/>
    <w:rsid w:val="000677AD"/>
    <w:rsid w:val="000677C3"/>
    <w:rsid w:val="000677D2"/>
    <w:rsid w:val="000678D6"/>
    <w:rsid w:val="0006797C"/>
    <w:rsid w:val="00067BC1"/>
    <w:rsid w:val="00067D62"/>
    <w:rsid w:val="00067F27"/>
    <w:rsid w:val="00070089"/>
    <w:rsid w:val="0007008F"/>
    <w:rsid w:val="0007053C"/>
    <w:rsid w:val="00070671"/>
    <w:rsid w:val="000706A7"/>
    <w:rsid w:val="000708C3"/>
    <w:rsid w:val="0007090C"/>
    <w:rsid w:val="00070A0B"/>
    <w:rsid w:val="00070C4A"/>
    <w:rsid w:val="00070F57"/>
    <w:rsid w:val="00071034"/>
    <w:rsid w:val="00071204"/>
    <w:rsid w:val="00071647"/>
    <w:rsid w:val="00071834"/>
    <w:rsid w:val="00071B6F"/>
    <w:rsid w:val="00072584"/>
    <w:rsid w:val="00072773"/>
    <w:rsid w:val="0007290B"/>
    <w:rsid w:val="000729BC"/>
    <w:rsid w:val="00072A29"/>
    <w:rsid w:val="00072C9B"/>
    <w:rsid w:val="00072D31"/>
    <w:rsid w:val="00072F46"/>
    <w:rsid w:val="00072F8B"/>
    <w:rsid w:val="000730A4"/>
    <w:rsid w:val="00073473"/>
    <w:rsid w:val="0007379C"/>
    <w:rsid w:val="00073910"/>
    <w:rsid w:val="00073A23"/>
    <w:rsid w:val="00073A66"/>
    <w:rsid w:val="00073CB1"/>
    <w:rsid w:val="00073E58"/>
    <w:rsid w:val="0007410E"/>
    <w:rsid w:val="00074245"/>
    <w:rsid w:val="0007433E"/>
    <w:rsid w:val="00074409"/>
    <w:rsid w:val="00074672"/>
    <w:rsid w:val="00074BFA"/>
    <w:rsid w:val="00074C6B"/>
    <w:rsid w:val="00074CBF"/>
    <w:rsid w:val="0007531E"/>
    <w:rsid w:val="000754AD"/>
    <w:rsid w:val="00075630"/>
    <w:rsid w:val="000757C8"/>
    <w:rsid w:val="0007590E"/>
    <w:rsid w:val="00075E47"/>
    <w:rsid w:val="00075F2F"/>
    <w:rsid w:val="00075FB5"/>
    <w:rsid w:val="0007614F"/>
    <w:rsid w:val="00076237"/>
    <w:rsid w:val="000765A2"/>
    <w:rsid w:val="000768A0"/>
    <w:rsid w:val="00076BC9"/>
    <w:rsid w:val="00076CD7"/>
    <w:rsid w:val="00076E40"/>
    <w:rsid w:val="00077077"/>
    <w:rsid w:val="00077126"/>
    <w:rsid w:val="000773E2"/>
    <w:rsid w:val="000775EA"/>
    <w:rsid w:val="000777F5"/>
    <w:rsid w:val="000779BB"/>
    <w:rsid w:val="00077B8B"/>
    <w:rsid w:val="00077BF1"/>
    <w:rsid w:val="00077DC8"/>
    <w:rsid w:val="00077EF3"/>
    <w:rsid w:val="00077FF3"/>
    <w:rsid w:val="000800D6"/>
    <w:rsid w:val="00080157"/>
    <w:rsid w:val="000801E2"/>
    <w:rsid w:val="00080422"/>
    <w:rsid w:val="00080569"/>
    <w:rsid w:val="000806A9"/>
    <w:rsid w:val="000806F3"/>
    <w:rsid w:val="0008082C"/>
    <w:rsid w:val="00080A94"/>
    <w:rsid w:val="00080B32"/>
    <w:rsid w:val="00080F69"/>
    <w:rsid w:val="0008120E"/>
    <w:rsid w:val="00081424"/>
    <w:rsid w:val="00081587"/>
    <w:rsid w:val="000816BC"/>
    <w:rsid w:val="000816D6"/>
    <w:rsid w:val="00081705"/>
    <w:rsid w:val="00081778"/>
    <w:rsid w:val="0008184B"/>
    <w:rsid w:val="00081D0D"/>
    <w:rsid w:val="00081EBD"/>
    <w:rsid w:val="00081FA4"/>
    <w:rsid w:val="00082123"/>
    <w:rsid w:val="00082306"/>
    <w:rsid w:val="0008248E"/>
    <w:rsid w:val="000824A2"/>
    <w:rsid w:val="00082518"/>
    <w:rsid w:val="00082A1B"/>
    <w:rsid w:val="00082C5B"/>
    <w:rsid w:val="00082E50"/>
    <w:rsid w:val="00083013"/>
    <w:rsid w:val="00083388"/>
    <w:rsid w:val="000835A4"/>
    <w:rsid w:val="00083635"/>
    <w:rsid w:val="00083661"/>
    <w:rsid w:val="00083988"/>
    <w:rsid w:val="000839B8"/>
    <w:rsid w:val="00083A4F"/>
    <w:rsid w:val="00083AFC"/>
    <w:rsid w:val="00083B4E"/>
    <w:rsid w:val="00083BE4"/>
    <w:rsid w:val="00083CEE"/>
    <w:rsid w:val="00083D2F"/>
    <w:rsid w:val="000843D4"/>
    <w:rsid w:val="00084458"/>
    <w:rsid w:val="000844D6"/>
    <w:rsid w:val="00084716"/>
    <w:rsid w:val="00084717"/>
    <w:rsid w:val="0008497A"/>
    <w:rsid w:val="000849BE"/>
    <w:rsid w:val="00084DE8"/>
    <w:rsid w:val="00084FEC"/>
    <w:rsid w:val="0008513B"/>
    <w:rsid w:val="00085495"/>
    <w:rsid w:val="0008552A"/>
    <w:rsid w:val="00085603"/>
    <w:rsid w:val="0008562F"/>
    <w:rsid w:val="0008569E"/>
    <w:rsid w:val="000857CA"/>
    <w:rsid w:val="00085ADD"/>
    <w:rsid w:val="00085BF7"/>
    <w:rsid w:val="00085D55"/>
    <w:rsid w:val="00085D7E"/>
    <w:rsid w:val="00085E65"/>
    <w:rsid w:val="00085E82"/>
    <w:rsid w:val="000861CA"/>
    <w:rsid w:val="000862DA"/>
    <w:rsid w:val="00086512"/>
    <w:rsid w:val="00086D1E"/>
    <w:rsid w:val="00086D82"/>
    <w:rsid w:val="00086F77"/>
    <w:rsid w:val="00086F93"/>
    <w:rsid w:val="000870A4"/>
    <w:rsid w:val="0008725C"/>
    <w:rsid w:val="00087634"/>
    <w:rsid w:val="00087678"/>
    <w:rsid w:val="00087996"/>
    <w:rsid w:val="000879E7"/>
    <w:rsid w:val="00087D1F"/>
    <w:rsid w:val="0009008D"/>
    <w:rsid w:val="000905FC"/>
    <w:rsid w:val="00090A58"/>
    <w:rsid w:val="00090D8F"/>
    <w:rsid w:val="00091427"/>
    <w:rsid w:val="00091862"/>
    <w:rsid w:val="00091896"/>
    <w:rsid w:val="00091A58"/>
    <w:rsid w:val="00091A7E"/>
    <w:rsid w:val="00091C17"/>
    <w:rsid w:val="00091C56"/>
    <w:rsid w:val="0009226E"/>
    <w:rsid w:val="000923A1"/>
    <w:rsid w:val="0009240E"/>
    <w:rsid w:val="0009273A"/>
    <w:rsid w:val="00092B4E"/>
    <w:rsid w:val="00092B86"/>
    <w:rsid w:val="00092D79"/>
    <w:rsid w:val="00092D87"/>
    <w:rsid w:val="000934E8"/>
    <w:rsid w:val="00093695"/>
    <w:rsid w:val="00093787"/>
    <w:rsid w:val="00093BE3"/>
    <w:rsid w:val="00094036"/>
    <w:rsid w:val="00094131"/>
    <w:rsid w:val="000943FB"/>
    <w:rsid w:val="00094724"/>
    <w:rsid w:val="000947B0"/>
    <w:rsid w:val="00094809"/>
    <w:rsid w:val="00094AD4"/>
    <w:rsid w:val="000953A2"/>
    <w:rsid w:val="000953D8"/>
    <w:rsid w:val="00095499"/>
    <w:rsid w:val="00095692"/>
    <w:rsid w:val="00095927"/>
    <w:rsid w:val="00095A72"/>
    <w:rsid w:val="00095CE0"/>
    <w:rsid w:val="00096410"/>
    <w:rsid w:val="000965D5"/>
    <w:rsid w:val="00096D17"/>
    <w:rsid w:val="00097275"/>
    <w:rsid w:val="000977F2"/>
    <w:rsid w:val="00097868"/>
    <w:rsid w:val="00097A3E"/>
    <w:rsid w:val="00097BCA"/>
    <w:rsid w:val="00097C8A"/>
    <w:rsid w:val="000A0494"/>
    <w:rsid w:val="000A04BC"/>
    <w:rsid w:val="000A082B"/>
    <w:rsid w:val="000A0966"/>
    <w:rsid w:val="000A0967"/>
    <w:rsid w:val="000A0A50"/>
    <w:rsid w:val="000A0AAC"/>
    <w:rsid w:val="000A0B63"/>
    <w:rsid w:val="000A0D90"/>
    <w:rsid w:val="000A0EB1"/>
    <w:rsid w:val="000A1067"/>
    <w:rsid w:val="000A17E9"/>
    <w:rsid w:val="000A1DBF"/>
    <w:rsid w:val="000A1E3F"/>
    <w:rsid w:val="000A2070"/>
    <w:rsid w:val="000A20A2"/>
    <w:rsid w:val="000A24DB"/>
    <w:rsid w:val="000A2662"/>
    <w:rsid w:val="000A2710"/>
    <w:rsid w:val="000A2895"/>
    <w:rsid w:val="000A292B"/>
    <w:rsid w:val="000A2C5A"/>
    <w:rsid w:val="000A2D37"/>
    <w:rsid w:val="000A2DA6"/>
    <w:rsid w:val="000A30AC"/>
    <w:rsid w:val="000A3133"/>
    <w:rsid w:val="000A3945"/>
    <w:rsid w:val="000A3AF5"/>
    <w:rsid w:val="000A3B46"/>
    <w:rsid w:val="000A3C2D"/>
    <w:rsid w:val="000A3E62"/>
    <w:rsid w:val="000A40B5"/>
    <w:rsid w:val="000A413B"/>
    <w:rsid w:val="000A46B4"/>
    <w:rsid w:val="000A46F7"/>
    <w:rsid w:val="000A48C2"/>
    <w:rsid w:val="000A49F9"/>
    <w:rsid w:val="000A4F97"/>
    <w:rsid w:val="000A5003"/>
    <w:rsid w:val="000A5216"/>
    <w:rsid w:val="000A5388"/>
    <w:rsid w:val="000A538B"/>
    <w:rsid w:val="000A5435"/>
    <w:rsid w:val="000A57C0"/>
    <w:rsid w:val="000A590C"/>
    <w:rsid w:val="000A5CD4"/>
    <w:rsid w:val="000A5EDB"/>
    <w:rsid w:val="000A60EA"/>
    <w:rsid w:val="000A62CA"/>
    <w:rsid w:val="000A63EA"/>
    <w:rsid w:val="000A657C"/>
    <w:rsid w:val="000A6650"/>
    <w:rsid w:val="000A69AA"/>
    <w:rsid w:val="000A6C8E"/>
    <w:rsid w:val="000A716D"/>
    <w:rsid w:val="000A7237"/>
    <w:rsid w:val="000A727C"/>
    <w:rsid w:val="000A75AD"/>
    <w:rsid w:val="000A763E"/>
    <w:rsid w:val="000A76A3"/>
    <w:rsid w:val="000A7824"/>
    <w:rsid w:val="000A7A65"/>
    <w:rsid w:val="000A7AC7"/>
    <w:rsid w:val="000A7AD4"/>
    <w:rsid w:val="000A7AF4"/>
    <w:rsid w:val="000A7FCD"/>
    <w:rsid w:val="000B00F0"/>
    <w:rsid w:val="000B0199"/>
    <w:rsid w:val="000B04A9"/>
    <w:rsid w:val="000B052D"/>
    <w:rsid w:val="000B086C"/>
    <w:rsid w:val="000B087B"/>
    <w:rsid w:val="000B08E6"/>
    <w:rsid w:val="000B0CC3"/>
    <w:rsid w:val="000B0FC7"/>
    <w:rsid w:val="000B10EF"/>
    <w:rsid w:val="000B134C"/>
    <w:rsid w:val="000B1531"/>
    <w:rsid w:val="000B1554"/>
    <w:rsid w:val="000B15F5"/>
    <w:rsid w:val="000B1942"/>
    <w:rsid w:val="000B1EBF"/>
    <w:rsid w:val="000B2025"/>
    <w:rsid w:val="000B21A1"/>
    <w:rsid w:val="000B21B1"/>
    <w:rsid w:val="000B22E6"/>
    <w:rsid w:val="000B23F1"/>
    <w:rsid w:val="000B2518"/>
    <w:rsid w:val="000B2639"/>
    <w:rsid w:val="000B281B"/>
    <w:rsid w:val="000B2961"/>
    <w:rsid w:val="000B29AA"/>
    <w:rsid w:val="000B29DF"/>
    <w:rsid w:val="000B2AFD"/>
    <w:rsid w:val="000B2BAF"/>
    <w:rsid w:val="000B30C6"/>
    <w:rsid w:val="000B3386"/>
    <w:rsid w:val="000B3545"/>
    <w:rsid w:val="000B35C5"/>
    <w:rsid w:val="000B3641"/>
    <w:rsid w:val="000B3896"/>
    <w:rsid w:val="000B39FF"/>
    <w:rsid w:val="000B3AAC"/>
    <w:rsid w:val="000B40C8"/>
    <w:rsid w:val="000B410C"/>
    <w:rsid w:val="000B4242"/>
    <w:rsid w:val="000B429F"/>
    <w:rsid w:val="000B42A5"/>
    <w:rsid w:val="000B4548"/>
    <w:rsid w:val="000B4642"/>
    <w:rsid w:val="000B4E13"/>
    <w:rsid w:val="000B4EBC"/>
    <w:rsid w:val="000B51EA"/>
    <w:rsid w:val="000B5418"/>
    <w:rsid w:val="000B54F2"/>
    <w:rsid w:val="000B5551"/>
    <w:rsid w:val="000B5DA7"/>
    <w:rsid w:val="000B5DE6"/>
    <w:rsid w:val="000B5F1B"/>
    <w:rsid w:val="000B5FAB"/>
    <w:rsid w:val="000B607A"/>
    <w:rsid w:val="000B60C5"/>
    <w:rsid w:val="000B60D3"/>
    <w:rsid w:val="000B6234"/>
    <w:rsid w:val="000B688E"/>
    <w:rsid w:val="000B6B5A"/>
    <w:rsid w:val="000B6C77"/>
    <w:rsid w:val="000B6C7F"/>
    <w:rsid w:val="000B6EC2"/>
    <w:rsid w:val="000B7097"/>
    <w:rsid w:val="000B71AD"/>
    <w:rsid w:val="000B71BE"/>
    <w:rsid w:val="000B731C"/>
    <w:rsid w:val="000B733C"/>
    <w:rsid w:val="000B7CBE"/>
    <w:rsid w:val="000B7CC0"/>
    <w:rsid w:val="000B7FC5"/>
    <w:rsid w:val="000C0024"/>
    <w:rsid w:val="000C010D"/>
    <w:rsid w:val="000C0470"/>
    <w:rsid w:val="000C06A4"/>
    <w:rsid w:val="000C0892"/>
    <w:rsid w:val="000C0B66"/>
    <w:rsid w:val="000C0B97"/>
    <w:rsid w:val="000C0C71"/>
    <w:rsid w:val="000C0D88"/>
    <w:rsid w:val="000C1002"/>
    <w:rsid w:val="000C12CB"/>
    <w:rsid w:val="000C12D0"/>
    <w:rsid w:val="000C150B"/>
    <w:rsid w:val="000C1854"/>
    <w:rsid w:val="000C1E83"/>
    <w:rsid w:val="000C1FB2"/>
    <w:rsid w:val="000C2178"/>
    <w:rsid w:val="000C2A52"/>
    <w:rsid w:val="000C2BCB"/>
    <w:rsid w:val="000C2E60"/>
    <w:rsid w:val="000C3182"/>
    <w:rsid w:val="000C341B"/>
    <w:rsid w:val="000C3711"/>
    <w:rsid w:val="000C379E"/>
    <w:rsid w:val="000C42C2"/>
    <w:rsid w:val="000C441D"/>
    <w:rsid w:val="000C458D"/>
    <w:rsid w:val="000C46E9"/>
    <w:rsid w:val="000C478D"/>
    <w:rsid w:val="000C48B9"/>
    <w:rsid w:val="000C48D8"/>
    <w:rsid w:val="000C48E4"/>
    <w:rsid w:val="000C4946"/>
    <w:rsid w:val="000C4B5B"/>
    <w:rsid w:val="000C5086"/>
    <w:rsid w:val="000C5824"/>
    <w:rsid w:val="000C5964"/>
    <w:rsid w:val="000C59B9"/>
    <w:rsid w:val="000C5C0C"/>
    <w:rsid w:val="000C5C26"/>
    <w:rsid w:val="000C5F2A"/>
    <w:rsid w:val="000C5F50"/>
    <w:rsid w:val="000C610E"/>
    <w:rsid w:val="000C67A8"/>
    <w:rsid w:val="000C6929"/>
    <w:rsid w:val="000C696A"/>
    <w:rsid w:val="000C6AF7"/>
    <w:rsid w:val="000C711A"/>
    <w:rsid w:val="000C725B"/>
    <w:rsid w:val="000C744E"/>
    <w:rsid w:val="000C765B"/>
    <w:rsid w:val="000C76AA"/>
    <w:rsid w:val="000C7794"/>
    <w:rsid w:val="000C782D"/>
    <w:rsid w:val="000C78D0"/>
    <w:rsid w:val="000C7A30"/>
    <w:rsid w:val="000C7D51"/>
    <w:rsid w:val="000C7DED"/>
    <w:rsid w:val="000C7EF2"/>
    <w:rsid w:val="000D03E2"/>
    <w:rsid w:val="000D049E"/>
    <w:rsid w:val="000D04C2"/>
    <w:rsid w:val="000D05E8"/>
    <w:rsid w:val="000D0A48"/>
    <w:rsid w:val="000D0BE0"/>
    <w:rsid w:val="000D0D70"/>
    <w:rsid w:val="000D0EB0"/>
    <w:rsid w:val="000D0FF5"/>
    <w:rsid w:val="000D1266"/>
    <w:rsid w:val="000D1448"/>
    <w:rsid w:val="000D168E"/>
    <w:rsid w:val="000D17EF"/>
    <w:rsid w:val="000D195B"/>
    <w:rsid w:val="000D196B"/>
    <w:rsid w:val="000D1A8B"/>
    <w:rsid w:val="000D1B26"/>
    <w:rsid w:val="000D1C02"/>
    <w:rsid w:val="000D1C81"/>
    <w:rsid w:val="000D1EDE"/>
    <w:rsid w:val="000D2571"/>
    <w:rsid w:val="000D2585"/>
    <w:rsid w:val="000D27F2"/>
    <w:rsid w:val="000D2916"/>
    <w:rsid w:val="000D2A15"/>
    <w:rsid w:val="000D2BB0"/>
    <w:rsid w:val="000D2CB7"/>
    <w:rsid w:val="000D2EAB"/>
    <w:rsid w:val="000D317E"/>
    <w:rsid w:val="000D39EF"/>
    <w:rsid w:val="000D3A12"/>
    <w:rsid w:val="000D3AA2"/>
    <w:rsid w:val="000D3FC1"/>
    <w:rsid w:val="000D4032"/>
    <w:rsid w:val="000D416C"/>
    <w:rsid w:val="000D440E"/>
    <w:rsid w:val="000D443A"/>
    <w:rsid w:val="000D465C"/>
    <w:rsid w:val="000D47C3"/>
    <w:rsid w:val="000D4869"/>
    <w:rsid w:val="000D49CA"/>
    <w:rsid w:val="000D4BA3"/>
    <w:rsid w:val="000D4D3B"/>
    <w:rsid w:val="000D4E71"/>
    <w:rsid w:val="000D4ECA"/>
    <w:rsid w:val="000D4F0D"/>
    <w:rsid w:val="000D52E0"/>
    <w:rsid w:val="000D5347"/>
    <w:rsid w:val="000D591B"/>
    <w:rsid w:val="000D59F7"/>
    <w:rsid w:val="000D5A67"/>
    <w:rsid w:val="000D5D7A"/>
    <w:rsid w:val="000D60B5"/>
    <w:rsid w:val="000D63A6"/>
    <w:rsid w:val="000D6961"/>
    <w:rsid w:val="000D69FE"/>
    <w:rsid w:val="000D6AA9"/>
    <w:rsid w:val="000D7563"/>
    <w:rsid w:val="000D7708"/>
    <w:rsid w:val="000D7927"/>
    <w:rsid w:val="000D7986"/>
    <w:rsid w:val="000D79FD"/>
    <w:rsid w:val="000D7AA8"/>
    <w:rsid w:val="000D7BFB"/>
    <w:rsid w:val="000D7D03"/>
    <w:rsid w:val="000D7D41"/>
    <w:rsid w:val="000D7D4A"/>
    <w:rsid w:val="000D7DF2"/>
    <w:rsid w:val="000D7EEE"/>
    <w:rsid w:val="000E016D"/>
    <w:rsid w:val="000E02C9"/>
    <w:rsid w:val="000E0419"/>
    <w:rsid w:val="000E0420"/>
    <w:rsid w:val="000E084E"/>
    <w:rsid w:val="000E0A8A"/>
    <w:rsid w:val="000E0AE9"/>
    <w:rsid w:val="000E0B2B"/>
    <w:rsid w:val="000E0BF9"/>
    <w:rsid w:val="000E0DE6"/>
    <w:rsid w:val="000E11FC"/>
    <w:rsid w:val="000E1206"/>
    <w:rsid w:val="000E16BF"/>
    <w:rsid w:val="000E1713"/>
    <w:rsid w:val="000E1878"/>
    <w:rsid w:val="000E1978"/>
    <w:rsid w:val="000E1A67"/>
    <w:rsid w:val="000E1C77"/>
    <w:rsid w:val="000E218F"/>
    <w:rsid w:val="000E23C3"/>
    <w:rsid w:val="000E246C"/>
    <w:rsid w:val="000E26F3"/>
    <w:rsid w:val="000E27DE"/>
    <w:rsid w:val="000E293B"/>
    <w:rsid w:val="000E2990"/>
    <w:rsid w:val="000E2E25"/>
    <w:rsid w:val="000E2E3F"/>
    <w:rsid w:val="000E2EC6"/>
    <w:rsid w:val="000E3339"/>
    <w:rsid w:val="000E3705"/>
    <w:rsid w:val="000E3938"/>
    <w:rsid w:val="000E3B4F"/>
    <w:rsid w:val="000E3D54"/>
    <w:rsid w:val="000E3DF7"/>
    <w:rsid w:val="000E413D"/>
    <w:rsid w:val="000E4397"/>
    <w:rsid w:val="000E449D"/>
    <w:rsid w:val="000E44AB"/>
    <w:rsid w:val="000E456A"/>
    <w:rsid w:val="000E4609"/>
    <w:rsid w:val="000E465C"/>
    <w:rsid w:val="000E486B"/>
    <w:rsid w:val="000E48CD"/>
    <w:rsid w:val="000E4B0B"/>
    <w:rsid w:val="000E4B8F"/>
    <w:rsid w:val="000E4E70"/>
    <w:rsid w:val="000E50AF"/>
    <w:rsid w:val="000E51EC"/>
    <w:rsid w:val="000E52A1"/>
    <w:rsid w:val="000E57D0"/>
    <w:rsid w:val="000E5C53"/>
    <w:rsid w:val="000E5DD8"/>
    <w:rsid w:val="000E5E21"/>
    <w:rsid w:val="000E5E82"/>
    <w:rsid w:val="000E5EB8"/>
    <w:rsid w:val="000E5F5A"/>
    <w:rsid w:val="000E60BF"/>
    <w:rsid w:val="000E624A"/>
    <w:rsid w:val="000E646B"/>
    <w:rsid w:val="000E6BCD"/>
    <w:rsid w:val="000E6DD2"/>
    <w:rsid w:val="000E6F7D"/>
    <w:rsid w:val="000E791B"/>
    <w:rsid w:val="000E799E"/>
    <w:rsid w:val="000E7B69"/>
    <w:rsid w:val="000E7BB3"/>
    <w:rsid w:val="000E7C34"/>
    <w:rsid w:val="000E7F13"/>
    <w:rsid w:val="000E7F5F"/>
    <w:rsid w:val="000F01EC"/>
    <w:rsid w:val="000F04DA"/>
    <w:rsid w:val="000F0720"/>
    <w:rsid w:val="000F08A4"/>
    <w:rsid w:val="000F0A8E"/>
    <w:rsid w:val="000F0CD6"/>
    <w:rsid w:val="000F0D99"/>
    <w:rsid w:val="000F0DD0"/>
    <w:rsid w:val="000F0E59"/>
    <w:rsid w:val="000F131C"/>
    <w:rsid w:val="000F15D6"/>
    <w:rsid w:val="000F1652"/>
    <w:rsid w:val="000F16F1"/>
    <w:rsid w:val="000F1724"/>
    <w:rsid w:val="000F18B6"/>
    <w:rsid w:val="000F19E4"/>
    <w:rsid w:val="000F1C1C"/>
    <w:rsid w:val="000F25B4"/>
    <w:rsid w:val="000F25C8"/>
    <w:rsid w:val="000F277A"/>
    <w:rsid w:val="000F280C"/>
    <w:rsid w:val="000F295A"/>
    <w:rsid w:val="000F2A09"/>
    <w:rsid w:val="000F2BF4"/>
    <w:rsid w:val="000F2C5E"/>
    <w:rsid w:val="000F3007"/>
    <w:rsid w:val="000F37EC"/>
    <w:rsid w:val="000F3839"/>
    <w:rsid w:val="000F3847"/>
    <w:rsid w:val="000F386D"/>
    <w:rsid w:val="000F3921"/>
    <w:rsid w:val="000F3964"/>
    <w:rsid w:val="000F3998"/>
    <w:rsid w:val="000F3A5B"/>
    <w:rsid w:val="000F3BF2"/>
    <w:rsid w:val="000F3CB7"/>
    <w:rsid w:val="000F41FE"/>
    <w:rsid w:val="000F429B"/>
    <w:rsid w:val="000F4450"/>
    <w:rsid w:val="000F44BA"/>
    <w:rsid w:val="000F4F30"/>
    <w:rsid w:val="000F525D"/>
    <w:rsid w:val="000F52F1"/>
    <w:rsid w:val="000F549E"/>
    <w:rsid w:val="000F5575"/>
    <w:rsid w:val="000F57F1"/>
    <w:rsid w:val="000F585E"/>
    <w:rsid w:val="000F5A24"/>
    <w:rsid w:val="000F5EB4"/>
    <w:rsid w:val="000F5FC2"/>
    <w:rsid w:val="000F603D"/>
    <w:rsid w:val="000F62B3"/>
    <w:rsid w:val="000F62DD"/>
    <w:rsid w:val="000F65BB"/>
    <w:rsid w:val="000F66A7"/>
    <w:rsid w:val="000F6862"/>
    <w:rsid w:val="000F6F1B"/>
    <w:rsid w:val="000F7165"/>
    <w:rsid w:val="000F7269"/>
    <w:rsid w:val="000F75B3"/>
    <w:rsid w:val="000F7631"/>
    <w:rsid w:val="000F767C"/>
    <w:rsid w:val="000F7685"/>
    <w:rsid w:val="000F7920"/>
    <w:rsid w:val="000F79EA"/>
    <w:rsid w:val="000F7A68"/>
    <w:rsid w:val="001000E9"/>
    <w:rsid w:val="0010010B"/>
    <w:rsid w:val="00100113"/>
    <w:rsid w:val="00100220"/>
    <w:rsid w:val="001002E2"/>
    <w:rsid w:val="001005FE"/>
    <w:rsid w:val="001009EB"/>
    <w:rsid w:val="001009EF"/>
    <w:rsid w:val="00100E67"/>
    <w:rsid w:val="00101082"/>
    <w:rsid w:val="0010167F"/>
    <w:rsid w:val="00101795"/>
    <w:rsid w:val="0010181F"/>
    <w:rsid w:val="00101889"/>
    <w:rsid w:val="00101A10"/>
    <w:rsid w:val="00101A47"/>
    <w:rsid w:val="00101A61"/>
    <w:rsid w:val="00101BA7"/>
    <w:rsid w:val="00101E7D"/>
    <w:rsid w:val="00102002"/>
    <w:rsid w:val="001020DD"/>
    <w:rsid w:val="0010213B"/>
    <w:rsid w:val="001024BC"/>
    <w:rsid w:val="001024CF"/>
    <w:rsid w:val="00102687"/>
    <w:rsid w:val="0010270D"/>
    <w:rsid w:val="001027BA"/>
    <w:rsid w:val="00102B3B"/>
    <w:rsid w:val="00102B76"/>
    <w:rsid w:val="00102C53"/>
    <w:rsid w:val="0010355B"/>
    <w:rsid w:val="00103602"/>
    <w:rsid w:val="001036FA"/>
    <w:rsid w:val="0010373A"/>
    <w:rsid w:val="00103ADC"/>
    <w:rsid w:val="00103C6C"/>
    <w:rsid w:val="00103E67"/>
    <w:rsid w:val="00103EB6"/>
    <w:rsid w:val="00104329"/>
    <w:rsid w:val="001046A9"/>
    <w:rsid w:val="00104944"/>
    <w:rsid w:val="00104B01"/>
    <w:rsid w:val="001051FE"/>
    <w:rsid w:val="001052A4"/>
    <w:rsid w:val="00105936"/>
    <w:rsid w:val="0010598A"/>
    <w:rsid w:val="00105B02"/>
    <w:rsid w:val="00105E62"/>
    <w:rsid w:val="00106025"/>
    <w:rsid w:val="0010651F"/>
    <w:rsid w:val="00106A1F"/>
    <w:rsid w:val="00106B40"/>
    <w:rsid w:val="00106B6C"/>
    <w:rsid w:val="00106DBE"/>
    <w:rsid w:val="00106DE1"/>
    <w:rsid w:val="00106E83"/>
    <w:rsid w:val="001070DC"/>
    <w:rsid w:val="0010740E"/>
    <w:rsid w:val="0010746B"/>
    <w:rsid w:val="00107550"/>
    <w:rsid w:val="001075C8"/>
    <w:rsid w:val="00107691"/>
    <w:rsid w:val="0010788A"/>
    <w:rsid w:val="001078B0"/>
    <w:rsid w:val="00107A09"/>
    <w:rsid w:val="00107E6D"/>
    <w:rsid w:val="001104F1"/>
    <w:rsid w:val="001106D3"/>
    <w:rsid w:val="001109CB"/>
    <w:rsid w:val="00110CD4"/>
    <w:rsid w:val="00110D96"/>
    <w:rsid w:val="00110ED3"/>
    <w:rsid w:val="0011110D"/>
    <w:rsid w:val="0011113B"/>
    <w:rsid w:val="001112BF"/>
    <w:rsid w:val="001112FD"/>
    <w:rsid w:val="00111566"/>
    <w:rsid w:val="00111A61"/>
    <w:rsid w:val="00111DAA"/>
    <w:rsid w:val="00111DEE"/>
    <w:rsid w:val="00111FAB"/>
    <w:rsid w:val="00111FF1"/>
    <w:rsid w:val="001121AC"/>
    <w:rsid w:val="0011223B"/>
    <w:rsid w:val="00112357"/>
    <w:rsid w:val="00112838"/>
    <w:rsid w:val="0011291A"/>
    <w:rsid w:val="001129C8"/>
    <w:rsid w:val="00112C28"/>
    <w:rsid w:val="00112C7C"/>
    <w:rsid w:val="00112C9D"/>
    <w:rsid w:val="00112FDA"/>
    <w:rsid w:val="00113601"/>
    <w:rsid w:val="0011361C"/>
    <w:rsid w:val="00113A07"/>
    <w:rsid w:val="00113B49"/>
    <w:rsid w:val="00113CB4"/>
    <w:rsid w:val="00113DF2"/>
    <w:rsid w:val="0011425D"/>
    <w:rsid w:val="001143C9"/>
    <w:rsid w:val="001144AB"/>
    <w:rsid w:val="001144FE"/>
    <w:rsid w:val="00114714"/>
    <w:rsid w:val="00114737"/>
    <w:rsid w:val="0011475A"/>
    <w:rsid w:val="00114BFD"/>
    <w:rsid w:val="00114CED"/>
    <w:rsid w:val="00114DB9"/>
    <w:rsid w:val="00115410"/>
    <w:rsid w:val="00115881"/>
    <w:rsid w:val="001159CA"/>
    <w:rsid w:val="001159DF"/>
    <w:rsid w:val="0011603C"/>
    <w:rsid w:val="001167BB"/>
    <w:rsid w:val="001167C3"/>
    <w:rsid w:val="00116890"/>
    <w:rsid w:val="001169AC"/>
    <w:rsid w:val="00116C47"/>
    <w:rsid w:val="00116D63"/>
    <w:rsid w:val="00116D80"/>
    <w:rsid w:val="001171A5"/>
    <w:rsid w:val="001172E6"/>
    <w:rsid w:val="00117666"/>
    <w:rsid w:val="00117775"/>
    <w:rsid w:val="00117A8D"/>
    <w:rsid w:val="00117B4E"/>
    <w:rsid w:val="00117C6F"/>
    <w:rsid w:val="00117D4E"/>
    <w:rsid w:val="00117EEC"/>
    <w:rsid w:val="00117FA7"/>
    <w:rsid w:val="001204AC"/>
    <w:rsid w:val="0012057F"/>
    <w:rsid w:val="00120701"/>
    <w:rsid w:val="001208D0"/>
    <w:rsid w:val="00120D16"/>
    <w:rsid w:val="00120D6C"/>
    <w:rsid w:val="00120E71"/>
    <w:rsid w:val="00120E96"/>
    <w:rsid w:val="00121048"/>
    <w:rsid w:val="00121113"/>
    <w:rsid w:val="0012134F"/>
    <w:rsid w:val="001214D5"/>
    <w:rsid w:val="0012153F"/>
    <w:rsid w:val="00121582"/>
    <w:rsid w:val="001217A5"/>
    <w:rsid w:val="00121839"/>
    <w:rsid w:val="00121873"/>
    <w:rsid w:val="00121AC2"/>
    <w:rsid w:val="00121C16"/>
    <w:rsid w:val="00121C72"/>
    <w:rsid w:val="00121D79"/>
    <w:rsid w:val="00121E34"/>
    <w:rsid w:val="00121E55"/>
    <w:rsid w:val="0012204E"/>
    <w:rsid w:val="00122242"/>
    <w:rsid w:val="00122394"/>
    <w:rsid w:val="00122428"/>
    <w:rsid w:val="00122A0C"/>
    <w:rsid w:val="00122AEA"/>
    <w:rsid w:val="00122B2A"/>
    <w:rsid w:val="00122C70"/>
    <w:rsid w:val="00122FD4"/>
    <w:rsid w:val="0012310A"/>
    <w:rsid w:val="00123224"/>
    <w:rsid w:val="001232F9"/>
    <w:rsid w:val="00123523"/>
    <w:rsid w:val="001238C5"/>
    <w:rsid w:val="00123939"/>
    <w:rsid w:val="00123E70"/>
    <w:rsid w:val="00124054"/>
    <w:rsid w:val="0012479B"/>
    <w:rsid w:val="001248E0"/>
    <w:rsid w:val="0012493C"/>
    <w:rsid w:val="001251D5"/>
    <w:rsid w:val="001253FA"/>
    <w:rsid w:val="00125684"/>
    <w:rsid w:val="001256E0"/>
    <w:rsid w:val="001257FD"/>
    <w:rsid w:val="00125C2C"/>
    <w:rsid w:val="00125D23"/>
    <w:rsid w:val="00126035"/>
    <w:rsid w:val="0012631A"/>
    <w:rsid w:val="001263BE"/>
    <w:rsid w:val="0012653F"/>
    <w:rsid w:val="001265FD"/>
    <w:rsid w:val="00126703"/>
    <w:rsid w:val="0012673D"/>
    <w:rsid w:val="001269D0"/>
    <w:rsid w:val="00126A29"/>
    <w:rsid w:val="00126CD7"/>
    <w:rsid w:val="00126D0D"/>
    <w:rsid w:val="00126DBB"/>
    <w:rsid w:val="00126F95"/>
    <w:rsid w:val="0012707B"/>
    <w:rsid w:val="00127137"/>
    <w:rsid w:val="0012739B"/>
    <w:rsid w:val="0012749B"/>
    <w:rsid w:val="001274C8"/>
    <w:rsid w:val="001279ED"/>
    <w:rsid w:val="00127BB9"/>
    <w:rsid w:val="00127CD7"/>
    <w:rsid w:val="00127E9C"/>
    <w:rsid w:val="00127EE6"/>
    <w:rsid w:val="00127F24"/>
    <w:rsid w:val="00127F48"/>
    <w:rsid w:val="00130202"/>
    <w:rsid w:val="00130367"/>
    <w:rsid w:val="001304F8"/>
    <w:rsid w:val="00130506"/>
    <w:rsid w:val="001305DB"/>
    <w:rsid w:val="00130649"/>
    <w:rsid w:val="001308A7"/>
    <w:rsid w:val="00130A66"/>
    <w:rsid w:val="00130A88"/>
    <w:rsid w:val="00130AB7"/>
    <w:rsid w:val="00130BDC"/>
    <w:rsid w:val="00130EEB"/>
    <w:rsid w:val="00130F02"/>
    <w:rsid w:val="0013103E"/>
    <w:rsid w:val="0013133C"/>
    <w:rsid w:val="001315E6"/>
    <w:rsid w:val="0013172F"/>
    <w:rsid w:val="00131972"/>
    <w:rsid w:val="00131A61"/>
    <w:rsid w:val="00131AC6"/>
    <w:rsid w:val="00131B97"/>
    <w:rsid w:val="00131C3C"/>
    <w:rsid w:val="001320EA"/>
    <w:rsid w:val="0013233A"/>
    <w:rsid w:val="0013255E"/>
    <w:rsid w:val="0013293E"/>
    <w:rsid w:val="001329D2"/>
    <w:rsid w:val="00132A39"/>
    <w:rsid w:val="00132E83"/>
    <w:rsid w:val="00132EE1"/>
    <w:rsid w:val="00132F0A"/>
    <w:rsid w:val="00133032"/>
    <w:rsid w:val="00133243"/>
    <w:rsid w:val="0013338F"/>
    <w:rsid w:val="001333DA"/>
    <w:rsid w:val="0013349E"/>
    <w:rsid w:val="001335B9"/>
    <w:rsid w:val="0013377C"/>
    <w:rsid w:val="00133862"/>
    <w:rsid w:val="00133A19"/>
    <w:rsid w:val="001341C0"/>
    <w:rsid w:val="0013459B"/>
    <w:rsid w:val="0013488A"/>
    <w:rsid w:val="001349CC"/>
    <w:rsid w:val="00134EE4"/>
    <w:rsid w:val="00135EE6"/>
    <w:rsid w:val="00136139"/>
    <w:rsid w:val="001364F0"/>
    <w:rsid w:val="00136543"/>
    <w:rsid w:val="0013662B"/>
    <w:rsid w:val="00136900"/>
    <w:rsid w:val="0013692D"/>
    <w:rsid w:val="0013694B"/>
    <w:rsid w:val="0013698C"/>
    <w:rsid w:val="00136A85"/>
    <w:rsid w:val="00136AE5"/>
    <w:rsid w:val="00136B29"/>
    <w:rsid w:val="00136C53"/>
    <w:rsid w:val="00136FA4"/>
    <w:rsid w:val="0013726C"/>
    <w:rsid w:val="0013756B"/>
    <w:rsid w:val="001376F1"/>
    <w:rsid w:val="0013784E"/>
    <w:rsid w:val="001379BF"/>
    <w:rsid w:val="00137ACD"/>
    <w:rsid w:val="00137C9E"/>
    <w:rsid w:val="00137F86"/>
    <w:rsid w:val="001405A0"/>
    <w:rsid w:val="0014064F"/>
    <w:rsid w:val="0014095F"/>
    <w:rsid w:val="00140B5E"/>
    <w:rsid w:val="00140CF6"/>
    <w:rsid w:val="001410AF"/>
    <w:rsid w:val="0014118E"/>
    <w:rsid w:val="00141252"/>
    <w:rsid w:val="00141426"/>
    <w:rsid w:val="001416B1"/>
    <w:rsid w:val="001417B6"/>
    <w:rsid w:val="00141C05"/>
    <w:rsid w:val="00141E10"/>
    <w:rsid w:val="0014222E"/>
    <w:rsid w:val="001426BC"/>
    <w:rsid w:val="001426DA"/>
    <w:rsid w:val="0014270B"/>
    <w:rsid w:val="00142DBB"/>
    <w:rsid w:val="00142F2F"/>
    <w:rsid w:val="001430A7"/>
    <w:rsid w:val="001431D4"/>
    <w:rsid w:val="00143336"/>
    <w:rsid w:val="00143688"/>
    <w:rsid w:val="00143AED"/>
    <w:rsid w:val="00143D00"/>
    <w:rsid w:val="00143FBA"/>
    <w:rsid w:val="00144282"/>
    <w:rsid w:val="001443B6"/>
    <w:rsid w:val="0014466B"/>
    <w:rsid w:val="001447ED"/>
    <w:rsid w:val="00144C41"/>
    <w:rsid w:val="00144D42"/>
    <w:rsid w:val="00144D56"/>
    <w:rsid w:val="00144E7C"/>
    <w:rsid w:val="00144FB5"/>
    <w:rsid w:val="00144FFD"/>
    <w:rsid w:val="001450E7"/>
    <w:rsid w:val="001451E5"/>
    <w:rsid w:val="00145B1B"/>
    <w:rsid w:val="00145B58"/>
    <w:rsid w:val="00145DB3"/>
    <w:rsid w:val="0014609D"/>
    <w:rsid w:val="001463C7"/>
    <w:rsid w:val="00146640"/>
    <w:rsid w:val="001466E6"/>
    <w:rsid w:val="00146731"/>
    <w:rsid w:val="00146911"/>
    <w:rsid w:val="00146942"/>
    <w:rsid w:val="00146A0C"/>
    <w:rsid w:val="00146A2B"/>
    <w:rsid w:val="00146AF4"/>
    <w:rsid w:val="00146B64"/>
    <w:rsid w:val="00146BD0"/>
    <w:rsid w:val="00146D3F"/>
    <w:rsid w:val="001471B8"/>
    <w:rsid w:val="0014742D"/>
    <w:rsid w:val="00147449"/>
    <w:rsid w:val="0014759D"/>
    <w:rsid w:val="00147C23"/>
    <w:rsid w:val="00147C71"/>
    <w:rsid w:val="00147CBE"/>
    <w:rsid w:val="00147D4E"/>
    <w:rsid w:val="00147DA3"/>
    <w:rsid w:val="00147EEA"/>
    <w:rsid w:val="00147FB1"/>
    <w:rsid w:val="00147FB5"/>
    <w:rsid w:val="001501AF"/>
    <w:rsid w:val="0015042C"/>
    <w:rsid w:val="001504F4"/>
    <w:rsid w:val="001505FB"/>
    <w:rsid w:val="001506AA"/>
    <w:rsid w:val="001507ED"/>
    <w:rsid w:val="001507FD"/>
    <w:rsid w:val="00150B40"/>
    <w:rsid w:val="00151137"/>
    <w:rsid w:val="0015115D"/>
    <w:rsid w:val="00151294"/>
    <w:rsid w:val="0015138B"/>
    <w:rsid w:val="001513D4"/>
    <w:rsid w:val="001513E8"/>
    <w:rsid w:val="0015168E"/>
    <w:rsid w:val="00151700"/>
    <w:rsid w:val="001517A4"/>
    <w:rsid w:val="00151878"/>
    <w:rsid w:val="00151984"/>
    <w:rsid w:val="00151D2B"/>
    <w:rsid w:val="001525C3"/>
    <w:rsid w:val="001525F5"/>
    <w:rsid w:val="0015280B"/>
    <w:rsid w:val="001529AA"/>
    <w:rsid w:val="00152A10"/>
    <w:rsid w:val="00152A1D"/>
    <w:rsid w:val="00152B60"/>
    <w:rsid w:val="00153128"/>
    <w:rsid w:val="00153515"/>
    <w:rsid w:val="00153527"/>
    <w:rsid w:val="001536FE"/>
    <w:rsid w:val="001537F2"/>
    <w:rsid w:val="001539F6"/>
    <w:rsid w:val="00153E1C"/>
    <w:rsid w:val="00154006"/>
    <w:rsid w:val="00154224"/>
    <w:rsid w:val="00154800"/>
    <w:rsid w:val="00154812"/>
    <w:rsid w:val="00154A58"/>
    <w:rsid w:val="00154C25"/>
    <w:rsid w:val="00154CED"/>
    <w:rsid w:val="00154D87"/>
    <w:rsid w:val="00154E25"/>
    <w:rsid w:val="00154F63"/>
    <w:rsid w:val="00154FD1"/>
    <w:rsid w:val="00154FFA"/>
    <w:rsid w:val="00155056"/>
    <w:rsid w:val="00155086"/>
    <w:rsid w:val="0015508F"/>
    <w:rsid w:val="001552C5"/>
    <w:rsid w:val="00155614"/>
    <w:rsid w:val="00155944"/>
    <w:rsid w:val="00155AD8"/>
    <w:rsid w:val="00155D61"/>
    <w:rsid w:val="00156553"/>
    <w:rsid w:val="001567FA"/>
    <w:rsid w:val="00156BE3"/>
    <w:rsid w:val="00156CFB"/>
    <w:rsid w:val="00156DC9"/>
    <w:rsid w:val="00156F81"/>
    <w:rsid w:val="00156FAF"/>
    <w:rsid w:val="001573B5"/>
    <w:rsid w:val="001574B5"/>
    <w:rsid w:val="0015794F"/>
    <w:rsid w:val="00157A89"/>
    <w:rsid w:val="00160004"/>
    <w:rsid w:val="0016003C"/>
    <w:rsid w:val="001601F5"/>
    <w:rsid w:val="00160212"/>
    <w:rsid w:val="001603C4"/>
    <w:rsid w:val="00160506"/>
    <w:rsid w:val="00160C14"/>
    <w:rsid w:val="0016112D"/>
    <w:rsid w:val="0016131D"/>
    <w:rsid w:val="001614E0"/>
    <w:rsid w:val="001617EB"/>
    <w:rsid w:val="001617F7"/>
    <w:rsid w:val="001619D2"/>
    <w:rsid w:val="00161AA3"/>
    <w:rsid w:val="00161C8B"/>
    <w:rsid w:val="00162055"/>
    <w:rsid w:val="00162330"/>
    <w:rsid w:val="001628B6"/>
    <w:rsid w:val="00162978"/>
    <w:rsid w:val="00162E96"/>
    <w:rsid w:val="00163009"/>
    <w:rsid w:val="0016303F"/>
    <w:rsid w:val="001630EC"/>
    <w:rsid w:val="00163107"/>
    <w:rsid w:val="00163116"/>
    <w:rsid w:val="0016351E"/>
    <w:rsid w:val="001635C6"/>
    <w:rsid w:val="00163673"/>
    <w:rsid w:val="001637EC"/>
    <w:rsid w:val="0016384E"/>
    <w:rsid w:val="00163997"/>
    <w:rsid w:val="00163BD6"/>
    <w:rsid w:val="00163CD1"/>
    <w:rsid w:val="00164019"/>
    <w:rsid w:val="0016402B"/>
    <w:rsid w:val="0016415A"/>
    <w:rsid w:val="001646B2"/>
    <w:rsid w:val="0016471E"/>
    <w:rsid w:val="001647AD"/>
    <w:rsid w:val="00164E26"/>
    <w:rsid w:val="00164F52"/>
    <w:rsid w:val="00165122"/>
    <w:rsid w:val="001654BC"/>
    <w:rsid w:val="001656C8"/>
    <w:rsid w:val="001656F4"/>
    <w:rsid w:val="00165D72"/>
    <w:rsid w:val="00165F10"/>
    <w:rsid w:val="00166186"/>
    <w:rsid w:val="001663EB"/>
    <w:rsid w:val="00166541"/>
    <w:rsid w:val="00166781"/>
    <w:rsid w:val="001667A6"/>
    <w:rsid w:val="00166D74"/>
    <w:rsid w:val="00166FF4"/>
    <w:rsid w:val="0016702F"/>
    <w:rsid w:val="00167100"/>
    <w:rsid w:val="00167328"/>
    <w:rsid w:val="00167445"/>
    <w:rsid w:val="00167A1A"/>
    <w:rsid w:val="00167B90"/>
    <w:rsid w:val="00167CD2"/>
    <w:rsid w:val="00167D0B"/>
    <w:rsid w:val="00167E93"/>
    <w:rsid w:val="00167ED8"/>
    <w:rsid w:val="00170450"/>
    <w:rsid w:val="00170833"/>
    <w:rsid w:val="0017089A"/>
    <w:rsid w:val="00170916"/>
    <w:rsid w:val="00170E62"/>
    <w:rsid w:val="00171004"/>
    <w:rsid w:val="00171355"/>
    <w:rsid w:val="001713D2"/>
    <w:rsid w:val="001715B8"/>
    <w:rsid w:val="00171719"/>
    <w:rsid w:val="00171817"/>
    <w:rsid w:val="00171819"/>
    <w:rsid w:val="00171930"/>
    <w:rsid w:val="00171968"/>
    <w:rsid w:val="00171D5F"/>
    <w:rsid w:val="00171DCE"/>
    <w:rsid w:val="00171ED7"/>
    <w:rsid w:val="00172188"/>
    <w:rsid w:val="00172389"/>
    <w:rsid w:val="001724FF"/>
    <w:rsid w:val="00172594"/>
    <w:rsid w:val="0017262C"/>
    <w:rsid w:val="00172674"/>
    <w:rsid w:val="001727D9"/>
    <w:rsid w:val="00172A10"/>
    <w:rsid w:val="00172ACB"/>
    <w:rsid w:val="00172D0C"/>
    <w:rsid w:val="00172E0D"/>
    <w:rsid w:val="00172FC9"/>
    <w:rsid w:val="00173254"/>
    <w:rsid w:val="00173767"/>
    <w:rsid w:val="00173839"/>
    <w:rsid w:val="0017384D"/>
    <w:rsid w:val="00173981"/>
    <w:rsid w:val="00173A99"/>
    <w:rsid w:val="00173B32"/>
    <w:rsid w:val="00173B5B"/>
    <w:rsid w:val="00173CF7"/>
    <w:rsid w:val="00173E86"/>
    <w:rsid w:val="00173FB6"/>
    <w:rsid w:val="001744E9"/>
    <w:rsid w:val="0017466C"/>
    <w:rsid w:val="001746E4"/>
    <w:rsid w:val="001746F4"/>
    <w:rsid w:val="0017487E"/>
    <w:rsid w:val="00174D20"/>
    <w:rsid w:val="00174D81"/>
    <w:rsid w:val="00174E06"/>
    <w:rsid w:val="00174EF6"/>
    <w:rsid w:val="00175067"/>
    <w:rsid w:val="0017518D"/>
    <w:rsid w:val="00175249"/>
    <w:rsid w:val="0017525D"/>
    <w:rsid w:val="0017530C"/>
    <w:rsid w:val="001754B8"/>
    <w:rsid w:val="001754EC"/>
    <w:rsid w:val="00175662"/>
    <w:rsid w:val="0017581B"/>
    <w:rsid w:val="00175979"/>
    <w:rsid w:val="00175D6B"/>
    <w:rsid w:val="00175E1D"/>
    <w:rsid w:val="001760FA"/>
    <w:rsid w:val="001760FE"/>
    <w:rsid w:val="00176115"/>
    <w:rsid w:val="00176292"/>
    <w:rsid w:val="001763CC"/>
    <w:rsid w:val="001763EB"/>
    <w:rsid w:val="00176767"/>
    <w:rsid w:val="0017679F"/>
    <w:rsid w:val="00176993"/>
    <w:rsid w:val="00176994"/>
    <w:rsid w:val="00176BFB"/>
    <w:rsid w:val="00176F29"/>
    <w:rsid w:val="0017710C"/>
    <w:rsid w:val="001771ED"/>
    <w:rsid w:val="00177314"/>
    <w:rsid w:val="00177387"/>
    <w:rsid w:val="001776ED"/>
    <w:rsid w:val="00177799"/>
    <w:rsid w:val="001777C0"/>
    <w:rsid w:val="00177926"/>
    <w:rsid w:val="001779DC"/>
    <w:rsid w:val="00177B61"/>
    <w:rsid w:val="00177C1B"/>
    <w:rsid w:val="00177E0C"/>
    <w:rsid w:val="00177F79"/>
    <w:rsid w:val="001801FB"/>
    <w:rsid w:val="00180282"/>
    <w:rsid w:val="0018079F"/>
    <w:rsid w:val="001808E7"/>
    <w:rsid w:val="001809D4"/>
    <w:rsid w:val="00180A89"/>
    <w:rsid w:val="00180C33"/>
    <w:rsid w:val="00180D11"/>
    <w:rsid w:val="00180DFE"/>
    <w:rsid w:val="00180E02"/>
    <w:rsid w:val="00180E27"/>
    <w:rsid w:val="001810B7"/>
    <w:rsid w:val="001810D4"/>
    <w:rsid w:val="001812CD"/>
    <w:rsid w:val="00181373"/>
    <w:rsid w:val="0018138F"/>
    <w:rsid w:val="00181874"/>
    <w:rsid w:val="00181A49"/>
    <w:rsid w:val="00181A72"/>
    <w:rsid w:val="00181AA1"/>
    <w:rsid w:val="00181C35"/>
    <w:rsid w:val="00181CDB"/>
    <w:rsid w:val="0018204A"/>
    <w:rsid w:val="00182061"/>
    <w:rsid w:val="001821A3"/>
    <w:rsid w:val="001821C3"/>
    <w:rsid w:val="00182413"/>
    <w:rsid w:val="0018287F"/>
    <w:rsid w:val="00182BD7"/>
    <w:rsid w:val="00182CD6"/>
    <w:rsid w:val="00182DAC"/>
    <w:rsid w:val="00182FCA"/>
    <w:rsid w:val="001830F4"/>
    <w:rsid w:val="00183103"/>
    <w:rsid w:val="00183222"/>
    <w:rsid w:val="0018360D"/>
    <w:rsid w:val="00183BF4"/>
    <w:rsid w:val="00183C73"/>
    <w:rsid w:val="00183CE8"/>
    <w:rsid w:val="0018400E"/>
    <w:rsid w:val="0018405C"/>
    <w:rsid w:val="0018415C"/>
    <w:rsid w:val="0018417D"/>
    <w:rsid w:val="0018427F"/>
    <w:rsid w:val="0018435E"/>
    <w:rsid w:val="001844F3"/>
    <w:rsid w:val="00184579"/>
    <w:rsid w:val="0018461B"/>
    <w:rsid w:val="001847B3"/>
    <w:rsid w:val="00184831"/>
    <w:rsid w:val="001849A3"/>
    <w:rsid w:val="00184B11"/>
    <w:rsid w:val="00184EA9"/>
    <w:rsid w:val="00184EFA"/>
    <w:rsid w:val="00185116"/>
    <w:rsid w:val="0018580A"/>
    <w:rsid w:val="00185BEC"/>
    <w:rsid w:val="00185D19"/>
    <w:rsid w:val="00185DB0"/>
    <w:rsid w:val="00185F72"/>
    <w:rsid w:val="0018642F"/>
    <w:rsid w:val="0018650C"/>
    <w:rsid w:val="001866D9"/>
    <w:rsid w:val="00186A95"/>
    <w:rsid w:val="00186AE8"/>
    <w:rsid w:val="00186D70"/>
    <w:rsid w:val="00186D82"/>
    <w:rsid w:val="00187097"/>
    <w:rsid w:val="00187263"/>
    <w:rsid w:val="00187383"/>
    <w:rsid w:val="0018748F"/>
    <w:rsid w:val="001874AA"/>
    <w:rsid w:val="0018799E"/>
    <w:rsid w:val="0019002D"/>
    <w:rsid w:val="00190110"/>
    <w:rsid w:val="001906DB"/>
    <w:rsid w:val="00190A49"/>
    <w:rsid w:val="00190DC5"/>
    <w:rsid w:val="00190E79"/>
    <w:rsid w:val="00190FC7"/>
    <w:rsid w:val="001910AF"/>
    <w:rsid w:val="00191245"/>
    <w:rsid w:val="0019146E"/>
    <w:rsid w:val="00191766"/>
    <w:rsid w:val="00191891"/>
    <w:rsid w:val="001918F6"/>
    <w:rsid w:val="00192161"/>
    <w:rsid w:val="00192307"/>
    <w:rsid w:val="0019239E"/>
    <w:rsid w:val="001926D3"/>
    <w:rsid w:val="00192BAB"/>
    <w:rsid w:val="00192DCE"/>
    <w:rsid w:val="00192F7C"/>
    <w:rsid w:val="001935B3"/>
    <w:rsid w:val="001937D5"/>
    <w:rsid w:val="001937FF"/>
    <w:rsid w:val="00193C9A"/>
    <w:rsid w:val="00193ECF"/>
    <w:rsid w:val="00193EFD"/>
    <w:rsid w:val="0019419A"/>
    <w:rsid w:val="00194238"/>
    <w:rsid w:val="001942E2"/>
    <w:rsid w:val="00194529"/>
    <w:rsid w:val="0019460C"/>
    <w:rsid w:val="00194952"/>
    <w:rsid w:val="00194A3D"/>
    <w:rsid w:val="00194BDF"/>
    <w:rsid w:val="00194C01"/>
    <w:rsid w:val="001950EF"/>
    <w:rsid w:val="0019511C"/>
    <w:rsid w:val="001951AC"/>
    <w:rsid w:val="0019523D"/>
    <w:rsid w:val="00195245"/>
    <w:rsid w:val="0019540A"/>
    <w:rsid w:val="00195411"/>
    <w:rsid w:val="0019545D"/>
    <w:rsid w:val="00195638"/>
    <w:rsid w:val="00195721"/>
    <w:rsid w:val="00195A70"/>
    <w:rsid w:val="00195CA9"/>
    <w:rsid w:val="00195D6C"/>
    <w:rsid w:val="00195FC5"/>
    <w:rsid w:val="00195FFE"/>
    <w:rsid w:val="00196087"/>
    <w:rsid w:val="0019612B"/>
    <w:rsid w:val="0019636D"/>
    <w:rsid w:val="001965C9"/>
    <w:rsid w:val="00196665"/>
    <w:rsid w:val="00196810"/>
    <w:rsid w:val="00196B9B"/>
    <w:rsid w:val="00196C06"/>
    <w:rsid w:val="00196F3B"/>
    <w:rsid w:val="00197091"/>
    <w:rsid w:val="001970AE"/>
    <w:rsid w:val="0019737E"/>
    <w:rsid w:val="0019746D"/>
    <w:rsid w:val="00197608"/>
    <w:rsid w:val="00197630"/>
    <w:rsid w:val="00197673"/>
    <w:rsid w:val="001976D4"/>
    <w:rsid w:val="001977B7"/>
    <w:rsid w:val="00197919"/>
    <w:rsid w:val="00197940"/>
    <w:rsid w:val="00197948"/>
    <w:rsid w:val="00197998"/>
    <w:rsid w:val="00197EF3"/>
    <w:rsid w:val="001A00D9"/>
    <w:rsid w:val="001A05B1"/>
    <w:rsid w:val="001A0918"/>
    <w:rsid w:val="001A0CBA"/>
    <w:rsid w:val="001A0FC6"/>
    <w:rsid w:val="001A11F2"/>
    <w:rsid w:val="001A124D"/>
    <w:rsid w:val="001A1580"/>
    <w:rsid w:val="001A15C9"/>
    <w:rsid w:val="001A168D"/>
    <w:rsid w:val="001A16CF"/>
    <w:rsid w:val="001A1B56"/>
    <w:rsid w:val="001A1CE1"/>
    <w:rsid w:val="001A1F99"/>
    <w:rsid w:val="001A2238"/>
    <w:rsid w:val="001A22BE"/>
    <w:rsid w:val="001A2C02"/>
    <w:rsid w:val="001A2CB1"/>
    <w:rsid w:val="001A313D"/>
    <w:rsid w:val="001A32AD"/>
    <w:rsid w:val="001A33B6"/>
    <w:rsid w:val="001A3814"/>
    <w:rsid w:val="001A3948"/>
    <w:rsid w:val="001A39A6"/>
    <w:rsid w:val="001A3A02"/>
    <w:rsid w:val="001A3A76"/>
    <w:rsid w:val="001A3EB7"/>
    <w:rsid w:val="001A43DD"/>
    <w:rsid w:val="001A446D"/>
    <w:rsid w:val="001A46BA"/>
    <w:rsid w:val="001A49B9"/>
    <w:rsid w:val="001A4A1A"/>
    <w:rsid w:val="001A4CF1"/>
    <w:rsid w:val="001A4E01"/>
    <w:rsid w:val="001A4EF3"/>
    <w:rsid w:val="001A4F11"/>
    <w:rsid w:val="001A4F4D"/>
    <w:rsid w:val="001A5031"/>
    <w:rsid w:val="001A536D"/>
    <w:rsid w:val="001A53E5"/>
    <w:rsid w:val="001A58A1"/>
    <w:rsid w:val="001A58AA"/>
    <w:rsid w:val="001A62AE"/>
    <w:rsid w:val="001A63CE"/>
    <w:rsid w:val="001A64D7"/>
    <w:rsid w:val="001A6589"/>
    <w:rsid w:val="001A660A"/>
    <w:rsid w:val="001A6908"/>
    <w:rsid w:val="001A6941"/>
    <w:rsid w:val="001A6B8D"/>
    <w:rsid w:val="001A7BE6"/>
    <w:rsid w:val="001A7CC4"/>
    <w:rsid w:val="001A7E18"/>
    <w:rsid w:val="001A7F5E"/>
    <w:rsid w:val="001B001A"/>
    <w:rsid w:val="001B0061"/>
    <w:rsid w:val="001B0269"/>
    <w:rsid w:val="001B06EB"/>
    <w:rsid w:val="001B089A"/>
    <w:rsid w:val="001B09E6"/>
    <w:rsid w:val="001B0A81"/>
    <w:rsid w:val="001B0BFF"/>
    <w:rsid w:val="001B0D40"/>
    <w:rsid w:val="001B0D48"/>
    <w:rsid w:val="001B1046"/>
    <w:rsid w:val="001B161E"/>
    <w:rsid w:val="001B1658"/>
    <w:rsid w:val="001B1678"/>
    <w:rsid w:val="001B1798"/>
    <w:rsid w:val="001B19D1"/>
    <w:rsid w:val="001B1BB1"/>
    <w:rsid w:val="001B1C39"/>
    <w:rsid w:val="001B1F2B"/>
    <w:rsid w:val="001B20C5"/>
    <w:rsid w:val="001B20C8"/>
    <w:rsid w:val="001B23EA"/>
    <w:rsid w:val="001B279C"/>
    <w:rsid w:val="001B29B8"/>
    <w:rsid w:val="001B2BB6"/>
    <w:rsid w:val="001B2C1E"/>
    <w:rsid w:val="001B2D7A"/>
    <w:rsid w:val="001B33AC"/>
    <w:rsid w:val="001B33B2"/>
    <w:rsid w:val="001B33CC"/>
    <w:rsid w:val="001B33F9"/>
    <w:rsid w:val="001B35A2"/>
    <w:rsid w:val="001B3B96"/>
    <w:rsid w:val="001B3F38"/>
    <w:rsid w:val="001B4223"/>
    <w:rsid w:val="001B4666"/>
    <w:rsid w:val="001B48E0"/>
    <w:rsid w:val="001B4A3A"/>
    <w:rsid w:val="001B4DFA"/>
    <w:rsid w:val="001B50A4"/>
    <w:rsid w:val="001B5455"/>
    <w:rsid w:val="001B5EEB"/>
    <w:rsid w:val="001B5EF6"/>
    <w:rsid w:val="001B62FF"/>
    <w:rsid w:val="001B63CE"/>
    <w:rsid w:val="001B642C"/>
    <w:rsid w:val="001B67B2"/>
    <w:rsid w:val="001B67CC"/>
    <w:rsid w:val="001B68AA"/>
    <w:rsid w:val="001B68DA"/>
    <w:rsid w:val="001B69B2"/>
    <w:rsid w:val="001B69CA"/>
    <w:rsid w:val="001B6A00"/>
    <w:rsid w:val="001B6A63"/>
    <w:rsid w:val="001B6CD7"/>
    <w:rsid w:val="001B70C0"/>
    <w:rsid w:val="001B721C"/>
    <w:rsid w:val="001B7296"/>
    <w:rsid w:val="001B7370"/>
    <w:rsid w:val="001B73DE"/>
    <w:rsid w:val="001B7A0F"/>
    <w:rsid w:val="001B7B65"/>
    <w:rsid w:val="001B7CB0"/>
    <w:rsid w:val="001B7D67"/>
    <w:rsid w:val="001B7D89"/>
    <w:rsid w:val="001B7E15"/>
    <w:rsid w:val="001B7E34"/>
    <w:rsid w:val="001C0046"/>
    <w:rsid w:val="001C071A"/>
    <w:rsid w:val="001C099F"/>
    <w:rsid w:val="001C0ADA"/>
    <w:rsid w:val="001C0E18"/>
    <w:rsid w:val="001C0EDC"/>
    <w:rsid w:val="001C14F8"/>
    <w:rsid w:val="001C1590"/>
    <w:rsid w:val="001C15D7"/>
    <w:rsid w:val="001C16BD"/>
    <w:rsid w:val="001C17F9"/>
    <w:rsid w:val="001C1967"/>
    <w:rsid w:val="001C19CD"/>
    <w:rsid w:val="001C1B7A"/>
    <w:rsid w:val="001C1F3E"/>
    <w:rsid w:val="001C2105"/>
    <w:rsid w:val="001C22B8"/>
    <w:rsid w:val="001C25D7"/>
    <w:rsid w:val="001C2991"/>
    <w:rsid w:val="001C2DF2"/>
    <w:rsid w:val="001C2E38"/>
    <w:rsid w:val="001C2F26"/>
    <w:rsid w:val="001C2F2E"/>
    <w:rsid w:val="001C3155"/>
    <w:rsid w:val="001C34A6"/>
    <w:rsid w:val="001C392E"/>
    <w:rsid w:val="001C3F98"/>
    <w:rsid w:val="001C4332"/>
    <w:rsid w:val="001C4362"/>
    <w:rsid w:val="001C4637"/>
    <w:rsid w:val="001C4829"/>
    <w:rsid w:val="001C4A43"/>
    <w:rsid w:val="001C4E9C"/>
    <w:rsid w:val="001C4EB3"/>
    <w:rsid w:val="001C5297"/>
    <w:rsid w:val="001C52FC"/>
    <w:rsid w:val="001C530E"/>
    <w:rsid w:val="001C5346"/>
    <w:rsid w:val="001C5367"/>
    <w:rsid w:val="001C5454"/>
    <w:rsid w:val="001C548B"/>
    <w:rsid w:val="001C5498"/>
    <w:rsid w:val="001C57D8"/>
    <w:rsid w:val="001C5CF3"/>
    <w:rsid w:val="001C5D72"/>
    <w:rsid w:val="001C5D73"/>
    <w:rsid w:val="001C604D"/>
    <w:rsid w:val="001C6294"/>
    <w:rsid w:val="001C6372"/>
    <w:rsid w:val="001C637F"/>
    <w:rsid w:val="001C63F4"/>
    <w:rsid w:val="001C6898"/>
    <w:rsid w:val="001C68B4"/>
    <w:rsid w:val="001C6AC4"/>
    <w:rsid w:val="001C6C3A"/>
    <w:rsid w:val="001C6D04"/>
    <w:rsid w:val="001C6EED"/>
    <w:rsid w:val="001C6F6D"/>
    <w:rsid w:val="001C6F80"/>
    <w:rsid w:val="001C7372"/>
    <w:rsid w:val="001C76BA"/>
    <w:rsid w:val="001C7933"/>
    <w:rsid w:val="001C79C9"/>
    <w:rsid w:val="001C7A7B"/>
    <w:rsid w:val="001C7AD5"/>
    <w:rsid w:val="001C7D7A"/>
    <w:rsid w:val="001C7F42"/>
    <w:rsid w:val="001D00A4"/>
    <w:rsid w:val="001D00CA"/>
    <w:rsid w:val="001D02D5"/>
    <w:rsid w:val="001D0332"/>
    <w:rsid w:val="001D05BC"/>
    <w:rsid w:val="001D05ED"/>
    <w:rsid w:val="001D06BF"/>
    <w:rsid w:val="001D0B9C"/>
    <w:rsid w:val="001D0DD2"/>
    <w:rsid w:val="001D0FA9"/>
    <w:rsid w:val="001D14B6"/>
    <w:rsid w:val="001D155D"/>
    <w:rsid w:val="001D1583"/>
    <w:rsid w:val="001D1783"/>
    <w:rsid w:val="001D185B"/>
    <w:rsid w:val="001D19F4"/>
    <w:rsid w:val="001D1CC1"/>
    <w:rsid w:val="001D1EF7"/>
    <w:rsid w:val="001D1F76"/>
    <w:rsid w:val="001D1F94"/>
    <w:rsid w:val="001D202F"/>
    <w:rsid w:val="001D20C3"/>
    <w:rsid w:val="001D2817"/>
    <w:rsid w:val="001D283E"/>
    <w:rsid w:val="001D2859"/>
    <w:rsid w:val="001D2CE0"/>
    <w:rsid w:val="001D2D6A"/>
    <w:rsid w:val="001D2FBA"/>
    <w:rsid w:val="001D3147"/>
    <w:rsid w:val="001D3273"/>
    <w:rsid w:val="001D32DE"/>
    <w:rsid w:val="001D35C8"/>
    <w:rsid w:val="001D3622"/>
    <w:rsid w:val="001D397E"/>
    <w:rsid w:val="001D3A2F"/>
    <w:rsid w:val="001D3AA5"/>
    <w:rsid w:val="001D3AD3"/>
    <w:rsid w:val="001D3FC3"/>
    <w:rsid w:val="001D426D"/>
    <w:rsid w:val="001D4291"/>
    <w:rsid w:val="001D42FA"/>
    <w:rsid w:val="001D4920"/>
    <w:rsid w:val="001D4B82"/>
    <w:rsid w:val="001D4C09"/>
    <w:rsid w:val="001D4C5A"/>
    <w:rsid w:val="001D4D46"/>
    <w:rsid w:val="001D4F3F"/>
    <w:rsid w:val="001D510D"/>
    <w:rsid w:val="001D5327"/>
    <w:rsid w:val="001D532E"/>
    <w:rsid w:val="001D5462"/>
    <w:rsid w:val="001D555F"/>
    <w:rsid w:val="001D562E"/>
    <w:rsid w:val="001D56F7"/>
    <w:rsid w:val="001D5ADD"/>
    <w:rsid w:val="001D5BB3"/>
    <w:rsid w:val="001D60B6"/>
    <w:rsid w:val="001D6104"/>
    <w:rsid w:val="001D6165"/>
    <w:rsid w:val="001D6655"/>
    <w:rsid w:val="001D6D39"/>
    <w:rsid w:val="001D6EF8"/>
    <w:rsid w:val="001D6FA5"/>
    <w:rsid w:val="001D6FAD"/>
    <w:rsid w:val="001D7166"/>
    <w:rsid w:val="001D7603"/>
    <w:rsid w:val="001D77FA"/>
    <w:rsid w:val="001D79AF"/>
    <w:rsid w:val="001D7B3E"/>
    <w:rsid w:val="001D7CE7"/>
    <w:rsid w:val="001D7D80"/>
    <w:rsid w:val="001D7F95"/>
    <w:rsid w:val="001E006B"/>
    <w:rsid w:val="001E07C8"/>
    <w:rsid w:val="001E0B6D"/>
    <w:rsid w:val="001E0E87"/>
    <w:rsid w:val="001E12E6"/>
    <w:rsid w:val="001E1392"/>
    <w:rsid w:val="001E16B2"/>
    <w:rsid w:val="001E1984"/>
    <w:rsid w:val="001E1A7B"/>
    <w:rsid w:val="001E1C7A"/>
    <w:rsid w:val="001E1C9C"/>
    <w:rsid w:val="001E1FD9"/>
    <w:rsid w:val="001E20E3"/>
    <w:rsid w:val="001E2130"/>
    <w:rsid w:val="001E216B"/>
    <w:rsid w:val="001E2272"/>
    <w:rsid w:val="001E2453"/>
    <w:rsid w:val="001E24AF"/>
    <w:rsid w:val="001E2679"/>
    <w:rsid w:val="001E276B"/>
    <w:rsid w:val="001E2A21"/>
    <w:rsid w:val="001E2CCE"/>
    <w:rsid w:val="001E2D42"/>
    <w:rsid w:val="001E2D91"/>
    <w:rsid w:val="001E343C"/>
    <w:rsid w:val="001E3915"/>
    <w:rsid w:val="001E3ABE"/>
    <w:rsid w:val="001E3AE8"/>
    <w:rsid w:val="001E3B61"/>
    <w:rsid w:val="001E46DF"/>
    <w:rsid w:val="001E4789"/>
    <w:rsid w:val="001E4968"/>
    <w:rsid w:val="001E4BAB"/>
    <w:rsid w:val="001E4D19"/>
    <w:rsid w:val="001E4D6C"/>
    <w:rsid w:val="001E4E1A"/>
    <w:rsid w:val="001E517E"/>
    <w:rsid w:val="001E53AC"/>
    <w:rsid w:val="001E53BF"/>
    <w:rsid w:val="001E5428"/>
    <w:rsid w:val="001E57AA"/>
    <w:rsid w:val="001E5944"/>
    <w:rsid w:val="001E598E"/>
    <w:rsid w:val="001E5994"/>
    <w:rsid w:val="001E5A44"/>
    <w:rsid w:val="001E5AE2"/>
    <w:rsid w:val="001E5B0A"/>
    <w:rsid w:val="001E5D2F"/>
    <w:rsid w:val="001E5E38"/>
    <w:rsid w:val="001E6017"/>
    <w:rsid w:val="001E6084"/>
    <w:rsid w:val="001E60CC"/>
    <w:rsid w:val="001E60CE"/>
    <w:rsid w:val="001E61BF"/>
    <w:rsid w:val="001E6289"/>
    <w:rsid w:val="001E65C9"/>
    <w:rsid w:val="001E65DF"/>
    <w:rsid w:val="001E66C8"/>
    <w:rsid w:val="001E67F1"/>
    <w:rsid w:val="001E6A17"/>
    <w:rsid w:val="001E6A61"/>
    <w:rsid w:val="001E6A81"/>
    <w:rsid w:val="001E6B25"/>
    <w:rsid w:val="001E6C53"/>
    <w:rsid w:val="001E6DEA"/>
    <w:rsid w:val="001E7097"/>
    <w:rsid w:val="001E76A2"/>
    <w:rsid w:val="001E772D"/>
    <w:rsid w:val="001E77CB"/>
    <w:rsid w:val="001E77F3"/>
    <w:rsid w:val="001E7A50"/>
    <w:rsid w:val="001E7B7E"/>
    <w:rsid w:val="001E7B90"/>
    <w:rsid w:val="001E7C55"/>
    <w:rsid w:val="001E7CBC"/>
    <w:rsid w:val="001E7D5C"/>
    <w:rsid w:val="001F002B"/>
    <w:rsid w:val="001F02EA"/>
    <w:rsid w:val="001F069A"/>
    <w:rsid w:val="001F0A60"/>
    <w:rsid w:val="001F0E7A"/>
    <w:rsid w:val="001F0F4B"/>
    <w:rsid w:val="001F1061"/>
    <w:rsid w:val="001F1165"/>
    <w:rsid w:val="001F12BC"/>
    <w:rsid w:val="001F175A"/>
    <w:rsid w:val="001F186D"/>
    <w:rsid w:val="001F1A18"/>
    <w:rsid w:val="001F1A3E"/>
    <w:rsid w:val="001F1A58"/>
    <w:rsid w:val="001F1B4F"/>
    <w:rsid w:val="001F1E09"/>
    <w:rsid w:val="001F1F54"/>
    <w:rsid w:val="001F23AE"/>
    <w:rsid w:val="001F2412"/>
    <w:rsid w:val="001F267D"/>
    <w:rsid w:val="001F2A83"/>
    <w:rsid w:val="001F2CDE"/>
    <w:rsid w:val="001F2CE6"/>
    <w:rsid w:val="001F2D72"/>
    <w:rsid w:val="001F3089"/>
    <w:rsid w:val="001F313E"/>
    <w:rsid w:val="001F3360"/>
    <w:rsid w:val="001F341F"/>
    <w:rsid w:val="001F35D9"/>
    <w:rsid w:val="001F3919"/>
    <w:rsid w:val="001F3955"/>
    <w:rsid w:val="001F3B11"/>
    <w:rsid w:val="001F3C99"/>
    <w:rsid w:val="001F3CD9"/>
    <w:rsid w:val="001F40AF"/>
    <w:rsid w:val="001F4412"/>
    <w:rsid w:val="001F44FA"/>
    <w:rsid w:val="001F45ED"/>
    <w:rsid w:val="001F4606"/>
    <w:rsid w:val="001F46C8"/>
    <w:rsid w:val="001F470A"/>
    <w:rsid w:val="001F48FC"/>
    <w:rsid w:val="001F4AE0"/>
    <w:rsid w:val="001F4B8E"/>
    <w:rsid w:val="001F4D48"/>
    <w:rsid w:val="001F4DE2"/>
    <w:rsid w:val="001F4E97"/>
    <w:rsid w:val="001F4F55"/>
    <w:rsid w:val="001F500A"/>
    <w:rsid w:val="001F50AB"/>
    <w:rsid w:val="001F50C8"/>
    <w:rsid w:val="001F516D"/>
    <w:rsid w:val="001F54B2"/>
    <w:rsid w:val="001F54DA"/>
    <w:rsid w:val="001F55DE"/>
    <w:rsid w:val="001F5736"/>
    <w:rsid w:val="001F57A0"/>
    <w:rsid w:val="001F5894"/>
    <w:rsid w:val="001F59AA"/>
    <w:rsid w:val="001F5A4D"/>
    <w:rsid w:val="001F5A75"/>
    <w:rsid w:val="001F5CDE"/>
    <w:rsid w:val="001F5EC2"/>
    <w:rsid w:val="001F61DC"/>
    <w:rsid w:val="001F6AAA"/>
    <w:rsid w:val="001F6AE3"/>
    <w:rsid w:val="001F6B68"/>
    <w:rsid w:val="001F6CD8"/>
    <w:rsid w:val="001F6D21"/>
    <w:rsid w:val="001F6D4F"/>
    <w:rsid w:val="001F6F08"/>
    <w:rsid w:val="001F6F43"/>
    <w:rsid w:val="001F720E"/>
    <w:rsid w:val="001F73D7"/>
    <w:rsid w:val="001F742B"/>
    <w:rsid w:val="001F78F7"/>
    <w:rsid w:val="001F7A7B"/>
    <w:rsid w:val="001F7B56"/>
    <w:rsid w:val="001F7BF9"/>
    <w:rsid w:val="001F7CBA"/>
    <w:rsid w:val="001F7CBC"/>
    <w:rsid w:val="001F7D72"/>
    <w:rsid w:val="001F7E4A"/>
    <w:rsid w:val="001F7F06"/>
    <w:rsid w:val="0020005F"/>
    <w:rsid w:val="0020008B"/>
    <w:rsid w:val="002000C5"/>
    <w:rsid w:val="0020060A"/>
    <w:rsid w:val="00200D07"/>
    <w:rsid w:val="00200D23"/>
    <w:rsid w:val="00200E75"/>
    <w:rsid w:val="00201059"/>
    <w:rsid w:val="002016BD"/>
    <w:rsid w:val="002018A4"/>
    <w:rsid w:val="002018CF"/>
    <w:rsid w:val="00201C72"/>
    <w:rsid w:val="00201E64"/>
    <w:rsid w:val="00201E70"/>
    <w:rsid w:val="00202126"/>
    <w:rsid w:val="00202738"/>
    <w:rsid w:val="002029F9"/>
    <w:rsid w:val="00202B6F"/>
    <w:rsid w:val="00202C89"/>
    <w:rsid w:val="00202C95"/>
    <w:rsid w:val="00202E45"/>
    <w:rsid w:val="00202EB9"/>
    <w:rsid w:val="00202F4F"/>
    <w:rsid w:val="00203042"/>
    <w:rsid w:val="002030E2"/>
    <w:rsid w:val="00203339"/>
    <w:rsid w:val="00203506"/>
    <w:rsid w:val="00203509"/>
    <w:rsid w:val="002036A9"/>
    <w:rsid w:val="00203A0C"/>
    <w:rsid w:val="00203A72"/>
    <w:rsid w:val="00203CC4"/>
    <w:rsid w:val="00203CDB"/>
    <w:rsid w:val="00203D58"/>
    <w:rsid w:val="00203EC7"/>
    <w:rsid w:val="00203F1E"/>
    <w:rsid w:val="002041B6"/>
    <w:rsid w:val="0020431F"/>
    <w:rsid w:val="002043CB"/>
    <w:rsid w:val="00204998"/>
    <w:rsid w:val="00204AFB"/>
    <w:rsid w:val="00204EEA"/>
    <w:rsid w:val="00205236"/>
    <w:rsid w:val="00205369"/>
    <w:rsid w:val="00205571"/>
    <w:rsid w:val="0020564B"/>
    <w:rsid w:val="0020581E"/>
    <w:rsid w:val="0020590D"/>
    <w:rsid w:val="002059FB"/>
    <w:rsid w:val="00205B62"/>
    <w:rsid w:val="00205C51"/>
    <w:rsid w:val="00205DDC"/>
    <w:rsid w:val="00205E44"/>
    <w:rsid w:val="00206438"/>
    <w:rsid w:val="0020690D"/>
    <w:rsid w:val="00206AD9"/>
    <w:rsid w:val="00206B27"/>
    <w:rsid w:val="00206BA0"/>
    <w:rsid w:val="00206EC4"/>
    <w:rsid w:val="002070E3"/>
    <w:rsid w:val="0020713B"/>
    <w:rsid w:val="0020768C"/>
    <w:rsid w:val="002077A7"/>
    <w:rsid w:val="00207896"/>
    <w:rsid w:val="002079B9"/>
    <w:rsid w:val="00207BFB"/>
    <w:rsid w:val="00207CDB"/>
    <w:rsid w:val="00207E5C"/>
    <w:rsid w:val="00207F73"/>
    <w:rsid w:val="00207FEF"/>
    <w:rsid w:val="002101B9"/>
    <w:rsid w:val="00210733"/>
    <w:rsid w:val="0021093F"/>
    <w:rsid w:val="00210996"/>
    <w:rsid w:val="002109F5"/>
    <w:rsid w:val="00210CDC"/>
    <w:rsid w:val="00210ECC"/>
    <w:rsid w:val="00210F94"/>
    <w:rsid w:val="0021101F"/>
    <w:rsid w:val="0021121C"/>
    <w:rsid w:val="002114CD"/>
    <w:rsid w:val="00211EA5"/>
    <w:rsid w:val="00211EC5"/>
    <w:rsid w:val="00211F10"/>
    <w:rsid w:val="00212131"/>
    <w:rsid w:val="0021225A"/>
    <w:rsid w:val="00212304"/>
    <w:rsid w:val="0021241A"/>
    <w:rsid w:val="00212427"/>
    <w:rsid w:val="002126F6"/>
    <w:rsid w:val="00212809"/>
    <w:rsid w:val="002129D0"/>
    <w:rsid w:val="00212A97"/>
    <w:rsid w:val="00212E11"/>
    <w:rsid w:val="00212ECC"/>
    <w:rsid w:val="00212FAC"/>
    <w:rsid w:val="00213136"/>
    <w:rsid w:val="00213153"/>
    <w:rsid w:val="00213303"/>
    <w:rsid w:val="00213474"/>
    <w:rsid w:val="00213566"/>
    <w:rsid w:val="002135C9"/>
    <w:rsid w:val="002137D6"/>
    <w:rsid w:val="00213811"/>
    <w:rsid w:val="0021389E"/>
    <w:rsid w:val="00213AA6"/>
    <w:rsid w:val="00213AC4"/>
    <w:rsid w:val="00213D93"/>
    <w:rsid w:val="00213EBA"/>
    <w:rsid w:val="0021413F"/>
    <w:rsid w:val="0021433F"/>
    <w:rsid w:val="00214642"/>
    <w:rsid w:val="002148C6"/>
    <w:rsid w:val="002148DE"/>
    <w:rsid w:val="00214B83"/>
    <w:rsid w:val="00214C34"/>
    <w:rsid w:val="00214CA3"/>
    <w:rsid w:val="00214DD9"/>
    <w:rsid w:val="0021514F"/>
    <w:rsid w:val="00215192"/>
    <w:rsid w:val="002153B7"/>
    <w:rsid w:val="00215589"/>
    <w:rsid w:val="00215662"/>
    <w:rsid w:val="00215772"/>
    <w:rsid w:val="00215A2E"/>
    <w:rsid w:val="00215B6A"/>
    <w:rsid w:val="00215BF6"/>
    <w:rsid w:val="00215EF5"/>
    <w:rsid w:val="0021646E"/>
    <w:rsid w:val="002164A6"/>
    <w:rsid w:val="0021656F"/>
    <w:rsid w:val="002167FE"/>
    <w:rsid w:val="00216A6A"/>
    <w:rsid w:val="00216AD0"/>
    <w:rsid w:val="00216CB1"/>
    <w:rsid w:val="00216CEF"/>
    <w:rsid w:val="00216D6D"/>
    <w:rsid w:val="00216F51"/>
    <w:rsid w:val="00217045"/>
    <w:rsid w:val="00217143"/>
    <w:rsid w:val="002174B0"/>
    <w:rsid w:val="00217640"/>
    <w:rsid w:val="002178BB"/>
    <w:rsid w:val="00217A01"/>
    <w:rsid w:val="00217A87"/>
    <w:rsid w:val="00217D44"/>
    <w:rsid w:val="00217D78"/>
    <w:rsid w:val="002200FF"/>
    <w:rsid w:val="0022032C"/>
    <w:rsid w:val="002206EB"/>
    <w:rsid w:val="0022082A"/>
    <w:rsid w:val="0022096F"/>
    <w:rsid w:val="002209C5"/>
    <w:rsid w:val="00220B67"/>
    <w:rsid w:val="00220F76"/>
    <w:rsid w:val="0022113E"/>
    <w:rsid w:val="0022116F"/>
    <w:rsid w:val="00221220"/>
    <w:rsid w:val="00221373"/>
    <w:rsid w:val="002214E6"/>
    <w:rsid w:val="0022187D"/>
    <w:rsid w:val="00221923"/>
    <w:rsid w:val="00221927"/>
    <w:rsid w:val="0022194A"/>
    <w:rsid w:val="00221CC3"/>
    <w:rsid w:val="00221DF8"/>
    <w:rsid w:val="00221EBF"/>
    <w:rsid w:val="00221F6E"/>
    <w:rsid w:val="0022253F"/>
    <w:rsid w:val="00222565"/>
    <w:rsid w:val="00222C66"/>
    <w:rsid w:val="00223045"/>
    <w:rsid w:val="00223121"/>
    <w:rsid w:val="0022317A"/>
    <w:rsid w:val="002232B3"/>
    <w:rsid w:val="002233A7"/>
    <w:rsid w:val="00223533"/>
    <w:rsid w:val="0022370E"/>
    <w:rsid w:val="002237F0"/>
    <w:rsid w:val="002238F0"/>
    <w:rsid w:val="00223FC2"/>
    <w:rsid w:val="002240F5"/>
    <w:rsid w:val="00224140"/>
    <w:rsid w:val="002243E4"/>
    <w:rsid w:val="002247C1"/>
    <w:rsid w:val="002249A4"/>
    <w:rsid w:val="00224BA7"/>
    <w:rsid w:val="00224BBE"/>
    <w:rsid w:val="00224DA0"/>
    <w:rsid w:val="00224F46"/>
    <w:rsid w:val="00225043"/>
    <w:rsid w:val="002256F7"/>
    <w:rsid w:val="00225849"/>
    <w:rsid w:val="00225AB7"/>
    <w:rsid w:val="00225C1C"/>
    <w:rsid w:val="00225D18"/>
    <w:rsid w:val="00225EB6"/>
    <w:rsid w:val="00225FD7"/>
    <w:rsid w:val="00226477"/>
    <w:rsid w:val="002264B4"/>
    <w:rsid w:val="00226816"/>
    <w:rsid w:val="002268DD"/>
    <w:rsid w:val="00226C17"/>
    <w:rsid w:val="00226D20"/>
    <w:rsid w:val="00226E2D"/>
    <w:rsid w:val="00227121"/>
    <w:rsid w:val="00227166"/>
    <w:rsid w:val="00227169"/>
    <w:rsid w:val="002271C4"/>
    <w:rsid w:val="00227262"/>
    <w:rsid w:val="00227526"/>
    <w:rsid w:val="00227964"/>
    <w:rsid w:val="00227B14"/>
    <w:rsid w:val="00227C45"/>
    <w:rsid w:val="00227D25"/>
    <w:rsid w:val="00227E21"/>
    <w:rsid w:val="00227E9A"/>
    <w:rsid w:val="00230255"/>
    <w:rsid w:val="002302AD"/>
    <w:rsid w:val="00230344"/>
    <w:rsid w:val="00230663"/>
    <w:rsid w:val="00230713"/>
    <w:rsid w:val="00230771"/>
    <w:rsid w:val="00230791"/>
    <w:rsid w:val="00230C0A"/>
    <w:rsid w:val="00230C54"/>
    <w:rsid w:val="00230CC5"/>
    <w:rsid w:val="00230D29"/>
    <w:rsid w:val="002310C9"/>
    <w:rsid w:val="002313D9"/>
    <w:rsid w:val="002313F2"/>
    <w:rsid w:val="00231797"/>
    <w:rsid w:val="00231AA7"/>
    <w:rsid w:val="00231C59"/>
    <w:rsid w:val="00231DCE"/>
    <w:rsid w:val="00232026"/>
    <w:rsid w:val="002321FE"/>
    <w:rsid w:val="00232211"/>
    <w:rsid w:val="002325BA"/>
    <w:rsid w:val="002326B6"/>
    <w:rsid w:val="00232ADE"/>
    <w:rsid w:val="00232B0D"/>
    <w:rsid w:val="00232BC8"/>
    <w:rsid w:val="00232FC9"/>
    <w:rsid w:val="002330B4"/>
    <w:rsid w:val="00233252"/>
    <w:rsid w:val="00233593"/>
    <w:rsid w:val="00233666"/>
    <w:rsid w:val="0023367A"/>
    <w:rsid w:val="00233844"/>
    <w:rsid w:val="00233896"/>
    <w:rsid w:val="00233963"/>
    <w:rsid w:val="00233E5C"/>
    <w:rsid w:val="00233EB0"/>
    <w:rsid w:val="00233F12"/>
    <w:rsid w:val="00234357"/>
    <w:rsid w:val="00234580"/>
    <w:rsid w:val="002345A1"/>
    <w:rsid w:val="002345A2"/>
    <w:rsid w:val="002345EF"/>
    <w:rsid w:val="00234968"/>
    <w:rsid w:val="00234992"/>
    <w:rsid w:val="002349AB"/>
    <w:rsid w:val="00234B41"/>
    <w:rsid w:val="00234DEE"/>
    <w:rsid w:val="00234EC6"/>
    <w:rsid w:val="00234EEF"/>
    <w:rsid w:val="00235426"/>
    <w:rsid w:val="00235744"/>
    <w:rsid w:val="00235749"/>
    <w:rsid w:val="00235865"/>
    <w:rsid w:val="00235A95"/>
    <w:rsid w:val="00235A9F"/>
    <w:rsid w:val="00235B0E"/>
    <w:rsid w:val="00235F45"/>
    <w:rsid w:val="00236217"/>
    <w:rsid w:val="00236314"/>
    <w:rsid w:val="00236656"/>
    <w:rsid w:val="00236733"/>
    <w:rsid w:val="00236831"/>
    <w:rsid w:val="00236A8B"/>
    <w:rsid w:val="00236CAD"/>
    <w:rsid w:val="00236D60"/>
    <w:rsid w:val="00236E24"/>
    <w:rsid w:val="00237065"/>
    <w:rsid w:val="00237348"/>
    <w:rsid w:val="00237A00"/>
    <w:rsid w:val="00237A98"/>
    <w:rsid w:val="00237DB5"/>
    <w:rsid w:val="002400B5"/>
    <w:rsid w:val="0024014D"/>
    <w:rsid w:val="00240779"/>
    <w:rsid w:val="00240B4E"/>
    <w:rsid w:val="00240B7C"/>
    <w:rsid w:val="00240C9B"/>
    <w:rsid w:val="00240D47"/>
    <w:rsid w:val="00240E68"/>
    <w:rsid w:val="00240F19"/>
    <w:rsid w:val="00241556"/>
    <w:rsid w:val="002415C7"/>
    <w:rsid w:val="00241622"/>
    <w:rsid w:val="0024163E"/>
    <w:rsid w:val="002419B1"/>
    <w:rsid w:val="00241BC7"/>
    <w:rsid w:val="00241C4E"/>
    <w:rsid w:val="00241E86"/>
    <w:rsid w:val="00241EB4"/>
    <w:rsid w:val="00241F3D"/>
    <w:rsid w:val="00242106"/>
    <w:rsid w:val="00242482"/>
    <w:rsid w:val="002425A0"/>
    <w:rsid w:val="002425A7"/>
    <w:rsid w:val="002425ED"/>
    <w:rsid w:val="00242879"/>
    <w:rsid w:val="002428FE"/>
    <w:rsid w:val="002429C1"/>
    <w:rsid w:val="00242B49"/>
    <w:rsid w:val="0024301F"/>
    <w:rsid w:val="00243235"/>
    <w:rsid w:val="002436A4"/>
    <w:rsid w:val="00243810"/>
    <w:rsid w:val="002438E5"/>
    <w:rsid w:val="00243975"/>
    <w:rsid w:val="00243D00"/>
    <w:rsid w:val="00243D7C"/>
    <w:rsid w:val="00243E27"/>
    <w:rsid w:val="00243FE6"/>
    <w:rsid w:val="00244524"/>
    <w:rsid w:val="002445B4"/>
    <w:rsid w:val="00244627"/>
    <w:rsid w:val="002448C4"/>
    <w:rsid w:val="00244AD9"/>
    <w:rsid w:val="00244F88"/>
    <w:rsid w:val="002451BB"/>
    <w:rsid w:val="00245390"/>
    <w:rsid w:val="00245524"/>
    <w:rsid w:val="002455FB"/>
    <w:rsid w:val="00245EF2"/>
    <w:rsid w:val="00246110"/>
    <w:rsid w:val="0024622C"/>
    <w:rsid w:val="00246272"/>
    <w:rsid w:val="00246341"/>
    <w:rsid w:val="002466CC"/>
    <w:rsid w:val="00246789"/>
    <w:rsid w:val="002467E9"/>
    <w:rsid w:val="0024684F"/>
    <w:rsid w:val="00246AFF"/>
    <w:rsid w:val="00246BF4"/>
    <w:rsid w:val="00246F24"/>
    <w:rsid w:val="00246F68"/>
    <w:rsid w:val="002470A7"/>
    <w:rsid w:val="00247213"/>
    <w:rsid w:val="00247401"/>
    <w:rsid w:val="0024750C"/>
    <w:rsid w:val="0024761E"/>
    <w:rsid w:val="00247643"/>
    <w:rsid w:val="00247796"/>
    <w:rsid w:val="002477BD"/>
    <w:rsid w:val="002478EA"/>
    <w:rsid w:val="00247C09"/>
    <w:rsid w:val="00247E88"/>
    <w:rsid w:val="00247EDB"/>
    <w:rsid w:val="00247FB1"/>
    <w:rsid w:val="00250267"/>
    <w:rsid w:val="00250757"/>
    <w:rsid w:val="00250762"/>
    <w:rsid w:val="0025092A"/>
    <w:rsid w:val="0025098E"/>
    <w:rsid w:val="002509FA"/>
    <w:rsid w:val="00250AD9"/>
    <w:rsid w:val="00250CB9"/>
    <w:rsid w:val="00250CD7"/>
    <w:rsid w:val="00251170"/>
    <w:rsid w:val="002514AD"/>
    <w:rsid w:val="0025150D"/>
    <w:rsid w:val="002516DD"/>
    <w:rsid w:val="0025182E"/>
    <w:rsid w:val="002518FD"/>
    <w:rsid w:val="00251A46"/>
    <w:rsid w:val="00251EDC"/>
    <w:rsid w:val="0025214C"/>
    <w:rsid w:val="0025216A"/>
    <w:rsid w:val="00252258"/>
    <w:rsid w:val="00252421"/>
    <w:rsid w:val="00252940"/>
    <w:rsid w:val="002529DF"/>
    <w:rsid w:val="00252AE1"/>
    <w:rsid w:val="00252E9D"/>
    <w:rsid w:val="0025303C"/>
    <w:rsid w:val="0025320D"/>
    <w:rsid w:val="00253622"/>
    <w:rsid w:val="002536DF"/>
    <w:rsid w:val="00253A5D"/>
    <w:rsid w:val="00253B17"/>
    <w:rsid w:val="00253B33"/>
    <w:rsid w:val="00253C9C"/>
    <w:rsid w:val="00253D16"/>
    <w:rsid w:val="002542C4"/>
    <w:rsid w:val="00254358"/>
    <w:rsid w:val="00254574"/>
    <w:rsid w:val="00254A29"/>
    <w:rsid w:val="00254C57"/>
    <w:rsid w:val="00254C90"/>
    <w:rsid w:val="0025514F"/>
    <w:rsid w:val="0025528A"/>
    <w:rsid w:val="00255344"/>
    <w:rsid w:val="002555CF"/>
    <w:rsid w:val="002556EB"/>
    <w:rsid w:val="0025598E"/>
    <w:rsid w:val="00255AB5"/>
    <w:rsid w:val="00255AE7"/>
    <w:rsid w:val="00255B4C"/>
    <w:rsid w:val="00255B6B"/>
    <w:rsid w:val="00255C22"/>
    <w:rsid w:val="00255C8F"/>
    <w:rsid w:val="00255CED"/>
    <w:rsid w:val="00255D53"/>
    <w:rsid w:val="00255D7F"/>
    <w:rsid w:val="002562E9"/>
    <w:rsid w:val="00256402"/>
    <w:rsid w:val="00256418"/>
    <w:rsid w:val="002566BC"/>
    <w:rsid w:val="002569AF"/>
    <w:rsid w:val="00256A39"/>
    <w:rsid w:val="00256CC2"/>
    <w:rsid w:val="00256D65"/>
    <w:rsid w:val="00256E40"/>
    <w:rsid w:val="00256EC0"/>
    <w:rsid w:val="00256EF6"/>
    <w:rsid w:val="00256FD5"/>
    <w:rsid w:val="002573C0"/>
    <w:rsid w:val="0025760B"/>
    <w:rsid w:val="00257638"/>
    <w:rsid w:val="00257760"/>
    <w:rsid w:val="00257843"/>
    <w:rsid w:val="00257F68"/>
    <w:rsid w:val="0025CFE9"/>
    <w:rsid w:val="0026064F"/>
    <w:rsid w:val="00260745"/>
    <w:rsid w:val="00260748"/>
    <w:rsid w:val="00260B35"/>
    <w:rsid w:val="00260B90"/>
    <w:rsid w:val="00260DE0"/>
    <w:rsid w:val="00261097"/>
    <w:rsid w:val="002611AC"/>
    <w:rsid w:val="0026120F"/>
    <w:rsid w:val="00261512"/>
    <w:rsid w:val="002618E8"/>
    <w:rsid w:val="002619CF"/>
    <w:rsid w:val="00261A41"/>
    <w:rsid w:val="00261AD0"/>
    <w:rsid w:val="00261CD5"/>
    <w:rsid w:val="00261CDB"/>
    <w:rsid w:val="00261FC1"/>
    <w:rsid w:val="00262115"/>
    <w:rsid w:val="002622B6"/>
    <w:rsid w:val="00262722"/>
    <w:rsid w:val="002627BC"/>
    <w:rsid w:val="00262A0B"/>
    <w:rsid w:val="00262C12"/>
    <w:rsid w:val="00262DB1"/>
    <w:rsid w:val="00262FF2"/>
    <w:rsid w:val="00263B7C"/>
    <w:rsid w:val="00263E40"/>
    <w:rsid w:val="002642CC"/>
    <w:rsid w:val="002645C6"/>
    <w:rsid w:val="002648DA"/>
    <w:rsid w:val="002648E5"/>
    <w:rsid w:val="002649F2"/>
    <w:rsid w:val="00264B9E"/>
    <w:rsid w:val="00264DA7"/>
    <w:rsid w:val="00264F48"/>
    <w:rsid w:val="00265165"/>
    <w:rsid w:val="002654A1"/>
    <w:rsid w:val="002654A6"/>
    <w:rsid w:val="00265795"/>
    <w:rsid w:val="00265A38"/>
    <w:rsid w:val="00265AC3"/>
    <w:rsid w:val="00265AFD"/>
    <w:rsid w:val="00265C4A"/>
    <w:rsid w:val="00266107"/>
    <w:rsid w:val="002663C9"/>
    <w:rsid w:val="0026643B"/>
    <w:rsid w:val="00266605"/>
    <w:rsid w:val="00266690"/>
    <w:rsid w:val="0026699C"/>
    <w:rsid w:val="002669E6"/>
    <w:rsid w:val="00266B30"/>
    <w:rsid w:val="00266E2C"/>
    <w:rsid w:val="00267125"/>
    <w:rsid w:val="0026742D"/>
    <w:rsid w:val="002674EF"/>
    <w:rsid w:val="00267621"/>
    <w:rsid w:val="002677D1"/>
    <w:rsid w:val="0026787E"/>
    <w:rsid w:val="00267BE6"/>
    <w:rsid w:val="00267CBF"/>
    <w:rsid w:val="00267E1E"/>
    <w:rsid w:val="002705C1"/>
    <w:rsid w:val="00270665"/>
    <w:rsid w:val="0027067E"/>
    <w:rsid w:val="0027073A"/>
    <w:rsid w:val="00270754"/>
    <w:rsid w:val="00270833"/>
    <w:rsid w:val="00270F15"/>
    <w:rsid w:val="00270FC7"/>
    <w:rsid w:val="00271089"/>
    <w:rsid w:val="00271120"/>
    <w:rsid w:val="00271634"/>
    <w:rsid w:val="002716E2"/>
    <w:rsid w:val="002717F8"/>
    <w:rsid w:val="00271940"/>
    <w:rsid w:val="00271C6B"/>
    <w:rsid w:val="00271ECF"/>
    <w:rsid w:val="002722AE"/>
    <w:rsid w:val="002723FD"/>
    <w:rsid w:val="00272400"/>
    <w:rsid w:val="00272573"/>
    <w:rsid w:val="002727A2"/>
    <w:rsid w:val="0027288C"/>
    <w:rsid w:val="002728C2"/>
    <w:rsid w:val="00272A65"/>
    <w:rsid w:val="00272C1A"/>
    <w:rsid w:val="00272CD7"/>
    <w:rsid w:val="00273092"/>
    <w:rsid w:val="0027318E"/>
    <w:rsid w:val="00273192"/>
    <w:rsid w:val="00273261"/>
    <w:rsid w:val="0027335E"/>
    <w:rsid w:val="002737F5"/>
    <w:rsid w:val="002739D8"/>
    <w:rsid w:val="00273A11"/>
    <w:rsid w:val="00273CEC"/>
    <w:rsid w:val="00273CF7"/>
    <w:rsid w:val="00273D61"/>
    <w:rsid w:val="002740A0"/>
    <w:rsid w:val="00274232"/>
    <w:rsid w:val="00274435"/>
    <w:rsid w:val="00274AE9"/>
    <w:rsid w:val="00274DD4"/>
    <w:rsid w:val="002755A8"/>
    <w:rsid w:val="00275911"/>
    <w:rsid w:val="00275989"/>
    <w:rsid w:val="00275D04"/>
    <w:rsid w:val="00275FAB"/>
    <w:rsid w:val="0027613B"/>
    <w:rsid w:val="00276418"/>
    <w:rsid w:val="002766D8"/>
    <w:rsid w:val="002767E6"/>
    <w:rsid w:val="00276C1C"/>
    <w:rsid w:val="00276CC0"/>
    <w:rsid w:val="00276D68"/>
    <w:rsid w:val="00276DDB"/>
    <w:rsid w:val="00276F2F"/>
    <w:rsid w:val="00276F4E"/>
    <w:rsid w:val="0027709E"/>
    <w:rsid w:val="00277A09"/>
    <w:rsid w:val="00277B2D"/>
    <w:rsid w:val="00277B39"/>
    <w:rsid w:val="00277E5B"/>
    <w:rsid w:val="0028000D"/>
    <w:rsid w:val="0028008B"/>
    <w:rsid w:val="002800AD"/>
    <w:rsid w:val="0028026D"/>
    <w:rsid w:val="002802FC"/>
    <w:rsid w:val="00280310"/>
    <w:rsid w:val="002803DF"/>
    <w:rsid w:val="0028044C"/>
    <w:rsid w:val="00280726"/>
    <w:rsid w:val="00280800"/>
    <w:rsid w:val="00280CC2"/>
    <w:rsid w:val="00280D1A"/>
    <w:rsid w:val="00281333"/>
    <w:rsid w:val="002813BE"/>
    <w:rsid w:val="00281926"/>
    <w:rsid w:val="002819E8"/>
    <w:rsid w:val="00281A0C"/>
    <w:rsid w:val="00281B08"/>
    <w:rsid w:val="00281CD0"/>
    <w:rsid w:val="00281DAD"/>
    <w:rsid w:val="00281EA7"/>
    <w:rsid w:val="002820A4"/>
    <w:rsid w:val="00282204"/>
    <w:rsid w:val="00282902"/>
    <w:rsid w:val="00282B37"/>
    <w:rsid w:val="0028320B"/>
    <w:rsid w:val="00283732"/>
    <w:rsid w:val="0028373D"/>
    <w:rsid w:val="00283743"/>
    <w:rsid w:val="002837E5"/>
    <w:rsid w:val="0028382E"/>
    <w:rsid w:val="00283A88"/>
    <w:rsid w:val="00284105"/>
    <w:rsid w:val="00284144"/>
    <w:rsid w:val="002841F9"/>
    <w:rsid w:val="002843F6"/>
    <w:rsid w:val="0028449B"/>
    <w:rsid w:val="00284505"/>
    <w:rsid w:val="002845F6"/>
    <w:rsid w:val="002846D7"/>
    <w:rsid w:val="00284919"/>
    <w:rsid w:val="00284CA1"/>
    <w:rsid w:val="00285342"/>
    <w:rsid w:val="002856E4"/>
    <w:rsid w:val="0028591D"/>
    <w:rsid w:val="00285B00"/>
    <w:rsid w:val="00285CE7"/>
    <w:rsid w:val="00285DF1"/>
    <w:rsid w:val="002860FE"/>
    <w:rsid w:val="002862C8"/>
    <w:rsid w:val="0028637C"/>
    <w:rsid w:val="00286B7D"/>
    <w:rsid w:val="0028737D"/>
    <w:rsid w:val="00287543"/>
    <w:rsid w:val="00287BD1"/>
    <w:rsid w:val="00287F97"/>
    <w:rsid w:val="00290072"/>
    <w:rsid w:val="00290097"/>
    <w:rsid w:val="002900F9"/>
    <w:rsid w:val="002901AE"/>
    <w:rsid w:val="002905CF"/>
    <w:rsid w:val="0029069E"/>
    <w:rsid w:val="00290B2F"/>
    <w:rsid w:val="00290C4C"/>
    <w:rsid w:val="00290D75"/>
    <w:rsid w:val="00290E2C"/>
    <w:rsid w:val="00290FBF"/>
    <w:rsid w:val="00291019"/>
    <w:rsid w:val="002910BC"/>
    <w:rsid w:val="002912CA"/>
    <w:rsid w:val="00291750"/>
    <w:rsid w:val="00291791"/>
    <w:rsid w:val="002917CE"/>
    <w:rsid w:val="00291802"/>
    <w:rsid w:val="00291B0F"/>
    <w:rsid w:val="00291C69"/>
    <w:rsid w:val="00291DDA"/>
    <w:rsid w:val="0029226D"/>
    <w:rsid w:val="0029241F"/>
    <w:rsid w:val="002926A9"/>
    <w:rsid w:val="002926B0"/>
    <w:rsid w:val="00292762"/>
    <w:rsid w:val="00292781"/>
    <w:rsid w:val="0029279E"/>
    <w:rsid w:val="002929EC"/>
    <w:rsid w:val="00292CE0"/>
    <w:rsid w:val="00292E2D"/>
    <w:rsid w:val="00292F54"/>
    <w:rsid w:val="0029313E"/>
    <w:rsid w:val="002931F8"/>
    <w:rsid w:val="00293669"/>
    <w:rsid w:val="002938E3"/>
    <w:rsid w:val="002939BC"/>
    <w:rsid w:val="00293C8F"/>
    <w:rsid w:val="00293E31"/>
    <w:rsid w:val="00293E4F"/>
    <w:rsid w:val="00294262"/>
    <w:rsid w:val="00294288"/>
    <w:rsid w:val="0029457F"/>
    <w:rsid w:val="00294638"/>
    <w:rsid w:val="00295339"/>
    <w:rsid w:val="00295381"/>
    <w:rsid w:val="002953C5"/>
    <w:rsid w:val="002955D0"/>
    <w:rsid w:val="00295F0C"/>
    <w:rsid w:val="00295F2E"/>
    <w:rsid w:val="00295F75"/>
    <w:rsid w:val="00295FFA"/>
    <w:rsid w:val="0029602E"/>
    <w:rsid w:val="00296097"/>
    <w:rsid w:val="0029613D"/>
    <w:rsid w:val="002963D8"/>
    <w:rsid w:val="002965E1"/>
    <w:rsid w:val="002967E2"/>
    <w:rsid w:val="002967E5"/>
    <w:rsid w:val="00296B02"/>
    <w:rsid w:val="00296B7E"/>
    <w:rsid w:val="00296BAA"/>
    <w:rsid w:val="0029725D"/>
    <w:rsid w:val="0029741D"/>
    <w:rsid w:val="00297516"/>
    <w:rsid w:val="00297690"/>
    <w:rsid w:val="00297705"/>
    <w:rsid w:val="00297739"/>
    <w:rsid w:val="00297C24"/>
    <w:rsid w:val="00297E41"/>
    <w:rsid w:val="002A0476"/>
    <w:rsid w:val="002A04E5"/>
    <w:rsid w:val="002A0898"/>
    <w:rsid w:val="002A08DB"/>
    <w:rsid w:val="002A0C45"/>
    <w:rsid w:val="002A0CBF"/>
    <w:rsid w:val="002A0D34"/>
    <w:rsid w:val="002A1231"/>
    <w:rsid w:val="002A1236"/>
    <w:rsid w:val="002A1347"/>
    <w:rsid w:val="002A134D"/>
    <w:rsid w:val="002A1790"/>
    <w:rsid w:val="002A1863"/>
    <w:rsid w:val="002A1ADE"/>
    <w:rsid w:val="002A1B9E"/>
    <w:rsid w:val="002A1BA2"/>
    <w:rsid w:val="002A1BB6"/>
    <w:rsid w:val="002A1BEF"/>
    <w:rsid w:val="002A1D1F"/>
    <w:rsid w:val="002A2200"/>
    <w:rsid w:val="002A2519"/>
    <w:rsid w:val="002A2ABC"/>
    <w:rsid w:val="002A2DA4"/>
    <w:rsid w:val="002A2DFA"/>
    <w:rsid w:val="002A2EF3"/>
    <w:rsid w:val="002A2FAD"/>
    <w:rsid w:val="002A2FB2"/>
    <w:rsid w:val="002A3231"/>
    <w:rsid w:val="002A3374"/>
    <w:rsid w:val="002A338D"/>
    <w:rsid w:val="002A3405"/>
    <w:rsid w:val="002A35C7"/>
    <w:rsid w:val="002A36E5"/>
    <w:rsid w:val="002A36F5"/>
    <w:rsid w:val="002A38A5"/>
    <w:rsid w:val="002A3C56"/>
    <w:rsid w:val="002A417A"/>
    <w:rsid w:val="002A4468"/>
    <w:rsid w:val="002A46AD"/>
    <w:rsid w:val="002A46C3"/>
    <w:rsid w:val="002A4A30"/>
    <w:rsid w:val="002A4A5C"/>
    <w:rsid w:val="002A4D11"/>
    <w:rsid w:val="002A4E13"/>
    <w:rsid w:val="002A4FF3"/>
    <w:rsid w:val="002A53AA"/>
    <w:rsid w:val="002A5536"/>
    <w:rsid w:val="002A56D3"/>
    <w:rsid w:val="002A5C46"/>
    <w:rsid w:val="002A5CAB"/>
    <w:rsid w:val="002A6178"/>
    <w:rsid w:val="002A65B1"/>
    <w:rsid w:val="002A6627"/>
    <w:rsid w:val="002A7180"/>
    <w:rsid w:val="002A71A8"/>
    <w:rsid w:val="002A754A"/>
    <w:rsid w:val="002A774A"/>
    <w:rsid w:val="002A785C"/>
    <w:rsid w:val="002A7FA7"/>
    <w:rsid w:val="002B0458"/>
    <w:rsid w:val="002B0526"/>
    <w:rsid w:val="002B064E"/>
    <w:rsid w:val="002B0695"/>
    <w:rsid w:val="002B075A"/>
    <w:rsid w:val="002B08D3"/>
    <w:rsid w:val="002B0991"/>
    <w:rsid w:val="002B0BC4"/>
    <w:rsid w:val="002B0BFC"/>
    <w:rsid w:val="002B0E18"/>
    <w:rsid w:val="002B0E97"/>
    <w:rsid w:val="002B113D"/>
    <w:rsid w:val="002B11DC"/>
    <w:rsid w:val="002B1291"/>
    <w:rsid w:val="002B15D7"/>
    <w:rsid w:val="002B181F"/>
    <w:rsid w:val="002B1BF1"/>
    <w:rsid w:val="002B1C6B"/>
    <w:rsid w:val="002B1CAD"/>
    <w:rsid w:val="002B1FD6"/>
    <w:rsid w:val="002B23EF"/>
    <w:rsid w:val="002B254D"/>
    <w:rsid w:val="002B2921"/>
    <w:rsid w:val="002B29E6"/>
    <w:rsid w:val="002B2CA1"/>
    <w:rsid w:val="002B3036"/>
    <w:rsid w:val="002B3133"/>
    <w:rsid w:val="002B3322"/>
    <w:rsid w:val="002B334A"/>
    <w:rsid w:val="002B38F4"/>
    <w:rsid w:val="002B3A0A"/>
    <w:rsid w:val="002B3AE2"/>
    <w:rsid w:val="002B434A"/>
    <w:rsid w:val="002B4362"/>
    <w:rsid w:val="002B4538"/>
    <w:rsid w:val="002B4609"/>
    <w:rsid w:val="002B4617"/>
    <w:rsid w:val="002B4666"/>
    <w:rsid w:val="002B4D3F"/>
    <w:rsid w:val="002B527E"/>
    <w:rsid w:val="002B58B2"/>
    <w:rsid w:val="002B5994"/>
    <w:rsid w:val="002B5CC4"/>
    <w:rsid w:val="002B5DF7"/>
    <w:rsid w:val="002B6045"/>
    <w:rsid w:val="002B6409"/>
    <w:rsid w:val="002B65F0"/>
    <w:rsid w:val="002B664F"/>
    <w:rsid w:val="002B669A"/>
    <w:rsid w:val="002B6777"/>
    <w:rsid w:val="002B67E3"/>
    <w:rsid w:val="002B68C3"/>
    <w:rsid w:val="002B68E9"/>
    <w:rsid w:val="002B6A46"/>
    <w:rsid w:val="002B6C9F"/>
    <w:rsid w:val="002B6E7D"/>
    <w:rsid w:val="002B7222"/>
    <w:rsid w:val="002B7223"/>
    <w:rsid w:val="002B740A"/>
    <w:rsid w:val="002B783B"/>
    <w:rsid w:val="002B7BE9"/>
    <w:rsid w:val="002B7BF0"/>
    <w:rsid w:val="002C006A"/>
    <w:rsid w:val="002C0079"/>
    <w:rsid w:val="002C026B"/>
    <w:rsid w:val="002C04AF"/>
    <w:rsid w:val="002C0518"/>
    <w:rsid w:val="002C0603"/>
    <w:rsid w:val="002C0B1C"/>
    <w:rsid w:val="002C0B94"/>
    <w:rsid w:val="002C0CF0"/>
    <w:rsid w:val="002C0D93"/>
    <w:rsid w:val="002C0F4B"/>
    <w:rsid w:val="002C1170"/>
    <w:rsid w:val="002C1505"/>
    <w:rsid w:val="002C1590"/>
    <w:rsid w:val="002C168B"/>
    <w:rsid w:val="002C17A3"/>
    <w:rsid w:val="002C1A4F"/>
    <w:rsid w:val="002C1DA6"/>
    <w:rsid w:val="002C1F11"/>
    <w:rsid w:val="002C1F14"/>
    <w:rsid w:val="002C2032"/>
    <w:rsid w:val="002C21A3"/>
    <w:rsid w:val="002C23C9"/>
    <w:rsid w:val="002C2566"/>
    <w:rsid w:val="002C25BF"/>
    <w:rsid w:val="002C275B"/>
    <w:rsid w:val="002C2775"/>
    <w:rsid w:val="002C2934"/>
    <w:rsid w:val="002C29CA"/>
    <w:rsid w:val="002C2B34"/>
    <w:rsid w:val="002C2CA8"/>
    <w:rsid w:val="002C2D9C"/>
    <w:rsid w:val="002C2DA7"/>
    <w:rsid w:val="002C2EAC"/>
    <w:rsid w:val="002C3B89"/>
    <w:rsid w:val="002C3D28"/>
    <w:rsid w:val="002C3E72"/>
    <w:rsid w:val="002C3EC9"/>
    <w:rsid w:val="002C41CB"/>
    <w:rsid w:val="002C4292"/>
    <w:rsid w:val="002C45D3"/>
    <w:rsid w:val="002C4754"/>
    <w:rsid w:val="002C499F"/>
    <w:rsid w:val="002C4C01"/>
    <w:rsid w:val="002C4C76"/>
    <w:rsid w:val="002C4EDB"/>
    <w:rsid w:val="002C5103"/>
    <w:rsid w:val="002C5179"/>
    <w:rsid w:val="002C5504"/>
    <w:rsid w:val="002C5571"/>
    <w:rsid w:val="002C57B2"/>
    <w:rsid w:val="002C5958"/>
    <w:rsid w:val="002C5BE9"/>
    <w:rsid w:val="002C5DCF"/>
    <w:rsid w:val="002C5E5D"/>
    <w:rsid w:val="002C60F5"/>
    <w:rsid w:val="002C643A"/>
    <w:rsid w:val="002C6692"/>
    <w:rsid w:val="002C68EC"/>
    <w:rsid w:val="002C6C6F"/>
    <w:rsid w:val="002C7132"/>
    <w:rsid w:val="002C72D7"/>
    <w:rsid w:val="002C7426"/>
    <w:rsid w:val="002C7997"/>
    <w:rsid w:val="002C7D87"/>
    <w:rsid w:val="002D0197"/>
    <w:rsid w:val="002D082E"/>
    <w:rsid w:val="002D08E9"/>
    <w:rsid w:val="002D0B11"/>
    <w:rsid w:val="002D0CFD"/>
    <w:rsid w:val="002D0E25"/>
    <w:rsid w:val="002D138E"/>
    <w:rsid w:val="002D13BD"/>
    <w:rsid w:val="002D14EB"/>
    <w:rsid w:val="002D1853"/>
    <w:rsid w:val="002D1B8F"/>
    <w:rsid w:val="002D1B98"/>
    <w:rsid w:val="002D1DF2"/>
    <w:rsid w:val="002D255E"/>
    <w:rsid w:val="002D25A5"/>
    <w:rsid w:val="002D25BA"/>
    <w:rsid w:val="002D2B39"/>
    <w:rsid w:val="002D2F63"/>
    <w:rsid w:val="002D32CD"/>
    <w:rsid w:val="002D34CA"/>
    <w:rsid w:val="002D358A"/>
    <w:rsid w:val="002D369F"/>
    <w:rsid w:val="002D39D4"/>
    <w:rsid w:val="002D3A31"/>
    <w:rsid w:val="002D3A9F"/>
    <w:rsid w:val="002D3C1A"/>
    <w:rsid w:val="002D3C70"/>
    <w:rsid w:val="002D3F01"/>
    <w:rsid w:val="002D4A42"/>
    <w:rsid w:val="002D4AA0"/>
    <w:rsid w:val="002D4BCB"/>
    <w:rsid w:val="002D4BFC"/>
    <w:rsid w:val="002D4C56"/>
    <w:rsid w:val="002D4E5B"/>
    <w:rsid w:val="002D4E69"/>
    <w:rsid w:val="002D4FC5"/>
    <w:rsid w:val="002D4FE0"/>
    <w:rsid w:val="002D5280"/>
    <w:rsid w:val="002D56DC"/>
    <w:rsid w:val="002D5979"/>
    <w:rsid w:val="002D597E"/>
    <w:rsid w:val="002D5BBB"/>
    <w:rsid w:val="002D5E5B"/>
    <w:rsid w:val="002D5F19"/>
    <w:rsid w:val="002D62D6"/>
    <w:rsid w:val="002D62E1"/>
    <w:rsid w:val="002D6387"/>
    <w:rsid w:val="002D6451"/>
    <w:rsid w:val="002D64C0"/>
    <w:rsid w:val="002D6740"/>
    <w:rsid w:val="002D6885"/>
    <w:rsid w:val="002D68FF"/>
    <w:rsid w:val="002D6936"/>
    <w:rsid w:val="002D7087"/>
    <w:rsid w:val="002D725E"/>
    <w:rsid w:val="002D76B4"/>
    <w:rsid w:val="002D7CFD"/>
    <w:rsid w:val="002D7FAE"/>
    <w:rsid w:val="002E050D"/>
    <w:rsid w:val="002E059C"/>
    <w:rsid w:val="002E05AF"/>
    <w:rsid w:val="002E09DF"/>
    <w:rsid w:val="002E0A05"/>
    <w:rsid w:val="002E0B1B"/>
    <w:rsid w:val="002E0B88"/>
    <w:rsid w:val="002E0BEE"/>
    <w:rsid w:val="002E0FFB"/>
    <w:rsid w:val="002E10B6"/>
    <w:rsid w:val="002E10BB"/>
    <w:rsid w:val="002E11DA"/>
    <w:rsid w:val="002E1396"/>
    <w:rsid w:val="002E1411"/>
    <w:rsid w:val="002E14DF"/>
    <w:rsid w:val="002E1969"/>
    <w:rsid w:val="002E19E7"/>
    <w:rsid w:val="002E1AA4"/>
    <w:rsid w:val="002E1AC1"/>
    <w:rsid w:val="002E1B15"/>
    <w:rsid w:val="002E1BBF"/>
    <w:rsid w:val="002E1C21"/>
    <w:rsid w:val="002E1C85"/>
    <w:rsid w:val="002E1EF8"/>
    <w:rsid w:val="002E1F7A"/>
    <w:rsid w:val="002E221C"/>
    <w:rsid w:val="002E231D"/>
    <w:rsid w:val="002E23AD"/>
    <w:rsid w:val="002E2442"/>
    <w:rsid w:val="002E2560"/>
    <w:rsid w:val="002E2849"/>
    <w:rsid w:val="002E2853"/>
    <w:rsid w:val="002E28C6"/>
    <w:rsid w:val="002E291C"/>
    <w:rsid w:val="002E2A64"/>
    <w:rsid w:val="002E2C5A"/>
    <w:rsid w:val="002E2DF1"/>
    <w:rsid w:val="002E373A"/>
    <w:rsid w:val="002E39FC"/>
    <w:rsid w:val="002E3AEA"/>
    <w:rsid w:val="002E3E79"/>
    <w:rsid w:val="002E3F4A"/>
    <w:rsid w:val="002E42F8"/>
    <w:rsid w:val="002E4550"/>
    <w:rsid w:val="002E475D"/>
    <w:rsid w:val="002E47D7"/>
    <w:rsid w:val="002E47DD"/>
    <w:rsid w:val="002E47F9"/>
    <w:rsid w:val="002E480F"/>
    <w:rsid w:val="002E4897"/>
    <w:rsid w:val="002E48D5"/>
    <w:rsid w:val="002E4BAE"/>
    <w:rsid w:val="002E4F0C"/>
    <w:rsid w:val="002E5034"/>
    <w:rsid w:val="002E5173"/>
    <w:rsid w:val="002E5363"/>
    <w:rsid w:val="002E53CF"/>
    <w:rsid w:val="002E56E1"/>
    <w:rsid w:val="002E5971"/>
    <w:rsid w:val="002E5C1A"/>
    <w:rsid w:val="002E5ECE"/>
    <w:rsid w:val="002E5EDE"/>
    <w:rsid w:val="002E5F86"/>
    <w:rsid w:val="002E6108"/>
    <w:rsid w:val="002E6400"/>
    <w:rsid w:val="002E6798"/>
    <w:rsid w:val="002E6C06"/>
    <w:rsid w:val="002E6CE8"/>
    <w:rsid w:val="002E6F3B"/>
    <w:rsid w:val="002E70D7"/>
    <w:rsid w:val="002E70FF"/>
    <w:rsid w:val="002E71CE"/>
    <w:rsid w:val="002E7222"/>
    <w:rsid w:val="002E72AC"/>
    <w:rsid w:val="002E7448"/>
    <w:rsid w:val="002E7516"/>
    <w:rsid w:val="002E7642"/>
    <w:rsid w:val="002E7B51"/>
    <w:rsid w:val="002E7B62"/>
    <w:rsid w:val="002E7CE9"/>
    <w:rsid w:val="002E7E57"/>
    <w:rsid w:val="002E7F15"/>
    <w:rsid w:val="002E7F6E"/>
    <w:rsid w:val="002E7FB0"/>
    <w:rsid w:val="002F008A"/>
    <w:rsid w:val="002F0217"/>
    <w:rsid w:val="002F02B5"/>
    <w:rsid w:val="002F02BA"/>
    <w:rsid w:val="002F02F9"/>
    <w:rsid w:val="002F05A1"/>
    <w:rsid w:val="002F0619"/>
    <w:rsid w:val="002F083E"/>
    <w:rsid w:val="002F092B"/>
    <w:rsid w:val="002F0C1B"/>
    <w:rsid w:val="002F0CCB"/>
    <w:rsid w:val="002F0D2E"/>
    <w:rsid w:val="002F0DC0"/>
    <w:rsid w:val="002F0E65"/>
    <w:rsid w:val="002F10FA"/>
    <w:rsid w:val="002F11CB"/>
    <w:rsid w:val="002F159B"/>
    <w:rsid w:val="002F1773"/>
    <w:rsid w:val="002F17C3"/>
    <w:rsid w:val="002F1937"/>
    <w:rsid w:val="002F1C76"/>
    <w:rsid w:val="002F1CCC"/>
    <w:rsid w:val="002F1E56"/>
    <w:rsid w:val="002F1EDD"/>
    <w:rsid w:val="002F1F26"/>
    <w:rsid w:val="002F1FDB"/>
    <w:rsid w:val="002F2284"/>
    <w:rsid w:val="002F2502"/>
    <w:rsid w:val="002F254D"/>
    <w:rsid w:val="002F266F"/>
    <w:rsid w:val="002F2836"/>
    <w:rsid w:val="002F296D"/>
    <w:rsid w:val="002F29E7"/>
    <w:rsid w:val="002F2BC6"/>
    <w:rsid w:val="002F3063"/>
    <w:rsid w:val="002F32ED"/>
    <w:rsid w:val="002F358F"/>
    <w:rsid w:val="002F36AC"/>
    <w:rsid w:val="002F37C0"/>
    <w:rsid w:val="002F38BC"/>
    <w:rsid w:val="002F3915"/>
    <w:rsid w:val="002F3AB4"/>
    <w:rsid w:val="002F3CEA"/>
    <w:rsid w:val="002F3DD3"/>
    <w:rsid w:val="002F3F63"/>
    <w:rsid w:val="002F420C"/>
    <w:rsid w:val="002F49BD"/>
    <w:rsid w:val="002F4A79"/>
    <w:rsid w:val="002F4C39"/>
    <w:rsid w:val="002F4E96"/>
    <w:rsid w:val="002F55CE"/>
    <w:rsid w:val="002F57DC"/>
    <w:rsid w:val="002F5869"/>
    <w:rsid w:val="002F587A"/>
    <w:rsid w:val="002F58DD"/>
    <w:rsid w:val="002F58F6"/>
    <w:rsid w:val="002F5B40"/>
    <w:rsid w:val="002F5C0C"/>
    <w:rsid w:val="002F5CB3"/>
    <w:rsid w:val="002F5D37"/>
    <w:rsid w:val="002F5DC8"/>
    <w:rsid w:val="002F5F65"/>
    <w:rsid w:val="002F6075"/>
    <w:rsid w:val="002F6386"/>
    <w:rsid w:val="002F63A8"/>
    <w:rsid w:val="002F63AF"/>
    <w:rsid w:val="002F63BD"/>
    <w:rsid w:val="002F6467"/>
    <w:rsid w:val="002F64FF"/>
    <w:rsid w:val="002F6536"/>
    <w:rsid w:val="002F66AE"/>
    <w:rsid w:val="002F670B"/>
    <w:rsid w:val="002F6E37"/>
    <w:rsid w:val="002F700E"/>
    <w:rsid w:val="002F7422"/>
    <w:rsid w:val="002F7478"/>
    <w:rsid w:val="002F74FE"/>
    <w:rsid w:val="002F787B"/>
    <w:rsid w:val="002F7A99"/>
    <w:rsid w:val="002F7AEF"/>
    <w:rsid w:val="002F7C98"/>
    <w:rsid w:val="0030011F"/>
    <w:rsid w:val="00300348"/>
    <w:rsid w:val="003005B0"/>
    <w:rsid w:val="00300A10"/>
    <w:rsid w:val="00300D45"/>
    <w:rsid w:val="00300FDA"/>
    <w:rsid w:val="00301166"/>
    <w:rsid w:val="003011A5"/>
    <w:rsid w:val="0030134E"/>
    <w:rsid w:val="003015B1"/>
    <w:rsid w:val="003017D2"/>
    <w:rsid w:val="003017D9"/>
    <w:rsid w:val="00301860"/>
    <w:rsid w:val="00301B2C"/>
    <w:rsid w:val="00301BBD"/>
    <w:rsid w:val="00301BF3"/>
    <w:rsid w:val="00301E8B"/>
    <w:rsid w:val="00301EEE"/>
    <w:rsid w:val="0030207D"/>
    <w:rsid w:val="003023C1"/>
    <w:rsid w:val="003023DF"/>
    <w:rsid w:val="00302658"/>
    <w:rsid w:val="003028A7"/>
    <w:rsid w:val="003028DD"/>
    <w:rsid w:val="00302A4B"/>
    <w:rsid w:val="00302D99"/>
    <w:rsid w:val="00302F60"/>
    <w:rsid w:val="00302F6A"/>
    <w:rsid w:val="00303106"/>
    <w:rsid w:val="003032AB"/>
    <w:rsid w:val="003032E3"/>
    <w:rsid w:val="00303572"/>
    <w:rsid w:val="00303646"/>
    <w:rsid w:val="0030378F"/>
    <w:rsid w:val="00303813"/>
    <w:rsid w:val="003038DB"/>
    <w:rsid w:val="00303BDF"/>
    <w:rsid w:val="00303C85"/>
    <w:rsid w:val="00303E28"/>
    <w:rsid w:val="003043C7"/>
    <w:rsid w:val="003043D4"/>
    <w:rsid w:val="00304483"/>
    <w:rsid w:val="0030459D"/>
    <w:rsid w:val="00304877"/>
    <w:rsid w:val="00304A6F"/>
    <w:rsid w:val="00304B18"/>
    <w:rsid w:val="00304D2B"/>
    <w:rsid w:val="00304DDC"/>
    <w:rsid w:val="00305082"/>
    <w:rsid w:val="0030564A"/>
    <w:rsid w:val="00305695"/>
    <w:rsid w:val="003059B7"/>
    <w:rsid w:val="00305DBA"/>
    <w:rsid w:val="00305EE7"/>
    <w:rsid w:val="0030634F"/>
    <w:rsid w:val="003063EC"/>
    <w:rsid w:val="003066EC"/>
    <w:rsid w:val="00306825"/>
    <w:rsid w:val="00306AAC"/>
    <w:rsid w:val="00306DAD"/>
    <w:rsid w:val="00306F26"/>
    <w:rsid w:val="00307096"/>
    <w:rsid w:val="00307270"/>
    <w:rsid w:val="00307410"/>
    <w:rsid w:val="003074A8"/>
    <w:rsid w:val="003077FA"/>
    <w:rsid w:val="00307840"/>
    <w:rsid w:val="00307886"/>
    <w:rsid w:val="00307AFD"/>
    <w:rsid w:val="00307C27"/>
    <w:rsid w:val="00307C4F"/>
    <w:rsid w:val="00307F81"/>
    <w:rsid w:val="0031003E"/>
    <w:rsid w:val="003100CE"/>
    <w:rsid w:val="0031053F"/>
    <w:rsid w:val="00310954"/>
    <w:rsid w:val="00310A3A"/>
    <w:rsid w:val="00310B91"/>
    <w:rsid w:val="00310EB6"/>
    <w:rsid w:val="003112C9"/>
    <w:rsid w:val="0031135B"/>
    <w:rsid w:val="00311421"/>
    <w:rsid w:val="0031144B"/>
    <w:rsid w:val="00311626"/>
    <w:rsid w:val="00311836"/>
    <w:rsid w:val="00311862"/>
    <w:rsid w:val="00311AE6"/>
    <w:rsid w:val="00311B04"/>
    <w:rsid w:val="00311CC4"/>
    <w:rsid w:val="00311DF0"/>
    <w:rsid w:val="0031246A"/>
    <w:rsid w:val="00312579"/>
    <w:rsid w:val="00312748"/>
    <w:rsid w:val="003127E3"/>
    <w:rsid w:val="0031280E"/>
    <w:rsid w:val="00312A0E"/>
    <w:rsid w:val="00312ABE"/>
    <w:rsid w:val="00312BCE"/>
    <w:rsid w:val="00312C80"/>
    <w:rsid w:val="00312F36"/>
    <w:rsid w:val="003133EA"/>
    <w:rsid w:val="00313441"/>
    <w:rsid w:val="003135BB"/>
    <w:rsid w:val="00313633"/>
    <w:rsid w:val="0031385A"/>
    <w:rsid w:val="00313B4B"/>
    <w:rsid w:val="00313DB8"/>
    <w:rsid w:val="00314002"/>
    <w:rsid w:val="003145D5"/>
    <w:rsid w:val="00314609"/>
    <w:rsid w:val="00314790"/>
    <w:rsid w:val="0031480E"/>
    <w:rsid w:val="00314AD2"/>
    <w:rsid w:val="00314B38"/>
    <w:rsid w:val="00314BE6"/>
    <w:rsid w:val="00314F21"/>
    <w:rsid w:val="00315310"/>
    <w:rsid w:val="00315782"/>
    <w:rsid w:val="0031586D"/>
    <w:rsid w:val="00315B7F"/>
    <w:rsid w:val="00315D34"/>
    <w:rsid w:val="00316104"/>
    <w:rsid w:val="003161A6"/>
    <w:rsid w:val="0031659E"/>
    <w:rsid w:val="00316BEC"/>
    <w:rsid w:val="00316BF0"/>
    <w:rsid w:val="0031716A"/>
    <w:rsid w:val="00317A7F"/>
    <w:rsid w:val="00317D67"/>
    <w:rsid w:val="00317E12"/>
    <w:rsid w:val="003200DB"/>
    <w:rsid w:val="0032080E"/>
    <w:rsid w:val="003208AE"/>
    <w:rsid w:val="003208DE"/>
    <w:rsid w:val="0032094D"/>
    <w:rsid w:val="00320B70"/>
    <w:rsid w:val="00320B7B"/>
    <w:rsid w:val="00320BA1"/>
    <w:rsid w:val="00320C72"/>
    <w:rsid w:val="00320C80"/>
    <w:rsid w:val="00320DEB"/>
    <w:rsid w:val="00321018"/>
    <w:rsid w:val="003210A0"/>
    <w:rsid w:val="00321646"/>
    <w:rsid w:val="003218BF"/>
    <w:rsid w:val="0032209D"/>
    <w:rsid w:val="003220BA"/>
    <w:rsid w:val="0032223F"/>
    <w:rsid w:val="00322578"/>
    <w:rsid w:val="003225ED"/>
    <w:rsid w:val="003226E9"/>
    <w:rsid w:val="00322A11"/>
    <w:rsid w:val="00322C90"/>
    <w:rsid w:val="00322CAF"/>
    <w:rsid w:val="00322D8F"/>
    <w:rsid w:val="00322E78"/>
    <w:rsid w:val="0032305A"/>
    <w:rsid w:val="00323150"/>
    <w:rsid w:val="00323236"/>
    <w:rsid w:val="003233CE"/>
    <w:rsid w:val="00323595"/>
    <w:rsid w:val="00323A7D"/>
    <w:rsid w:val="00323A8A"/>
    <w:rsid w:val="00323D29"/>
    <w:rsid w:val="00323DDD"/>
    <w:rsid w:val="00323F6C"/>
    <w:rsid w:val="00324219"/>
    <w:rsid w:val="00324220"/>
    <w:rsid w:val="00324444"/>
    <w:rsid w:val="0032451A"/>
    <w:rsid w:val="0032482D"/>
    <w:rsid w:val="00324F6B"/>
    <w:rsid w:val="00325101"/>
    <w:rsid w:val="0032562F"/>
    <w:rsid w:val="00325641"/>
    <w:rsid w:val="00325699"/>
    <w:rsid w:val="003256F1"/>
    <w:rsid w:val="00325D0B"/>
    <w:rsid w:val="00325E41"/>
    <w:rsid w:val="00325E50"/>
    <w:rsid w:val="00325E5B"/>
    <w:rsid w:val="00325EB7"/>
    <w:rsid w:val="00325ED2"/>
    <w:rsid w:val="003261BD"/>
    <w:rsid w:val="00326220"/>
    <w:rsid w:val="00326809"/>
    <w:rsid w:val="003268B5"/>
    <w:rsid w:val="00326934"/>
    <w:rsid w:val="0032696C"/>
    <w:rsid w:val="00326BDB"/>
    <w:rsid w:val="00327364"/>
    <w:rsid w:val="0032773E"/>
    <w:rsid w:val="00327A4F"/>
    <w:rsid w:val="00327B6B"/>
    <w:rsid w:val="00330080"/>
    <w:rsid w:val="0033010C"/>
    <w:rsid w:val="00330119"/>
    <w:rsid w:val="00330683"/>
    <w:rsid w:val="003306E3"/>
    <w:rsid w:val="00330744"/>
    <w:rsid w:val="0033093B"/>
    <w:rsid w:val="00330A80"/>
    <w:rsid w:val="00330D04"/>
    <w:rsid w:val="00330DCB"/>
    <w:rsid w:val="00330E1E"/>
    <w:rsid w:val="00331005"/>
    <w:rsid w:val="0033119D"/>
    <w:rsid w:val="00331225"/>
    <w:rsid w:val="00331242"/>
    <w:rsid w:val="00331877"/>
    <w:rsid w:val="003318FB"/>
    <w:rsid w:val="00331B60"/>
    <w:rsid w:val="00331FBC"/>
    <w:rsid w:val="00332017"/>
    <w:rsid w:val="003320D7"/>
    <w:rsid w:val="00332116"/>
    <w:rsid w:val="00332258"/>
    <w:rsid w:val="00332537"/>
    <w:rsid w:val="003326EB"/>
    <w:rsid w:val="00332714"/>
    <w:rsid w:val="003327CA"/>
    <w:rsid w:val="003328A7"/>
    <w:rsid w:val="00332900"/>
    <w:rsid w:val="003329A7"/>
    <w:rsid w:val="00332B64"/>
    <w:rsid w:val="00333422"/>
    <w:rsid w:val="00333446"/>
    <w:rsid w:val="00333EE5"/>
    <w:rsid w:val="00333EFC"/>
    <w:rsid w:val="003344B1"/>
    <w:rsid w:val="0033467A"/>
    <w:rsid w:val="003347A0"/>
    <w:rsid w:val="00334801"/>
    <w:rsid w:val="003348D4"/>
    <w:rsid w:val="0033498F"/>
    <w:rsid w:val="00334AF8"/>
    <w:rsid w:val="00334AF9"/>
    <w:rsid w:val="00334B3E"/>
    <w:rsid w:val="00334CA1"/>
    <w:rsid w:val="00334F48"/>
    <w:rsid w:val="0033507D"/>
    <w:rsid w:val="003352F1"/>
    <w:rsid w:val="0033553B"/>
    <w:rsid w:val="00335723"/>
    <w:rsid w:val="003358F3"/>
    <w:rsid w:val="00335931"/>
    <w:rsid w:val="00335940"/>
    <w:rsid w:val="0033597E"/>
    <w:rsid w:val="00335BB4"/>
    <w:rsid w:val="00335C10"/>
    <w:rsid w:val="00335DB1"/>
    <w:rsid w:val="0033638B"/>
    <w:rsid w:val="003363FE"/>
    <w:rsid w:val="00336B69"/>
    <w:rsid w:val="00336EA6"/>
    <w:rsid w:val="0033725F"/>
    <w:rsid w:val="00337425"/>
    <w:rsid w:val="003375B9"/>
    <w:rsid w:val="00337672"/>
    <w:rsid w:val="003376DE"/>
    <w:rsid w:val="00337749"/>
    <w:rsid w:val="0033797A"/>
    <w:rsid w:val="00337A63"/>
    <w:rsid w:val="00337CC7"/>
    <w:rsid w:val="00337FBB"/>
    <w:rsid w:val="00337FD0"/>
    <w:rsid w:val="003401D2"/>
    <w:rsid w:val="003401E8"/>
    <w:rsid w:val="00340206"/>
    <w:rsid w:val="003404A4"/>
    <w:rsid w:val="003404DE"/>
    <w:rsid w:val="00340656"/>
    <w:rsid w:val="00340686"/>
    <w:rsid w:val="00340AF5"/>
    <w:rsid w:val="00341057"/>
    <w:rsid w:val="00341112"/>
    <w:rsid w:val="00341249"/>
    <w:rsid w:val="0034176A"/>
    <w:rsid w:val="00341808"/>
    <w:rsid w:val="003419EF"/>
    <w:rsid w:val="00341B97"/>
    <w:rsid w:val="00341C27"/>
    <w:rsid w:val="00341E03"/>
    <w:rsid w:val="00341FB1"/>
    <w:rsid w:val="0034215D"/>
    <w:rsid w:val="00342249"/>
    <w:rsid w:val="00342389"/>
    <w:rsid w:val="003424A6"/>
    <w:rsid w:val="0034252D"/>
    <w:rsid w:val="00342617"/>
    <w:rsid w:val="003426B0"/>
    <w:rsid w:val="00342B58"/>
    <w:rsid w:val="00342C71"/>
    <w:rsid w:val="00342FCC"/>
    <w:rsid w:val="00342FD0"/>
    <w:rsid w:val="00343368"/>
    <w:rsid w:val="003435C3"/>
    <w:rsid w:val="0034361D"/>
    <w:rsid w:val="00343742"/>
    <w:rsid w:val="003437C1"/>
    <w:rsid w:val="00343F8D"/>
    <w:rsid w:val="00343FB5"/>
    <w:rsid w:val="003441E3"/>
    <w:rsid w:val="003444DA"/>
    <w:rsid w:val="0034460F"/>
    <w:rsid w:val="00344767"/>
    <w:rsid w:val="00344794"/>
    <w:rsid w:val="0034484C"/>
    <w:rsid w:val="003449DA"/>
    <w:rsid w:val="00344A06"/>
    <w:rsid w:val="00344B73"/>
    <w:rsid w:val="00344D18"/>
    <w:rsid w:val="00344EA0"/>
    <w:rsid w:val="00344F10"/>
    <w:rsid w:val="00344F43"/>
    <w:rsid w:val="00345124"/>
    <w:rsid w:val="00345209"/>
    <w:rsid w:val="00345334"/>
    <w:rsid w:val="003454D8"/>
    <w:rsid w:val="0034579F"/>
    <w:rsid w:val="00345917"/>
    <w:rsid w:val="00345A2E"/>
    <w:rsid w:val="00345A3D"/>
    <w:rsid w:val="00345B0A"/>
    <w:rsid w:val="00345C63"/>
    <w:rsid w:val="00346400"/>
    <w:rsid w:val="0034661B"/>
    <w:rsid w:val="00346806"/>
    <w:rsid w:val="00346BE3"/>
    <w:rsid w:val="00346E3F"/>
    <w:rsid w:val="00346E7E"/>
    <w:rsid w:val="0034702D"/>
    <w:rsid w:val="0034720A"/>
    <w:rsid w:val="00347320"/>
    <w:rsid w:val="003476A5"/>
    <w:rsid w:val="003477A3"/>
    <w:rsid w:val="00347A8A"/>
    <w:rsid w:val="00347DE5"/>
    <w:rsid w:val="00347E5B"/>
    <w:rsid w:val="00347FDC"/>
    <w:rsid w:val="00350185"/>
    <w:rsid w:val="00350348"/>
    <w:rsid w:val="00350572"/>
    <w:rsid w:val="0035071C"/>
    <w:rsid w:val="0035087F"/>
    <w:rsid w:val="0035098B"/>
    <w:rsid w:val="00350AF7"/>
    <w:rsid w:val="00350DF1"/>
    <w:rsid w:val="003512DE"/>
    <w:rsid w:val="00351382"/>
    <w:rsid w:val="00351578"/>
    <w:rsid w:val="00351682"/>
    <w:rsid w:val="00351833"/>
    <w:rsid w:val="00351FAF"/>
    <w:rsid w:val="0035239E"/>
    <w:rsid w:val="00352811"/>
    <w:rsid w:val="0035294D"/>
    <w:rsid w:val="003529B6"/>
    <w:rsid w:val="00352C15"/>
    <w:rsid w:val="00352D59"/>
    <w:rsid w:val="00353071"/>
    <w:rsid w:val="003532C8"/>
    <w:rsid w:val="00353313"/>
    <w:rsid w:val="00353332"/>
    <w:rsid w:val="0035363A"/>
    <w:rsid w:val="003537B7"/>
    <w:rsid w:val="00353829"/>
    <w:rsid w:val="00353866"/>
    <w:rsid w:val="0035388C"/>
    <w:rsid w:val="00353D32"/>
    <w:rsid w:val="00353DF8"/>
    <w:rsid w:val="00353F2F"/>
    <w:rsid w:val="00354133"/>
    <w:rsid w:val="003543D9"/>
    <w:rsid w:val="003546B4"/>
    <w:rsid w:val="003547C8"/>
    <w:rsid w:val="003547FC"/>
    <w:rsid w:val="003549BB"/>
    <w:rsid w:val="00354C8A"/>
    <w:rsid w:val="00354C92"/>
    <w:rsid w:val="00354DAA"/>
    <w:rsid w:val="00354EC0"/>
    <w:rsid w:val="00354F7E"/>
    <w:rsid w:val="003552F8"/>
    <w:rsid w:val="00355401"/>
    <w:rsid w:val="0035546E"/>
    <w:rsid w:val="003554F9"/>
    <w:rsid w:val="00355607"/>
    <w:rsid w:val="003556DD"/>
    <w:rsid w:val="003557AA"/>
    <w:rsid w:val="003557AB"/>
    <w:rsid w:val="00355B20"/>
    <w:rsid w:val="00356324"/>
    <w:rsid w:val="00356A2E"/>
    <w:rsid w:val="00356BDE"/>
    <w:rsid w:val="00356FD7"/>
    <w:rsid w:val="00357009"/>
    <w:rsid w:val="003571B8"/>
    <w:rsid w:val="003571CD"/>
    <w:rsid w:val="0035764E"/>
    <w:rsid w:val="0035764F"/>
    <w:rsid w:val="00357706"/>
    <w:rsid w:val="00357D49"/>
    <w:rsid w:val="0036065E"/>
    <w:rsid w:val="0036098D"/>
    <w:rsid w:val="00360ACA"/>
    <w:rsid w:val="00360F3D"/>
    <w:rsid w:val="003610C9"/>
    <w:rsid w:val="0036141A"/>
    <w:rsid w:val="003616B2"/>
    <w:rsid w:val="003617E5"/>
    <w:rsid w:val="00361832"/>
    <w:rsid w:val="0036184C"/>
    <w:rsid w:val="00361854"/>
    <w:rsid w:val="00361873"/>
    <w:rsid w:val="00361934"/>
    <w:rsid w:val="00361A39"/>
    <w:rsid w:val="00361A69"/>
    <w:rsid w:val="00361D3F"/>
    <w:rsid w:val="00361E87"/>
    <w:rsid w:val="00361FDD"/>
    <w:rsid w:val="00362042"/>
    <w:rsid w:val="003620A6"/>
    <w:rsid w:val="00362235"/>
    <w:rsid w:val="003622AB"/>
    <w:rsid w:val="0036240D"/>
    <w:rsid w:val="003626EC"/>
    <w:rsid w:val="00362749"/>
    <w:rsid w:val="00362D1F"/>
    <w:rsid w:val="00362DA7"/>
    <w:rsid w:val="00363025"/>
    <w:rsid w:val="003631CB"/>
    <w:rsid w:val="00363564"/>
    <w:rsid w:val="00363677"/>
    <w:rsid w:val="00363779"/>
    <w:rsid w:val="00363A6F"/>
    <w:rsid w:val="00363A73"/>
    <w:rsid w:val="00363CCA"/>
    <w:rsid w:val="00363CE8"/>
    <w:rsid w:val="00363EE7"/>
    <w:rsid w:val="0036402D"/>
    <w:rsid w:val="003640DB"/>
    <w:rsid w:val="00364119"/>
    <w:rsid w:val="00364149"/>
    <w:rsid w:val="00364179"/>
    <w:rsid w:val="003646EF"/>
    <w:rsid w:val="003646F3"/>
    <w:rsid w:val="0036471B"/>
    <w:rsid w:val="00364747"/>
    <w:rsid w:val="00364A62"/>
    <w:rsid w:val="00364CF2"/>
    <w:rsid w:val="00365101"/>
    <w:rsid w:val="00365466"/>
    <w:rsid w:val="00365699"/>
    <w:rsid w:val="003656A4"/>
    <w:rsid w:val="0036581B"/>
    <w:rsid w:val="003658A0"/>
    <w:rsid w:val="003659DF"/>
    <w:rsid w:val="00365A42"/>
    <w:rsid w:val="00365A83"/>
    <w:rsid w:val="00365C20"/>
    <w:rsid w:val="00365C2F"/>
    <w:rsid w:val="00366198"/>
    <w:rsid w:val="003663C9"/>
    <w:rsid w:val="003663E6"/>
    <w:rsid w:val="00366460"/>
    <w:rsid w:val="003664DA"/>
    <w:rsid w:val="003664EA"/>
    <w:rsid w:val="00366507"/>
    <w:rsid w:val="0036662F"/>
    <w:rsid w:val="003666BB"/>
    <w:rsid w:val="00366C86"/>
    <w:rsid w:val="00366C8F"/>
    <w:rsid w:val="003672CF"/>
    <w:rsid w:val="003672E2"/>
    <w:rsid w:val="00367471"/>
    <w:rsid w:val="003674A4"/>
    <w:rsid w:val="00367780"/>
    <w:rsid w:val="00367921"/>
    <w:rsid w:val="00367D9F"/>
    <w:rsid w:val="00367EE9"/>
    <w:rsid w:val="003702F9"/>
    <w:rsid w:val="00370348"/>
    <w:rsid w:val="00370358"/>
    <w:rsid w:val="0037073F"/>
    <w:rsid w:val="003707D1"/>
    <w:rsid w:val="0037085A"/>
    <w:rsid w:val="00370D04"/>
    <w:rsid w:val="00370D2A"/>
    <w:rsid w:val="00370FA3"/>
    <w:rsid w:val="0037100C"/>
    <w:rsid w:val="003710BD"/>
    <w:rsid w:val="00371304"/>
    <w:rsid w:val="0037137F"/>
    <w:rsid w:val="003715AA"/>
    <w:rsid w:val="003715C1"/>
    <w:rsid w:val="00371769"/>
    <w:rsid w:val="003718F9"/>
    <w:rsid w:val="00371B4C"/>
    <w:rsid w:val="0037222B"/>
    <w:rsid w:val="0037223F"/>
    <w:rsid w:val="003723B1"/>
    <w:rsid w:val="003723E0"/>
    <w:rsid w:val="0037251A"/>
    <w:rsid w:val="003726C5"/>
    <w:rsid w:val="0037283B"/>
    <w:rsid w:val="003728D6"/>
    <w:rsid w:val="003728E6"/>
    <w:rsid w:val="00372DE3"/>
    <w:rsid w:val="00372E03"/>
    <w:rsid w:val="00372E30"/>
    <w:rsid w:val="0037308D"/>
    <w:rsid w:val="003732D2"/>
    <w:rsid w:val="003733FE"/>
    <w:rsid w:val="00373637"/>
    <w:rsid w:val="00373939"/>
    <w:rsid w:val="00373A81"/>
    <w:rsid w:val="00373AA5"/>
    <w:rsid w:val="00373D93"/>
    <w:rsid w:val="00374242"/>
    <w:rsid w:val="003745CF"/>
    <w:rsid w:val="003745D9"/>
    <w:rsid w:val="00374BA2"/>
    <w:rsid w:val="00374DB5"/>
    <w:rsid w:val="00375167"/>
    <w:rsid w:val="003751AA"/>
    <w:rsid w:val="00375A04"/>
    <w:rsid w:val="00375B31"/>
    <w:rsid w:val="00375E04"/>
    <w:rsid w:val="00375E7A"/>
    <w:rsid w:val="00376168"/>
    <w:rsid w:val="003762C2"/>
    <w:rsid w:val="003762C4"/>
    <w:rsid w:val="003762FF"/>
    <w:rsid w:val="0037637B"/>
    <w:rsid w:val="00376430"/>
    <w:rsid w:val="00376502"/>
    <w:rsid w:val="00376572"/>
    <w:rsid w:val="00376812"/>
    <w:rsid w:val="0037685A"/>
    <w:rsid w:val="003768C7"/>
    <w:rsid w:val="0037698E"/>
    <w:rsid w:val="003769BA"/>
    <w:rsid w:val="00376ECE"/>
    <w:rsid w:val="003771EE"/>
    <w:rsid w:val="003771F4"/>
    <w:rsid w:val="00377321"/>
    <w:rsid w:val="0037739C"/>
    <w:rsid w:val="00377425"/>
    <w:rsid w:val="003774F7"/>
    <w:rsid w:val="003775AE"/>
    <w:rsid w:val="00377792"/>
    <w:rsid w:val="0037781C"/>
    <w:rsid w:val="00377CEF"/>
    <w:rsid w:val="00377DE5"/>
    <w:rsid w:val="00377F51"/>
    <w:rsid w:val="00377F6D"/>
    <w:rsid w:val="00380038"/>
    <w:rsid w:val="0038013F"/>
    <w:rsid w:val="003802FA"/>
    <w:rsid w:val="00380456"/>
    <w:rsid w:val="0038046B"/>
    <w:rsid w:val="00380532"/>
    <w:rsid w:val="00380850"/>
    <w:rsid w:val="00380901"/>
    <w:rsid w:val="003809FB"/>
    <w:rsid w:val="00380AE3"/>
    <w:rsid w:val="00380C5C"/>
    <w:rsid w:val="00380C9A"/>
    <w:rsid w:val="00380E6A"/>
    <w:rsid w:val="00380F67"/>
    <w:rsid w:val="003811DC"/>
    <w:rsid w:val="003812F2"/>
    <w:rsid w:val="00381E57"/>
    <w:rsid w:val="00381E69"/>
    <w:rsid w:val="00381F69"/>
    <w:rsid w:val="00381F89"/>
    <w:rsid w:val="00382098"/>
    <w:rsid w:val="00382115"/>
    <w:rsid w:val="0038221F"/>
    <w:rsid w:val="0038238B"/>
    <w:rsid w:val="003823C4"/>
    <w:rsid w:val="003826B5"/>
    <w:rsid w:val="0038290D"/>
    <w:rsid w:val="00382948"/>
    <w:rsid w:val="00382C12"/>
    <w:rsid w:val="00382C4C"/>
    <w:rsid w:val="00382F25"/>
    <w:rsid w:val="00383040"/>
    <w:rsid w:val="0038390C"/>
    <w:rsid w:val="003841AB"/>
    <w:rsid w:val="0038421D"/>
    <w:rsid w:val="0038455D"/>
    <w:rsid w:val="003845AD"/>
    <w:rsid w:val="00384783"/>
    <w:rsid w:val="0038483C"/>
    <w:rsid w:val="00384E03"/>
    <w:rsid w:val="00384EB1"/>
    <w:rsid w:val="00384F69"/>
    <w:rsid w:val="00385049"/>
    <w:rsid w:val="0038567D"/>
    <w:rsid w:val="0038575B"/>
    <w:rsid w:val="003857E4"/>
    <w:rsid w:val="00385809"/>
    <w:rsid w:val="0038593B"/>
    <w:rsid w:val="00385A5C"/>
    <w:rsid w:val="00385CA9"/>
    <w:rsid w:val="00385D8C"/>
    <w:rsid w:val="003860BF"/>
    <w:rsid w:val="0038618A"/>
    <w:rsid w:val="0038651D"/>
    <w:rsid w:val="00386520"/>
    <w:rsid w:val="003866F9"/>
    <w:rsid w:val="0038680B"/>
    <w:rsid w:val="0038686C"/>
    <w:rsid w:val="003868F3"/>
    <w:rsid w:val="00386ABB"/>
    <w:rsid w:val="00386C39"/>
    <w:rsid w:val="00386CA0"/>
    <w:rsid w:val="00387276"/>
    <w:rsid w:val="00387303"/>
    <w:rsid w:val="003873C1"/>
    <w:rsid w:val="003876C1"/>
    <w:rsid w:val="003877EF"/>
    <w:rsid w:val="0038785E"/>
    <w:rsid w:val="003879BB"/>
    <w:rsid w:val="00387E11"/>
    <w:rsid w:val="00387FE3"/>
    <w:rsid w:val="00390107"/>
    <w:rsid w:val="00390555"/>
    <w:rsid w:val="0039088E"/>
    <w:rsid w:val="003908DE"/>
    <w:rsid w:val="00390DE0"/>
    <w:rsid w:val="00390ECE"/>
    <w:rsid w:val="003910F2"/>
    <w:rsid w:val="00391762"/>
    <w:rsid w:val="00391891"/>
    <w:rsid w:val="003918E6"/>
    <w:rsid w:val="00391BBC"/>
    <w:rsid w:val="00391D4D"/>
    <w:rsid w:val="00391D52"/>
    <w:rsid w:val="00391DB6"/>
    <w:rsid w:val="00392078"/>
    <w:rsid w:val="003922F8"/>
    <w:rsid w:val="003926AD"/>
    <w:rsid w:val="0039284C"/>
    <w:rsid w:val="0039292D"/>
    <w:rsid w:val="0039299A"/>
    <w:rsid w:val="00392A50"/>
    <w:rsid w:val="00392A9C"/>
    <w:rsid w:val="00392BAB"/>
    <w:rsid w:val="00392C0F"/>
    <w:rsid w:val="00392E22"/>
    <w:rsid w:val="00393136"/>
    <w:rsid w:val="003931B8"/>
    <w:rsid w:val="00393589"/>
    <w:rsid w:val="003938D2"/>
    <w:rsid w:val="00393A84"/>
    <w:rsid w:val="00393B1C"/>
    <w:rsid w:val="00393B82"/>
    <w:rsid w:val="00393FD5"/>
    <w:rsid w:val="00394169"/>
    <w:rsid w:val="00394439"/>
    <w:rsid w:val="003947C6"/>
    <w:rsid w:val="00394976"/>
    <w:rsid w:val="00394E60"/>
    <w:rsid w:val="00394F28"/>
    <w:rsid w:val="00394FE8"/>
    <w:rsid w:val="0039503D"/>
    <w:rsid w:val="00395176"/>
    <w:rsid w:val="003953AF"/>
    <w:rsid w:val="003954C2"/>
    <w:rsid w:val="00395580"/>
    <w:rsid w:val="0039575B"/>
    <w:rsid w:val="003957F9"/>
    <w:rsid w:val="00395869"/>
    <w:rsid w:val="00395881"/>
    <w:rsid w:val="00395AA0"/>
    <w:rsid w:val="00395B2E"/>
    <w:rsid w:val="00395F54"/>
    <w:rsid w:val="00396066"/>
    <w:rsid w:val="003961FA"/>
    <w:rsid w:val="0039638B"/>
    <w:rsid w:val="00396614"/>
    <w:rsid w:val="003966AA"/>
    <w:rsid w:val="003967EC"/>
    <w:rsid w:val="003968EB"/>
    <w:rsid w:val="0039692F"/>
    <w:rsid w:val="00396A89"/>
    <w:rsid w:val="00396C36"/>
    <w:rsid w:val="00396D39"/>
    <w:rsid w:val="00396E30"/>
    <w:rsid w:val="00396EDA"/>
    <w:rsid w:val="00396FE7"/>
    <w:rsid w:val="0039719D"/>
    <w:rsid w:val="00397293"/>
    <w:rsid w:val="00397476"/>
    <w:rsid w:val="00397502"/>
    <w:rsid w:val="003975E9"/>
    <w:rsid w:val="0039772D"/>
    <w:rsid w:val="00397A21"/>
    <w:rsid w:val="00397B32"/>
    <w:rsid w:val="00397D3E"/>
    <w:rsid w:val="00397E67"/>
    <w:rsid w:val="00397F13"/>
    <w:rsid w:val="003A007C"/>
    <w:rsid w:val="003A02D3"/>
    <w:rsid w:val="003A02ED"/>
    <w:rsid w:val="003A0313"/>
    <w:rsid w:val="003A09BC"/>
    <w:rsid w:val="003A0BBA"/>
    <w:rsid w:val="003A0C10"/>
    <w:rsid w:val="003A0EA7"/>
    <w:rsid w:val="003A1174"/>
    <w:rsid w:val="003A12B0"/>
    <w:rsid w:val="003A1332"/>
    <w:rsid w:val="003A1538"/>
    <w:rsid w:val="003A1667"/>
    <w:rsid w:val="003A1767"/>
    <w:rsid w:val="003A1A7C"/>
    <w:rsid w:val="003A1B63"/>
    <w:rsid w:val="003A1BB7"/>
    <w:rsid w:val="003A200B"/>
    <w:rsid w:val="003A218B"/>
    <w:rsid w:val="003A2199"/>
    <w:rsid w:val="003A221A"/>
    <w:rsid w:val="003A2443"/>
    <w:rsid w:val="003A281E"/>
    <w:rsid w:val="003A283A"/>
    <w:rsid w:val="003A29A7"/>
    <w:rsid w:val="003A2B46"/>
    <w:rsid w:val="003A2D08"/>
    <w:rsid w:val="003A2F00"/>
    <w:rsid w:val="003A31BE"/>
    <w:rsid w:val="003A33D0"/>
    <w:rsid w:val="003A349E"/>
    <w:rsid w:val="003A363C"/>
    <w:rsid w:val="003A3799"/>
    <w:rsid w:val="003A38AE"/>
    <w:rsid w:val="003A39DD"/>
    <w:rsid w:val="003A3CBB"/>
    <w:rsid w:val="003A3CD0"/>
    <w:rsid w:val="003A3E2C"/>
    <w:rsid w:val="003A3E8B"/>
    <w:rsid w:val="003A3F74"/>
    <w:rsid w:val="003A41E0"/>
    <w:rsid w:val="003A47A4"/>
    <w:rsid w:val="003A49C5"/>
    <w:rsid w:val="003A4E88"/>
    <w:rsid w:val="003A4F08"/>
    <w:rsid w:val="003A5208"/>
    <w:rsid w:val="003A526A"/>
    <w:rsid w:val="003A54BA"/>
    <w:rsid w:val="003A5897"/>
    <w:rsid w:val="003A58A5"/>
    <w:rsid w:val="003A5CB0"/>
    <w:rsid w:val="003A5CBF"/>
    <w:rsid w:val="003A5FD1"/>
    <w:rsid w:val="003A6019"/>
    <w:rsid w:val="003A62A4"/>
    <w:rsid w:val="003A6304"/>
    <w:rsid w:val="003A64F8"/>
    <w:rsid w:val="003A6830"/>
    <w:rsid w:val="003A6CD5"/>
    <w:rsid w:val="003A6D55"/>
    <w:rsid w:val="003A6E5C"/>
    <w:rsid w:val="003A70AE"/>
    <w:rsid w:val="003A7129"/>
    <w:rsid w:val="003A73FE"/>
    <w:rsid w:val="003A742D"/>
    <w:rsid w:val="003A7927"/>
    <w:rsid w:val="003A79B2"/>
    <w:rsid w:val="003A7BCB"/>
    <w:rsid w:val="003A7D4E"/>
    <w:rsid w:val="003A7D87"/>
    <w:rsid w:val="003B0081"/>
    <w:rsid w:val="003B0A03"/>
    <w:rsid w:val="003B0AAE"/>
    <w:rsid w:val="003B0C92"/>
    <w:rsid w:val="003B0CD8"/>
    <w:rsid w:val="003B0EFA"/>
    <w:rsid w:val="003B124F"/>
    <w:rsid w:val="003B15B3"/>
    <w:rsid w:val="003B16E0"/>
    <w:rsid w:val="003B1904"/>
    <w:rsid w:val="003B1B8F"/>
    <w:rsid w:val="003B1D5F"/>
    <w:rsid w:val="003B1EDE"/>
    <w:rsid w:val="003B21A8"/>
    <w:rsid w:val="003B2208"/>
    <w:rsid w:val="003B222D"/>
    <w:rsid w:val="003B23A3"/>
    <w:rsid w:val="003B23DC"/>
    <w:rsid w:val="003B24A2"/>
    <w:rsid w:val="003B265D"/>
    <w:rsid w:val="003B266C"/>
    <w:rsid w:val="003B26CF"/>
    <w:rsid w:val="003B28B1"/>
    <w:rsid w:val="003B29B1"/>
    <w:rsid w:val="003B2CEC"/>
    <w:rsid w:val="003B36BD"/>
    <w:rsid w:val="003B384E"/>
    <w:rsid w:val="003B3916"/>
    <w:rsid w:val="003B3BAA"/>
    <w:rsid w:val="003B3BC6"/>
    <w:rsid w:val="003B3C90"/>
    <w:rsid w:val="003B4012"/>
    <w:rsid w:val="003B407B"/>
    <w:rsid w:val="003B40D8"/>
    <w:rsid w:val="003B426C"/>
    <w:rsid w:val="003B435F"/>
    <w:rsid w:val="003B458C"/>
    <w:rsid w:val="003B4720"/>
    <w:rsid w:val="003B480B"/>
    <w:rsid w:val="003B4848"/>
    <w:rsid w:val="003B48A2"/>
    <w:rsid w:val="003B4A4C"/>
    <w:rsid w:val="003B4CAE"/>
    <w:rsid w:val="003B4E0A"/>
    <w:rsid w:val="003B4FDB"/>
    <w:rsid w:val="003B4FF6"/>
    <w:rsid w:val="003B501D"/>
    <w:rsid w:val="003B51BF"/>
    <w:rsid w:val="003B52F3"/>
    <w:rsid w:val="003B5441"/>
    <w:rsid w:val="003B55DC"/>
    <w:rsid w:val="003B560A"/>
    <w:rsid w:val="003B5724"/>
    <w:rsid w:val="003B5B10"/>
    <w:rsid w:val="003B5D09"/>
    <w:rsid w:val="003B5D6A"/>
    <w:rsid w:val="003B6221"/>
    <w:rsid w:val="003B631A"/>
    <w:rsid w:val="003B671D"/>
    <w:rsid w:val="003B6785"/>
    <w:rsid w:val="003B682F"/>
    <w:rsid w:val="003B692F"/>
    <w:rsid w:val="003B697B"/>
    <w:rsid w:val="003B6BA6"/>
    <w:rsid w:val="003B6CB5"/>
    <w:rsid w:val="003B6D4E"/>
    <w:rsid w:val="003B6EE9"/>
    <w:rsid w:val="003B6F8A"/>
    <w:rsid w:val="003B770D"/>
    <w:rsid w:val="003B7AD3"/>
    <w:rsid w:val="003B7F94"/>
    <w:rsid w:val="003C00C5"/>
    <w:rsid w:val="003C023B"/>
    <w:rsid w:val="003C0397"/>
    <w:rsid w:val="003C0517"/>
    <w:rsid w:val="003C0786"/>
    <w:rsid w:val="003C08FC"/>
    <w:rsid w:val="003C0C4B"/>
    <w:rsid w:val="003C0FA4"/>
    <w:rsid w:val="003C1059"/>
    <w:rsid w:val="003C1126"/>
    <w:rsid w:val="003C1144"/>
    <w:rsid w:val="003C14F3"/>
    <w:rsid w:val="003C1B01"/>
    <w:rsid w:val="003C1B7B"/>
    <w:rsid w:val="003C1BD2"/>
    <w:rsid w:val="003C217F"/>
    <w:rsid w:val="003C2209"/>
    <w:rsid w:val="003C2389"/>
    <w:rsid w:val="003C23FA"/>
    <w:rsid w:val="003C2502"/>
    <w:rsid w:val="003C25DF"/>
    <w:rsid w:val="003C2B4E"/>
    <w:rsid w:val="003C2B91"/>
    <w:rsid w:val="003C2F1A"/>
    <w:rsid w:val="003C312E"/>
    <w:rsid w:val="003C32DE"/>
    <w:rsid w:val="003C32FC"/>
    <w:rsid w:val="003C3487"/>
    <w:rsid w:val="003C3781"/>
    <w:rsid w:val="003C3843"/>
    <w:rsid w:val="003C3B81"/>
    <w:rsid w:val="003C3D87"/>
    <w:rsid w:val="003C44E7"/>
    <w:rsid w:val="003C4855"/>
    <w:rsid w:val="003C495A"/>
    <w:rsid w:val="003C495F"/>
    <w:rsid w:val="003C4E10"/>
    <w:rsid w:val="003C52D5"/>
    <w:rsid w:val="003C55A6"/>
    <w:rsid w:val="003C5652"/>
    <w:rsid w:val="003C56C1"/>
    <w:rsid w:val="003C56EB"/>
    <w:rsid w:val="003C595C"/>
    <w:rsid w:val="003C5A7E"/>
    <w:rsid w:val="003C5ACB"/>
    <w:rsid w:val="003C5C1E"/>
    <w:rsid w:val="003C5C26"/>
    <w:rsid w:val="003C6016"/>
    <w:rsid w:val="003C60E9"/>
    <w:rsid w:val="003C610C"/>
    <w:rsid w:val="003C6170"/>
    <w:rsid w:val="003C61A1"/>
    <w:rsid w:val="003C62CF"/>
    <w:rsid w:val="003C647C"/>
    <w:rsid w:val="003C65B4"/>
    <w:rsid w:val="003C685E"/>
    <w:rsid w:val="003C6983"/>
    <w:rsid w:val="003C699E"/>
    <w:rsid w:val="003C6BA1"/>
    <w:rsid w:val="003C6C46"/>
    <w:rsid w:val="003C6E95"/>
    <w:rsid w:val="003C6EDE"/>
    <w:rsid w:val="003C6F9D"/>
    <w:rsid w:val="003C6F9E"/>
    <w:rsid w:val="003C71F3"/>
    <w:rsid w:val="003C73A4"/>
    <w:rsid w:val="003C76DE"/>
    <w:rsid w:val="003C76E9"/>
    <w:rsid w:val="003C788A"/>
    <w:rsid w:val="003C79C8"/>
    <w:rsid w:val="003C7C00"/>
    <w:rsid w:val="003C7C1A"/>
    <w:rsid w:val="003C7D44"/>
    <w:rsid w:val="003D04DE"/>
    <w:rsid w:val="003D0666"/>
    <w:rsid w:val="003D06E9"/>
    <w:rsid w:val="003D0920"/>
    <w:rsid w:val="003D0C79"/>
    <w:rsid w:val="003D0CB8"/>
    <w:rsid w:val="003D0F59"/>
    <w:rsid w:val="003D1016"/>
    <w:rsid w:val="003D1203"/>
    <w:rsid w:val="003D13C7"/>
    <w:rsid w:val="003D156F"/>
    <w:rsid w:val="003D167D"/>
    <w:rsid w:val="003D16D8"/>
    <w:rsid w:val="003D16FA"/>
    <w:rsid w:val="003D1831"/>
    <w:rsid w:val="003D1C07"/>
    <w:rsid w:val="003D1E3E"/>
    <w:rsid w:val="003D2027"/>
    <w:rsid w:val="003D2185"/>
    <w:rsid w:val="003D2498"/>
    <w:rsid w:val="003D25EF"/>
    <w:rsid w:val="003D26E6"/>
    <w:rsid w:val="003D2718"/>
    <w:rsid w:val="003D291C"/>
    <w:rsid w:val="003D2AE0"/>
    <w:rsid w:val="003D2B80"/>
    <w:rsid w:val="003D2C2D"/>
    <w:rsid w:val="003D2D02"/>
    <w:rsid w:val="003D2D2A"/>
    <w:rsid w:val="003D2D53"/>
    <w:rsid w:val="003D2D94"/>
    <w:rsid w:val="003D2ECF"/>
    <w:rsid w:val="003D2F71"/>
    <w:rsid w:val="003D30C9"/>
    <w:rsid w:val="003D31C7"/>
    <w:rsid w:val="003D3261"/>
    <w:rsid w:val="003D32F3"/>
    <w:rsid w:val="003D330A"/>
    <w:rsid w:val="003D3495"/>
    <w:rsid w:val="003D3585"/>
    <w:rsid w:val="003D3699"/>
    <w:rsid w:val="003D385C"/>
    <w:rsid w:val="003D3878"/>
    <w:rsid w:val="003D39C8"/>
    <w:rsid w:val="003D3B02"/>
    <w:rsid w:val="003D3BE8"/>
    <w:rsid w:val="003D3D4F"/>
    <w:rsid w:val="003D3F86"/>
    <w:rsid w:val="003D4453"/>
    <w:rsid w:val="003D467E"/>
    <w:rsid w:val="003D47D8"/>
    <w:rsid w:val="003D4AAF"/>
    <w:rsid w:val="003D4E5A"/>
    <w:rsid w:val="003D4FC9"/>
    <w:rsid w:val="003D50C7"/>
    <w:rsid w:val="003D51A1"/>
    <w:rsid w:val="003D52FD"/>
    <w:rsid w:val="003D543B"/>
    <w:rsid w:val="003D5536"/>
    <w:rsid w:val="003D57C8"/>
    <w:rsid w:val="003D59C2"/>
    <w:rsid w:val="003D5D20"/>
    <w:rsid w:val="003D5F85"/>
    <w:rsid w:val="003D6007"/>
    <w:rsid w:val="003D6079"/>
    <w:rsid w:val="003D61D9"/>
    <w:rsid w:val="003D62D0"/>
    <w:rsid w:val="003D63B4"/>
    <w:rsid w:val="003D66FD"/>
    <w:rsid w:val="003D6708"/>
    <w:rsid w:val="003D6757"/>
    <w:rsid w:val="003D69FC"/>
    <w:rsid w:val="003D6B0A"/>
    <w:rsid w:val="003D6E2F"/>
    <w:rsid w:val="003D6F26"/>
    <w:rsid w:val="003D72EB"/>
    <w:rsid w:val="003D7487"/>
    <w:rsid w:val="003D763B"/>
    <w:rsid w:val="003D77E5"/>
    <w:rsid w:val="003D7998"/>
    <w:rsid w:val="003D79EA"/>
    <w:rsid w:val="003D7D06"/>
    <w:rsid w:val="003D7DC7"/>
    <w:rsid w:val="003E015C"/>
    <w:rsid w:val="003E06D6"/>
    <w:rsid w:val="003E0A4F"/>
    <w:rsid w:val="003E0A8B"/>
    <w:rsid w:val="003E0C83"/>
    <w:rsid w:val="003E0E79"/>
    <w:rsid w:val="003E0FE8"/>
    <w:rsid w:val="003E113C"/>
    <w:rsid w:val="003E12D3"/>
    <w:rsid w:val="003E1369"/>
    <w:rsid w:val="003E14D3"/>
    <w:rsid w:val="003E18ED"/>
    <w:rsid w:val="003E192E"/>
    <w:rsid w:val="003E1B33"/>
    <w:rsid w:val="003E1C1B"/>
    <w:rsid w:val="003E1C55"/>
    <w:rsid w:val="003E1DA8"/>
    <w:rsid w:val="003E1EBF"/>
    <w:rsid w:val="003E1F48"/>
    <w:rsid w:val="003E2359"/>
    <w:rsid w:val="003E2425"/>
    <w:rsid w:val="003E25DB"/>
    <w:rsid w:val="003E26D2"/>
    <w:rsid w:val="003E2907"/>
    <w:rsid w:val="003E2CCA"/>
    <w:rsid w:val="003E2CE8"/>
    <w:rsid w:val="003E2F59"/>
    <w:rsid w:val="003E30CB"/>
    <w:rsid w:val="003E321D"/>
    <w:rsid w:val="003E3223"/>
    <w:rsid w:val="003E32FF"/>
    <w:rsid w:val="003E3562"/>
    <w:rsid w:val="003E3827"/>
    <w:rsid w:val="003E3C84"/>
    <w:rsid w:val="003E3CD0"/>
    <w:rsid w:val="003E3F69"/>
    <w:rsid w:val="003E3F7D"/>
    <w:rsid w:val="003E479D"/>
    <w:rsid w:val="003E48B1"/>
    <w:rsid w:val="003E4932"/>
    <w:rsid w:val="003E4AB2"/>
    <w:rsid w:val="003E4BB7"/>
    <w:rsid w:val="003E4E1C"/>
    <w:rsid w:val="003E4E39"/>
    <w:rsid w:val="003E5523"/>
    <w:rsid w:val="003E552F"/>
    <w:rsid w:val="003E564A"/>
    <w:rsid w:val="003E57A6"/>
    <w:rsid w:val="003E5A02"/>
    <w:rsid w:val="003E5B29"/>
    <w:rsid w:val="003E600D"/>
    <w:rsid w:val="003E61FD"/>
    <w:rsid w:val="003E6205"/>
    <w:rsid w:val="003E627A"/>
    <w:rsid w:val="003E62EE"/>
    <w:rsid w:val="003E674C"/>
    <w:rsid w:val="003E68B3"/>
    <w:rsid w:val="003E6913"/>
    <w:rsid w:val="003E6942"/>
    <w:rsid w:val="003E6D10"/>
    <w:rsid w:val="003E6EB3"/>
    <w:rsid w:val="003E7102"/>
    <w:rsid w:val="003E7319"/>
    <w:rsid w:val="003E7478"/>
    <w:rsid w:val="003E7552"/>
    <w:rsid w:val="003E775A"/>
    <w:rsid w:val="003E7763"/>
    <w:rsid w:val="003E79FF"/>
    <w:rsid w:val="003E7C01"/>
    <w:rsid w:val="003E7C91"/>
    <w:rsid w:val="003E7D93"/>
    <w:rsid w:val="003E7F30"/>
    <w:rsid w:val="003E7F7D"/>
    <w:rsid w:val="003F017B"/>
    <w:rsid w:val="003F0270"/>
    <w:rsid w:val="003F031A"/>
    <w:rsid w:val="003F0465"/>
    <w:rsid w:val="003F0A2F"/>
    <w:rsid w:val="003F0A87"/>
    <w:rsid w:val="003F0C78"/>
    <w:rsid w:val="003F0CEB"/>
    <w:rsid w:val="003F0D3D"/>
    <w:rsid w:val="003F0D70"/>
    <w:rsid w:val="003F0E78"/>
    <w:rsid w:val="003F0EAB"/>
    <w:rsid w:val="003F108F"/>
    <w:rsid w:val="003F1A2C"/>
    <w:rsid w:val="003F1A2F"/>
    <w:rsid w:val="003F1F99"/>
    <w:rsid w:val="003F2005"/>
    <w:rsid w:val="003F2126"/>
    <w:rsid w:val="003F2286"/>
    <w:rsid w:val="003F2369"/>
    <w:rsid w:val="003F2853"/>
    <w:rsid w:val="003F2BD3"/>
    <w:rsid w:val="003F2F9E"/>
    <w:rsid w:val="003F3095"/>
    <w:rsid w:val="003F31AC"/>
    <w:rsid w:val="003F31FD"/>
    <w:rsid w:val="003F33F0"/>
    <w:rsid w:val="003F3446"/>
    <w:rsid w:val="003F34AE"/>
    <w:rsid w:val="003F3631"/>
    <w:rsid w:val="003F37A7"/>
    <w:rsid w:val="003F391B"/>
    <w:rsid w:val="003F3AB0"/>
    <w:rsid w:val="003F3C60"/>
    <w:rsid w:val="003F3EF9"/>
    <w:rsid w:val="003F3EFE"/>
    <w:rsid w:val="003F3F04"/>
    <w:rsid w:val="003F431E"/>
    <w:rsid w:val="003F43ED"/>
    <w:rsid w:val="003F48BD"/>
    <w:rsid w:val="003F4E4A"/>
    <w:rsid w:val="003F5138"/>
    <w:rsid w:val="003F5272"/>
    <w:rsid w:val="003F52FE"/>
    <w:rsid w:val="003F5801"/>
    <w:rsid w:val="003F59E7"/>
    <w:rsid w:val="003F5A36"/>
    <w:rsid w:val="003F5CCA"/>
    <w:rsid w:val="003F6081"/>
    <w:rsid w:val="003F6347"/>
    <w:rsid w:val="003F642E"/>
    <w:rsid w:val="003F6D84"/>
    <w:rsid w:val="003F74A4"/>
    <w:rsid w:val="003F751D"/>
    <w:rsid w:val="003F7618"/>
    <w:rsid w:val="003F79FB"/>
    <w:rsid w:val="003F7EF2"/>
    <w:rsid w:val="00400353"/>
    <w:rsid w:val="004003A1"/>
    <w:rsid w:val="00400534"/>
    <w:rsid w:val="004006A4"/>
    <w:rsid w:val="0040075F"/>
    <w:rsid w:val="00400852"/>
    <w:rsid w:val="00400923"/>
    <w:rsid w:val="00400A0D"/>
    <w:rsid w:val="00400BB0"/>
    <w:rsid w:val="00401408"/>
    <w:rsid w:val="004014AB"/>
    <w:rsid w:val="00401804"/>
    <w:rsid w:val="00401C09"/>
    <w:rsid w:val="00401CDC"/>
    <w:rsid w:val="00401D82"/>
    <w:rsid w:val="00401DE1"/>
    <w:rsid w:val="00401F43"/>
    <w:rsid w:val="0040206C"/>
    <w:rsid w:val="004022D3"/>
    <w:rsid w:val="00402317"/>
    <w:rsid w:val="0040236B"/>
    <w:rsid w:val="004027B7"/>
    <w:rsid w:val="004027FA"/>
    <w:rsid w:val="00402968"/>
    <w:rsid w:val="004033BF"/>
    <w:rsid w:val="00403666"/>
    <w:rsid w:val="0040374F"/>
    <w:rsid w:val="004038AE"/>
    <w:rsid w:val="004038D3"/>
    <w:rsid w:val="00403921"/>
    <w:rsid w:val="004039F2"/>
    <w:rsid w:val="00403A56"/>
    <w:rsid w:val="00403DEF"/>
    <w:rsid w:val="00403F2E"/>
    <w:rsid w:val="0040416F"/>
    <w:rsid w:val="00404260"/>
    <w:rsid w:val="0040435D"/>
    <w:rsid w:val="00404471"/>
    <w:rsid w:val="00404CBD"/>
    <w:rsid w:val="00404D31"/>
    <w:rsid w:val="00404EBC"/>
    <w:rsid w:val="00404FFA"/>
    <w:rsid w:val="0040590D"/>
    <w:rsid w:val="0040590E"/>
    <w:rsid w:val="00405BA3"/>
    <w:rsid w:val="00405D43"/>
    <w:rsid w:val="00405F8A"/>
    <w:rsid w:val="004063C1"/>
    <w:rsid w:val="00406419"/>
    <w:rsid w:val="00406527"/>
    <w:rsid w:val="00406536"/>
    <w:rsid w:val="00406AE7"/>
    <w:rsid w:val="00406B8F"/>
    <w:rsid w:val="00406D3A"/>
    <w:rsid w:val="00406D50"/>
    <w:rsid w:val="00406EE0"/>
    <w:rsid w:val="004071F1"/>
    <w:rsid w:val="00407709"/>
    <w:rsid w:val="00407771"/>
    <w:rsid w:val="004079BA"/>
    <w:rsid w:val="00407B8D"/>
    <w:rsid w:val="00407D0C"/>
    <w:rsid w:val="00407D57"/>
    <w:rsid w:val="00407E70"/>
    <w:rsid w:val="00407FAA"/>
    <w:rsid w:val="0040D363"/>
    <w:rsid w:val="0041007D"/>
    <w:rsid w:val="0041080C"/>
    <w:rsid w:val="00410811"/>
    <w:rsid w:val="0041086D"/>
    <w:rsid w:val="00410F3D"/>
    <w:rsid w:val="00411082"/>
    <w:rsid w:val="0041110C"/>
    <w:rsid w:val="00411399"/>
    <w:rsid w:val="0041149F"/>
    <w:rsid w:val="00411553"/>
    <w:rsid w:val="004119D9"/>
    <w:rsid w:val="00411CC9"/>
    <w:rsid w:val="004121A5"/>
    <w:rsid w:val="004121DC"/>
    <w:rsid w:val="00412241"/>
    <w:rsid w:val="00412844"/>
    <w:rsid w:val="00412C1C"/>
    <w:rsid w:val="00412EC5"/>
    <w:rsid w:val="00413093"/>
    <w:rsid w:val="004131B6"/>
    <w:rsid w:val="004132AF"/>
    <w:rsid w:val="00413365"/>
    <w:rsid w:val="00413516"/>
    <w:rsid w:val="00413532"/>
    <w:rsid w:val="004136E1"/>
    <w:rsid w:val="00413848"/>
    <w:rsid w:val="00413F83"/>
    <w:rsid w:val="00413F99"/>
    <w:rsid w:val="0041466D"/>
    <w:rsid w:val="004147E7"/>
    <w:rsid w:val="0041488E"/>
    <w:rsid w:val="00414ADA"/>
    <w:rsid w:val="00414D97"/>
    <w:rsid w:val="0041502E"/>
    <w:rsid w:val="00415044"/>
    <w:rsid w:val="0041521F"/>
    <w:rsid w:val="004152C7"/>
    <w:rsid w:val="004153FD"/>
    <w:rsid w:val="00415617"/>
    <w:rsid w:val="0041588E"/>
    <w:rsid w:val="0041588F"/>
    <w:rsid w:val="004158A1"/>
    <w:rsid w:val="004158ED"/>
    <w:rsid w:val="00415C12"/>
    <w:rsid w:val="00415D67"/>
    <w:rsid w:val="004160EE"/>
    <w:rsid w:val="00416500"/>
    <w:rsid w:val="00416688"/>
    <w:rsid w:val="004166ED"/>
    <w:rsid w:val="00417164"/>
    <w:rsid w:val="004171A8"/>
    <w:rsid w:val="004171EB"/>
    <w:rsid w:val="0041764D"/>
    <w:rsid w:val="0041781C"/>
    <w:rsid w:val="00417A07"/>
    <w:rsid w:val="00417D76"/>
    <w:rsid w:val="00417DC0"/>
    <w:rsid w:val="00417E48"/>
    <w:rsid w:val="00417E4A"/>
    <w:rsid w:val="004201C5"/>
    <w:rsid w:val="00420579"/>
    <w:rsid w:val="00420582"/>
    <w:rsid w:val="0042058C"/>
    <w:rsid w:val="00420AF0"/>
    <w:rsid w:val="00420B1F"/>
    <w:rsid w:val="00420BCA"/>
    <w:rsid w:val="00420D6D"/>
    <w:rsid w:val="0042133A"/>
    <w:rsid w:val="00421357"/>
    <w:rsid w:val="0042143C"/>
    <w:rsid w:val="004216AE"/>
    <w:rsid w:val="00421B5B"/>
    <w:rsid w:val="00421D8C"/>
    <w:rsid w:val="00421DCF"/>
    <w:rsid w:val="00421FA5"/>
    <w:rsid w:val="0042210A"/>
    <w:rsid w:val="004221BC"/>
    <w:rsid w:val="004221CE"/>
    <w:rsid w:val="004222FF"/>
    <w:rsid w:val="004224D3"/>
    <w:rsid w:val="004228F8"/>
    <w:rsid w:val="0042290C"/>
    <w:rsid w:val="004229E5"/>
    <w:rsid w:val="00422EB9"/>
    <w:rsid w:val="00422FB3"/>
    <w:rsid w:val="00422FEF"/>
    <w:rsid w:val="0042322A"/>
    <w:rsid w:val="004232CB"/>
    <w:rsid w:val="00423420"/>
    <w:rsid w:val="0042356A"/>
    <w:rsid w:val="004238F9"/>
    <w:rsid w:val="00423933"/>
    <w:rsid w:val="00424385"/>
    <w:rsid w:val="00424478"/>
    <w:rsid w:val="004246B0"/>
    <w:rsid w:val="004246DF"/>
    <w:rsid w:val="004248B9"/>
    <w:rsid w:val="00424A06"/>
    <w:rsid w:val="00424A11"/>
    <w:rsid w:val="00424A1B"/>
    <w:rsid w:val="00424F94"/>
    <w:rsid w:val="004255E7"/>
    <w:rsid w:val="0042581D"/>
    <w:rsid w:val="00425DF2"/>
    <w:rsid w:val="00425E37"/>
    <w:rsid w:val="00425E58"/>
    <w:rsid w:val="00425F94"/>
    <w:rsid w:val="00425FD3"/>
    <w:rsid w:val="004260DC"/>
    <w:rsid w:val="00426297"/>
    <w:rsid w:val="004266D2"/>
    <w:rsid w:val="0042684F"/>
    <w:rsid w:val="00426872"/>
    <w:rsid w:val="0042696C"/>
    <w:rsid w:val="00426D9F"/>
    <w:rsid w:val="00426EEA"/>
    <w:rsid w:val="00426F57"/>
    <w:rsid w:val="00426FBA"/>
    <w:rsid w:val="00427619"/>
    <w:rsid w:val="004278CD"/>
    <w:rsid w:val="00427AEE"/>
    <w:rsid w:val="00427B57"/>
    <w:rsid w:val="00427DF9"/>
    <w:rsid w:val="00427EB7"/>
    <w:rsid w:val="004301E9"/>
    <w:rsid w:val="0043042B"/>
    <w:rsid w:val="0043070B"/>
    <w:rsid w:val="00430A95"/>
    <w:rsid w:val="00430AA5"/>
    <w:rsid w:val="00430B78"/>
    <w:rsid w:val="00430E21"/>
    <w:rsid w:val="00430E9A"/>
    <w:rsid w:val="00431137"/>
    <w:rsid w:val="004311BE"/>
    <w:rsid w:val="0043140A"/>
    <w:rsid w:val="004315B8"/>
    <w:rsid w:val="00431635"/>
    <w:rsid w:val="00431AA4"/>
    <w:rsid w:val="004323DE"/>
    <w:rsid w:val="0043249C"/>
    <w:rsid w:val="00432541"/>
    <w:rsid w:val="00432676"/>
    <w:rsid w:val="00432A9D"/>
    <w:rsid w:val="00432EC3"/>
    <w:rsid w:val="00432F5A"/>
    <w:rsid w:val="00433374"/>
    <w:rsid w:val="004335AA"/>
    <w:rsid w:val="004335DD"/>
    <w:rsid w:val="00433623"/>
    <w:rsid w:val="00433746"/>
    <w:rsid w:val="0043376A"/>
    <w:rsid w:val="00433BBF"/>
    <w:rsid w:val="00433D34"/>
    <w:rsid w:val="00433FD6"/>
    <w:rsid w:val="0043403B"/>
    <w:rsid w:val="0043427C"/>
    <w:rsid w:val="0043429E"/>
    <w:rsid w:val="0043449F"/>
    <w:rsid w:val="004347BB"/>
    <w:rsid w:val="004349D1"/>
    <w:rsid w:val="00434C0C"/>
    <w:rsid w:val="00434D23"/>
    <w:rsid w:val="00434DC9"/>
    <w:rsid w:val="00434DD6"/>
    <w:rsid w:val="00434DDA"/>
    <w:rsid w:val="00434E67"/>
    <w:rsid w:val="0043539C"/>
    <w:rsid w:val="0043557A"/>
    <w:rsid w:val="0043564E"/>
    <w:rsid w:val="0043565C"/>
    <w:rsid w:val="00435AE6"/>
    <w:rsid w:val="00435FC5"/>
    <w:rsid w:val="004360E3"/>
    <w:rsid w:val="0043611D"/>
    <w:rsid w:val="00436154"/>
    <w:rsid w:val="00436256"/>
    <w:rsid w:val="00436512"/>
    <w:rsid w:val="0043672F"/>
    <w:rsid w:val="00436761"/>
    <w:rsid w:val="00436899"/>
    <w:rsid w:val="00436C05"/>
    <w:rsid w:val="00436D90"/>
    <w:rsid w:val="00436EDC"/>
    <w:rsid w:val="004372FC"/>
    <w:rsid w:val="0043732B"/>
    <w:rsid w:val="00437512"/>
    <w:rsid w:val="00437EB2"/>
    <w:rsid w:val="004401F7"/>
    <w:rsid w:val="0044065D"/>
    <w:rsid w:val="004406CD"/>
    <w:rsid w:val="004407C2"/>
    <w:rsid w:val="004408E5"/>
    <w:rsid w:val="00440985"/>
    <w:rsid w:val="00440A83"/>
    <w:rsid w:val="00440B71"/>
    <w:rsid w:val="00441009"/>
    <w:rsid w:val="004412A5"/>
    <w:rsid w:val="00441414"/>
    <w:rsid w:val="00441506"/>
    <w:rsid w:val="004415F5"/>
    <w:rsid w:val="00441A52"/>
    <w:rsid w:val="00441ACA"/>
    <w:rsid w:val="00441C96"/>
    <w:rsid w:val="00441DA1"/>
    <w:rsid w:val="004421C8"/>
    <w:rsid w:val="004422A4"/>
    <w:rsid w:val="0044248B"/>
    <w:rsid w:val="004424C0"/>
    <w:rsid w:val="004426B9"/>
    <w:rsid w:val="0044289D"/>
    <w:rsid w:val="0044297E"/>
    <w:rsid w:val="00442AC9"/>
    <w:rsid w:val="00442B3A"/>
    <w:rsid w:val="00442B6B"/>
    <w:rsid w:val="00442B99"/>
    <w:rsid w:val="00442BC8"/>
    <w:rsid w:val="00442EAD"/>
    <w:rsid w:val="004436A5"/>
    <w:rsid w:val="00443751"/>
    <w:rsid w:val="00443876"/>
    <w:rsid w:val="00443CA9"/>
    <w:rsid w:val="00444215"/>
    <w:rsid w:val="0044443D"/>
    <w:rsid w:val="00444992"/>
    <w:rsid w:val="00444D62"/>
    <w:rsid w:val="00444EB5"/>
    <w:rsid w:val="00444FA8"/>
    <w:rsid w:val="00444FF0"/>
    <w:rsid w:val="00445003"/>
    <w:rsid w:val="00445575"/>
    <w:rsid w:val="004456E2"/>
    <w:rsid w:val="00445805"/>
    <w:rsid w:val="004464B2"/>
    <w:rsid w:val="00446A4D"/>
    <w:rsid w:val="00446BEC"/>
    <w:rsid w:val="00446C1A"/>
    <w:rsid w:val="00446C55"/>
    <w:rsid w:val="00446DA8"/>
    <w:rsid w:val="00446DC3"/>
    <w:rsid w:val="00446E60"/>
    <w:rsid w:val="00447198"/>
    <w:rsid w:val="004474C7"/>
    <w:rsid w:val="004474D1"/>
    <w:rsid w:val="004475BC"/>
    <w:rsid w:val="00447800"/>
    <w:rsid w:val="00447843"/>
    <w:rsid w:val="00447911"/>
    <w:rsid w:val="00447B17"/>
    <w:rsid w:val="00447D67"/>
    <w:rsid w:val="004504C9"/>
    <w:rsid w:val="00450532"/>
    <w:rsid w:val="0045054B"/>
    <w:rsid w:val="00450704"/>
    <w:rsid w:val="0045077D"/>
    <w:rsid w:val="00450966"/>
    <w:rsid w:val="00450E4B"/>
    <w:rsid w:val="00450EA5"/>
    <w:rsid w:val="00451146"/>
    <w:rsid w:val="00451258"/>
    <w:rsid w:val="004514C4"/>
    <w:rsid w:val="004517EA"/>
    <w:rsid w:val="00451B08"/>
    <w:rsid w:val="00451C96"/>
    <w:rsid w:val="00451CC7"/>
    <w:rsid w:val="00451CF5"/>
    <w:rsid w:val="0045205F"/>
    <w:rsid w:val="00452429"/>
    <w:rsid w:val="0045248F"/>
    <w:rsid w:val="004525FD"/>
    <w:rsid w:val="00452666"/>
    <w:rsid w:val="004526CA"/>
    <w:rsid w:val="004527BB"/>
    <w:rsid w:val="004527C3"/>
    <w:rsid w:val="004528B0"/>
    <w:rsid w:val="004528C2"/>
    <w:rsid w:val="004529DA"/>
    <w:rsid w:val="00452AD7"/>
    <w:rsid w:val="00452CE9"/>
    <w:rsid w:val="00452D93"/>
    <w:rsid w:val="00452FBA"/>
    <w:rsid w:val="004533AF"/>
    <w:rsid w:val="0045349A"/>
    <w:rsid w:val="00453550"/>
    <w:rsid w:val="004537DF"/>
    <w:rsid w:val="00453AD0"/>
    <w:rsid w:val="00453CB9"/>
    <w:rsid w:val="00453DBB"/>
    <w:rsid w:val="00453E3C"/>
    <w:rsid w:val="00453E82"/>
    <w:rsid w:val="0045420C"/>
    <w:rsid w:val="0045436C"/>
    <w:rsid w:val="004543D4"/>
    <w:rsid w:val="004544BC"/>
    <w:rsid w:val="004546CC"/>
    <w:rsid w:val="004547E8"/>
    <w:rsid w:val="00454C78"/>
    <w:rsid w:val="00454D34"/>
    <w:rsid w:val="004554FE"/>
    <w:rsid w:val="00455603"/>
    <w:rsid w:val="0045561D"/>
    <w:rsid w:val="004557BE"/>
    <w:rsid w:val="00455808"/>
    <w:rsid w:val="0045590E"/>
    <w:rsid w:val="00455A03"/>
    <w:rsid w:val="00455A7A"/>
    <w:rsid w:val="00455AAD"/>
    <w:rsid w:val="00455EC1"/>
    <w:rsid w:val="00455F8E"/>
    <w:rsid w:val="004560B9"/>
    <w:rsid w:val="00456181"/>
    <w:rsid w:val="004564EF"/>
    <w:rsid w:val="004567FC"/>
    <w:rsid w:val="0045698A"/>
    <w:rsid w:val="00456D2F"/>
    <w:rsid w:val="00456D34"/>
    <w:rsid w:val="00456E4D"/>
    <w:rsid w:val="00456E52"/>
    <w:rsid w:val="00456E69"/>
    <w:rsid w:val="00456F68"/>
    <w:rsid w:val="004571DD"/>
    <w:rsid w:val="004573E3"/>
    <w:rsid w:val="004573F4"/>
    <w:rsid w:val="004579C1"/>
    <w:rsid w:val="00457A42"/>
    <w:rsid w:val="00457A4D"/>
    <w:rsid w:val="00457D33"/>
    <w:rsid w:val="00457D34"/>
    <w:rsid w:val="004603BE"/>
    <w:rsid w:val="00460680"/>
    <w:rsid w:val="00460A9D"/>
    <w:rsid w:val="00460D96"/>
    <w:rsid w:val="00460DAC"/>
    <w:rsid w:val="00460F08"/>
    <w:rsid w:val="00460FEE"/>
    <w:rsid w:val="0046127B"/>
    <w:rsid w:val="00461822"/>
    <w:rsid w:val="004618A3"/>
    <w:rsid w:val="00461AE6"/>
    <w:rsid w:val="00461DCE"/>
    <w:rsid w:val="00461FF6"/>
    <w:rsid w:val="004623DF"/>
    <w:rsid w:val="0046252A"/>
    <w:rsid w:val="004626D0"/>
    <w:rsid w:val="0046278A"/>
    <w:rsid w:val="004627CA"/>
    <w:rsid w:val="0046283A"/>
    <w:rsid w:val="004628AE"/>
    <w:rsid w:val="00462962"/>
    <w:rsid w:val="00462B56"/>
    <w:rsid w:val="00462CB5"/>
    <w:rsid w:val="00462D13"/>
    <w:rsid w:val="00462DBF"/>
    <w:rsid w:val="00462F78"/>
    <w:rsid w:val="00462FC4"/>
    <w:rsid w:val="00462FF7"/>
    <w:rsid w:val="0046309C"/>
    <w:rsid w:val="0046312B"/>
    <w:rsid w:val="0046312E"/>
    <w:rsid w:val="004631AC"/>
    <w:rsid w:val="00463386"/>
    <w:rsid w:val="00463687"/>
    <w:rsid w:val="004638F7"/>
    <w:rsid w:val="00463F07"/>
    <w:rsid w:val="00464139"/>
    <w:rsid w:val="0046416B"/>
    <w:rsid w:val="00464551"/>
    <w:rsid w:val="004648C5"/>
    <w:rsid w:val="004648F6"/>
    <w:rsid w:val="0046496F"/>
    <w:rsid w:val="00464A62"/>
    <w:rsid w:val="00464A85"/>
    <w:rsid w:val="00464F83"/>
    <w:rsid w:val="004653ED"/>
    <w:rsid w:val="004654A2"/>
    <w:rsid w:val="00465792"/>
    <w:rsid w:val="00465A13"/>
    <w:rsid w:val="00465B02"/>
    <w:rsid w:val="00465C01"/>
    <w:rsid w:val="0046632F"/>
    <w:rsid w:val="00466363"/>
    <w:rsid w:val="00466398"/>
    <w:rsid w:val="00466416"/>
    <w:rsid w:val="004665D2"/>
    <w:rsid w:val="004668C5"/>
    <w:rsid w:val="00466F66"/>
    <w:rsid w:val="004672D2"/>
    <w:rsid w:val="004674E6"/>
    <w:rsid w:val="004675B7"/>
    <w:rsid w:val="004678C1"/>
    <w:rsid w:val="0046792D"/>
    <w:rsid w:val="00467E49"/>
    <w:rsid w:val="004701A3"/>
    <w:rsid w:val="00470212"/>
    <w:rsid w:val="00470249"/>
    <w:rsid w:val="004706BB"/>
    <w:rsid w:val="004708BD"/>
    <w:rsid w:val="004710A4"/>
    <w:rsid w:val="00471237"/>
    <w:rsid w:val="0047136A"/>
    <w:rsid w:val="00471444"/>
    <w:rsid w:val="00471743"/>
    <w:rsid w:val="00471A24"/>
    <w:rsid w:val="00471E97"/>
    <w:rsid w:val="004720DB"/>
    <w:rsid w:val="00472226"/>
    <w:rsid w:val="00472275"/>
    <w:rsid w:val="004724B4"/>
    <w:rsid w:val="00472959"/>
    <w:rsid w:val="00472A03"/>
    <w:rsid w:val="00472EED"/>
    <w:rsid w:val="004730A8"/>
    <w:rsid w:val="0047314E"/>
    <w:rsid w:val="004739F8"/>
    <w:rsid w:val="00473E51"/>
    <w:rsid w:val="00474294"/>
    <w:rsid w:val="0047440D"/>
    <w:rsid w:val="004744F4"/>
    <w:rsid w:val="004747C0"/>
    <w:rsid w:val="004748A5"/>
    <w:rsid w:val="00474B21"/>
    <w:rsid w:val="0047540D"/>
    <w:rsid w:val="00475551"/>
    <w:rsid w:val="004757E4"/>
    <w:rsid w:val="00475ADA"/>
    <w:rsid w:val="00475B44"/>
    <w:rsid w:val="00475C9F"/>
    <w:rsid w:val="00475DE8"/>
    <w:rsid w:val="00476072"/>
    <w:rsid w:val="0047683B"/>
    <w:rsid w:val="00476948"/>
    <w:rsid w:val="004769B4"/>
    <w:rsid w:val="004769E4"/>
    <w:rsid w:val="00476B5E"/>
    <w:rsid w:val="00476D37"/>
    <w:rsid w:val="00477042"/>
    <w:rsid w:val="0047731D"/>
    <w:rsid w:val="00477333"/>
    <w:rsid w:val="00477A7F"/>
    <w:rsid w:val="00477AE4"/>
    <w:rsid w:val="00477B58"/>
    <w:rsid w:val="00477B66"/>
    <w:rsid w:val="00477BB9"/>
    <w:rsid w:val="00477C38"/>
    <w:rsid w:val="00477C55"/>
    <w:rsid w:val="00477CC3"/>
    <w:rsid w:val="00477EDC"/>
    <w:rsid w:val="00480090"/>
    <w:rsid w:val="0048021D"/>
    <w:rsid w:val="00480378"/>
    <w:rsid w:val="004803FB"/>
    <w:rsid w:val="00480695"/>
    <w:rsid w:val="004807BC"/>
    <w:rsid w:val="004807CA"/>
    <w:rsid w:val="004808BD"/>
    <w:rsid w:val="004809E7"/>
    <w:rsid w:val="00480BC0"/>
    <w:rsid w:val="00480DE5"/>
    <w:rsid w:val="00480E92"/>
    <w:rsid w:val="00481195"/>
    <w:rsid w:val="00481232"/>
    <w:rsid w:val="00481412"/>
    <w:rsid w:val="00481805"/>
    <w:rsid w:val="00481825"/>
    <w:rsid w:val="00481B76"/>
    <w:rsid w:val="00481BEA"/>
    <w:rsid w:val="00481D0B"/>
    <w:rsid w:val="00481F02"/>
    <w:rsid w:val="00482192"/>
    <w:rsid w:val="00482338"/>
    <w:rsid w:val="004826CC"/>
    <w:rsid w:val="00482DB0"/>
    <w:rsid w:val="00482E69"/>
    <w:rsid w:val="00482F9C"/>
    <w:rsid w:val="00483401"/>
    <w:rsid w:val="00483B66"/>
    <w:rsid w:val="00483C72"/>
    <w:rsid w:val="00483DB0"/>
    <w:rsid w:val="00483FD8"/>
    <w:rsid w:val="00484363"/>
    <w:rsid w:val="00484523"/>
    <w:rsid w:val="00484845"/>
    <w:rsid w:val="004848B5"/>
    <w:rsid w:val="004848C0"/>
    <w:rsid w:val="004849B3"/>
    <w:rsid w:val="00484B57"/>
    <w:rsid w:val="00484BE0"/>
    <w:rsid w:val="00484DEB"/>
    <w:rsid w:val="00484EC0"/>
    <w:rsid w:val="00484FF3"/>
    <w:rsid w:val="00485105"/>
    <w:rsid w:val="004855CD"/>
    <w:rsid w:val="00485621"/>
    <w:rsid w:val="004856A9"/>
    <w:rsid w:val="00485725"/>
    <w:rsid w:val="00485B1A"/>
    <w:rsid w:val="00485BB2"/>
    <w:rsid w:val="00485BCC"/>
    <w:rsid w:val="00485C80"/>
    <w:rsid w:val="00485D72"/>
    <w:rsid w:val="00485DA5"/>
    <w:rsid w:val="00485EC5"/>
    <w:rsid w:val="00485F7C"/>
    <w:rsid w:val="004861B3"/>
    <w:rsid w:val="0048630D"/>
    <w:rsid w:val="0048639B"/>
    <w:rsid w:val="00486419"/>
    <w:rsid w:val="00486467"/>
    <w:rsid w:val="00486484"/>
    <w:rsid w:val="00486E1F"/>
    <w:rsid w:val="00486F9B"/>
    <w:rsid w:val="00487343"/>
    <w:rsid w:val="0048742C"/>
    <w:rsid w:val="00487BD0"/>
    <w:rsid w:val="00487C6B"/>
    <w:rsid w:val="00490384"/>
    <w:rsid w:val="00490415"/>
    <w:rsid w:val="00490511"/>
    <w:rsid w:val="00490536"/>
    <w:rsid w:val="004906B7"/>
    <w:rsid w:val="004906FB"/>
    <w:rsid w:val="0049079B"/>
    <w:rsid w:val="004908A0"/>
    <w:rsid w:val="004908C6"/>
    <w:rsid w:val="004909E6"/>
    <w:rsid w:val="00490DF8"/>
    <w:rsid w:val="00491259"/>
    <w:rsid w:val="00491586"/>
    <w:rsid w:val="004916C2"/>
    <w:rsid w:val="004917EA"/>
    <w:rsid w:val="00491879"/>
    <w:rsid w:val="004918DE"/>
    <w:rsid w:val="00491B54"/>
    <w:rsid w:val="00491C9E"/>
    <w:rsid w:val="00492060"/>
    <w:rsid w:val="004921BA"/>
    <w:rsid w:val="00492355"/>
    <w:rsid w:val="00492574"/>
    <w:rsid w:val="00492707"/>
    <w:rsid w:val="00492808"/>
    <w:rsid w:val="00492B7B"/>
    <w:rsid w:val="00492C15"/>
    <w:rsid w:val="00492D74"/>
    <w:rsid w:val="00492DA8"/>
    <w:rsid w:val="00492E5F"/>
    <w:rsid w:val="0049309B"/>
    <w:rsid w:val="0049339C"/>
    <w:rsid w:val="0049353E"/>
    <w:rsid w:val="00493602"/>
    <w:rsid w:val="004936BA"/>
    <w:rsid w:val="00493788"/>
    <w:rsid w:val="004939AA"/>
    <w:rsid w:val="00493EA1"/>
    <w:rsid w:val="0049403D"/>
    <w:rsid w:val="004940C5"/>
    <w:rsid w:val="004941B0"/>
    <w:rsid w:val="004944A4"/>
    <w:rsid w:val="00494737"/>
    <w:rsid w:val="0049473C"/>
    <w:rsid w:val="00494787"/>
    <w:rsid w:val="00494E19"/>
    <w:rsid w:val="00494F9C"/>
    <w:rsid w:val="00494FAE"/>
    <w:rsid w:val="004953EF"/>
    <w:rsid w:val="004953FD"/>
    <w:rsid w:val="0049562D"/>
    <w:rsid w:val="004957B3"/>
    <w:rsid w:val="00495888"/>
    <w:rsid w:val="00495C0C"/>
    <w:rsid w:val="00495DB4"/>
    <w:rsid w:val="004960CB"/>
    <w:rsid w:val="00496519"/>
    <w:rsid w:val="00496737"/>
    <w:rsid w:val="00496754"/>
    <w:rsid w:val="004969E6"/>
    <w:rsid w:val="00496B21"/>
    <w:rsid w:val="00496CED"/>
    <w:rsid w:val="00496D64"/>
    <w:rsid w:val="004971EA"/>
    <w:rsid w:val="004972BB"/>
    <w:rsid w:val="0049730C"/>
    <w:rsid w:val="004975EF"/>
    <w:rsid w:val="0049763A"/>
    <w:rsid w:val="0049786A"/>
    <w:rsid w:val="00497983"/>
    <w:rsid w:val="00497A07"/>
    <w:rsid w:val="00497CAE"/>
    <w:rsid w:val="00497F83"/>
    <w:rsid w:val="004A0145"/>
    <w:rsid w:val="004A0221"/>
    <w:rsid w:val="004A03BA"/>
    <w:rsid w:val="004A03BF"/>
    <w:rsid w:val="004A04A0"/>
    <w:rsid w:val="004A04C5"/>
    <w:rsid w:val="004A064C"/>
    <w:rsid w:val="004A07E6"/>
    <w:rsid w:val="004A0946"/>
    <w:rsid w:val="004A0BF2"/>
    <w:rsid w:val="004A0C6C"/>
    <w:rsid w:val="004A0E3D"/>
    <w:rsid w:val="004A114E"/>
    <w:rsid w:val="004A1200"/>
    <w:rsid w:val="004A120C"/>
    <w:rsid w:val="004A151A"/>
    <w:rsid w:val="004A15D1"/>
    <w:rsid w:val="004A17B0"/>
    <w:rsid w:val="004A1B5A"/>
    <w:rsid w:val="004A211C"/>
    <w:rsid w:val="004A23B0"/>
    <w:rsid w:val="004A2435"/>
    <w:rsid w:val="004A2760"/>
    <w:rsid w:val="004A2770"/>
    <w:rsid w:val="004A28C1"/>
    <w:rsid w:val="004A2955"/>
    <w:rsid w:val="004A2A8B"/>
    <w:rsid w:val="004A2B7E"/>
    <w:rsid w:val="004A2CCF"/>
    <w:rsid w:val="004A3119"/>
    <w:rsid w:val="004A317A"/>
    <w:rsid w:val="004A31AD"/>
    <w:rsid w:val="004A3320"/>
    <w:rsid w:val="004A337C"/>
    <w:rsid w:val="004A3439"/>
    <w:rsid w:val="004A375A"/>
    <w:rsid w:val="004A3965"/>
    <w:rsid w:val="004A3AB8"/>
    <w:rsid w:val="004A3D3A"/>
    <w:rsid w:val="004A3DFF"/>
    <w:rsid w:val="004A4161"/>
    <w:rsid w:val="004A41DF"/>
    <w:rsid w:val="004A421A"/>
    <w:rsid w:val="004A424D"/>
    <w:rsid w:val="004A4480"/>
    <w:rsid w:val="004A4590"/>
    <w:rsid w:val="004A47D4"/>
    <w:rsid w:val="004A4896"/>
    <w:rsid w:val="004A4B78"/>
    <w:rsid w:val="004A4D45"/>
    <w:rsid w:val="004A502B"/>
    <w:rsid w:val="004A51E5"/>
    <w:rsid w:val="004A54E1"/>
    <w:rsid w:val="004A5708"/>
    <w:rsid w:val="004A5862"/>
    <w:rsid w:val="004A5909"/>
    <w:rsid w:val="004A606B"/>
    <w:rsid w:val="004A6418"/>
    <w:rsid w:val="004A65FA"/>
    <w:rsid w:val="004A676F"/>
    <w:rsid w:val="004A680D"/>
    <w:rsid w:val="004A6D52"/>
    <w:rsid w:val="004A6F01"/>
    <w:rsid w:val="004A6F97"/>
    <w:rsid w:val="004A7253"/>
    <w:rsid w:val="004A748A"/>
    <w:rsid w:val="004A7514"/>
    <w:rsid w:val="004A7922"/>
    <w:rsid w:val="004A7B78"/>
    <w:rsid w:val="004A7D7D"/>
    <w:rsid w:val="004A7FD6"/>
    <w:rsid w:val="004B002E"/>
    <w:rsid w:val="004B00DA"/>
    <w:rsid w:val="004B0566"/>
    <w:rsid w:val="004B067A"/>
    <w:rsid w:val="004B09EF"/>
    <w:rsid w:val="004B0C21"/>
    <w:rsid w:val="004B0D30"/>
    <w:rsid w:val="004B0F8D"/>
    <w:rsid w:val="004B10D8"/>
    <w:rsid w:val="004B146D"/>
    <w:rsid w:val="004B18F4"/>
    <w:rsid w:val="004B1A77"/>
    <w:rsid w:val="004B1F91"/>
    <w:rsid w:val="004B2131"/>
    <w:rsid w:val="004B2698"/>
    <w:rsid w:val="004B2DE8"/>
    <w:rsid w:val="004B2F0B"/>
    <w:rsid w:val="004B2F7A"/>
    <w:rsid w:val="004B3046"/>
    <w:rsid w:val="004B3159"/>
    <w:rsid w:val="004B3185"/>
    <w:rsid w:val="004B331A"/>
    <w:rsid w:val="004B33C0"/>
    <w:rsid w:val="004B34CB"/>
    <w:rsid w:val="004B3641"/>
    <w:rsid w:val="004B3647"/>
    <w:rsid w:val="004B3909"/>
    <w:rsid w:val="004B3E69"/>
    <w:rsid w:val="004B3F82"/>
    <w:rsid w:val="004B3FCD"/>
    <w:rsid w:val="004B42F0"/>
    <w:rsid w:val="004B432C"/>
    <w:rsid w:val="004B4373"/>
    <w:rsid w:val="004B4582"/>
    <w:rsid w:val="004B47FA"/>
    <w:rsid w:val="004B4ADE"/>
    <w:rsid w:val="004B4EBA"/>
    <w:rsid w:val="004B5067"/>
    <w:rsid w:val="004B512C"/>
    <w:rsid w:val="004B55AE"/>
    <w:rsid w:val="004B578A"/>
    <w:rsid w:val="004B596C"/>
    <w:rsid w:val="004B5A3E"/>
    <w:rsid w:val="004B5C7C"/>
    <w:rsid w:val="004B60B0"/>
    <w:rsid w:val="004B6124"/>
    <w:rsid w:val="004B613B"/>
    <w:rsid w:val="004B63E9"/>
    <w:rsid w:val="004B646A"/>
    <w:rsid w:val="004B64AA"/>
    <w:rsid w:val="004B69C6"/>
    <w:rsid w:val="004B69CC"/>
    <w:rsid w:val="004B6B07"/>
    <w:rsid w:val="004B6D1C"/>
    <w:rsid w:val="004B701A"/>
    <w:rsid w:val="004B703A"/>
    <w:rsid w:val="004B70AC"/>
    <w:rsid w:val="004B726B"/>
    <w:rsid w:val="004B73B6"/>
    <w:rsid w:val="004B7438"/>
    <w:rsid w:val="004B74E5"/>
    <w:rsid w:val="004B7585"/>
    <w:rsid w:val="004B760E"/>
    <w:rsid w:val="004B76C8"/>
    <w:rsid w:val="004B7783"/>
    <w:rsid w:val="004B77DB"/>
    <w:rsid w:val="004B7832"/>
    <w:rsid w:val="004B7991"/>
    <w:rsid w:val="004B79BE"/>
    <w:rsid w:val="004B7A11"/>
    <w:rsid w:val="004B7B4D"/>
    <w:rsid w:val="004B7C66"/>
    <w:rsid w:val="004B7EF9"/>
    <w:rsid w:val="004C0180"/>
    <w:rsid w:val="004C0577"/>
    <w:rsid w:val="004C0C12"/>
    <w:rsid w:val="004C0ED0"/>
    <w:rsid w:val="004C0FE2"/>
    <w:rsid w:val="004C10F8"/>
    <w:rsid w:val="004C11B3"/>
    <w:rsid w:val="004C11C1"/>
    <w:rsid w:val="004C11C3"/>
    <w:rsid w:val="004C1599"/>
    <w:rsid w:val="004C1630"/>
    <w:rsid w:val="004C1AF4"/>
    <w:rsid w:val="004C1F0B"/>
    <w:rsid w:val="004C2103"/>
    <w:rsid w:val="004C215D"/>
    <w:rsid w:val="004C229B"/>
    <w:rsid w:val="004C244A"/>
    <w:rsid w:val="004C2543"/>
    <w:rsid w:val="004C2597"/>
    <w:rsid w:val="004C263A"/>
    <w:rsid w:val="004C2CAB"/>
    <w:rsid w:val="004C30F4"/>
    <w:rsid w:val="004C3280"/>
    <w:rsid w:val="004C350C"/>
    <w:rsid w:val="004C3C51"/>
    <w:rsid w:val="004C3DE0"/>
    <w:rsid w:val="004C3FAD"/>
    <w:rsid w:val="004C3FB4"/>
    <w:rsid w:val="004C4097"/>
    <w:rsid w:val="004C42C9"/>
    <w:rsid w:val="004C4593"/>
    <w:rsid w:val="004C46C9"/>
    <w:rsid w:val="004C47A7"/>
    <w:rsid w:val="004C481E"/>
    <w:rsid w:val="004C48B5"/>
    <w:rsid w:val="004C4AA6"/>
    <w:rsid w:val="004C4BD4"/>
    <w:rsid w:val="004C4C5F"/>
    <w:rsid w:val="004C4CA3"/>
    <w:rsid w:val="004C4E28"/>
    <w:rsid w:val="004C5325"/>
    <w:rsid w:val="004C5390"/>
    <w:rsid w:val="004C55FF"/>
    <w:rsid w:val="004C5884"/>
    <w:rsid w:val="004C58B1"/>
    <w:rsid w:val="004C5C9A"/>
    <w:rsid w:val="004C5E96"/>
    <w:rsid w:val="004C5F31"/>
    <w:rsid w:val="004C5FB5"/>
    <w:rsid w:val="004C60BE"/>
    <w:rsid w:val="004C6276"/>
    <w:rsid w:val="004C634A"/>
    <w:rsid w:val="004C63E2"/>
    <w:rsid w:val="004C662F"/>
    <w:rsid w:val="004C6669"/>
    <w:rsid w:val="004C67DC"/>
    <w:rsid w:val="004C6BD6"/>
    <w:rsid w:val="004C6BF2"/>
    <w:rsid w:val="004C73C8"/>
    <w:rsid w:val="004C75AC"/>
    <w:rsid w:val="004C767A"/>
    <w:rsid w:val="004C770E"/>
    <w:rsid w:val="004C789B"/>
    <w:rsid w:val="004C79C7"/>
    <w:rsid w:val="004C7A41"/>
    <w:rsid w:val="004C7C82"/>
    <w:rsid w:val="004C7CAF"/>
    <w:rsid w:val="004C7D12"/>
    <w:rsid w:val="004D009C"/>
    <w:rsid w:val="004D0826"/>
    <w:rsid w:val="004D08B1"/>
    <w:rsid w:val="004D0C6E"/>
    <w:rsid w:val="004D0CD5"/>
    <w:rsid w:val="004D110E"/>
    <w:rsid w:val="004D118E"/>
    <w:rsid w:val="004D1230"/>
    <w:rsid w:val="004D12BB"/>
    <w:rsid w:val="004D1470"/>
    <w:rsid w:val="004D1604"/>
    <w:rsid w:val="004D163B"/>
    <w:rsid w:val="004D19CE"/>
    <w:rsid w:val="004D1B89"/>
    <w:rsid w:val="004D1C8F"/>
    <w:rsid w:val="004D21E6"/>
    <w:rsid w:val="004D2314"/>
    <w:rsid w:val="004D27B5"/>
    <w:rsid w:val="004D2AA6"/>
    <w:rsid w:val="004D3115"/>
    <w:rsid w:val="004D3238"/>
    <w:rsid w:val="004D3422"/>
    <w:rsid w:val="004D3470"/>
    <w:rsid w:val="004D348C"/>
    <w:rsid w:val="004D34BD"/>
    <w:rsid w:val="004D34FD"/>
    <w:rsid w:val="004D35EF"/>
    <w:rsid w:val="004D3A7C"/>
    <w:rsid w:val="004D3D0A"/>
    <w:rsid w:val="004D3F22"/>
    <w:rsid w:val="004D3F7A"/>
    <w:rsid w:val="004D3FA4"/>
    <w:rsid w:val="004D4148"/>
    <w:rsid w:val="004D429C"/>
    <w:rsid w:val="004D42F5"/>
    <w:rsid w:val="004D4C8D"/>
    <w:rsid w:val="004D4D1D"/>
    <w:rsid w:val="004D53FB"/>
    <w:rsid w:val="004D57F6"/>
    <w:rsid w:val="004D58DE"/>
    <w:rsid w:val="004D59C2"/>
    <w:rsid w:val="004D59FA"/>
    <w:rsid w:val="004D5E81"/>
    <w:rsid w:val="004D5F92"/>
    <w:rsid w:val="004D61E6"/>
    <w:rsid w:val="004D6240"/>
    <w:rsid w:val="004D63D0"/>
    <w:rsid w:val="004D6546"/>
    <w:rsid w:val="004D65B4"/>
    <w:rsid w:val="004D6A66"/>
    <w:rsid w:val="004D6B97"/>
    <w:rsid w:val="004D6CB7"/>
    <w:rsid w:val="004D6E64"/>
    <w:rsid w:val="004D7328"/>
    <w:rsid w:val="004D771E"/>
    <w:rsid w:val="004D7ACD"/>
    <w:rsid w:val="004D7B13"/>
    <w:rsid w:val="004D7BDC"/>
    <w:rsid w:val="004D7EB5"/>
    <w:rsid w:val="004D7F8C"/>
    <w:rsid w:val="004D7FF5"/>
    <w:rsid w:val="004E013D"/>
    <w:rsid w:val="004E0417"/>
    <w:rsid w:val="004E0425"/>
    <w:rsid w:val="004E0582"/>
    <w:rsid w:val="004E0757"/>
    <w:rsid w:val="004E0967"/>
    <w:rsid w:val="004E0B07"/>
    <w:rsid w:val="004E0C79"/>
    <w:rsid w:val="004E0D70"/>
    <w:rsid w:val="004E0DBE"/>
    <w:rsid w:val="004E1192"/>
    <w:rsid w:val="004E11E8"/>
    <w:rsid w:val="004E14C8"/>
    <w:rsid w:val="004E15D4"/>
    <w:rsid w:val="004E18FB"/>
    <w:rsid w:val="004E1A9C"/>
    <w:rsid w:val="004E1C56"/>
    <w:rsid w:val="004E2024"/>
    <w:rsid w:val="004E25C5"/>
    <w:rsid w:val="004E26CA"/>
    <w:rsid w:val="004E27BE"/>
    <w:rsid w:val="004E28C9"/>
    <w:rsid w:val="004E2978"/>
    <w:rsid w:val="004E2BD0"/>
    <w:rsid w:val="004E2D79"/>
    <w:rsid w:val="004E2E7A"/>
    <w:rsid w:val="004E2FD3"/>
    <w:rsid w:val="004E32B3"/>
    <w:rsid w:val="004E3378"/>
    <w:rsid w:val="004E3396"/>
    <w:rsid w:val="004E349E"/>
    <w:rsid w:val="004E3940"/>
    <w:rsid w:val="004E3976"/>
    <w:rsid w:val="004E3E12"/>
    <w:rsid w:val="004E3EA7"/>
    <w:rsid w:val="004E4016"/>
    <w:rsid w:val="004E4040"/>
    <w:rsid w:val="004E4431"/>
    <w:rsid w:val="004E4640"/>
    <w:rsid w:val="004E46A6"/>
    <w:rsid w:val="004E4752"/>
    <w:rsid w:val="004E4986"/>
    <w:rsid w:val="004E4C6B"/>
    <w:rsid w:val="004E4CEB"/>
    <w:rsid w:val="004E5282"/>
    <w:rsid w:val="004E530A"/>
    <w:rsid w:val="004E5477"/>
    <w:rsid w:val="004E5665"/>
    <w:rsid w:val="004E578F"/>
    <w:rsid w:val="004E5BEA"/>
    <w:rsid w:val="004E5D93"/>
    <w:rsid w:val="004E5DFE"/>
    <w:rsid w:val="004E5EC7"/>
    <w:rsid w:val="004E5F11"/>
    <w:rsid w:val="004E5FF6"/>
    <w:rsid w:val="004E6312"/>
    <w:rsid w:val="004E6479"/>
    <w:rsid w:val="004E6485"/>
    <w:rsid w:val="004E64FC"/>
    <w:rsid w:val="004E67AB"/>
    <w:rsid w:val="004E69FE"/>
    <w:rsid w:val="004E6C04"/>
    <w:rsid w:val="004E7061"/>
    <w:rsid w:val="004E7257"/>
    <w:rsid w:val="004E7402"/>
    <w:rsid w:val="004E745E"/>
    <w:rsid w:val="004E7533"/>
    <w:rsid w:val="004E75D2"/>
    <w:rsid w:val="004E76D7"/>
    <w:rsid w:val="004E773C"/>
    <w:rsid w:val="004E7B3B"/>
    <w:rsid w:val="004E7FF4"/>
    <w:rsid w:val="004F003E"/>
    <w:rsid w:val="004F011B"/>
    <w:rsid w:val="004F0163"/>
    <w:rsid w:val="004F05B9"/>
    <w:rsid w:val="004F079F"/>
    <w:rsid w:val="004F0C1B"/>
    <w:rsid w:val="004F0C86"/>
    <w:rsid w:val="004F0DC5"/>
    <w:rsid w:val="004F0F5A"/>
    <w:rsid w:val="004F1080"/>
    <w:rsid w:val="004F10B9"/>
    <w:rsid w:val="004F12E0"/>
    <w:rsid w:val="004F12E9"/>
    <w:rsid w:val="004F14C4"/>
    <w:rsid w:val="004F176A"/>
    <w:rsid w:val="004F188A"/>
    <w:rsid w:val="004F1FFD"/>
    <w:rsid w:val="004F2067"/>
    <w:rsid w:val="004F22F1"/>
    <w:rsid w:val="004F238D"/>
    <w:rsid w:val="004F2392"/>
    <w:rsid w:val="004F2566"/>
    <w:rsid w:val="004F2856"/>
    <w:rsid w:val="004F2C41"/>
    <w:rsid w:val="004F2D0A"/>
    <w:rsid w:val="004F2D7B"/>
    <w:rsid w:val="004F2FF5"/>
    <w:rsid w:val="004F30B9"/>
    <w:rsid w:val="004F3396"/>
    <w:rsid w:val="004F3463"/>
    <w:rsid w:val="004F36FB"/>
    <w:rsid w:val="004F3C83"/>
    <w:rsid w:val="004F3D12"/>
    <w:rsid w:val="004F3EDA"/>
    <w:rsid w:val="004F3FDD"/>
    <w:rsid w:val="004F40DD"/>
    <w:rsid w:val="004F4131"/>
    <w:rsid w:val="004F425B"/>
    <w:rsid w:val="004F42C3"/>
    <w:rsid w:val="004F4334"/>
    <w:rsid w:val="004F4481"/>
    <w:rsid w:val="004F4493"/>
    <w:rsid w:val="004F456D"/>
    <w:rsid w:val="004F485D"/>
    <w:rsid w:val="004F4B50"/>
    <w:rsid w:val="004F4F43"/>
    <w:rsid w:val="004F502D"/>
    <w:rsid w:val="004F5823"/>
    <w:rsid w:val="004F5B2B"/>
    <w:rsid w:val="004F5CF1"/>
    <w:rsid w:val="004F5E66"/>
    <w:rsid w:val="004F5ED9"/>
    <w:rsid w:val="004F62C2"/>
    <w:rsid w:val="004F649E"/>
    <w:rsid w:val="004F66C4"/>
    <w:rsid w:val="004F67AC"/>
    <w:rsid w:val="004F6BED"/>
    <w:rsid w:val="004F6D2C"/>
    <w:rsid w:val="004F6D8C"/>
    <w:rsid w:val="004F7151"/>
    <w:rsid w:val="004F7178"/>
    <w:rsid w:val="004F73C3"/>
    <w:rsid w:val="004F751E"/>
    <w:rsid w:val="004F7A82"/>
    <w:rsid w:val="004F7B77"/>
    <w:rsid w:val="004F7BA5"/>
    <w:rsid w:val="004F7C3D"/>
    <w:rsid w:val="004F7C6E"/>
    <w:rsid w:val="004F7E64"/>
    <w:rsid w:val="004F7FAD"/>
    <w:rsid w:val="004F7FE0"/>
    <w:rsid w:val="005000A9"/>
    <w:rsid w:val="0050026B"/>
    <w:rsid w:val="0050048D"/>
    <w:rsid w:val="005004D6"/>
    <w:rsid w:val="0050050A"/>
    <w:rsid w:val="0050075B"/>
    <w:rsid w:val="005008A0"/>
    <w:rsid w:val="00500BBD"/>
    <w:rsid w:val="00500EF1"/>
    <w:rsid w:val="005010F3"/>
    <w:rsid w:val="00501A24"/>
    <w:rsid w:val="00501B0F"/>
    <w:rsid w:val="00501C20"/>
    <w:rsid w:val="00501E3F"/>
    <w:rsid w:val="00501F77"/>
    <w:rsid w:val="00501FA2"/>
    <w:rsid w:val="005022BE"/>
    <w:rsid w:val="0050275A"/>
    <w:rsid w:val="00502A40"/>
    <w:rsid w:val="00502ADE"/>
    <w:rsid w:val="00502C1B"/>
    <w:rsid w:val="00502CF8"/>
    <w:rsid w:val="00502DDB"/>
    <w:rsid w:val="00503327"/>
    <w:rsid w:val="005034BB"/>
    <w:rsid w:val="005036C6"/>
    <w:rsid w:val="00503807"/>
    <w:rsid w:val="00503A04"/>
    <w:rsid w:val="00503D82"/>
    <w:rsid w:val="00503E3E"/>
    <w:rsid w:val="00503F5C"/>
    <w:rsid w:val="00503F5E"/>
    <w:rsid w:val="0050461E"/>
    <w:rsid w:val="00504992"/>
    <w:rsid w:val="00504A00"/>
    <w:rsid w:val="00504A38"/>
    <w:rsid w:val="00504E0F"/>
    <w:rsid w:val="00504E97"/>
    <w:rsid w:val="00504EDB"/>
    <w:rsid w:val="00505020"/>
    <w:rsid w:val="0050540B"/>
    <w:rsid w:val="005054BA"/>
    <w:rsid w:val="00505519"/>
    <w:rsid w:val="005056F1"/>
    <w:rsid w:val="00505785"/>
    <w:rsid w:val="005057FD"/>
    <w:rsid w:val="00505A6C"/>
    <w:rsid w:val="00505B9D"/>
    <w:rsid w:val="00505DBF"/>
    <w:rsid w:val="005060AF"/>
    <w:rsid w:val="005060F6"/>
    <w:rsid w:val="0050626C"/>
    <w:rsid w:val="00506486"/>
    <w:rsid w:val="005066C7"/>
    <w:rsid w:val="005067D2"/>
    <w:rsid w:val="00506999"/>
    <w:rsid w:val="00506CBE"/>
    <w:rsid w:val="00506D44"/>
    <w:rsid w:val="00506ED7"/>
    <w:rsid w:val="00506F02"/>
    <w:rsid w:val="00507124"/>
    <w:rsid w:val="005071DB"/>
    <w:rsid w:val="00507266"/>
    <w:rsid w:val="00507457"/>
    <w:rsid w:val="0050772D"/>
    <w:rsid w:val="00507910"/>
    <w:rsid w:val="00507CBB"/>
    <w:rsid w:val="00507E24"/>
    <w:rsid w:val="00507EDF"/>
    <w:rsid w:val="0051035C"/>
    <w:rsid w:val="00510411"/>
    <w:rsid w:val="0051042B"/>
    <w:rsid w:val="0051046A"/>
    <w:rsid w:val="00510474"/>
    <w:rsid w:val="00510AC9"/>
    <w:rsid w:val="00510B68"/>
    <w:rsid w:val="00510E0D"/>
    <w:rsid w:val="00511086"/>
    <w:rsid w:val="00511A89"/>
    <w:rsid w:val="00511FFD"/>
    <w:rsid w:val="005120CC"/>
    <w:rsid w:val="00512212"/>
    <w:rsid w:val="0051231A"/>
    <w:rsid w:val="0051249B"/>
    <w:rsid w:val="00512545"/>
    <w:rsid w:val="005127A5"/>
    <w:rsid w:val="00512AC8"/>
    <w:rsid w:val="00512B1A"/>
    <w:rsid w:val="00512B36"/>
    <w:rsid w:val="00512BE9"/>
    <w:rsid w:val="00512DA8"/>
    <w:rsid w:val="0051311D"/>
    <w:rsid w:val="00513760"/>
    <w:rsid w:val="005137E5"/>
    <w:rsid w:val="00513E46"/>
    <w:rsid w:val="00513F58"/>
    <w:rsid w:val="00514150"/>
    <w:rsid w:val="005141CB"/>
    <w:rsid w:val="0051456E"/>
    <w:rsid w:val="00514903"/>
    <w:rsid w:val="00514952"/>
    <w:rsid w:val="005149EB"/>
    <w:rsid w:val="00514AAC"/>
    <w:rsid w:val="00514D60"/>
    <w:rsid w:val="00514D8B"/>
    <w:rsid w:val="00514DBD"/>
    <w:rsid w:val="00514F40"/>
    <w:rsid w:val="00514FC2"/>
    <w:rsid w:val="005150C3"/>
    <w:rsid w:val="00515777"/>
    <w:rsid w:val="005158B5"/>
    <w:rsid w:val="00515B50"/>
    <w:rsid w:val="00516381"/>
    <w:rsid w:val="005167D0"/>
    <w:rsid w:val="00516AB7"/>
    <w:rsid w:val="00516B59"/>
    <w:rsid w:val="00516B5A"/>
    <w:rsid w:val="00516C38"/>
    <w:rsid w:val="00516F20"/>
    <w:rsid w:val="0051703B"/>
    <w:rsid w:val="005172A6"/>
    <w:rsid w:val="005174F5"/>
    <w:rsid w:val="0051755D"/>
    <w:rsid w:val="0051791F"/>
    <w:rsid w:val="0051795F"/>
    <w:rsid w:val="00517AA8"/>
    <w:rsid w:val="00517C8D"/>
    <w:rsid w:val="00517CE1"/>
    <w:rsid w:val="00517F71"/>
    <w:rsid w:val="00520149"/>
    <w:rsid w:val="005203CE"/>
    <w:rsid w:val="005207D5"/>
    <w:rsid w:val="005207E3"/>
    <w:rsid w:val="00520809"/>
    <w:rsid w:val="005209CC"/>
    <w:rsid w:val="005216E0"/>
    <w:rsid w:val="00521781"/>
    <w:rsid w:val="005218DC"/>
    <w:rsid w:val="00521908"/>
    <w:rsid w:val="00521B73"/>
    <w:rsid w:val="00521EF3"/>
    <w:rsid w:val="00522656"/>
    <w:rsid w:val="00522EB6"/>
    <w:rsid w:val="0052369E"/>
    <w:rsid w:val="00523979"/>
    <w:rsid w:val="00523A87"/>
    <w:rsid w:val="00523EC4"/>
    <w:rsid w:val="00524232"/>
    <w:rsid w:val="005242E0"/>
    <w:rsid w:val="005242EC"/>
    <w:rsid w:val="005243CB"/>
    <w:rsid w:val="0052445D"/>
    <w:rsid w:val="005245ED"/>
    <w:rsid w:val="00524662"/>
    <w:rsid w:val="00524719"/>
    <w:rsid w:val="00524998"/>
    <w:rsid w:val="00524DD0"/>
    <w:rsid w:val="00524EB9"/>
    <w:rsid w:val="00525021"/>
    <w:rsid w:val="005250AC"/>
    <w:rsid w:val="0052515D"/>
    <w:rsid w:val="005251BD"/>
    <w:rsid w:val="00525359"/>
    <w:rsid w:val="005253E0"/>
    <w:rsid w:val="00525542"/>
    <w:rsid w:val="005255D3"/>
    <w:rsid w:val="005259A4"/>
    <w:rsid w:val="00525DCF"/>
    <w:rsid w:val="00525E8C"/>
    <w:rsid w:val="0052633C"/>
    <w:rsid w:val="0052634C"/>
    <w:rsid w:val="0052642C"/>
    <w:rsid w:val="00526A21"/>
    <w:rsid w:val="00526A7B"/>
    <w:rsid w:val="00526CA1"/>
    <w:rsid w:val="0052713A"/>
    <w:rsid w:val="005271B4"/>
    <w:rsid w:val="005272AC"/>
    <w:rsid w:val="005274A8"/>
    <w:rsid w:val="005274CE"/>
    <w:rsid w:val="0052767A"/>
    <w:rsid w:val="00527854"/>
    <w:rsid w:val="00527964"/>
    <w:rsid w:val="00527C27"/>
    <w:rsid w:val="00527C70"/>
    <w:rsid w:val="00527E08"/>
    <w:rsid w:val="00530163"/>
    <w:rsid w:val="00530295"/>
    <w:rsid w:val="00530428"/>
    <w:rsid w:val="0053068A"/>
    <w:rsid w:val="00530750"/>
    <w:rsid w:val="005307C3"/>
    <w:rsid w:val="00530A2A"/>
    <w:rsid w:val="00530B7E"/>
    <w:rsid w:val="00530B97"/>
    <w:rsid w:val="00530BF0"/>
    <w:rsid w:val="00530D6F"/>
    <w:rsid w:val="0053113F"/>
    <w:rsid w:val="0053117C"/>
    <w:rsid w:val="00531209"/>
    <w:rsid w:val="0053138E"/>
    <w:rsid w:val="00531467"/>
    <w:rsid w:val="005317F4"/>
    <w:rsid w:val="0053191C"/>
    <w:rsid w:val="00531B32"/>
    <w:rsid w:val="00531F43"/>
    <w:rsid w:val="005323BC"/>
    <w:rsid w:val="00532459"/>
    <w:rsid w:val="005324C7"/>
    <w:rsid w:val="00532506"/>
    <w:rsid w:val="005325F0"/>
    <w:rsid w:val="0053267E"/>
    <w:rsid w:val="00532986"/>
    <w:rsid w:val="00532B76"/>
    <w:rsid w:val="00532E79"/>
    <w:rsid w:val="00532F21"/>
    <w:rsid w:val="00533210"/>
    <w:rsid w:val="00533461"/>
    <w:rsid w:val="005334A0"/>
    <w:rsid w:val="00533581"/>
    <w:rsid w:val="005339FA"/>
    <w:rsid w:val="00533BC0"/>
    <w:rsid w:val="00533C67"/>
    <w:rsid w:val="00533E4A"/>
    <w:rsid w:val="00533E53"/>
    <w:rsid w:val="00533EBD"/>
    <w:rsid w:val="0053413E"/>
    <w:rsid w:val="005343CF"/>
    <w:rsid w:val="005346B2"/>
    <w:rsid w:val="005347AA"/>
    <w:rsid w:val="00534B4F"/>
    <w:rsid w:val="00534D03"/>
    <w:rsid w:val="00535048"/>
    <w:rsid w:val="00535060"/>
    <w:rsid w:val="0053525C"/>
    <w:rsid w:val="005352B6"/>
    <w:rsid w:val="005353C1"/>
    <w:rsid w:val="00535448"/>
    <w:rsid w:val="005355A1"/>
    <w:rsid w:val="0053577B"/>
    <w:rsid w:val="00535804"/>
    <w:rsid w:val="00535838"/>
    <w:rsid w:val="00535887"/>
    <w:rsid w:val="00535C2C"/>
    <w:rsid w:val="00535D45"/>
    <w:rsid w:val="00535DE5"/>
    <w:rsid w:val="00536165"/>
    <w:rsid w:val="00536884"/>
    <w:rsid w:val="00536B46"/>
    <w:rsid w:val="00536BAE"/>
    <w:rsid w:val="00536C77"/>
    <w:rsid w:val="00536C8D"/>
    <w:rsid w:val="00536FCE"/>
    <w:rsid w:val="00537022"/>
    <w:rsid w:val="00537047"/>
    <w:rsid w:val="0053712C"/>
    <w:rsid w:val="005371C7"/>
    <w:rsid w:val="00537316"/>
    <w:rsid w:val="00537387"/>
    <w:rsid w:val="005378A7"/>
    <w:rsid w:val="00537ACB"/>
    <w:rsid w:val="00537E1A"/>
    <w:rsid w:val="0054025B"/>
    <w:rsid w:val="00540372"/>
    <w:rsid w:val="0054069F"/>
    <w:rsid w:val="005406C6"/>
    <w:rsid w:val="005409C0"/>
    <w:rsid w:val="00540A02"/>
    <w:rsid w:val="00540D3E"/>
    <w:rsid w:val="005410CA"/>
    <w:rsid w:val="00541434"/>
    <w:rsid w:val="00541637"/>
    <w:rsid w:val="00541902"/>
    <w:rsid w:val="00541A06"/>
    <w:rsid w:val="00541B12"/>
    <w:rsid w:val="00541CD7"/>
    <w:rsid w:val="00541DEE"/>
    <w:rsid w:val="00541F16"/>
    <w:rsid w:val="00542072"/>
    <w:rsid w:val="0054208D"/>
    <w:rsid w:val="00542471"/>
    <w:rsid w:val="00542AD7"/>
    <w:rsid w:val="00542B23"/>
    <w:rsid w:val="00542B76"/>
    <w:rsid w:val="00542D33"/>
    <w:rsid w:val="00542F0B"/>
    <w:rsid w:val="00542FDE"/>
    <w:rsid w:val="005430BA"/>
    <w:rsid w:val="0054335F"/>
    <w:rsid w:val="0054346F"/>
    <w:rsid w:val="00543677"/>
    <w:rsid w:val="005436AC"/>
    <w:rsid w:val="005436C4"/>
    <w:rsid w:val="0054392E"/>
    <w:rsid w:val="00543AD2"/>
    <w:rsid w:val="00543BB3"/>
    <w:rsid w:val="00543BC8"/>
    <w:rsid w:val="00544529"/>
    <w:rsid w:val="005445BB"/>
    <w:rsid w:val="00544B5A"/>
    <w:rsid w:val="00544D3A"/>
    <w:rsid w:val="00544D71"/>
    <w:rsid w:val="00544F95"/>
    <w:rsid w:val="00545057"/>
    <w:rsid w:val="005450C3"/>
    <w:rsid w:val="00545379"/>
    <w:rsid w:val="00545617"/>
    <w:rsid w:val="00545621"/>
    <w:rsid w:val="00545887"/>
    <w:rsid w:val="00545CB4"/>
    <w:rsid w:val="00545DAF"/>
    <w:rsid w:val="00545F5C"/>
    <w:rsid w:val="005460A1"/>
    <w:rsid w:val="005460E5"/>
    <w:rsid w:val="00546143"/>
    <w:rsid w:val="00546250"/>
    <w:rsid w:val="005463C3"/>
    <w:rsid w:val="005465F7"/>
    <w:rsid w:val="005467EE"/>
    <w:rsid w:val="00546927"/>
    <w:rsid w:val="005469AB"/>
    <w:rsid w:val="00546AF0"/>
    <w:rsid w:val="00546B3E"/>
    <w:rsid w:val="00546BE5"/>
    <w:rsid w:val="00546CE3"/>
    <w:rsid w:val="00546E16"/>
    <w:rsid w:val="0054707A"/>
    <w:rsid w:val="005470F2"/>
    <w:rsid w:val="00547228"/>
    <w:rsid w:val="005475DD"/>
    <w:rsid w:val="005475F6"/>
    <w:rsid w:val="0054786A"/>
    <w:rsid w:val="00547871"/>
    <w:rsid w:val="00547951"/>
    <w:rsid w:val="00547DD2"/>
    <w:rsid w:val="00547FA5"/>
    <w:rsid w:val="005500A2"/>
    <w:rsid w:val="0055040B"/>
    <w:rsid w:val="005505B1"/>
    <w:rsid w:val="0055073D"/>
    <w:rsid w:val="00550741"/>
    <w:rsid w:val="005508F7"/>
    <w:rsid w:val="00550AC1"/>
    <w:rsid w:val="00550D17"/>
    <w:rsid w:val="00550E11"/>
    <w:rsid w:val="00550E67"/>
    <w:rsid w:val="00551195"/>
    <w:rsid w:val="00551519"/>
    <w:rsid w:val="005515E2"/>
    <w:rsid w:val="005516C1"/>
    <w:rsid w:val="005517BC"/>
    <w:rsid w:val="00551ACE"/>
    <w:rsid w:val="00551B60"/>
    <w:rsid w:val="005525BB"/>
    <w:rsid w:val="00552893"/>
    <w:rsid w:val="00552B55"/>
    <w:rsid w:val="00552D88"/>
    <w:rsid w:val="00553214"/>
    <w:rsid w:val="0055335E"/>
    <w:rsid w:val="00553482"/>
    <w:rsid w:val="00553B89"/>
    <w:rsid w:val="00553BB1"/>
    <w:rsid w:val="00553FBF"/>
    <w:rsid w:val="0055406A"/>
    <w:rsid w:val="0055412D"/>
    <w:rsid w:val="00554281"/>
    <w:rsid w:val="00554780"/>
    <w:rsid w:val="005548DC"/>
    <w:rsid w:val="00554B8E"/>
    <w:rsid w:val="00554DE4"/>
    <w:rsid w:val="00554EBD"/>
    <w:rsid w:val="00554EFD"/>
    <w:rsid w:val="00554F10"/>
    <w:rsid w:val="005550F5"/>
    <w:rsid w:val="00555190"/>
    <w:rsid w:val="005551AD"/>
    <w:rsid w:val="00555256"/>
    <w:rsid w:val="0055560B"/>
    <w:rsid w:val="00555691"/>
    <w:rsid w:val="00555723"/>
    <w:rsid w:val="0055588B"/>
    <w:rsid w:val="005558DF"/>
    <w:rsid w:val="005559EE"/>
    <w:rsid w:val="00555B43"/>
    <w:rsid w:val="00555E46"/>
    <w:rsid w:val="00556214"/>
    <w:rsid w:val="00556522"/>
    <w:rsid w:val="00556735"/>
    <w:rsid w:val="00556878"/>
    <w:rsid w:val="0055687E"/>
    <w:rsid w:val="00556CDB"/>
    <w:rsid w:val="0055724F"/>
    <w:rsid w:val="00557528"/>
    <w:rsid w:val="00557AF4"/>
    <w:rsid w:val="00557E31"/>
    <w:rsid w:val="00560104"/>
    <w:rsid w:val="00560173"/>
    <w:rsid w:val="005602FC"/>
    <w:rsid w:val="00560523"/>
    <w:rsid w:val="00560631"/>
    <w:rsid w:val="00560672"/>
    <w:rsid w:val="00560881"/>
    <w:rsid w:val="005609B1"/>
    <w:rsid w:val="00560BFA"/>
    <w:rsid w:val="00561497"/>
    <w:rsid w:val="00561523"/>
    <w:rsid w:val="005618E3"/>
    <w:rsid w:val="005618F5"/>
    <w:rsid w:val="005618FF"/>
    <w:rsid w:val="005619F1"/>
    <w:rsid w:val="00561AEE"/>
    <w:rsid w:val="00561B04"/>
    <w:rsid w:val="00561B87"/>
    <w:rsid w:val="00561F8A"/>
    <w:rsid w:val="00561FF7"/>
    <w:rsid w:val="00562190"/>
    <w:rsid w:val="005621BB"/>
    <w:rsid w:val="00562211"/>
    <w:rsid w:val="005627CF"/>
    <w:rsid w:val="005627F3"/>
    <w:rsid w:val="00562B3C"/>
    <w:rsid w:val="00562E08"/>
    <w:rsid w:val="00562E86"/>
    <w:rsid w:val="00562F47"/>
    <w:rsid w:val="00563000"/>
    <w:rsid w:val="0056303D"/>
    <w:rsid w:val="00563091"/>
    <w:rsid w:val="005631ED"/>
    <w:rsid w:val="005633DF"/>
    <w:rsid w:val="005633F3"/>
    <w:rsid w:val="005634CD"/>
    <w:rsid w:val="005635A4"/>
    <w:rsid w:val="0056363F"/>
    <w:rsid w:val="00563760"/>
    <w:rsid w:val="00563AE9"/>
    <w:rsid w:val="00563B6D"/>
    <w:rsid w:val="00563B72"/>
    <w:rsid w:val="00563D72"/>
    <w:rsid w:val="00564074"/>
    <w:rsid w:val="00564125"/>
    <w:rsid w:val="0056459E"/>
    <w:rsid w:val="0056475C"/>
    <w:rsid w:val="00564891"/>
    <w:rsid w:val="00564D9E"/>
    <w:rsid w:val="0056509E"/>
    <w:rsid w:val="0056510F"/>
    <w:rsid w:val="005652D7"/>
    <w:rsid w:val="005653A6"/>
    <w:rsid w:val="00565550"/>
    <w:rsid w:val="00565571"/>
    <w:rsid w:val="0056557D"/>
    <w:rsid w:val="005656D2"/>
    <w:rsid w:val="00565820"/>
    <w:rsid w:val="00565A14"/>
    <w:rsid w:val="00565AFA"/>
    <w:rsid w:val="00565C8D"/>
    <w:rsid w:val="00565E60"/>
    <w:rsid w:val="00566029"/>
    <w:rsid w:val="00566265"/>
    <w:rsid w:val="00566475"/>
    <w:rsid w:val="005665B9"/>
    <w:rsid w:val="00566670"/>
    <w:rsid w:val="00566703"/>
    <w:rsid w:val="0056677E"/>
    <w:rsid w:val="00566865"/>
    <w:rsid w:val="00566C90"/>
    <w:rsid w:val="00566DE4"/>
    <w:rsid w:val="00566EA6"/>
    <w:rsid w:val="005672E7"/>
    <w:rsid w:val="00567426"/>
    <w:rsid w:val="005675B9"/>
    <w:rsid w:val="005676F4"/>
    <w:rsid w:val="00567895"/>
    <w:rsid w:val="00567904"/>
    <w:rsid w:val="00567E28"/>
    <w:rsid w:val="0057010C"/>
    <w:rsid w:val="0057040B"/>
    <w:rsid w:val="00570411"/>
    <w:rsid w:val="0057094D"/>
    <w:rsid w:val="005709D1"/>
    <w:rsid w:val="00570E1F"/>
    <w:rsid w:val="00570E8A"/>
    <w:rsid w:val="00570FEB"/>
    <w:rsid w:val="00571285"/>
    <w:rsid w:val="005713ED"/>
    <w:rsid w:val="00571508"/>
    <w:rsid w:val="005718E1"/>
    <w:rsid w:val="00571C20"/>
    <w:rsid w:val="00571C6C"/>
    <w:rsid w:val="00571D9D"/>
    <w:rsid w:val="00571DFF"/>
    <w:rsid w:val="00571F76"/>
    <w:rsid w:val="0057226A"/>
    <w:rsid w:val="0057249F"/>
    <w:rsid w:val="00572500"/>
    <w:rsid w:val="00572609"/>
    <w:rsid w:val="0057265E"/>
    <w:rsid w:val="0057281F"/>
    <w:rsid w:val="005728BC"/>
    <w:rsid w:val="00572F0A"/>
    <w:rsid w:val="0057303B"/>
    <w:rsid w:val="005730B7"/>
    <w:rsid w:val="005732BC"/>
    <w:rsid w:val="00573407"/>
    <w:rsid w:val="00573412"/>
    <w:rsid w:val="005735A7"/>
    <w:rsid w:val="005735F9"/>
    <w:rsid w:val="00573624"/>
    <w:rsid w:val="00573721"/>
    <w:rsid w:val="005738B0"/>
    <w:rsid w:val="00573CCA"/>
    <w:rsid w:val="00573D84"/>
    <w:rsid w:val="00573DE6"/>
    <w:rsid w:val="005741E1"/>
    <w:rsid w:val="00574459"/>
    <w:rsid w:val="005744FA"/>
    <w:rsid w:val="00574608"/>
    <w:rsid w:val="00574656"/>
    <w:rsid w:val="005748E8"/>
    <w:rsid w:val="0057493E"/>
    <w:rsid w:val="005749DA"/>
    <w:rsid w:val="00574B5D"/>
    <w:rsid w:val="00574CE8"/>
    <w:rsid w:val="00574D2F"/>
    <w:rsid w:val="00574DB8"/>
    <w:rsid w:val="00574E6A"/>
    <w:rsid w:val="00575094"/>
    <w:rsid w:val="005759BE"/>
    <w:rsid w:val="005759DE"/>
    <w:rsid w:val="00575A53"/>
    <w:rsid w:val="00575EBB"/>
    <w:rsid w:val="005760CA"/>
    <w:rsid w:val="00576815"/>
    <w:rsid w:val="00576974"/>
    <w:rsid w:val="005769CE"/>
    <w:rsid w:val="00576A7D"/>
    <w:rsid w:val="00576B0C"/>
    <w:rsid w:val="00576B5B"/>
    <w:rsid w:val="00576C4E"/>
    <w:rsid w:val="00576D20"/>
    <w:rsid w:val="0057705C"/>
    <w:rsid w:val="00577461"/>
    <w:rsid w:val="00577A57"/>
    <w:rsid w:val="00577B3D"/>
    <w:rsid w:val="00577DC1"/>
    <w:rsid w:val="00577DFC"/>
    <w:rsid w:val="00577E87"/>
    <w:rsid w:val="00580030"/>
    <w:rsid w:val="005802CA"/>
    <w:rsid w:val="00580523"/>
    <w:rsid w:val="0058082E"/>
    <w:rsid w:val="00580EC2"/>
    <w:rsid w:val="00580FB8"/>
    <w:rsid w:val="00581593"/>
    <w:rsid w:val="0058159D"/>
    <w:rsid w:val="00581613"/>
    <w:rsid w:val="0058165D"/>
    <w:rsid w:val="0058183D"/>
    <w:rsid w:val="005818B6"/>
    <w:rsid w:val="00581D45"/>
    <w:rsid w:val="00581EFD"/>
    <w:rsid w:val="0058226B"/>
    <w:rsid w:val="0058272D"/>
    <w:rsid w:val="005827FF"/>
    <w:rsid w:val="005828A3"/>
    <w:rsid w:val="00582964"/>
    <w:rsid w:val="00582B9E"/>
    <w:rsid w:val="00582BFC"/>
    <w:rsid w:val="00583098"/>
    <w:rsid w:val="005832B0"/>
    <w:rsid w:val="0058337A"/>
    <w:rsid w:val="00583481"/>
    <w:rsid w:val="00583579"/>
    <w:rsid w:val="00583B16"/>
    <w:rsid w:val="00583DF4"/>
    <w:rsid w:val="00583FBE"/>
    <w:rsid w:val="005841BA"/>
    <w:rsid w:val="005845FE"/>
    <w:rsid w:val="00584620"/>
    <w:rsid w:val="00584D15"/>
    <w:rsid w:val="00585065"/>
    <w:rsid w:val="005852D2"/>
    <w:rsid w:val="00585559"/>
    <w:rsid w:val="0058597F"/>
    <w:rsid w:val="005859BA"/>
    <w:rsid w:val="00585CC1"/>
    <w:rsid w:val="00585DF8"/>
    <w:rsid w:val="005861CE"/>
    <w:rsid w:val="00586348"/>
    <w:rsid w:val="00586600"/>
    <w:rsid w:val="00586875"/>
    <w:rsid w:val="00586936"/>
    <w:rsid w:val="00586B4A"/>
    <w:rsid w:val="00586BB2"/>
    <w:rsid w:val="00586BC1"/>
    <w:rsid w:val="00586D72"/>
    <w:rsid w:val="005870B7"/>
    <w:rsid w:val="005874DB"/>
    <w:rsid w:val="00587575"/>
    <w:rsid w:val="00587605"/>
    <w:rsid w:val="0058777E"/>
    <w:rsid w:val="00587939"/>
    <w:rsid w:val="00587B4C"/>
    <w:rsid w:val="00587C12"/>
    <w:rsid w:val="00587DDC"/>
    <w:rsid w:val="005900BA"/>
    <w:rsid w:val="00590168"/>
    <w:rsid w:val="0059033E"/>
    <w:rsid w:val="00590367"/>
    <w:rsid w:val="005906A2"/>
    <w:rsid w:val="00590B47"/>
    <w:rsid w:val="00590BF5"/>
    <w:rsid w:val="00590D99"/>
    <w:rsid w:val="00590E1A"/>
    <w:rsid w:val="00590E60"/>
    <w:rsid w:val="00590EDA"/>
    <w:rsid w:val="00590F26"/>
    <w:rsid w:val="0059108A"/>
    <w:rsid w:val="0059112E"/>
    <w:rsid w:val="00591211"/>
    <w:rsid w:val="00591229"/>
    <w:rsid w:val="00591241"/>
    <w:rsid w:val="0059128E"/>
    <w:rsid w:val="00591380"/>
    <w:rsid w:val="0059165C"/>
    <w:rsid w:val="005917D8"/>
    <w:rsid w:val="00591975"/>
    <w:rsid w:val="0059198A"/>
    <w:rsid w:val="00592098"/>
    <w:rsid w:val="0059250D"/>
    <w:rsid w:val="0059292C"/>
    <w:rsid w:val="00592A36"/>
    <w:rsid w:val="00592A85"/>
    <w:rsid w:val="00592C6E"/>
    <w:rsid w:val="00592D4F"/>
    <w:rsid w:val="005932E5"/>
    <w:rsid w:val="005933C6"/>
    <w:rsid w:val="005935B6"/>
    <w:rsid w:val="00593819"/>
    <w:rsid w:val="00593834"/>
    <w:rsid w:val="0059396B"/>
    <w:rsid w:val="00593AC5"/>
    <w:rsid w:val="00593C81"/>
    <w:rsid w:val="00593D5C"/>
    <w:rsid w:val="00593F4A"/>
    <w:rsid w:val="0059418F"/>
    <w:rsid w:val="005946C9"/>
    <w:rsid w:val="00594875"/>
    <w:rsid w:val="00594916"/>
    <w:rsid w:val="00594945"/>
    <w:rsid w:val="00594C4C"/>
    <w:rsid w:val="00594C85"/>
    <w:rsid w:val="00595032"/>
    <w:rsid w:val="005950F5"/>
    <w:rsid w:val="0059512F"/>
    <w:rsid w:val="00595743"/>
    <w:rsid w:val="00595790"/>
    <w:rsid w:val="00595A88"/>
    <w:rsid w:val="00595C3C"/>
    <w:rsid w:val="00595C96"/>
    <w:rsid w:val="00596126"/>
    <w:rsid w:val="005962D8"/>
    <w:rsid w:val="005966E9"/>
    <w:rsid w:val="00596A76"/>
    <w:rsid w:val="00596AF3"/>
    <w:rsid w:val="00596BAB"/>
    <w:rsid w:val="00596C09"/>
    <w:rsid w:val="00597456"/>
    <w:rsid w:val="005974DA"/>
    <w:rsid w:val="005975E1"/>
    <w:rsid w:val="00597626"/>
    <w:rsid w:val="005978BD"/>
    <w:rsid w:val="00597932"/>
    <w:rsid w:val="0059798C"/>
    <w:rsid w:val="00597A36"/>
    <w:rsid w:val="00597B2C"/>
    <w:rsid w:val="00597CB8"/>
    <w:rsid w:val="00597DB0"/>
    <w:rsid w:val="00597DC2"/>
    <w:rsid w:val="00597E95"/>
    <w:rsid w:val="005A0282"/>
    <w:rsid w:val="005A0301"/>
    <w:rsid w:val="005A03FD"/>
    <w:rsid w:val="005A05BA"/>
    <w:rsid w:val="005A0CCD"/>
    <w:rsid w:val="005A0DD2"/>
    <w:rsid w:val="005A0E70"/>
    <w:rsid w:val="005A0F14"/>
    <w:rsid w:val="005A0F4B"/>
    <w:rsid w:val="005A0F8A"/>
    <w:rsid w:val="005A1105"/>
    <w:rsid w:val="005A16C2"/>
    <w:rsid w:val="005A17E0"/>
    <w:rsid w:val="005A1A10"/>
    <w:rsid w:val="005A1B9D"/>
    <w:rsid w:val="005A1BD7"/>
    <w:rsid w:val="005A1D12"/>
    <w:rsid w:val="005A1DD2"/>
    <w:rsid w:val="005A1EC9"/>
    <w:rsid w:val="005A1FC7"/>
    <w:rsid w:val="005A2004"/>
    <w:rsid w:val="005A234B"/>
    <w:rsid w:val="005A2392"/>
    <w:rsid w:val="005A2748"/>
    <w:rsid w:val="005A2BB1"/>
    <w:rsid w:val="005A2CA8"/>
    <w:rsid w:val="005A2DB4"/>
    <w:rsid w:val="005A2EE4"/>
    <w:rsid w:val="005A305B"/>
    <w:rsid w:val="005A331E"/>
    <w:rsid w:val="005A3459"/>
    <w:rsid w:val="005A35A4"/>
    <w:rsid w:val="005A3903"/>
    <w:rsid w:val="005A3A65"/>
    <w:rsid w:val="005A3EF9"/>
    <w:rsid w:val="005A3EFB"/>
    <w:rsid w:val="005A4014"/>
    <w:rsid w:val="005A40A6"/>
    <w:rsid w:val="005A4182"/>
    <w:rsid w:val="005A42C7"/>
    <w:rsid w:val="005A4539"/>
    <w:rsid w:val="005A4597"/>
    <w:rsid w:val="005A46A8"/>
    <w:rsid w:val="005A4ADB"/>
    <w:rsid w:val="005A4AE1"/>
    <w:rsid w:val="005A4AE5"/>
    <w:rsid w:val="005A4BF4"/>
    <w:rsid w:val="005A4D0A"/>
    <w:rsid w:val="005A52D0"/>
    <w:rsid w:val="005A5340"/>
    <w:rsid w:val="005A57BC"/>
    <w:rsid w:val="005A5A1C"/>
    <w:rsid w:val="005A5D4D"/>
    <w:rsid w:val="005A5EF6"/>
    <w:rsid w:val="005A6061"/>
    <w:rsid w:val="005A606E"/>
    <w:rsid w:val="005A6188"/>
    <w:rsid w:val="005A62E0"/>
    <w:rsid w:val="005A6664"/>
    <w:rsid w:val="005A66AE"/>
    <w:rsid w:val="005A679E"/>
    <w:rsid w:val="005A6ABB"/>
    <w:rsid w:val="005A6C6D"/>
    <w:rsid w:val="005A6DF0"/>
    <w:rsid w:val="005A6E05"/>
    <w:rsid w:val="005A6F43"/>
    <w:rsid w:val="005A72C2"/>
    <w:rsid w:val="005A7404"/>
    <w:rsid w:val="005A7422"/>
    <w:rsid w:val="005A7568"/>
    <w:rsid w:val="005A7588"/>
    <w:rsid w:val="005A7AC4"/>
    <w:rsid w:val="005A7B4F"/>
    <w:rsid w:val="005A7B9D"/>
    <w:rsid w:val="005A7BD7"/>
    <w:rsid w:val="005A7DD5"/>
    <w:rsid w:val="005B0309"/>
    <w:rsid w:val="005B03F1"/>
    <w:rsid w:val="005B0813"/>
    <w:rsid w:val="005B0995"/>
    <w:rsid w:val="005B0C20"/>
    <w:rsid w:val="005B0D92"/>
    <w:rsid w:val="005B0E84"/>
    <w:rsid w:val="005B0EEC"/>
    <w:rsid w:val="005B0F2B"/>
    <w:rsid w:val="005B0F5D"/>
    <w:rsid w:val="005B0F90"/>
    <w:rsid w:val="005B15AB"/>
    <w:rsid w:val="005B1747"/>
    <w:rsid w:val="005B1857"/>
    <w:rsid w:val="005B19B3"/>
    <w:rsid w:val="005B1B70"/>
    <w:rsid w:val="005B1E29"/>
    <w:rsid w:val="005B1ECD"/>
    <w:rsid w:val="005B1FD7"/>
    <w:rsid w:val="005B213F"/>
    <w:rsid w:val="005B2470"/>
    <w:rsid w:val="005B291A"/>
    <w:rsid w:val="005B295D"/>
    <w:rsid w:val="005B2CC0"/>
    <w:rsid w:val="005B2D8D"/>
    <w:rsid w:val="005B2F19"/>
    <w:rsid w:val="005B2FA9"/>
    <w:rsid w:val="005B316D"/>
    <w:rsid w:val="005B370D"/>
    <w:rsid w:val="005B395B"/>
    <w:rsid w:val="005B3B57"/>
    <w:rsid w:val="005B3C93"/>
    <w:rsid w:val="005B3E57"/>
    <w:rsid w:val="005B4003"/>
    <w:rsid w:val="005B434C"/>
    <w:rsid w:val="005B484A"/>
    <w:rsid w:val="005B4A3D"/>
    <w:rsid w:val="005B4AB2"/>
    <w:rsid w:val="005B4B07"/>
    <w:rsid w:val="005B4B2F"/>
    <w:rsid w:val="005B4DAF"/>
    <w:rsid w:val="005B4E79"/>
    <w:rsid w:val="005B4F09"/>
    <w:rsid w:val="005B4FA7"/>
    <w:rsid w:val="005B50B8"/>
    <w:rsid w:val="005B52FA"/>
    <w:rsid w:val="005B535C"/>
    <w:rsid w:val="005B5379"/>
    <w:rsid w:val="005B55D8"/>
    <w:rsid w:val="005B587E"/>
    <w:rsid w:val="005B5AF8"/>
    <w:rsid w:val="005B5BAE"/>
    <w:rsid w:val="005B6414"/>
    <w:rsid w:val="005B6438"/>
    <w:rsid w:val="005B68A2"/>
    <w:rsid w:val="005B6C7F"/>
    <w:rsid w:val="005B6CD3"/>
    <w:rsid w:val="005B6D5F"/>
    <w:rsid w:val="005B6E6E"/>
    <w:rsid w:val="005B7169"/>
    <w:rsid w:val="005B735E"/>
    <w:rsid w:val="005B7676"/>
    <w:rsid w:val="005B7887"/>
    <w:rsid w:val="005B7F55"/>
    <w:rsid w:val="005B7FCF"/>
    <w:rsid w:val="005C0170"/>
    <w:rsid w:val="005C0351"/>
    <w:rsid w:val="005C0437"/>
    <w:rsid w:val="005C0725"/>
    <w:rsid w:val="005C0C07"/>
    <w:rsid w:val="005C0E25"/>
    <w:rsid w:val="005C116B"/>
    <w:rsid w:val="005C1170"/>
    <w:rsid w:val="005C13EE"/>
    <w:rsid w:val="005C1631"/>
    <w:rsid w:val="005C16B9"/>
    <w:rsid w:val="005C1A90"/>
    <w:rsid w:val="005C1AA5"/>
    <w:rsid w:val="005C1C17"/>
    <w:rsid w:val="005C1C3C"/>
    <w:rsid w:val="005C1D15"/>
    <w:rsid w:val="005C21B1"/>
    <w:rsid w:val="005C24F4"/>
    <w:rsid w:val="005C2630"/>
    <w:rsid w:val="005C2928"/>
    <w:rsid w:val="005C3278"/>
    <w:rsid w:val="005C3347"/>
    <w:rsid w:val="005C3392"/>
    <w:rsid w:val="005C34B3"/>
    <w:rsid w:val="005C3549"/>
    <w:rsid w:val="005C363C"/>
    <w:rsid w:val="005C381B"/>
    <w:rsid w:val="005C3866"/>
    <w:rsid w:val="005C3AF2"/>
    <w:rsid w:val="005C3D48"/>
    <w:rsid w:val="005C3DE6"/>
    <w:rsid w:val="005C40E2"/>
    <w:rsid w:val="005C45E1"/>
    <w:rsid w:val="005C4645"/>
    <w:rsid w:val="005C46FE"/>
    <w:rsid w:val="005C4935"/>
    <w:rsid w:val="005C494A"/>
    <w:rsid w:val="005C5245"/>
    <w:rsid w:val="005C5671"/>
    <w:rsid w:val="005C59EE"/>
    <w:rsid w:val="005C5B92"/>
    <w:rsid w:val="005C5C5B"/>
    <w:rsid w:val="005C6054"/>
    <w:rsid w:val="005C64CA"/>
    <w:rsid w:val="005C669C"/>
    <w:rsid w:val="005C6AF1"/>
    <w:rsid w:val="005C6CC3"/>
    <w:rsid w:val="005C6DA2"/>
    <w:rsid w:val="005C6E7F"/>
    <w:rsid w:val="005C6F81"/>
    <w:rsid w:val="005C719F"/>
    <w:rsid w:val="005C7219"/>
    <w:rsid w:val="005C74D3"/>
    <w:rsid w:val="005C7830"/>
    <w:rsid w:val="005C7A1A"/>
    <w:rsid w:val="005C7AD5"/>
    <w:rsid w:val="005C7B86"/>
    <w:rsid w:val="005D01CA"/>
    <w:rsid w:val="005D056D"/>
    <w:rsid w:val="005D0773"/>
    <w:rsid w:val="005D0806"/>
    <w:rsid w:val="005D0A4E"/>
    <w:rsid w:val="005D0AC7"/>
    <w:rsid w:val="005D0AD8"/>
    <w:rsid w:val="005D0C61"/>
    <w:rsid w:val="005D0D11"/>
    <w:rsid w:val="005D1020"/>
    <w:rsid w:val="005D1099"/>
    <w:rsid w:val="005D10B7"/>
    <w:rsid w:val="005D10BD"/>
    <w:rsid w:val="005D11B9"/>
    <w:rsid w:val="005D1662"/>
    <w:rsid w:val="005D1AFA"/>
    <w:rsid w:val="005D1C0E"/>
    <w:rsid w:val="005D1C16"/>
    <w:rsid w:val="005D1E13"/>
    <w:rsid w:val="005D1E57"/>
    <w:rsid w:val="005D2628"/>
    <w:rsid w:val="005D28CA"/>
    <w:rsid w:val="005D2A4F"/>
    <w:rsid w:val="005D2AD5"/>
    <w:rsid w:val="005D2C82"/>
    <w:rsid w:val="005D2C8D"/>
    <w:rsid w:val="005D306A"/>
    <w:rsid w:val="005D3186"/>
    <w:rsid w:val="005D3468"/>
    <w:rsid w:val="005D356F"/>
    <w:rsid w:val="005D35D5"/>
    <w:rsid w:val="005D3636"/>
    <w:rsid w:val="005D3651"/>
    <w:rsid w:val="005D39D2"/>
    <w:rsid w:val="005D3E0D"/>
    <w:rsid w:val="005D3F85"/>
    <w:rsid w:val="005D4035"/>
    <w:rsid w:val="005D40C9"/>
    <w:rsid w:val="005D42DF"/>
    <w:rsid w:val="005D4367"/>
    <w:rsid w:val="005D4876"/>
    <w:rsid w:val="005D4A70"/>
    <w:rsid w:val="005D4C0C"/>
    <w:rsid w:val="005D5019"/>
    <w:rsid w:val="005D50BA"/>
    <w:rsid w:val="005D5223"/>
    <w:rsid w:val="005D571E"/>
    <w:rsid w:val="005D5819"/>
    <w:rsid w:val="005D5A10"/>
    <w:rsid w:val="005D5BBE"/>
    <w:rsid w:val="005D5BED"/>
    <w:rsid w:val="005D5F08"/>
    <w:rsid w:val="005D6184"/>
    <w:rsid w:val="005D6480"/>
    <w:rsid w:val="005D64EB"/>
    <w:rsid w:val="005D6505"/>
    <w:rsid w:val="005D674E"/>
    <w:rsid w:val="005D6932"/>
    <w:rsid w:val="005D6948"/>
    <w:rsid w:val="005D69B6"/>
    <w:rsid w:val="005D6BE9"/>
    <w:rsid w:val="005D6CFA"/>
    <w:rsid w:val="005D6D02"/>
    <w:rsid w:val="005D6EC4"/>
    <w:rsid w:val="005D73C6"/>
    <w:rsid w:val="005D7452"/>
    <w:rsid w:val="005D75B7"/>
    <w:rsid w:val="005D7A76"/>
    <w:rsid w:val="005D7AA0"/>
    <w:rsid w:val="005D7B2C"/>
    <w:rsid w:val="005D7D17"/>
    <w:rsid w:val="005D7D41"/>
    <w:rsid w:val="005E02B2"/>
    <w:rsid w:val="005E0517"/>
    <w:rsid w:val="005E07D5"/>
    <w:rsid w:val="005E07E3"/>
    <w:rsid w:val="005E0A2C"/>
    <w:rsid w:val="005E0A92"/>
    <w:rsid w:val="005E1064"/>
    <w:rsid w:val="005E120B"/>
    <w:rsid w:val="005E123C"/>
    <w:rsid w:val="005E1441"/>
    <w:rsid w:val="005E1472"/>
    <w:rsid w:val="005E17E6"/>
    <w:rsid w:val="005E1A06"/>
    <w:rsid w:val="005E1CE1"/>
    <w:rsid w:val="005E21A9"/>
    <w:rsid w:val="005E26E5"/>
    <w:rsid w:val="005E272D"/>
    <w:rsid w:val="005E2ABC"/>
    <w:rsid w:val="005E2E06"/>
    <w:rsid w:val="005E3397"/>
    <w:rsid w:val="005E350B"/>
    <w:rsid w:val="005E3AFF"/>
    <w:rsid w:val="005E3B77"/>
    <w:rsid w:val="005E3DBD"/>
    <w:rsid w:val="005E3F44"/>
    <w:rsid w:val="005E4450"/>
    <w:rsid w:val="005E4610"/>
    <w:rsid w:val="005E47B0"/>
    <w:rsid w:val="005E4BC9"/>
    <w:rsid w:val="005E4CB6"/>
    <w:rsid w:val="005E4D43"/>
    <w:rsid w:val="005E532C"/>
    <w:rsid w:val="005E56B4"/>
    <w:rsid w:val="005E5998"/>
    <w:rsid w:val="005E5B67"/>
    <w:rsid w:val="005E5E30"/>
    <w:rsid w:val="005E5EB8"/>
    <w:rsid w:val="005E60B0"/>
    <w:rsid w:val="005E622B"/>
    <w:rsid w:val="005E6333"/>
    <w:rsid w:val="005E6347"/>
    <w:rsid w:val="005E6363"/>
    <w:rsid w:val="005E648F"/>
    <w:rsid w:val="005E64B5"/>
    <w:rsid w:val="005E695E"/>
    <w:rsid w:val="005E6A16"/>
    <w:rsid w:val="005E6AA4"/>
    <w:rsid w:val="005E6C3F"/>
    <w:rsid w:val="005E7A9D"/>
    <w:rsid w:val="005E7C5B"/>
    <w:rsid w:val="005E7DA1"/>
    <w:rsid w:val="005F0157"/>
    <w:rsid w:val="005F015F"/>
    <w:rsid w:val="005F01B2"/>
    <w:rsid w:val="005F01EE"/>
    <w:rsid w:val="005F025B"/>
    <w:rsid w:val="005F030D"/>
    <w:rsid w:val="005F03A4"/>
    <w:rsid w:val="005F0830"/>
    <w:rsid w:val="005F088C"/>
    <w:rsid w:val="005F0A22"/>
    <w:rsid w:val="005F0AC4"/>
    <w:rsid w:val="005F0DA3"/>
    <w:rsid w:val="005F0E7A"/>
    <w:rsid w:val="005F0F49"/>
    <w:rsid w:val="005F0F91"/>
    <w:rsid w:val="005F13DB"/>
    <w:rsid w:val="005F1450"/>
    <w:rsid w:val="005F15F2"/>
    <w:rsid w:val="005F1A81"/>
    <w:rsid w:val="005F1B84"/>
    <w:rsid w:val="005F1E7A"/>
    <w:rsid w:val="005F2272"/>
    <w:rsid w:val="005F22D5"/>
    <w:rsid w:val="005F238F"/>
    <w:rsid w:val="005F2A39"/>
    <w:rsid w:val="005F2EBE"/>
    <w:rsid w:val="005F30B4"/>
    <w:rsid w:val="005F32A2"/>
    <w:rsid w:val="005F3394"/>
    <w:rsid w:val="005F3775"/>
    <w:rsid w:val="005F3906"/>
    <w:rsid w:val="005F39BC"/>
    <w:rsid w:val="005F39DB"/>
    <w:rsid w:val="005F3CB3"/>
    <w:rsid w:val="005F3E16"/>
    <w:rsid w:val="005F4342"/>
    <w:rsid w:val="005F4581"/>
    <w:rsid w:val="005F4BCF"/>
    <w:rsid w:val="005F5003"/>
    <w:rsid w:val="005F50FC"/>
    <w:rsid w:val="005F5205"/>
    <w:rsid w:val="005F531B"/>
    <w:rsid w:val="005F5330"/>
    <w:rsid w:val="005F533C"/>
    <w:rsid w:val="005F5641"/>
    <w:rsid w:val="005F595C"/>
    <w:rsid w:val="005F59D2"/>
    <w:rsid w:val="005F609E"/>
    <w:rsid w:val="005F60B0"/>
    <w:rsid w:val="005F60BB"/>
    <w:rsid w:val="005F6189"/>
    <w:rsid w:val="005F6356"/>
    <w:rsid w:val="005F6372"/>
    <w:rsid w:val="005F6582"/>
    <w:rsid w:val="005F65EF"/>
    <w:rsid w:val="005F689E"/>
    <w:rsid w:val="005F68A1"/>
    <w:rsid w:val="005F6971"/>
    <w:rsid w:val="005F6972"/>
    <w:rsid w:val="005F7041"/>
    <w:rsid w:val="005F721E"/>
    <w:rsid w:val="005F730D"/>
    <w:rsid w:val="005F758F"/>
    <w:rsid w:val="005F7739"/>
    <w:rsid w:val="005F7A12"/>
    <w:rsid w:val="005F7AB4"/>
    <w:rsid w:val="005F7C84"/>
    <w:rsid w:val="005FC72B"/>
    <w:rsid w:val="006000E2"/>
    <w:rsid w:val="00600103"/>
    <w:rsid w:val="0060078C"/>
    <w:rsid w:val="006009E5"/>
    <w:rsid w:val="00600B35"/>
    <w:rsid w:val="00600D63"/>
    <w:rsid w:val="00600D7B"/>
    <w:rsid w:val="00601211"/>
    <w:rsid w:val="00601218"/>
    <w:rsid w:val="0060154C"/>
    <w:rsid w:val="00601708"/>
    <w:rsid w:val="0060199F"/>
    <w:rsid w:val="00601C0B"/>
    <w:rsid w:val="00601E04"/>
    <w:rsid w:val="00602491"/>
    <w:rsid w:val="006024A2"/>
    <w:rsid w:val="006024AD"/>
    <w:rsid w:val="00602828"/>
    <w:rsid w:val="00602956"/>
    <w:rsid w:val="00602B47"/>
    <w:rsid w:val="00602BC9"/>
    <w:rsid w:val="00602D32"/>
    <w:rsid w:val="00603063"/>
    <w:rsid w:val="006030AA"/>
    <w:rsid w:val="006031DA"/>
    <w:rsid w:val="0060382D"/>
    <w:rsid w:val="006038EC"/>
    <w:rsid w:val="00603B20"/>
    <w:rsid w:val="00603B83"/>
    <w:rsid w:val="00603D4A"/>
    <w:rsid w:val="00603D77"/>
    <w:rsid w:val="00603DEC"/>
    <w:rsid w:val="00603F27"/>
    <w:rsid w:val="0060409F"/>
    <w:rsid w:val="006042DB"/>
    <w:rsid w:val="006045CF"/>
    <w:rsid w:val="006045FB"/>
    <w:rsid w:val="00604684"/>
    <w:rsid w:val="0060477E"/>
    <w:rsid w:val="006049E7"/>
    <w:rsid w:val="00604A57"/>
    <w:rsid w:val="00604D09"/>
    <w:rsid w:val="00604DEE"/>
    <w:rsid w:val="00604EA5"/>
    <w:rsid w:val="00604FA3"/>
    <w:rsid w:val="00605176"/>
    <w:rsid w:val="0060544D"/>
    <w:rsid w:val="0060551F"/>
    <w:rsid w:val="0060553E"/>
    <w:rsid w:val="006059EC"/>
    <w:rsid w:val="00605A88"/>
    <w:rsid w:val="00605BFD"/>
    <w:rsid w:val="00605C55"/>
    <w:rsid w:val="00605CEE"/>
    <w:rsid w:val="00605D6A"/>
    <w:rsid w:val="00605EF5"/>
    <w:rsid w:val="00605F40"/>
    <w:rsid w:val="00606279"/>
    <w:rsid w:val="0060649F"/>
    <w:rsid w:val="00606951"/>
    <w:rsid w:val="00606A95"/>
    <w:rsid w:val="00606C1B"/>
    <w:rsid w:val="00606D32"/>
    <w:rsid w:val="00606FF8"/>
    <w:rsid w:val="00607166"/>
    <w:rsid w:val="0060720C"/>
    <w:rsid w:val="0060725C"/>
    <w:rsid w:val="006075A5"/>
    <w:rsid w:val="00607627"/>
    <w:rsid w:val="0060771B"/>
    <w:rsid w:val="006079A2"/>
    <w:rsid w:val="006079BC"/>
    <w:rsid w:val="00607A6F"/>
    <w:rsid w:val="0061043E"/>
    <w:rsid w:val="00610484"/>
    <w:rsid w:val="00610507"/>
    <w:rsid w:val="00610530"/>
    <w:rsid w:val="0061082D"/>
    <w:rsid w:val="00610959"/>
    <w:rsid w:val="006109B2"/>
    <w:rsid w:val="00610BE7"/>
    <w:rsid w:val="00610C7F"/>
    <w:rsid w:val="00610E59"/>
    <w:rsid w:val="00610FF3"/>
    <w:rsid w:val="006110BF"/>
    <w:rsid w:val="0061114C"/>
    <w:rsid w:val="00611153"/>
    <w:rsid w:val="006113CE"/>
    <w:rsid w:val="00611546"/>
    <w:rsid w:val="00611BC8"/>
    <w:rsid w:val="00611DCB"/>
    <w:rsid w:val="00611FFA"/>
    <w:rsid w:val="00612077"/>
    <w:rsid w:val="00612174"/>
    <w:rsid w:val="006121B4"/>
    <w:rsid w:val="006123E9"/>
    <w:rsid w:val="00612799"/>
    <w:rsid w:val="00612AAF"/>
    <w:rsid w:val="00612D49"/>
    <w:rsid w:val="00612D73"/>
    <w:rsid w:val="00612E78"/>
    <w:rsid w:val="00612EBE"/>
    <w:rsid w:val="00612ED8"/>
    <w:rsid w:val="00612F5F"/>
    <w:rsid w:val="006130A8"/>
    <w:rsid w:val="006132AD"/>
    <w:rsid w:val="00613467"/>
    <w:rsid w:val="006134A4"/>
    <w:rsid w:val="00613532"/>
    <w:rsid w:val="00613534"/>
    <w:rsid w:val="0061393A"/>
    <w:rsid w:val="00613978"/>
    <w:rsid w:val="00613AFA"/>
    <w:rsid w:val="00613E63"/>
    <w:rsid w:val="00613EC1"/>
    <w:rsid w:val="00614092"/>
    <w:rsid w:val="006145B1"/>
    <w:rsid w:val="00614622"/>
    <w:rsid w:val="00614DEA"/>
    <w:rsid w:val="00615335"/>
    <w:rsid w:val="006154EC"/>
    <w:rsid w:val="006155DC"/>
    <w:rsid w:val="00615660"/>
    <w:rsid w:val="006156B3"/>
    <w:rsid w:val="00615738"/>
    <w:rsid w:val="006157C2"/>
    <w:rsid w:val="0061581A"/>
    <w:rsid w:val="00615987"/>
    <w:rsid w:val="00615B6E"/>
    <w:rsid w:val="00615BBD"/>
    <w:rsid w:val="00615F98"/>
    <w:rsid w:val="00616216"/>
    <w:rsid w:val="0061626B"/>
    <w:rsid w:val="006164CF"/>
    <w:rsid w:val="006165AD"/>
    <w:rsid w:val="006167B4"/>
    <w:rsid w:val="00616992"/>
    <w:rsid w:val="00616B08"/>
    <w:rsid w:val="00616B62"/>
    <w:rsid w:val="00616CA3"/>
    <w:rsid w:val="00616D90"/>
    <w:rsid w:val="00616E40"/>
    <w:rsid w:val="00616EDD"/>
    <w:rsid w:val="00617053"/>
    <w:rsid w:val="00617189"/>
    <w:rsid w:val="006171F1"/>
    <w:rsid w:val="00617351"/>
    <w:rsid w:val="00617494"/>
    <w:rsid w:val="006175CA"/>
    <w:rsid w:val="00617669"/>
    <w:rsid w:val="00617752"/>
    <w:rsid w:val="006179A7"/>
    <w:rsid w:val="006179BF"/>
    <w:rsid w:val="00617B00"/>
    <w:rsid w:val="00617BE6"/>
    <w:rsid w:val="00617CB4"/>
    <w:rsid w:val="00617E0A"/>
    <w:rsid w:val="00617E21"/>
    <w:rsid w:val="00617EB4"/>
    <w:rsid w:val="0062021C"/>
    <w:rsid w:val="006202EA"/>
    <w:rsid w:val="00620570"/>
    <w:rsid w:val="00620691"/>
    <w:rsid w:val="00620901"/>
    <w:rsid w:val="00620978"/>
    <w:rsid w:val="00620A71"/>
    <w:rsid w:val="00620CEA"/>
    <w:rsid w:val="00620ED0"/>
    <w:rsid w:val="0062104E"/>
    <w:rsid w:val="006210FB"/>
    <w:rsid w:val="0062122E"/>
    <w:rsid w:val="0062135B"/>
    <w:rsid w:val="0062161D"/>
    <w:rsid w:val="0062168A"/>
    <w:rsid w:val="00621876"/>
    <w:rsid w:val="00621C64"/>
    <w:rsid w:val="00621C77"/>
    <w:rsid w:val="00621D18"/>
    <w:rsid w:val="00621D6E"/>
    <w:rsid w:val="00621F6D"/>
    <w:rsid w:val="006221D7"/>
    <w:rsid w:val="00622473"/>
    <w:rsid w:val="006224D9"/>
    <w:rsid w:val="00622513"/>
    <w:rsid w:val="006225B1"/>
    <w:rsid w:val="00622B8D"/>
    <w:rsid w:val="00622C35"/>
    <w:rsid w:val="00622E1E"/>
    <w:rsid w:val="00623024"/>
    <w:rsid w:val="00623153"/>
    <w:rsid w:val="00623255"/>
    <w:rsid w:val="00623392"/>
    <w:rsid w:val="006233ED"/>
    <w:rsid w:val="0062379A"/>
    <w:rsid w:val="006237F0"/>
    <w:rsid w:val="00623825"/>
    <w:rsid w:val="00623A06"/>
    <w:rsid w:val="006241F7"/>
    <w:rsid w:val="006244EF"/>
    <w:rsid w:val="006244FF"/>
    <w:rsid w:val="00624583"/>
    <w:rsid w:val="00624775"/>
    <w:rsid w:val="006248E0"/>
    <w:rsid w:val="00624B1C"/>
    <w:rsid w:val="00624B67"/>
    <w:rsid w:val="00624E6C"/>
    <w:rsid w:val="00624E75"/>
    <w:rsid w:val="006252E7"/>
    <w:rsid w:val="00625502"/>
    <w:rsid w:val="00625A73"/>
    <w:rsid w:val="00625B73"/>
    <w:rsid w:val="00625BEB"/>
    <w:rsid w:val="00625E6A"/>
    <w:rsid w:val="00626069"/>
    <w:rsid w:val="00626223"/>
    <w:rsid w:val="00626981"/>
    <w:rsid w:val="00626B96"/>
    <w:rsid w:val="00626D7F"/>
    <w:rsid w:val="00626F17"/>
    <w:rsid w:val="00627391"/>
    <w:rsid w:val="006274BB"/>
    <w:rsid w:val="00627985"/>
    <w:rsid w:val="00627C0F"/>
    <w:rsid w:val="00627E6E"/>
    <w:rsid w:val="00627F24"/>
    <w:rsid w:val="00627FA2"/>
    <w:rsid w:val="00627FED"/>
    <w:rsid w:val="006301BB"/>
    <w:rsid w:val="006301C3"/>
    <w:rsid w:val="006301D8"/>
    <w:rsid w:val="006305B1"/>
    <w:rsid w:val="0063095A"/>
    <w:rsid w:val="00630ABD"/>
    <w:rsid w:val="00630AC6"/>
    <w:rsid w:val="00630CBA"/>
    <w:rsid w:val="00630DF4"/>
    <w:rsid w:val="006311D5"/>
    <w:rsid w:val="0063125F"/>
    <w:rsid w:val="006312AC"/>
    <w:rsid w:val="006313B3"/>
    <w:rsid w:val="00631550"/>
    <w:rsid w:val="0063187E"/>
    <w:rsid w:val="00631B05"/>
    <w:rsid w:val="00631BFF"/>
    <w:rsid w:val="00631C05"/>
    <w:rsid w:val="00631F09"/>
    <w:rsid w:val="00631F0A"/>
    <w:rsid w:val="0063209E"/>
    <w:rsid w:val="00632333"/>
    <w:rsid w:val="00632651"/>
    <w:rsid w:val="00632817"/>
    <w:rsid w:val="00632AFE"/>
    <w:rsid w:val="00632B13"/>
    <w:rsid w:val="00632D38"/>
    <w:rsid w:val="00632EF7"/>
    <w:rsid w:val="00632F0A"/>
    <w:rsid w:val="00633170"/>
    <w:rsid w:val="00633196"/>
    <w:rsid w:val="006333C0"/>
    <w:rsid w:val="00633733"/>
    <w:rsid w:val="0063377C"/>
    <w:rsid w:val="006337B2"/>
    <w:rsid w:val="006339FD"/>
    <w:rsid w:val="00633A7E"/>
    <w:rsid w:val="00633C46"/>
    <w:rsid w:val="00633F5B"/>
    <w:rsid w:val="00634440"/>
    <w:rsid w:val="0063474D"/>
    <w:rsid w:val="00634C24"/>
    <w:rsid w:val="00634D1C"/>
    <w:rsid w:val="00634E19"/>
    <w:rsid w:val="00634E9A"/>
    <w:rsid w:val="00635048"/>
    <w:rsid w:val="0063517D"/>
    <w:rsid w:val="00635407"/>
    <w:rsid w:val="0063564A"/>
    <w:rsid w:val="00635691"/>
    <w:rsid w:val="00635696"/>
    <w:rsid w:val="00635869"/>
    <w:rsid w:val="0063597B"/>
    <w:rsid w:val="00635989"/>
    <w:rsid w:val="00635C70"/>
    <w:rsid w:val="00635E5F"/>
    <w:rsid w:val="00635FF7"/>
    <w:rsid w:val="0063626D"/>
    <w:rsid w:val="00636514"/>
    <w:rsid w:val="00636C99"/>
    <w:rsid w:val="00636F54"/>
    <w:rsid w:val="00636F85"/>
    <w:rsid w:val="006370F0"/>
    <w:rsid w:val="006371B9"/>
    <w:rsid w:val="00637438"/>
    <w:rsid w:val="006376CE"/>
    <w:rsid w:val="00637857"/>
    <w:rsid w:val="00637B2A"/>
    <w:rsid w:val="00637BBA"/>
    <w:rsid w:val="00637BFA"/>
    <w:rsid w:val="00637C44"/>
    <w:rsid w:val="00637DF4"/>
    <w:rsid w:val="00640322"/>
    <w:rsid w:val="00640582"/>
    <w:rsid w:val="00640867"/>
    <w:rsid w:val="006408F4"/>
    <w:rsid w:val="006409CB"/>
    <w:rsid w:val="00640CCA"/>
    <w:rsid w:val="00640D43"/>
    <w:rsid w:val="00640E0B"/>
    <w:rsid w:val="00641175"/>
    <w:rsid w:val="00641379"/>
    <w:rsid w:val="00641416"/>
    <w:rsid w:val="00641483"/>
    <w:rsid w:val="00641967"/>
    <w:rsid w:val="00641BAB"/>
    <w:rsid w:val="00641BF3"/>
    <w:rsid w:val="00642277"/>
    <w:rsid w:val="006425D1"/>
    <w:rsid w:val="00642619"/>
    <w:rsid w:val="0064295F"/>
    <w:rsid w:val="00642963"/>
    <w:rsid w:val="0064297D"/>
    <w:rsid w:val="00642B41"/>
    <w:rsid w:val="00642CBE"/>
    <w:rsid w:val="00642D86"/>
    <w:rsid w:val="006430B3"/>
    <w:rsid w:val="00643100"/>
    <w:rsid w:val="0064310B"/>
    <w:rsid w:val="00643416"/>
    <w:rsid w:val="00643534"/>
    <w:rsid w:val="00643643"/>
    <w:rsid w:val="00643737"/>
    <w:rsid w:val="0064388C"/>
    <w:rsid w:val="006438BA"/>
    <w:rsid w:val="00643ACA"/>
    <w:rsid w:val="00643C4E"/>
    <w:rsid w:val="00643D2A"/>
    <w:rsid w:val="00643E1D"/>
    <w:rsid w:val="00643EED"/>
    <w:rsid w:val="00643EF0"/>
    <w:rsid w:val="00644085"/>
    <w:rsid w:val="0064421F"/>
    <w:rsid w:val="00644237"/>
    <w:rsid w:val="00644629"/>
    <w:rsid w:val="00644700"/>
    <w:rsid w:val="00644827"/>
    <w:rsid w:val="00644AA2"/>
    <w:rsid w:val="00644F2C"/>
    <w:rsid w:val="00644F40"/>
    <w:rsid w:val="00645396"/>
    <w:rsid w:val="00645538"/>
    <w:rsid w:val="006456BB"/>
    <w:rsid w:val="006457AF"/>
    <w:rsid w:val="00645D0B"/>
    <w:rsid w:val="00645E0A"/>
    <w:rsid w:val="00645F57"/>
    <w:rsid w:val="006462C8"/>
    <w:rsid w:val="006464C4"/>
    <w:rsid w:val="00646670"/>
    <w:rsid w:val="0064673F"/>
    <w:rsid w:val="00646741"/>
    <w:rsid w:val="00646933"/>
    <w:rsid w:val="00646B0D"/>
    <w:rsid w:val="00646C26"/>
    <w:rsid w:val="00646D01"/>
    <w:rsid w:val="00646D34"/>
    <w:rsid w:val="00646E73"/>
    <w:rsid w:val="006471CA"/>
    <w:rsid w:val="00647358"/>
    <w:rsid w:val="00647BEB"/>
    <w:rsid w:val="00647DB8"/>
    <w:rsid w:val="0065002A"/>
    <w:rsid w:val="00650071"/>
    <w:rsid w:val="006500E1"/>
    <w:rsid w:val="00650277"/>
    <w:rsid w:val="00650281"/>
    <w:rsid w:val="0065037A"/>
    <w:rsid w:val="00650546"/>
    <w:rsid w:val="00650614"/>
    <w:rsid w:val="006507C9"/>
    <w:rsid w:val="006508DC"/>
    <w:rsid w:val="00650B11"/>
    <w:rsid w:val="00650D07"/>
    <w:rsid w:val="00650ECA"/>
    <w:rsid w:val="00650FC4"/>
    <w:rsid w:val="00651263"/>
    <w:rsid w:val="0065135E"/>
    <w:rsid w:val="00651395"/>
    <w:rsid w:val="0065146B"/>
    <w:rsid w:val="006519CB"/>
    <w:rsid w:val="00651C25"/>
    <w:rsid w:val="00651CE1"/>
    <w:rsid w:val="00651D9F"/>
    <w:rsid w:val="0065205F"/>
    <w:rsid w:val="0065209B"/>
    <w:rsid w:val="00652145"/>
    <w:rsid w:val="00652209"/>
    <w:rsid w:val="0065237C"/>
    <w:rsid w:val="006526EF"/>
    <w:rsid w:val="0065289C"/>
    <w:rsid w:val="00652A37"/>
    <w:rsid w:val="00652A3F"/>
    <w:rsid w:val="00652C12"/>
    <w:rsid w:val="00652C19"/>
    <w:rsid w:val="00652F7D"/>
    <w:rsid w:val="0065307D"/>
    <w:rsid w:val="006530DE"/>
    <w:rsid w:val="0065393C"/>
    <w:rsid w:val="00653A24"/>
    <w:rsid w:val="00653B55"/>
    <w:rsid w:val="00653C75"/>
    <w:rsid w:val="00654146"/>
    <w:rsid w:val="00654299"/>
    <w:rsid w:val="00654415"/>
    <w:rsid w:val="006548B8"/>
    <w:rsid w:val="00654958"/>
    <w:rsid w:val="00654BA5"/>
    <w:rsid w:val="00654DB4"/>
    <w:rsid w:val="00654FF4"/>
    <w:rsid w:val="00655477"/>
    <w:rsid w:val="006556B3"/>
    <w:rsid w:val="00655D3E"/>
    <w:rsid w:val="0065619D"/>
    <w:rsid w:val="006566AF"/>
    <w:rsid w:val="006566DA"/>
    <w:rsid w:val="006567DE"/>
    <w:rsid w:val="006569EC"/>
    <w:rsid w:val="00656B0A"/>
    <w:rsid w:val="00656B0B"/>
    <w:rsid w:val="00656B12"/>
    <w:rsid w:val="00656CB0"/>
    <w:rsid w:val="00656DE7"/>
    <w:rsid w:val="0065718B"/>
    <w:rsid w:val="0065728B"/>
    <w:rsid w:val="00657544"/>
    <w:rsid w:val="0065757F"/>
    <w:rsid w:val="00657779"/>
    <w:rsid w:val="00657904"/>
    <w:rsid w:val="00657AB4"/>
    <w:rsid w:val="00657F0B"/>
    <w:rsid w:val="0066016D"/>
    <w:rsid w:val="00660478"/>
    <w:rsid w:val="00660796"/>
    <w:rsid w:val="006607AA"/>
    <w:rsid w:val="006608CF"/>
    <w:rsid w:val="00660A4C"/>
    <w:rsid w:val="00660E09"/>
    <w:rsid w:val="00660E21"/>
    <w:rsid w:val="00660F4B"/>
    <w:rsid w:val="0066103B"/>
    <w:rsid w:val="006610DB"/>
    <w:rsid w:val="006610E3"/>
    <w:rsid w:val="00661133"/>
    <w:rsid w:val="00661306"/>
    <w:rsid w:val="0066140E"/>
    <w:rsid w:val="00661491"/>
    <w:rsid w:val="006615FD"/>
    <w:rsid w:val="00661846"/>
    <w:rsid w:val="00661C35"/>
    <w:rsid w:val="00661D33"/>
    <w:rsid w:val="00661DEA"/>
    <w:rsid w:val="00661F7C"/>
    <w:rsid w:val="00662419"/>
    <w:rsid w:val="006625F2"/>
    <w:rsid w:val="006625F3"/>
    <w:rsid w:val="0066293B"/>
    <w:rsid w:val="0066293D"/>
    <w:rsid w:val="00662AD8"/>
    <w:rsid w:val="00662ECE"/>
    <w:rsid w:val="00663300"/>
    <w:rsid w:val="006636D7"/>
    <w:rsid w:val="00663702"/>
    <w:rsid w:val="006639A0"/>
    <w:rsid w:val="00663C54"/>
    <w:rsid w:val="00663F10"/>
    <w:rsid w:val="00664120"/>
    <w:rsid w:val="00664238"/>
    <w:rsid w:val="006644BE"/>
    <w:rsid w:val="0066495B"/>
    <w:rsid w:val="006649BC"/>
    <w:rsid w:val="00664B38"/>
    <w:rsid w:val="00664C03"/>
    <w:rsid w:val="00664E57"/>
    <w:rsid w:val="0066560A"/>
    <w:rsid w:val="006657AE"/>
    <w:rsid w:val="006657C0"/>
    <w:rsid w:val="006658C4"/>
    <w:rsid w:val="006658C7"/>
    <w:rsid w:val="006658FF"/>
    <w:rsid w:val="006659BB"/>
    <w:rsid w:val="00665B58"/>
    <w:rsid w:val="00665D24"/>
    <w:rsid w:val="00666149"/>
    <w:rsid w:val="00666359"/>
    <w:rsid w:val="006665A0"/>
    <w:rsid w:val="00666722"/>
    <w:rsid w:val="006667B9"/>
    <w:rsid w:val="0066691F"/>
    <w:rsid w:val="00666A70"/>
    <w:rsid w:val="00666AAC"/>
    <w:rsid w:val="00666BE6"/>
    <w:rsid w:val="006670A6"/>
    <w:rsid w:val="006672CA"/>
    <w:rsid w:val="0066741B"/>
    <w:rsid w:val="006675AA"/>
    <w:rsid w:val="0066760C"/>
    <w:rsid w:val="00667896"/>
    <w:rsid w:val="006678BD"/>
    <w:rsid w:val="006679A5"/>
    <w:rsid w:val="00667ABD"/>
    <w:rsid w:val="00667C6E"/>
    <w:rsid w:val="00667E66"/>
    <w:rsid w:val="0067031F"/>
    <w:rsid w:val="006703E4"/>
    <w:rsid w:val="006703EC"/>
    <w:rsid w:val="006708E3"/>
    <w:rsid w:val="00670B4E"/>
    <w:rsid w:val="0067100D"/>
    <w:rsid w:val="006713D8"/>
    <w:rsid w:val="006716A0"/>
    <w:rsid w:val="006717A0"/>
    <w:rsid w:val="00671A1F"/>
    <w:rsid w:val="00671ABE"/>
    <w:rsid w:val="00672219"/>
    <w:rsid w:val="00672404"/>
    <w:rsid w:val="00672453"/>
    <w:rsid w:val="006724B9"/>
    <w:rsid w:val="00672570"/>
    <w:rsid w:val="00672673"/>
    <w:rsid w:val="00672913"/>
    <w:rsid w:val="00672AF0"/>
    <w:rsid w:val="00672BE5"/>
    <w:rsid w:val="00672EE7"/>
    <w:rsid w:val="00672F54"/>
    <w:rsid w:val="00672FD0"/>
    <w:rsid w:val="00673157"/>
    <w:rsid w:val="00673517"/>
    <w:rsid w:val="006736B1"/>
    <w:rsid w:val="00673DBF"/>
    <w:rsid w:val="00673EE5"/>
    <w:rsid w:val="00673FC0"/>
    <w:rsid w:val="00674128"/>
    <w:rsid w:val="00674306"/>
    <w:rsid w:val="006743A3"/>
    <w:rsid w:val="00674539"/>
    <w:rsid w:val="0067469E"/>
    <w:rsid w:val="00674987"/>
    <w:rsid w:val="00674A0E"/>
    <w:rsid w:val="00674AD4"/>
    <w:rsid w:val="006750D2"/>
    <w:rsid w:val="0067517D"/>
    <w:rsid w:val="006759FD"/>
    <w:rsid w:val="00675AEF"/>
    <w:rsid w:val="00675B6B"/>
    <w:rsid w:val="006764AB"/>
    <w:rsid w:val="006764C1"/>
    <w:rsid w:val="0067664C"/>
    <w:rsid w:val="006766B8"/>
    <w:rsid w:val="00676D12"/>
    <w:rsid w:val="006776DC"/>
    <w:rsid w:val="006777A0"/>
    <w:rsid w:val="0067788B"/>
    <w:rsid w:val="006778C6"/>
    <w:rsid w:val="00677BAF"/>
    <w:rsid w:val="00677C7E"/>
    <w:rsid w:val="00677F22"/>
    <w:rsid w:val="00677F42"/>
    <w:rsid w:val="0068024A"/>
    <w:rsid w:val="006804C7"/>
    <w:rsid w:val="0068054C"/>
    <w:rsid w:val="00680CDD"/>
    <w:rsid w:val="00680D06"/>
    <w:rsid w:val="00680FB9"/>
    <w:rsid w:val="00681081"/>
    <w:rsid w:val="006812A1"/>
    <w:rsid w:val="00681538"/>
    <w:rsid w:val="00681694"/>
    <w:rsid w:val="006816D4"/>
    <w:rsid w:val="00681A66"/>
    <w:rsid w:val="00681C36"/>
    <w:rsid w:val="006820D9"/>
    <w:rsid w:val="00682152"/>
    <w:rsid w:val="006821E2"/>
    <w:rsid w:val="006823B4"/>
    <w:rsid w:val="006826F7"/>
    <w:rsid w:val="00682998"/>
    <w:rsid w:val="006829CC"/>
    <w:rsid w:val="00682A89"/>
    <w:rsid w:val="00682EFD"/>
    <w:rsid w:val="00683298"/>
    <w:rsid w:val="00683381"/>
    <w:rsid w:val="006834E5"/>
    <w:rsid w:val="006835C1"/>
    <w:rsid w:val="00683A6B"/>
    <w:rsid w:val="00683B94"/>
    <w:rsid w:val="00683BE9"/>
    <w:rsid w:val="00683D3C"/>
    <w:rsid w:val="00683D49"/>
    <w:rsid w:val="00683D9A"/>
    <w:rsid w:val="00683E9A"/>
    <w:rsid w:val="00683FAE"/>
    <w:rsid w:val="00684075"/>
    <w:rsid w:val="006843FE"/>
    <w:rsid w:val="00684414"/>
    <w:rsid w:val="00684734"/>
    <w:rsid w:val="006848E5"/>
    <w:rsid w:val="006849A3"/>
    <w:rsid w:val="00684C25"/>
    <w:rsid w:val="00685009"/>
    <w:rsid w:val="006850C7"/>
    <w:rsid w:val="00685149"/>
    <w:rsid w:val="00685559"/>
    <w:rsid w:val="0068573C"/>
    <w:rsid w:val="00685826"/>
    <w:rsid w:val="006858A9"/>
    <w:rsid w:val="00685AF6"/>
    <w:rsid w:val="00686135"/>
    <w:rsid w:val="006861E6"/>
    <w:rsid w:val="00686274"/>
    <w:rsid w:val="0068632D"/>
    <w:rsid w:val="006864A5"/>
    <w:rsid w:val="006866A0"/>
    <w:rsid w:val="00686872"/>
    <w:rsid w:val="00686A1A"/>
    <w:rsid w:val="00686B63"/>
    <w:rsid w:val="00686CC3"/>
    <w:rsid w:val="00686D56"/>
    <w:rsid w:val="00686F1A"/>
    <w:rsid w:val="00687144"/>
    <w:rsid w:val="00687396"/>
    <w:rsid w:val="0068754F"/>
    <w:rsid w:val="006876FF"/>
    <w:rsid w:val="00687A22"/>
    <w:rsid w:val="00687A94"/>
    <w:rsid w:val="00687F8F"/>
    <w:rsid w:val="0069018A"/>
    <w:rsid w:val="00690210"/>
    <w:rsid w:val="006903B9"/>
    <w:rsid w:val="00690580"/>
    <w:rsid w:val="006905A8"/>
    <w:rsid w:val="006906D7"/>
    <w:rsid w:val="00690E3C"/>
    <w:rsid w:val="006910CC"/>
    <w:rsid w:val="00691100"/>
    <w:rsid w:val="006911EC"/>
    <w:rsid w:val="006911EE"/>
    <w:rsid w:val="00691568"/>
    <w:rsid w:val="00691865"/>
    <w:rsid w:val="00691AA9"/>
    <w:rsid w:val="00691B9C"/>
    <w:rsid w:val="00691C42"/>
    <w:rsid w:val="00691C90"/>
    <w:rsid w:val="00691D5F"/>
    <w:rsid w:val="00691E0A"/>
    <w:rsid w:val="00691F69"/>
    <w:rsid w:val="00692105"/>
    <w:rsid w:val="0069233D"/>
    <w:rsid w:val="00692560"/>
    <w:rsid w:val="0069259B"/>
    <w:rsid w:val="00692602"/>
    <w:rsid w:val="00692944"/>
    <w:rsid w:val="00692972"/>
    <w:rsid w:val="00692BA1"/>
    <w:rsid w:val="00692CD9"/>
    <w:rsid w:val="00693409"/>
    <w:rsid w:val="0069342D"/>
    <w:rsid w:val="00693494"/>
    <w:rsid w:val="0069370C"/>
    <w:rsid w:val="00693B8C"/>
    <w:rsid w:val="00693BF3"/>
    <w:rsid w:val="00693C7C"/>
    <w:rsid w:val="00693D6B"/>
    <w:rsid w:val="00693DA4"/>
    <w:rsid w:val="00693DD6"/>
    <w:rsid w:val="006940BF"/>
    <w:rsid w:val="00694444"/>
    <w:rsid w:val="00694645"/>
    <w:rsid w:val="0069464F"/>
    <w:rsid w:val="00694696"/>
    <w:rsid w:val="00694792"/>
    <w:rsid w:val="0069492D"/>
    <w:rsid w:val="00694A59"/>
    <w:rsid w:val="00694BC8"/>
    <w:rsid w:val="00695099"/>
    <w:rsid w:val="006950ED"/>
    <w:rsid w:val="00695118"/>
    <w:rsid w:val="006952D1"/>
    <w:rsid w:val="00695365"/>
    <w:rsid w:val="00695DEA"/>
    <w:rsid w:val="006964CD"/>
    <w:rsid w:val="006965A6"/>
    <w:rsid w:val="006965FD"/>
    <w:rsid w:val="0069683B"/>
    <w:rsid w:val="006976FE"/>
    <w:rsid w:val="0069775B"/>
    <w:rsid w:val="00697826"/>
    <w:rsid w:val="006979B3"/>
    <w:rsid w:val="00697A02"/>
    <w:rsid w:val="00697C67"/>
    <w:rsid w:val="006A0314"/>
    <w:rsid w:val="006A031B"/>
    <w:rsid w:val="006A0378"/>
    <w:rsid w:val="006A08E6"/>
    <w:rsid w:val="006A099D"/>
    <w:rsid w:val="006A0AB6"/>
    <w:rsid w:val="006A0AFC"/>
    <w:rsid w:val="006A0C0B"/>
    <w:rsid w:val="006A0D03"/>
    <w:rsid w:val="006A0DB6"/>
    <w:rsid w:val="006A0E3C"/>
    <w:rsid w:val="006A0FEA"/>
    <w:rsid w:val="006A1496"/>
    <w:rsid w:val="006A151A"/>
    <w:rsid w:val="006A184E"/>
    <w:rsid w:val="006A190A"/>
    <w:rsid w:val="006A1B20"/>
    <w:rsid w:val="006A1CAE"/>
    <w:rsid w:val="006A1DA1"/>
    <w:rsid w:val="006A1DC3"/>
    <w:rsid w:val="006A207C"/>
    <w:rsid w:val="006A221F"/>
    <w:rsid w:val="006A22B3"/>
    <w:rsid w:val="006A2437"/>
    <w:rsid w:val="006A2597"/>
    <w:rsid w:val="006A29BC"/>
    <w:rsid w:val="006A2A16"/>
    <w:rsid w:val="006A2A69"/>
    <w:rsid w:val="006A2CB1"/>
    <w:rsid w:val="006A2D0A"/>
    <w:rsid w:val="006A2ED1"/>
    <w:rsid w:val="006A32FC"/>
    <w:rsid w:val="006A3389"/>
    <w:rsid w:val="006A33D6"/>
    <w:rsid w:val="006A35D1"/>
    <w:rsid w:val="006A364E"/>
    <w:rsid w:val="006A36AD"/>
    <w:rsid w:val="006A36C2"/>
    <w:rsid w:val="006A393C"/>
    <w:rsid w:val="006A3A45"/>
    <w:rsid w:val="006A3CD3"/>
    <w:rsid w:val="006A41FD"/>
    <w:rsid w:val="006A424B"/>
    <w:rsid w:val="006A4396"/>
    <w:rsid w:val="006A43D5"/>
    <w:rsid w:val="006A49C8"/>
    <w:rsid w:val="006A4AA8"/>
    <w:rsid w:val="006A4AAE"/>
    <w:rsid w:val="006A4D17"/>
    <w:rsid w:val="006A4D3E"/>
    <w:rsid w:val="006A4DA8"/>
    <w:rsid w:val="006A4EB1"/>
    <w:rsid w:val="006A50DE"/>
    <w:rsid w:val="006A518B"/>
    <w:rsid w:val="006A57B2"/>
    <w:rsid w:val="006A5A00"/>
    <w:rsid w:val="006A5B3C"/>
    <w:rsid w:val="006A5C89"/>
    <w:rsid w:val="006A5EE4"/>
    <w:rsid w:val="006A5F27"/>
    <w:rsid w:val="006A6396"/>
    <w:rsid w:val="006A64BB"/>
    <w:rsid w:val="006A68A4"/>
    <w:rsid w:val="006A6966"/>
    <w:rsid w:val="006A6A8B"/>
    <w:rsid w:val="006A6C66"/>
    <w:rsid w:val="006A6DE3"/>
    <w:rsid w:val="006A6ECF"/>
    <w:rsid w:val="006A71E4"/>
    <w:rsid w:val="006A737B"/>
    <w:rsid w:val="006A749E"/>
    <w:rsid w:val="006A74E3"/>
    <w:rsid w:val="006A75B4"/>
    <w:rsid w:val="006A767F"/>
    <w:rsid w:val="006A775E"/>
    <w:rsid w:val="006B000A"/>
    <w:rsid w:val="006B0021"/>
    <w:rsid w:val="006B021E"/>
    <w:rsid w:val="006B0369"/>
    <w:rsid w:val="006B0464"/>
    <w:rsid w:val="006B04B3"/>
    <w:rsid w:val="006B0773"/>
    <w:rsid w:val="006B08BD"/>
    <w:rsid w:val="006B0DB8"/>
    <w:rsid w:val="006B0F19"/>
    <w:rsid w:val="006B105E"/>
    <w:rsid w:val="006B110D"/>
    <w:rsid w:val="006B13EC"/>
    <w:rsid w:val="006B1650"/>
    <w:rsid w:val="006B1830"/>
    <w:rsid w:val="006B193B"/>
    <w:rsid w:val="006B1CBC"/>
    <w:rsid w:val="006B1F81"/>
    <w:rsid w:val="006B1FB6"/>
    <w:rsid w:val="006B232E"/>
    <w:rsid w:val="006B252A"/>
    <w:rsid w:val="006B26C0"/>
    <w:rsid w:val="006B2892"/>
    <w:rsid w:val="006B2A9E"/>
    <w:rsid w:val="006B2B8F"/>
    <w:rsid w:val="006B2E94"/>
    <w:rsid w:val="006B2EF7"/>
    <w:rsid w:val="006B3057"/>
    <w:rsid w:val="006B3214"/>
    <w:rsid w:val="006B3389"/>
    <w:rsid w:val="006B3470"/>
    <w:rsid w:val="006B34C2"/>
    <w:rsid w:val="006B3692"/>
    <w:rsid w:val="006B3870"/>
    <w:rsid w:val="006B3AE1"/>
    <w:rsid w:val="006B3E37"/>
    <w:rsid w:val="006B3FF6"/>
    <w:rsid w:val="006B403F"/>
    <w:rsid w:val="006B4156"/>
    <w:rsid w:val="006B4279"/>
    <w:rsid w:val="006B42AD"/>
    <w:rsid w:val="006B42FA"/>
    <w:rsid w:val="006B43B4"/>
    <w:rsid w:val="006B4522"/>
    <w:rsid w:val="006B4E04"/>
    <w:rsid w:val="006B4FD6"/>
    <w:rsid w:val="006B5198"/>
    <w:rsid w:val="006B5391"/>
    <w:rsid w:val="006B548C"/>
    <w:rsid w:val="006B572E"/>
    <w:rsid w:val="006B5742"/>
    <w:rsid w:val="006B5845"/>
    <w:rsid w:val="006B5995"/>
    <w:rsid w:val="006B5BBB"/>
    <w:rsid w:val="006B60F7"/>
    <w:rsid w:val="006B6297"/>
    <w:rsid w:val="006B639B"/>
    <w:rsid w:val="006B6582"/>
    <w:rsid w:val="006B66ED"/>
    <w:rsid w:val="006B6B22"/>
    <w:rsid w:val="006B6E8B"/>
    <w:rsid w:val="006B6F6C"/>
    <w:rsid w:val="006B70E2"/>
    <w:rsid w:val="006B7145"/>
    <w:rsid w:val="006B735D"/>
    <w:rsid w:val="006B74BB"/>
    <w:rsid w:val="006B74BF"/>
    <w:rsid w:val="006B785E"/>
    <w:rsid w:val="006B797E"/>
    <w:rsid w:val="006B7ABD"/>
    <w:rsid w:val="006B7B47"/>
    <w:rsid w:val="006B7BC0"/>
    <w:rsid w:val="006B7E32"/>
    <w:rsid w:val="006B7E36"/>
    <w:rsid w:val="006C003E"/>
    <w:rsid w:val="006C04DC"/>
    <w:rsid w:val="006C05F2"/>
    <w:rsid w:val="006C08DF"/>
    <w:rsid w:val="006C0CBD"/>
    <w:rsid w:val="006C1301"/>
    <w:rsid w:val="006C1349"/>
    <w:rsid w:val="006C153F"/>
    <w:rsid w:val="006C157E"/>
    <w:rsid w:val="006C173D"/>
    <w:rsid w:val="006C1BE1"/>
    <w:rsid w:val="006C1C02"/>
    <w:rsid w:val="006C1ED5"/>
    <w:rsid w:val="006C21E1"/>
    <w:rsid w:val="006C23C9"/>
    <w:rsid w:val="006C25BF"/>
    <w:rsid w:val="006C25E9"/>
    <w:rsid w:val="006C27BA"/>
    <w:rsid w:val="006C28DE"/>
    <w:rsid w:val="006C2E68"/>
    <w:rsid w:val="006C303D"/>
    <w:rsid w:val="006C347E"/>
    <w:rsid w:val="006C3505"/>
    <w:rsid w:val="006C35A5"/>
    <w:rsid w:val="006C35D5"/>
    <w:rsid w:val="006C37E4"/>
    <w:rsid w:val="006C3869"/>
    <w:rsid w:val="006C3D19"/>
    <w:rsid w:val="006C3D58"/>
    <w:rsid w:val="006C3E19"/>
    <w:rsid w:val="006C424E"/>
    <w:rsid w:val="006C4396"/>
    <w:rsid w:val="006C43FA"/>
    <w:rsid w:val="006C46ED"/>
    <w:rsid w:val="006C47EA"/>
    <w:rsid w:val="006C4A7E"/>
    <w:rsid w:val="006C4E3A"/>
    <w:rsid w:val="006C4ED5"/>
    <w:rsid w:val="006C551B"/>
    <w:rsid w:val="006C5C73"/>
    <w:rsid w:val="006C5D82"/>
    <w:rsid w:val="006C5EBE"/>
    <w:rsid w:val="006C5F86"/>
    <w:rsid w:val="006C5FC5"/>
    <w:rsid w:val="006C6266"/>
    <w:rsid w:val="006C630A"/>
    <w:rsid w:val="006C64D6"/>
    <w:rsid w:val="006C68E6"/>
    <w:rsid w:val="006C6A41"/>
    <w:rsid w:val="006C6D07"/>
    <w:rsid w:val="006C6DF7"/>
    <w:rsid w:val="006C701D"/>
    <w:rsid w:val="006C74ED"/>
    <w:rsid w:val="006C76D8"/>
    <w:rsid w:val="006C795E"/>
    <w:rsid w:val="006C7CA9"/>
    <w:rsid w:val="006D01EB"/>
    <w:rsid w:val="006D065C"/>
    <w:rsid w:val="006D09D9"/>
    <w:rsid w:val="006D0B92"/>
    <w:rsid w:val="006D0CDC"/>
    <w:rsid w:val="006D0E38"/>
    <w:rsid w:val="006D1393"/>
    <w:rsid w:val="006D15E7"/>
    <w:rsid w:val="006D1611"/>
    <w:rsid w:val="006D1618"/>
    <w:rsid w:val="006D18EE"/>
    <w:rsid w:val="006D1B81"/>
    <w:rsid w:val="006D1B9A"/>
    <w:rsid w:val="006D1D4E"/>
    <w:rsid w:val="006D1F89"/>
    <w:rsid w:val="006D2B99"/>
    <w:rsid w:val="006D2BB4"/>
    <w:rsid w:val="006D2D0B"/>
    <w:rsid w:val="006D2E5C"/>
    <w:rsid w:val="006D2FD8"/>
    <w:rsid w:val="006D3433"/>
    <w:rsid w:val="006D3441"/>
    <w:rsid w:val="006D3546"/>
    <w:rsid w:val="006D3610"/>
    <w:rsid w:val="006D3885"/>
    <w:rsid w:val="006D3902"/>
    <w:rsid w:val="006D3BBB"/>
    <w:rsid w:val="006D3CCD"/>
    <w:rsid w:val="006D3CDE"/>
    <w:rsid w:val="006D3DC3"/>
    <w:rsid w:val="006D408F"/>
    <w:rsid w:val="006D422C"/>
    <w:rsid w:val="006D42D1"/>
    <w:rsid w:val="006D4316"/>
    <w:rsid w:val="006D44BB"/>
    <w:rsid w:val="006D44EA"/>
    <w:rsid w:val="006D46B6"/>
    <w:rsid w:val="006D4722"/>
    <w:rsid w:val="006D4BBB"/>
    <w:rsid w:val="006D4D44"/>
    <w:rsid w:val="006D4D67"/>
    <w:rsid w:val="006D4E54"/>
    <w:rsid w:val="006D4ED1"/>
    <w:rsid w:val="006D5203"/>
    <w:rsid w:val="006D5601"/>
    <w:rsid w:val="006D5792"/>
    <w:rsid w:val="006D58F7"/>
    <w:rsid w:val="006D5972"/>
    <w:rsid w:val="006D5E1C"/>
    <w:rsid w:val="006D5ED5"/>
    <w:rsid w:val="006D6028"/>
    <w:rsid w:val="006D61A3"/>
    <w:rsid w:val="006D653A"/>
    <w:rsid w:val="006D66A9"/>
    <w:rsid w:val="006D67B4"/>
    <w:rsid w:val="006D699B"/>
    <w:rsid w:val="006D69AA"/>
    <w:rsid w:val="006D6C90"/>
    <w:rsid w:val="006D7255"/>
    <w:rsid w:val="006D72F2"/>
    <w:rsid w:val="006D735C"/>
    <w:rsid w:val="006D74F6"/>
    <w:rsid w:val="006D75F1"/>
    <w:rsid w:val="006D79E5"/>
    <w:rsid w:val="006D7A81"/>
    <w:rsid w:val="006D7B3A"/>
    <w:rsid w:val="006D7D5E"/>
    <w:rsid w:val="006D7E2D"/>
    <w:rsid w:val="006E00EA"/>
    <w:rsid w:val="006E02C2"/>
    <w:rsid w:val="006E04B8"/>
    <w:rsid w:val="006E081F"/>
    <w:rsid w:val="006E0AA8"/>
    <w:rsid w:val="006E0D23"/>
    <w:rsid w:val="006E0DEB"/>
    <w:rsid w:val="006E0F5C"/>
    <w:rsid w:val="006E10A0"/>
    <w:rsid w:val="006E128F"/>
    <w:rsid w:val="006E132B"/>
    <w:rsid w:val="006E15A4"/>
    <w:rsid w:val="006E16BB"/>
    <w:rsid w:val="006E186C"/>
    <w:rsid w:val="006E1A51"/>
    <w:rsid w:val="006E1B01"/>
    <w:rsid w:val="006E1B51"/>
    <w:rsid w:val="006E1B93"/>
    <w:rsid w:val="006E1CE4"/>
    <w:rsid w:val="006E1D0A"/>
    <w:rsid w:val="006E1F35"/>
    <w:rsid w:val="006E1F47"/>
    <w:rsid w:val="006E2295"/>
    <w:rsid w:val="006E2344"/>
    <w:rsid w:val="006E238A"/>
    <w:rsid w:val="006E2705"/>
    <w:rsid w:val="006E2997"/>
    <w:rsid w:val="006E29BB"/>
    <w:rsid w:val="006E2BDB"/>
    <w:rsid w:val="006E2FBE"/>
    <w:rsid w:val="006E32EE"/>
    <w:rsid w:val="006E3A49"/>
    <w:rsid w:val="006E3B00"/>
    <w:rsid w:val="006E3F2B"/>
    <w:rsid w:val="006E41F6"/>
    <w:rsid w:val="006E4549"/>
    <w:rsid w:val="006E461D"/>
    <w:rsid w:val="006E4A04"/>
    <w:rsid w:val="006E4BA0"/>
    <w:rsid w:val="006E4BC2"/>
    <w:rsid w:val="006E525C"/>
    <w:rsid w:val="006E57D1"/>
    <w:rsid w:val="006E5950"/>
    <w:rsid w:val="006E598F"/>
    <w:rsid w:val="006E5C4B"/>
    <w:rsid w:val="006E5EA9"/>
    <w:rsid w:val="006E5F26"/>
    <w:rsid w:val="006E63F2"/>
    <w:rsid w:val="006E6573"/>
    <w:rsid w:val="006E6713"/>
    <w:rsid w:val="006E6A0A"/>
    <w:rsid w:val="006E6C27"/>
    <w:rsid w:val="006E6E67"/>
    <w:rsid w:val="006E6EEA"/>
    <w:rsid w:val="006E7310"/>
    <w:rsid w:val="006E74D4"/>
    <w:rsid w:val="006E793F"/>
    <w:rsid w:val="006E79C1"/>
    <w:rsid w:val="006E79D6"/>
    <w:rsid w:val="006E7B0C"/>
    <w:rsid w:val="006E7B89"/>
    <w:rsid w:val="006E7BED"/>
    <w:rsid w:val="006E7C79"/>
    <w:rsid w:val="006E7DFF"/>
    <w:rsid w:val="006F0198"/>
    <w:rsid w:val="006F0501"/>
    <w:rsid w:val="006F0A24"/>
    <w:rsid w:val="006F0CFC"/>
    <w:rsid w:val="006F0E0C"/>
    <w:rsid w:val="006F0EC9"/>
    <w:rsid w:val="006F11AD"/>
    <w:rsid w:val="006F1205"/>
    <w:rsid w:val="006F12F0"/>
    <w:rsid w:val="006F140E"/>
    <w:rsid w:val="006F1421"/>
    <w:rsid w:val="006F1649"/>
    <w:rsid w:val="006F1A01"/>
    <w:rsid w:val="006F1A62"/>
    <w:rsid w:val="006F1B4A"/>
    <w:rsid w:val="006F1C77"/>
    <w:rsid w:val="006F1EF5"/>
    <w:rsid w:val="006F23A4"/>
    <w:rsid w:val="006F2643"/>
    <w:rsid w:val="006F26F2"/>
    <w:rsid w:val="006F2D2A"/>
    <w:rsid w:val="006F2DDA"/>
    <w:rsid w:val="006F30FB"/>
    <w:rsid w:val="006F322B"/>
    <w:rsid w:val="006F33A7"/>
    <w:rsid w:val="006F3473"/>
    <w:rsid w:val="006F348C"/>
    <w:rsid w:val="006F358E"/>
    <w:rsid w:val="006F394C"/>
    <w:rsid w:val="006F3AEB"/>
    <w:rsid w:val="006F4109"/>
    <w:rsid w:val="006F413F"/>
    <w:rsid w:val="006F4230"/>
    <w:rsid w:val="006F437D"/>
    <w:rsid w:val="006F43A0"/>
    <w:rsid w:val="006F44D2"/>
    <w:rsid w:val="006F4966"/>
    <w:rsid w:val="006F4ACC"/>
    <w:rsid w:val="006F4B69"/>
    <w:rsid w:val="006F4C08"/>
    <w:rsid w:val="006F4C21"/>
    <w:rsid w:val="006F4C46"/>
    <w:rsid w:val="006F4CB4"/>
    <w:rsid w:val="006F5002"/>
    <w:rsid w:val="006F5051"/>
    <w:rsid w:val="006F57D3"/>
    <w:rsid w:val="006F5AD7"/>
    <w:rsid w:val="006F5C2F"/>
    <w:rsid w:val="006F5F90"/>
    <w:rsid w:val="006F61DF"/>
    <w:rsid w:val="006F6501"/>
    <w:rsid w:val="006F654D"/>
    <w:rsid w:val="006F66DB"/>
    <w:rsid w:val="006F684B"/>
    <w:rsid w:val="006F6A7B"/>
    <w:rsid w:val="006F6D23"/>
    <w:rsid w:val="006F7038"/>
    <w:rsid w:val="006F712C"/>
    <w:rsid w:val="006F7132"/>
    <w:rsid w:val="006F721B"/>
    <w:rsid w:val="006F7641"/>
    <w:rsid w:val="006F76EA"/>
    <w:rsid w:val="006F77F3"/>
    <w:rsid w:val="006F7881"/>
    <w:rsid w:val="006F78D1"/>
    <w:rsid w:val="006F7B20"/>
    <w:rsid w:val="006F7B45"/>
    <w:rsid w:val="00700087"/>
    <w:rsid w:val="00700328"/>
    <w:rsid w:val="007005F2"/>
    <w:rsid w:val="007006F7"/>
    <w:rsid w:val="00700AD1"/>
    <w:rsid w:val="00700F04"/>
    <w:rsid w:val="00700FA7"/>
    <w:rsid w:val="00701061"/>
    <w:rsid w:val="007017F3"/>
    <w:rsid w:val="0070180D"/>
    <w:rsid w:val="00701892"/>
    <w:rsid w:val="00701957"/>
    <w:rsid w:val="00701EB5"/>
    <w:rsid w:val="00701F7B"/>
    <w:rsid w:val="00701F8A"/>
    <w:rsid w:val="00702279"/>
    <w:rsid w:val="00702542"/>
    <w:rsid w:val="007026A0"/>
    <w:rsid w:val="007026C5"/>
    <w:rsid w:val="00702804"/>
    <w:rsid w:val="00702854"/>
    <w:rsid w:val="00702A78"/>
    <w:rsid w:val="00702AE4"/>
    <w:rsid w:val="00702C03"/>
    <w:rsid w:val="00702C74"/>
    <w:rsid w:val="00702CAD"/>
    <w:rsid w:val="00702DA9"/>
    <w:rsid w:val="0070358D"/>
    <w:rsid w:val="007036FF"/>
    <w:rsid w:val="00703795"/>
    <w:rsid w:val="00703974"/>
    <w:rsid w:val="007039D5"/>
    <w:rsid w:val="00703A7F"/>
    <w:rsid w:val="00703B4E"/>
    <w:rsid w:val="00703FDB"/>
    <w:rsid w:val="00704315"/>
    <w:rsid w:val="007043B0"/>
    <w:rsid w:val="00704402"/>
    <w:rsid w:val="00704A98"/>
    <w:rsid w:val="00704B71"/>
    <w:rsid w:val="00704C15"/>
    <w:rsid w:val="00704D9D"/>
    <w:rsid w:val="00704E02"/>
    <w:rsid w:val="00704F97"/>
    <w:rsid w:val="00704FDB"/>
    <w:rsid w:val="00705213"/>
    <w:rsid w:val="007056A5"/>
    <w:rsid w:val="007058E7"/>
    <w:rsid w:val="00705EB8"/>
    <w:rsid w:val="00705EFE"/>
    <w:rsid w:val="00705F99"/>
    <w:rsid w:val="00705FB3"/>
    <w:rsid w:val="00706000"/>
    <w:rsid w:val="00706297"/>
    <w:rsid w:val="007062D5"/>
    <w:rsid w:val="0070641A"/>
    <w:rsid w:val="0070658F"/>
    <w:rsid w:val="007066A4"/>
    <w:rsid w:val="007067A2"/>
    <w:rsid w:val="0070698E"/>
    <w:rsid w:val="0070704C"/>
    <w:rsid w:val="00707129"/>
    <w:rsid w:val="0070753A"/>
    <w:rsid w:val="00707560"/>
    <w:rsid w:val="0070769B"/>
    <w:rsid w:val="007076CC"/>
    <w:rsid w:val="007079C8"/>
    <w:rsid w:val="00707D78"/>
    <w:rsid w:val="00707FBA"/>
    <w:rsid w:val="0071002D"/>
    <w:rsid w:val="007100F0"/>
    <w:rsid w:val="00710111"/>
    <w:rsid w:val="007101A7"/>
    <w:rsid w:val="007103F2"/>
    <w:rsid w:val="0071040A"/>
    <w:rsid w:val="007106C5"/>
    <w:rsid w:val="00710746"/>
    <w:rsid w:val="00710773"/>
    <w:rsid w:val="007107FD"/>
    <w:rsid w:val="00710852"/>
    <w:rsid w:val="00710A7B"/>
    <w:rsid w:val="00710BEF"/>
    <w:rsid w:val="00710E63"/>
    <w:rsid w:val="00710EB3"/>
    <w:rsid w:val="00711590"/>
    <w:rsid w:val="007115D9"/>
    <w:rsid w:val="00711616"/>
    <w:rsid w:val="007116AD"/>
    <w:rsid w:val="00711A14"/>
    <w:rsid w:val="00711BF9"/>
    <w:rsid w:val="00711D53"/>
    <w:rsid w:val="00711D64"/>
    <w:rsid w:val="007120FA"/>
    <w:rsid w:val="007122A1"/>
    <w:rsid w:val="00712373"/>
    <w:rsid w:val="007124F9"/>
    <w:rsid w:val="00712967"/>
    <w:rsid w:val="00712A76"/>
    <w:rsid w:val="00712B55"/>
    <w:rsid w:val="00712D37"/>
    <w:rsid w:val="00712FB3"/>
    <w:rsid w:val="00713176"/>
    <w:rsid w:val="007131F1"/>
    <w:rsid w:val="0071329E"/>
    <w:rsid w:val="0071334B"/>
    <w:rsid w:val="007135BE"/>
    <w:rsid w:val="00713764"/>
    <w:rsid w:val="007138C4"/>
    <w:rsid w:val="00713B16"/>
    <w:rsid w:val="00713EE7"/>
    <w:rsid w:val="00714D2F"/>
    <w:rsid w:val="00714E62"/>
    <w:rsid w:val="00714F1F"/>
    <w:rsid w:val="0071504D"/>
    <w:rsid w:val="00715082"/>
    <w:rsid w:val="007154F2"/>
    <w:rsid w:val="0071558B"/>
    <w:rsid w:val="007157D8"/>
    <w:rsid w:val="007158DB"/>
    <w:rsid w:val="00715CCF"/>
    <w:rsid w:val="00715D97"/>
    <w:rsid w:val="00715E62"/>
    <w:rsid w:val="00716100"/>
    <w:rsid w:val="00716101"/>
    <w:rsid w:val="00716108"/>
    <w:rsid w:val="0071614D"/>
    <w:rsid w:val="00716408"/>
    <w:rsid w:val="007164E1"/>
    <w:rsid w:val="00716532"/>
    <w:rsid w:val="00716643"/>
    <w:rsid w:val="00716C52"/>
    <w:rsid w:val="00716CEC"/>
    <w:rsid w:val="00716E2D"/>
    <w:rsid w:val="00716EE8"/>
    <w:rsid w:val="00716F23"/>
    <w:rsid w:val="007174D5"/>
    <w:rsid w:val="0071755E"/>
    <w:rsid w:val="00717920"/>
    <w:rsid w:val="00717D17"/>
    <w:rsid w:val="00717DC8"/>
    <w:rsid w:val="0072008D"/>
    <w:rsid w:val="00720209"/>
    <w:rsid w:val="0072043A"/>
    <w:rsid w:val="007205E4"/>
    <w:rsid w:val="0072066C"/>
    <w:rsid w:val="0072080E"/>
    <w:rsid w:val="00720950"/>
    <w:rsid w:val="00720A90"/>
    <w:rsid w:val="00720A96"/>
    <w:rsid w:val="00720C7D"/>
    <w:rsid w:val="00720E20"/>
    <w:rsid w:val="007212DB"/>
    <w:rsid w:val="0072139B"/>
    <w:rsid w:val="00721436"/>
    <w:rsid w:val="00721542"/>
    <w:rsid w:val="00721E80"/>
    <w:rsid w:val="0072219B"/>
    <w:rsid w:val="00722559"/>
    <w:rsid w:val="00722605"/>
    <w:rsid w:val="007226E0"/>
    <w:rsid w:val="00722706"/>
    <w:rsid w:val="00722787"/>
    <w:rsid w:val="0072295E"/>
    <w:rsid w:val="00722A1A"/>
    <w:rsid w:val="00722B05"/>
    <w:rsid w:val="00722B92"/>
    <w:rsid w:val="00722BB6"/>
    <w:rsid w:val="00722DD9"/>
    <w:rsid w:val="00722E1B"/>
    <w:rsid w:val="00722F33"/>
    <w:rsid w:val="007230D6"/>
    <w:rsid w:val="0072310E"/>
    <w:rsid w:val="00723342"/>
    <w:rsid w:val="00723626"/>
    <w:rsid w:val="007236C8"/>
    <w:rsid w:val="00723A1D"/>
    <w:rsid w:val="00723A47"/>
    <w:rsid w:val="00723C35"/>
    <w:rsid w:val="00723F48"/>
    <w:rsid w:val="007242AC"/>
    <w:rsid w:val="00724A42"/>
    <w:rsid w:val="00725092"/>
    <w:rsid w:val="00725123"/>
    <w:rsid w:val="00725146"/>
    <w:rsid w:val="0072553B"/>
    <w:rsid w:val="00725630"/>
    <w:rsid w:val="00725A21"/>
    <w:rsid w:val="00725B75"/>
    <w:rsid w:val="00725CC8"/>
    <w:rsid w:val="00725DF6"/>
    <w:rsid w:val="00725F5E"/>
    <w:rsid w:val="0072610B"/>
    <w:rsid w:val="0072635C"/>
    <w:rsid w:val="007263F5"/>
    <w:rsid w:val="0072653E"/>
    <w:rsid w:val="007265B9"/>
    <w:rsid w:val="0072681B"/>
    <w:rsid w:val="00726AF6"/>
    <w:rsid w:val="00726C1D"/>
    <w:rsid w:val="00726D00"/>
    <w:rsid w:val="00726D7B"/>
    <w:rsid w:val="007272F4"/>
    <w:rsid w:val="00727529"/>
    <w:rsid w:val="007276CC"/>
    <w:rsid w:val="00727AA4"/>
    <w:rsid w:val="00727AE3"/>
    <w:rsid w:val="00727DAF"/>
    <w:rsid w:val="0073047C"/>
    <w:rsid w:val="00730608"/>
    <w:rsid w:val="0073073D"/>
    <w:rsid w:val="007307D1"/>
    <w:rsid w:val="00730906"/>
    <w:rsid w:val="00730A05"/>
    <w:rsid w:val="00730D00"/>
    <w:rsid w:val="00730D13"/>
    <w:rsid w:val="00731000"/>
    <w:rsid w:val="0073104D"/>
    <w:rsid w:val="00731125"/>
    <w:rsid w:val="007312BC"/>
    <w:rsid w:val="00731322"/>
    <w:rsid w:val="00731489"/>
    <w:rsid w:val="007316CF"/>
    <w:rsid w:val="007317B0"/>
    <w:rsid w:val="0073180F"/>
    <w:rsid w:val="00731960"/>
    <w:rsid w:val="00731B29"/>
    <w:rsid w:val="00731C94"/>
    <w:rsid w:val="00731D36"/>
    <w:rsid w:val="00731ED8"/>
    <w:rsid w:val="0073210D"/>
    <w:rsid w:val="007321E8"/>
    <w:rsid w:val="00732327"/>
    <w:rsid w:val="0073247C"/>
    <w:rsid w:val="00732840"/>
    <w:rsid w:val="00732B50"/>
    <w:rsid w:val="00732D78"/>
    <w:rsid w:val="007331FA"/>
    <w:rsid w:val="007332EA"/>
    <w:rsid w:val="00733353"/>
    <w:rsid w:val="00733410"/>
    <w:rsid w:val="007338DC"/>
    <w:rsid w:val="00733969"/>
    <w:rsid w:val="00733C79"/>
    <w:rsid w:val="007340EF"/>
    <w:rsid w:val="0073423C"/>
    <w:rsid w:val="007343F1"/>
    <w:rsid w:val="00734607"/>
    <w:rsid w:val="0073460A"/>
    <w:rsid w:val="007346E2"/>
    <w:rsid w:val="00734706"/>
    <w:rsid w:val="00734812"/>
    <w:rsid w:val="0073488E"/>
    <w:rsid w:val="0073489B"/>
    <w:rsid w:val="007348BE"/>
    <w:rsid w:val="007348F5"/>
    <w:rsid w:val="00734DA5"/>
    <w:rsid w:val="007350BD"/>
    <w:rsid w:val="00735184"/>
    <w:rsid w:val="007351DB"/>
    <w:rsid w:val="007352E9"/>
    <w:rsid w:val="007352F3"/>
    <w:rsid w:val="00735385"/>
    <w:rsid w:val="00735420"/>
    <w:rsid w:val="0073561C"/>
    <w:rsid w:val="00735703"/>
    <w:rsid w:val="00735889"/>
    <w:rsid w:val="007358F2"/>
    <w:rsid w:val="0073599C"/>
    <w:rsid w:val="00735A73"/>
    <w:rsid w:val="00735B5C"/>
    <w:rsid w:val="00735E46"/>
    <w:rsid w:val="00735FBC"/>
    <w:rsid w:val="007360A5"/>
    <w:rsid w:val="007360F0"/>
    <w:rsid w:val="0073611F"/>
    <w:rsid w:val="00736127"/>
    <w:rsid w:val="007362F4"/>
    <w:rsid w:val="00736371"/>
    <w:rsid w:val="007363A2"/>
    <w:rsid w:val="007365A4"/>
    <w:rsid w:val="00736620"/>
    <w:rsid w:val="007366AF"/>
    <w:rsid w:val="00736AAB"/>
    <w:rsid w:val="00736B38"/>
    <w:rsid w:val="00736BFD"/>
    <w:rsid w:val="00736F35"/>
    <w:rsid w:val="007371AC"/>
    <w:rsid w:val="0073734F"/>
    <w:rsid w:val="00737814"/>
    <w:rsid w:val="00737866"/>
    <w:rsid w:val="00737A17"/>
    <w:rsid w:val="00737A97"/>
    <w:rsid w:val="00737B59"/>
    <w:rsid w:val="00737BE7"/>
    <w:rsid w:val="00737CB2"/>
    <w:rsid w:val="007400E5"/>
    <w:rsid w:val="007403FD"/>
    <w:rsid w:val="007404A8"/>
    <w:rsid w:val="007409FB"/>
    <w:rsid w:val="00740A46"/>
    <w:rsid w:val="00740D73"/>
    <w:rsid w:val="00740E38"/>
    <w:rsid w:val="00740E6F"/>
    <w:rsid w:val="00740F5A"/>
    <w:rsid w:val="0074112F"/>
    <w:rsid w:val="007411FE"/>
    <w:rsid w:val="00741681"/>
    <w:rsid w:val="007416DB"/>
    <w:rsid w:val="0074177E"/>
    <w:rsid w:val="00741883"/>
    <w:rsid w:val="00741E2C"/>
    <w:rsid w:val="00742152"/>
    <w:rsid w:val="00742233"/>
    <w:rsid w:val="007424C6"/>
    <w:rsid w:val="007424F2"/>
    <w:rsid w:val="007425A6"/>
    <w:rsid w:val="0074268F"/>
    <w:rsid w:val="00742A30"/>
    <w:rsid w:val="00742C73"/>
    <w:rsid w:val="00743C34"/>
    <w:rsid w:val="00743EBC"/>
    <w:rsid w:val="00743EC7"/>
    <w:rsid w:val="0074406C"/>
    <w:rsid w:val="0074418F"/>
    <w:rsid w:val="00744363"/>
    <w:rsid w:val="00744484"/>
    <w:rsid w:val="007444B7"/>
    <w:rsid w:val="007448A2"/>
    <w:rsid w:val="007449C7"/>
    <w:rsid w:val="00744AA6"/>
    <w:rsid w:val="00744B53"/>
    <w:rsid w:val="00744DD9"/>
    <w:rsid w:val="0074502D"/>
    <w:rsid w:val="00745298"/>
    <w:rsid w:val="007452E7"/>
    <w:rsid w:val="0074547E"/>
    <w:rsid w:val="007454F7"/>
    <w:rsid w:val="0074567A"/>
    <w:rsid w:val="0074567F"/>
    <w:rsid w:val="007456A6"/>
    <w:rsid w:val="007459F1"/>
    <w:rsid w:val="00745BAB"/>
    <w:rsid w:val="00745EB2"/>
    <w:rsid w:val="007461EE"/>
    <w:rsid w:val="007463DE"/>
    <w:rsid w:val="007464D5"/>
    <w:rsid w:val="00746B9D"/>
    <w:rsid w:val="00746C05"/>
    <w:rsid w:val="00746C48"/>
    <w:rsid w:val="00746F6C"/>
    <w:rsid w:val="00747167"/>
    <w:rsid w:val="00747313"/>
    <w:rsid w:val="00747519"/>
    <w:rsid w:val="00747636"/>
    <w:rsid w:val="00747941"/>
    <w:rsid w:val="00747DDC"/>
    <w:rsid w:val="00747F87"/>
    <w:rsid w:val="007504DA"/>
    <w:rsid w:val="00750594"/>
    <w:rsid w:val="00750617"/>
    <w:rsid w:val="00750709"/>
    <w:rsid w:val="00750B8F"/>
    <w:rsid w:val="00750B96"/>
    <w:rsid w:val="007513E0"/>
    <w:rsid w:val="007514C4"/>
    <w:rsid w:val="007515D2"/>
    <w:rsid w:val="0075163B"/>
    <w:rsid w:val="00751A25"/>
    <w:rsid w:val="00751ABC"/>
    <w:rsid w:val="00751DD3"/>
    <w:rsid w:val="00751EC6"/>
    <w:rsid w:val="00752094"/>
    <w:rsid w:val="0075212F"/>
    <w:rsid w:val="007528CD"/>
    <w:rsid w:val="00752D2E"/>
    <w:rsid w:val="00752DB2"/>
    <w:rsid w:val="0075331E"/>
    <w:rsid w:val="00753520"/>
    <w:rsid w:val="00753CB7"/>
    <w:rsid w:val="00753E46"/>
    <w:rsid w:val="00753E95"/>
    <w:rsid w:val="00753EE5"/>
    <w:rsid w:val="00753F49"/>
    <w:rsid w:val="00754013"/>
    <w:rsid w:val="007541C2"/>
    <w:rsid w:val="0075475A"/>
    <w:rsid w:val="007547A9"/>
    <w:rsid w:val="00754B36"/>
    <w:rsid w:val="00754B73"/>
    <w:rsid w:val="00754C16"/>
    <w:rsid w:val="00754EC3"/>
    <w:rsid w:val="007551B6"/>
    <w:rsid w:val="007554ED"/>
    <w:rsid w:val="00755631"/>
    <w:rsid w:val="0075575A"/>
    <w:rsid w:val="0075577B"/>
    <w:rsid w:val="007557ED"/>
    <w:rsid w:val="00755A1B"/>
    <w:rsid w:val="00755ABA"/>
    <w:rsid w:val="00755C37"/>
    <w:rsid w:val="00755D32"/>
    <w:rsid w:val="00756012"/>
    <w:rsid w:val="0075607B"/>
    <w:rsid w:val="007560BE"/>
    <w:rsid w:val="0075624D"/>
    <w:rsid w:val="007565BB"/>
    <w:rsid w:val="00756996"/>
    <w:rsid w:val="007569E4"/>
    <w:rsid w:val="00756B94"/>
    <w:rsid w:val="00756E4D"/>
    <w:rsid w:val="007572E8"/>
    <w:rsid w:val="007574C0"/>
    <w:rsid w:val="0075775E"/>
    <w:rsid w:val="00757B8A"/>
    <w:rsid w:val="00757C26"/>
    <w:rsid w:val="00757DBB"/>
    <w:rsid w:val="00757ECE"/>
    <w:rsid w:val="007605A9"/>
    <w:rsid w:val="0076077D"/>
    <w:rsid w:val="00760BED"/>
    <w:rsid w:val="00760FEF"/>
    <w:rsid w:val="0076123F"/>
    <w:rsid w:val="00761367"/>
    <w:rsid w:val="0076142F"/>
    <w:rsid w:val="0076164A"/>
    <w:rsid w:val="007617F5"/>
    <w:rsid w:val="00761C3A"/>
    <w:rsid w:val="00761D2E"/>
    <w:rsid w:val="00761F82"/>
    <w:rsid w:val="00761FFC"/>
    <w:rsid w:val="00762058"/>
    <w:rsid w:val="007621F2"/>
    <w:rsid w:val="00762529"/>
    <w:rsid w:val="0076257F"/>
    <w:rsid w:val="007625BD"/>
    <w:rsid w:val="00762611"/>
    <w:rsid w:val="00762899"/>
    <w:rsid w:val="007632BB"/>
    <w:rsid w:val="007632BE"/>
    <w:rsid w:val="0076338C"/>
    <w:rsid w:val="007633A4"/>
    <w:rsid w:val="007636C8"/>
    <w:rsid w:val="00763AEE"/>
    <w:rsid w:val="00763CEE"/>
    <w:rsid w:val="00763F51"/>
    <w:rsid w:val="007641EE"/>
    <w:rsid w:val="007642F0"/>
    <w:rsid w:val="0076438C"/>
    <w:rsid w:val="00764972"/>
    <w:rsid w:val="00764AF6"/>
    <w:rsid w:val="0076506E"/>
    <w:rsid w:val="007650E4"/>
    <w:rsid w:val="0076519F"/>
    <w:rsid w:val="00765422"/>
    <w:rsid w:val="007654A6"/>
    <w:rsid w:val="00765887"/>
    <w:rsid w:val="00765BFF"/>
    <w:rsid w:val="00765C3A"/>
    <w:rsid w:val="00765C7D"/>
    <w:rsid w:val="00765CAC"/>
    <w:rsid w:val="00765DEA"/>
    <w:rsid w:val="00765DF2"/>
    <w:rsid w:val="00765E1C"/>
    <w:rsid w:val="00766202"/>
    <w:rsid w:val="00766624"/>
    <w:rsid w:val="007668DA"/>
    <w:rsid w:val="00766ABF"/>
    <w:rsid w:val="00766ACF"/>
    <w:rsid w:val="00766E40"/>
    <w:rsid w:val="00766F7E"/>
    <w:rsid w:val="007672F3"/>
    <w:rsid w:val="007673B4"/>
    <w:rsid w:val="007673D2"/>
    <w:rsid w:val="007674B8"/>
    <w:rsid w:val="007678C5"/>
    <w:rsid w:val="00767B53"/>
    <w:rsid w:val="00767D58"/>
    <w:rsid w:val="00767E4D"/>
    <w:rsid w:val="00767F33"/>
    <w:rsid w:val="00767F93"/>
    <w:rsid w:val="007704A8"/>
    <w:rsid w:val="00770518"/>
    <w:rsid w:val="00771149"/>
    <w:rsid w:val="007712DC"/>
    <w:rsid w:val="00771419"/>
    <w:rsid w:val="00771743"/>
    <w:rsid w:val="00771D52"/>
    <w:rsid w:val="00772173"/>
    <w:rsid w:val="007723B8"/>
    <w:rsid w:val="00772806"/>
    <w:rsid w:val="007728D5"/>
    <w:rsid w:val="00772B03"/>
    <w:rsid w:val="00772B86"/>
    <w:rsid w:val="00772FCE"/>
    <w:rsid w:val="007730DE"/>
    <w:rsid w:val="00773251"/>
    <w:rsid w:val="007733D8"/>
    <w:rsid w:val="0077340D"/>
    <w:rsid w:val="00773526"/>
    <w:rsid w:val="007736EA"/>
    <w:rsid w:val="00773D81"/>
    <w:rsid w:val="00773E2D"/>
    <w:rsid w:val="00774000"/>
    <w:rsid w:val="007740B3"/>
    <w:rsid w:val="007743E6"/>
    <w:rsid w:val="007744C1"/>
    <w:rsid w:val="00774AC4"/>
    <w:rsid w:val="00774BB4"/>
    <w:rsid w:val="00774FF7"/>
    <w:rsid w:val="0077508F"/>
    <w:rsid w:val="007751E3"/>
    <w:rsid w:val="00775556"/>
    <w:rsid w:val="007758F3"/>
    <w:rsid w:val="007759B4"/>
    <w:rsid w:val="00775A48"/>
    <w:rsid w:val="00775AF8"/>
    <w:rsid w:val="00775BED"/>
    <w:rsid w:val="00775CFF"/>
    <w:rsid w:val="00775F07"/>
    <w:rsid w:val="00775FAE"/>
    <w:rsid w:val="0077619D"/>
    <w:rsid w:val="007762C3"/>
    <w:rsid w:val="007765A2"/>
    <w:rsid w:val="0077664E"/>
    <w:rsid w:val="007766B9"/>
    <w:rsid w:val="0077686B"/>
    <w:rsid w:val="00776B1F"/>
    <w:rsid w:val="00776B31"/>
    <w:rsid w:val="00776B8A"/>
    <w:rsid w:val="00776E0D"/>
    <w:rsid w:val="00776F54"/>
    <w:rsid w:val="00777248"/>
    <w:rsid w:val="0077797A"/>
    <w:rsid w:val="007802C2"/>
    <w:rsid w:val="00780367"/>
    <w:rsid w:val="0078037D"/>
    <w:rsid w:val="00780381"/>
    <w:rsid w:val="0078062C"/>
    <w:rsid w:val="0078074C"/>
    <w:rsid w:val="00780783"/>
    <w:rsid w:val="00780E4A"/>
    <w:rsid w:val="007811A7"/>
    <w:rsid w:val="007811C0"/>
    <w:rsid w:val="00781272"/>
    <w:rsid w:val="00781290"/>
    <w:rsid w:val="00781371"/>
    <w:rsid w:val="007813BC"/>
    <w:rsid w:val="00781437"/>
    <w:rsid w:val="007814CB"/>
    <w:rsid w:val="007815C5"/>
    <w:rsid w:val="0078168A"/>
    <w:rsid w:val="007816C6"/>
    <w:rsid w:val="00781AAB"/>
    <w:rsid w:val="00781B8D"/>
    <w:rsid w:val="00781C9B"/>
    <w:rsid w:val="00781E63"/>
    <w:rsid w:val="00781F4B"/>
    <w:rsid w:val="00781F8F"/>
    <w:rsid w:val="007821CB"/>
    <w:rsid w:val="0078235F"/>
    <w:rsid w:val="007824DD"/>
    <w:rsid w:val="00782625"/>
    <w:rsid w:val="0078280E"/>
    <w:rsid w:val="0078281A"/>
    <w:rsid w:val="007829AA"/>
    <w:rsid w:val="00782A75"/>
    <w:rsid w:val="00782C70"/>
    <w:rsid w:val="0078307D"/>
    <w:rsid w:val="007833D6"/>
    <w:rsid w:val="00783468"/>
    <w:rsid w:val="00783924"/>
    <w:rsid w:val="00783D8A"/>
    <w:rsid w:val="00783F23"/>
    <w:rsid w:val="00783F6E"/>
    <w:rsid w:val="007840A0"/>
    <w:rsid w:val="0078412B"/>
    <w:rsid w:val="00784412"/>
    <w:rsid w:val="0078452D"/>
    <w:rsid w:val="0078463B"/>
    <w:rsid w:val="00784676"/>
    <w:rsid w:val="00784C82"/>
    <w:rsid w:val="00784CD7"/>
    <w:rsid w:val="00784F15"/>
    <w:rsid w:val="00785113"/>
    <w:rsid w:val="0078539F"/>
    <w:rsid w:val="007853EA"/>
    <w:rsid w:val="0078545A"/>
    <w:rsid w:val="00785547"/>
    <w:rsid w:val="007856A5"/>
    <w:rsid w:val="007859EB"/>
    <w:rsid w:val="00785D47"/>
    <w:rsid w:val="00785E02"/>
    <w:rsid w:val="00786006"/>
    <w:rsid w:val="00786029"/>
    <w:rsid w:val="007861D0"/>
    <w:rsid w:val="007863A9"/>
    <w:rsid w:val="00786549"/>
    <w:rsid w:val="007865A0"/>
    <w:rsid w:val="007865FD"/>
    <w:rsid w:val="00786AD3"/>
    <w:rsid w:val="00786E4D"/>
    <w:rsid w:val="00786F25"/>
    <w:rsid w:val="00786FAB"/>
    <w:rsid w:val="0078703A"/>
    <w:rsid w:val="00787190"/>
    <w:rsid w:val="00787500"/>
    <w:rsid w:val="007877C2"/>
    <w:rsid w:val="007877D9"/>
    <w:rsid w:val="0078786E"/>
    <w:rsid w:val="00787AAF"/>
    <w:rsid w:val="00787AC5"/>
    <w:rsid w:val="00787AC8"/>
    <w:rsid w:val="00787FD6"/>
    <w:rsid w:val="0079005B"/>
    <w:rsid w:val="007900B0"/>
    <w:rsid w:val="007901DC"/>
    <w:rsid w:val="00790515"/>
    <w:rsid w:val="00790C2C"/>
    <w:rsid w:val="00790F43"/>
    <w:rsid w:val="00791216"/>
    <w:rsid w:val="007914E3"/>
    <w:rsid w:val="007914E7"/>
    <w:rsid w:val="007916B7"/>
    <w:rsid w:val="007918E3"/>
    <w:rsid w:val="00791AB8"/>
    <w:rsid w:val="00791B72"/>
    <w:rsid w:val="00791BD3"/>
    <w:rsid w:val="00791C90"/>
    <w:rsid w:val="007920EA"/>
    <w:rsid w:val="007921D7"/>
    <w:rsid w:val="007922C4"/>
    <w:rsid w:val="0079234D"/>
    <w:rsid w:val="00792350"/>
    <w:rsid w:val="007925EA"/>
    <w:rsid w:val="00792663"/>
    <w:rsid w:val="007926F8"/>
    <w:rsid w:val="0079296B"/>
    <w:rsid w:val="00792BBB"/>
    <w:rsid w:val="00792C54"/>
    <w:rsid w:val="00792CCE"/>
    <w:rsid w:val="007931C3"/>
    <w:rsid w:val="00793389"/>
    <w:rsid w:val="007934FB"/>
    <w:rsid w:val="00793A26"/>
    <w:rsid w:val="00793B23"/>
    <w:rsid w:val="00793D25"/>
    <w:rsid w:val="00793D41"/>
    <w:rsid w:val="00793DAE"/>
    <w:rsid w:val="00793DEB"/>
    <w:rsid w:val="00793EF8"/>
    <w:rsid w:val="00793F02"/>
    <w:rsid w:val="0079424F"/>
    <w:rsid w:val="00794858"/>
    <w:rsid w:val="0079487D"/>
    <w:rsid w:val="00794915"/>
    <w:rsid w:val="00794B21"/>
    <w:rsid w:val="00794F03"/>
    <w:rsid w:val="00795135"/>
    <w:rsid w:val="00795459"/>
    <w:rsid w:val="007957F6"/>
    <w:rsid w:val="00795832"/>
    <w:rsid w:val="007958CB"/>
    <w:rsid w:val="00795BFF"/>
    <w:rsid w:val="00795CFB"/>
    <w:rsid w:val="00796454"/>
    <w:rsid w:val="0079649D"/>
    <w:rsid w:val="00796610"/>
    <w:rsid w:val="007967D3"/>
    <w:rsid w:val="00796884"/>
    <w:rsid w:val="00796AC3"/>
    <w:rsid w:val="00796BD3"/>
    <w:rsid w:val="0079705A"/>
    <w:rsid w:val="00797194"/>
    <w:rsid w:val="00797253"/>
    <w:rsid w:val="007975E5"/>
    <w:rsid w:val="00797837"/>
    <w:rsid w:val="00797994"/>
    <w:rsid w:val="00797BF0"/>
    <w:rsid w:val="00797E37"/>
    <w:rsid w:val="007A022C"/>
    <w:rsid w:val="007A059E"/>
    <w:rsid w:val="007A05BE"/>
    <w:rsid w:val="007A0852"/>
    <w:rsid w:val="007A0913"/>
    <w:rsid w:val="007A0949"/>
    <w:rsid w:val="007A0C2A"/>
    <w:rsid w:val="007A0D2F"/>
    <w:rsid w:val="007A0F6B"/>
    <w:rsid w:val="007A1145"/>
    <w:rsid w:val="007A125D"/>
    <w:rsid w:val="007A12B3"/>
    <w:rsid w:val="007A135D"/>
    <w:rsid w:val="007A1426"/>
    <w:rsid w:val="007A1464"/>
    <w:rsid w:val="007A161F"/>
    <w:rsid w:val="007A1A76"/>
    <w:rsid w:val="007A1AF8"/>
    <w:rsid w:val="007A1AFC"/>
    <w:rsid w:val="007A1BE0"/>
    <w:rsid w:val="007A1C78"/>
    <w:rsid w:val="007A1EAF"/>
    <w:rsid w:val="007A2068"/>
    <w:rsid w:val="007A2099"/>
    <w:rsid w:val="007A226A"/>
    <w:rsid w:val="007A24E1"/>
    <w:rsid w:val="007A2966"/>
    <w:rsid w:val="007A2CC5"/>
    <w:rsid w:val="007A2F9B"/>
    <w:rsid w:val="007A2FD5"/>
    <w:rsid w:val="007A3178"/>
    <w:rsid w:val="007A33E2"/>
    <w:rsid w:val="007A3709"/>
    <w:rsid w:val="007A424C"/>
    <w:rsid w:val="007A445B"/>
    <w:rsid w:val="007A4472"/>
    <w:rsid w:val="007A4498"/>
    <w:rsid w:val="007A45D7"/>
    <w:rsid w:val="007A4926"/>
    <w:rsid w:val="007A4F92"/>
    <w:rsid w:val="007A505B"/>
    <w:rsid w:val="007A51BF"/>
    <w:rsid w:val="007A5315"/>
    <w:rsid w:val="007A54F0"/>
    <w:rsid w:val="007A5724"/>
    <w:rsid w:val="007A5796"/>
    <w:rsid w:val="007A57AA"/>
    <w:rsid w:val="007A595C"/>
    <w:rsid w:val="007A5A89"/>
    <w:rsid w:val="007A5C02"/>
    <w:rsid w:val="007A5DAC"/>
    <w:rsid w:val="007A5EDA"/>
    <w:rsid w:val="007A5F08"/>
    <w:rsid w:val="007A6107"/>
    <w:rsid w:val="007A646E"/>
    <w:rsid w:val="007A652D"/>
    <w:rsid w:val="007A67F7"/>
    <w:rsid w:val="007A6C4D"/>
    <w:rsid w:val="007A6C71"/>
    <w:rsid w:val="007A6EF3"/>
    <w:rsid w:val="007A702B"/>
    <w:rsid w:val="007A70FA"/>
    <w:rsid w:val="007A7332"/>
    <w:rsid w:val="007A736F"/>
    <w:rsid w:val="007A7E7B"/>
    <w:rsid w:val="007A7F23"/>
    <w:rsid w:val="007A7FA6"/>
    <w:rsid w:val="007B00F7"/>
    <w:rsid w:val="007B0265"/>
    <w:rsid w:val="007B0377"/>
    <w:rsid w:val="007B038C"/>
    <w:rsid w:val="007B0637"/>
    <w:rsid w:val="007B096F"/>
    <w:rsid w:val="007B0A96"/>
    <w:rsid w:val="007B0C13"/>
    <w:rsid w:val="007B0C23"/>
    <w:rsid w:val="007B0D1C"/>
    <w:rsid w:val="007B0D40"/>
    <w:rsid w:val="007B0DA6"/>
    <w:rsid w:val="007B0F02"/>
    <w:rsid w:val="007B112F"/>
    <w:rsid w:val="007B11DE"/>
    <w:rsid w:val="007B18F7"/>
    <w:rsid w:val="007B195A"/>
    <w:rsid w:val="007B19AF"/>
    <w:rsid w:val="007B1E40"/>
    <w:rsid w:val="007B1ED8"/>
    <w:rsid w:val="007B1F32"/>
    <w:rsid w:val="007B2064"/>
    <w:rsid w:val="007B259E"/>
    <w:rsid w:val="007B2A42"/>
    <w:rsid w:val="007B2B69"/>
    <w:rsid w:val="007B31AF"/>
    <w:rsid w:val="007B3269"/>
    <w:rsid w:val="007B34A6"/>
    <w:rsid w:val="007B35E6"/>
    <w:rsid w:val="007B35F4"/>
    <w:rsid w:val="007B3691"/>
    <w:rsid w:val="007B386D"/>
    <w:rsid w:val="007B3CB6"/>
    <w:rsid w:val="007B3E03"/>
    <w:rsid w:val="007B3E0C"/>
    <w:rsid w:val="007B3E1F"/>
    <w:rsid w:val="007B4146"/>
    <w:rsid w:val="007B41FB"/>
    <w:rsid w:val="007B47E8"/>
    <w:rsid w:val="007B4818"/>
    <w:rsid w:val="007B498E"/>
    <w:rsid w:val="007B4B20"/>
    <w:rsid w:val="007B4D6E"/>
    <w:rsid w:val="007B5184"/>
    <w:rsid w:val="007B533B"/>
    <w:rsid w:val="007B5423"/>
    <w:rsid w:val="007B54BA"/>
    <w:rsid w:val="007B5544"/>
    <w:rsid w:val="007B56BF"/>
    <w:rsid w:val="007B57C8"/>
    <w:rsid w:val="007B57DC"/>
    <w:rsid w:val="007B588B"/>
    <w:rsid w:val="007B5CD4"/>
    <w:rsid w:val="007B5CE9"/>
    <w:rsid w:val="007B60CD"/>
    <w:rsid w:val="007B61D6"/>
    <w:rsid w:val="007B6441"/>
    <w:rsid w:val="007B6448"/>
    <w:rsid w:val="007B663B"/>
    <w:rsid w:val="007B671A"/>
    <w:rsid w:val="007B69D4"/>
    <w:rsid w:val="007B6A50"/>
    <w:rsid w:val="007B6A99"/>
    <w:rsid w:val="007B6B87"/>
    <w:rsid w:val="007B6D2A"/>
    <w:rsid w:val="007B6D60"/>
    <w:rsid w:val="007B6D9E"/>
    <w:rsid w:val="007B6DB6"/>
    <w:rsid w:val="007B71E0"/>
    <w:rsid w:val="007B7978"/>
    <w:rsid w:val="007B7B7D"/>
    <w:rsid w:val="007C0153"/>
    <w:rsid w:val="007C024C"/>
    <w:rsid w:val="007C0898"/>
    <w:rsid w:val="007C08AD"/>
    <w:rsid w:val="007C08F1"/>
    <w:rsid w:val="007C0C20"/>
    <w:rsid w:val="007C0F29"/>
    <w:rsid w:val="007C0FD7"/>
    <w:rsid w:val="007C1098"/>
    <w:rsid w:val="007C1124"/>
    <w:rsid w:val="007C1235"/>
    <w:rsid w:val="007C1620"/>
    <w:rsid w:val="007C1626"/>
    <w:rsid w:val="007C195B"/>
    <w:rsid w:val="007C1C4C"/>
    <w:rsid w:val="007C1CEA"/>
    <w:rsid w:val="007C1D71"/>
    <w:rsid w:val="007C1DF7"/>
    <w:rsid w:val="007C2030"/>
    <w:rsid w:val="007C2031"/>
    <w:rsid w:val="007C21D3"/>
    <w:rsid w:val="007C263F"/>
    <w:rsid w:val="007C2D1B"/>
    <w:rsid w:val="007C2E7A"/>
    <w:rsid w:val="007C3112"/>
    <w:rsid w:val="007C314B"/>
    <w:rsid w:val="007C3270"/>
    <w:rsid w:val="007C34C9"/>
    <w:rsid w:val="007C34D0"/>
    <w:rsid w:val="007C364C"/>
    <w:rsid w:val="007C3754"/>
    <w:rsid w:val="007C380B"/>
    <w:rsid w:val="007C391F"/>
    <w:rsid w:val="007C3B24"/>
    <w:rsid w:val="007C3D16"/>
    <w:rsid w:val="007C3E0B"/>
    <w:rsid w:val="007C3EF4"/>
    <w:rsid w:val="007C4100"/>
    <w:rsid w:val="007C42C6"/>
    <w:rsid w:val="007C4391"/>
    <w:rsid w:val="007C44A3"/>
    <w:rsid w:val="007C499B"/>
    <w:rsid w:val="007C49BE"/>
    <w:rsid w:val="007C4B7D"/>
    <w:rsid w:val="007C4D00"/>
    <w:rsid w:val="007C4DAB"/>
    <w:rsid w:val="007C4ED4"/>
    <w:rsid w:val="007C50D1"/>
    <w:rsid w:val="007C5B19"/>
    <w:rsid w:val="007C5E02"/>
    <w:rsid w:val="007C5FCF"/>
    <w:rsid w:val="007C63C1"/>
    <w:rsid w:val="007C661E"/>
    <w:rsid w:val="007C6A8F"/>
    <w:rsid w:val="007C6CCE"/>
    <w:rsid w:val="007C6E12"/>
    <w:rsid w:val="007C70F9"/>
    <w:rsid w:val="007C7209"/>
    <w:rsid w:val="007C72CB"/>
    <w:rsid w:val="007C76BA"/>
    <w:rsid w:val="007C789A"/>
    <w:rsid w:val="007C7B7C"/>
    <w:rsid w:val="007C7C4A"/>
    <w:rsid w:val="007D0028"/>
    <w:rsid w:val="007D0323"/>
    <w:rsid w:val="007D0B49"/>
    <w:rsid w:val="007D0BFF"/>
    <w:rsid w:val="007D0DB1"/>
    <w:rsid w:val="007D0E8A"/>
    <w:rsid w:val="007D0EE8"/>
    <w:rsid w:val="007D0F1F"/>
    <w:rsid w:val="007D0F61"/>
    <w:rsid w:val="007D160D"/>
    <w:rsid w:val="007D1982"/>
    <w:rsid w:val="007D1B86"/>
    <w:rsid w:val="007D1BC1"/>
    <w:rsid w:val="007D1EA6"/>
    <w:rsid w:val="007D1FBD"/>
    <w:rsid w:val="007D27C9"/>
    <w:rsid w:val="007D2B22"/>
    <w:rsid w:val="007D2BC2"/>
    <w:rsid w:val="007D2C8F"/>
    <w:rsid w:val="007D2D21"/>
    <w:rsid w:val="007D2DD3"/>
    <w:rsid w:val="007D344A"/>
    <w:rsid w:val="007D3571"/>
    <w:rsid w:val="007D3574"/>
    <w:rsid w:val="007D3A28"/>
    <w:rsid w:val="007D3B70"/>
    <w:rsid w:val="007D3D51"/>
    <w:rsid w:val="007D410F"/>
    <w:rsid w:val="007D4206"/>
    <w:rsid w:val="007D4310"/>
    <w:rsid w:val="007D4BCC"/>
    <w:rsid w:val="007D4C13"/>
    <w:rsid w:val="007D4C8D"/>
    <w:rsid w:val="007D4CD0"/>
    <w:rsid w:val="007D51EC"/>
    <w:rsid w:val="007D5372"/>
    <w:rsid w:val="007D539C"/>
    <w:rsid w:val="007D549C"/>
    <w:rsid w:val="007D5528"/>
    <w:rsid w:val="007D5539"/>
    <w:rsid w:val="007D55A7"/>
    <w:rsid w:val="007D55AD"/>
    <w:rsid w:val="007D55E1"/>
    <w:rsid w:val="007D5922"/>
    <w:rsid w:val="007D5B2E"/>
    <w:rsid w:val="007D5CB0"/>
    <w:rsid w:val="007D5D01"/>
    <w:rsid w:val="007D5E48"/>
    <w:rsid w:val="007D6260"/>
    <w:rsid w:val="007D626B"/>
    <w:rsid w:val="007D6848"/>
    <w:rsid w:val="007D68DE"/>
    <w:rsid w:val="007D6990"/>
    <w:rsid w:val="007D6AB0"/>
    <w:rsid w:val="007D6B35"/>
    <w:rsid w:val="007D6B86"/>
    <w:rsid w:val="007D6D2A"/>
    <w:rsid w:val="007D6E05"/>
    <w:rsid w:val="007D6F53"/>
    <w:rsid w:val="007D70DE"/>
    <w:rsid w:val="007D729F"/>
    <w:rsid w:val="007D7570"/>
    <w:rsid w:val="007D7609"/>
    <w:rsid w:val="007D78BD"/>
    <w:rsid w:val="007D799C"/>
    <w:rsid w:val="007D79C8"/>
    <w:rsid w:val="007D7A9C"/>
    <w:rsid w:val="007D7AFC"/>
    <w:rsid w:val="007D7C42"/>
    <w:rsid w:val="007D7CF5"/>
    <w:rsid w:val="007D7ED6"/>
    <w:rsid w:val="007E018B"/>
    <w:rsid w:val="007E040B"/>
    <w:rsid w:val="007E0590"/>
    <w:rsid w:val="007E05B2"/>
    <w:rsid w:val="007E06CB"/>
    <w:rsid w:val="007E07E3"/>
    <w:rsid w:val="007E09EC"/>
    <w:rsid w:val="007E0F3C"/>
    <w:rsid w:val="007E1390"/>
    <w:rsid w:val="007E182D"/>
    <w:rsid w:val="007E1D1F"/>
    <w:rsid w:val="007E20E4"/>
    <w:rsid w:val="007E2402"/>
    <w:rsid w:val="007E2724"/>
    <w:rsid w:val="007E2987"/>
    <w:rsid w:val="007E2AFB"/>
    <w:rsid w:val="007E2C8B"/>
    <w:rsid w:val="007E2D47"/>
    <w:rsid w:val="007E3439"/>
    <w:rsid w:val="007E38AB"/>
    <w:rsid w:val="007E397C"/>
    <w:rsid w:val="007E3996"/>
    <w:rsid w:val="007E3A99"/>
    <w:rsid w:val="007E3B3C"/>
    <w:rsid w:val="007E3B3F"/>
    <w:rsid w:val="007E3EB5"/>
    <w:rsid w:val="007E3FC8"/>
    <w:rsid w:val="007E4000"/>
    <w:rsid w:val="007E419D"/>
    <w:rsid w:val="007E41D8"/>
    <w:rsid w:val="007E428D"/>
    <w:rsid w:val="007E435C"/>
    <w:rsid w:val="007E4492"/>
    <w:rsid w:val="007E48C9"/>
    <w:rsid w:val="007E492D"/>
    <w:rsid w:val="007E493C"/>
    <w:rsid w:val="007E4C39"/>
    <w:rsid w:val="007E4D00"/>
    <w:rsid w:val="007E4F36"/>
    <w:rsid w:val="007E4F96"/>
    <w:rsid w:val="007E4FEB"/>
    <w:rsid w:val="007E51BD"/>
    <w:rsid w:val="007E51CC"/>
    <w:rsid w:val="007E565E"/>
    <w:rsid w:val="007E5F23"/>
    <w:rsid w:val="007E6216"/>
    <w:rsid w:val="007E6764"/>
    <w:rsid w:val="007E68BB"/>
    <w:rsid w:val="007E693D"/>
    <w:rsid w:val="007E6CDD"/>
    <w:rsid w:val="007E6EBE"/>
    <w:rsid w:val="007E71C0"/>
    <w:rsid w:val="007E7653"/>
    <w:rsid w:val="007E7ECE"/>
    <w:rsid w:val="007F05B2"/>
    <w:rsid w:val="007F0872"/>
    <w:rsid w:val="007F0FBB"/>
    <w:rsid w:val="007F150A"/>
    <w:rsid w:val="007F1510"/>
    <w:rsid w:val="007F174D"/>
    <w:rsid w:val="007F179C"/>
    <w:rsid w:val="007F1944"/>
    <w:rsid w:val="007F1AC7"/>
    <w:rsid w:val="007F1C00"/>
    <w:rsid w:val="007F1EB8"/>
    <w:rsid w:val="007F1F9D"/>
    <w:rsid w:val="007F2188"/>
    <w:rsid w:val="007F21C9"/>
    <w:rsid w:val="007F2652"/>
    <w:rsid w:val="007F26BF"/>
    <w:rsid w:val="007F2E53"/>
    <w:rsid w:val="007F312A"/>
    <w:rsid w:val="007F3145"/>
    <w:rsid w:val="007F321E"/>
    <w:rsid w:val="007F3290"/>
    <w:rsid w:val="007F3486"/>
    <w:rsid w:val="007F35A4"/>
    <w:rsid w:val="007F36AD"/>
    <w:rsid w:val="007F3925"/>
    <w:rsid w:val="007F3A18"/>
    <w:rsid w:val="007F3A57"/>
    <w:rsid w:val="007F3B1D"/>
    <w:rsid w:val="007F3C81"/>
    <w:rsid w:val="007F445C"/>
    <w:rsid w:val="007F45BE"/>
    <w:rsid w:val="007F4692"/>
    <w:rsid w:val="007F4871"/>
    <w:rsid w:val="007F487F"/>
    <w:rsid w:val="007F4BE0"/>
    <w:rsid w:val="007F4C49"/>
    <w:rsid w:val="007F4E8D"/>
    <w:rsid w:val="007F4FF3"/>
    <w:rsid w:val="007F53E7"/>
    <w:rsid w:val="007F5637"/>
    <w:rsid w:val="007F56C4"/>
    <w:rsid w:val="007F5728"/>
    <w:rsid w:val="007F58BB"/>
    <w:rsid w:val="007F593A"/>
    <w:rsid w:val="007F5C1B"/>
    <w:rsid w:val="007F5E50"/>
    <w:rsid w:val="007F611A"/>
    <w:rsid w:val="007F63E9"/>
    <w:rsid w:val="007F6B64"/>
    <w:rsid w:val="007F6D1B"/>
    <w:rsid w:val="007F6EFD"/>
    <w:rsid w:val="007F7160"/>
    <w:rsid w:val="007F727E"/>
    <w:rsid w:val="007F72F2"/>
    <w:rsid w:val="007F7D6F"/>
    <w:rsid w:val="007F7E8A"/>
    <w:rsid w:val="007F7FA7"/>
    <w:rsid w:val="008000B9"/>
    <w:rsid w:val="00800375"/>
    <w:rsid w:val="0080066C"/>
    <w:rsid w:val="00800730"/>
    <w:rsid w:val="0080099B"/>
    <w:rsid w:val="00800BF8"/>
    <w:rsid w:val="00800C8C"/>
    <w:rsid w:val="00800CF7"/>
    <w:rsid w:val="00800FAE"/>
    <w:rsid w:val="008019DD"/>
    <w:rsid w:val="00801FD6"/>
    <w:rsid w:val="00802385"/>
    <w:rsid w:val="0080266F"/>
    <w:rsid w:val="008027E7"/>
    <w:rsid w:val="00802AB6"/>
    <w:rsid w:val="00802B10"/>
    <w:rsid w:val="00802C7F"/>
    <w:rsid w:val="00803178"/>
    <w:rsid w:val="008032E6"/>
    <w:rsid w:val="00803383"/>
    <w:rsid w:val="008033BB"/>
    <w:rsid w:val="00803451"/>
    <w:rsid w:val="00803492"/>
    <w:rsid w:val="0080354E"/>
    <w:rsid w:val="00803597"/>
    <w:rsid w:val="00803D14"/>
    <w:rsid w:val="00803F13"/>
    <w:rsid w:val="008040F9"/>
    <w:rsid w:val="00804179"/>
    <w:rsid w:val="008041FB"/>
    <w:rsid w:val="0080457E"/>
    <w:rsid w:val="00804C01"/>
    <w:rsid w:val="00804E9D"/>
    <w:rsid w:val="008052E5"/>
    <w:rsid w:val="0080543D"/>
    <w:rsid w:val="00805ACD"/>
    <w:rsid w:val="00805F65"/>
    <w:rsid w:val="00805FD7"/>
    <w:rsid w:val="008061B3"/>
    <w:rsid w:val="00806335"/>
    <w:rsid w:val="008067FB"/>
    <w:rsid w:val="00806A02"/>
    <w:rsid w:val="00806C64"/>
    <w:rsid w:val="00806D54"/>
    <w:rsid w:val="00806E55"/>
    <w:rsid w:val="00807137"/>
    <w:rsid w:val="008071A9"/>
    <w:rsid w:val="008071AB"/>
    <w:rsid w:val="00807366"/>
    <w:rsid w:val="00807688"/>
    <w:rsid w:val="008076CF"/>
    <w:rsid w:val="00807935"/>
    <w:rsid w:val="00807F4E"/>
    <w:rsid w:val="008100D7"/>
    <w:rsid w:val="00810229"/>
    <w:rsid w:val="008103BC"/>
    <w:rsid w:val="00810594"/>
    <w:rsid w:val="00810A4E"/>
    <w:rsid w:val="00810B05"/>
    <w:rsid w:val="00810CA4"/>
    <w:rsid w:val="00810DF3"/>
    <w:rsid w:val="00811047"/>
    <w:rsid w:val="00811230"/>
    <w:rsid w:val="008115E7"/>
    <w:rsid w:val="0081162E"/>
    <w:rsid w:val="00811767"/>
    <w:rsid w:val="00811817"/>
    <w:rsid w:val="0081190C"/>
    <w:rsid w:val="00811C4D"/>
    <w:rsid w:val="00811EAE"/>
    <w:rsid w:val="00811FB0"/>
    <w:rsid w:val="008120F0"/>
    <w:rsid w:val="00812120"/>
    <w:rsid w:val="008121BD"/>
    <w:rsid w:val="008123B3"/>
    <w:rsid w:val="008123D0"/>
    <w:rsid w:val="00812722"/>
    <w:rsid w:val="008127BA"/>
    <w:rsid w:val="00812A3B"/>
    <w:rsid w:val="00812E2E"/>
    <w:rsid w:val="00812F33"/>
    <w:rsid w:val="0081300D"/>
    <w:rsid w:val="008131F6"/>
    <w:rsid w:val="00813342"/>
    <w:rsid w:val="008133D7"/>
    <w:rsid w:val="00813563"/>
    <w:rsid w:val="00813764"/>
    <w:rsid w:val="00813896"/>
    <w:rsid w:val="008138E5"/>
    <w:rsid w:val="00813F87"/>
    <w:rsid w:val="0081403A"/>
    <w:rsid w:val="00814154"/>
    <w:rsid w:val="00814476"/>
    <w:rsid w:val="00814480"/>
    <w:rsid w:val="008146EE"/>
    <w:rsid w:val="008151E2"/>
    <w:rsid w:val="008151EA"/>
    <w:rsid w:val="008152E0"/>
    <w:rsid w:val="00815400"/>
    <w:rsid w:val="0081552A"/>
    <w:rsid w:val="0081555B"/>
    <w:rsid w:val="00815594"/>
    <w:rsid w:val="00815857"/>
    <w:rsid w:val="008158E7"/>
    <w:rsid w:val="00815A27"/>
    <w:rsid w:val="00815B21"/>
    <w:rsid w:val="00815C5D"/>
    <w:rsid w:val="00816105"/>
    <w:rsid w:val="0081626B"/>
    <w:rsid w:val="008162AF"/>
    <w:rsid w:val="008162CE"/>
    <w:rsid w:val="0081640F"/>
    <w:rsid w:val="0081657E"/>
    <w:rsid w:val="00816683"/>
    <w:rsid w:val="008166F5"/>
    <w:rsid w:val="0081677D"/>
    <w:rsid w:val="008169E8"/>
    <w:rsid w:val="00816A48"/>
    <w:rsid w:val="0081708B"/>
    <w:rsid w:val="008173C4"/>
    <w:rsid w:val="00817455"/>
    <w:rsid w:val="00817681"/>
    <w:rsid w:val="008178D1"/>
    <w:rsid w:val="008178F5"/>
    <w:rsid w:val="008179E3"/>
    <w:rsid w:val="00817A70"/>
    <w:rsid w:val="00817B12"/>
    <w:rsid w:val="00817B18"/>
    <w:rsid w:val="00817D0F"/>
    <w:rsid w:val="00817D1D"/>
    <w:rsid w:val="00817FD3"/>
    <w:rsid w:val="0082002C"/>
    <w:rsid w:val="00820517"/>
    <w:rsid w:val="00820678"/>
    <w:rsid w:val="00820B91"/>
    <w:rsid w:val="00820BFF"/>
    <w:rsid w:val="00821196"/>
    <w:rsid w:val="008211EB"/>
    <w:rsid w:val="0082186C"/>
    <w:rsid w:val="00821C88"/>
    <w:rsid w:val="00821F72"/>
    <w:rsid w:val="00821FE1"/>
    <w:rsid w:val="0082240B"/>
    <w:rsid w:val="00822490"/>
    <w:rsid w:val="00822781"/>
    <w:rsid w:val="00822895"/>
    <w:rsid w:val="008228C3"/>
    <w:rsid w:val="0082290C"/>
    <w:rsid w:val="00822D66"/>
    <w:rsid w:val="00823753"/>
    <w:rsid w:val="00823894"/>
    <w:rsid w:val="00823BE4"/>
    <w:rsid w:val="00823D4B"/>
    <w:rsid w:val="00824121"/>
    <w:rsid w:val="008248F4"/>
    <w:rsid w:val="0082490E"/>
    <w:rsid w:val="00824DD1"/>
    <w:rsid w:val="0082517B"/>
    <w:rsid w:val="008252D1"/>
    <w:rsid w:val="0082551A"/>
    <w:rsid w:val="0082557F"/>
    <w:rsid w:val="0082575F"/>
    <w:rsid w:val="008257B5"/>
    <w:rsid w:val="00825A31"/>
    <w:rsid w:val="00825B8D"/>
    <w:rsid w:val="00825D1A"/>
    <w:rsid w:val="00825E2B"/>
    <w:rsid w:val="00825E58"/>
    <w:rsid w:val="00825F25"/>
    <w:rsid w:val="00826039"/>
    <w:rsid w:val="00826157"/>
    <w:rsid w:val="008261C0"/>
    <w:rsid w:val="008262F6"/>
    <w:rsid w:val="00826448"/>
    <w:rsid w:val="00826709"/>
    <w:rsid w:val="00826770"/>
    <w:rsid w:val="00826995"/>
    <w:rsid w:val="008269C8"/>
    <w:rsid w:val="00826A4B"/>
    <w:rsid w:val="00826A73"/>
    <w:rsid w:val="00826BEE"/>
    <w:rsid w:val="00826D24"/>
    <w:rsid w:val="00826D54"/>
    <w:rsid w:val="00826ED1"/>
    <w:rsid w:val="00826F4E"/>
    <w:rsid w:val="00826FC6"/>
    <w:rsid w:val="008273BB"/>
    <w:rsid w:val="0082795B"/>
    <w:rsid w:val="008279D8"/>
    <w:rsid w:val="00827A1B"/>
    <w:rsid w:val="00827B37"/>
    <w:rsid w:val="00827B86"/>
    <w:rsid w:val="00827E79"/>
    <w:rsid w:val="00827FF5"/>
    <w:rsid w:val="0083006D"/>
    <w:rsid w:val="008300C9"/>
    <w:rsid w:val="008301A0"/>
    <w:rsid w:val="008302BC"/>
    <w:rsid w:val="008304B6"/>
    <w:rsid w:val="008308C9"/>
    <w:rsid w:val="008309A0"/>
    <w:rsid w:val="00830B4F"/>
    <w:rsid w:val="00830BC8"/>
    <w:rsid w:val="008310CB"/>
    <w:rsid w:val="008310CC"/>
    <w:rsid w:val="00831126"/>
    <w:rsid w:val="0083119F"/>
    <w:rsid w:val="008315F6"/>
    <w:rsid w:val="00831613"/>
    <w:rsid w:val="00831A41"/>
    <w:rsid w:val="00831A5B"/>
    <w:rsid w:val="00831BAF"/>
    <w:rsid w:val="00831D7F"/>
    <w:rsid w:val="00831F26"/>
    <w:rsid w:val="008321AD"/>
    <w:rsid w:val="008323DE"/>
    <w:rsid w:val="0083241A"/>
    <w:rsid w:val="0083278A"/>
    <w:rsid w:val="008327A2"/>
    <w:rsid w:val="008329C8"/>
    <w:rsid w:val="008329D5"/>
    <w:rsid w:val="00832B65"/>
    <w:rsid w:val="00833014"/>
    <w:rsid w:val="008331BC"/>
    <w:rsid w:val="00833396"/>
    <w:rsid w:val="008333F6"/>
    <w:rsid w:val="00833596"/>
    <w:rsid w:val="00833AE0"/>
    <w:rsid w:val="00833ED2"/>
    <w:rsid w:val="00833EDF"/>
    <w:rsid w:val="00833FEF"/>
    <w:rsid w:val="0083439C"/>
    <w:rsid w:val="00834603"/>
    <w:rsid w:val="00834612"/>
    <w:rsid w:val="00834BEF"/>
    <w:rsid w:val="00834DDE"/>
    <w:rsid w:val="00835196"/>
    <w:rsid w:val="008352E9"/>
    <w:rsid w:val="00835352"/>
    <w:rsid w:val="00835386"/>
    <w:rsid w:val="0083568F"/>
    <w:rsid w:val="0083586F"/>
    <w:rsid w:val="008358A9"/>
    <w:rsid w:val="00835C08"/>
    <w:rsid w:val="00836223"/>
    <w:rsid w:val="008362E5"/>
    <w:rsid w:val="00836419"/>
    <w:rsid w:val="008365EC"/>
    <w:rsid w:val="008368B0"/>
    <w:rsid w:val="0083690F"/>
    <w:rsid w:val="00836D97"/>
    <w:rsid w:val="00836E1B"/>
    <w:rsid w:val="00836E2C"/>
    <w:rsid w:val="00837515"/>
    <w:rsid w:val="008375F2"/>
    <w:rsid w:val="00837683"/>
    <w:rsid w:val="00837790"/>
    <w:rsid w:val="0083782D"/>
    <w:rsid w:val="008379E4"/>
    <w:rsid w:val="00837AC7"/>
    <w:rsid w:val="00837BF3"/>
    <w:rsid w:val="0084002A"/>
    <w:rsid w:val="00840082"/>
    <w:rsid w:val="00840705"/>
    <w:rsid w:val="008407DF"/>
    <w:rsid w:val="00840A90"/>
    <w:rsid w:val="00840BBF"/>
    <w:rsid w:val="00840DB2"/>
    <w:rsid w:val="00840F7A"/>
    <w:rsid w:val="00841103"/>
    <w:rsid w:val="0084119F"/>
    <w:rsid w:val="008415CE"/>
    <w:rsid w:val="00841B43"/>
    <w:rsid w:val="00841B6B"/>
    <w:rsid w:val="00841CA1"/>
    <w:rsid w:val="00841D53"/>
    <w:rsid w:val="00842106"/>
    <w:rsid w:val="0084216F"/>
    <w:rsid w:val="00842264"/>
    <w:rsid w:val="0084244B"/>
    <w:rsid w:val="008424D9"/>
    <w:rsid w:val="008425CE"/>
    <w:rsid w:val="008426A8"/>
    <w:rsid w:val="00842796"/>
    <w:rsid w:val="00842936"/>
    <w:rsid w:val="00842FC0"/>
    <w:rsid w:val="0084303C"/>
    <w:rsid w:val="008437E4"/>
    <w:rsid w:val="00843A29"/>
    <w:rsid w:val="00843AE4"/>
    <w:rsid w:val="00843C0A"/>
    <w:rsid w:val="00843CC7"/>
    <w:rsid w:val="00843D6C"/>
    <w:rsid w:val="00843D6D"/>
    <w:rsid w:val="00843E4F"/>
    <w:rsid w:val="00843ED6"/>
    <w:rsid w:val="00844089"/>
    <w:rsid w:val="00844555"/>
    <w:rsid w:val="0084476F"/>
    <w:rsid w:val="0084498E"/>
    <w:rsid w:val="00844BFD"/>
    <w:rsid w:val="008450C2"/>
    <w:rsid w:val="0084516D"/>
    <w:rsid w:val="008453E7"/>
    <w:rsid w:val="0084546C"/>
    <w:rsid w:val="00845614"/>
    <w:rsid w:val="008456BF"/>
    <w:rsid w:val="00845B3E"/>
    <w:rsid w:val="00845F3F"/>
    <w:rsid w:val="008463D9"/>
    <w:rsid w:val="0084642F"/>
    <w:rsid w:val="00846606"/>
    <w:rsid w:val="008466F9"/>
    <w:rsid w:val="0084678C"/>
    <w:rsid w:val="00846B28"/>
    <w:rsid w:val="00846BEE"/>
    <w:rsid w:val="00846C75"/>
    <w:rsid w:val="00847427"/>
    <w:rsid w:val="00847450"/>
    <w:rsid w:val="0084781D"/>
    <w:rsid w:val="00847B65"/>
    <w:rsid w:val="00847D93"/>
    <w:rsid w:val="00847EBA"/>
    <w:rsid w:val="008501A4"/>
    <w:rsid w:val="008505E3"/>
    <w:rsid w:val="00850B57"/>
    <w:rsid w:val="00850D1F"/>
    <w:rsid w:val="00850E5E"/>
    <w:rsid w:val="00850F1A"/>
    <w:rsid w:val="008511CC"/>
    <w:rsid w:val="0085136B"/>
    <w:rsid w:val="008514D7"/>
    <w:rsid w:val="0085158D"/>
    <w:rsid w:val="00851746"/>
    <w:rsid w:val="008518DF"/>
    <w:rsid w:val="00851AC3"/>
    <w:rsid w:val="00851C15"/>
    <w:rsid w:val="00851CD5"/>
    <w:rsid w:val="00851D9B"/>
    <w:rsid w:val="00852104"/>
    <w:rsid w:val="008529AE"/>
    <w:rsid w:val="00852B30"/>
    <w:rsid w:val="00852B3A"/>
    <w:rsid w:val="00852B6A"/>
    <w:rsid w:val="008530A6"/>
    <w:rsid w:val="00853195"/>
    <w:rsid w:val="00853888"/>
    <w:rsid w:val="00853AA6"/>
    <w:rsid w:val="00853BDB"/>
    <w:rsid w:val="00853CD1"/>
    <w:rsid w:val="00853DF3"/>
    <w:rsid w:val="00854050"/>
    <w:rsid w:val="008543E6"/>
    <w:rsid w:val="00855107"/>
    <w:rsid w:val="0085534C"/>
    <w:rsid w:val="0085549F"/>
    <w:rsid w:val="008556C3"/>
    <w:rsid w:val="008559EA"/>
    <w:rsid w:val="00855B1A"/>
    <w:rsid w:val="00855D20"/>
    <w:rsid w:val="00855F26"/>
    <w:rsid w:val="00855F3E"/>
    <w:rsid w:val="008560C8"/>
    <w:rsid w:val="008560D5"/>
    <w:rsid w:val="0085637F"/>
    <w:rsid w:val="00856472"/>
    <w:rsid w:val="0085674B"/>
    <w:rsid w:val="00856795"/>
    <w:rsid w:val="008567E4"/>
    <w:rsid w:val="00856817"/>
    <w:rsid w:val="008568EE"/>
    <w:rsid w:val="00856B3A"/>
    <w:rsid w:val="00856BFC"/>
    <w:rsid w:val="00856C7C"/>
    <w:rsid w:val="00856D8F"/>
    <w:rsid w:val="00856EF4"/>
    <w:rsid w:val="008570A6"/>
    <w:rsid w:val="00857298"/>
    <w:rsid w:val="00857316"/>
    <w:rsid w:val="008578E5"/>
    <w:rsid w:val="00857D03"/>
    <w:rsid w:val="00857E98"/>
    <w:rsid w:val="00860456"/>
    <w:rsid w:val="008605C0"/>
    <w:rsid w:val="008606EF"/>
    <w:rsid w:val="00860A8D"/>
    <w:rsid w:val="00860B7B"/>
    <w:rsid w:val="00860E1B"/>
    <w:rsid w:val="008611B6"/>
    <w:rsid w:val="0086198E"/>
    <w:rsid w:val="00861AC8"/>
    <w:rsid w:val="00861B01"/>
    <w:rsid w:val="00861B12"/>
    <w:rsid w:val="00862192"/>
    <w:rsid w:val="00862281"/>
    <w:rsid w:val="008625C9"/>
    <w:rsid w:val="008636AF"/>
    <w:rsid w:val="008636E3"/>
    <w:rsid w:val="00863AF7"/>
    <w:rsid w:val="00863CAA"/>
    <w:rsid w:val="00863D9A"/>
    <w:rsid w:val="00863DB3"/>
    <w:rsid w:val="0086406C"/>
    <w:rsid w:val="00864190"/>
    <w:rsid w:val="008644B2"/>
    <w:rsid w:val="0086454F"/>
    <w:rsid w:val="00864561"/>
    <w:rsid w:val="008645A6"/>
    <w:rsid w:val="00864637"/>
    <w:rsid w:val="00864981"/>
    <w:rsid w:val="008649BF"/>
    <w:rsid w:val="00864B23"/>
    <w:rsid w:val="00864DB3"/>
    <w:rsid w:val="00864DD2"/>
    <w:rsid w:val="00864E6E"/>
    <w:rsid w:val="00865773"/>
    <w:rsid w:val="0086585F"/>
    <w:rsid w:val="00865CEB"/>
    <w:rsid w:val="00865CF6"/>
    <w:rsid w:val="00865F23"/>
    <w:rsid w:val="00866106"/>
    <w:rsid w:val="00866309"/>
    <w:rsid w:val="008663D4"/>
    <w:rsid w:val="008666FC"/>
    <w:rsid w:val="00866B4D"/>
    <w:rsid w:val="00866E29"/>
    <w:rsid w:val="008671E5"/>
    <w:rsid w:val="0086761B"/>
    <w:rsid w:val="008676D3"/>
    <w:rsid w:val="00867A1E"/>
    <w:rsid w:val="00867A3E"/>
    <w:rsid w:val="00867D3A"/>
    <w:rsid w:val="00870032"/>
    <w:rsid w:val="008700ED"/>
    <w:rsid w:val="008701F0"/>
    <w:rsid w:val="00870276"/>
    <w:rsid w:val="008703E8"/>
    <w:rsid w:val="00870707"/>
    <w:rsid w:val="00870B0F"/>
    <w:rsid w:val="00870C65"/>
    <w:rsid w:val="00870DB7"/>
    <w:rsid w:val="0087121A"/>
    <w:rsid w:val="00871221"/>
    <w:rsid w:val="00871411"/>
    <w:rsid w:val="0087142D"/>
    <w:rsid w:val="00871922"/>
    <w:rsid w:val="00871962"/>
    <w:rsid w:val="0087197D"/>
    <w:rsid w:val="00871BBE"/>
    <w:rsid w:val="00871F08"/>
    <w:rsid w:val="0087226A"/>
    <w:rsid w:val="008722CD"/>
    <w:rsid w:val="00872497"/>
    <w:rsid w:val="00872742"/>
    <w:rsid w:val="00872880"/>
    <w:rsid w:val="008729ED"/>
    <w:rsid w:val="00872E73"/>
    <w:rsid w:val="00872FFC"/>
    <w:rsid w:val="008730DC"/>
    <w:rsid w:val="008734CE"/>
    <w:rsid w:val="008739A8"/>
    <w:rsid w:val="00873A27"/>
    <w:rsid w:val="00873C2A"/>
    <w:rsid w:val="00873CDC"/>
    <w:rsid w:val="00873DB7"/>
    <w:rsid w:val="00873E1C"/>
    <w:rsid w:val="00873F24"/>
    <w:rsid w:val="00874116"/>
    <w:rsid w:val="008743FE"/>
    <w:rsid w:val="00874525"/>
    <w:rsid w:val="00874840"/>
    <w:rsid w:val="00874AAF"/>
    <w:rsid w:val="00874B44"/>
    <w:rsid w:val="00874D69"/>
    <w:rsid w:val="00874DB7"/>
    <w:rsid w:val="00874EFD"/>
    <w:rsid w:val="00874FEA"/>
    <w:rsid w:val="008751C2"/>
    <w:rsid w:val="00875472"/>
    <w:rsid w:val="008754E1"/>
    <w:rsid w:val="0087555A"/>
    <w:rsid w:val="008756DB"/>
    <w:rsid w:val="00875849"/>
    <w:rsid w:val="00875983"/>
    <w:rsid w:val="00875A3F"/>
    <w:rsid w:val="0087611C"/>
    <w:rsid w:val="0087636C"/>
    <w:rsid w:val="008766A5"/>
    <w:rsid w:val="00876729"/>
    <w:rsid w:val="00876AD2"/>
    <w:rsid w:val="00876D95"/>
    <w:rsid w:val="0087731F"/>
    <w:rsid w:val="00877433"/>
    <w:rsid w:val="008777BD"/>
    <w:rsid w:val="00877BF1"/>
    <w:rsid w:val="00877EA6"/>
    <w:rsid w:val="00880352"/>
    <w:rsid w:val="00880355"/>
    <w:rsid w:val="00880816"/>
    <w:rsid w:val="00880A30"/>
    <w:rsid w:val="00880D27"/>
    <w:rsid w:val="00880D3C"/>
    <w:rsid w:val="00880E2E"/>
    <w:rsid w:val="00880F1A"/>
    <w:rsid w:val="0088137E"/>
    <w:rsid w:val="008815B4"/>
    <w:rsid w:val="008816A2"/>
    <w:rsid w:val="0088178D"/>
    <w:rsid w:val="008817BD"/>
    <w:rsid w:val="00881C1A"/>
    <w:rsid w:val="00881EC0"/>
    <w:rsid w:val="0088247B"/>
    <w:rsid w:val="0088289A"/>
    <w:rsid w:val="00882E30"/>
    <w:rsid w:val="00882F3B"/>
    <w:rsid w:val="008830E4"/>
    <w:rsid w:val="008831C6"/>
    <w:rsid w:val="008831DC"/>
    <w:rsid w:val="0088326C"/>
    <w:rsid w:val="008832BC"/>
    <w:rsid w:val="0088351B"/>
    <w:rsid w:val="008835CD"/>
    <w:rsid w:val="008836F4"/>
    <w:rsid w:val="0088379E"/>
    <w:rsid w:val="00883945"/>
    <w:rsid w:val="00883985"/>
    <w:rsid w:val="00883B24"/>
    <w:rsid w:val="00884002"/>
    <w:rsid w:val="00884099"/>
    <w:rsid w:val="008841A0"/>
    <w:rsid w:val="008842E7"/>
    <w:rsid w:val="008843AA"/>
    <w:rsid w:val="0088488E"/>
    <w:rsid w:val="008848B0"/>
    <w:rsid w:val="00884ECF"/>
    <w:rsid w:val="0088545A"/>
    <w:rsid w:val="00885467"/>
    <w:rsid w:val="0088548C"/>
    <w:rsid w:val="008855A0"/>
    <w:rsid w:val="008855C2"/>
    <w:rsid w:val="008856D6"/>
    <w:rsid w:val="00885B95"/>
    <w:rsid w:val="00885E96"/>
    <w:rsid w:val="0088676D"/>
    <w:rsid w:val="008868A6"/>
    <w:rsid w:val="00886AFF"/>
    <w:rsid w:val="00886F26"/>
    <w:rsid w:val="0088748F"/>
    <w:rsid w:val="0088755F"/>
    <w:rsid w:val="0088757C"/>
    <w:rsid w:val="00887AFB"/>
    <w:rsid w:val="00887B4C"/>
    <w:rsid w:val="00887C6B"/>
    <w:rsid w:val="00887C87"/>
    <w:rsid w:val="0089006F"/>
    <w:rsid w:val="008903BC"/>
    <w:rsid w:val="0089054D"/>
    <w:rsid w:val="00890A34"/>
    <w:rsid w:val="00890F82"/>
    <w:rsid w:val="00890FCD"/>
    <w:rsid w:val="0089186E"/>
    <w:rsid w:val="0089208B"/>
    <w:rsid w:val="008920C9"/>
    <w:rsid w:val="0089217F"/>
    <w:rsid w:val="008921EA"/>
    <w:rsid w:val="008921F9"/>
    <w:rsid w:val="008922A5"/>
    <w:rsid w:val="00892306"/>
    <w:rsid w:val="00892399"/>
    <w:rsid w:val="00892457"/>
    <w:rsid w:val="0089270E"/>
    <w:rsid w:val="008927D8"/>
    <w:rsid w:val="00892BD9"/>
    <w:rsid w:val="00892C8B"/>
    <w:rsid w:val="00892F36"/>
    <w:rsid w:val="00893173"/>
    <w:rsid w:val="008932B6"/>
    <w:rsid w:val="008935A7"/>
    <w:rsid w:val="00893709"/>
    <w:rsid w:val="00893862"/>
    <w:rsid w:val="00893B3C"/>
    <w:rsid w:val="00893CA0"/>
    <w:rsid w:val="00893DF3"/>
    <w:rsid w:val="00893E58"/>
    <w:rsid w:val="00893EAC"/>
    <w:rsid w:val="00894398"/>
    <w:rsid w:val="00894583"/>
    <w:rsid w:val="00894738"/>
    <w:rsid w:val="00894A47"/>
    <w:rsid w:val="00894B04"/>
    <w:rsid w:val="00894B29"/>
    <w:rsid w:val="00894C25"/>
    <w:rsid w:val="00894DE6"/>
    <w:rsid w:val="00894E9A"/>
    <w:rsid w:val="008952E1"/>
    <w:rsid w:val="008954AE"/>
    <w:rsid w:val="00895872"/>
    <w:rsid w:val="008959E0"/>
    <w:rsid w:val="00895B5D"/>
    <w:rsid w:val="00895D77"/>
    <w:rsid w:val="00895F07"/>
    <w:rsid w:val="00895F08"/>
    <w:rsid w:val="00895F37"/>
    <w:rsid w:val="00895FFE"/>
    <w:rsid w:val="00896048"/>
    <w:rsid w:val="008960A7"/>
    <w:rsid w:val="0089621F"/>
    <w:rsid w:val="00896686"/>
    <w:rsid w:val="00896896"/>
    <w:rsid w:val="00896D2E"/>
    <w:rsid w:val="00897062"/>
    <w:rsid w:val="00897090"/>
    <w:rsid w:val="0089725B"/>
    <w:rsid w:val="00897591"/>
    <w:rsid w:val="00897606"/>
    <w:rsid w:val="008976AA"/>
    <w:rsid w:val="00897A61"/>
    <w:rsid w:val="00897AE1"/>
    <w:rsid w:val="00897B5F"/>
    <w:rsid w:val="00897DE2"/>
    <w:rsid w:val="008A00BB"/>
    <w:rsid w:val="008A00E3"/>
    <w:rsid w:val="008A02C3"/>
    <w:rsid w:val="008A031F"/>
    <w:rsid w:val="008A09B6"/>
    <w:rsid w:val="008A0C6C"/>
    <w:rsid w:val="008A0D30"/>
    <w:rsid w:val="008A0DDB"/>
    <w:rsid w:val="008A1364"/>
    <w:rsid w:val="008A1397"/>
    <w:rsid w:val="008A1843"/>
    <w:rsid w:val="008A19A7"/>
    <w:rsid w:val="008A1CAC"/>
    <w:rsid w:val="008A1CAF"/>
    <w:rsid w:val="008A1CFB"/>
    <w:rsid w:val="008A1F73"/>
    <w:rsid w:val="008A1FAF"/>
    <w:rsid w:val="008A20F4"/>
    <w:rsid w:val="008A2183"/>
    <w:rsid w:val="008A2208"/>
    <w:rsid w:val="008A2346"/>
    <w:rsid w:val="008A23A0"/>
    <w:rsid w:val="008A245B"/>
    <w:rsid w:val="008A2481"/>
    <w:rsid w:val="008A24F1"/>
    <w:rsid w:val="008A26B0"/>
    <w:rsid w:val="008A281D"/>
    <w:rsid w:val="008A2A71"/>
    <w:rsid w:val="008A2DE5"/>
    <w:rsid w:val="008A2EC8"/>
    <w:rsid w:val="008A2FC8"/>
    <w:rsid w:val="008A328E"/>
    <w:rsid w:val="008A3491"/>
    <w:rsid w:val="008A36A0"/>
    <w:rsid w:val="008A375E"/>
    <w:rsid w:val="008A3A26"/>
    <w:rsid w:val="008A3BC6"/>
    <w:rsid w:val="008A3E99"/>
    <w:rsid w:val="008A3ECD"/>
    <w:rsid w:val="008A4105"/>
    <w:rsid w:val="008A4156"/>
    <w:rsid w:val="008A466A"/>
    <w:rsid w:val="008A485A"/>
    <w:rsid w:val="008A4C0B"/>
    <w:rsid w:val="008A4EB4"/>
    <w:rsid w:val="008A517C"/>
    <w:rsid w:val="008A5484"/>
    <w:rsid w:val="008A54BE"/>
    <w:rsid w:val="008A559E"/>
    <w:rsid w:val="008A592C"/>
    <w:rsid w:val="008A59D7"/>
    <w:rsid w:val="008A5A49"/>
    <w:rsid w:val="008A5D89"/>
    <w:rsid w:val="008A61EF"/>
    <w:rsid w:val="008A620E"/>
    <w:rsid w:val="008A6226"/>
    <w:rsid w:val="008A62E4"/>
    <w:rsid w:val="008A65C8"/>
    <w:rsid w:val="008A67F1"/>
    <w:rsid w:val="008A687E"/>
    <w:rsid w:val="008A6A3B"/>
    <w:rsid w:val="008A6A73"/>
    <w:rsid w:val="008A6A77"/>
    <w:rsid w:val="008A7119"/>
    <w:rsid w:val="008A73AB"/>
    <w:rsid w:val="008A749C"/>
    <w:rsid w:val="008A7A3A"/>
    <w:rsid w:val="008A7B5C"/>
    <w:rsid w:val="008A7C1C"/>
    <w:rsid w:val="008A7D5A"/>
    <w:rsid w:val="008B0005"/>
    <w:rsid w:val="008B0354"/>
    <w:rsid w:val="008B0384"/>
    <w:rsid w:val="008B03A1"/>
    <w:rsid w:val="008B0417"/>
    <w:rsid w:val="008B0577"/>
    <w:rsid w:val="008B06E0"/>
    <w:rsid w:val="008B0725"/>
    <w:rsid w:val="008B0731"/>
    <w:rsid w:val="008B07FC"/>
    <w:rsid w:val="008B0C68"/>
    <w:rsid w:val="008B12C8"/>
    <w:rsid w:val="008B13AA"/>
    <w:rsid w:val="008B1445"/>
    <w:rsid w:val="008B1921"/>
    <w:rsid w:val="008B19F1"/>
    <w:rsid w:val="008B1AEB"/>
    <w:rsid w:val="008B1BD5"/>
    <w:rsid w:val="008B1C67"/>
    <w:rsid w:val="008B1CFF"/>
    <w:rsid w:val="008B1E82"/>
    <w:rsid w:val="008B26BD"/>
    <w:rsid w:val="008B275F"/>
    <w:rsid w:val="008B27D5"/>
    <w:rsid w:val="008B2867"/>
    <w:rsid w:val="008B28E3"/>
    <w:rsid w:val="008B2E4D"/>
    <w:rsid w:val="008B2EDD"/>
    <w:rsid w:val="008B2F86"/>
    <w:rsid w:val="008B3220"/>
    <w:rsid w:val="008B35A9"/>
    <w:rsid w:val="008B35C8"/>
    <w:rsid w:val="008B388B"/>
    <w:rsid w:val="008B3927"/>
    <w:rsid w:val="008B39A4"/>
    <w:rsid w:val="008B3A36"/>
    <w:rsid w:val="008B3C19"/>
    <w:rsid w:val="008B3D75"/>
    <w:rsid w:val="008B3EE5"/>
    <w:rsid w:val="008B4472"/>
    <w:rsid w:val="008B4676"/>
    <w:rsid w:val="008B4861"/>
    <w:rsid w:val="008B4882"/>
    <w:rsid w:val="008B4884"/>
    <w:rsid w:val="008B4C1C"/>
    <w:rsid w:val="008B4DCE"/>
    <w:rsid w:val="008B50B4"/>
    <w:rsid w:val="008B5249"/>
    <w:rsid w:val="008B5251"/>
    <w:rsid w:val="008B54EB"/>
    <w:rsid w:val="008B5544"/>
    <w:rsid w:val="008B55F5"/>
    <w:rsid w:val="008B57E1"/>
    <w:rsid w:val="008B58F3"/>
    <w:rsid w:val="008B590C"/>
    <w:rsid w:val="008B5B6C"/>
    <w:rsid w:val="008B5C0D"/>
    <w:rsid w:val="008B5E3E"/>
    <w:rsid w:val="008B5E78"/>
    <w:rsid w:val="008B6054"/>
    <w:rsid w:val="008B63D1"/>
    <w:rsid w:val="008B6AE3"/>
    <w:rsid w:val="008B6B82"/>
    <w:rsid w:val="008B6D83"/>
    <w:rsid w:val="008B6E78"/>
    <w:rsid w:val="008B6F38"/>
    <w:rsid w:val="008B722C"/>
    <w:rsid w:val="008B73C4"/>
    <w:rsid w:val="008B7493"/>
    <w:rsid w:val="008B78B5"/>
    <w:rsid w:val="008B7949"/>
    <w:rsid w:val="008B7E25"/>
    <w:rsid w:val="008B7FCD"/>
    <w:rsid w:val="008C02F6"/>
    <w:rsid w:val="008C0C94"/>
    <w:rsid w:val="008C0F12"/>
    <w:rsid w:val="008C0FC7"/>
    <w:rsid w:val="008C102A"/>
    <w:rsid w:val="008C104F"/>
    <w:rsid w:val="008C13C8"/>
    <w:rsid w:val="008C13E5"/>
    <w:rsid w:val="008C140B"/>
    <w:rsid w:val="008C1610"/>
    <w:rsid w:val="008C1E45"/>
    <w:rsid w:val="008C2120"/>
    <w:rsid w:val="008C2213"/>
    <w:rsid w:val="008C2266"/>
    <w:rsid w:val="008C25F3"/>
    <w:rsid w:val="008C29B0"/>
    <w:rsid w:val="008C29EE"/>
    <w:rsid w:val="008C2B39"/>
    <w:rsid w:val="008C2B42"/>
    <w:rsid w:val="008C2B98"/>
    <w:rsid w:val="008C2D4C"/>
    <w:rsid w:val="008C2E79"/>
    <w:rsid w:val="008C2ED6"/>
    <w:rsid w:val="008C2FC3"/>
    <w:rsid w:val="008C318A"/>
    <w:rsid w:val="008C3556"/>
    <w:rsid w:val="008C3780"/>
    <w:rsid w:val="008C3B94"/>
    <w:rsid w:val="008C3D5A"/>
    <w:rsid w:val="008C3D8E"/>
    <w:rsid w:val="008C3DD6"/>
    <w:rsid w:val="008C3E74"/>
    <w:rsid w:val="008C4038"/>
    <w:rsid w:val="008C40E1"/>
    <w:rsid w:val="008C40E8"/>
    <w:rsid w:val="008C444C"/>
    <w:rsid w:val="008C449B"/>
    <w:rsid w:val="008C44D4"/>
    <w:rsid w:val="008C4643"/>
    <w:rsid w:val="008C46ED"/>
    <w:rsid w:val="008C4819"/>
    <w:rsid w:val="008C48B1"/>
    <w:rsid w:val="008C49E2"/>
    <w:rsid w:val="008C4A45"/>
    <w:rsid w:val="008C4BBE"/>
    <w:rsid w:val="008C4D77"/>
    <w:rsid w:val="008C4E18"/>
    <w:rsid w:val="008C4E46"/>
    <w:rsid w:val="008C51A3"/>
    <w:rsid w:val="008C5294"/>
    <w:rsid w:val="008C547F"/>
    <w:rsid w:val="008C54DC"/>
    <w:rsid w:val="008C581E"/>
    <w:rsid w:val="008C59D7"/>
    <w:rsid w:val="008C5BB8"/>
    <w:rsid w:val="008C5CA4"/>
    <w:rsid w:val="008C5EE7"/>
    <w:rsid w:val="008C5F87"/>
    <w:rsid w:val="008C5F88"/>
    <w:rsid w:val="008C5FCD"/>
    <w:rsid w:val="008C6135"/>
    <w:rsid w:val="008C62A5"/>
    <w:rsid w:val="008C6643"/>
    <w:rsid w:val="008C6994"/>
    <w:rsid w:val="008C6A31"/>
    <w:rsid w:val="008C6AAB"/>
    <w:rsid w:val="008C6D03"/>
    <w:rsid w:val="008C6F43"/>
    <w:rsid w:val="008C6FA6"/>
    <w:rsid w:val="008C740B"/>
    <w:rsid w:val="008C7589"/>
    <w:rsid w:val="008C78F4"/>
    <w:rsid w:val="008C7BD6"/>
    <w:rsid w:val="008C7E05"/>
    <w:rsid w:val="008D014C"/>
    <w:rsid w:val="008D05A8"/>
    <w:rsid w:val="008D06D6"/>
    <w:rsid w:val="008D0913"/>
    <w:rsid w:val="008D0B76"/>
    <w:rsid w:val="008D0F15"/>
    <w:rsid w:val="008D115F"/>
    <w:rsid w:val="008D12A5"/>
    <w:rsid w:val="008D151B"/>
    <w:rsid w:val="008D1527"/>
    <w:rsid w:val="008D15B6"/>
    <w:rsid w:val="008D1719"/>
    <w:rsid w:val="008D17D2"/>
    <w:rsid w:val="008D188A"/>
    <w:rsid w:val="008D1A34"/>
    <w:rsid w:val="008D1B11"/>
    <w:rsid w:val="008D1E6C"/>
    <w:rsid w:val="008D1EDA"/>
    <w:rsid w:val="008D1FFA"/>
    <w:rsid w:val="008D20F0"/>
    <w:rsid w:val="008D219D"/>
    <w:rsid w:val="008D24F6"/>
    <w:rsid w:val="008D26D9"/>
    <w:rsid w:val="008D2981"/>
    <w:rsid w:val="008D302C"/>
    <w:rsid w:val="008D30ED"/>
    <w:rsid w:val="008D3126"/>
    <w:rsid w:val="008D3141"/>
    <w:rsid w:val="008D3373"/>
    <w:rsid w:val="008D33C6"/>
    <w:rsid w:val="008D3C05"/>
    <w:rsid w:val="008D3C0F"/>
    <w:rsid w:val="008D3DD2"/>
    <w:rsid w:val="008D3E96"/>
    <w:rsid w:val="008D3F28"/>
    <w:rsid w:val="008D407F"/>
    <w:rsid w:val="008D40BF"/>
    <w:rsid w:val="008D4224"/>
    <w:rsid w:val="008D4649"/>
    <w:rsid w:val="008D4651"/>
    <w:rsid w:val="008D4874"/>
    <w:rsid w:val="008D48B5"/>
    <w:rsid w:val="008D4AA0"/>
    <w:rsid w:val="008D4AD8"/>
    <w:rsid w:val="008D4C3E"/>
    <w:rsid w:val="008D5034"/>
    <w:rsid w:val="008D5451"/>
    <w:rsid w:val="008D5805"/>
    <w:rsid w:val="008D585F"/>
    <w:rsid w:val="008D58A9"/>
    <w:rsid w:val="008D5A0C"/>
    <w:rsid w:val="008D5E81"/>
    <w:rsid w:val="008D61B5"/>
    <w:rsid w:val="008D61C6"/>
    <w:rsid w:val="008D62F5"/>
    <w:rsid w:val="008D63B7"/>
    <w:rsid w:val="008D6629"/>
    <w:rsid w:val="008D67B8"/>
    <w:rsid w:val="008D67F0"/>
    <w:rsid w:val="008D6827"/>
    <w:rsid w:val="008D6B46"/>
    <w:rsid w:val="008D6C43"/>
    <w:rsid w:val="008D6E22"/>
    <w:rsid w:val="008D6FAF"/>
    <w:rsid w:val="008D70AC"/>
    <w:rsid w:val="008D7245"/>
    <w:rsid w:val="008D7317"/>
    <w:rsid w:val="008D7398"/>
    <w:rsid w:val="008D74F7"/>
    <w:rsid w:val="008D7596"/>
    <w:rsid w:val="008D75CB"/>
    <w:rsid w:val="008D789E"/>
    <w:rsid w:val="008D7C4E"/>
    <w:rsid w:val="008D7D21"/>
    <w:rsid w:val="008D7D70"/>
    <w:rsid w:val="008D7E64"/>
    <w:rsid w:val="008D7EDA"/>
    <w:rsid w:val="008E03FE"/>
    <w:rsid w:val="008E0746"/>
    <w:rsid w:val="008E077A"/>
    <w:rsid w:val="008E0921"/>
    <w:rsid w:val="008E0B05"/>
    <w:rsid w:val="008E0B6C"/>
    <w:rsid w:val="008E0BC1"/>
    <w:rsid w:val="008E0C45"/>
    <w:rsid w:val="008E0C51"/>
    <w:rsid w:val="008E0E5F"/>
    <w:rsid w:val="008E0E9E"/>
    <w:rsid w:val="008E10E3"/>
    <w:rsid w:val="008E1118"/>
    <w:rsid w:val="008E11BD"/>
    <w:rsid w:val="008E12DD"/>
    <w:rsid w:val="008E1417"/>
    <w:rsid w:val="008E1434"/>
    <w:rsid w:val="008E152A"/>
    <w:rsid w:val="008E1892"/>
    <w:rsid w:val="008E1B23"/>
    <w:rsid w:val="008E1BC6"/>
    <w:rsid w:val="008E1C00"/>
    <w:rsid w:val="008E1FCF"/>
    <w:rsid w:val="008E217E"/>
    <w:rsid w:val="008E22C8"/>
    <w:rsid w:val="008E2364"/>
    <w:rsid w:val="008E2642"/>
    <w:rsid w:val="008E286C"/>
    <w:rsid w:val="008E2913"/>
    <w:rsid w:val="008E296B"/>
    <w:rsid w:val="008E2DA7"/>
    <w:rsid w:val="008E31C2"/>
    <w:rsid w:val="008E3280"/>
    <w:rsid w:val="008E33C8"/>
    <w:rsid w:val="008E34B2"/>
    <w:rsid w:val="008E3525"/>
    <w:rsid w:val="008E3A03"/>
    <w:rsid w:val="008E3AD8"/>
    <w:rsid w:val="008E3E6B"/>
    <w:rsid w:val="008E3ED0"/>
    <w:rsid w:val="008E411C"/>
    <w:rsid w:val="008E4252"/>
    <w:rsid w:val="008E441B"/>
    <w:rsid w:val="008E4604"/>
    <w:rsid w:val="008E4696"/>
    <w:rsid w:val="008E47FB"/>
    <w:rsid w:val="008E498C"/>
    <w:rsid w:val="008E49E3"/>
    <w:rsid w:val="008E4D5C"/>
    <w:rsid w:val="008E4D89"/>
    <w:rsid w:val="008E4DDA"/>
    <w:rsid w:val="008E4F2A"/>
    <w:rsid w:val="008E50F5"/>
    <w:rsid w:val="008E54B1"/>
    <w:rsid w:val="008E54FA"/>
    <w:rsid w:val="008E5637"/>
    <w:rsid w:val="008E5801"/>
    <w:rsid w:val="008E58D8"/>
    <w:rsid w:val="008E5958"/>
    <w:rsid w:val="008E5C4A"/>
    <w:rsid w:val="008E5E08"/>
    <w:rsid w:val="008E679F"/>
    <w:rsid w:val="008E6808"/>
    <w:rsid w:val="008E6843"/>
    <w:rsid w:val="008E68C3"/>
    <w:rsid w:val="008E6938"/>
    <w:rsid w:val="008E6968"/>
    <w:rsid w:val="008E6975"/>
    <w:rsid w:val="008E6A63"/>
    <w:rsid w:val="008E6DC3"/>
    <w:rsid w:val="008E6E78"/>
    <w:rsid w:val="008E6F0E"/>
    <w:rsid w:val="008E6F44"/>
    <w:rsid w:val="008E6F47"/>
    <w:rsid w:val="008E7381"/>
    <w:rsid w:val="008E740B"/>
    <w:rsid w:val="008E7678"/>
    <w:rsid w:val="008E7693"/>
    <w:rsid w:val="008E7783"/>
    <w:rsid w:val="008E7C1A"/>
    <w:rsid w:val="008E7CDB"/>
    <w:rsid w:val="008E7E88"/>
    <w:rsid w:val="008E7F31"/>
    <w:rsid w:val="008E7F76"/>
    <w:rsid w:val="008F0022"/>
    <w:rsid w:val="008F0037"/>
    <w:rsid w:val="008F01B9"/>
    <w:rsid w:val="008F04AA"/>
    <w:rsid w:val="008F065D"/>
    <w:rsid w:val="008F06C0"/>
    <w:rsid w:val="008F0702"/>
    <w:rsid w:val="008F0725"/>
    <w:rsid w:val="008F077C"/>
    <w:rsid w:val="008F0BC7"/>
    <w:rsid w:val="008F126B"/>
    <w:rsid w:val="008F1638"/>
    <w:rsid w:val="008F170C"/>
    <w:rsid w:val="008F1B96"/>
    <w:rsid w:val="008F1C55"/>
    <w:rsid w:val="008F1E3B"/>
    <w:rsid w:val="008F1FCD"/>
    <w:rsid w:val="008F20BD"/>
    <w:rsid w:val="008F211E"/>
    <w:rsid w:val="008F2173"/>
    <w:rsid w:val="008F2426"/>
    <w:rsid w:val="008F24C2"/>
    <w:rsid w:val="008F26EB"/>
    <w:rsid w:val="008F2754"/>
    <w:rsid w:val="008F2A79"/>
    <w:rsid w:val="008F3072"/>
    <w:rsid w:val="008F32D1"/>
    <w:rsid w:val="008F3535"/>
    <w:rsid w:val="008F3930"/>
    <w:rsid w:val="008F39DB"/>
    <w:rsid w:val="008F3A77"/>
    <w:rsid w:val="008F3B41"/>
    <w:rsid w:val="008F3BC2"/>
    <w:rsid w:val="008F3C71"/>
    <w:rsid w:val="008F3E9E"/>
    <w:rsid w:val="008F3F94"/>
    <w:rsid w:val="008F4069"/>
    <w:rsid w:val="008F40AD"/>
    <w:rsid w:val="008F443B"/>
    <w:rsid w:val="008F44E7"/>
    <w:rsid w:val="008F451E"/>
    <w:rsid w:val="008F4637"/>
    <w:rsid w:val="008F4647"/>
    <w:rsid w:val="008F47D5"/>
    <w:rsid w:val="008F4BF4"/>
    <w:rsid w:val="008F4EE4"/>
    <w:rsid w:val="008F4F34"/>
    <w:rsid w:val="008F539E"/>
    <w:rsid w:val="008F5696"/>
    <w:rsid w:val="008F56C2"/>
    <w:rsid w:val="008F5C9E"/>
    <w:rsid w:val="008F5D32"/>
    <w:rsid w:val="008F5E5E"/>
    <w:rsid w:val="008F5EB4"/>
    <w:rsid w:val="008F6087"/>
    <w:rsid w:val="008F648D"/>
    <w:rsid w:val="008F649F"/>
    <w:rsid w:val="008F655E"/>
    <w:rsid w:val="008F6772"/>
    <w:rsid w:val="008F6992"/>
    <w:rsid w:val="008F6E5B"/>
    <w:rsid w:val="008F7095"/>
    <w:rsid w:val="008F7669"/>
    <w:rsid w:val="008F7A7C"/>
    <w:rsid w:val="009003F7"/>
    <w:rsid w:val="0090041B"/>
    <w:rsid w:val="0090073C"/>
    <w:rsid w:val="00900902"/>
    <w:rsid w:val="00900E74"/>
    <w:rsid w:val="00901161"/>
    <w:rsid w:val="0090127D"/>
    <w:rsid w:val="0090136B"/>
    <w:rsid w:val="00901389"/>
    <w:rsid w:val="009013D6"/>
    <w:rsid w:val="00901590"/>
    <w:rsid w:val="0090162C"/>
    <w:rsid w:val="009018BE"/>
    <w:rsid w:val="00901B23"/>
    <w:rsid w:val="00901F14"/>
    <w:rsid w:val="00901F5A"/>
    <w:rsid w:val="009021D8"/>
    <w:rsid w:val="00902597"/>
    <w:rsid w:val="009027F3"/>
    <w:rsid w:val="00902962"/>
    <w:rsid w:val="00902E0B"/>
    <w:rsid w:val="00902E2C"/>
    <w:rsid w:val="00903138"/>
    <w:rsid w:val="00903395"/>
    <w:rsid w:val="009034A3"/>
    <w:rsid w:val="0090370F"/>
    <w:rsid w:val="009037E7"/>
    <w:rsid w:val="0090399A"/>
    <w:rsid w:val="00903A64"/>
    <w:rsid w:val="00903F2D"/>
    <w:rsid w:val="00903FAD"/>
    <w:rsid w:val="0090452E"/>
    <w:rsid w:val="00904597"/>
    <w:rsid w:val="0090464D"/>
    <w:rsid w:val="00904718"/>
    <w:rsid w:val="00904B9D"/>
    <w:rsid w:val="00904BEA"/>
    <w:rsid w:val="00904C41"/>
    <w:rsid w:val="00904CC8"/>
    <w:rsid w:val="00904D0A"/>
    <w:rsid w:val="00904D99"/>
    <w:rsid w:val="00904DC9"/>
    <w:rsid w:val="00904EA9"/>
    <w:rsid w:val="00904FCC"/>
    <w:rsid w:val="00905196"/>
    <w:rsid w:val="009053DF"/>
    <w:rsid w:val="009056D1"/>
    <w:rsid w:val="00905815"/>
    <w:rsid w:val="00905DEE"/>
    <w:rsid w:val="00905ED5"/>
    <w:rsid w:val="00906339"/>
    <w:rsid w:val="00906527"/>
    <w:rsid w:val="009068F1"/>
    <w:rsid w:val="00906AFE"/>
    <w:rsid w:val="00906C94"/>
    <w:rsid w:val="00906E18"/>
    <w:rsid w:val="009075B4"/>
    <w:rsid w:val="009077BB"/>
    <w:rsid w:val="009077BE"/>
    <w:rsid w:val="009077F0"/>
    <w:rsid w:val="0090796E"/>
    <w:rsid w:val="00907A27"/>
    <w:rsid w:val="00907BA4"/>
    <w:rsid w:val="00907C66"/>
    <w:rsid w:val="00907E59"/>
    <w:rsid w:val="00910284"/>
    <w:rsid w:val="0091040E"/>
    <w:rsid w:val="0091044E"/>
    <w:rsid w:val="009104E2"/>
    <w:rsid w:val="00910574"/>
    <w:rsid w:val="0091091E"/>
    <w:rsid w:val="00910C7B"/>
    <w:rsid w:val="00910DDA"/>
    <w:rsid w:val="00911201"/>
    <w:rsid w:val="00911A84"/>
    <w:rsid w:val="00911BED"/>
    <w:rsid w:val="00911C00"/>
    <w:rsid w:val="00911C34"/>
    <w:rsid w:val="00911D01"/>
    <w:rsid w:val="00911DC9"/>
    <w:rsid w:val="0091207B"/>
    <w:rsid w:val="00912218"/>
    <w:rsid w:val="0091222B"/>
    <w:rsid w:val="00912317"/>
    <w:rsid w:val="009124BD"/>
    <w:rsid w:val="009125E8"/>
    <w:rsid w:val="009126EA"/>
    <w:rsid w:val="00912715"/>
    <w:rsid w:val="0091273B"/>
    <w:rsid w:val="009127C0"/>
    <w:rsid w:val="00912AD7"/>
    <w:rsid w:val="00912D51"/>
    <w:rsid w:val="00912DF1"/>
    <w:rsid w:val="00912EB4"/>
    <w:rsid w:val="00912FE8"/>
    <w:rsid w:val="0091319F"/>
    <w:rsid w:val="0091362B"/>
    <w:rsid w:val="009136E9"/>
    <w:rsid w:val="009137AD"/>
    <w:rsid w:val="00913C1A"/>
    <w:rsid w:val="00913F16"/>
    <w:rsid w:val="00913FEF"/>
    <w:rsid w:val="0091410B"/>
    <w:rsid w:val="00914148"/>
    <w:rsid w:val="009141FE"/>
    <w:rsid w:val="00914527"/>
    <w:rsid w:val="00914682"/>
    <w:rsid w:val="009148A2"/>
    <w:rsid w:val="009153E5"/>
    <w:rsid w:val="00915740"/>
    <w:rsid w:val="00915840"/>
    <w:rsid w:val="009158F5"/>
    <w:rsid w:val="00915954"/>
    <w:rsid w:val="009159AA"/>
    <w:rsid w:val="009159E0"/>
    <w:rsid w:val="00916019"/>
    <w:rsid w:val="00916084"/>
    <w:rsid w:val="0091650A"/>
    <w:rsid w:val="00916572"/>
    <w:rsid w:val="00916668"/>
    <w:rsid w:val="00916709"/>
    <w:rsid w:val="00916834"/>
    <w:rsid w:val="00916A68"/>
    <w:rsid w:val="00916B82"/>
    <w:rsid w:val="00916C90"/>
    <w:rsid w:val="00916D40"/>
    <w:rsid w:val="00916FA7"/>
    <w:rsid w:val="00916FE2"/>
    <w:rsid w:val="0091703C"/>
    <w:rsid w:val="009171E8"/>
    <w:rsid w:val="009172AB"/>
    <w:rsid w:val="009175D8"/>
    <w:rsid w:val="0091774D"/>
    <w:rsid w:val="00917898"/>
    <w:rsid w:val="00917A89"/>
    <w:rsid w:val="00917ABA"/>
    <w:rsid w:val="00917AE6"/>
    <w:rsid w:val="00917FD3"/>
    <w:rsid w:val="009200D5"/>
    <w:rsid w:val="009201E5"/>
    <w:rsid w:val="009202CD"/>
    <w:rsid w:val="0092036E"/>
    <w:rsid w:val="00920540"/>
    <w:rsid w:val="00920764"/>
    <w:rsid w:val="009207FB"/>
    <w:rsid w:val="0092097E"/>
    <w:rsid w:val="00920B87"/>
    <w:rsid w:val="00920FD8"/>
    <w:rsid w:val="00921079"/>
    <w:rsid w:val="009210A2"/>
    <w:rsid w:val="009210CA"/>
    <w:rsid w:val="00921102"/>
    <w:rsid w:val="00921173"/>
    <w:rsid w:val="009213B1"/>
    <w:rsid w:val="0092149D"/>
    <w:rsid w:val="0092156D"/>
    <w:rsid w:val="0092160E"/>
    <w:rsid w:val="00921AC0"/>
    <w:rsid w:val="00921C44"/>
    <w:rsid w:val="00921FE0"/>
    <w:rsid w:val="00922026"/>
    <w:rsid w:val="00922101"/>
    <w:rsid w:val="009221B2"/>
    <w:rsid w:val="0092220E"/>
    <w:rsid w:val="009223EA"/>
    <w:rsid w:val="0092243E"/>
    <w:rsid w:val="00922797"/>
    <w:rsid w:val="00922BFA"/>
    <w:rsid w:val="00922C8B"/>
    <w:rsid w:val="00922DF4"/>
    <w:rsid w:val="00922ED5"/>
    <w:rsid w:val="00922FAA"/>
    <w:rsid w:val="00922FE5"/>
    <w:rsid w:val="00923106"/>
    <w:rsid w:val="009232C6"/>
    <w:rsid w:val="00923525"/>
    <w:rsid w:val="00923692"/>
    <w:rsid w:val="0092391D"/>
    <w:rsid w:val="00924460"/>
    <w:rsid w:val="00924637"/>
    <w:rsid w:val="0092464C"/>
    <w:rsid w:val="009247E0"/>
    <w:rsid w:val="00924AA5"/>
    <w:rsid w:val="00924D70"/>
    <w:rsid w:val="00924EE1"/>
    <w:rsid w:val="00924F19"/>
    <w:rsid w:val="00925126"/>
    <w:rsid w:val="00925141"/>
    <w:rsid w:val="0092526B"/>
    <w:rsid w:val="00925769"/>
    <w:rsid w:val="009257E6"/>
    <w:rsid w:val="00925A14"/>
    <w:rsid w:val="00925B7C"/>
    <w:rsid w:val="00926154"/>
    <w:rsid w:val="0092630C"/>
    <w:rsid w:val="009264FE"/>
    <w:rsid w:val="00926505"/>
    <w:rsid w:val="00926567"/>
    <w:rsid w:val="00927387"/>
    <w:rsid w:val="009276EB"/>
    <w:rsid w:val="00927A32"/>
    <w:rsid w:val="00930037"/>
    <w:rsid w:val="009303E8"/>
    <w:rsid w:val="0093040A"/>
    <w:rsid w:val="00930489"/>
    <w:rsid w:val="00930788"/>
    <w:rsid w:val="00930806"/>
    <w:rsid w:val="00930884"/>
    <w:rsid w:val="00930A4D"/>
    <w:rsid w:val="00930F1A"/>
    <w:rsid w:val="00930FA3"/>
    <w:rsid w:val="00931485"/>
    <w:rsid w:val="009314FF"/>
    <w:rsid w:val="00931661"/>
    <w:rsid w:val="00931705"/>
    <w:rsid w:val="009317B7"/>
    <w:rsid w:val="009317C4"/>
    <w:rsid w:val="009318BC"/>
    <w:rsid w:val="00931900"/>
    <w:rsid w:val="00931923"/>
    <w:rsid w:val="009319D4"/>
    <w:rsid w:val="00931AB2"/>
    <w:rsid w:val="00931C30"/>
    <w:rsid w:val="00931C5F"/>
    <w:rsid w:val="009321DF"/>
    <w:rsid w:val="0093230E"/>
    <w:rsid w:val="00932600"/>
    <w:rsid w:val="0093261B"/>
    <w:rsid w:val="00932625"/>
    <w:rsid w:val="00932775"/>
    <w:rsid w:val="0093277B"/>
    <w:rsid w:val="00932814"/>
    <w:rsid w:val="00932AA3"/>
    <w:rsid w:val="00932B3C"/>
    <w:rsid w:val="00932BCD"/>
    <w:rsid w:val="00932CBB"/>
    <w:rsid w:val="00932D64"/>
    <w:rsid w:val="00932ED8"/>
    <w:rsid w:val="00932FB5"/>
    <w:rsid w:val="009332F3"/>
    <w:rsid w:val="0093339B"/>
    <w:rsid w:val="009333B4"/>
    <w:rsid w:val="00933556"/>
    <w:rsid w:val="00933624"/>
    <w:rsid w:val="009336EE"/>
    <w:rsid w:val="00933A90"/>
    <w:rsid w:val="00933B4B"/>
    <w:rsid w:val="00933BB9"/>
    <w:rsid w:val="00933C7F"/>
    <w:rsid w:val="00933F7B"/>
    <w:rsid w:val="0093405F"/>
    <w:rsid w:val="009340BD"/>
    <w:rsid w:val="0093413C"/>
    <w:rsid w:val="009343CD"/>
    <w:rsid w:val="00934A9D"/>
    <w:rsid w:val="00934F1B"/>
    <w:rsid w:val="00934F2B"/>
    <w:rsid w:val="0093507A"/>
    <w:rsid w:val="00935232"/>
    <w:rsid w:val="009353E1"/>
    <w:rsid w:val="009354C5"/>
    <w:rsid w:val="00935771"/>
    <w:rsid w:val="00935ADB"/>
    <w:rsid w:val="00935BFE"/>
    <w:rsid w:val="00935EFC"/>
    <w:rsid w:val="00936224"/>
    <w:rsid w:val="0093651D"/>
    <w:rsid w:val="0093662C"/>
    <w:rsid w:val="00936682"/>
    <w:rsid w:val="009366DB"/>
    <w:rsid w:val="00936717"/>
    <w:rsid w:val="00936CB1"/>
    <w:rsid w:val="00936CD9"/>
    <w:rsid w:val="00937108"/>
    <w:rsid w:val="00937276"/>
    <w:rsid w:val="00937293"/>
    <w:rsid w:val="009373A1"/>
    <w:rsid w:val="0093746A"/>
    <w:rsid w:val="0093766D"/>
    <w:rsid w:val="00937676"/>
    <w:rsid w:val="009379F2"/>
    <w:rsid w:val="00937ABB"/>
    <w:rsid w:val="00937ADF"/>
    <w:rsid w:val="00937B50"/>
    <w:rsid w:val="00937B9A"/>
    <w:rsid w:val="00937BE3"/>
    <w:rsid w:val="00937C00"/>
    <w:rsid w:val="00937DDF"/>
    <w:rsid w:val="00937ECE"/>
    <w:rsid w:val="0093CEE2"/>
    <w:rsid w:val="009401CE"/>
    <w:rsid w:val="00940507"/>
    <w:rsid w:val="0094071C"/>
    <w:rsid w:val="00940B86"/>
    <w:rsid w:val="00940CDD"/>
    <w:rsid w:val="00940D94"/>
    <w:rsid w:val="00940E53"/>
    <w:rsid w:val="00940F58"/>
    <w:rsid w:val="009414FF"/>
    <w:rsid w:val="00941562"/>
    <w:rsid w:val="009417FF"/>
    <w:rsid w:val="009419D6"/>
    <w:rsid w:val="00942176"/>
    <w:rsid w:val="00942606"/>
    <w:rsid w:val="00942703"/>
    <w:rsid w:val="00942B39"/>
    <w:rsid w:val="00942B51"/>
    <w:rsid w:val="00942BE7"/>
    <w:rsid w:val="00942CC1"/>
    <w:rsid w:val="00942E06"/>
    <w:rsid w:val="00942F36"/>
    <w:rsid w:val="0094307B"/>
    <w:rsid w:val="0094318B"/>
    <w:rsid w:val="009435DC"/>
    <w:rsid w:val="009439E2"/>
    <w:rsid w:val="00943A29"/>
    <w:rsid w:val="00943F54"/>
    <w:rsid w:val="00943FC7"/>
    <w:rsid w:val="009440CF"/>
    <w:rsid w:val="009441EE"/>
    <w:rsid w:val="009444C2"/>
    <w:rsid w:val="00944678"/>
    <w:rsid w:val="009448A6"/>
    <w:rsid w:val="00944B76"/>
    <w:rsid w:val="00944C4E"/>
    <w:rsid w:val="00944CB5"/>
    <w:rsid w:val="009451CF"/>
    <w:rsid w:val="0094529A"/>
    <w:rsid w:val="00945387"/>
    <w:rsid w:val="009453A6"/>
    <w:rsid w:val="009456F6"/>
    <w:rsid w:val="00945A25"/>
    <w:rsid w:val="00945ED6"/>
    <w:rsid w:val="00946325"/>
    <w:rsid w:val="009464A1"/>
    <w:rsid w:val="00946582"/>
    <w:rsid w:val="00946618"/>
    <w:rsid w:val="009466ED"/>
    <w:rsid w:val="009468C6"/>
    <w:rsid w:val="00946A34"/>
    <w:rsid w:val="00946ACD"/>
    <w:rsid w:val="00946C2D"/>
    <w:rsid w:val="00946D6C"/>
    <w:rsid w:val="00947022"/>
    <w:rsid w:val="009474D3"/>
    <w:rsid w:val="009477FC"/>
    <w:rsid w:val="00947875"/>
    <w:rsid w:val="00947979"/>
    <w:rsid w:val="0094798B"/>
    <w:rsid w:val="00947AAE"/>
    <w:rsid w:val="00947AEA"/>
    <w:rsid w:val="00947C5F"/>
    <w:rsid w:val="00947D47"/>
    <w:rsid w:val="00947DD9"/>
    <w:rsid w:val="00947E4A"/>
    <w:rsid w:val="00950065"/>
    <w:rsid w:val="009503A0"/>
    <w:rsid w:val="00950566"/>
    <w:rsid w:val="0095057A"/>
    <w:rsid w:val="00950641"/>
    <w:rsid w:val="00950892"/>
    <w:rsid w:val="00950895"/>
    <w:rsid w:val="00950B74"/>
    <w:rsid w:val="00950E62"/>
    <w:rsid w:val="00950EFE"/>
    <w:rsid w:val="009511B3"/>
    <w:rsid w:val="009511E2"/>
    <w:rsid w:val="009514EC"/>
    <w:rsid w:val="00951899"/>
    <w:rsid w:val="00951A14"/>
    <w:rsid w:val="00951CB1"/>
    <w:rsid w:val="00951DA5"/>
    <w:rsid w:val="00951E07"/>
    <w:rsid w:val="00952034"/>
    <w:rsid w:val="0095240F"/>
    <w:rsid w:val="009528CF"/>
    <w:rsid w:val="009529B6"/>
    <w:rsid w:val="00952BF7"/>
    <w:rsid w:val="00952CFA"/>
    <w:rsid w:val="009530BC"/>
    <w:rsid w:val="009530F7"/>
    <w:rsid w:val="00953219"/>
    <w:rsid w:val="00953526"/>
    <w:rsid w:val="0095392C"/>
    <w:rsid w:val="00953A4D"/>
    <w:rsid w:val="0095454B"/>
    <w:rsid w:val="009547E8"/>
    <w:rsid w:val="00954994"/>
    <w:rsid w:val="00954E48"/>
    <w:rsid w:val="00954F96"/>
    <w:rsid w:val="0095500D"/>
    <w:rsid w:val="009550F1"/>
    <w:rsid w:val="009551C1"/>
    <w:rsid w:val="009553EF"/>
    <w:rsid w:val="00955422"/>
    <w:rsid w:val="0095596C"/>
    <w:rsid w:val="00955A06"/>
    <w:rsid w:val="00955FCC"/>
    <w:rsid w:val="009561B3"/>
    <w:rsid w:val="009561D0"/>
    <w:rsid w:val="0095630B"/>
    <w:rsid w:val="009565CE"/>
    <w:rsid w:val="00956636"/>
    <w:rsid w:val="009567FD"/>
    <w:rsid w:val="009568C0"/>
    <w:rsid w:val="00956C96"/>
    <w:rsid w:val="00956CA8"/>
    <w:rsid w:val="00956D8C"/>
    <w:rsid w:val="00956EFC"/>
    <w:rsid w:val="00956F9B"/>
    <w:rsid w:val="00957137"/>
    <w:rsid w:val="00957421"/>
    <w:rsid w:val="00957534"/>
    <w:rsid w:val="00957F3D"/>
    <w:rsid w:val="00957F97"/>
    <w:rsid w:val="0095E763"/>
    <w:rsid w:val="009600F8"/>
    <w:rsid w:val="00960118"/>
    <w:rsid w:val="009601AB"/>
    <w:rsid w:val="009601B3"/>
    <w:rsid w:val="00960236"/>
    <w:rsid w:val="009603FB"/>
    <w:rsid w:val="009607BB"/>
    <w:rsid w:val="0096093A"/>
    <w:rsid w:val="00960B0F"/>
    <w:rsid w:val="00960F3D"/>
    <w:rsid w:val="00960FF3"/>
    <w:rsid w:val="0096117E"/>
    <w:rsid w:val="00961395"/>
    <w:rsid w:val="0096149E"/>
    <w:rsid w:val="009614E6"/>
    <w:rsid w:val="009616CA"/>
    <w:rsid w:val="009618E3"/>
    <w:rsid w:val="0096236B"/>
    <w:rsid w:val="00962383"/>
    <w:rsid w:val="009625FC"/>
    <w:rsid w:val="00962752"/>
    <w:rsid w:val="00962777"/>
    <w:rsid w:val="00962BD3"/>
    <w:rsid w:val="00962D02"/>
    <w:rsid w:val="0096309E"/>
    <w:rsid w:val="00963213"/>
    <w:rsid w:val="00963330"/>
    <w:rsid w:val="00963528"/>
    <w:rsid w:val="00963547"/>
    <w:rsid w:val="0096360A"/>
    <w:rsid w:val="00963709"/>
    <w:rsid w:val="00963711"/>
    <w:rsid w:val="0096378F"/>
    <w:rsid w:val="009637BC"/>
    <w:rsid w:val="009638A9"/>
    <w:rsid w:val="009639E6"/>
    <w:rsid w:val="00963A26"/>
    <w:rsid w:val="00963AC9"/>
    <w:rsid w:val="00963B98"/>
    <w:rsid w:val="00963C07"/>
    <w:rsid w:val="00963D3A"/>
    <w:rsid w:val="00963E00"/>
    <w:rsid w:val="00963E65"/>
    <w:rsid w:val="00963FEB"/>
    <w:rsid w:val="009640C7"/>
    <w:rsid w:val="009646BD"/>
    <w:rsid w:val="0096471D"/>
    <w:rsid w:val="0096474E"/>
    <w:rsid w:val="00964AE5"/>
    <w:rsid w:val="00964BA6"/>
    <w:rsid w:val="00965026"/>
    <w:rsid w:val="009650A8"/>
    <w:rsid w:val="00965111"/>
    <w:rsid w:val="009651D8"/>
    <w:rsid w:val="009654F5"/>
    <w:rsid w:val="0096586F"/>
    <w:rsid w:val="00965916"/>
    <w:rsid w:val="00965BDF"/>
    <w:rsid w:val="0096603F"/>
    <w:rsid w:val="009662AD"/>
    <w:rsid w:val="009664F1"/>
    <w:rsid w:val="00966583"/>
    <w:rsid w:val="009666C5"/>
    <w:rsid w:val="009667DD"/>
    <w:rsid w:val="0096687E"/>
    <w:rsid w:val="00966A24"/>
    <w:rsid w:val="00966ADD"/>
    <w:rsid w:val="00966B59"/>
    <w:rsid w:val="00966C4F"/>
    <w:rsid w:val="00967078"/>
    <w:rsid w:val="009672C7"/>
    <w:rsid w:val="0096757C"/>
    <w:rsid w:val="009675E6"/>
    <w:rsid w:val="009676C2"/>
    <w:rsid w:val="00967810"/>
    <w:rsid w:val="00967CE6"/>
    <w:rsid w:val="0097009B"/>
    <w:rsid w:val="0097017B"/>
    <w:rsid w:val="0097044E"/>
    <w:rsid w:val="00970661"/>
    <w:rsid w:val="009707BA"/>
    <w:rsid w:val="009709D7"/>
    <w:rsid w:val="009709E7"/>
    <w:rsid w:val="00970A05"/>
    <w:rsid w:val="00970AD4"/>
    <w:rsid w:val="00970DF7"/>
    <w:rsid w:val="00970E1E"/>
    <w:rsid w:val="00970F54"/>
    <w:rsid w:val="0097103A"/>
    <w:rsid w:val="00971064"/>
    <w:rsid w:val="009714C7"/>
    <w:rsid w:val="0097154F"/>
    <w:rsid w:val="00971C0B"/>
    <w:rsid w:val="00971E92"/>
    <w:rsid w:val="00971EE3"/>
    <w:rsid w:val="009720DF"/>
    <w:rsid w:val="00972144"/>
    <w:rsid w:val="00972457"/>
    <w:rsid w:val="00972567"/>
    <w:rsid w:val="00972C8D"/>
    <w:rsid w:val="00972D76"/>
    <w:rsid w:val="00972F65"/>
    <w:rsid w:val="009731B1"/>
    <w:rsid w:val="009731D1"/>
    <w:rsid w:val="0097352A"/>
    <w:rsid w:val="009735BD"/>
    <w:rsid w:val="00973646"/>
    <w:rsid w:val="00973796"/>
    <w:rsid w:val="0097381B"/>
    <w:rsid w:val="009738C7"/>
    <w:rsid w:val="00973905"/>
    <w:rsid w:val="00973958"/>
    <w:rsid w:val="00973977"/>
    <w:rsid w:val="00973C41"/>
    <w:rsid w:val="00973CB3"/>
    <w:rsid w:val="00973CE5"/>
    <w:rsid w:val="0097422D"/>
    <w:rsid w:val="00974294"/>
    <w:rsid w:val="009742DF"/>
    <w:rsid w:val="009744DB"/>
    <w:rsid w:val="0097490E"/>
    <w:rsid w:val="009749A4"/>
    <w:rsid w:val="00974B36"/>
    <w:rsid w:val="00974BAA"/>
    <w:rsid w:val="00974C13"/>
    <w:rsid w:val="00974D0B"/>
    <w:rsid w:val="00974D68"/>
    <w:rsid w:val="00974EE8"/>
    <w:rsid w:val="009754C4"/>
    <w:rsid w:val="009754C8"/>
    <w:rsid w:val="00975582"/>
    <w:rsid w:val="00975AB7"/>
    <w:rsid w:val="00975AF0"/>
    <w:rsid w:val="00975D0E"/>
    <w:rsid w:val="00975EFC"/>
    <w:rsid w:val="00975F07"/>
    <w:rsid w:val="00975F08"/>
    <w:rsid w:val="00976220"/>
    <w:rsid w:val="00976435"/>
    <w:rsid w:val="009764E3"/>
    <w:rsid w:val="00976C23"/>
    <w:rsid w:val="00976C62"/>
    <w:rsid w:val="00976CA4"/>
    <w:rsid w:val="00976DFE"/>
    <w:rsid w:val="00977266"/>
    <w:rsid w:val="009777E9"/>
    <w:rsid w:val="00977AA3"/>
    <w:rsid w:val="00977C9D"/>
    <w:rsid w:val="00977E1E"/>
    <w:rsid w:val="00980148"/>
    <w:rsid w:val="00980690"/>
    <w:rsid w:val="009808E6"/>
    <w:rsid w:val="0098095A"/>
    <w:rsid w:val="009809FF"/>
    <w:rsid w:val="00980A63"/>
    <w:rsid w:val="00980ABE"/>
    <w:rsid w:val="00980E94"/>
    <w:rsid w:val="00980EFE"/>
    <w:rsid w:val="00980F4E"/>
    <w:rsid w:val="0098113F"/>
    <w:rsid w:val="0098115B"/>
    <w:rsid w:val="0098127D"/>
    <w:rsid w:val="009813E8"/>
    <w:rsid w:val="0098141A"/>
    <w:rsid w:val="00981969"/>
    <w:rsid w:val="009819E4"/>
    <w:rsid w:val="00981EB4"/>
    <w:rsid w:val="009820D0"/>
    <w:rsid w:val="0098222A"/>
    <w:rsid w:val="009827A6"/>
    <w:rsid w:val="00982830"/>
    <w:rsid w:val="009828B6"/>
    <w:rsid w:val="00982E7C"/>
    <w:rsid w:val="00982F5E"/>
    <w:rsid w:val="00982F6B"/>
    <w:rsid w:val="009830FC"/>
    <w:rsid w:val="0098311A"/>
    <w:rsid w:val="0098314D"/>
    <w:rsid w:val="00983243"/>
    <w:rsid w:val="009833D2"/>
    <w:rsid w:val="00983521"/>
    <w:rsid w:val="0098359C"/>
    <w:rsid w:val="009836DF"/>
    <w:rsid w:val="00983758"/>
    <w:rsid w:val="009839EB"/>
    <w:rsid w:val="00983B49"/>
    <w:rsid w:val="00983D4B"/>
    <w:rsid w:val="00983E67"/>
    <w:rsid w:val="00983E78"/>
    <w:rsid w:val="00983EF2"/>
    <w:rsid w:val="00983FA1"/>
    <w:rsid w:val="0098407A"/>
    <w:rsid w:val="0098407F"/>
    <w:rsid w:val="00984192"/>
    <w:rsid w:val="00984214"/>
    <w:rsid w:val="0098423E"/>
    <w:rsid w:val="009845B4"/>
    <w:rsid w:val="009845F9"/>
    <w:rsid w:val="009846CD"/>
    <w:rsid w:val="0098491D"/>
    <w:rsid w:val="00984960"/>
    <w:rsid w:val="00984A07"/>
    <w:rsid w:val="00984EFE"/>
    <w:rsid w:val="00985104"/>
    <w:rsid w:val="009858B9"/>
    <w:rsid w:val="00985AC0"/>
    <w:rsid w:val="00985B1F"/>
    <w:rsid w:val="00985B9F"/>
    <w:rsid w:val="00985DB8"/>
    <w:rsid w:val="00985F15"/>
    <w:rsid w:val="009862DB"/>
    <w:rsid w:val="00986518"/>
    <w:rsid w:val="0098658A"/>
    <w:rsid w:val="0098684C"/>
    <w:rsid w:val="0098694B"/>
    <w:rsid w:val="00986B24"/>
    <w:rsid w:val="00986C79"/>
    <w:rsid w:val="00986D94"/>
    <w:rsid w:val="00986E2D"/>
    <w:rsid w:val="009871A6"/>
    <w:rsid w:val="009872F4"/>
    <w:rsid w:val="009873DF"/>
    <w:rsid w:val="00987574"/>
    <w:rsid w:val="00987938"/>
    <w:rsid w:val="00987B4F"/>
    <w:rsid w:val="00987B75"/>
    <w:rsid w:val="00987B83"/>
    <w:rsid w:val="00987C30"/>
    <w:rsid w:val="00987C74"/>
    <w:rsid w:val="00987D01"/>
    <w:rsid w:val="00987D37"/>
    <w:rsid w:val="0098D0D1"/>
    <w:rsid w:val="00990392"/>
    <w:rsid w:val="009903C0"/>
    <w:rsid w:val="0099041B"/>
    <w:rsid w:val="0099060D"/>
    <w:rsid w:val="00990778"/>
    <w:rsid w:val="009909BA"/>
    <w:rsid w:val="00990A23"/>
    <w:rsid w:val="00990B2F"/>
    <w:rsid w:val="00990F8F"/>
    <w:rsid w:val="00991092"/>
    <w:rsid w:val="00991101"/>
    <w:rsid w:val="00991198"/>
    <w:rsid w:val="009914FB"/>
    <w:rsid w:val="009915D7"/>
    <w:rsid w:val="0099194F"/>
    <w:rsid w:val="00991BF0"/>
    <w:rsid w:val="00991C59"/>
    <w:rsid w:val="00991E33"/>
    <w:rsid w:val="00991E7A"/>
    <w:rsid w:val="00991FCA"/>
    <w:rsid w:val="0099225C"/>
    <w:rsid w:val="009924F9"/>
    <w:rsid w:val="00992C23"/>
    <w:rsid w:val="00992D73"/>
    <w:rsid w:val="00992DF6"/>
    <w:rsid w:val="00992FDD"/>
    <w:rsid w:val="009930B9"/>
    <w:rsid w:val="00993293"/>
    <w:rsid w:val="0099374E"/>
    <w:rsid w:val="009939B2"/>
    <w:rsid w:val="009939BD"/>
    <w:rsid w:val="009939E9"/>
    <w:rsid w:val="00993A56"/>
    <w:rsid w:val="00993CBC"/>
    <w:rsid w:val="00993D4B"/>
    <w:rsid w:val="00993EEF"/>
    <w:rsid w:val="009949A8"/>
    <w:rsid w:val="00994A61"/>
    <w:rsid w:val="00994C44"/>
    <w:rsid w:val="00994D9E"/>
    <w:rsid w:val="0099511C"/>
    <w:rsid w:val="00995643"/>
    <w:rsid w:val="009956F8"/>
    <w:rsid w:val="0099599B"/>
    <w:rsid w:val="00995A42"/>
    <w:rsid w:val="00995B17"/>
    <w:rsid w:val="00995C22"/>
    <w:rsid w:val="00995E77"/>
    <w:rsid w:val="00995E91"/>
    <w:rsid w:val="00995EFC"/>
    <w:rsid w:val="0099640F"/>
    <w:rsid w:val="0099646A"/>
    <w:rsid w:val="00996595"/>
    <w:rsid w:val="00996681"/>
    <w:rsid w:val="009967FA"/>
    <w:rsid w:val="00996864"/>
    <w:rsid w:val="009968B5"/>
    <w:rsid w:val="00996931"/>
    <w:rsid w:val="00996B87"/>
    <w:rsid w:val="00996BF1"/>
    <w:rsid w:val="00996CED"/>
    <w:rsid w:val="00996E2D"/>
    <w:rsid w:val="0099718F"/>
    <w:rsid w:val="00997413"/>
    <w:rsid w:val="00997877"/>
    <w:rsid w:val="00997B9E"/>
    <w:rsid w:val="00997BC0"/>
    <w:rsid w:val="00997BF7"/>
    <w:rsid w:val="00997E88"/>
    <w:rsid w:val="00997F85"/>
    <w:rsid w:val="009A015A"/>
    <w:rsid w:val="009A0283"/>
    <w:rsid w:val="009A028A"/>
    <w:rsid w:val="009A03BC"/>
    <w:rsid w:val="009A03CD"/>
    <w:rsid w:val="009A0BAD"/>
    <w:rsid w:val="009A0FFD"/>
    <w:rsid w:val="009A1141"/>
    <w:rsid w:val="009A1152"/>
    <w:rsid w:val="009A1165"/>
    <w:rsid w:val="009A12D7"/>
    <w:rsid w:val="009A136F"/>
    <w:rsid w:val="009A13CB"/>
    <w:rsid w:val="009A1569"/>
    <w:rsid w:val="009A15DD"/>
    <w:rsid w:val="009A15E1"/>
    <w:rsid w:val="009A1653"/>
    <w:rsid w:val="009A16A7"/>
    <w:rsid w:val="009A16F8"/>
    <w:rsid w:val="009A18BE"/>
    <w:rsid w:val="009A1B9A"/>
    <w:rsid w:val="009A21A4"/>
    <w:rsid w:val="009A23D4"/>
    <w:rsid w:val="009A2482"/>
    <w:rsid w:val="009A28E3"/>
    <w:rsid w:val="009A2980"/>
    <w:rsid w:val="009A29A4"/>
    <w:rsid w:val="009A2BD4"/>
    <w:rsid w:val="009A2DCA"/>
    <w:rsid w:val="009A3061"/>
    <w:rsid w:val="009A312C"/>
    <w:rsid w:val="009A3433"/>
    <w:rsid w:val="009A355C"/>
    <w:rsid w:val="009A368F"/>
    <w:rsid w:val="009A3793"/>
    <w:rsid w:val="009A3978"/>
    <w:rsid w:val="009A3E72"/>
    <w:rsid w:val="009A44F1"/>
    <w:rsid w:val="009A468D"/>
    <w:rsid w:val="009A46BD"/>
    <w:rsid w:val="009A481C"/>
    <w:rsid w:val="009A4B4C"/>
    <w:rsid w:val="009A517F"/>
    <w:rsid w:val="009A5194"/>
    <w:rsid w:val="009A52E9"/>
    <w:rsid w:val="009A55DB"/>
    <w:rsid w:val="009A56A4"/>
    <w:rsid w:val="009A5722"/>
    <w:rsid w:val="009A57A2"/>
    <w:rsid w:val="009A59FB"/>
    <w:rsid w:val="009A5ACF"/>
    <w:rsid w:val="009A5BCE"/>
    <w:rsid w:val="009A5EF8"/>
    <w:rsid w:val="009A6096"/>
    <w:rsid w:val="009A64ED"/>
    <w:rsid w:val="009A653E"/>
    <w:rsid w:val="009A6BD0"/>
    <w:rsid w:val="009A6BD9"/>
    <w:rsid w:val="009A6D10"/>
    <w:rsid w:val="009A6F31"/>
    <w:rsid w:val="009A6F4A"/>
    <w:rsid w:val="009A7262"/>
    <w:rsid w:val="009A7283"/>
    <w:rsid w:val="009A7333"/>
    <w:rsid w:val="009A7766"/>
    <w:rsid w:val="009A7809"/>
    <w:rsid w:val="009A78BD"/>
    <w:rsid w:val="009A7E8C"/>
    <w:rsid w:val="009A7FD2"/>
    <w:rsid w:val="009B0043"/>
    <w:rsid w:val="009B0050"/>
    <w:rsid w:val="009B011E"/>
    <w:rsid w:val="009B018F"/>
    <w:rsid w:val="009B0229"/>
    <w:rsid w:val="009B0288"/>
    <w:rsid w:val="009B03F7"/>
    <w:rsid w:val="009B069B"/>
    <w:rsid w:val="009B07B6"/>
    <w:rsid w:val="009B0862"/>
    <w:rsid w:val="009B09DE"/>
    <w:rsid w:val="009B128A"/>
    <w:rsid w:val="009B12A6"/>
    <w:rsid w:val="009B1560"/>
    <w:rsid w:val="009B1BD3"/>
    <w:rsid w:val="009B1DFD"/>
    <w:rsid w:val="009B1FF0"/>
    <w:rsid w:val="009B2211"/>
    <w:rsid w:val="009B28A1"/>
    <w:rsid w:val="009B2D7B"/>
    <w:rsid w:val="009B2D9A"/>
    <w:rsid w:val="009B2E3C"/>
    <w:rsid w:val="009B30C8"/>
    <w:rsid w:val="009B31BA"/>
    <w:rsid w:val="009B36D8"/>
    <w:rsid w:val="009B372C"/>
    <w:rsid w:val="009B378D"/>
    <w:rsid w:val="009B37C2"/>
    <w:rsid w:val="009B3800"/>
    <w:rsid w:val="009B395C"/>
    <w:rsid w:val="009B3CD4"/>
    <w:rsid w:val="009B3ED4"/>
    <w:rsid w:val="009B4505"/>
    <w:rsid w:val="009B458C"/>
    <w:rsid w:val="009B4880"/>
    <w:rsid w:val="009B4912"/>
    <w:rsid w:val="009B4D1E"/>
    <w:rsid w:val="009B4DC1"/>
    <w:rsid w:val="009B4F55"/>
    <w:rsid w:val="009B5096"/>
    <w:rsid w:val="009B50E6"/>
    <w:rsid w:val="009B5209"/>
    <w:rsid w:val="009B57FB"/>
    <w:rsid w:val="009B5A3D"/>
    <w:rsid w:val="009B5C89"/>
    <w:rsid w:val="009B5D44"/>
    <w:rsid w:val="009B648F"/>
    <w:rsid w:val="009B654E"/>
    <w:rsid w:val="009B69C8"/>
    <w:rsid w:val="009B69F2"/>
    <w:rsid w:val="009B6A19"/>
    <w:rsid w:val="009B6A47"/>
    <w:rsid w:val="009B6C7B"/>
    <w:rsid w:val="009B76A0"/>
    <w:rsid w:val="009B79DA"/>
    <w:rsid w:val="009B7B39"/>
    <w:rsid w:val="009B7C63"/>
    <w:rsid w:val="009B7E05"/>
    <w:rsid w:val="009B7E7B"/>
    <w:rsid w:val="009B7F5C"/>
    <w:rsid w:val="009C00AB"/>
    <w:rsid w:val="009C012A"/>
    <w:rsid w:val="009C013F"/>
    <w:rsid w:val="009C05D2"/>
    <w:rsid w:val="009C087F"/>
    <w:rsid w:val="009C0963"/>
    <w:rsid w:val="009C0B20"/>
    <w:rsid w:val="009C0E8F"/>
    <w:rsid w:val="009C0FDA"/>
    <w:rsid w:val="009C0FDB"/>
    <w:rsid w:val="009C1071"/>
    <w:rsid w:val="009C10D1"/>
    <w:rsid w:val="009C135B"/>
    <w:rsid w:val="009C18FA"/>
    <w:rsid w:val="009C1998"/>
    <w:rsid w:val="009C19AD"/>
    <w:rsid w:val="009C1AFB"/>
    <w:rsid w:val="009C1D93"/>
    <w:rsid w:val="009C1EB0"/>
    <w:rsid w:val="009C1EDC"/>
    <w:rsid w:val="009C1F80"/>
    <w:rsid w:val="009C2334"/>
    <w:rsid w:val="009C2401"/>
    <w:rsid w:val="009C24D6"/>
    <w:rsid w:val="009C2880"/>
    <w:rsid w:val="009C28CF"/>
    <w:rsid w:val="009C29EB"/>
    <w:rsid w:val="009C2D14"/>
    <w:rsid w:val="009C2D69"/>
    <w:rsid w:val="009C34EA"/>
    <w:rsid w:val="009C35F9"/>
    <w:rsid w:val="009C3EB4"/>
    <w:rsid w:val="009C40CA"/>
    <w:rsid w:val="009C40F9"/>
    <w:rsid w:val="009C4222"/>
    <w:rsid w:val="009C43F9"/>
    <w:rsid w:val="009C4400"/>
    <w:rsid w:val="009C4904"/>
    <w:rsid w:val="009C4B1A"/>
    <w:rsid w:val="009C4BF2"/>
    <w:rsid w:val="009C4E22"/>
    <w:rsid w:val="009C5066"/>
    <w:rsid w:val="009C50B4"/>
    <w:rsid w:val="009C5260"/>
    <w:rsid w:val="009C52E7"/>
    <w:rsid w:val="009C5309"/>
    <w:rsid w:val="009C5746"/>
    <w:rsid w:val="009C579B"/>
    <w:rsid w:val="009C58A1"/>
    <w:rsid w:val="009C58C5"/>
    <w:rsid w:val="009C58D9"/>
    <w:rsid w:val="009C58E8"/>
    <w:rsid w:val="009C5B69"/>
    <w:rsid w:val="009C5D31"/>
    <w:rsid w:val="009C5DC4"/>
    <w:rsid w:val="009C5EC8"/>
    <w:rsid w:val="009C5F5B"/>
    <w:rsid w:val="009C6132"/>
    <w:rsid w:val="009C64B5"/>
    <w:rsid w:val="009C6821"/>
    <w:rsid w:val="009C7483"/>
    <w:rsid w:val="009C74F9"/>
    <w:rsid w:val="009C7CD3"/>
    <w:rsid w:val="009C7CD6"/>
    <w:rsid w:val="009C7F5E"/>
    <w:rsid w:val="009D0017"/>
    <w:rsid w:val="009D0212"/>
    <w:rsid w:val="009D05B0"/>
    <w:rsid w:val="009D07CC"/>
    <w:rsid w:val="009D07E6"/>
    <w:rsid w:val="009D0BE6"/>
    <w:rsid w:val="009D13AB"/>
    <w:rsid w:val="009D155E"/>
    <w:rsid w:val="009D1E0C"/>
    <w:rsid w:val="009D1F92"/>
    <w:rsid w:val="009D23B7"/>
    <w:rsid w:val="009D2693"/>
    <w:rsid w:val="009D291A"/>
    <w:rsid w:val="009D2A48"/>
    <w:rsid w:val="009D2C0F"/>
    <w:rsid w:val="009D2C63"/>
    <w:rsid w:val="009D2C87"/>
    <w:rsid w:val="009D2D32"/>
    <w:rsid w:val="009D2DC8"/>
    <w:rsid w:val="009D2F5E"/>
    <w:rsid w:val="009D3521"/>
    <w:rsid w:val="009D38DA"/>
    <w:rsid w:val="009D3B64"/>
    <w:rsid w:val="009D3BE1"/>
    <w:rsid w:val="009D3DFF"/>
    <w:rsid w:val="009D3FEE"/>
    <w:rsid w:val="009D425F"/>
    <w:rsid w:val="009D4335"/>
    <w:rsid w:val="009D43E2"/>
    <w:rsid w:val="009D449D"/>
    <w:rsid w:val="009D45F7"/>
    <w:rsid w:val="009D4883"/>
    <w:rsid w:val="009D4C3A"/>
    <w:rsid w:val="009D4CDD"/>
    <w:rsid w:val="009D4D53"/>
    <w:rsid w:val="009D4E07"/>
    <w:rsid w:val="009D4E41"/>
    <w:rsid w:val="009D4ED9"/>
    <w:rsid w:val="009D54D8"/>
    <w:rsid w:val="009D551D"/>
    <w:rsid w:val="009D559D"/>
    <w:rsid w:val="009D55CC"/>
    <w:rsid w:val="009D576C"/>
    <w:rsid w:val="009D578F"/>
    <w:rsid w:val="009D5C22"/>
    <w:rsid w:val="009D5F64"/>
    <w:rsid w:val="009D5FC9"/>
    <w:rsid w:val="009D60B1"/>
    <w:rsid w:val="009D6320"/>
    <w:rsid w:val="009D6594"/>
    <w:rsid w:val="009D67B8"/>
    <w:rsid w:val="009D6864"/>
    <w:rsid w:val="009D6982"/>
    <w:rsid w:val="009D6B1E"/>
    <w:rsid w:val="009D6B33"/>
    <w:rsid w:val="009D6D5F"/>
    <w:rsid w:val="009D6F5C"/>
    <w:rsid w:val="009D6FB6"/>
    <w:rsid w:val="009D7020"/>
    <w:rsid w:val="009D7066"/>
    <w:rsid w:val="009D72EB"/>
    <w:rsid w:val="009D77C9"/>
    <w:rsid w:val="009D77CF"/>
    <w:rsid w:val="009D7812"/>
    <w:rsid w:val="009D7953"/>
    <w:rsid w:val="009D7ABC"/>
    <w:rsid w:val="009D7B9D"/>
    <w:rsid w:val="009D7C0E"/>
    <w:rsid w:val="009D7C39"/>
    <w:rsid w:val="009D7D5D"/>
    <w:rsid w:val="009D7D8F"/>
    <w:rsid w:val="009E01E7"/>
    <w:rsid w:val="009E0225"/>
    <w:rsid w:val="009E02CE"/>
    <w:rsid w:val="009E042F"/>
    <w:rsid w:val="009E08A6"/>
    <w:rsid w:val="009E09A3"/>
    <w:rsid w:val="009E0A75"/>
    <w:rsid w:val="009E0C54"/>
    <w:rsid w:val="009E0CC8"/>
    <w:rsid w:val="009E0FC3"/>
    <w:rsid w:val="009E13AB"/>
    <w:rsid w:val="009E1792"/>
    <w:rsid w:val="009E1DA8"/>
    <w:rsid w:val="009E2057"/>
    <w:rsid w:val="009E21CA"/>
    <w:rsid w:val="009E2213"/>
    <w:rsid w:val="009E23F5"/>
    <w:rsid w:val="009E2435"/>
    <w:rsid w:val="009E24D1"/>
    <w:rsid w:val="009E26A6"/>
    <w:rsid w:val="009E2788"/>
    <w:rsid w:val="009E2801"/>
    <w:rsid w:val="009E2AFD"/>
    <w:rsid w:val="009E2B3D"/>
    <w:rsid w:val="009E2B67"/>
    <w:rsid w:val="009E2EC9"/>
    <w:rsid w:val="009E3086"/>
    <w:rsid w:val="009E3144"/>
    <w:rsid w:val="009E3210"/>
    <w:rsid w:val="009E331B"/>
    <w:rsid w:val="009E3478"/>
    <w:rsid w:val="009E34F4"/>
    <w:rsid w:val="009E34F6"/>
    <w:rsid w:val="009E36D7"/>
    <w:rsid w:val="009E3832"/>
    <w:rsid w:val="009E3926"/>
    <w:rsid w:val="009E3B15"/>
    <w:rsid w:val="009E3B1E"/>
    <w:rsid w:val="009E3DC2"/>
    <w:rsid w:val="009E3EBB"/>
    <w:rsid w:val="009E3F16"/>
    <w:rsid w:val="009E3F97"/>
    <w:rsid w:val="009E4324"/>
    <w:rsid w:val="009E45DF"/>
    <w:rsid w:val="009E4625"/>
    <w:rsid w:val="009E4A50"/>
    <w:rsid w:val="009E4BFF"/>
    <w:rsid w:val="009E4D83"/>
    <w:rsid w:val="009E4ED3"/>
    <w:rsid w:val="009E5329"/>
    <w:rsid w:val="009E55D1"/>
    <w:rsid w:val="009E5690"/>
    <w:rsid w:val="009E57B1"/>
    <w:rsid w:val="009E5884"/>
    <w:rsid w:val="009E61B7"/>
    <w:rsid w:val="009E662A"/>
    <w:rsid w:val="009E6D38"/>
    <w:rsid w:val="009E6F7F"/>
    <w:rsid w:val="009E7238"/>
    <w:rsid w:val="009E77DA"/>
    <w:rsid w:val="009E78AE"/>
    <w:rsid w:val="009E78B9"/>
    <w:rsid w:val="009E79C4"/>
    <w:rsid w:val="009E7BF4"/>
    <w:rsid w:val="009E7F22"/>
    <w:rsid w:val="009E7FD4"/>
    <w:rsid w:val="009F0099"/>
    <w:rsid w:val="009F01E9"/>
    <w:rsid w:val="009F04DC"/>
    <w:rsid w:val="009F0745"/>
    <w:rsid w:val="009F0BD8"/>
    <w:rsid w:val="009F0D6C"/>
    <w:rsid w:val="009F0E08"/>
    <w:rsid w:val="009F126E"/>
    <w:rsid w:val="009F14E9"/>
    <w:rsid w:val="009F1748"/>
    <w:rsid w:val="009F1AEF"/>
    <w:rsid w:val="009F1BEB"/>
    <w:rsid w:val="009F1EB1"/>
    <w:rsid w:val="009F1FF0"/>
    <w:rsid w:val="009F2399"/>
    <w:rsid w:val="009F25EC"/>
    <w:rsid w:val="009F2818"/>
    <w:rsid w:val="009F297D"/>
    <w:rsid w:val="009F2A4C"/>
    <w:rsid w:val="009F2C8C"/>
    <w:rsid w:val="009F2CA8"/>
    <w:rsid w:val="009F2E16"/>
    <w:rsid w:val="009F3017"/>
    <w:rsid w:val="009F32DC"/>
    <w:rsid w:val="009F3309"/>
    <w:rsid w:val="009F33C0"/>
    <w:rsid w:val="009F378E"/>
    <w:rsid w:val="009F38B3"/>
    <w:rsid w:val="009F39B7"/>
    <w:rsid w:val="009F3AD3"/>
    <w:rsid w:val="009F3B90"/>
    <w:rsid w:val="009F3D23"/>
    <w:rsid w:val="009F3DBA"/>
    <w:rsid w:val="009F3DCE"/>
    <w:rsid w:val="009F42F0"/>
    <w:rsid w:val="009F471A"/>
    <w:rsid w:val="009F489D"/>
    <w:rsid w:val="009F4911"/>
    <w:rsid w:val="009F504F"/>
    <w:rsid w:val="009F50F2"/>
    <w:rsid w:val="009F5185"/>
    <w:rsid w:val="009F527E"/>
    <w:rsid w:val="009F53FA"/>
    <w:rsid w:val="009F548B"/>
    <w:rsid w:val="009F56A4"/>
    <w:rsid w:val="009F5CB8"/>
    <w:rsid w:val="009F5D51"/>
    <w:rsid w:val="009F5DEF"/>
    <w:rsid w:val="009F5EC0"/>
    <w:rsid w:val="009F5FCA"/>
    <w:rsid w:val="009F628C"/>
    <w:rsid w:val="009F62FA"/>
    <w:rsid w:val="009F6438"/>
    <w:rsid w:val="009F67E5"/>
    <w:rsid w:val="009F6807"/>
    <w:rsid w:val="009F6A4C"/>
    <w:rsid w:val="009F6B6F"/>
    <w:rsid w:val="009F6E06"/>
    <w:rsid w:val="009F70C4"/>
    <w:rsid w:val="009F7340"/>
    <w:rsid w:val="009F784A"/>
    <w:rsid w:val="009F7C6D"/>
    <w:rsid w:val="009F7EA4"/>
    <w:rsid w:val="009F7F67"/>
    <w:rsid w:val="009FC794"/>
    <w:rsid w:val="00A0038E"/>
    <w:rsid w:val="00A00450"/>
    <w:rsid w:val="00A0046C"/>
    <w:rsid w:val="00A0090A"/>
    <w:rsid w:val="00A0090D"/>
    <w:rsid w:val="00A00B73"/>
    <w:rsid w:val="00A00D01"/>
    <w:rsid w:val="00A00DBC"/>
    <w:rsid w:val="00A011A8"/>
    <w:rsid w:val="00A0120B"/>
    <w:rsid w:val="00A012EF"/>
    <w:rsid w:val="00A01301"/>
    <w:rsid w:val="00A01CC9"/>
    <w:rsid w:val="00A01D43"/>
    <w:rsid w:val="00A01DBB"/>
    <w:rsid w:val="00A01ECF"/>
    <w:rsid w:val="00A0202D"/>
    <w:rsid w:val="00A023B8"/>
    <w:rsid w:val="00A023B9"/>
    <w:rsid w:val="00A02B1A"/>
    <w:rsid w:val="00A02BDE"/>
    <w:rsid w:val="00A02C01"/>
    <w:rsid w:val="00A02C44"/>
    <w:rsid w:val="00A02D24"/>
    <w:rsid w:val="00A02E03"/>
    <w:rsid w:val="00A02F19"/>
    <w:rsid w:val="00A0307D"/>
    <w:rsid w:val="00A031E1"/>
    <w:rsid w:val="00A032DA"/>
    <w:rsid w:val="00A0376A"/>
    <w:rsid w:val="00A038C2"/>
    <w:rsid w:val="00A03A59"/>
    <w:rsid w:val="00A03A75"/>
    <w:rsid w:val="00A03AE5"/>
    <w:rsid w:val="00A03DF7"/>
    <w:rsid w:val="00A03F57"/>
    <w:rsid w:val="00A03FFC"/>
    <w:rsid w:val="00A04393"/>
    <w:rsid w:val="00A044E0"/>
    <w:rsid w:val="00A04874"/>
    <w:rsid w:val="00A049D6"/>
    <w:rsid w:val="00A04A08"/>
    <w:rsid w:val="00A04EA1"/>
    <w:rsid w:val="00A05618"/>
    <w:rsid w:val="00A058C5"/>
    <w:rsid w:val="00A059D2"/>
    <w:rsid w:val="00A059E4"/>
    <w:rsid w:val="00A05AA0"/>
    <w:rsid w:val="00A05B00"/>
    <w:rsid w:val="00A05BD5"/>
    <w:rsid w:val="00A05D24"/>
    <w:rsid w:val="00A05D74"/>
    <w:rsid w:val="00A05D80"/>
    <w:rsid w:val="00A05EA3"/>
    <w:rsid w:val="00A06059"/>
    <w:rsid w:val="00A06590"/>
    <w:rsid w:val="00A06684"/>
    <w:rsid w:val="00A067E8"/>
    <w:rsid w:val="00A0689A"/>
    <w:rsid w:val="00A06C62"/>
    <w:rsid w:val="00A072BA"/>
    <w:rsid w:val="00A072BB"/>
    <w:rsid w:val="00A072CA"/>
    <w:rsid w:val="00A074AC"/>
    <w:rsid w:val="00A07520"/>
    <w:rsid w:val="00A07597"/>
    <w:rsid w:val="00A07670"/>
    <w:rsid w:val="00A07AD0"/>
    <w:rsid w:val="00A07EAF"/>
    <w:rsid w:val="00A10023"/>
    <w:rsid w:val="00A1032B"/>
    <w:rsid w:val="00A1048A"/>
    <w:rsid w:val="00A1058D"/>
    <w:rsid w:val="00A106FA"/>
    <w:rsid w:val="00A10798"/>
    <w:rsid w:val="00A10ABA"/>
    <w:rsid w:val="00A10C81"/>
    <w:rsid w:val="00A10CE4"/>
    <w:rsid w:val="00A110E0"/>
    <w:rsid w:val="00A11118"/>
    <w:rsid w:val="00A111FB"/>
    <w:rsid w:val="00A11256"/>
    <w:rsid w:val="00A11594"/>
    <w:rsid w:val="00A1171D"/>
    <w:rsid w:val="00A11BE0"/>
    <w:rsid w:val="00A11D0E"/>
    <w:rsid w:val="00A12085"/>
    <w:rsid w:val="00A1212D"/>
    <w:rsid w:val="00A122D4"/>
    <w:rsid w:val="00A122D5"/>
    <w:rsid w:val="00A123B0"/>
    <w:rsid w:val="00A1258B"/>
    <w:rsid w:val="00A125E4"/>
    <w:rsid w:val="00A126EB"/>
    <w:rsid w:val="00A12BBA"/>
    <w:rsid w:val="00A12DCC"/>
    <w:rsid w:val="00A12F86"/>
    <w:rsid w:val="00A130C8"/>
    <w:rsid w:val="00A13321"/>
    <w:rsid w:val="00A13539"/>
    <w:rsid w:val="00A1354A"/>
    <w:rsid w:val="00A137D5"/>
    <w:rsid w:val="00A137E5"/>
    <w:rsid w:val="00A13CE4"/>
    <w:rsid w:val="00A1412C"/>
    <w:rsid w:val="00A1474B"/>
    <w:rsid w:val="00A1497F"/>
    <w:rsid w:val="00A149EF"/>
    <w:rsid w:val="00A14B21"/>
    <w:rsid w:val="00A14C1F"/>
    <w:rsid w:val="00A14C8D"/>
    <w:rsid w:val="00A14DE9"/>
    <w:rsid w:val="00A1549A"/>
    <w:rsid w:val="00A15766"/>
    <w:rsid w:val="00A15FFA"/>
    <w:rsid w:val="00A162CA"/>
    <w:rsid w:val="00A166D7"/>
    <w:rsid w:val="00A1672F"/>
    <w:rsid w:val="00A16862"/>
    <w:rsid w:val="00A16CC8"/>
    <w:rsid w:val="00A16E66"/>
    <w:rsid w:val="00A16E73"/>
    <w:rsid w:val="00A16F4D"/>
    <w:rsid w:val="00A1705A"/>
    <w:rsid w:val="00A172EA"/>
    <w:rsid w:val="00A177D0"/>
    <w:rsid w:val="00A17812"/>
    <w:rsid w:val="00A17900"/>
    <w:rsid w:val="00A179AA"/>
    <w:rsid w:val="00A17AEE"/>
    <w:rsid w:val="00A17D3B"/>
    <w:rsid w:val="00A17D50"/>
    <w:rsid w:val="00A20034"/>
    <w:rsid w:val="00A2008A"/>
    <w:rsid w:val="00A20239"/>
    <w:rsid w:val="00A20474"/>
    <w:rsid w:val="00A208BD"/>
    <w:rsid w:val="00A20ACA"/>
    <w:rsid w:val="00A20C9D"/>
    <w:rsid w:val="00A20D0A"/>
    <w:rsid w:val="00A20D52"/>
    <w:rsid w:val="00A21015"/>
    <w:rsid w:val="00A210EB"/>
    <w:rsid w:val="00A21449"/>
    <w:rsid w:val="00A215AE"/>
    <w:rsid w:val="00A21A56"/>
    <w:rsid w:val="00A21C00"/>
    <w:rsid w:val="00A21CC6"/>
    <w:rsid w:val="00A21E24"/>
    <w:rsid w:val="00A21EF0"/>
    <w:rsid w:val="00A2218F"/>
    <w:rsid w:val="00A229E7"/>
    <w:rsid w:val="00A22B47"/>
    <w:rsid w:val="00A22B5D"/>
    <w:rsid w:val="00A22C04"/>
    <w:rsid w:val="00A22C26"/>
    <w:rsid w:val="00A22EB4"/>
    <w:rsid w:val="00A22EDE"/>
    <w:rsid w:val="00A22FA2"/>
    <w:rsid w:val="00A230A2"/>
    <w:rsid w:val="00A230D1"/>
    <w:rsid w:val="00A2362D"/>
    <w:rsid w:val="00A236B7"/>
    <w:rsid w:val="00A2375E"/>
    <w:rsid w:val="00A23AD6"/>
    <w:rsid w:val="00A23D0E"/>
    <w:rsid w:val="00A23E22"/>
    <w:rsid w:val="00A23E8A"/>
    <w:rsid w:val="00A244F4"/>
    <w:rsid w:val="00A245A9"/>
    <w:rsid w:val="00A2462B"/>
    <w:rsid w:val="00A2466A"/>
    <w:rsid w:val="00A247E7"/>
    <w:rsid w:val="00A2483A"/>
    <w:rsid w:val="00A2489E"/>
    <w:rsid w:val="00A24B32"/>
    <w:rsid w:val="00A24B73"/>
    <w:rsid w:val="00A24DCD"/>
    <w:rsid w:val="00A255FD"/>
    <w:rsid w:val="00A25C07"/>
    <w:rsid w:val="00A25DBB"/>
    <w:rsid w:val="00A25E82"/>
    <w:rsid w:val="00A260C6"/>
    <w:rsid w:val="00A261C1"/>
    <w:rsid w:val="00A263CC"/>
    <w:rsid w:val="00A265C7"/>
    <w:rsid w:val="00A2672B"/>
    <w:rsid w:val="00A2674A"/>
    <w:rsid w:val="00A267D9"/>
    <w:rsid w:val="00A267E9"/>
    <w:rsid w:val="00A269B1"/>
    <w:rsid w:val="00A26C2C"/>
    <w:rsid w:val="00A26CFC"/>
    <w:rsid w:val="00A271EA"/>
    <w:rsid w:val="00A271FB"/>
    <w:rsid w:val="00A272AF"/>
    <w:rsid w:val="00A2741F"/>
    <w:rsid w:val="00A2742B"/>
    <w:rsid w:val="00A274D8"/>
    <w:rsid w:val="00A2755E"/>
    <w:rsid w:val="00A2781F"/>
    <w:rsid w:val="00A279C4"/>
    <w:rsid w:val="00A27AD0"/>
    <w:rsid w:val="00A27B41"/>
    <w:rsid w:val="00A27CF8"/>
    <w:rsid w:val="00A27E3F"/>
    <w:rsid w:val="00A27ECB"/>
    <w:rsid w:val="00A301AF"/>
    <w:rsid w:val="00A3028E"/>
    <w:rsid w:val="00A303D3"/>
    <w:rsid w:val="00A30797"/>
    <w:rsid w:val="00A30AF1"/>
    <w:rsid w:val="00A30B42"/>
    <w:rsid w:val="00A30BE9"/>
    <w:rsid w:val="00A30F08"/>
    <w:rsid w:val="00A30FB3"/>
    <w:rsid w:val="00A31141"/>
    <w:rsid w:val="00A311CB"/>
    <w:rsid w:val="00A31392"/>
    <w:rsid w:val="00A31430"/>
    <w:rsid w:val="00A314D9"/>
    <w:rsid w:val="00A31963"/>
    <w:rsid w:val="00A31D0E"/>
    <w:rsid w:val="00A31FEA"/>
    <w:rsid w:val="00A32071"/>
    <w:rsid w:val="00A32092"/>
    <w:rsid w:val="00A32374"/>
    <w:rsid w:val="00A32407"/>
    <w:rsid w:val="00A326C7"/>
    <w:rsid w:val="00A3270F"/>
    <w:rsid w:val="00A32936"/>
    <w:rsid w:val="00A32C57"/>
    <w:rsid w:val="00A32C77"/>
    <w:rsid w:val="00A32DE5"/>
    <w:rsid w:val="00A330E8"/>
    <w:rsid w:val="00A334F1"/>
    <w:rsid w:val="00A3376D"/>
    <w:rsid w:val="00A33AAE"/>
    <w:rsid w:val="00A33AE1"/>
    <w:rsid w:val="00A33B6E"/>
    <w:rsid w:val="00A33BED"/>
    <w:rsid w:val="00A33CA4"/>
    <w:rsid w:val="00A33ECE"/>
    <w:rsid w:val="00A341D1"/>
    <w:rsid w:val="00A34450"/>
    <w:rsid w:val="00A34548"/>
    <w:rsid w:val="00A3463E"/>
    <w:rsid w:val="00A347D7"/>
    <w:rsid w:val="00A34C95"/>
    <w:rsid w:val="00A34CED"/>
    <w:rsid w:val="00A34F34"/>
    <w:rsid w:val="00A3506D"/>
    <w:rsid w:val="00A356DB"/>
    <w:rsid w:val="00A35767"/>
    <w:rsid w:val="00A35948"/>
    <w:rsid w:val="00A359B0"/>
    <w:rsid w:val="00A359BA"/>
    <w:rsid w:val="00A35A35"/>
    <w:rsid w:val="00A35AA3"/>
    <w:rsid w:val="00A35BAB"/>
    <w:rsid w:val="00A36169"/>
    <w:rsid w:val="00A36275"/>
    <w:rsid w:val="00A366AB"/>
    <w:rsid w:val="00A367AB"/>
    <w:rsid w:val="00A367DF"/>
    <w:rsid w:val="00A36EC0"/>
    <w:rsid w:val="00A37220"/>
    <w:rsid w:val="00A37274"/>
    <w:rsid w:val="00A37592"/>
    <w:rsid w:val="00A37653"/>
    <w:rsid w:val="00A376BC"/>
    <w:rsid w:val="00A37ADF"/>
    <w:rsid w:val="00A37C53"/>
    <w:rsid w:val="00A37C71"/>
    <w:rsid w:val="00A37D77"/>
    <w:rsid w:val="00A37EA0"/>
    <w:rsid w:val="00A37EF1"/>
    <w:rsid w:val="00A37FF4"/>
    <w:rsid w:val="00A40128"/>
    <w:rsid w:val="00A401A0"/>
    <w:rsid w:val="00A401D1"/>
    <w:rsid w:val="00A40218"/>
    <w:rsid w:val="00A4044F"/>
    <w:rsid w:val="00A404C1"/>
    <w:rsid w:val="00A40536"/>
    <w:rsid w:val="00A40C59"/>
    <w:rsid w:val="00A40EFE"/>
    <w:rsid w:val="00A40F57"/>
    <w:rsid w:val="00A41194"/>
    <w:rsid w:val="00A413F2"/>
    <w:rsid w:val="00A41696"/>
    <w:rsid w:val="00A416E4"/>
    <w:rsid w:val="00A41E7D"/>
    <w:rsid w:val="00A41E80"/>
    <w:rsid w:val="00A42043"/>
    <w:rsid w:val="00A4213C"/>
    <w:rsid w:val="00A42213"/>
    <w:rsid w:val="00A42441"/>
    <w:rsid w:val="00A42BC4"/>
    <w:rsid w:val="00A42FD9"/>
    <w:rsid w:val="00A4316B"/>
    <w:rsid w:val="00A4322F"/>
    <w:rsid w:val="00A433C2"/>
    <w:rsid w:val="00A43423"/>
    <w:rsid w:val="00A43505"/>
    <w:rsid w:val="00A4356F"/>
    <w:rsid w:val="00A43A8A"/>
    <w:rsid w:val="00A43AB5"/>
    <w:rsid w:val="00A43D18"/>
    <w:rsid w:val="00A43EDC"/>
    <w:rsid w:val="00A43FD8"/>
    <w:rsid w:val="00A440D9"/>
    <w:rsid w:val="00A4418C"/>
    <w:rsid w:val="00A44544"/>
    <w:rsid w:val="00A4464B"/>
    <w:rsid w:val="00A4468D"/>
    <w:rsid w:val="00A44708"/>
    <w:rsid w:val="00A4474B"/>
    <w:rsid w:val="00A449F4"/>
    <w:rsid w:val="00A44E0D"/>
    <w:rsid w:val="00A44F6A"/>
    <w:rsid w:val="00A44F74"/>
    <w:rsid w:val="00A44FFA"/>
    <w:rsid w:val="00A455A4"/>
    <w:rsid w:val="00A45627"/>
    <w:rsid w:val="00A45BE9"/>
    <w:rsid w:val="00A463F0"/>
    <w:rsid w:val="00A467A1"/>
    <w:rsid w:val="00A46897"/>
    <w:rsid w:val="00A4698F"/>
    <w:rsid w:val="00A46BDA"/>
    <w:rsid w:val="00A46D6A"/>
    <w:rsid w:val="00A46EC5"/>
    <w:rsid w:val="00A46FBD"/>
    <w:rsid w:val="00A47072"/>
    <w:rsid w:val="00A47109"/>
    <w:rsid w:val="00A47205"/>
    <w:rsid w:val="00A474D1"/>
    <w:rsid w:val="00A4756D"/>
    <w:rsid w:val="00A47A23"/>
    <w:rsid w:val="00A47DC5"/>
    <w:rsid w:val="00A50295"/>
    <w:rsid w:val="00A503A6"/>
    <w:rsid w:val="00A50721"/>
    <w:rsid w:val="00A50731"/>
    <w:rsid w:val="00A509F6"/>
    <w:rsid w:val="00A50A66"/>
    <w:rsid w:val="00A50AF5"/>
    <w:rsid w:val="00A50DE4"/>
    <w:rsid w:val="00A511FA"/>
    <w:rsid w:val="00A51453"/>
    <w:rsid w:val="00A514DB"/>
    <w:rsid w:val="00A51530"/>
    <w:rsid w:val="00A51683"/>
    <w:rsid w:val="00A51802"/>
    <w:rsid w:val="00A51898"/>
    <w:rsid w:val="00A51AD0"/>
    <w:rsid w:val="00A51C51"/>
    <w:rsid w:val="00A51DDF"/>
    <w:rsid w:val="00A51E35"/>
    <w:rsid w:val="00A51E43"/>
    <w:rsid w:val="00A524C2"/>
    <w:rsid w:val="00A52522"/>
    <w:rsid w:val="00A525AE"/>
    <w:rsid w:val="00A527C6"/>
    <w:rsid w:val="00A528D6"/>
    <w:rsid w:val="00A52D5C"/>
    <w:rsid w:val="00A530F2"/>
    <w:rsid w:val="00A53260"/>
    <w:rsid w:val="00A533B5"/>
    <w:rsid w:val="00A53701"/>
    <w:rsid w:val="00A53A02"/>
    <w:rsid w:val="00A53DC3"/>
    <w:rsid w:val="00A53E82"/>
    <w:rsid w:val="00A53FAC"/>
    <w:rsid w:val="00A542CF"/>
    <w:rsid w:val="00A5438A"/>
    <w:rsid w:val="00A543DE"/>
    <w:rsid w:val="00A544E2"/>
    <w:rsid w:val="00A54B61"/>
    <w:rsid w:val="00A54CF7"/>
    <w:rsid w:val="00A54D8F"/>
    <w:rsid w:val="00A54F52"/>
    <w:rsid w:val="00A54FDC"/>
    <w:rsid w:val="00A55120"/>
    <w:rsid w:val="00A552C0"/>
    <w:rsid w:val="00A552D8"/>
    <w:rsid w:val="00A554CC"/>
    <w:rsid w:val="00A55945"/>
    <w:rsid w:val="00A55A61"/>
    <w:rsid w:val="00A55A80"/>
    <w:rsid w:val="00A55B25"/>
    <w:rsid w:val="00A55C48"/>
    <w:rsid w:val="00A561FE"/>
    <w:rsid w:val="00A56216"/>
    <w:rsid w:val="00A562CC"/>
    <w:rsid w:val="00A56455"/>
    <w:rsid w:val="00A5655F"/>
    <w:rsid w:val="00A5662E"/>
    <w:rsid w:val="00A56679"/>
    <w:rsid w:val="00A5670A"/>
    <w:rsid w:val="00A56866"/>
    <w:rsid w:val="00A568D9"/>
    <w:rsid w:val="00A56B33"/>
    <w:rsid w:val="00A56CFE"/>
    <w:rsid w:val="00A56FE1"/>
    <w:rsid w:val="00A571D9"/>
    <w:rsid w:val="00A5748B"/>
    <w:rsid w:val="00A575AC"/>
    <w:rsid w:val="00A57983"/>
    <w:rsid w:val="00A579F2"/>
    <w:rsid w:val="00A57E7A"/>
    <w:rsid w:val="00A57F8B"/>
    <w:rsid w:val="00A60206"/>
    <w:rsid w:val="00A6058B"/>
    <w:rsid w:val="00A60AAE"/>
    <w:rsid w:val="00A60ABE"/>
    <w:rsid w:val="00A60CB8"/>
    <w:rsid w:val="00A60D2D"/>
    <w:rsid w:val="00A60D9D"/>
    <w:rsid w:val="00A60F79"/>
    <w:rsid w:val="00A60F8E"/>
    <w:rsid w:val="00A61143"/>
    <w:rsid w:val="00A611B9"/>
    <w:rsid w:val="00A61319"/>
    <w:rsid w:val="00A614D6"/>
    <w:rsid w:val="00A61623"/>
    <w:rsid w:val="00A6163E"/>
    <w:rsid w:val="00A6177D"/>
    <w:rsid w:val="00A61BD2"/>
    <w:rsid w:val="00A61BFF"/>
    <w:rsid w:val="00A61DCA"/>
    <w:rsid w:val="00A61F8F"/>
    <w:rsid w:val="00A61FEB"/>
    <w:rsid w:val="00A623BB"/>
    <w:rsid w:val="00A623BF"/>
    <w:rsid w:val="00A624B4"/>
    <w:rsid w:val="00A6251D"/>
    <w:rsid w:val="00A6258A"/>
    <w:rsid w:val="00A62C97"/>
    <w:rsid w:val="00A62D94"/>
    <w:rsid w:val="00A62F7C"/>
    <w:rsid w:val="00A630C5"/>
    <w:rsid w:val="00A636F0"/>
    <w:rsid w:val="00A63892"/>
    <w:rsid w:val="00A638BB"/>
    <w:rsid w:val="00A6397A"/>
    <w:rsid w:val="00A63A93"/>
    <w:rsid w:val="00A63BE7"/>
    <w:rsid w:val="00A63CB2"/>
    <w:rsid w:val="00A63DBE"/>
    <w:rsid w:val="00A640D4"/>
    <w:rsid w:val="00A641D4"/>
    <w:rsid w:val="00A6423E"/>
    <w:rsid w:val="00A6438E"/>
    <w:rsid w:val="00A645AF"/>
    <w:rsid w:val="00A64733"/>
    <w:rsid w:val="00A648E4"/>
    <w:rsid w:val="00A64A94"/>
    <w:rsid w:val="00A64D54"/>
    <w:rsid w:val="00A64D80"/>
    <w:rsid w:val="00A65078"/>
    <w:rsid w:val="00A65312"/>
    <w:rsid w:val="00A65783"/>
    <w:rsid w:val="00A658D3"/>
    <w:rsid w:val="00A659D8"/>
    <w:rsid w:val="00A65A2B"/>
    <w:rsid w:val="00A65E84"/>
    <w:rsid w:val="00A66218"/>
    <w:rsid w:val="00A662E3"/>
    <w:rsid w:val="00A6647D"/>
    <w:rsid w:val="00A664CC"/>
    <w:rsid w:val="00A66A41"/>
    <w:rsid w:val="00A66ACC"/>
    <w:rsid w:val="00A66B29"/>
    <w:rsid w:val="00A66CE0"/>
    <w:rsid w:val="00A67074"/>
    <w:rsid w:val="00A67163"/>
    <w:rsid w:val="00A6720C"/>
    <w:rsid w:val="00A672A3"/>
    <w:rsid w:val="00A6773B"/>
    <w:rsid w:val="00A678F4"/>
    <w:rsid w:val="00A67ACB"/>
    <w:rsid w:val="00A67EFD"/>
    <w:rsid w:val="00A67F7E"/>
    <w:rsid w:val="00A7019A"/>
    <w:rsid w:val="00A7038A"/>
    <w:rsid w:val="00A70465"/>
    <w:rsid w:val="00A705B2"/>
    <w:rsid w:val="00A706C3"/>
    <w:rsid w:val="00A7076F"/>
    <w:rsid w:val="00A70B38"/>
    <w:rsid w:val="00A70B6E"/>
    <w:rsid w:val="00A70D3D"/>
    <w:rsid w:val="00A70DC4"/>
    <w:rsid w:val="00A7133C"/>
    <w:rsid w:val="00A713A9"/>
    <w:rsid w:val="00A7141C"/>
    <w:rsid w:val="00A715BE"/>
    <w:rsid w:val="00A715F3"/>
    <w:rsid w:val="00A7168B"/>
    <w:rsid w:val="00A719F1"/>
    <w:rsid w:val="00A71EA2"/>
    <w:rsid w:val="00A720C1"/>
    <w:rsid w:val="00A72416"/>
    <w:rsid w:val="00A72D54"/>
    <w:rsid w:val="00A72DF1"/>
    <w:rsid w:val="00A72EBF"/>
    <w:rsid w:val="00A72F91"/>
    <w:rsid w:val="00A73068"/>
    <w:rsid w:val="00A73231"/>
    <w:rsid w:val="00A732CB"/>
    <w:rsid w:val="00A733D3"/>
    <w:rsid w:val="00A73799"/>
    <w:rsid w:val="00A73B13"/>
    <w:rsid w:val="00A73B38"/>
    <w:rsid w:val="00A73DC2"/>
    <w:rsid w:val="00A7403D"/>
    <w:rsid w:val="00A74045"/>
    <w:rsid w:val="00A74099"/>
    <w:rsid w:val="00A740E3"/>
    <w:rsid w:val="00A74291"/>
    <w:rsid w:val="00A7447C"/>
    <w:rsid w:val="00A74645"/>
    <w:rsid w:val="00A746AA"/>
    <w:rsid w:val="00A7472F"/>
    <w:rsid w:val="00A74783"/>
    <w:rsid w:val="00A74BC2"/>
    <w:rsid w:val="00A74EFB"/>
    <w:rsid w:val="00A7520B"/>
    <w:rsid w:val="00A753CB"/>
    <w:rsid w:val="00A75679"/>
    <w:rsid w:val="00A7571F"/>
    <w:rsid w:val="00A75949"/>
    <w:rsid w:val="00A75A85"/>
    <w:rsid w:val="00A75C0E"/>
    <w:rsid w:val="00A75CD8"/>
    <w:rsid w:val="00A7613B"/>
    <w:rsid w:val="00A763A9"/>
    <w:rsid w:val="00A764DA"/>
    <w:rsid w:val="00A768C8"/>
    <w:rsid w:val="00A76D3A"/>
    <w:rsid w:val="00A7766A"/>
    <w:rsid w:val="00A77718"/>
    <w:rsid w:val="00A77893"/>
    <w:rsid w:val="00A77B0A"/>
    <w:rsid w:val="00A77E02"/>
    <w:rsid w:val="00A77E59"/>
    <w:rsid w:val="00A77E63"/>
    <w:rsid w:val="00A77E6F"/>
    <w:rsid w:val="00A8004B"/>
    <w:rsid w:val="00A80323"/>
    <w:rsid w:val="00A803CB"/>
    <w:rsid w:val="00A8045D"/>
    <w:rsid w:val="00A805BB"/>
    <w:rsid w:val="00A80623"/>
    <w:rsid w:val="00A80701"/>
    <w:rsid w:val="00A80848"/>
    <w:rsid w:val="00A80B10"/>
    <w:rsid w:val="00A80B7D"/>
    <w:rsid w:val="00A81122"/>
    <w:rsid w:val="00A812BA"/>
    <w:rsid w:val="00A81371"/>
    <w:rsid w:val="00A8158B"/>
    <w:rsid w:val="00A8175B"/>
    <w:rsid w:val="00A81784"/>
    <w:rsid w:val="00A8179F"/>
    <w:rsid w:val="00A8196B"/>
    <w:rsid w:val="00A81B7B"/>
    <w:rsid w:val="00A81E96"/>
    <w:rsid w:val="00A82484"/>
    <w:rsid w:val="00A825DA"/>
    <w:rsid w:val="00A82783"/>
    <w:rsid w:val="00A82CC4"/>
    <w:rsid w:val="00A82D2F"/>
    <w:rsid w:val="00A82E33"/>
    <w:rsid w:val="00A82E60"/>
    <w:rsid w:val="00A831DB"/>
    <w:rsid w:val="00A83213"/>
    <w:rsid w:val="00A8346A"/>
    <w:rsid w:val="00A839B8"/>
    <w:rsid w:val="00A83AD9"/>
    <w:rsid w:val="00A83EEC"/>
    <w:rsid w:val="00A8438F"/>
    <w:rsid w:val="00A84850"/>
    <w:rsid w:val="00A84B2D"/>
    <w:rsid w:val="00A84BD9"/>
    <w:rsid w:val="00A84FD4"/>
    <w:rsid w:val="00A85469"/>
    <w:rsid w:val="00A85549"/>
    <w:rsid w:val="00A857BD"/>
    <w:rsid w:val="00A85BF9"/>
    <w:rsid w:val="00A86196"/>
    <w:rsid w:val="00A863AB"/>
    <w:rsid w:val="00A863CA"/>
    <w:rsid w:val="00A86482"/>
    <w:rsid w:val="00A86617"/>
    <w:rsid w:val="00A86781"/>
    <w:rsid w:val="00A86873"/>
    <w:rsid w:val="00A86952"/>
    <w:rsid w:val="00A8697A"/>
    <w:rsid w:val="00A86A09"/>
    <w:rsid w:val="00A86B11"/>
    <w:rsid w:val="00A86CBF"/>
    <w:rsid w:val="00A86F13"/>
    <w:rsid w:val="00A87070"/>
    <w:rsid w:val="00A87321"/>
    <w:rsid w:val="00A8751A"/>
    <w:rsid w:val="00A877B5"/>
    <w:rsid w:val="00A87D1A"/>
    <w:rsid w:val="00A90123"/>
    <w:rsid w:val="00A901F5"/>
    <w:rsid w:val="00A902A7"/>
    <w:rsid w:val="00A90584"/>
    <w:rsid w:val="00A905FE"/>
    <w:rsid w:val="00A90635"/>
    <w:rsid w:val="00A90641"/>
    <w:rsid w:val="00A908EE"/>
    <w:rsid w:val="00A90F86"/>
    <w:rsid w:val="00A91042"/>
    <w:rsid w:val="00A911BB"/>
    <w:rsid w:val="00A913B6"/>
    <w:rsid w:val="00A913FF"/>
    <w:rsid w:val="00A91575"/>
    <w:rsid w:val="00A915E8"/>
    <w:rsid w:val="00A91955"/>
    <w:rsid w:val="00A920E3"/>
    <w:rsid w:val="00A92674"/>
    <w:rsid w:val="00A92CDE"/>
    <w:rsid w:val="00A92E9D"/>
    <w:rsid w:val="00A92FC9"/>
    <w:rsid w:val="00A93333"/>
    <w:rsid w:val="00A9341C"/>
    <w:rsid w:val="00A934DC"/>
    <w:rsid w:val="00A93529"/>
    <w:rsid w:val="00A93606"/>
    <w:rsid w:val="00A937E7"/>
    <w:rsid w:val="00A93952"/>
    <w:rsid w:val="00A93E96"/>
    <w:rsid w:val="00A93EAC"/>
    <w:rsid w:val="00A94032"/>
    <w:rsid w:val="00A9423F"/>
    <w:rsid w:val="00A9430F"/>
    <w:rsid w:val="00A9439D"/>
    <w:rsid w:val="00A947C2"/>
    <w:rsid w:val="00A94969"/>
    <w:rsid w:val="00A94ADD"/>
    <w:rsid w:val="00A94EFB"/>
    <w:rsid w:val="00A94FA3"/>
    <w:rsid w:val="00A95382"/>
    <w:rsid w:val="00A95450"/>
    <w:rsid w:val="00A955A6"/>
    <w:rsid w:val="00A95C79"/>
    <w:rsid w:val="00A95CD6"/>
    <w:rsid w:val="00A95D60"/>
    <w:rsid w:val="00A95D6D"/>
    <w:rsid w:val="00A95DB0"/>
    <w:rsid w:val="00A95E37"/>
    <w:rsid w:val="00A961B1"/>
    <w:rsid w:val="00A96248"/>
    <w:rsid w:val="00A963CD"/>
    <w:rsid w:val="00A9651F"/>
    <w:rsid w:val="00A965DA"/>
    <w:rsid w:val="00A9667A"/>
    <w:rsid w:val="00A96741"/>
    <w:rsid w:val="00A96ADC"/>
    <w:rsid w:val="00A96C87"/>
    <w:rsid w:val="00A96E78"/>
    <w:rsid w:val="00A96E82"/>
    <w:rsid w:val="00A9723E"/>
    <w:rsid w:val="00A973DF"/>
    <w:rsid w:val="00A9749E"/>
    <w:rsid w:val="00A974CC"/>
    <w:rsid w:val="00A9781A"/>
    <w:rsid w:val="00A97BE3"/>
    <w:rsid w:val="00A97C2D"/>
    <w:rsid w:val="00A97E98"/>
    <w:rsid w:val="00AA0212"/>
    <w:rsid w:val="00AA0456"/>
    <w:rsid w:val="00AA0515"/>
    <w:rsid w:val="00AA0B8B"/>
    <w:rsid w:val="00AA0BEC"/>
    <w:rsid w:val="00AA0C52"/>
    <w:rsid w:val="00AA0D98"/>
    <w:rsid w:val="00AA0E5A"/>
    <w:rsid w:val="00AA0E60"/>
    <w:rsid w:val="00AA0EE0"/>
    <w:rsid w:val="00AA0F2C"/>
    <w:rsid w:val="00AA11F7"/>
    <w:rsid w:val="00AA13CB"/>
    <w:rsid w:val="00AA15C7"/>
    <w:rsid w:val="00AA165A"/>
    <w:rsid w:val="00AA168B"/>
    <w:rsid w:val="00AA16CA"/>
    <w:rsid w:val="00AA16DD"/>
    <w:rsid w:val="00AA18ED"/>
    <w:rsid w:val="00AA1D30"/>
    <w:rsid w:val="00AA1E7B"/>
    <w:rsid w:val="00AA1E8B"/>
    <w:rsid w:val="00AA2004"/>
    <w:rsid w:val="00AA2523"/>
    <w:rsid w:val="00AA2613"/>
    <w:rsid w:val="00AA297A"/>
    <w:rsid w:val="00AA297F"/>
    <w:rsid w:val="00AA2A67"/>
    <w:rsid w:val="00AA2AAD"/>
    <w:rsid w:val="00AA2B5D"/>
    <w:rsid w:val="00AA2C68"/>
    <w:rsid w:val="00AA2D05"/>
    <w:rsid w:val="00AA2EAA"/>
    <w:rsid w:val="00AA2FB3"/>
    <w:rsid w:val="00AA30F1"/>
    <w:rsid w:val="00AA3257"/>
    <w:rsid w:val="00AA3338"/>
    <w:rsid w:val="00AA340B"/>
    <w:rsid w:val="00AA3730"/>
    <w:rsid w:val="00AA381E"/>
    <w:rsid w:val="00AA3A1F"/>
    <w:rsid w:val="00AA3B70"/>
    <w:rsid w:val="00AA3CE0"/>
    <w:rsid w:val="00AA4053"/>
    <w:rsid w:val="00AA4109"/>
    <w:rsid w:val="00AA41F3"/>
    <w:rsid w:val="00AA425A"/>
    <w:rsid w:val="00AA42A5"/>
    <w:rsid w:val="00AA44EF"/>
    <w:rsid w:val="00AA461B"/>
    <w:rsid w:val="00AA469B"/>
    <w:rsid w:val="00AA46C5"/>
    <w:rsid w:val="00AA4BAE"/>
    <w:rsid w:val="00AA4E46"/>
    <w:rsid w:val="00AA53A3"/>
    <w:rsid w:val="00AA547C"/>
    <w:rsid w:val="00AA555E"/>
    <w:rsid w:val="00AA5732"/>
    <w:rsid w:val="00AA57E1"/>
    <w:rsid w:val="00AA57EC"/>
    <w:rsid w:val="00AA582F"/>
    <w:rsid w:val="00AA58A3"/>
    <w:rsid w:val="00AA58CF"/>
    <w:rsid w:val="00AA59C5"/>
    <w:rsid w:val="00AA5B9B"/>
    <w:rsid w:val="00AA5BA5"/>
    <w:rsid w:val="00AA5C70"/>
    <w:rsid w:val="00AA5CBF"/>
    <w:rsid w:val="00AA617C"/>
    <w:rsid w:val="00AA62D9"/>
    <w:rsid w:val="00AA63D9"/>
    <w:rsid w:val="00AA64A1"/>
    <w:rsid w:val="00AA6536"/>
    <w:rsid w:val="00AA6736"/>
    <w:rsid w:val="00AA6AB0"/>
    <w:rsid w:val="00AA6E90"/>
    <w:rsid w:val="00AA71EA"/>
    <w:rsid w:val="00AA7218"/>
    <w:rsid w:val="00AA736C"/>
    <w:rsid w:val="00AA752D"/>
    <w:rsid w:val="00AA783C"/>
    <w:rsid w:val="00AA7C1F"/>
    <w:rsid w:val="00AA7F00"/>
    <w:rsid w:val="00AB00D9"/>
    <w:rsid w:val="00AB05F0"/>
    <w:rsid w:val="00AB0766"/>
    <w:rsid w:val="00AB0934"/>
    <w:rsid w:val="00AB0B21"/>
    <w:rsid w:val="00AB0D1D"/>
    <w:rsid w:val="00AB0E34"/>
    <w:rsid w:val="00AB0E85"/>
    <w:rsid w:val="00AB0F53"/>
    <w:rsid w:val="00AB127E"/>
    <w:rsid w:val="00AB1623"/>
    <w:rsid w:val="00AB1696"/>
    <w:rsid w:val="00AB1697"/>
    <w:rsid w:val="00AB16D4"/>
    <w:rsid w:val="00AB17D5"/>
    <w:rsid w:val="00AB19A9"/>
    <w:rsid w:val="00AB1A4E"/>
    <w:rsid w:val="00AB1AAB"/>
    <w:rsid w:val="00AB1D62"/>
    <w:rsid w:val="00AB1DA3"/>
    <w:rsid w:val="00AB1DA8"/>
    <w:rsid w:val="00AB1E0F"/>
    <w:rsid w:val="00AB229F"/>
    <w:rsid w:val="00AB2740"/>
    <w:rsid w:val="00AB2774"/>
    <w:rsid w:val="00AB2A39"/>
    <w:rsid w:val="00AB2B41"/>
    <w:rsid w:val="00AB2F5B"/>
    <w:rsid w:val="00AB33AE"/>
    <w:rsid w:val="00AB3550"/>
    <w:rsid w:val="00AB35C8"/>
    <w:rsid w:val="00AB361F"/>
    <w:rsid w:val="00AB3802"/>
    <w:rsid w:val="00AB3A73"/>
    <w:rsid w:val="00AB3C11"/>
    <w:rsid w:val="00AB3F0F"/>
    <w:rsid w:val="00AB3F74"/>
    <w:rsid w:val="00AB407B"/>
    <w:rsid w:val="00AB40A3"/>
    <w:rsid w:val="00AB4177"/>
    <w:rsid w:val="00AB4220"/>
    <w:rsid w:val="00AB4271"/>
    <w:rsid w:val="00AB4313"/>
    <w:rsid w:val="00AB4388"/>
    <w:rsid w:val="00AB4652"/>
    <w:rsid w:val="00AB4738"/>
    <w:rsid w:val="00AB478D"/>
    <w:rsid w:val="00AB48DD"/>
    <w:rsid w:val="00AB49BC"/>
    <w:rsid w:val="00AB4B31"/>
    <w:rsid w:val="00AB4D45"/>
    <w:rsid w:val="00AB4E9B"/>
    <w:rsid w:val="00AB4EDD"/>
    <w:rsid w:val="00AB53ED"/>
    <w:rsid w:val="00AB563F"/>
    <w:rsid w:val="00AB5656"/>
    <w:rsid w:val="00AB582B"/>
    <w:rsid w:val="00AB5856"/>
    <w:rsid w:val="00AB589B"/>
    <w:rsid w:val="00AB5966"/>
    <w:rsid w:val="00AB5A6D"/>
    <w:rsid w:val="00AB5BAF"/>
    <w:rsid w:val="00AB5E5E"/>
    <w:rsid w:val="00AB601E"/>
    <w:rsid w:val="00AB64A1"/>
    <w:rsid w:val="00AB654C"/>
    <w:rsid w:val="00AB65BA"/>
    <w:rsid w:val="00AB66C6"/>
    <w:rsid w:val="00AB6A3C"/>
    <w:rsid w:val="00AB6BA0"/>
    <w:rsid w:val="00AB6D88"/>
    <w:rsid w:val="00AB6DB7"/>
    <w:rsid w:val="00AB6EF3"/>
    <w:rsid w:val="00AB730D"/>
    <w:rsid w:val="00AB7317"/>
    <w:rsid w:val="00AB7C63"/>
    <w:rsid w:val="00AB7CED"/>
    <w:rsid w:val="00AC0006"/>
    <w:rsid w:val="00AC03DD"/>
    <w:rsid w:val="00AC054B"/>
    <w:rsid w:val="00AC0844"/>
    <w:rsid w:val="00AC090D"/>
    <w:rsid w:val="00AC0A77"/>
    <w:rsid w:val="00AC0C4B"/>
    <w:rsid w:val="00AC0E60"/>
    <w:rsid w:val="00AC1146"/>
    <w:rsid w:val="00AC129B"/>
    <w:rsid w:val="00AC1501"/>
    <w:rsid w:val="00AC150E"/>
    <w:rsid w:val="00AC177C"/>
    <w:rsid w:val="00AC1786"/>
    <w:rsid w:val="00AC18FB"/>
    <w:rsid w:val="00AC19A7"/>
    <w:rsid w:val="00AC1E04"/>
    <w:rsid w:val="00AC1F9A"/>
    <w:rsid w:val="00AC215F"/>
    <w:rsid w:val="00AC223C"/>
    <w:rsid w:val="00AC22C1"/>
    <w:rsid w:val="00AC236D"/>
    <w:rsid w:val="00AC26C9"/>
    <w:rsid w:val="00AC2749"/>
    <w:rsid w:val="00AC2988"/>
    <w:rsid w:val="00AC2BCD"/>
    <w:rsid w:val="00AC2C9B"/>
    <w:rsid w:val="00AC2DB0"/>
    <w:rsid w:val="00AC2E94"/>
    <w:rsid w:val="00AC31A9"/>
    <w:rsid w:val="00AC323A"/>
    <w:rsid w:val="00AC325C"/>
    <w:rsid w:val="00AC32BD"/>
    <w:rsid w:val="00AC34D1"/>
    <w:rsid w:val="00AC379B"/>
    <w:rsid w:val="00AC384D"/>
    <w:rsid w:val="00AC393D"/>
    <w:rsid w:val="00AC3A5B"/>
    <w:rsid w:val="00AC3B50"/>
    <w:rsid w:val="00AC3B5E"/>
    <w:rsid w:val="00AC3BCF"/>
    <w:rsid w:val="00AC3D4C"/>
    <w:rsid w:val="00AC40DB"/>
    <w:rsid w:val="00AC418F"/>
    <w:rsid w:val="00AC44A8"/>
    <w:rsid w:val="00AC44B0"/>
    <w:rsid w:val="00AC4588"/>
    <w:rsid w:val="00AC48D2"/>
    <w:rsid w:val="00AC4A97"/>
    <w:rsid w:val="00AC4E37"/>
    <w:rsid w:val="00AC5103"/>
    <w:rsid w:val="00AC51E6"/>
    <w:rsid w:val="00AC5602"/>
    <w:rsid w:val="00AC5687"/>
    <w:rsid w:val="00AC57E8"/>
    <w:rsid w:val="00AC5849"/>
    <w:rsid w:val="00AC59EC"/>
    <w:rsid w:val="00AC5A2B"/>
    <w:rsid w:val="00AC5E36"/>
    <w:rsid w:val="00AC60B4"/>
    <w:rsid w:val="00AC61E1"/>
    <w:rsid w:val="00AC674B"/>
    <w:rsid w:val="00AC687C"/>
    <w:rsid w:val="00AC6BC0"/>
    <w:rsid w:val="00AC6E03"/>
    <w:rsid w:val="00AC6E85"/>
    <w:rsid w:val="00AC7173"/>
    <w:rsid w:val="00AC7882"/>
    <w:rsid w:val="00AD0613"/>
    <w:rsid w:val="00AD0BCF"/>
    <w:rsid w:val="00AD0D38"/>
    <w:rsid w:val="00AD0D96"/>
    <w:rsid w:val="00AD1067"/>
    <w:rsid w:val="00AD1781"/>
    <w:rsid w:val="00AD1E1A"/>
    <w:rsid w:val="00AD2118"/>
    <w:rsid w:val="00AD2339"/>
    <w:rsid w:val="00AD2439"/>
    <w:rsid w:val="00AD25EF"/>
    <w:rsid w:val="00AD26F5"/>
    <w:rsid w:val="00AD26F9"/>
    <w:rsid w:val="00AD2730"/>
    <w:rsid w:val="00AD2B90"/>
    <w:rsid w:val="00AD2D38"/>
    <w:rsid w:val="00AD2EE9"/>
    <w:rsid w:val="00AD2FC8"/>
    <w:rsid w:val="00AD301A"/>
    <w:rsid w:val="00AD32E1"/>
    <w:rsid w:val="00AD3415"/>
    <w:rsid w:val="00AD34EE"/>
    <w:rsid w:val="00AD3B96"/>
    <w:rsid w:val="00AD3C9A"/>
    <w:rsid w:val="00AD3D31"/>
    <w:rsid w:val="00AD3D43"/>
    <w:rsid w:val="00AD3EEE"/>
    <w:rsid w:val="00AD4004"/>
    <w:rsid w:val="00AD4165"/>
    <w:rsid w:val="00AD41F2"/>
    <w:rsid w:val="00AD475C"/>
    <w:rsid w:val="00AD4901"/>
    <w:rsid w:val="00AD4D5E"/>
    <w:rsid w:val="00AD5247"/>
    <w:rsid w:val="00AD54B1"/>
    <w:rsid w:val="00AD5715"/>
    <w:rsid w:val="00AD5785"/>
    <w:rsid w:val="00AD57C6"/>
    <w:rsid w:val="00AD5A52"/>
    <w:rsid w:val="00AD5CE3"/>
    <w:rsid w:val="00AD5D31"/>
    <w:rsid w:val="00AD625C"/>
    <w:rsid w:val="00AD6306"/>
    <w:rsid w:val="00AD642F"/>
    <w:rsid w:val="00AD68FA"/>
    <w:rsid w:val="00AD6C90"/>
    <w:rsid w:val="00AD6CF7"/>
    <w:rsid w:val="00AD6D6D"/>
    <w:rsid w:val="00AD6E02"/>
    <w:rsid w:val="00AD6E31"/>
    <w:rsid w:val="00AD70DD"/>
    <w:rsid w:val="00AD7168"/>
    <w:rsid w:val="00AD71E5"/>
    <w:rsid w:val="00AD7306"/>
    <w:rsid w:val="00AD7739"/>
    <w:rsid w:val="00AD78B9"/>
    <w:rsid w:val="00AD7C1F"/>
    <w:rsid w:val="00AE0034"/>
    <w:rsid w:val="00AE06AA"/>
    <w:rsid w:val="00AE06DF"/>
    <w:rsid w:val="00AE07AB"/>
    <w:rsid w:val="00AE0878"/>
    <w:rsid w:val="00AE0932"/>
    <w:rsid w:val="00AE094C"/>
    <w:rsid w:val="00AE0D3C"/>
    <w:rsid w:val="00AE0D87"/>
    <w:rsid w:val="00AE0FFD"/>
    <w:rsid w:val="00AE16C8"/>
    <w:rsid w:val="00AE1963"/>
    <w:rsid w:val="00AE1C9E"/>
    <w:rsid w:val="00AE1E24"/>
    <w:rsid w:val="00AE205C"/>
    <w:rsid w:val="00AE2558"/>
    <w:rsid w:val="00AE2628"/>
    <w:rsid w:val="00AE26B1"/>
    <w:rsid w:val="00AE2944"/>
    <w:rsid w:val="00AE2AEC"/>
    <w:rsid w:val="00AE2B58"/>
    <w:rsid w:val="00AE2B70"/>
    <w:rsid w:val="00AE34A2"/>
    <w:rsid w:val="00AE3AEF"/>
    <w:rsid w:val="00AE3B51"/>
    <w:rsid w:val="00AE3D5B"/>
    <w:rsid w:val="00AE3E98"/>
    <w:rsid w:val="00AE40BE"/>
    <w:rsid w:val="00AE42D3"/>
    <w:rsid w:val="00AE43A2"/>
    <w:rsid w:val="00AE459F"/>
    <w:rsid w:val="00AE49BB"/>
    <w:rsid w:val="00AE4B62"/>
    <w:rsid w:val="00AE4BBC"/>
    <w:rsid w:val="00AE4DCF"/>
    <w:rsid w:val="00AE4DD8"/>
    <w:rsid w:val="00AE4F0D"/>
    <w:rsid w:val="00AE501D"/>
    <w:rsid w:val="00AE50E1"/>
    <w:rsid w:val="00AE5129"/>
    <w:rsid w:val="00AE51CA"/>
    <w:rsid w:val="00AE5420"/>
    <w:rsid w:val="00AE54B8"/>
    <w:rsid w:val="00AE5675"/>
    <w:rsid w:val="00AE569F"/>
    <w:rsid w:val="00AE5703"/>
    <w:rsid w:val="00AE5A52"/>
    <w:rsid w:val="00AE5C95"/>
    <w:rsid w:val="00AE5D31"/>
    <w:rsid w:val="00AE5DC8"/>
    <w:rsid w:val="00AE61F6"/>
    <w:rsid w:val="00AE6E0E"/>
    <w:rsid w:val="00AE6FA3"/>
    <w:rsid w:val="00AE703F"/>
    <w:rsid w:val="00AE7246"/>
    <w:rsid w:val="00AE7284"/>
    <w:rsid w:val="00AE7339"/>
    <w:rsid w:val="00AE74CD"/>
    <w:rsid w:val="00AE75B1"/>
    <w:rsid w:val="00AE7755"/>
    <w:rsid w:val="00AE7773"/>
    <w:rsid w:val="00AE7A8E"/>
    <w:rsid w:val="00AF00E3"/>
    <w:rsid w:val="00AF018A"/>
    <w:rsid w:val="00AF01B4"/>
    <w:rsid w:val="00AF027E"/>
    <w:rsid w:val="00AF0428"/>
    <w:rsid w:val="00AF04D0"/>
    <w:rsid w:val="00AF0561"/>
    <w:rsid w:val="00AF062B"/>
    <w:rsid w:val="00AF0C39"/>
    <w:rsid w:val="00AF0C82"/>
    <w:rsid w:val="00AF0DD3"/>
    <w:rsid w:val="00AF0EDF"/>
    <w:rsid w:val="00AF10A7"/>
    <w:rsid w:val="00AF1104"/>
    <w:rsid w:val="00AF128C"/>
    <w:rsid w:val="00AF12FB"/>
    <w:rsid w:val="00AF1696"/>
    <w:rsid w:val="00AF1949"/>
    <w:rsid w:val="00AF1D88"/>
    <w:rsid w:val="00AF25B9"/>
    <w:rsid w:val="00AF28AD"/>
    <w:rsid w:val="00AF2E9B"/>
    <w:rsid w:val="00AF314C"/>
    <w:rsid w:val="00AF317C"/>
    <w:rsid w:val="00AF339C"/>
    <w:rsid w:val="00AF33B9"/>
    <w:rsid w:val="00AF347C"/>
    <w:rsid w:val="00AF3521"/>
    <w:rsid w:val="00AF375F"/>
    <w:rsid w:val="00AF37C1"/>
    <w:rsid w:val="00AF386E"/>
    <w:rsid w:val="00AF3984"/>
    <w:rsid w:val="00AF399C"/>
    <w:rsid w:val="00AF3A7A"/>
    <w:rsid w:val="00AF3A8C"/>
    <w:rsid w:val="00AF3AFE"/>
    <w:rsid w:val="00AF3B07"/>
    <w:rsid w:val="00AF3C35"/>
    <w:rsid w:val="00AF3C6E"/>
    <w:rsid w:val="00AF4205"/>
    <w:rsid w:val="00AF426A"/>
    <w:rsid w:val="00AF4294"/>
    <w:rsid w:val="00AF47AB"/>
    <w:rsid w:val="00AF47B9"/>
    <w:rsid w:val="00AF47D3"/>
    <w:rsid w:val="00AF4B8E"/>
    <w:rsid w:val="00AF4C0E"/>
    <w:rsid w:val="00AF5165"/>
    <w:rsid w:val="00AF51AF"/>
    <w:rsid w:val="00AF52EE"/>
    <w:rsid w:val="00AF5634"/>
    <w:rsid w:val="00AF56A3"/>
    <w:rsid w:val="00AF570B"/>
    <w:rsid w:val="00AF5788"/>
    <w:rsid w:val="00AF58E1"/>
    <w:rsid w:val="00AF597F"/>
    <w:rsid w:val="00AF5A28"/>
    <w:rsid w:val="00AF5DC1"/>
    <w:rsid w:val="00AF609E"/>
    <w:rsid w:val="00AF66E2"/>
    <w:rsid w:val="00AF68C9"/>
    <w:rsid w:val="00AF6DB2"/>
    <w:rsid w:val="00AF7232"/>
    <w:rsid w:val="00AF72DF"/>
    <w:rsid w:val="00AF745D"/>
    <w:rsid w:val="00AF79E5"/>
    <w:rsid w:val="00AF7B3A"/>
    <w:rsid w:val="00AF7C40"/>
    <w:rsid w:val="00AF7CE1"/>
    <w:rsid w:val="00AF7E97"/>
    <w:rsid w:val="00AF7FDB"/>
    <w:rsid w:val="00B000B7"/>
    <w:rsid w:val="00B001A4"/>
    <w:rsid w:val="00B002D3"/>
    <w:rsid w:val="00B003C4"/>
    <w:rsid w:val="00B0065A"/>
    <w:rsid w:val="00B0065C"/>
    <w:rsid w:val="00B00BB0"/>
    <w:rsid w:val="00B00C6E"/>
    <w:rsid w:val="00B00F99"/>
    <w:rsid w:val="00B01249"/>
    <w:rsid w:val="00B013C9"/>
    <w:rsid w:val="00B0148F"/>
    <w:rsid w:val="00B01DCA"/>
    <w:rsid w:val="00B0257D"/>
    <w:rsid w:val="00B029DA"/>
    <w:rsid w:val="00B02A05"/>
    <w:rsid w:val="00B02A3A"/>
    <w:rsid w:val="00B02AC1"/>
    <w:rsid w:val="00B02CF0"/>
    <w:rsid w:val="00B02D86"/>
    <w:rsid w:val="00B02FA4"/>
    <w:rsid w:val="00B03105"/>
    <w:rsid w:val="00B03363"/>
    <w:rsid w:val="00B03967"/>
    <w:rsid w:val="00B03A12"/>
    <w:rsid w:val="00B03DF6"/>
    <w:rsid w:val="00B03E57"/>
    <w:rsid w:val="00B03F6C"/>
    <w:rsid w:val="00B0439D"/>
    <w:rsid w:val="00B04622"/>
    <w:rsid w:val="00B0490D"/>
    <w:rsid w:val="00B04BD9"/>
    <w:rsid w:val="00B04CCB"/>
    <w:rsid w:val="00B04D14"/>
    <w:rsid w:val="00B04E10"/>
    <w:rsid w:val="00B04F47"/>
    <w:rsid w:val="00B0500D"/>
    <w:rsid w:val="00B055C9"/>
    <w:rsid w:val="00B05928"/>
    <w:rsid w:val="00B05929"/>
    <w:rsid w:val="00B05AFC"/>
    <w:rsid w:val="00B05EB1"/>
    <w:rsid w:val="00B0600A"/>
    <w:rsid w:val="00B060C4"/>
    <w:rsid w:val="00B06388"/>
    <w:rsid w:val="00B063F5"/>
    <w:rsid w:val="00B06516"/>
    <w:rsid w:val="00B06590"/>
    <w:rsid w:val="00B067ED"/>
    <w:rsid w:val="00B069A5"/>
    <w:rsid w:val="00B06AA8"/>
    <w:rsid w:val="00B06AEA"/>
    <w:rsid w:val="00B06BB6"/>
    <w:rsid w:val="00B06BD5"/>
    <w:rsid w:val="00B07093"/>
    <w:rsid w:val="00B070CC"/>
    <w:rsid w:val="00B07225"/>
    <w:rsid w:val="00B075F5"/>
    <w:rsid w:val="00B0772F"/>
    <w:rsid w:val="00B0779E"/>
    <w:rsid w:val="00B077D2"/>
    <w:rsid w:val="00B078A8"/>
    <w:rsid w:val="00B079AD"/>
    <w:rsid w:val="00B07A27"/>
    <w:rsid w:val="00B07A7B"/>
    <w:rsid w:val="00B07CC3"/>
    <w:rsid w:val="00B07E9F"/>
    <w:rsid w:val="00B103B3"/>
    <w:rsid w:val="00B10746"/>
    <w:rsid w:val="00B1085F"/>
    <w:rsid w:val="00B1089E"/>
    <w:rsid w:val="00B10BC3"/>
    <w:rsid w:val="00B11022"/>
    <w:rsid w:val="00B110AF"/>
    <w:rsid w:val="00B112D8"/>
    <w:rsid w:val="00B1162A"/>
    <w:rsid w:val="00B11770"/>
    <w:rsid w:val="00B11B3D"/>
    <w:rsid w:val="00B11D32"/>
    <w:rsid w:val="00B124D9"/>
    <w:rsid w:val="00B12765"/>
    <w:rsid w:val="00B12C6A"/>
    <w:rsid w:val="00B12E7C"/>
    <w:rsid w:val="00B13459"/>
    <w:rsid w:val="00B13752"/>
    <w:rsid w:val="00B138ED"/>
    <w:rsid w:val="00B139EC"/>
    <w:rsid w:val="00B13A43"/>
    <w:rsid w:val="00B13B49"/>
    <w:rsid w:val="00B13B87"/>
    <w:rsid w:val="00B13EBF"/>
    <w:rsid w:val="00B13FCB"/>
    <w:rsid w:val="00B141E8"/>
    <w:rsid w:val="00B143AE"/>
    <w:rsid w:val="00B1443D"/>
    <w:rsid w:val="00B1444F"/>
    <w:rsid w:val="00B14599"/>
    <w:rsid w:val="00B145BE"/>
    <w:rsid w:val="00B148D6"/>
    <w:rsid w:val="00B149AE"/>
    <w:rsid w:val="00B14BF3"/>
    <w:rsid w:val="00B14BF8"/>
    <w:rsid w:val="00B14EBE"/>
    <w:rsid w:val="00B15535"/>
    <w:rsid w:val="00B15594"/>
    <w:rsid w:val="00B1560F"/>
    <w:rsid w:val="00B15650"/>
    <w:rsid w:val="00B1571F"/>
    <w:rsid w:val="00B15C41"/>
    <w:rsid w:val="00B15D93"/>
    <w:rsid w:val="00B15DE3"/>
    <w:rsid w:val="00B161FB"/>
    <w:rsid w:val="00B1633C"/>
    <w:rsid w:val="00B163E7"/>
    <w:rsid w:val="00B16500"/>
    <w:rsid w:val="00B16849"/>
    <w:rsid w:val="00B16964"/>
    <w:rsid w:val="00B16A42"/>
    <w:rsid w:val="00B16AC2"/>
    <w:rsid w:val="00B16B39"/>
    <w:rsid w:val="00B16B40"/>
    <w:rsid w:val="00B16EBD"/>
    <w:rsid w:val="00B17101"/>
    <w:rsid w:val="00B172BE"/>
    <w:rsid w:val="00B176BE"/>
    <w:rsid w:val="00B17802"/>
    <w:rsid w:val="00B17A11"/>
    <w:rsid w:val="00B17A3C"/>
    <w:rsid w:val="00B17EDC"/>
    <w:rsid w:val="00B20178"/>
    <w:rsid w:val="00B201E5"/>
    <w:rsid w:val="00B20AC2"/>
    <w:rsid w:val="00B20B94"/>
    <w:rsid w:val="00B20D11"/>
    <w:rsid w:val="00B20E42"/>
    <w:rsid w:val="00B20F96"/>
    <w:rsid w:val="00B213AA"/>
    <w:rsid w:val="00B216E2"/>
    <w:rsid w:val="00B21701"/>
    <w:rsid w:val="00B21BD3"/>
    <w:rsid w:val="00B21C29"/>
    <w:rsid w:val="00B21FFE"/>
    <w:rsid w:val="00B22054"/>
    <w:rsid w:val="00B220E6"/>
    <w:rsid w:val="00B22164"/>
    <w:rsid w:val="00B22303"/>
    <w:rsid w:val="00B2262B"/>
    <w:rsid w:val="00B227F3"/>
    <w:rsid w:val="00B22D57"/>
    <w:rsid w:val="00B2307B"/>
    <w:rsid w:val="00B23083"/>
    <w:rsid w:val="00B2313F"/>
    <w:rsid w:val="00B231FB"/>
    <w:rsid w:val="00B23408"/>
    <w:rsid w:val="00B23655"/>
    <w:rsid w:val="00B2379D"/>
    <w:rsid w:val="00B23E46"/>
    <w:rsid w:val="00B23F10"/>
    <w:rsid w:val="00B2497E"/>
    <w:rsid w:val="00B24A38"/>
    <w:rsid w:val="00B24B3E"/>
    <w:rsid w:val="00B24C96"/>
    <w:rsid w:val="00B25099"/>
    <w:rsid w:val="00B2510E"/>
    <w:rsid w:val="00B254A1"/>
    <w:rsid w:val="00B257A0"/>
    <w:rsid w:val="00B257DA"/>
    <w:rsid w:val="00B25828"/>
    <w:rsid w:val="00B2603E"/>
    <w:rsid w:val="00B26228"/>
    <w:rsid w:val="00B26318"/>
    <w:rsid w:val="00B265F2"/>
    <w:rsid w:val="00B26698"/>
    <w:rsid w:val="00B2685A"/>
    <w:rsid w:val="00B26966"/>
    <w:rsid w:val="00B26A53"/>
    <w:rsid w:val="00B26C23"/>
    <w:rsid w:val="00B26D76"/>
    <w:rsid w:val="00B26EC0"/>
    <w:rsid w:val="00B26F38"/>
    <w:rsid w:val="00B272EF"/>
    <w:rsid w:val="00B27860"/>
    <w:rsid w:val="00B27B14"/>
    <w:rsid w:val="00B27FE0"/>
    <w:rsid w:val="00B30011"/>
    <w:rsid w:val="00B300D0"/>
    <w:rsid w:val="00B30181"/>
    <w:rsid w:val="00B303F7"/>
    <w:rsid w:val="00B30459"/>
    <w:rsid w:val="00B30527"/>
    <w:rsid w:val="00B3080E"/>
    <w:rsid w:val="00B30925"/>
    <w:rsid w:val="00B311D5"/>
    <w:rsid w:val="00B3126D"/>
    <w:rsid w:val="00B312C1"/>
    <w:rsid w:val="00B313C0"/>
    <w:rsid w:val="00B31570"/>
    <w:rsid w:val="00B316C6"/>
    <w:rsid w:val="00B317DF"/>
    <w:rsid w:val="00B319D4"/>
    <w:rsid w:val="00B319F8"/>
    <w:rsid w:val="00B31BA0"/>
    <w:rsid w:val="00B31C5E"/>
    <w:rsid w:val="00B31CCC"/>
    <w:rsid w:val="00B31DFC"/>
    <w:rsid w:val="00B31E50"/>
    <w:rsid w:val="00B32107"/>
    <w:rsid w:val="00B325F0"/>
    <w:rsid w:val="00B32737"/>
    <w:rsid w:val="00B32A4C"/>
    <w:rsid w:val="00B32C4E"/>
    <w:rsid w:val="00B32CAC"/>
    <w:rsid w:val="00B32D94"/>
    <w:rsid w:val="00B32EC6"/>
    <w:rsid w:val="00B32F3A"/>
    <w:rsid w:val="00B3304A"/>
    <w:rsid w:val="00B335E9"/>
    <w:rsid w:val="00B338F5"/>
    <w:rsid w:val="00B339A5"/>
    <w:rsid w:val="00B339B9"/>
    <w:rsid w:val="00B34116"/>
    <w:rsid w:val="00B34144"/>
    <w:rsid w:val="00B341CD"/>
    <w:rsid w:val="00B343CB"/>
    <w:rsid w:val="00B3462D"/>
    <w:rsid w:val="00B3462E"/>
    <w:rsid w:val="00B3468C"/>
    <w:rsid w:val="00B34700"/>
    <w:rsid w:val="00B3471F"/>
    <w:rsid w:val="00B34815"/>
    <w:rsid w:val="00B3486D"/>
    <w:rsid w:val="00B35562"/>
    <w:rsid w:val="00B35925"/>
    <w:rsid w:val="00B35942"/>
    <w:rsid w:val="00B35D4F"/>
    <w:rsid w:val="00B36008"/>
    <w:rsid w:val="00B361AD"/>
    <w:rsid w:val="00B3625F"/>
    <w:rsid w:val="00B36476"/>
    <w:rsid w:val="00B3652C"/>
    <w:rsid w:val="00B36617"/>
    <w:rsid w:val="00B3675F"/>
    <w:rsid w:val="00B367CE"/>
    <w:rsid w:val="00B36955"/>
    <w:rsid w:val="00B36B15"/>
    <w:rsid w:val="00B36E77"/>
    <w:rsid w:val="00B36ED5"/>
    <w:rsid w:val="00B36F0C"/>
    <w:rsid w:val="00B372E3"/>
    <w:rsid w:val="00B372F9"/>
    <w:rsid w:val="00B373E2"/>
    <w:rsid w:val="00B375F3"/>
    <w:rsid w:val="00B376D8"/>
    <w:rsid w:val="00B37770"/>
    <w:rsid w:val="00B3778C"/>
    <w:rsid w:val="00B377A4"/>
    <w:rsid w:val="00B37988"/>
    <w:rsid w:val="00B379D6"/>
    <w:rsid w:val="00B37A08"/>
    <w:rsid w:val="00B37B85"/>
    <w:rsid w:val="00B37D32"/>
    <w:rsid w:val="00B37DA0"/>
    <w:rsid w:val="00B37EA1"/>
    <w:rsid w:val="00B401C8"/>
    <w:rsid w:val="00B404C4"/>
    <w:rsid w:val="00B404D4"/>
    <w:rsid w:val="00B404F0"/>
    <w:rsid w:val="00B4082E"/>
    <w:rsid w:val="00B4086E"/>
    <w:rsid w:val="00B4091A"/>
    <w:rsid w:val="00B40AAF"/>
    <w:rsid w:val="00B40BD5"/>
    <w:rsid w:val="00B40F22"/>
    <w:rsid w:val="00B411B9"/>
    <w:rsid w:val="00B412D8"/>
    <w:rsid w:val="00B41429"/>
    <w:rsid w:val="00B415B8"/>
    <w:rsid w:val="00B41672"/>
    <w:rsid w:val="00B416FD"/>
    <w:rsid w:val="00B417F9"/>
    <w:rsid w:val="00B41CC9"/>
    <w:rsid w:val="00B41D1E"/>
    <w:rsid w:val="00B41E1F"/>
    <w:rsid w:val="00B42285"/>
    <w:rsid w:val="00B429B1"/>
    <w:rsid w:val="00B42A06"/>
    <w:rsid w:val="00B42DA8"/>
    <w:rsid w:val="00B43044"/>
    <w:rsid w:val="00B431A7"/>
    <w:rsid w:val="00B43EA3"/>
    <w:rsid w:val="00B43F7C"/>
    <w:rsid w:val="00B43FC5"/>
    <w:rsid w:val="00B441C8"/>
    <w:rsid w:val="00B4424F"/>
    <w:rsid w:val="00B44363"/>
    <w:rsid w:val="00B44392"/>
    <w:rsid w:val="00B444B1"/>
    <w:rsid w:val="00B448F4"/>
    <w:rsid w:val="00B449F6"/>
    <w:rsid w:val="00B44A92"/>
    <w:rsid w:val="00B44B64"/>
    <w:rsid w:val="00B44E17"/>
    <w:rsid w:val="00B44E3F"/>
    <w:rsid w:val="00B44F81"/>
    <w:rsid w:val="00B44F8A"/>
    <w:rsid w:val="00B451B4"/>
    <w:rsid w:val="00B45215"/>
    <w:rsid w:val="00B45291"/>
    <w:rsid w:val="00B455CC"/>
    <w:rsid w:val="00B4596D"/>
    <w:rsid w:val="00B45BC8"/>
    <w:rsid w:val="00B464ED"/>
    <w:rsid w:val="00B468E3"/>
    <w:rsid w:val="00B46F6B"/>
    <w:rsid w:val="00B46FA9"/>
    <w:rsid w:val="00B474BD"/>
    <w:rsid w:val="00B4759F"/>
    <w:rsid w:val="00B4771C"/>
    <w:rsid w:val="00B477E4"/>
    <w:rsid w:val="00B478A7"/>
    <w:rsid w:val="00B47CF6"/>
    <w:rsid w:val="00B47F2A"/>
    <w:rsid w:val="00B500AE"/>
    <w:rsid w:val="00B50541"/>
    <w:rsid w:val="00B507F2"/>
    <w:rsid w:val="00B50885"/>
    <w:rsid w:val="00B50D08"/>
    <w:rsid w:val="00B50E97"/>
    <w:rsid w:val="00B511A2"/>
    <w:rsid w:val="00B512F1"/>
    <w:rsid w:val="00B5131A"/>
    <w:rsid w:val="00B51344"/>
    <w:rsid w:val="00B51436"/>
    <w:rsid w:val="00B51941"/>
    <w:rsid w:val="00B51980"/>
    <w:rsid w:val="00B51A8D"/>
    <w:rsid w:val="00B52145"/>
    <w:rsid w:val="00B524A2"/>
    <w:rsid w:val="00B52592"/>
    <w:rsid w:val="00B52634"/>
    <w:rsid w:val="00B5288B"/>
    <w:rsid w:val="00B52D56"/>
    <w:rsid w:val="00B52E80"/>
    <w:rsid w:val="00B52F83"/>
    <w:rsid w:val="00B5348F"/>
    <w:rsid w:val="00B5352E"/>
    <w:rsid w:val="00B5354B"/>
    <w:rsid w:val="00B53663"/>
    <w:rsid w:val="00B536DB"/>
    <w:rsid w:val="00B537EF"/>
    <w:rsid w:val="00B539E3"/>
    <w:rsid w:val="00B539EA"/>
    <w:rsid w:val="00B53BA9"/>
    <w:rsid w:val="00B53CE4"/>
    <w:rsid w:val="00B53DF8"/>
    <w:rsid w:val="00B53E53"/>
    <w:rsid w:val="00B53E74"/>
    <w:rsid w:val="00B53F04"/>
    <w:rsid w:val="00B53FBA"/>
    <w:rsid w:val="00B541FF"/>
    <w:rsid w:val="00B543AB"/>
    <w:rsid w:val="00B5490A"/>
    <w:rsid w:val="00B54939"/>
    <w:rsid w:val="00B54A51"/>
    <w:rsid w:val="00B54A8A"/>
    <w:rsid w:val="00B54BA1"/>
    <w:rsid w:val="00B54CAE"/>
    <w:rsid w:val="00B554D6"/>
    <w:rsid w:val="00B55778"/>
    <w:rsid w:val="00B55875"/>
    <w:rsid w:val="00B55979"/>
    <w:rsid w:val="00B55AE5"/>
    <w:rsid w:val="00B55DE7"/>
    <w:rsid w:val="00B56407"/>
    <w:rsid w:val="00B5648A"/>
    <w:rsid w:val="00B56809"/>
    <w:rsid w:val="00B568AE"/>
    <w:rsid w:val="00B56A33"/>
    <w:rsid w:val="00B57562"/>
    <w:rsid w:val="00B57625"/>
    <w:rsid w:val="00B5767A"/>
    <w:rsid w:val="00B57B9A"/>
    <w:rsid w:val="00B57DB2"/>
    <w:rsid w:val="00B57FAB"/>
    <w:rsid w:val="00B5D265"/>
    <w:rsid w:val="00B600B4"/>
    <w:rsid w:val="00B60132"/>
    <w:rsid w:val="00B601F9"/>
    <w:rsid w:val="00B604B2"/>
    <w:rsid w:val="00B604C8"/>
    <w:rsid w:val="00B60518"/>
    <w:rsid w:val="00B6051B"/>
    <w:rsid w:val="00B6061F"/>
    <w:rsid w:val="00B6075C"/>
    <w:rsid w:val="00B60912"/>
    <w:rsid w:val="00B60C54"/>
    <w:rsid w:val="00B60E0E"/>
    <w:rsid w:val="00B6135B"/>
    <w:rsid w:val="00B616D2"/>
    <w:rsid w:val="00B61F84"/>
    <w:rsid w:val="00B62AEB"/>
    <w:rsid w:val="00B62CF9"/>
    <w:rsid w:val="00B62D72"/>
    <w:rsid w:val="00B62F49"/>
    <w:rsid w:val="00B630E4"/>
    <w:rsid w:val="00B635FA"/>
    <w:rsid w:val="00B6379D"/>
    <w:rsid w:val="00B638E3"/>
    <w:rsid w:val="00B63C8B"/>
    <w:rsid w:val="00B63D86"/>
    <w:rsid w:val="00B63DF7"/>
    <w:rsid w:val="00B63FBD"/>
    <w:rsid w:val="00B64243"/>
    <w:rsid w:val="00B64393"/>
    <w:rsid w:val="00B64507"/>
    <w:rsid w:val="00B645A2"/>
    <w:rsid w:val="00B645BD"/>
    <w:rsid w:val="00B64756"/>
    <w:rsid w:val="00B64AD6"/>
    <w:rsid w:val="00B64DD1"/>
    <w:rsid w:val="00B64F03"/>
    <w:rsid w:val="00B651AF"/>
    <w:rsid w:val="00B652F2"/>
    <w:rsid w:val="00B6538C"/>
    <w:rsid w:val="00B653FB"/>
    <w:rsid w:val="00B65620"/>
    <w:rsid w:val="00B656B7"/>
    <w:rsid w:val="00B656C6"/>
    <w:rsid w:val="00B6579A"/>
    <w:rsid w:val="00B65A46"/>
    <w:rsid w:val="00B65B0D"/>
    <w:rsid w:val="00B65E35"/>
    <w:rsid w:val="00B66016"/>
    <w:rsid w:val="00B6609D"/>
    <w:rsid w:val="00B662A8"/>
    <w:rsid w:val="00B66387"/>
    <w:rsid w:val="00B664D0"/>
    <w:rsid w:val="00B665B4"/>
    <w:rsid w:val="00B667B1"/>
    <w:rsid w:val="00B6684B"/>
    <w:rsid w:val="00B668AD"/>
    <w:rsid w:val="00B66967"/>
    <w:rsid w:val="00B6715B"/>
    <w:rsid w:val="00B671A5"/>
    <w:rsid w:val="00B675C0"/>
    <w:rsid w:val="00B6787C"/>
    <w:rsid w:val="00B678E7"/>
    <w:rsid w:val="00B679F4"/>
    <w:rsid w:val="00B67CC9"/>
    <w:rsid w:val="00B70085"/>
    <w:rsid w:val="00B70311"/>
    <w:rsid w:val="00B7041C"/>
    <w:rsid w:val="00B705E9"/>
    <w:rsid w:val="00B70782"/>
    <w:rsid w:val="00B70AD6"/>
    <w:rsid w:val="00B70B5A"/>
    <w:rsid w:val="00B70DF0"/>
    <w:rsid w:val="00B70E12"/>
    <w:rsid w:val="00B70EDE"/>
    <w:rsid w:val="00B70F3F"/>
    <w:rsid w:val="00B7101A"/>
    <w:rsid w:val="00B71289"/>
    <w:rsid w:val="00B71500"/>
    <w:rsid w:val="00B7155A"/>
    <w:rsid w:val="00B71693"/>
    <w:rsid w:val="00B71730"/>
    <w:rsid w:val="00B71819"/>
    <w:rsid w:val="00B7186F"/>
    <w:rsid w:val="00B71883"/>
    <w:rsid w:val="00B7198C"/>
    <w:rsid w:val="00B71A1B"/>
    <w:rsid w:val="00B71A4D"/>
    <w:rsid w:val="00B71ACB"/>
    <w:rsid w:val="00B71B44"/>
    <w:rsid w:val="00B71E05"/>
    <w:rsid w:val="00B72260"/>
    <w:rsid w:val="00B72368"/>
    <w:rsid w:val="00B724F4"/>
    <w:rsid w:val="00B7267E"/>
    <w:rsid w:val="00B72738"/>
    <w:rsid w:val="00B727D2"/>
    <w:rsid w:val="00B72C2C"/>
    <w:rsid w:val="00B72CCA"/>
    <w:rsid w:val="00B72D46"/>
    <w:rsid w:val="00B73138"/>
    <w:rsid w:val="00B733A7"/>
    <w:rsid w:val="00B73433"/>
    <w:rsid w:val="00B73593"/>
    <w:rsid w:val="00B7372E"/>
    <w:rsid w:val="00B73843"/>
    <w:rsid w:val="00B73880"/>
    <w:rsid w:val="00B73A83"/>
    <w:rsid w:val="00B7451D"/>
    <w:rsid w:val="00B74566"/>
    <w:rsid w:val="00B74622"/>
    <w:rsid w:val="00B74744"/>
    <w:rsid w:val="00B747D5"/>
    <w:rsid w:val="00B74830"/>
    <w:rsid w:val="00B74A12"/>
    <w:rsid w:val="00B74A96"/>
    <w:rsid w:val="00B74ADE"/>
    <w:rsid w:val="00B74F77"/>
    <w:rsid w:val="00B7534D"/>
    <w:rsid w:val="00B75406"/>
    <w:rsid w:val="00B75417"/>
    <w:rsid w:val="00B7543C"/>
    <w:rsid w:val="00B75541"/>
    <w:rsid w:val="00B75676"/>
    <w:rsid w:val="00B75944"/>
    <w:rsid w:val="00B759E8"/>
    <w:rsid w:val="00B75FC9"/>
    <w:rsid w:val="00B76242"/>
    <w:rsid w:val="00B76393"/>
    <w:rsid w:val="00B76658"/>
    <w:rsid w:val="00B76820"/>
    <w:rsid w:val="00B768B2"/>
    <w:rsid w:val="00B76A8C"/>
    <w:rsid w:val="00B76AEB"/>
    <w:rsid w:val="00B76B17"/>
    <w:rsid w:val="00B76B7E"/>
    <w:rsid w:val="00B76C8B"/>
    <w:rsid w:val="00B76DE4"/>
    <w:rsid w:val="00B76EA4"/>
    <w:rsid w:val="00B76F37"/>
    <w:rsid w:val="00B76FEB"/>
    <w:rsid w:val="00B773AE"/>
    <w:rsid w:val="00B774AE"/>
    <w:rsid w:val="00B7771B"/>
    <w:rsid w:val="00B77769"/>
    <w:rsid w:val="00B7777A"/>
    <w:rsid w:val="00B77A67"/>
    <w:rsid w:val="00B77E80"/>
    <w:rsid w:val="00B80096"/>
    <w:rsid w:val="00B80531"/>
    <w:rsid w:val="00B8128D"/>
    <w:rsid w:val="00B812A8"/>
    <w:rsid w:val="00B813A2"/>
    <w:rsid w:val="00B819C4"/>
    <w:rsid w:val="00B819E3"/>
    <w:rsid w:val="00B81FAA"/>
    <w:rsid w:val="00B82636"/>
    <w:rsid w:val="00B8283F"/>
    <w:rsid w:val="00B8285E"/>
    <w:rsid w:val="00B82AFF"/>
    <w:rsid w:val="00B82C8A"/>
    <w:rsid w:val="00B82CDE"/>
    <w:rsid w:val="00B82D64"/>
    <w:rsid w:val="00B82D7A"/>
    <w:rsid w:val="00B82F3E"/>
    <w:rsid w:val="00B830AF"/>
    <w:rsid w:val="00B83192"/>
    <w:rsid w:val="00B831FA"/>
    <w:rsid w:val="00B8325E"/>
    <w:rsid w:val="00B8332E"/>
    <w:rsid w:val="00B839E8"/>
    <w:rsid w:val="00B83CD0"/>
    <w:rsid w:val="00B83F64"/>
    <w:rsid w:val="00B83FCD"/>
    <w:rsid w:val="00B8421B"/>
    <w:rsid w:val="00B84288"/>
    <w:rsid w:val="00B847F1"/>
    <w:rsid w:val="00B848A8"/>
    <w:rsid w:val="00B84C04"/>
    <w:rsid w:val="00B84EF6"/>
    <w:rsid w:val="00B84FD6"/>
    <w:rsid w:val="00B850B6"/>
    <w:rsid w:val="00B851B4"/>
    <w:rsid w:val="00B851E8"/>
    <w:rsid w:val="00B8552E"/>
    <w:rsid w:val="00B85825"/>
    <w:rsid w:val="00B858DA"/>
    <w:rsid w:val="00B85A89"/>
    <w:rsid w:val="00B85AF8"/>
    <w:rsid w:val="00B85B26"/>
    <w:rsid w:val="00B85BE9"/>
    <w:rsid w:val="00B85CD8"/>
    <w:rsid w:val="00B85DAB"/>
    <w:rsid w:val="00B85F64"/>
    <w:rsid w:val="00B85FAF"/>
    <w:rsid w:val="00B86029"/>
    <w:rsid w:val="00B86737"/>
    <w:rsid w:val="00B8686E"/>
    <w:rsid w:val="00B86A09"/>
    <w:rsid w:val="00B86A22"/>
    <w:rsid w:val="00B870F4"/>
    <w:rsid w:val="00B871BB"/>
    <w:rsid w:val="00B87392"/>
    <w:rsid w:val="00B87499"/>
    <w:rsid w:val="00B87B6B"/>
    <w:rsid w:val="00B87D31"/>
    <w:rsid w:val="00B87D43"/>
    <w:rsid w:val="00B87EE4"/>
    <w:rsid w:val="00B901A9"/>
    <w:rsid w:val="00B905DF"/>
    <w:rsid w:val="00B90849"/>
    <w:rsid w:val="00B909C5"/>
    <w:rsid w:val="00B90A27"/>
    <w:rsid w:val="00B90C60"/>
    <w:rsid w:val="00B90C81"/>
    <w:rsid w:val="00B90CE8"/>
    <w:rsid w:val="00B90F08"/>
    <w:rsid w:val="00B90F3A"/>
    <w:rsid w:val="00B90FC2"/>
    <w:rsid w:val="00B91462"/>
    <w:rsid w:val="00B914F2"/>
    <w:rsid w:val="00B91515"/>
    <w:rsid w:val="00B918F5"/>
    <w:rsid w:val="00B91D31"/>
    <w:rsid w:val="00B91E34"/>
    <w:rsid w:val="00B92461"/>
    <w:rsid w:val="00B92A0C"/>
    <w:rsid w:val="00B92A12"/>
    <w:rsid w:val="00B92BC0"/>
    <w:rsid w:val="00B92BFC"/>
    <w:rsid w:val="00B92EFA"/>
    <w:rsid w:val="00B92F13"/>
    <w:rsid w:val="00B933E2"/>
    <w:rsid w:val="00B93D1C"/>
    <w:rsid w:val="00B93D33"/>
    <w:rsid w:val="00B93DE4"/>
    <w:rsid w:val="00B93FB5"/>
    <w:rsid w:val="00B9407E"/>
    <w:rsid w:val="00B940AB"/>
    <w:rsid w:val="00B9438B"/>
    <w:rsid w:val="00B94803"/>
    <w:rsid w:val="00B948D4"/>
    <w:rsid w:val="00B94A9C"/>
    <w:rsid w:val="00B94BA3"/>
    <w:rsid w:val="00B94DA2"/>
    <w:rsid w:val="00B94EA8"/>
    <w:rsid w:val="00B9503B"/>
    <w:rsid w:val="00B950E6"/>
    <w:rsid w:val="00B95167"/>
    <w:rsid w:val="00B95256"/>
    <w:rsid w:val="00B9543B"/>
    <w:rsid w:val="00B95469"/>
    <w:rsid w:val="00B95485"/>
    <w:rsid w:val="00B9557B"/>
    <w:rsid w:val="00B958DB"/>
    <w:rsid w:val="00B95CC9"/>
    <w:rsid w:val="00B95F3A"/>
    <w:rsid w:val="00B96000"/>
    <w:rsid w:val="00B96033"/>
    <w:rsid w:val="00B96490"/>
    <w:rsid w:val="00B9653B"/>
    <w:rsid w:val="00B96BAD"/>
    <w:rsid w:val="00B96D44"/>
    <w:rsid w:val="00B96D75"/>
    <w:rsid w:val="00B96DAB"/>
    <w:rsid w:val="00B96E45"/>
    <w:rsid w:val="00B96FC5"/>
    <w:rsid w:val="00B97075"/>
    <w:rsid w:val="00B9723A"/>
    <w:rsid w:val="00B97528"/>
    <w:rsid w:val="00B97635"/>
    <w:rsid w:val="00B9783F"/>
    <w:rsid w:val="00B978A5"/>
    <w:rsid w:val="00B979F2"/>
    <w:rsid w:val="00B97CA2"/>
    <w:rsid w:val="00B97E54"/>
    <w:rsid w:val="00B97E65"/>
    <w:rsid w:val="00B97F4E"/>
    <w:rsid w:val="00BA0054"/>
    <w:rsid w:val="00BA0251"/>
    <w:rsid w:val="00BA0306"/>
    <w:rsid w:val="00BA0438"/>
    <w:rsid w:val="00BA08C3"/>
    <w:rsid w:val="00BA091A"/>
    <w:rsid w:val="00BA0969"/>
    <w:rsid w:val="00BA0AF5"/>
    <w:rsid w:val="00BA0EBB"/>
    <w:rsid w:val="00BA0FD5"/>
    <w:rsid w:val="00BA100C"/>
    <w:rsid w:val="00BA1053"/>
    <w:rsid w:val="00BA1809"/>
    <w:rsid w:val="00BA1950"/>
    <w:rsid w:val="00BA1A22"/>
    <w:rsid w:val="00BA1CF2"/>
    <w:rsid w:val="00BA1FB5"/>
    <w:rsid w:val="00BA233B"/>
    <w:rsid w:val="00BA24E3"/>
    <w:rsid w:val="00BA259C"/>
    <w:rsid w:val="00BA2607"/>
    <w:rsid w:val="00BA28D1"/>
    <w:rsid w:val="00BA2913"/>
    <w:rsid w:val="00BA29DF"/>
    <w:rsid w:val="00BA29FE"/>
    <w:rsid w:val="00BA2FB1"/>
    <w:rsid w:val="00BA306E"/>
    <w:rsid w:val="00BA32C5"/>
    <w:rsid w:val="00BA3717"/>
    <w:rsid w:val="00BA3931"/>
    <w:rsid w:val="00BA3CD6"/>
    <w:rsid w:val="00BA3D2E"/>
    <w:rsid w:val="00BA3E13"/>
    <w:rsid w:val="00BA3E3C"/>
    <w:rsid w:val="00BA4049"/>
    <w:rsid w:val="00BA42EB"/>
    <w:rsid w:val="00BA476A"/>
    <w:rsid w:val="00BA47F0"/>
    <w:rsid w:val="00BA4A10"/>
    <w:rsid w:val="00BA4B05"/>
    <w:rsid w:val="00BA4C4F"/>
    <w:rsid w:val="00BA4CF0"/>
    <w:rsid w:val="00BA4E11"/>
    <w:rsid w:val="00BA5122"/>
    <w:rsid w:val="00BA578B"/>
    <w:rsid w:val="00BA57DC"/>
    <w:rsid w:val="00BA5BB7"/>
    <w:rsid w:val="00BA5DD7"/>
    <w:rsid w:val="00BA6177"/>
    <w:rsid w:val="00BA6250"/>
    <w:rsid w:val="00BA62C2"/>
    <w:rsid w:val="00BA634B"/>
    <w:rsid w:val="00BA697D"/>
    <w:rsid w:val="00BA6F0C"/>
    <w:rsid w:val="00BA7217"/>
    <w:rsid w:val="00BA74AF"/>
    <w:rsid w:val="00BA74DE"/>
    <w:rsid w:val="00BA77C2"/>
    <w:rsid w:val="00BA7BD6"/>
    <w:rsid w:val="00BB0157"/>
    <w:rsid w:val="00BB022D"/>
    <w:rsid w:val="00BB0281"/>
    <w:rsid w:val="00BB07AB"/>
    <w:rsid w:val="00BB07BE"/>
    <w:rsid w:val="00BB0896"/>
    <w:rsid w:val="00BB0BDF"/>
    <w:rsid w:val="00BB0BE0"/>
    <w:rsid w:val="00BB0EF5"/>
    <w:rsid w:val="00BB1001"/>
    <w:rsid w:val="00BB1148"/>
    <w:rsid w:val="00BB134F"/>
    <w:rsid w:val="00BB1383"/>
    <w:rsid w:val="00BB15BB"/>
    <w:rsid w:val="00BB1A49"/>
    <w:rsid w:val="00BB1EAE"/>
    <w:rsid w:val="00BB227C"/>
    <w:rsid w:val="00BB24A0"/>
    <w:rsid w:val="00BB267D"/>
    <w:rsid w:val="00BB278E"/>
    <w:rsid w:val="00BB2991"/>
    <w:rsid w:val="00BB2AA3"/>
    <w:rsid w:val="00BB2B9B"/>
    <w:rsid w:val="00BB2D12"/>
    <w:rsid w:val="00BB2D68"/>
    <w:rsid w:val="00BB3116"/>
    <w:rsid w:val="00BB3122"/>
    <w:rsid w:val="00BB331A"/>
    <w:rsid w:val="00BB338F"/>
    <w:rsid w:val="00BB3394"/>
    <w:rsid w:val="00BB352A"/>
    <w:rsid w:val="00BB387F"/>
    <w:rsid w:val="00BB3A1D"/>
    <w:rsid w:val="00BB3B8C"/>
    <w:rsid w:val="00BB3C99"/>
    <w:rsid w:val="00BB4093"/>
    <w:rsid w:val="00BB40DE"/>
    <w:rsid w:val="00BB4463"/>
    <w:rsid w:val="00BB447C"/>
    <w:rsid w:val="00BB4751"/>
    <w:rsid w:val="00BB498D"/>
    <w:rsid w:val="00BB4B4C"/>
    <w:rsid w:val="00BB4BCE"/>
    <w:rsid w:val="00BB4C20"/>
    <w:rsid w:val="00BB4DF6"/>
    <w:rsid w:val="00BB50D6"/>
    <w:rsid w:val="00BB52A4"/>
    <w:rsid w:val="00BB57CF"/>
    <w:rsid w:val="00BB5A90"/>
    <w:rsid w:val="00BB5D7B"/>
    <w:rsid w:val="00BB5E24"/>
    <w:rsid w:val="00BB60E2"/>
    <w:rsid w:val="00BB621E"/>
    <w:rsid w:val="00BB62DE"/>
    <w:rsid w:val="00BB63D8"/>
    <w:rsid w:val="00BB6640"/>
    <w:rsid w:val="00BB6713"/>
    <w:rsid w:val="00BB69E0"/>
    <w:rsid w:val="00BB6EDD"/>
    <w:rsid w:val="00BB73EA"/>
    <w:rsid w:val="00BB7529"/>
    <w:rsid w:val="00BB76C8"/>
    <w:rsid w:val="00BB7C63"/>
    <w:rsid w:val="00BC02B6"/>
    <w:rsid w:val="00BC03F1"/>
    <w:rsid w:val="00BC08A2"/>
    <w:rsid w:val="00BC0A1B"/>
    <w:rsid w:val="00BC0A68"/>
    <w:rsid w:val="00BC0B5D"/>
    <w:rsid w:val="00BC0CCC"/>
    <w:rsid w:val="00BC0D9C"/>
    <w:rsid w:val="00BC0F64"/>
    <w:rsid w:val="00BC127E"/>
    <w:rsid w:val="00BC158B"/>
    <w:rsid w:val="00BC1852"/>
    <w:rsid w:val="00BC1AA7"/>
    <w:rsid w:val="00BC1E1B"/>
    <w:rsid w:val="00BC1E7F"/>
    <w:rsid w:val="00BC1F9C"/>
    <w:rsid w:val="00BC20CF"/>
    <w:rsid w:val="00BC2156"/>
    <w:rsid w:val="00BC2240"/>
    <w:rsid w:val="00BC23C3"/>
    <w:rsid w:val="00BC24AD"/>
    <w:rsid w:val="00BC25B5"/>
    <w:rsid w:val="00BC2762"/>
    <w:rsid w:val="00BC2782"/>
    <w:rsid w:val="00BC2814"/>
    <w:rsid w:val="00BC2AE5"/>
    <w:rsid w:val="00BC2FF0"/>
    <w:rsid w:val="00BC30AC"/>
    <w:rsid w:val="00BC3278"/>
    <w:rsid w:val="00BC3471"/>
    <w:rsid w:val="00BC347A"/>
    <w:rsid w:val="00BC3612"/>
    <w:rsid w:val="00BC36DD"/>
    <w:rsid w:val="00BC377C"/>
    <w:rsid w:val="00BC3880"/>
    <w:rsid w:val="00BC3C49"/>
    <w:rsid w:val="00BC42D9"/>
    <w:rsid w:val="00BC433F"/>
    <w:rsid w:val="00BC45F6"/>
    <w:rsid w:val="00BC493A"/>
    <w:rsid w:val="00BC4D24"/>
    <w:rsid w:val="00BC50F2"/>
    <w:rsid w:val="00BC5256"/>
    <w:rsid w:val="00BC52C9"/>
    <w:rsid w:val="00BC5432"/>
    <w:rsid w:val="00BC54C9"/>
    <w:rsid w:val="00BC565C"/>
    <w:rsid w:val="00BC56EE"/>
    <w:rsid w:val="00BC574A"/>
    <w:rsid w:val="00BC5753"/>
    <w:rsid w:val="00BC5768"/>
    <w:rsid w:val="00BC5802"/>
    <w:rsid w:val="00BC5BFF"/>
    <w:rsid w:val="00BC5DF9"/>
    <w:rsid w:val="00BC5F7A"/>
    <w:rsid w:val="00BC5FEC"/>
    <w:rsid w:val="00BC61B4"/>
    <w:rsid w:val="00BC6217"/>
    <w:rsid w:val="00BC6542"/>
    <w:rsid w:val="00BC6564"/>
    <w:rsid w:val="00BC6842"/>
    <w:rsid w:val="00BC6935"/>
    <w:rsid w:val="00BC6B39"/>
    <w:rsid w:val="00BC6C4A"/>
    <w:rsid w:val="00BC6F90"/>
    <w:rsid w:val="00BC71C2"/>
    <w:rsid w:val="00BC7287"/>
    <w:rsid w:val="00BC7345"/>
    <w:rsid w:val="00BC73AB"/>
    <w:rsid w:val="00BC7478"/>
    <w:rsid w:val="00BC76DF"/>
    <w:rsid w:val="00BC7716"/>
    <w:rsid w:val="00BC77C3"/>
    <w:rsid w:val="00BC7A00"/>
    <w:rsid w:val="00BC7AFB"/>
    <w:rsid w:val="00BC7B0C"/>
    <w:rsid w:val="00BC7CDA"/>
    <w:rsid w:val="00BC7CE4"/>
    <w:rsid w:val="00BC7E27"/>
    <w:rsid w:val="00BC7EAD"/>
    <w:rsid w:val="00BD0030"/>
    <w:rsid w:val="00BD0091"/>
    <w:rsid w:val="00BD00F4"/>
    <w:rsid w:val="00BD034B"/>
    <w:rsid w:val="00BD0615"/>
    <w:rsid w:val="00BD06BA"/>
    <w:rsid w:val="00BD0713"/>
    <w:rsid w:val="00BD074D"/>
    <w:rsid w:val="00BD07DF"/>
    <w:rsid w:val="00BD0845"/>
    <w:rsid w:val="00BD08B1"/>
    <w:rsid w:val="00BD0913"/>
    <w:rsid w:val="00BD0960"/>
    <w:rsid w:val="00BD099E"/>
    <w:rsid w:val="00BD09F2"/>
    <w:rsid w:val="00BD0C06"/>
    <w:rsid w:val="00BD0C1F"/>
    <w:rsid w:val="00BD0D49"/>
    <w:rsid w:val="00BD122A"/>
    <w:rsid w:val="00BD19CD"/>
    <w:rsid w:val="00BD1B49"/>
    <w:rsid w:val="00BD1CFC"/>
    <w:rsid w:val="00BD20BE"/>
    <w:rsid w:val="00BD250B"/>
    <w:rsid w:val="00BD251C"/>
    <w:rsid w:val="00BD2748"/>
    <w:rsid w:val="00BD2BBF"/>
    <w:rsid w:val="00BD2EBB"/>
    <w:rsid w:val="00BD36F3"/>
    <w:rsid w:val="00BD39A0"/>
    <w:rsid w:val="00BD3C98"/>
    <w:rsid w:val="00BD3D21"/>
    <w:rsid w:val="00BD3EAA"/>
    <w:rsid w:val="00BD413D"/>
    <w:rsid w:val="00BD437E"/>
    <w:rsid w:val="00BD4471"/>
    <w:rsid w:val="00BD455E"/>
    <w:rsid w:val="00BD4681"/>
    <w:rsid w:val="00BD47F0"/>
    <w:rsid w:val="00BD48F5"/>
    <w:rsid w:val="00BD4B68"/>
    <w:rsid w:val="00BD4C36"/>
    <w:rsid w:val="00BD5019"/>
    <w:rsid w:val="00BD5113"/>
    <w:rsid w:val="00BD5322"/>
    <w:rsid w:val="00BD5D18"/>
    <w:rsid w:val="00BD5DCE"/>
    <w:rsid w:val="00BD5F10"/>
    <w:rsid w:val="00BD6268"/>
    <w:rsid w:val="00BD631D"/>
    <w:rsid w:val="00BD638B"/>
    <w:rsid w:val="00BD6978"/>
    <w:rsid w:val="00BD6C0C"/>
    <w:rsid w:val="00BD6C58"/>
    <w:rsid w:val="00BD6E2E"/>
    <w:rsid w:val="00BD6F04"/>
    <w:rsid w:val="00BD707B"/>
    <w:rsid w:val="00BD70E7"/>
    <w:rsid w:val="00BD71A3"/>
    <w:rsid w:val="00BD723D"/>
    <w:rsid w:val="00BD72D2"/>
    <w:rsid w:val="00BD75D9"/>
    <w:rsid w:val="00BD75F8"/>
    <w:rsid w:val="00BD7674"/>
    <w:rsid w:val="00BD76CE"/>
    <w:rsid w:val="00BD7A38"/>
    <w:rsid w:val="00BD7D9D"/>
    <w:rsid w:val="00BE0761"/>
    <w:rsid w:val="00BE0795"/>
    <w:rsid w:val="00BE09C4"/>
    <w:rsid w:val="00BE0B36"/>
    <w:rsid w:val="00BE12BB"/>
    <w:rsid w:val="00BE146E"/>
    <w:rsid w:val="00BE1918"/>
    <w:rsid w:val="00BE198D"/>
    <w:rsid w:val="00BE1AC1"/>
    <w:rsid w:val="00BE1BC8"/>
    <w:rsid w:val="00BE1D0C"/>
    <w:rsid w:val="00BE1E33"/>
    <w:rsid w:val="00BE206B"/>
    <w:rsid w:val="00BE219A"/>
    <w:rsid w:val="00BE222D"/>
    <w:rsid w:val="00BE22E2"/>
    <w:rsid w:val="00BE238C"/>
    <w:rsid w:val="00BE2422"/>
    <w:rsid w:val="00BE25A4"/>
    <w:rsid w:val="00BE281B"/>
    <w:rsid w:val="00BE2AB4"/>
    <w:rsid w:val="00BE2DCA"/>
    <w:rsid w:val="00BE30B4"/>
    <w:rsid w:val="00BE3389"/>
    <w:rsid w:val="00BE3B3D"/>
    <w:rsid w:val="00BE3D39"/>
    <w:rsid w:val="00BE3EED"/>
    <w:rsid w:val="00BE4050"/>
    <w:rsid w:val="00BE420C"/>
    <w:rsid w:val="00BE4533"/>
    <w:rsid w:val="00BE46AB"/>
    <w:rsid w:val="00BE4730"/>
    <w:rsid w:val="00BE4777"/>
    <w:rsid w:val="00BE487C"/>
    <w:rsid w:val="00BE48AB"/>
    <w:rsid w:val="00BE4917"/>
    <w:rsid w:val="00BE4AA8"/>
    <w:rsid w:val="00BE4B51"/>
    <w:rsid w:val="00BE511B"/>
    <w:rsid w:val="00BE516A"/>
    <w:rsid w:val="00BE51BF"/>
    <w:rsid w:val="00BE52DF"/>
    <w:rsid w:val="00BE52E3"/>
    <w:rsid w:val="00BE5397"/>
    <w:rsid w:val="00BE56B3"/>
    <w:rsid w:val="00BE58F8"/>
    <w:rsid w:val="00BE5AC5"/>
    <w:rsid w:val="00BE5B11"/>
    <w:rsid w:val="00BE5D96"/>
    <w:rsid w:val="00BE5E1F"/>
    <w:rsid w:val="00BE5E43"/>
    <w:rsid w:val="00BE5F69"/>
    <w:rsid w:val="00BE60FE"/>
    <w:rsid w:val="00BE6174"/>
    <w:rsid w:val="00BE61E4"/>
    <w:rsid w:val="00BE63AE"/>
    <w:rsid w:val="00BE671A"/>
    <w:rsid w:val="00BE6B13"/>
    <w:rsid w:val="00BE71DC"/>
    <w:rsid w:val="00BE7926"/>
    <w:rsid w:val="00BE7AA7"/>
    <w:rsid w:val="00BE7C7C"/>
    <w:rsid w:val="00BE7CB4"/>
    <w:rsid w:val="00BE7EEE"/>
    <w:rsid w:val="00BE7FA1"/>
    <w:rsid w:val="00BF021E"/>
    <w:rsid w:val="00BF036A"/>
    <w:rsid w:val="00BF0404"/>
    <w:rsid w:val="00BF047A"/>
    <w:rsid w:val="00BF0565"/>
    <w:rsid w:val="00BF05B2"/>
    <w:rsid w:val="00BF068D"/>
    <w:rsid w:val="00BF07CD"/>
    <w:rsid w:val="00BF08C6"/>
    <w:rsid w:val="00BF0989"/>
    <w:rsid w:val="00BF0AC0"/>
    <w:rsid w:val="00BF0C4B"/>
    <w:rsid w:val="00BF0D2D"/>
    <w:rsid w:val="00BF0DB7"/>
    <w:rsid w:val="00BF1087"/>
    <w:rsid w:val="00BF14CA"/>
    <w:rsid w:val="00BF14D2"/>
    <w:rsid w:val="00BF15DF"/>
    <w:rsid w:val="00BF1C41"/>
    <w:rsid w:val="00BF1F05"/>
    <w:rsid w:val="00BF23D6"/>
    <w:rsid w:val="00BF244E"/>
    <w:rsid w:val="00BF249F"/>
    <w:rsid w:val="00BF27A3"/>
    <w:rsid w:val="00BF2B1B"/>
    <w:rsid w:val="00BF2CD1"/>
    <w:rsid w:val="00BF2F58"/>
    <w:rsid w:val="00BF3012"/>
    <w:rsid w:val="00BF312B"/>
    <w:rsid w:val="00BF32DC"/>
    <w:rsid w:val="00BF3303"/>
    <w:rsid w:val="00BF3487"/>
    <w:rsid w:val="00BF378F"/>
    <w:rsid w:val="00BF3D8F"/>
    <w:rsid w:val="00BF3DC1"/>
    <w:rsid w:val="00BF3E5D"/>
    <w:rsid w:val="00BF433B"/>
    <w:rsid w:val="00BF43D7"/>
    <w:rsid w:val="00BF496D"/>
    <w:rsid w:val="00BF4B2F"/>
    <w:rsid w:val="00BF4D2C"/>
    <w:rsid w:val="00BF4D7B"/>
    <w:rsid w:val="00BF4E4B"/>
    <w:rsid w:val="00BF4FE7"/>
    <w:rsid w:val="00BF503A"/>
    <w:rsid w:val="00BF51A0"/>
    <w:rsid w:val="00BF51E1"/>
    <w:rsid w:val="00BF53C1"/>
    <w:rsid w:val="00BF59AE"/>
    <w:rsid w:val="00BF5A24"/>
    <w:rsid w:val="00BF5B2D"/>
    <w:rsid w:val="00BF615E"/>
    <w:rsid w:val="00BF620D"/>
    <w:rsid w:val="00BF6260"/>
    <w:rsid w:val="00BF63AB"/>
    <w:rsid w:val="00BF6490"/>
    <w:rsid w:val="00BF695C"/>
    <w:rsid w:val="00BF75B6"/>
    <w:rsid w:val="00BF7876"/>
    <w:rsid w:val="00BF795F"/>
    <w:rsid w:val="00BF7BF7"/>
    <w:rsid w:val="00BF7D32"/>
    <w:rsid w:val="00BF7DEE"/>
    <w:rsid w:val="00BF7EFB"/>
    <w:rsid w:val="00BF7F22"/>
    <w:rsid w:val="00C0001C"/>
    <w:rsid w:val="00C003E9"/>
    <w:rsid w:val="00C0048A"/>
    <w:rsid w:val="00C0050C"/>
    <w:rsid w:val="00C00579"/>
    <w:rsid w:val="00C007EA"/>
    <w:rsid w:val="00C008F6"/>
    <w:rsid w:val="00C00C4A"/>
    <w:rsid w:val="00C00CCF"/>
    <w:rsid w:val="00C0116F"/>
    <w:rsid w:val="00C0147A"/>
    <w:rsid w:val="00C015DA"/>
    <w:rsid w:val="00C016A9"/>
    <w:rsid w:val="00C016B3"/>
    <w:rsid w:val="00C01886"/>
    <w:rsid w:val="00C01904"/>
    <w:rsid w:val="00C019B1"/>
    <w:rsid w:val="00C01A76"/>
    <w:rsid w:val="00C01C1B"/>
    <w:rsid w:val="00C01D18"/>
    <w:rsid w:val="00C01F6B"/>
    <w:rsid w:val="00C02035"/>
    <w:rsid w:val="00C020F8"/>
    <w:rsid w:val="00C022CD"/>
    <w:rsid w:val="00C02623"/>
    <w:rsid w:val="00C0279B"/>
    <w:rsid w:val="00C02A62"/>
    <w:rsid w:val="00C02CD8"/>
    <w:rsid w:val="00C02F0D"/>
    <w:rsid w:val="00C02F5A"/>
    <w:rsid w:val="00C030A6"/>
    <w:rsid w:val="00C0324A"/>
    <w:rsid w:val="00C03262"/>
    <w:rsid w:val="00C03306"/>
    <w:rsid w:val="00C0376F"/>
    <w:rsid w:val="00C03B19"/>
    <w:rsid w:val="00C03D52"/>
    <w:rsid w:val="00C04006"/>
    <w:rsid w:val="00C04158"/>
    <w:rsid w:val="00C04341"/>
    <w:rsid w:val="00C04556"/>
    <w:rsid w:val="00C04668"/>
    <w:rsid w:val="00C048E7"/>
    <w:rsid w:val="00C0496E"/>
    <w:rsid w:val="00C051DA"/>
    <w:rsid w:val="00C05358"/>
    <w:rsid w:val="00C054A8"/>
    <w:rsid w:val="00C05755"/>
    <w:rsid w:val="00C058A7"/>
    <w:rsid w:val="00C059AD"/>
    <w:rsid w:val="00C05A02"/>
    <w:rsid w:val="00C05B15"/>
    <w:rsid w:val="00C05C1F"/>
    <w:rsid w:val="00C05EE3"/>
    <w:rsid w:val="00C061D7"/>
    <w:rsid w:val="00C06219"/>
    <w:rsid w:val="00C062C2"/>
    <w:rsid w:val="00C06335"/>
    <w:rsid w:val="00C06494"/>
    <w:rsid w:val="00C066C7"/>
    <w:rsid w:val="00C06711"/>
    <w:rsid w:val="00C0671C"/>
    <w:rsid w:val="00C068D8"/>
    <w:rsid w:val="00C0693E"/>
    <w:rsid w:val="00C06AC2"/>
    <w:rsid w:val="00C06AE1"/>
    <w:rsid w:val="00C06E85"/>
    <w:rsid w:val="00C06EE7"/>
    <w:rsid w:val="00C070A7"/>
    <w:rsid w:val="00C071B8"/>
    <w:rsid w:val="00C07293"/>
    <w:rsid w:val="00C072C9"/>
    <w:rsid w:val="00C07435"/>
    <w:rsid w:val="00C07B72"/>
    <w:rsid w:val="00C07B8E"/>
    <w:rsid w:val="00C07C70"/>
    <w:rsid w:val="00C07C93"/>
    <w:rsid w:val="00C10303"/>
    <w:rsid w:val="00C103B7"/>
    <w:rsid w:val="00C10406"/>
    <w:rsid w:val="00C10A05"/>
    <w:rsid w:val="00C10B0C"/>
    <w:rsid w:val="00C10BA9"/>
    <w:rsid w:val="00C10C4B"/>
    <w:rsid w:val="00C10D9C"/>
    <w:rsid w:val="00C11004"/>
    <w:rsid w:val="00C1100B"/>
    <w:rsid w:val="00C11086"/>
    <w:rsid w:val="00C1159C"/>
    <w:rsid w:val="00C11754"/>
    <w:rsid w:val="00C1192A"/>
    <w:rsid w:val="00C11E13"/>
    <w:rsid w:val="00C11F24"/>
    <w:rsid w:val="00C1206C"/>
    <w:rsid w:val="00C120FE"/>
    <w:rsid w:val="00C12283"/>
    <w:rsid w:val="00C12498"/>
    <w:rsid w:val="00C12635"/>
    <w:rsid w:val="00C126CA"/>
    <w:rsid w:val="00C1289F"/>
    <w:rsid w:val="00C128D5"/>
    <w:rsid w:val="00C129B8"/>
    <w:rsid w:val="00C12B89"/>
    <w:rsid w:val="00C12B9A"/>
    <w:rsid w:val="00C12C31"/>
    <w:rsid w:val="00C12CE2"/>
    <w:rsid w:val="00C12D52"/>
    <w:rsid w:val="00C12E4A"/>
    <w:rsid w:val="00C1332A"/>
    <w:rsid w:val="00C1368C"/>
    <w:rsid w:val="00C13851"/>
    <w:rsid w:val="00C13A69"/>
    <w:rsid w:val="00C13D2F"/>
    <w:rsid w:val="00C13F81"/>
    <w:rsid w:val="00C14000"/>
    <w:rsid w:val="00C143DE"/>
    <w:rsid w:val="00C14599"/>
    <w:rsid w:val="00C14870"/>
    <w:rsid w:val="00C14AB2"/>
    <w:rsid w:val="00C14B5F"/>
    <w:rsid w:val="00C14BB0"/>
    <w:rsid w:val="00C14D06"/>
    <w:rsid w:val="00C1518E"/>
    <w:rsid w:val="00C158F6"/>
    <w:rsid w:val="00C15A54"/>
    <w:rsid w:val="00C15AD4"/>
    <w:rsid w:val="00C15CB9"/>
    <w:rsid w:val="00C15E88"/>
    <w:rsid w:val="00C162E6"/>
    <w:rsid w:val="00C1636C"/>
    <w:rsid w:val="00C166F0"/>
    <w:rsid w:val="00C16745"/>
    <w:rsid w:val="00C168F9"/>
    <w:rsid w:val="00C16BAC"/>
    <w:rsid w:val="00C16CBD"/>
    <w:rsid w:val="00C16F42"/>
    <w:rsid w:val="00C171E5"/>
    <w:rsid w:val="00C17342"/>
    <w:rsid w:val="00C17739"/>
    <w:rsid w:val="00C17785"/>
    <w:rsid w:val="00C178D3"/>
    <w:rsid w:val="00C178FA"/>
    <w:rsid w:val="00C17C14"/>
    <w:rsid w:val="00C17DFD"/>
    <w:rsid w:val="00C17EDA"/>
    <w:rsid w:val="00C17F17"/>
    <w:rsid w:val="00C17F98"/>
    <w:rsid w:val="00C20684"/>
    <w:rsid w:val="00C206A1"/>
    <w:rsid w:val="00C20942"/>
    <w:rsid w:val="00C20AB9"/>
    <w:rsid w:val="00C20CCE"/>
    <w:rsid w:val="00C20D65"/>
    <w:rsid w:val="00C20DBB"/>
    <w:rsid w:val="00C20E94"/>
    <w:rsid w:val="00C210BD"/>
    <w:rsid w:val="00C212A3"/>
    <w:rsid w:val="00C2142D"/>
    <w:rsid w:val="00C21607"/>
    <w:rsid w:val="00C219A7"/>
    <w:rsid w:val="00C21C52"/>
    <w:rsid w:val="00C21D67"/>
    <w:rsid w:val="00C22249"/>
    <w:rsid w:val="00C224D0"/>
    <w:rsid w:val="00C22594"/>
    <w:rsid w:val="00C22A7C"/>
    <w:rsid w:val="00C22A7E"/>
    <w:rsid w:val="00C22AAD"/>
    <w:rsid w:val="00C22F0C"/>
    <w:rsid w:val="00C23745"/>
    <w:rsid w:val="00C23868"/>
    <w:rsid w:val="00C23BD7"/>
    <w:rsid w:val="00C23E0F"/>
    <w:rsid w:val="00C24015"/>
    <w:rsid w:val="00C24190"/>
    <w:rsid w:val="00C24395"/>
    <w:rsid w:val="00C244AC"/>
    <w:rsid w:val="00C2455C"/>
    <w:rsid w:val="00C24E0F"/>
    <w:rsid w:val="00C24E99"/>
    <w:rsid w:val="00C252D2"/>
    <w:rsid w:val="00C2576F"/>
    <w:rsid w:val="00C25970"/>
    <w:rsid w:val="00C25A47"/>
    <w:rsid w:val="00C25B9B"/>
    <w:rsid w:val="00C25C0D"/>
    <w:rsid w:val="00C25C58"/>
    <w:rsid w:val="00C25DC9"/>
    <w:rsid w:val="00C25DDA"/>
    <w:rsid w:val="00C26267"/>
    <w:rsid w:val="00C2628E"/>
    <w:rsid w:val="00C26442"/>
    <w:rsid w:val="00C264CF"/>
    <w:rsid w:val="00C2687A"/>
    <w:rsid w:val="00C269B4"/>
    <w:rsid w:val="00C26ABC"/>
    <w:rsid w:val="00C26B3E"/>
    <w:rsid w:val="00C27455"/>
    <w:rsid w:val="00C276D3"/>
    <w:rsid w:val="00C27B1C"/>
    <w:rsid w:val="00C27E1C"/>
    <w:rsid w:val="00C27FCA"/>
    <w:rsid w:val="00C30272"/>
    <w:rsid w:val="00C302AC"/>
    <w:rsid w:val="00C307E7"/>
    <w:rsid w:val="00C30BDA"/>
    <w:rsid w:val="00C30BED"/>
    <w:rsid w:val="00C30C08"/>
    <w:rsid w:val="00C30C29"/>
    <w:rsid w:val="00C30E31"/>
    <w:rsid w:val="00C30F48"/>
    <w:rsid w:val="00C30FBA"/>
    <w:rsid w:val="00C30FFF"/>
    <w:rsid w:val="00C315F4"/>
    <w:rsid w:val="00C318A6"/>
    <w:rsid w:val="00C318F4"/>
    <w:rsid w:val="00C31E1F"/>
    <w:rsid w:val="00C3201E"/>
    <w:rsid w:val="00C322A8"/>
    <w:rsid w:val="00C323DD"/>
    <w:rsid w:val="00C3294B"/>
    <w:rsid w:val="00C32C7F"/>
    <w:rsid w:val="00C33416"/>
    <w:rsid w:val="00C3346B"/>
    <w:rsid w:val="00C334C6"/>
    <w:rsid w:val="00C3376F"/>
    <w:rsid w:val="00C33832"/>
    <w:rsid w:val="00C33F43"/>
    <w:rsid w:val="00C34019"/>
    <w:rsid w:val="00C340EB"/>
    <w:rsid w:val="00C343E3"/>
    <w:rsid w:val="00C34858"/>
    <w:rsid w:val="00C34939"/>
    <w:rsid w:val="00C34A92"/>
    <w:rsid w:val="00C34BFB"/>
    <w:rsid w:val="00C34DEF"/>
    <w:rsid w:val="00C34F6E"/>
    <w:rsid w:val="00C35148"/>
    <w:rsid w:val="00C35692"/>
    <w:rsid w:val="00C3589B"/>
    <w:rsid w:val="00C35A2E"/>
    <w:rsid w:val="00C36132"/>
    <w:rsid w:val="00C361A2"/>
    <w:rsid w:val="00C365C6"/>
    <w:rsid w:val="00C36640"/>
    <w:rsid w:val="00C36660"/>
    <w:rsid w:val="00C36994"/>
    <w:rsid w:val="00C36B42"/>
    <w:rsid w:val="00C36D24"/>
    <w:rsid w:val="00C36EF8"/>
    <w:rsid w:val="00C37077"/>
    <w:rsid w:val="00C37180"/>
    <w:rsid w:val="00C376C4"/>
    <w:rsid w:val="00C376E4"/>
    <w:rsid w:val="00C376EB"/>
    <w:rsid w:val="00C37764"/>
    <w:rsid w:val="00C37CD6"/>
    <w:rsid w:val="00C37E0D"/>
    <w:rsid w:val="00C37E9B"/>
    <w:rsid w:val="00C40018"/>
    <w:rsid w:val="00C403C0"/>
    <w:rsid w:val="00C404B6"/>
    <w:rsid w:val="00C40633"/>
    <w:rsid w:val="00C4096B"/>
    <w:rsid w:val="00C40EDB"/>
    <w:rsid w:val="00C40F58"/>
    <w:rsid w:val="00C41089"/>
    <w:rsid w:val="00C41426"/>
    <w:rsid w:val="00C416AA"/>
    <w:rsid w:val="00C417BA"/>
    <w:rsid w:val="00C417E9"/>
    <w:rsid w:val="00C41913"/>
    <w:rsid w:val="00C41A2E"/>
    <w:rsid w:val="00C41C27"/>
    <w:rsid w:val="00C41CBA"/>
    <w:rsid w:val="00C423A0"/>
    <w:rsid w:val="00C42488"/>
    <w:rsid w:val="00C42866"/>
    <w:rsid w:val="00C42942"/>
    <w:rsid w:val="00C42ADE"/>
    <w:rsid w:val="00C42D6B"/>
    <w:rsid w:val="00C43393"/>
    <w:rsid w:val="00C4370A"/>
    <w:rsid w:val="00C43987"/>
    <w:rsid w:val="00C43D3A"/>
    <w:rsid w:val="00C43EFE"/>
    <w:rsid w:val="00C43F12"/>
    <w:rsid w:val="00C441A5"/>
    <w:rsid w:val="00C442E0"/>
    <w:rsid w:val="00C44679"/>
    <w:rsid w:val="00C44773"/>
    <w:rsid w:val="00C449B8"/>
    <w:rsid w:val="00C44EC8"/>
    <w:rsid w:val="00C450FF"/>
    <w:rsid w:val="00C45123"/>
    <w:rsid w:val="00C454D0"/>
    <w:rsid w:val="00C4554E"/>
    <w:rsid w:val="00C4579E"/>
    <w:rsid w:val="00C457EF"/>
    <w:rsid w:val="00C458B1"/>
    <w:rsid w:val="00C45F2D"/>
    <w:rsid w:val="00C46006"/>
    <w:rsid w:val="00C4621E"/>
    <w:rsid w:val="00C46244"/>
    <w:rsid w:val="00C465B2"/>
    <w:rsid w:val="00C467F8"/>
    <w:rsid w:val="00C46D4B"/>
    <w:rsid w:val="00C472A5"/>
    <w:rsid w:val="00C47518"/>
    <w:rsid w:val="00C475D4"/>
    <w:rsid w:val="00C47754"/>
    <w:rsid w:val="00C477E6"/>
    <w:rsid w:val="00C47853"/>
    <w:rsid w:val="00C47945"/>
    <w:rsid w:val="00C47B47"/>
    <w:rsid w:val="00C47CDB"/>
    <w:rsid w:val="00C47D4A"/>
    <w:rsid w:val="00C47E40"/>
    <w:rsid w:val="00C50006"/>
    <w:rsid w:val="00C50370"/>
    <w:rsid w:val="00C503EB"/>
    <w:rsid w:val="00C507E8"/>
    <w:rsid w:val="00C50820"/>
    <w:rsid w:val="00C50B65"/>
    <w:rsid w:val="00C50DE3"/>
    <w:rsid w:val="00C51454"/>
    <w:rsid w:val="00C516B1"/>
    <w:rsid w:val="00C517B1"/>
    <w:rsid w:val="00C517F7"/>
    <w:rsid w:val="00C51936"/>
    <w:rsid w:val="00C5197B"/>
    <w:rsid w:val="00C51CFE"/>
    <w:rsid w:val="00C51D31"/>
    <w:rsid w:val="00C5214A"/>
    <w:rsid w:val="00C52318"/>
    <w:rsid w:val="00C523F7"/>
    <w:rsid w:val="00C525BE"/>
    <w:rsid w:val="00C52A4B"/>
    <w:rsid w:val="00C52C22"/>
    <w:rsid w:val="00C52D16"/>
    <w:rsid w:val="00C52E11"/>
    <w:rsid w:val="00C52F35"/>
    <w:rsid w:val="00C532FD"/>
    <w:rsid w:val="00C53711"/>
    <w:rsid w:val="00C5387C"/>
    <w:rsid w:val="00C53A54"/>
    <w:rsid w:val="00C53D2C"/>
    <w:rsid w:val="00C53ED6"/>
    <w:rsid w:val="00C53F7B"/>
    <w:rsid w:val="00C54009"/>
    <w:rsid w:val="00C542A5"/>
    <w:rsid w:val="00C54374"/>
    <w:rsid w:val="00C545BB"/>
    <w:rsid w:val="00C545EF"/>
    <w:rsid w:val="00C5469A"/>
    <w:rsid w:val="00C5479F"/>
    <w:rsid w:val="00C5490C"/>
    <w:rsid w:val="00C54984"/>
    <w:rsid w:val="00C54BCA"/>
    <w:rsid w:val="00C54CB5"/>
    <w:rsid w:val="00C550F1"/>
    <w:rsid w:val="00C5528A"/>
    <w:rsid w:val="00C55785"/>
    <w:rsid w:val="00C55CAC"/>
    <w:rsid w:val="00C56054"/>
    <w:rsid w:val="00C56084"/>
    <w:rsid w:val="00C560BD"/>
    <w:rsid w:val="00C56586"/>
    <w:rsid w:val="00C5669C"/>
    <w:rsid w:val="00C56B5E"/>
    <w:rsid w:val="00C56F02"/>
    <w:rsid w:val="00C56FCB"/>
    <w:rsid w:val="00C57170"/>
    <w:rsid w:val="00C5731B"/>
    <w:rsid w:val="00C57799"/>
    <w:rsid w:val="00C57E43"/>
    <w:rsid w:val="00C57F1B"/>
    <w:rsid w:val="00C6037F"/>
    <w:rsid w:val="00C603BE"/>
    <w:rsid w:val="00C6044A"/>
    <w:rsid w:val="00C60641"/>
    <w:rsid w:val="00C60FEF"/>
    <w:rsid w:val="00C61049"/>
    <w:rsid w:val="00C61156"/>
    <w:rsid w:val="00C6127E"/>
    <w:rsid w:val="00C6167A"/>
    <w:rsid w:val="00C616CF"/>
    <w:rsid w:val="00C61763"/>
    <w:rsid w:val="00C617EA"/>
    <w:rsid w:val="00C619D6"/>
    <w:rsid w:val="00C619F5"/>
    <w:rsid w:val="00C61D3F"/>
    <w:rsid w:val="00C61D78"/>
    <w:rsid w:val="00C620F8"/>
    <w:rsid w:val="00C623E9"/>
    <w:rsid w:val="00C626A6"/>
    <w:rsid w:val="00C62C5F"/>
    <w:rsid w:val="00C62D74"/>
    <w:rsid w:val="00C6376D"/>
    <w:rsid w:val="00C63908"/>
    <w:rsid w:val="00C63B16"/>
    <w:rsid w:val="00C63BA6"/>
    <w:rsid w:val="00C64005"/>
    <w:rsid w:val="00C64343"/>
    <w:rsid w:val="00C64449"/>
    <w:rsid w:val="00C6447A"/>
    <w:rsid w:val="00C6468C"/>
    <w:rsid w:val="00C6489E"/>
    <w:rsid w:val="00C64D6E"/>
    <w:rsid w:val="00C64F1E"/>
    <w:rsid w:val="00C64F7B"/>
    <w:rsid w:val="00C64FEB"/>
    <w:rsid w:val="00C65011"/>
    <w:rsid w:val="00C652AE"/>
    <w:rsid w:val="00C652B5"/>
    <w:rsid w:val="00C65356"/>
    <w:rsid w:val="00C65470"/>
    <w:rsid w:val="00C65571"/>
    <w:rsid w:val="00C6572C"/>
    <w:rsid w:val="00C6583F"/>
    <w:rsid w:val="00C65BC0"/>
    <w:rsid w:val="00C65CA8"/>
    <w:rsid w:val="00C65CD9"/>
    <w:rsid w:val="00C65E1C"/>
    <w:rsid w:val="00C6613A"/>
    <w:rsid w:val="00C66528"/>
    <w:rsid w:val="00C66B16"/>
    <w:rsid w:val="00C66C8B"/>
    <w:rsid w:val="00C67311"/>
    <w:rsid w:val="00C673C9"/>
    <w:rsid w:val="00C674DC"/>
    <w:rsid w:val="00C675B8"/>
    <w:rsid w:val="00C676A5"/>
    <w:rsid w:val="00C67738"/>
    <w:rsid w:val="00C67753"/>
    <w:rsid w:val="00C67872"/>
    <w:rsid w:val="00C67996"/>
    <w:rsid w:val="00C67C50"/>
    <w:rsid w:val="00C67D19"/>
    <w:rsid w:val="00C67DBC"/>
    <w:rsid w:val="00C67F38"/>
    <w:rsid w:val="00C67F70"/>
    <w:rsid w:val="00C67FE6"/>
    <w:rsid w:val="00C7001A"/>
    <w:rsid w:val="00C700BC"/>
    <w:rsid w:val="00C70592"/>
    <w:rsid w:val="00C707E7"/>
    <w:rsid w:val="00C70A2D"/>
    <w:rsid w:val="00C70D50"/>
    <w:rsid w:val="00C711B8"/>
    <w:rsid w:val="00C712A7"/>
    <w:rsid w:val="00C7134C"/>
    <w:rsid w:val="00C7151A"/>
    <w:rsid w:val="00C718E0"/>
    <w:rsid w:val="00C71C7B"/>
    <w:rsid w:val="00C71E28"/>
    <w:rsid w:val="00C71E5D"/>
    <w:rsid w:val="00C71F47"/>
    <w:rsid w:val="00C71F87"/>
    <w:rsid w:val="00C71FA4"/>
    <w:rsid w:val="00C7215C"/>
    <w:rsid w:val="00C72171"/>
    <w:rsid w:val="00C72216"/>
    <w:rsid w:val="00C724DC"/>
    <w:rsid w:val="00C72663"/>
    <w:rsid w:val="00C727AB"/>
    <w:rsid w:val="00C72A32"/>
    <w:rsid w:val="00C72E60"/>
    <w:rsid w:val="00C7311A"/>
    <w:rsid w:val="00C733D7"/>
    <w:rsid w:val="00C73470"/>
    <w:rsid w:val="00C7365D"/>
    <w:rsid w:val="00C73C8F"/>
    <w:rsid w:val="00C73E93"/>
    <w:rsid w:val="00C74084"/>
    <w:rsid w:val="00C74093"/>
    <w:rsid w:val="00C74349"/>
    <w:rsid w:val="00C74503"/>
    <w:rsid w:val="00C747E7"/>
    <w:rsid w:val="00C74A2B"/>
    <w:rsid w:val="00C74A80"/>
    <w:rsid w:val="00C74CDB"/>
    <w:rsid w:val="00C74F1A"/>
    <w:rsid w:val="00C74F28"/>
    <w:rsid w:val="00C75461"/>
    <w:rsid w:val="00C754CC"/>
    <w:rsid w:val="00C7576A"/>
    <w:rsid w:val="00C75A06"/>
    <w:rsid w:val="00C75CC9"/>
    <w:rsid w:val="00C75FEB"/>
    <w:rsid w:val="00C7626C"/>
    <w:rsid w:val="00C76364"/>
    <w:rsid w:val="00C766F7"/>
    <w:rsid w:val="00C768D0"/>
    <w:rsid w:val="00C76C30"/>
    <w:rsid w:val="00C76D0B"/>
    <w:rsid w:val="00C7713A"/>
    <w:rsid w:val="00C774E4"/>
    <w:rsid w:val="00C777B1"/>
    <w:rsid w:val="00C77836"/>
    <w:rsid w:val="00C778E3"/>
    <w:rsid w:val="00C77A4A"/>
    <w:rsid w:val="00C77C7C"/>
    <w:rsid w:val="00C77D0B"/>
    <w:rsid w:val="00C77D6B"/>
    <w:rsid w:val="00C8012B"/>
    <w:rsid w:val="00C80268"/>
    <w:rsid w:val="00C8046C"/>
    <w:rsid w:val="00C8072C"/>
    <w:rsid w:val="00C807AE"/>
    <w:rsid w:val="00C808D0"/>
    <w:rsid w:val="00C809EB"/>
    <w:rsid w:val="00C80AAC"/>
    <w:rsid w:val="00C80BBD"/>
    <w:rsid w:val="00C80D7F"/>
    <w:rsid w:val="00C80F25"/>
    <w:rsid w:val="00C81074"/>
    <w:rsid w:val="00C811EE"/>
    <w:rsid w:val="00C814B4"/>
    <w:rsid w:val="00C8150C"/>
    <w:rsid w:val="00C81702"/>
    <w:rsid w:val="00C817BD"/>
    <w:rsid w:val="00C81C58"/>
    <w:rsid w:val="00C81CF8"/>
    <w:rsid w:val="00C81DDD"/>
    <w:rsid w:val="00C81FB0"/>
    <w:rsid w:val="00C8210B"/>
    <w:rsid w:val="00C82292"/>
    <w:rsid w:val="00C824ED"/>
    <w:rsid w:val="00C82683"/>
    <w:rsid w:val="00C826C9"/>
    <w:rsid w:val="00C82778"/>
    <w:rsid w:val="00C82B60"/>
    <w:rsid w:val="00C82CDB"/>
    <w:rsid w:val="00C83248"/>
    <w:rsid w:val="00C832C8"/>
    <w:rsid w:val="00C8396F"/>
    <w:rsid w:val="00C83D49"/>
    <w:rsid w:val="00C83E1A"/>
    <w:rsid w:val="00C83EB9"/>
    <w:rsid w:val="00C83F28"/>
    <w:rsid w:val="00C84039"/>
    <w:rsid w:val="00C840A8"/>
    <w:rsid w:val="00C840D1"/>
    <w:rsid w:val="00C84299"/>
    <w:rsid w:val="00C8433A"/>
    <w:rsid w:val="00C8458E"/>
    <w:rsid w:val="00C845A3"/>
    <w:rsid w:val="00C84712"/>
    <w:rsid w:val="00C848A5"/>
    <w:rsid w:val="00C84A5C"/>
    <w:rsid w:val="00C84B1B"/>
    <w:rsid w:val="00C84BAF"/>
    <w:rsid w:val="00C84C29"/>
    <w:rsid w:val="00C84E03"/>
    <w:rsid w:val="00C85151"/>
    <w:rsid w:val="00C851A2"/>
    <w:rsid w:val="00C852E3"/>
    <w:rsid w:val="00C854B4"/>
    <w:rsid w:val="00C8555D"/>
    <w:rsid w:val="00C85CB2"/>
    <w:rsid w:val="00C85D4B"/>
    <w:rsid w:val="00C85DD8"/>
    <w:rsid w:val="00C85EE8"/>
    <w:rsid w:val="00C860A1"/>
    <w:rsid w:val="00C8613C"/>
    <w:rsid w:val="00C862C0"/>
    <w:rsid w:val="00C8635F"/>
    <w:rsid w:val="00C86649"/>
    <w:rsid w:val="00C86818"/>
    <w:rsid w:val="00C868A4"/>
    <w:rsid w:val="00C87167"/>
    <w:rsid w:val="00C873DD"/>
    <w:rsid w:val="00C8763D"/>
    <w:rsid w:val="00C8785F"/>
    <w:rsid w:val="00C8795E"/>
    <w:rsid w:val="00C87C4E"/>
    <w:rsid w:val="00C87D04"/>
    <w:rsid w:val="00C87FF3"/>
    <w:rsid w:val="00C90382"/>
    <w:rsid w:val="00C90938"/>
    <w:rsid w:val="00C90F3D"/>
    <w:rsid w:val="00C91145"/>
    <w:rsid w:val="00C91176"/>
    <w:rsid w:val="00C91403"/>
    <w:rsid w:val="00C914DB"/>
    <w:rsid w:val="00C91578"/>
    <w:rsid w:val="00C91828"/>
    <w:rsid w:val="00C91AB1"/>
    <w:rsid w:val="00C91CB4"/>
    <w:rsid w:val="00C91D51"/>
    <w:rsid w:val="00C91EB3"/>
    <w:rsid w:val="00C91F3F"/>
    <w:rsid w:val="00C9216C"/>
    <w:rsid w:val="00C92309"/>
    <w:rsid w:val="00C926AB"/>
    <w:rsid w:val="00C92885"/>
    <w:rsid w:val="00C93399"/>
    <w:rsid w:val="00C9354D"/>
    <w:rsid w:val="00C93733"/>
    <w:rsid w:val="00C9424A"/>
    <w:rsid w:val="00C94478"/>
    <w:rsid w:val="00C94664"/>
    <w:rsid w:val="00C948C0"/>
    <w:rsid w:val="00C9490C"/>
    <w:rsid w:val="00C949E0"/>
    <w:rsid w:val="00C94C11"/>
    <w:rsid w:val="00C94E38"/>
    <w:rsid w:val="00C956F4"/>
    <w:rsid w:val="00C95B04"/>
    <w:rsid w:val="00C96307"/>
    <w:rsid w:val="00C96371"/>
    <w:rsid w:val="00C96626"/>
    <w:rsid w:val="00C968BB"/>
    <w:rsid w:val="00C96B68"/>
    <w:rsid w:val="00C96B82"/>
    <w:rsid w:val="00C97225"/>
    <w:rsid w:val="00C975E0"/>
    <w:rsid w:val="00C9779E"/>
    <w:rsid w:val="00C9779F"/>
    <w:rsid w:val="00C977A7"/>
    <w:rsid w:val="00C97902"/>
    <w:rsid w:val="00C97920"/>
    <w:rsid w:val="00C97D39"/>
    <w:rsid w:val="00CA006F"/>
    <w:rsid w:val="00CA00A0"/>
    <w:rsid w:val="00CA074E"/>
    <w:rsid w:val="00CA0960"/>
    <w:rsid w:val="00CA0B06"/>
    <w:rsid w:val="00CA0B6E"/>
    <w:rsid w:val="00CA0CB1"/>
    <w:rsid w:val="00CA0FAE"/>
    <w:rsid w:val="00CA1365"/>
    <w:rsid w:val="00CA1568"/>
    <w:rsid w:val="00CA1617"/>
    <w:rsid w:val="00CA164B"/>
    <w:rsid w:val="00CA165B"/>
    <w:rsid w:val="00CA1734"/>
    <w:rsid w:val="00CA194E"/>
    <w:rsid w:val="00CA1999"/>
    <w:rsid w:val="00CA19E5"/>
    <w:rsid w:val="00CA1AF5"/>
    <w:rsid w:val="00CA1B6F"/>
    <w:rsid w:val="00CA1BBA"/>
    <w:rsid w:val="00CA208D"/>
    <w:rsid w:val="00CA25E0"/>
    <w:rsid w:val="00CA25F2"/>
    <w:rsid w:val="00CA2740"/>
    <w:rsid w:val="00CA283C"/>
    <w:rsid w:val="00CA2873"/>
    <w:rsid w:val="00CA2B52"/>
    <w:rsid w:val="00CA2C43"/>
    <w:rsid w:val="00CA302B"/>
    <w:rsid w:val="00CA306B"/>
    <w:rsid w:val="00CA3976"/>
    <w:rsid w:val="00CA39D7"/>
    <w:rsid w:val="00CA3A22"/>
    <w:rsid w:val="00CA3B07"/>
    <w:rsid w:val="00CA3B61"/>
    <w:rsid w:val="00CA435C"/>
    <w:rsid w:val="00CA43F7"/>
    <w:rsid w:val="00CA4523"/>
    <w:rsid w:val="00CA45A7"/>
    <w:rsid w:val="00CA5095"/>
    <w:rsid w:val="00CA509A"/>
    <w:rsid w:val="00CA51CA"/>
    <w:rsid w:val="00CA5238"/>
    <w:rsid w:val="00CA53A0"/>
    <w:rsid w:val="00CA5738"/>
    <w:rsid w:val="00CA608D"/>
    <w:rsid w:val="00CA63A7"/>
    <w:rsid w:val="00CA65A7"/>
    <w:rsid w:val="00CA65FD"/>
    <w:rsid w:val="00CA669D"/>
    <w:rsid w:val="00CA671D"/>
    <w:rsid w:val="00CA696F"/>
    <w:rsid w:val="00CA69D7"/>
    <w:rsid w:val="00CA6C00"/>
    <w:rsid w:val="00CA6FB8"/>
    <w:rsid w:val="00CA7001"/>
    <w:rsid w:val="00CA74CB"/>
    <w:rsid w:val="00CA7808"/>
    <w:rsid w:val="00CA7978"/>
    <w:rsid w:val="00CA7D29"/>
    <w:rsid w:val="00CB028E"/>
    <w:rsid w:val="00CB05EC"/>
    <w:rsid w:val="00CB07F1"/>
    <w:rsid w:val="00CB0C00"/>
    <w:rsid w:val="00CB0D6C"/>
    <w:rsid w:val="00CB0E45"/>
    <w:rsid w:val="00CB0FDA"/>
    <w:rsid w:val="00CB11A1"/>
    <w:rsid w:val="00CB11A5"/>
    <w:rsid w:val="00CB11E3"/>
    <w:rsid w:val="00CB133B"/>
    <w:rsid w:val="00CB13C9"/>
    <w:rsid w:val="00CB181D"/>
    <w:rsid w:val="00CB18E6"/>
    <w:rsid w:val="00CB18F7"/>
    <w:rsid w:val="00CB1AAE"/>
    <w:rsid w:val="00CB1AC7"/>
    <w:rsid w:val="00CB1CE9"/>
    <w:rsid w:val="00CB1D40"/>
    <w:rsid w:val="00CB1DC9"/>
    <w:rsid w:val="00CB1E83"/>
    <w:rsid w:val="00CB2169"/>
    <w:rsid w:val="00CB21E0"/>
    <w:rsid w:val="00CB2250"/>
    <w:rsid w:val="00CB2485"/>
    <w:rsid w:val="00CB2810"/>
    <w:rsid w:val="00CB2CAE"/>
    <w:rsid w:val="00CB2D10"/>
    <w:rsid w:val="00CB2F2A"/>
    <w:rsid w:val="00CB3451"/>
    <w:rsid w:val="00CB3458"/>
    <w:rsid w:val="00CB3580"/>
    <w:rsid w:val="00CB363A"/>
    <w:rsid w:val="00CB378A"/>
    <w:rsid w:val="00CB3922"/>
    <w:rsid w:val="00CB39E4"/>
    <w:rsid w:val="00CB3C24"/>
    <w:rsid w:val="00CB3EA2"/>
    <w:rsid w:val="00CB424D"/>
    <w:rsid w:val="00CB4580"/>
    <w:rsid w:val="00CB4740"/>
    <w:rsid w:val="00CB4A35"/>
    <w:rsid w:val="00CB4BCD"/>
    <w:rsid w:val="00CB4E03"/>
    <w:rsid w:val="00CB4EC5"/>
    <w:rsid w:val="00CB5147"/>
    <w:rsid w:val="00CB5148"/>
    <w:rsid w:val="00CB5393"/>
    <w:rsid w:val="00CB5CCB"/>
    <w:rsid w:val="00CB5E71"/>
    <w:rsid w:val="00CB5ECE"/>
    <w:rsid w:val="00CB5F9D"/>
    <w:rsid w:val="00CB61DE"/>
    <w:rsid w:val="00CB65B0"/>
    <w:rsid w:val="00CB67B6"/>
    <w:rsid w:val="00CB6E8E"/>
    <w:rsid w:val="00CB751E"/>
    <w:rsid w:val="00CB78D0"/>
    <w:rsid w:val="00CB7A72"/>
    <w:rsid w:val="00CB7B90"/>
    <w:rsid w:val="00CB7EEB"/>
    <w:rsid w:val="00CB7F9B"/>
    <w:rsid w:val="00CC0010"/>
    <w:rsid w:val="00CC0284"/>
    <w:rsid w:val="00CC0875"/>
    <w:rsid w:val="00CC0AC8"/>
    <w:rsid w:val="00CC14D3"/>
    <w:rsid w:val="00CC1732"/>
    <w:rsid w:val="00CC1CAD"/>
    <w:rsid w:val="00CC1E46"/>
    <w:rsid w:val="00CC1FE1"/>
    <w:rsid w:val="00CC2017"/>
    <w:rsid w:val="00CC236C"/>
    <w:rsid w:val="00CC25C4"/>
    <w:rsid w:val="00CC2786"/>
    <w:rsid w:val="00CC27F6"/>
    <w:rsid w:val="00CC2857"/>
    <w:rsid w:val="00CC2C8C"/>
    <w:rsid w:val="00CC2C8D"/>
    <w:rsid w:val="00CC2F80"/>
    <w:rsid w:val="00CC3103"/>
    <w:rsid w:val="00CC3168"/>
    <w:rsid w:val="00CC32A6"/>
    <w:rsid w:val="00CC331F"/>
    <w:rsid w:val="00CC369A"/>
    <w:rsid w:val="00CC38B0"/>
    <w:rsid w:val="00CC38FF"/>
    <w:rsid w:val="00CC3ADA"/>
    <w:rsid w:val="00CC3B2B"/>
    <w:rsid w:val="00CC3B64"/>
    <w:rsid w:val="00CC3C6C"/>
    <w:rsid w:val="00CC3EFC"/>
    <w:rsid w:val="00CC466B"/>
    <w:rsid w:val="00CC49D0"/>
    <w:rsid w:val="00CC4BA6"/>
    <w:rsid w:val="00CC4DCD"/>
    <w:rsid w:val="00CC4FBB"/>
    <w:rsid w:val="00CC4FD1"/>
    <w:rsid w:val="00CC5294"/>
    <w:rsid w:val="00CC5438"/>
    <w:rsid w:val="00CC5530"/>
    <w:rsid w:val="00CC564B"/>
    <w:rsid w:val="00CC5736"/>
    <w:rsid w:val="00CC5998"/>
    <w:rsid w:val="00CC5C48"/>
    <w:rsid w:val="00CC5CA5"/>
    <w:rsid w:val="00CC5D63"/>
    <w:rsid w:val="00CC5DB5"/>
    <w:rsid w:val="00CC5EF6"/>
    <w:rsid w:val="00CC5F0C"/>
    <w:rsid w:val="00CC66FF"/>
    <w:rsid w:val="00CC67F4"/>
    <w:rsid w:val="00CC6A0C"/>
    <w:rsid w:val="00CC6D28"/>
    <w:rsid w:val="00CC70DA"/>
    <w:rsid w:val="00CC7370"/>
    <w:rsid w:val="00CC754B"/>
    <w:rsid w:val="00CC7574"/>
    <w:rsid w:val="00CC765B"/>
    <w:rsid w:val="00CC7AB2"/>
    <w:rsid w:val="00CC7CA6"/>
    <w:rsid w:val="00CC7D5C"/>
    <w:rsid w:val="00CD0284"/>
    <w:rsid w:val="00CD0334"/>
    <w:rsid w:val="00CD0683"/>
    <w:rsid w:val="00CD0809"/>
    <w:rsid w:val="00CD0D20"/>
    <w:rsid w:val="00CD0DC3"/>
    <w:rsid w:val="00CD0DD0"/>
    <w:rsid w:val="00CD0E3D"/>
    <w:rsid w:val="00CD0F73"/>
    <w:rsid w:val="00CD11D9"/>
    <w:rsid w:val="00CD137D"/>
    <w:rsid w:val="00CD142E"/>
    <w:rsid w:val="00CD1458"/>
    <w:rsid w:val="00CD169D"/>
    <w:rsid w:val="00CD1868"/>
    <w:rsid w:val="00CD1A45"/>
    <w:rsid w:val="00CD1B34"/>
    <w:rsid w:val="00CD1B3B"/>
    <w:rsid w:val="00CD1B77"/>
    <w:rsid w:val="00CD1CF2"/>
    <w:rsid w:val="00CD1E31"/>
    <w:rsid w:val="00CD2030"/>
    <w:rsid w:val="00CD22A2"/>
    <w:rsid w:val="00CD22CB"/>
    <w:rsid w:val="00CD23C2"/>
    <w:rsid w:val="00CD24E4"/>
    <w:rsid w:val="00CD2912"/>
    <w:rsid w:val="00CD2DD9"/>
    <w:rsid w:val="00CD2E32"/>
    <w:rsid w:val="00CD2FBA"/>
    <w:rsid w:val="00CD3057"/>
    <w:rsid w:val="00CD339F"/>
    <w:rsid w:val="00CD3447"/>
    <w:rsid w:val="00CD3554"/>
    <w:rsid w:val="00CD368A"/>
    <w:rsid w:val="00CD3C8A"/>
    <w:rsid w:val="00CD3C94"/>
    <w:rsid w:val="00CD3D21"/>
    <w:rsid w:val="00CD3D3C"/>
    <w:rsid w:val="00CD3D48"/>
    <w:rsid w:val="00CD3F78"/>
    <w:rsid w:val="00CD3FD3"/>
    <w:rsid w:val="00CD43D7"/>
    <w:rsid w:val="00CD444F"/>
    <w:rsid w:val="00CD46DB"/>
    <w:rsid w:val="00CD4781"/>
    <w:rsid w:val="00CD481E"/>
    <w:rsid w:val="00CD49F4"/>
    <w:rsid w:val="00CD4A7C"/>
    <w:rsid w:val="00CD4DAE"/>
    <w:rsid w:val="00CD540E"/>
    <w:rsid w:val="00CD54B4"/>
    <w:rsid w:val="00CD54EA"/>
    <w:rsid w:val="00CD57E4"/>
    <w:rsid w:val="00CD5821"/>
    <w:rsid w:val="00CD589F"/>
    <w:rsid w:val="00CD5C2A"/>
    <w:rsid w:val="00CD662E"/>
    <w:rsid w:val="00CD6CC7"/>
    <w:rsid w:val="00CD7152"/>
    <w:rsid w:val="00CD71A7"/>
    <w:rsid w:val="00CD7378"/>
    <w:rsid w:val="00CD79FB"/>
    <w:rsid w:val="00CD7AE3"/>
    <w:rsid w:val="00CD7AFB"/>
    <w:rsid w:val="00CD7C08"/>
    <w:rsid w:val="00CD7FCF"/>
    <w:rsid w:val="00CE0195"/>
    <w:rsid w:val="00CE02B0"/>
    <w:rsid w:val="00CE04D4"/>
    <w:rsid w:val="00CE07DD"/>
    <w:rsid w:val="00CE087D"/>
    <w:rsid w:val="00CE0A3C"/>
    <w:rsid w:val="00CE0CB7"/>
    <w:rsid w:val="00CE1069"/>
    <w:rsid w:val="00CE11D1"/>
    <w:rsid w:val="00CE16E8"/>
    <w:rsid w:val="00CE170B"/>
    <w:rsid w:val="00CE1A03"/>
    <w:rsid w:val="00CE1BA5"/>
    <w:rsid w:val="00CE1C77"/>
    <w:rsid w:val="00CE1CD4"/>
    <w:rsid w:val="00CE2059"/>
    <w:rsid w:val="00CE2461"/>
    <w:rsid w:val="00CE24CE"/>
    <w:rsid w:val="00CE24E6"/>
    <w:rsid w:val="00CE2506"/>
    <w:rsid w:val="00CE2673"/>
    <w:rsid w:val="00CE2764"/>
    <w:rsid w:val="00CE2A92"/>
    <w:rsid w:val="00CE2E12"/>
    <w:rsid w:val="00CE34E8"/>
    <w:rsid w:val="00CE3661"/>
    <w:rsid w:val="00CE3714"/>
    <w:rsid w:val="00CE3751"/>
    <w:rsid w:val="00CE3982"/>
    <w:rsid w:val="00CE39C5"/>
    <w:rsid w:val="00CE3A0D"/>
    <w:rsid w:val="00CE3AF1"/>
    <w:rsid w:val="00CE3BEC"/>
    <w:rsid w:val="00CE3C8A"/>
    <w:rsid w:val="00CE3CCD"/>
    <w:rsid w:val="00CE3D0A"/>
    <w:rsid w:val="00CE3E00"/>
    <w:rsid w:val="00CE4092"/>
    <w:rsid w:val="00CE4154"/>
    <w:rsid w:val="00CE42B8"/>
    <w:rsid w:val="00CE4300"/>
    <w:rsid w:val="00CE47BA"/>
    <w:rsid w:val="00CE4C68"/>
    <w:rsid w:val="00CE4F70"/>
    <w:rsid w:val="00CE5131"/>
    <w:rsid w:val="00CE5222"/>
    <w:rsid w:val="00CE5230"/>
    <w:rsid w:val="00CE528E"/>
    <w:rsid w:val="00CE52CA"/>
    <w:rsid w:val="00CE53D5"/>
    <w:rsid w:val="00CE5421"/>
    <w:rsid w:val="00CE555C"/>
    <w:rsid w:val="00CE5741"/>
    <w:rsid w:val="00CE5795"/>
    <w:rsid w:val="00CE57B5"/>
    <w:rsid w:val="00CE5809"/>
    <w:rsid w:val="00CE581C"/>
    <w:rsid w:val="00CE58B0"/>
    <w:rsid w:val="00CE59C6"/>
    <w:rsid w:val="00CE59FB"/>
    <w:rsid w:val="00CE5AD5"/>
    <w:rsid w:val="00CE5C90"/>
    <w:rsid w:val="00CE5CF8"/>
    <w:rsid w:val="00CE5D5A"/>
    <w:rsid w:val="00CE5EB1"/>
    <w:rsid w:val="00CE60E6"/>
    <w:rsid w:val="00CE64AA"/>
    <w:rsid w:val="00CE661B"/>
    <w:rsid w:val="00CE664F"/>
    <w:rsid w:val="00CE6744"/>
    <w:rsid w:val="00CE6776"/>
    <w:rsid w:val="00CE6797"/>
    <w:rsid w:val="00CE6A7A"/>
    <w:rsid w:val="00CE6CDB"/>
    <w:rsid w:val="00CE6D2F"/>
    <w:rsid w:val="00CE6D3D"/>
    <w:rsid w:val="00CE6D76"/>
    <w:rsid w:val="00CE73B1"/>
    <w:rsid w:val="00CE7592"/>
    <w:rsid w:val="00CE75B9"/>
    <w:rsid w:val="00CE76B5"/>
    <w:rsid w:val="00CE797E"/>
    <w:rsid w:val="00CE7F71"/>
    <w:rsid w:val="00CF0097"/>
    <w:rsid w:val="00CF00F1"/>
    <w:rsid w:val="00CF044E"/>
    <w:rsid w:val="00CF04CF"/>
    <w:rsid w:val="00CF091C"/>
    <w:rsid w:val="00CF0AAA"/>
    <w:rsid w:val="00CF0AD0"/>
    <w:rsid w:val="00CF0AE8"/>
    <w:rsid w:val="00CF1887"/>
    <w:rsid w:val="00CF1DDD"/>
    <w:rsid w:val="00CF1E79"/>
    <w:rsid w:val="00CF1FD1"/>
    <w:rsid w:val="00CF20EB"/>
    <w:rsid w:val="00CF20FE"/>
    <w:rsid w:val="00CF28C0"/>
    <w:rsid w:val="00CF2DB4"/>
    <w:rsid w:val="00CF2DE6"/>
    <w:rsid w:val="00CF3307"/>
    <w:rsid w:val="00CF3EC8"/>
    <w:rsid w:val="00CF3FF3"/>
    <w:rsid w:val="00CF3FF6"/>
    <w:rsid w:val="00CF41D1"/>
    <w:rsid w:val="00CF42FB"/>
    <w:rsid w:val="00CF4617"/>
    <w:rsid w:val="00CF49A1"/>
    <w:rsid w:val="00CF4B84"/>
    <w:rsid w:val="00CF5475"/>
    <w:rsid w:val="00CF5605"/>
    <w:rsid w:val="00CF57D8"/>
    <w:rsid w:val="00CF5962"/>
    <w:rsid w:val="00CF59C4"/>
    <w:rsid w:val="00CF5BA2"/>
    <w:rsid w:val="00CF5C5A"/>
    <w:rsid w:val="00CF5E19"/>
    <w:rsid w:val="00CF5F2C"/>
    <w:rsid w:val="00CF5F65"/>
    <w:rsid w:val="00CF626B"/>
    <w:rsid w:val="00CF6437"/>
    <w:rsid w:val="00CF648E"/>
    <w:rsid w:val="00CF6502"/>
    <w:rsid w:val="00CF654A"/>
    <w:rsid w:val="00CF673D"/>
    <w:rsid w:val="00CF722E"/>
    <w:rsid w:val="00CF754D"/>
    <w:rsid w:val="00CF76DF"/>
    <w:rsid w:val="00CF7704"/>
    <w:rsid w:val="00CF7998"/>
    <w:rsid w:val="00CF7B48"/>
    <w:rsid w:val="00CF7C55"/>
    <w:rsid w:val="00CF7D50"/>
    <w:rsid w:val="00CF7F3E"/>
    <w:rsid w:val="00CF7FA9"/>
    <w:rsid w:val="00D000C0"/>
    <w:rsid w:val="00D0067A"/>
    <w:rsid w:val="00D00730"/>
    <w:rsid w:val="00D0108A"/>
    <w:rsid w:val="00D012C4"/>
    <w:rsid w:val="00D012C5"/>
    <w:rsid w:val="00D0136E"/>
    <w:rsid w:val="00D0141E"/>
    <w:rsid w:val="00D01594"/>
    <w:rsid w:val="00D0195E"/>
    <w:rsid w:val="00D01A2A"/>
    <w:rsid w:val="00D0200E"/>
    <w:rsid w:val="00D02587"/>
    <w:rsid w:val="00D0260D"/>
    <w:rsid w:val="00D029FF"/>
    <w:rsid w:val="00D02CC6"/>
    <w:rsid w:val="00D0347B"/>
    <w:rsid w:val="00D03985"/>
    <w:rsid w:val="00D03989"/>
    <w:rsid w:val="00D03C02"/>
    <w:rsid w:val="00D04673"/>
    <w:rsid w:val="00D046B7"/>
    <w:rsid w:val="00D04FEB"/>
    <w:rsid w:val="00D050B3"/>
    <w:rsid w:val="00D05177"/>
    <w:rsid w:val="00D05286"/>
    <w:rsid w:val="00D052E8"/>
    <w:rsid w:val="00D05458"/>
    <w:rsid w:val="00D05537"/>
    <w:rsid w:val="00D056C2"/>
    <w:rsid w:val="00D058A0"/>
    <w:rsid w:val="00D058CC"/>
    <w:rsid w:val="00D05A0A"/>
    <w:rsid w:val="00D05AA4"/>
    <w:rsid w:val="00D05EAB"/>
    <w:rsid w:val="00D060BA"/>
    <w:rsid w:val="00D064E6"/>
    <w:rsid w:val="00D06527"/>
    <w:rsid w:val="00D06724"/>
    <w:rsid w:val="00D06C35"/>
    <w:rsid w:val="00D06D9A"/>
    <w:rsid w:val="00D06D9B"/>
    <w:rsid w:val="00D072B2"/>
    <w:rsid w:val="00D073B2"/>
    <w:rsid w:val="00D075B5"/>
    <w:rsid w:val="00D075F7"/>
    <w:rsid w:val="00D0774A"/>
    <w:rsid w:val="00D07E02"/>
    <w:rsid w:val="00D07EE7"/>
    <w:rsid w:val="00D10023"/>
    <w:rsid w:val="00D10116"/>
    <w:rsid w:val="00D10289"/>
    <w:rsid w:val="00D1036F"/>
    <w:rsid w:val="00D10460"/>
    <w:rsid w:val="00D10579"/>
    <w:rsid w:val="00D10685"/>
    <w:rsid w:val="00D1094C"/>
    <w:rsid w:val="00D10970"/>
    <w:rsid w:val="00D10A56"/>
    <w:rsid w:val="00D10F8F"/>
    <w:rsid w:val="00D11201"/>
    <w:rsid w:val="00D11720"/>
    <w:rsid w:val="00D11A4F"/>
    <w:rsid w:val="00D11C91"/>
    <w:rsid w:val="00D12103"/>
    <w:rsid w:val="00D1217C"/>
    <w:rsid w:val="00D1219F"/>
    <w:rsid w:val="00D121A5"/>
    <w:rsid w:val="00D1235B"/>
    <w:rsid w:val="00D12AB9"/>
    <w:rsid w:val="00D12C05"/>
    <w:rsid w:val="00D12E1B"/>
    <w:rsid w:val="00D12EA0"/>
    <w:rsid w:val="00D12EDC"/>
    <w:rsid w:val="00D13012"/>
    <w:rsid w:val="00D13038"/>
    <w:rsid w:val="00D131C3"/>
    <w:rsid w:val="00D131F8"/>
    <w:rsid w:val="00D13647"/>
    <w:rsid w:val="00D13668"/>
    <w:rsid w:val="00D13882"/>
    <w:rsid w:val="00D13A32"/>
    <w:rsid w:val="00D13C34"/>
    <w:rsid w:val="00D13FDE"/>
    <w:rsid w:val="00D1435E"/>
    <w:rsid w:val="00D14696"/>
    <w:rsid w:val="00D14699"/>
    <w:rsid w:val="00D147B9"/>
    <w:rsid w:val="00D149B7"/>
    <w:rsid w:val="00D149EA"/>
    <w:rsid w:val="00D14A87"/>
    <w:rsid w:val="00D14D2F"/>
    <w:rsid w:val="00D14E50"/>
    <w:rsid w:val="00D14E8D"/>
    <w:rsid w:val="00D150CA"/>
    <w:rsid w:val="00D15526"/>
    <w:rsid w:val="00D155E5"/>
    <w:rsid w:val="00D15601"/>
    <w:rsid w:val="00D15678"/>
    <w:rsid w:val="00D15862"/>
    <w:rsid w:val="00D15865"/>
    <w:rsid w:val="00D15994"/>
    <w:rsid w:val="00D15A18"/>
    <w:rsid w:val="00D15C5F"/>
    <w:rsid w:val="00D15CDD"/>
    <w:rsid w:val="00D15CF5"/>
    <w:rsid w:val="00D15D6D"/>
    <w:rsid w:val="00D15E31"/>
    <w:rsid w:val="00D15F00"/>
    <w:rsid w:val="00D161D1"/>
    <w:rsid w:val="00D1633D"/>
    <w:rsid w:val="00D16929"/>
    <w:rsid w:val="00D16A8C"/>
    <w:rsid w:val="00D16E39"/>
    <w:rsid w:val="00D17137"/>
    <w:rsid w:val="00D172DA"/>
    <w:rsid w:val="00D173E0"/>
    <w:rsid w:val="00D177F3"/>
    <w:rsid w:val="00D17A69"/>
    <w:rsid w:val="00D17C3D"/>
    <w:rsid w:val="00D17E83"/>
    <w:rsid w:val="00D20025"/>
    <w:rsid w:val="00D20320"/>
    <w:rsid w:val="00D20340"/>
    <w:rsid w:val="00D20358"/>
    <w:rsid w:val="00D2063C"/>
    <w:rsid w:val="00D207C4"/>
    <w:rsid w:val="00D20988"/>
    <w:rsid w:val="00D209CF"/>
    <w:rsid w:val="00D20C65"/>
    <w:rsid w:val="00D20D79"/>
    <w:rsid w:val="00D2101A"/>
    <w:rsid w:val="00D2110C"/>
    <w:rsid w:val="00D215D2"/>
    <w:rsid w:val="00D2181A"/>
    <w:rsid w:val="00D218CD"/>
    <w:rsid w:val="00D2192B"/>
    <w:rsid w:val="00D21A76"/>
    <w:rsid w:val="00D21CC6"/>
    <w:rsid w:val="00D21D8F"/>
    <w:rsid w:val="00D22164"/>
    <w:rsid w:val="00D2237B"/>
    <w:rsid w:val="00D22C8B"/>
    <w:rsid w:val="00D22CC5"/>
    <w:rsid w:val="00D22EEA"/>
    <w:rsid w:val="00D23198"/>
    <w:rsid w:val="00D231EC"/>
    <w:rsid w:val="00D235EA"/>
    <w:rsid w:val="00D237B1"/>
    <w:rsid w:val="00D237CB"/>
    <w:rsid w:val="00D237CC"/>
    <w:rsid w:val="00D23850"/>
    <w:rsid w:val="00D23A62"/>
    <w:rsid w:val="00D242BA"/>
    <w:rsid w:val="00D24440"/>
    <w:rsid w:val="00D246BE"/>
    <w:rsid w:val="00D247C5"/>
    <w:rsid w:val="00D2480A"/>
    <w:rsid w:val="00D24A0A"/>
    <w:rsid w:val="00D24A15"/>
    <w:rsid w:val="00D24BCF"/>
    <w:rsid w:val="00D24F20"/>
    <w:rsid w:val="00D25022"/>
    <w:rsid w:val="00D25110"/>
    <w:rsid w:val="00D25130"/>
    <w:rsid w:val="00D251DA"/>
    <w:rsid w:val="00D2525E"/>
    <w:rsid w:val="00D2540C"/>
    <w:rsid w:val="00D25723"/>
    <w:rsid w:val="00D25961"/>
    <w:rsid w:val="00D25A77"/>
    <w:rsid w:val="00D25A80"/>
    <w:rsid w:val="00D25BA6"/>
    <w:rsid w:val="00D25E31"/>
    <w:rsid w:val="00D25E55"/>
    <w:rsid w:val="00D25F6E"/>
    <w:rsid w:val="00D264B0"/>
    <w:rsid w:val="00D2695B"/>
    <w:rsid w:val="00D26A00"/>
    <w:rsid w:val="00D26DB5"/>
    <w:rsid w:val="00D27033"/>
    <w:rsid w:val="00D278D1"/>
    <w:rsid w:val="00D2790B"/>
    <w:rsid w:val="00D27D47"/>
    <w:rsid w:val="00D27E22"/>
    <w:rsid w:val="00D301FC"/>
    <w:rsid w:val="00D3032A"/>
    <w:rsid w:val="00D30633"/>
    <w:rsid w:val="00D30636"/>
    <w:rsid w:val="00D3072C"/>
    <w:rsid w:val="00D30A2C"/>
    <w:rsid w:val="00D30F6C"/>
    <w:rsid w:val="00D310F4"/>
    <w:rsid w:val="00D311C2"/>
    <w:rsid w:val="00D312CD"/>
    <w:rsid w:val="00D312DA"/>
    <w:rsid w:val="00D31546"/>
    <w:rsid w:val="00D31714"/>
    <w:rsid w:val="00D317CF"/>
    <w:rsid w:val="00D31BE1"/>
    <w:rsid w:val="00D322E7"/>
    <w:rsid w:val="00D32369"/>
    <w:rsid w:val="00D326BA"/>
    <w:rsid w:val="00D32D9D"/>
    <w:rsid w:val="00D32DF5"/>
    <w:rsid w:val="00D32E31"/>
    <w:rsid w:val="00D32F9E"/>
    <w:rsid w:val="00D32FF2"/>
    <w:rsid w:val="00D33154"/>
    <w:rsid w:val="00D33485"/>
    <w:rsid w:val="00D33842"/>
    <w:rsid w:val="00D33884"/>
    <w:rsid w:val="00D33B9F"/>
    <w:rsid w:val="00D34003"/>
    <w:rsid w:val="00D34053"/>
    <w:rsid w:val="00D34194"/>
    <w:rsid w:val="00D34267"/>
    <w:rsid w:val="00D343E6"/>
    <w:rsid w:val="00D34493"/>
    <w:rsid w:val="00D347DA"/>
    <w:rsid w:val="00D34886"/>
    <w:rsid w:val="00D34CE0"/>
    <w:rsid w:val="00D350FC"/>
    <w:rsid w:val="00D3516A"/>
    <w:rsid w:val="00D35231"/>
    <w:rsid w:val="00D35244"/>
    <w:rsid w:val="00D3534B"/>
    <w:rsid w:val="00D35407"/>
    <w:rsid w:val="00D35460"/>
    <w:rsid w:val="00D3560C"/>
    <w:rsid w:val="00D3561E"/>
    <w:rsid w:val="00D3575F"/>
    <w:rsid w:val="00D35B56"/>
    <w:rsid w:val="00D35C53"/>
    <w:rsid w:val="00D35DAA"/>
    <w:rsid w:val="00D35F85"/>
    <w:rsid w:val="00D3618A"/>
    <w:rsid w:val="00D3622D"/>
    <w:rsid w:val="00D3626F"/>
    <w:rsid w:val="00D36276"/>
    <w:rsid w:val="00D36338"/>
    <w:rsid w:val="00D3633F"/>
    <w:rsid w:val="00D363D4"/>
    <w:rsid w:val="00D36403"/>
    <w:rsid w:val="00D3654B"/>
    <w:rsid w:val="00D36631"/>
    <w:rsid w:val="00D3691D"/>
    <w:rsid w:val="00D36ACB"/>
    <w:rsid w:val="00D36FE2"/>
    <w:rsid w:val="00D3702A"/>
    <w:rsid w:val="00D370A1"/>
    <w:rsid w:val="00D37358"/>
    <w:rsid w:val="00D37370"/>
    <w:rsid w:val="00D374EF"/>
    <w:rsid w:val="00D376DB"/>
    <w:rsid w:val="00D37741"/>
    <w:rsid w:val="00D3784B"/>
    <w:rsid w:val="00D37952"/>
    <w:rsid w:val="00D37993"/>
    <w:rsid w:val="00D37A4F"/>
    <w:rsid w:val="00D37A89"/>
    <w:rsid w:val="00D37DB9"/>
    <w:rsid w:val="00D37DDC"/>
    <w:rsid w:val="00D37E87"/>
    <w:rsid w:val="00D37F6B"/>
    <w:rsid w:val="00D402C1"/>
    <w:rsid w:val="00D4043F"/>
    <w:rsid w:val="00D407A9"/>
    <w:rsid w:val="00D40848"/>
    <w:rsid w:val="00D408E5"/>
    <w:rsid w:val="00D40AE2"/>
    <w:rsid w:val="00D40B81"/>
    <w:rsid w:val="00D40BF6"/>
    <w:rsid w:val="00D40C90"/>
    <w:rsid w:val="00D40D7D"/>
    <w:rsid w:val="00D40E79"/>
    <w:rsid w:val="00D40F0F"/>
    <w:rsid w:val="00D41163"/>
    <w:rsid w:val="00D415CF"/>
    <w:rsid w:val="00D4163D"/>
    <w:rsid w:val="00D417C7"/>
    <w:rsid w:val="00D41A5F"/>
    <w:rsid w:val="00D41C78"/>
    <w:rsid w:val="00D41CB5"/>
    <w:rsid w:val="00D41D54"/>
    <w:rsid w:val="00D41E04"/>
    <w:rsid w:val="00D41E19"/>
    <w:rsid w:val="00D42161"/>
    <w:rsid w:val="00D42633"/>
    <w:rsid w:val="00D4283F"/>
    <w:rsid w:val="00D42C3C"/>
    <w:rsid w:val="00D42CC5"/>
    <w:rsid w:val="00D4311E"/>
    <w:rsid w:val="00D43228"/>
    <w:rsid w:val="00D43267"/>
    <w:rsid w:val="00D4354D"/>
    <w:rsid w:val="00D43553"/>
    <w:rsid w:val="00D43792"/>
    <w:rsid w:val="00D43BF2"/>
    <w:rsid w:val="00D43DFB"/>
    <w:rsid w:val="00D43F94"/>
    <w:rsid w:val="00D442FF"/>
    <w:rsid w:val="00D444D4"/>
    <w:rsid w:val="00D44811"/>
    <w:rsid w:val="00D44828"/>
    <w:rsid w:val="00D448DB"/>
    <w:rsid w:val="00D44F33"/>
    <w:rsid w:val="00D4521C"/>
    <w:rsid w:val="00D4576A"/>
    <w:rsid w:val="00D45782"/>
    <w:rsid w:val="00D45B16"/>
    <w:rsid w:val="00D45F5E"/>
    <w:rsid w:val="00D460B3"/>
    <w:rsid w:val="00D4620A"/>
    <w:rsid w:val="00D4663A"/>
    <w:rsid w:val="00D4680B"/>
    <w:rsid w:val="00D46C61"/>
    <w:rsid w:val="00D46DC0"/>
    <w:rsid w:val="00D46DEC"/>
    <w:rsid w:val="00D471B0"/>
    <w:rsid w:val="00D471D2"/>
    <w:rsid w:val="00D471F8"/>
    <w:rsid w:val="00D47454"/>
    <w:rsid w:val="00D4769E"/>
    <w:rsid w:val="00D476BD"/>
    <w:rsid w:val="00D479A0"/>
    <w:rsid w:val="00D47AD8"/>
    <w:rsid w:val="00D47B98"/>
    <w:rsid w:val="00D47E10"/>
    <w:rsid w:val="00D47EED"/>
    <w:rsid w:val="00D47EF6"/>
    <w:rsid w:val="00D47F81"/>
    <w:rsid w:val="00D502B8"/>
    <w:rsid w:val="00D504D5"/>
    <w:rsid w:val="00D50518"/>
    <w:rsid w:val="00D50596"/>
    <w:rsid w:val="00D508D0"/>
    <w:rsid w:val="00D50A17"/>
    <w:rsid w:val="00D50A90"/>
    <w:rsid w:val="00D50EBE"/>
    <w:rsid w:val="00D51379"/>
    <w:rsid w:val="00D514CE"/>
    <w:rsid w:val="00D51555"/>
    <w:rsid w:val="00D51688"/>
    <w:rsid w:val="00D51840"/>
    <w:rsid w:val="00D5197B"/>
    <w:rsid w:val="00D51D10"/>
    <w:rsid w:val="00D52261"/>
    <w:rsid w:val="00D52363"/>
    <w:rsid w:val="00D524E2"/>
    <w:rsid w:val="00D52C37"/>
    <w:rsid w:val="00D52E6C"/>
    <w:rsid w:val="00D52F51"/>
    <w:rsid w:val="00D52FD9"/>
    <w:rsid w:val="00D530B4"/>
    <w:rsid w:val="00D53139"/>
    <w:rsid w:val="00D5337C"/>
    <w:rsid w:val="00D533CC"/>
    <w:rsid w:val="00D53830"/>
    <w:rsid w:val="00D53CE5"/>
    <w:rsid w:val="00D54452"/>
    <w:rsid w:val="00D54551"/>
    <w:rsid w:val="00D54720"/>
    <w:rsid w:val="00D5489C"/>
    <w:rsid w:val="00D54948"/>
    <w:rsid w:val="00D549CD"/>
    <w:rsid w:val="00D54B2C"/>
    <w:rsid w:val="00D54B77"/>
    <w:rsid w:val="00D54C15"/>
    <w:rsid w:val="00D54C61"/>
    <w:rsid w:val="00D54D93"/>
    <w:rsid w:val="00D55038"/>
    <w:rsid w:val="00D5503B"/>
    <w:rsid w:val="00D5508B"/>
    <w:rsid w:val="00D551FA"/>
    <w:rsid w:val="00D55613"/>
    <w:rsid w:val="00D558DD"/>
    <w:rsid w:val="00D55A87"/>
    <w:rsid w:val="00D55A99"/>
    <w:rsid w:val="00D55BC2"/>
    <w:rsid w:val="00D55F0F"/>
    <w:rsid w:val="00D55F28"/>
    <w:rsid w:val="00D56230"/>
    <w:rsid w:val="00D56290"/>
    <w:rsid w:val="00D56332"/>
    <w:rsid w:val="00D5649A"/>
    <w:rsid w:val="00D56AEC"/>
    <w:rsid w:val="00D56C7B"/>
    <w:rsid w:val="00D56E6F"/>
    <w:rsid w:val="00D56EBD"/>
    <w:rsid w:val="00D57338"/>
    <w:rsid w:val="00D574D0"/>
    <w:rsid w:val="00D57579"/>
    <w:rsid w:val="00D57DC3"/>
    <w:rsid w:val="00D57E5F"/>
    <w:rsid w:val="00D60231"/>
    <w:rsid w:val="00D60465"/>
    <w:rsid w:val="00D607FE"/>
    <w:rsid w:val="00D608F6"/>
    <w:rsid w:val="00D60EA8"/>
    <w:rsid w:val="00D6101D"/>
    <w:rsid w:val="00D61214"/>
    <w:rsid w:val="00D61340"/>
    <w:rsid w:val="00D61977"/>
    <w:rsid w:val="00D61E3F"/>
    <w:rsid w:val="00D61FA1"/>
    <w:rsid w:val="00D6235B"/>
    <w:rsid w:val="00D6269C"/>
    <w:rsid w:val="00D62A40"/>
    <w:rsid w:val="00D62DAE"/>
    <w:rsid w:val="00D63CB7"/>
    <w:rsid w:val="00D63F47"/>
    <w:rsid w:val="00D640F7"/>
    <w:rsid w:val="00D641C7"/>
    <w:rsid w:val="00D642E4"/>
    <w:rsid w:val="00D64D16"/>
    <w:rsid w:val="00D64E18"/>
    <w:rsid w:val="00D64F50"/>
    <w:rsid w:val="00D64F59"/>
    <w:rsid w:val="00D64FC5"/>
    <w:rsid w:val="00D65155"/>
    <w:rsid w:val="00D6517F"/>
    <w:rsid w:val="00D652DA"/>
    <w:rsid w:val="00D65635"/>
    <w:rsid w:val="00D656DA"/>
    <w:rsid w:val="00D65C17"/>
    <w:rsid w:val="00D65D6D"/>
    <w:rsid w:val="00D65DAA"/>
    <w:rsid w:val="00D65E70"/>
    <w:rsid w:val="00D65F11"/>
    <w:rsid w:val="00D66200"/>
    <w:rsid w:val="00D66211"/>
    <w:rsid w:val="00D6662B"/>
    <w:rsid w:val="00D66745"/>
    <w:rsid w:val="00D66D02"/>
    <w:rsid w:val="00D66E19"/>
    <w:rsid w:val="00D66F39"/>
    <w:rsid w:val="00D66F81"/>
    <w:rsid w:val="00D66FE4"/>
    <w:rsid w:val="00D670D5"/>
    <w:rsid w:val="00D6743B"/>
    <w:rsid w:val="00D67455"/>
    <w:rsid w:val="00D67469"/>
    <w:rsid w:val="00D67496"/>
    <w:rsid w:val="00D6751C"/>
    <w:rsid w:val="00D67599"/>
    <w:rsid w:val="00D675E6"/>
    <w:rsid w:val="00D6775C"/>
    <w:rsid w:val="00D67808"/>
    <w:rsid w:val="00D67AD6"/>
    <w:rsid w:val="00D67BC6"/>
    <w:rsid w:val="00D67BDF"/>
    <w:rsid w:val="00D67CD2"/>
    <w:rsid w:val="00D67FAD"/>
    <w:rsid w:val="00D70081"/>
    <w:rsid w:val="00D703B3"/>
    <w:rsid w:val="00D703DF"/>
    <w:rsid w:val="00D70492"/>
    <w:rsid w:val="00D705E0"/>
    <w:rsid w:val="00D70976"/>
    <w:rsid w:val="00D70A9B"/>
    <w:rsid w:val="00D70AC4"/>
    <w:rsid w:val="00D70D8E"/>
    <w:rsid w:val="00D712AB"/>
    <w:rsid w:val="00D718C1"/>
    <w:rsid w:val="00D71B8D"/>
    <w:rsid w:val="00D71D91"/>
    <w:rsid w:val="00D72085"/>
    <w:rsid w:val="00D722CE"/>
    <w:rsid w:val="00D723EB"/>
    <w:rsid w:val="00D72443"/>
    <w:rsid w:val="00D7280D"/>
    <w:rsid w:val="00D728C8"/>
    <w:rsid w:val="00D72D66"/>
    <w:rsid w:val="00D72D82"/>
    <w:rsid w:val="00D72E70"/>
    <w:rsid w:val="00D72F79"/>
    <w:rsid w:val="00D73105"/>
    <w:rsid w:val="00D7322D"/>
    <w:rsid w:val="00D73236"/>
    <w:rsid w:val="00D736E6"/>
    <w:rsid w:val="00D73869"/>
    <w:rsid w:val="00D73A1D"/>
    <w:rsid w:val="00D73C37"/>
    <w:rsid w:val="00D74266"/>
    <w:rsid w:val="00D74282"/>
    <w:rsid w:val="00D74445"/>
    <w:rsid w:val="00D744A0"/>
    <w:rsid w:val="00D74825"/>
    <w:rsid w:val="00D74DEA"/>
    <w:rsid w:val="00D75188"/>
    <w:rsid w:val="00D75385"/>
    <w:rsid w:val="00D753DB"/>
    <w:rsid w:val="00D75410"/>
    <w:rsid w:val="00D7547A"/>
    <w:rsid w:val="00D754FA"/>
    <w:rsid w:val="00D75688"/>
    <w:rsid w:val="00D756D9"/>
    <w:rsid w:val="00D75B3D"/>
    <w:rsid w:val="00D75B97"/>
    <w:rsid w:val="00D75C4A"/>
    <w:rsid w:val="00D75F83"/>
    <w:rsid w:val="00D75F9D"/>
    <w:rsid w:val="00D7637F"/>
    <w:rsid w:val="00D76468"/>
    <w:rsid w:val="00D7668E"/>
    <w:rsid w:val="00D766EC"/>
    <w:rsid w:val="00D7678D"/>
    <w:rsid w:val="00D767F9"/>
    <w:rsid w:val="00D769A9"/>
    <w:rsid w:val="00D76BA6"/>
    <w:rsid w:val="00D76DD6"/>
    <w:rsid w:val="00D76E10"/>
    <w:rsid w:val="00D771B7"/>
    <w:rsid w:val="00D7735E"/>
    <w:rsid w:val="00D7736F"/>
    <w:rsid w:val="00D77381"/>
    <w:rsid w:val="00D77465"/>
    <w:rsid w:val="00D77673"/>
    <w:rsid w:val="00D778AC"/>
    <w:rsid w:val="00D77A6A"/>
    <w:rsid w:val="00D77A96"/>
    <w:rsid w:val="00D77AA1"/>
    <w:rsid w:val="00D77E82"/>
    <w:rsid w:val="00D77EF7"/>
    <w:rsid w:val="00D77FD4"/>
    <w:rsid w:val="00D8021D"/>
    <w:rsid w:val="00D806F2"/>
    <w:rsid w:val="00D80AF9"/>
    <w:rsid w:val="00D80B87"/>
    <w:rsid w:val="00D80B8C"/>
    <w:rsid w:val="00D80CA2"/>
    <w:rsid w:val="00D8106D"/>
    <w:rsid w:val="00D8118C"/>
    <w:rsid w:val="00D8124F"/>
    <w:rsid w:val="00D8136E"/>
    <w:rsid w:val="00D8154F"/>
    <w:rsid w:val="00D8167A"/>
    <w:rsid w:val="00D8172B"/>
    <w:rsid w:val="00D81812"/>
    <w:rsid w:val="00D8198B"/>
    <w:rsid w:val="00D81A18"/>
    <w:rsid w:val="00D81CC9"/>
    <w:rsid w:val="00D8205E"/>
    <w:rsid w:val="00D82297"/>
    <w:rsid w:val="00D822F6"/>
    <w:rsid w:val="00D82363"/>
    <w:rsid w:val="00D825FC"/>
    <w:rsid w:val="00D828E5"/>
    <w:rsid w:val="00D82DF6"/>
    <w:rsid w:val="00D83033"/>
    <w:rsid w:val="00D8307F"/>
    <w:rsid w:val="00D83215"/>
    <w:rsid w:val="00D833D2"/>
    <w:rsid w:val="00D8355E"/>
    <w:rsid w:val="00D83580"/>
    <w:rsid w:val="00D8361F"/>
    <w:rsid w:val="00D83B45"/>
    <w:rsid w:val="00D83D29"/>
    <w:rsid w:val="00D83EC3"/>
    <w:rsid w:val="00D840E0"/>
    <w:rsid w:val="00D841DA"/>
    <w:rsid w:val="00D842AF"/>
    <w:rsid w:val="00D84513"/>
    <w:rsid w:val="00D84515"/>
    <w:rsid w:val="00D847CD"/>
    <w:rsid w:val="00D847D0"/>
    <w:rsid w:val="00D847D4"/>
    <w:rsid w:val="00D84AA3"/>
    <w:rsid w:val="00D84B36"/>
    <w:rsid w:val="00D84C46"/>
    <w:rsid w:val="00D84CB9"/>
    <w:rsid w:val="00D84E7B"/>
    <w:rsid w:val="00D853FC"/>
    <w:rsid w:val="00D85534"/>
    <w:rsid w:val="00D85555"/>
    <w:rsid w:val="00D8576E"/>
    <w:rsid w:val="00D857C2"/>
    <w:rsid w:val="00D858F6"/>
    <w:rsid w:val="00D85911"/>
    <w:rsid w:val="00D859E4"/>
    <w:rsid w:val="00D85B79"/>
    <w:rsid w:val="00D85F39"/>
    <w:rsid w:val="00D8604F"/>
    <w:rsid w:val="00D863C9"/>
    <w:rsid w:val="00D86A7F"/>
    <w:rsid w:val="00D86C89"/>
    <w:rsid w:val="00D86D89"/>
    <w:rsid w:val="00D86F3F"/>
    <w:rsid w:val="00D87215"/>
    <w:rsid w:val="00D87746"/>
    <w:rsid w:val="00D877EA"/>
    <w:rsid w:val="00D904C3"/>
    <w:rsid w:val="00D9065A"/>
    <w:rsid w:val="00D906F4"/>
    <w:rsid w:val="00D9074E"/>
    <w:rsid w:val="00D90BE2"/>
    <w:rsid w:val="00D90EC4"/>
    <w:rsid w:val="00D90EFA"/>
    <w:rsid w:val="00D90FCC"/>
    <w:rsid w:val="00D915F9"/>
    <w:rsid w:val="00D9183B"/>
    <w:rsid w:val="00D9185A"/>
    <w:rsid w:val="00D919CF"/>
    <w:rsid w:val="00D91B8B"/>
    <w:rsid w:val="00D91B9A"/>
    <w:rsid w:val="00D920AD"/>
    <w:rsid w:val="00D92768"/>
    <w:rsid w:val="00D928C3"/>
    <w:rsid w:val="00D928F7"/>
    <w:rsid w:val="00D9299E"/>
    <w:rsid w:val="00D92CF7"/>
    <w:rsid w:val="00D93219"/>
    <w:rsid w:val="00D93314"/>
    <w:rsid w:val="00D934D7"/>
    <w:rsid w:val="00D93524"/>
    <w:rsid w:val="00D9357B"/>
    <w:rsid w:val="00D935F5"/>
    <w:rsid w:val="00D936F9"/>
    <w:rsid w:val="00D9381A"/>
    <w:rsid w:val="00D939DB"/>
    <w:rsid w:val="00D93A27"/>
    <w:rsid w:val="00D93A74"/>
    <w:rsid w:val="00D93B31"/>
    <w:rsid w:val="00D93BF9"/>
    <w:rsid w:val="00D942F0"/>
    <w:rsid w:val="00D944C3"/>
    <w:rsid w:val="00D94594"/>
    <w:rsid w:val="00D945F7"/>
    <w:rsid w:val="00D9463C"/>
    <w:rsid w:val="00D94694"/>
    <w:rsid w:val="00D94A0B"/>
    <w:rsid w:val="00D94AF9"/>
    <w:rsid w:val="00D94B57"/>
    <w:rsid w:val="00D94D00"/>
    <w:rsid w:val="00D95027"/>
    <w:rsid w:val="00D95036"/>
    <w:rsid w:val="00D954C5"/>
    <w:rsid w:val="00D9553B"/>
    <w:rsid w:val="00D9558A"/>
    <w:rsid w:val="00D958D5"/>
    <w:rsid w:val="00D959A3"/>
    <w:rsid w:val="00D95B17"/>
    <w:rsid w:val="00D95BF8"/>
    <w:rsid w:val="00D95C6D"/>
    <w:rsid w:val="00D9648D"/>
    <w:rsid w:val="00D96693"/>
    <w:rsid w:val="00D9695D"/>
    <w:rsid w:val="00D96EB6"/>
    <w:rsid w:val="00D97174"/>
    <w:rsid w:val="00D974B4"/>
    <w:rsid w:val="00D97627"/>
    <w:rsid w:val="00D97A8C"/>
    <w:rsid w:val="00D97ACE"/>
    <w:rsid w:val="00D97EC9"/>
    <w:rsid w:val="00DA08FA"/>
    <w:rsid w:val="00DA0AD4"/>
    <w:rsid w:val="00DA0C20"/>
    <w:rsid w:val="00DA0D09"/>
    <w:rsid w:val="00DA1A79"/>
    <w:rsid w:val="00DA1B69"/>
    <w:rsid w:val="00DA1CFC"/>
    <w:rsid w:val="00DA1E9B"/>
    <w:rsid w:val="00DA1FA8"/>
    <w:rsid w:val="00DA2076"/>
    <w:rsid w:val="00DA21AB"/>
    <w:rsid w:val="00DA232E"/>
    <w:rsid w:val="00DA23B9"/>
    <w:rsid w:val="00DA244A"/>
    <w:rsid w:val="00DA2578"/>
    <w:rsid w:val="00DA267F"/>
    <w:rsid w:val="00DA268C"/>
    <w:rsid w:val="00DA2929"/>
    <w:rsid w:val="00DA2A45"/>
    <w:rsid w:val="00DA2C5F"/>
    <w:rsid w:val="00DA2CB5"/>
    <w:rsid w:val="00DA2D06"/>
    <w:rsid w:val="00DA2D1D"/>
    <w:rsid w:val="00DA3713"/>
    <w:rsid w:val="00DA3798"/>
    <w:rsid w:val="00DA37EB"/>
    <w:rsid w:val="00DA38BE"/>
    <w:rsid w:val="00DA3AC9"/>
    <w:rsid w:val="00DA3D31"/>
    <w:rsid w:val="00DA3E42"/>
    <w:rsid w:val="00DA3F1B"/>
    <w:rsid w:val="00DA3F2A"/>
    <w:rsid w:val="00DA440D"/>
    <w:rsid w:val="00DA449C"/>
    <w:rsid w:val="00DA450E"/>
    <w:rsid w:val="00DA45F4"/>
    <w:rsid w:val="00DA4621"/>
    <w:rsid w:val="00DA4921"/>
    <w:rsid w:val="00DA4CAE"/>
    <w:rsid w:val="00DA5089"/>
    <w:rsid w:val="00DA52DE"/>
    <w:rsid w:val="00DA578A"/>
    <w:rsid w:val="00DA5845"/>
    <w:rsid w:val="00DA5B66"/>
    <w:rsid w:val="00DA5D3D"/>
    <w:rsid w:val="00DA641B"/>
    <w:rsid w:val="00DA669F"/>
    <w:rsid w:val="00DA6A7E"/>
    <w:rsid w:val="00DA6AAA"/>
    <w:rsid w:val="00DA6AEC"/>
    <w:rsid w:val="00DA6C8A"/>
    <w:rsid w:val="00DA6CA7"/>
    <w:rsid w:val="00DA6E8C"/>
    <w:rsid w:val="00DA73A6"/>
    <w:rsid w:val="00DA77EC"/>
    <w:rsid w:val="00DA7955"/>
    <w:rsid w:val="00DA7A32"/>
    <w:rsid w:val="00DA7FF7"/>
    <w:rsid w:val="00DB0115"/>
    <w:rsid w:val="00DB01D6"/>
    <w:rsid w:val="00DB052E"/>
    <w:rsid w:val="00DB07A9"/>
    <w:rsid w:val="00DB0976"/>
    <w:rsid w:val="00DB0E7F"/>
    <w:rsid w:val="00DB0F9F"/>
    <w:rsid w:val="00DB0FF3"/>
    <w:rsid w:val="00DB103E"/>
    <w:rsid w:val="00DB15D8"/>
    <w:rsid w:val="00DB187E"/>
    <w:rsid w:val="00DB1AB2"/>
    <w:rsid w:val="00DB1BE2"/>
    <w:rsid w:val="00DB1C1D"/>
    <w:rsid w:val="00DB1C39"/>
    <w:rsid w:val="00DB1C8D"/>
    <w:rsid w:val="00DB1D1B"/>
    <w:rsid w:val="00DB1D59"/>
    <w:rsid w:val="00DB2011"/>
    <w:rsid w:val="00DB21BC"/>
    <w:rsid w:val="00DB2AF7"/>
    <w:rsid w:val="00DB2BFE"/>
    <w:rsid w:val="00DB308C"/>
    <w:rsid w:val="00DB32F5"/>
    <w:rsid w:val="00DB34F8"/>
    <w:rsid w:val="00DB36B2"/>
    <w:rsid w:val="00DB3791"/>
    <w:rsid w:val="00DB38F8"/>
    <w:rsid w:val="00DB39CB"/>
    <w:rsid w:val="00DB3BDF"/>
    <w:rsid w:val="00DB3EBC"/>
    <w:rsid w:val="00DB3F9E"/>
    <w:rsid w:val="00DB43A7"/>
    <w:rsid w:val="00DB4480"/>
    <w:rsid w:val="00DB4742"/>
    <w:rsid w:val="00DB4769"/>
    <w:rsid w:val="00DB4876"/>
    <w:rsid w:val="00DB49C8"/>
    <w:rsid w:val="00DB4DED"/>
    <w:rsid w:val="00DB50E7"/>
    <w:rsid w:val="00DB54AE"/>
    <w:rsid w:val="00DB55D8"/>
    <w:rsid w:val="00DB56BD"/>
    <w:rsid w:val="00DB5788"/>
    <w:rsid w:val="00DB5A7F"/>
    <w:rsid w:val="00DB5B1B"/>
    <w:rsid w:val="00DB5B70"/>
    <w:rsid w:val="00DB5BE3"/>
    <w:rsid w:val="00DB5C05"/>
    <w:rsid w:val="00DB60C8"/>
    <w:rsid w:val="00DB6181"/>
    <w:rsid w:val="00DB632D"/>
    <w:rsid w:val="00DB6391"/>
    <w:rsid w:val="00DB64DA"/>
    <w:rsid w:val="00DB6890"/>
    <w:rsid w:val="00DB69AE"/>
    <w:rsid w:val="00DB6B5C"/>
    <w:rsid w:val="00DB6C6A"/>
    <w:rsid w:val="00DB7108"/>
    <w:rsid w:val="00DB7140"/>
    <w:rsid w:val="00DB7199"/>
    <w:rsid w:val="00DB720C"/>
    <w:rsid w:val="00DB722B"/>
    <w:rsid w:val="00DB74A2"/>
    <w:rsid w:val="00DB7696"/>
    <w:rsid w:val="00DB77F8"/>
    <w:rsid w:val="00DB7965"/>
    <w:rsid w:val="00DB7AC7"/>
    <w:rsid w:val="00DB7C1B"/>
    <w:rsid w:val="00DB7C23"/>
    <w:rsid w:val="00DC0235"/>
    <w:rsid w:val="00DC02A9"/>
    <w:rsid w:val="00DC03B2"/>
    <w:rsid w:val="00DC03EC"/>
    <w:rsid w:val="00DC04A5"/>
    <w:rsid w:val="00DC0682"/>
    <w:rsid w:val="00DC0964"/>
    <w:rsid w:val="00DC0A42"/>
    <w:rsid w:val="00DC0AEC"/>
    <w:rsid w:val="00DC0BBB"/>
    <w:rsid w:val="00DC0F2B"/>
    <w:rsid w:val="00DC0FB9"/>
    <w:rsid w:val="00DC0FE1"/>
    <w:rsid w:val="00DC11F4"/>
    <w:rsid w:val="00DC1364"/>
    <w:rsid w:val="00DC1687"/>
    <w:rsid w:val="00DC1793"/>
    <w:rsid w:val="00DC1958"/>
    <w:rsid w:val="00DC1963"/>
    <w:rsid w:val="00DC1975"/>
    <w:rsid w:val="00DC1E51"/>
    <w:rsid w:val="00DC20C2"/>
    <w:rsid w:val="00DC22A4"/>
    <w:rsid w:val="00DC2450"/>
    <w:rsid w:val="00DC2603"/>
    <w:rsid w:val="00DC2608"/>
    <w:rsid w:val="00DC2732"/>
    <w:rsid w:val="00DC295F"/>
    <w:rsid w:val="00DC2B34"/>
    <w:rsid w:val="00DC2EDA"/>
    <w:rsid w:val="00DC30A2"/>
    <w:rsid w:val="00DC30BA"/>
    <w:rsid w:val="00DC315D"/>
    <w:rsid w:val="00DC35BA"/>
    <w:rsid w:val="00DC3636"/>
    <w:rsid w:val="00DC3648"/>
    <w:rsid w:val="00DC3950"/>
    <w:rsid w:val="00DC3BA7"/>
    <w:rsid w:val="00DC3DA6"/>
    <w:rsid w:val="00DC3DC1"/>
    <w:rsid w:val="00DC40A6"/>
    <w:rsid w:val="00DC41DA"/>
    <w:rsid w:val="00DC42B2"/>
    <w:rsid w:val="00DC4612"/>
    <w:rsid w:val="00DC4691"/>
    <w:rsid w:val="00DC4754"/>
    <w:rsid w:val="00DC47EC"/>
    <w:rsid w:val="00DC47F4"/>
    <w:rsid w:val="00DC4CB0"/>
    <w:rsid w:val="00DC4DDD"/>
    <w:rsid w:val="00DC4EB7"/>
    <w:rsid w:val="00DC4EC2"/>
    <w:rsid w:val="00DC503F"/>
    <w:rsid w:val="00DC548E"/>
    <w:rsid w:val="00DC5E5B"/>
    <w:rsid w:val="00DC5EFC"/>
    <w:rsid w:val="00DC61D0"/>
    <w:rsid w:val="00DC62ED"/>
    <w:rsid w:val="00DC63E3"/>
    <w:rsid w:val="00DC63EF"/>
    <w:rsid w:val="00DC6502"/>
    <w:rsid w:val="00DC6C6D"/>
    <w:rsid w:val="00DC6E01"/>
    <w:rsid w:val="00DC6E8B"/>
    <w:rsid w:val="00DC6EA5"/>
    <w:rsid w:val="00DC6FA8"/>
    <w:rsid w:val="00DC70B2"/>
    <w:rsid w:val="00DC72E4"/>
    <w:rsid w:val="00DC7AEF"/>
    <w:rsid w:val="00DC7B56"/>
    <w:rsid w:val="00DC7D28"/>
    <w:rsid w:val="00DC7D3A"/>
    <w:rsid w:val="00DC7F05"/>
    <w:rsid w:val="00DC7F22"/>
    <w:rsid w:val="00DC7F83"/>
    <w:rsid w:val="00DD05F9"/>
    <w:rsid w:val="00DD066D"/>
    <w:rsid w:val="00DD0896"/>
    <w:rsid w:val="00DD0996"/>
    <w:rsid w:val="00DD100B"/>
    <w:rsid w:val="00DD1017"/>
    <w:rsid w:val="00DD101B"/>
    <w:rsid w:val="00DD10A0"/>
    <w:rsid w:val="00DD11C6"/>
    <w:rsid w:val="00DD14A1"/>
    <w:rsid w:val="00DD14ED"/>
    <w:rsid w:val="00DD174E"/>
    <w:rsid w:val="00DD1896"/>
    <w:rsid w:val="00DD18F5"/>
    <w:rsid w:val="00DD1942"/>
    <w:rsid w:val="00DD1B62"/>
    <w:rsid w:val="00DD1D36"/>
    <w:rsid w:val="00DD1ECA"/>
    <w:rsid w:val="00DD2186"/>
    <w:rsid w:val="00DD22D3"/>
    <w:rsid w:val="00DD2437"/>
    <w:rsid w:val="00DD244F"/>
    <w:rsid w:val="00DD24E7"/>
    <w:rsid w:val="00DD265E"/>
    <w:rsid w:val="00DD26A8"/>
    <w:rsid w:val="00DD2AF5"/>
    <w:rsid w:val="00DD2FE2"/>
    <w:rsid w:val="00DD309C"/>
    <w:rsid w:val="00DD310B"/>
    <w:rsid w:val="00DD37CC"/>
    <w:rsid w:val="00DD39BA"/>
    <w:rsid w:val="00DD3F51"/>
    <w:rsid w:val="00DD46C6"/>
    <w:rsid w:val="00DD472A"/>
    <w:rsid w:val="00DD4A93"/>
    <w:rsid w:val="00DD4B94"/>
    <w:rsid w:val="00DD4EE1"/>
    <w:rsid w:val="00DD5176"/>
    <w:rsid w:val="00DD5472"/>
    <w:rsid w:val="00DD563B"/>
    <w:rsid w:val="00DD5686"/>
    <w:rsid w:val="00DD574A"/>
    <w:rsid w:val="00DD5A86"/>
    <w:rsid w:val="00DD5DD1"/>
    <w:rsid w:val="00DD5FDD"/>
    <w:rsid w:val="00DD61C3"/>
    <w:rsid w:val="00DD6361"/>
    <w:rsid w:val="00DD6873"/>
    <w:rsid w:val="00DD68E5"/>
    <w:rsid w:val="00DD6F36"/>
    <w:rsid w:val="00DD70BE"/>
    <w:rsid w:val="00DD7515"/>
    <w:rsid w:val="00DD76C2"/>
    <w:rsid w:val="00DD78FE"/>
    <w:rsid w:val="00DD7CD3"/>
    <w:rsid w:val="00DE0FAB"/>
    <w:rsid w:val="00DE114C"/>
    <w:rsid w:val="00DE11F5"/>
    <w:rsid w:val="00DE1616"/>
    <w:rsid w:val="00DE1644"/>
    <w:rsid w:val="00DE1F9D"/>
    <w:rsid w:val="00DE1FFA"/>
    <w:rsid w:val="00DE2350"/>
    <w:rsid w:val="00DE26C4"/>
    <w:rsid w:val="00DE2737"/>
    <w:rsid w:val="00DE2AFA"/>
    <w:rsid w:val="00DE2F0D"/>
    <w:rsid w:val="00DE30D8"/>
    <w:rsid w:val="00DE3211"/>
    <w:rsid w:val="00DE3653"/>
    <w:rsid w:val="00DE379C"/>
    <w:rsid w:val="00DE3BC4"/>
    <w:rsid w:val="00DE3D3E"/>
    <w:rsid w:val="00DE3D7A"/>
    <w:rsid w:val="00DE4216"/>
    <w:rsid w:val="00DE468E"/>
    <w:rsid w:val="00DE4877"/>
    <w:rsid w:val="00DE48BE"/>
    <w:rsid w:val="00DE4C40"/>
    <w:rsid w:val="00DE4F58"/>
    <w:rsid w:val="00DE4F91"/>
    <w:rsid w:val="00DE51B7"/>
    <w:rsid w:val="00DE546C"/>
    <w:rsid w:val="00DE5755"/>
    <w:rsid w:val="00DE58B0"/>
    <w:rsid w:val="00DE5E2D"/>
    <w:rsid w:val="00DE6152"/>
    <w:rsid w:val="00DE61C6"/>
    <w:rsid w:val="00DE6560"/>
    <w:rsid w:val="00DE65B4"/>
    <w:rsid w:val="00DE6658"/>
    <w:rsid w:val="00DE6A14"/>
    <w:rsid w:val="00DE6C5B"/>
    <w:rsid w:val="00DE6CEC"/>
    <w:rsid w:val="00DE6E65"/>
    <w:rsid w:val="00DE6EFD"/>
    <w:rsid w:val="00DE74B0"/>
    <w:rsid w:val="00DE783E"/>
    <w:rsid w:val="00DE790E"/>
    <w:rsid w:val="00DE7C23"/>
    <w:rsid w:val="00DE7FA0"/>
    <w:rsid w:val="00DE7FFA"/>
    <w:rsid w:val="00DF013E"/>
    <w:rsid w:val="00DF01D9"/>
    <w:rsid w:val="00DF0258"/>
    <w:rsid w:val="00DF03BB"/>
    <w:rsid w:val="00DF0432"/>
    <w:rsid w:val="00DF0675"/>
    <w:rsid w:val="00DF09A6"/>
    <w:rsid w:val="00DF0AB6"/>
    <w:rsid w:val="00DF0C5D"/>
    <w:rsid w:val="00DF0FA1"/>
    <w:rsid w:val="00DF1148"/>
    <w:rsid w:val="00DF13A0"/>
    <w:rsid w:val="00DF1654"/>
    <w:rsid w:val="00DF16C7"/>
    <w:rsid w:val="00DF1A6A"/>
    <w:rsid w:val="00DF1B53"/>
    <w:rsid w:val="00DF1B64"/>
    <w:rsid w:val="00DF1BDC"/>
    <w:rsid w:val="00DF1F3B"/>
    <w:rsid w:val="00DF22E5"/>
    <w:rsid w:val="00DF238C"/>
    <w:rsid w:val="00DF24DA"/>
    <w:rsid w:val="00DF2675"/>
    <w:rsid w:val="00DF272D"/>
    <w:rsid w:val="00DF28EC"/>
    <w:rsid w:val="00DF2A17"/>
    <w:rsid w:val="00DF2AA7"/>
    <w:rsid w:val="00DF2B4B"/>
    <w:rsid w:val="00DF2D2A"/>
    <w:rsid w:val="00DF2E58"/>
    <w:rsid w:val="00DF2FD7"/>
    <w:rsid w:val="00DF350F"/>
    <w:rsid w:val="00DF3668"/>
    <w:rsid w:val="00DF3706"/>
    <w:rsid w:val="00DF3C82"/>
    <w:rsid w:val="00DF3E31"/>
    <w:rsid w:val="00DF43B6"/>
    <w:rsid w:val="00DF4453"/>
    <w:rsid w:val="00DF4673"/>
    <w:rsid w:val="00DF4677"/>
    <w:rsid w:val="00DF48E9"/>
    <w:rsid w:val="00DF4909"/>
    <w:rsid w:val="00DF49EB"/>
    <w:rsid w:val="00DF4F5C"/>
    <w:rsid w:val="00DF51B2"/>
    <w:rsid w:val="00DF51E6"/>
    <w:rsid w:val="00DF5223"/>
    <w:rsid w:val="00DF5990"/>
    <w:rsid w:val="00DF59CB"/>
    <w:rsid w:val="00DF5E3D"/>
    <w:rsid w:val="00DF5F34"/>
    <w:rsid w:val="00DF6BA9"/>
    <w:rsid w:val="00DF6CA6"/>
    <w:rsid w:val="00DF6CE1"/>
    <w:rsid w:val="00DF6D77"/>
    <w:rsid w:val="00DF7105"/>
    <w:rsid w:val="00DF7252"/>
    <w:rsid w:val="00DF72DC"/>
    <w:rsid w:val="00DF749F"/>
    <w:rsid w:val="00DF750A"/>
    <w:rsid w:val="00DF7A68"/>
    <w:rsid w:val="00DF7D7A"/>
    <w:rsid w:val="00DF7DA5"/>
    <w:rsid w:val="00E00097"/>
    <w:rsid w:val="00E000AB"/>
    <w:rsid w:val="00E000D9"/>
    <w:rsid w:val="00E0053E"/>
    <w:rsid w:val="00E00549"/>
    <w:rsid w:val="00E00BDD"/>
    <w:rsid w:val="00E00CA1"/>
    <w:rsid w:val="00E00FEF"/>
    <w:rsid w:val="00E01092"/>
    <w:rsid w:val="00E01491"/>
    <w:rsid w:val="00E01771"/>
    <w:rsid w:val="00E017E3"/>
    <w:rsid w:val="00E01B7F"/>
    <w:rsid w:val="00E01E02"/>
    <w:rsid w:val="00E02309"/>
    <w:rsid w:val="00E025B0"/>
    <w:rsid w:val="00E02638"/>
    <w:rsid w:val="00E0276D"/>
    <w:rsid w:val="00E02A16"/>
    <w:rsid w:val="00E02C25"/>
    <w:rsid w:val="00E02C9F"/>
    <w:rsid w:val="00E02E79"/>
    <w:rsid w:val="00E030CA"/>
    <w:rsid w:val="00E0311A"/>
    <w:rsid w:val="00E034EF"/>
    <w:rsid w:val="00E03509"/>
    <w:rsid w:val="00E03529"/>
    <w:rsid w:val="00E035F0"/>
    <w:rsid w:val="00E0384F"/>
    <w:rsid w:val="00E038E5"/>
    <w:rsid w:val="00E03C3C"/>
    <w:rsid w:val="00E03E99"/>
    <w:rsid w:val="00E040E8"/>
    <w:rsid w:val="00E0410D"/>
    <w:rsid w:val="00E042C9"/>
    <w:rsid w:val="00E045AC"/>
    <w:rsid w:val="00E04628"/>
    <w:rsid w:val="00E0489E"/>
    <w:rsid w:val="00E049F4"/>
    <w:rsid w:val="00E04FCA"/>
    <w:rsid w:val="00E05198"/>
    <w:rsid w:val="00E05426"/>
    <w:rsid w:val="00E054C4"/>
    <w:rsid w:val="00E055C2"/>
    <w:rsid w:val="00E055E7"/>
    <w:rsid w:val="00E056CA"/>
    <w:rsid w:val="00E05B21"/>
    <w:rsid w:val="00E05C7B"/>
    <w:rsid w:val="00E05F10"/>
    <w:rsid w:val="00E06314"/>
    <w:rsid w:val="00E063E3"/>
    <w:rsid w:val="00E06724"/>
    <w:rsid w:val="00E06753"/>
    <w:rsid w:val="00E069EA"/>
    <w:rsid w:val="00E06CF8"/>
    <w:rsid w:val="00E06D5D"/>
    <w:rsid w:val="00E0732C"/>
    <w:rsid w:val="00E073EB"/>
    <w:rsid w:val="00E0744B"/>
    <w:rsid w:val="00E0756E"/>
    <w:rsid w:val="00E0776D"/>
    <w:rsid w:val="00E07780"/>
    <w:rsid w:val="00E07858"/>
    <w:rsid w:val="00E079B1"/>
    <w:rsid w:val="00E07A3D"/>
    <w:rsid w:val="00E07AB5"/>
    <w:rsid w:val="00E07DCF"/>
    <w:rsid w:val="00E1033A"/>
    <w:rsid w:val="00E10348"/>
    <w:rsid w:val="00E103E9"/>
    <w:rsid w:val="00E10455"/>
    <w:rsid w:val="00E109F8"/>
    <w:rsid w:val="00E10A43"/>
    <w:rsid w:val="00E10AAF"/>
    <w:rsid w:val="00E112B6"/>
    <w:rsid w:val="00E11575"/>
    <w:rsid w:val="00E11706"/>
    <w:rsid w:val="00E117D5"/>
    <w:rsid w:val="00E11889"/>
    <w:rsid w:val="00E11DCB"/>
    <w:rsid w:val="00E11ED7"/>
    <w:rsid w:val="00E11F05"/>
    <w:rsid w:val="00E1204D"/>
    <w:rsid w:val="00E120C3"/>
    <w:rsid w:val="00E12616"/>
    <w:rsid w:val="00E12809"/>
    <w:rsid w:val="00E129E7"/>
    <w:rsid w:val="00E12A2C"/>
    <w:rsid w:val="00E12B0B"/>
    <w:rsid w:val="00E12B92"/>
    <w:rsid w:val="00E12D7F"/>
    <w:rsid w:val="00E12E97"/>
    <w:rsid w:val="00E131C7"/>
    <w:rsid w:val="00E13372"/>
    <w:rsid w:val="00E13504"/>
    <w:rsid w:val="00E13600"/>
    <w:rsid w:val="00E13694"/>
    <w:rsid w:val="00E13846"/>
    <w:rsid w:val="00E13941"/>
    <w:rsid w:val="00E13C4A"/>
    <w:rsid w:val="00E13D88"/>
    <w:rsid w:val="00E13ECA"/>
    <w:rsid w:val="00E13F7D"/>
    <w:rsid w:val="00E14179"/>
    <w:rsid w:val="00E143B1"/>
    <w:rsid w:val="00E14A7E"/>
    <w:rsid w:val="00E14BB7"/>
    <w:rsid w:val="00E14BFE"/>
    <w:rsid w:val="00E14DE7"/>
    <w:rsid w:val="00E14DF4"/>
    <w:rsid w:val="00E14F3D"/>
    <w:rsid w:val="00E1503C"/>
    <w:rsid w:val="00E153A1"/>
    <w:rsid w:val="00E154A3"/>
    <w:rsid w:val="00E15510"/>
    <w:rsid w:val="00E15661"/>
    <w:rsid w:val="00E15701"/>
    <w:rsid w:val="00E15933"/>
    <w:rsid w:val="00E15A1F"/>
    <w:rsid w:val="00E16706"/>
    <w:rsid w:val="00E16769"/>
    <w:rsid w:val="00E1683B"/>
    <w:rsid w:val="00E16EF3"/>
    <w:rsid w:val="00E17203"/>
    <w:rsid w:val="00E17239"/>
    <w:rsid w:val="00E175B0"/>
    <w:rsid w:val="00E17B31"/>
    <w:rsid w:val="00E17C90"/>
    <w:rsid w:val="00E17F84"/>
    <w:rsid w:val="00E201B3"/>
    <w:rsid w:val="00E2023B"/>
    <w:rsid w:val="00E2024E"/>
    <w:rsid w:val="00E20664"/>
    <w:rsid w:val="00E20901"/>
    <w:rsid w:val="00E209E4"/>
    <w:rsid w:val="00E20A78"/>
    <w:rsid w:val="00E20B1A"/>
    <w:rsid w:val="00E20B6E"/>
    <w:rsid w:val="00E20D81"/>
    <w:rsid w:val="00E20FC1"/>
    <w:rsid w:val="00E213BF"/>
    <w:rsid w:val="00E21409"/>
    <w:rsid w:val="00E21493"/>
    <w:rsid w:val="00E215C3"/>
    <w:rsid w:val="00E21721"/>
    <w:rsid w:val="00E2172E"/>
    <w:rsid w:val="00E218F3"/>
    <w:rsid w:val="00E21CE5"/>
    <w:rsid w:val="00E21ED7"/>
    <w:rsid w:val="00E22151"/>
    <w:rsid w:val="00E22474"/>
    <w:rsid w:val="00E2295B"/>
    <w:rsid w:val="00E22973"/>
    <w:rsid w:val="00E229ED"/>
    <w:rsid w:val="00E22BE8"/>
    <w:rsid w:val="00E22C36"/>
    <w:rsid w:val="00E22CDF"/>
    <w:rsid w:val="00E22CFA"/>
    <w:rsid w:val="00E22D52"/>
    <w:rsid w:val="00E22D78"/>
    <w:rsid w:val="00E2310D"/>
    <w:rsid w:val="00E2312A"/>
    <w:rsid w:val="00E231CF"/>
    <w:rsid w:val="00E23459"/>
    <w:rsid w:val="00E2382D"/>
    <w:rsid w:val="00E23875"/>
    <w:rsid w:val="00E23955"/>
    <w:rsid w:val="00E23C9F"/>
    <w:rsid w:val="00E23D69"/>
    <w:rsid w:val="00E23EF5"/>
    <w:rsid w:val="00E23F0C"/>
    <w:rsid w:val="00E23F90"/>
    <w:rsid w:val="00E24236"/>
    <w:rsid w:val="00E243C0"/>
    <w:rsid w:val="00E2478F"/>
    <w:rsid w:val="00E24896"/>
    <w:rsid w:val="00E24E59"/>
    <w:rsid w:val="00E24EFC"/>
    <w:rsid w:val="00E24F0C"/>
    <w:rsid w:val="00E25046"/>
    <w:rsid w:val="00E250BE"/>
    <w:rsid w:val="00E250F3"/>
    <w:rsid w:val="00E25642"/>
    <w:rsid w:val="00E256B0"/>
    <w:rsid w:val="00E25BEE"/>
    <w:rsid w:val="00E262C5"/>
    <w:rsid w:val="00E26604"/>
    <w:rsid w:val="00E267DB"/>
    <w:rsid w:val="00E26921"/>
    <w:rsid w:val="00E26992"/>
    <w:rsid w:val="00E26E7D"/>
    <w:rsid w:val="00E2720F"/>
    <w:rsid w:val="00E278CD"/>
    <w:rsid w:val="00E27B8A"/>
    <w:rsid w:val="00E27BB2"/>
    <w:rsid w:val="00E27F24"/>
    <w:rsid w:val="00E3022C"/>
    <w:rsid w:val="00E307E9"/>
    <w:rsid w:val="00E3090E"/>
    <w:rsid w:val="00E309CC"/>
    <w:rsid w:val="00E30A5E"/>
    <w:rsid w:val="00E30B00"/>
    <w:rsid w:val="00E30C75"/>
    <w:rsid w:val="00E30C8B"/>
    <w:rsid w:val="00E30CF9"/>
    <w:rsid w:val="00E30DCC"/>
    <w:rsid w:val="00E30EEB"/>
    <w:rsid w:val="00E313D9"/>
    <w:rsid w:val="00E31618"/>
    <w:rsid w:val="00E31D5B"/>
    <w:rsid w:val="00E31D9C"/>
    <w:rsid w:val="00E31DF1"/>
    <w:rsid w:val="00E31E4B"/>
    <w:rsid w:val="00E31E74"/>
    <w:rsid w:val="00E31FCA"/>
    <w:rsid w:val="00E3200D"/>
    <w:rsid w:val="00E32252"/>
    <w:rsid w:val="00E32285"/>
    <w:rsid w:val="00E32313"/>
    <w:rsid w:val="00E324A6"/>
    <w:rsid w:val="00E33306"/>
    <w:rsid w:val="00E333DE"/>
    <w:rsid w:val="00E33A4A"/>
    <w:rsid w:val="00E33CD1"/>
    <w:rsid w:val="00E33D44"/>
    <w:rsid w:val="00E33EF4"/>
    <w:rsid w:val="00E34491"/>
    <w:rsid w:val="00E34642"/>
    <w:rsid w:val="00E34833"/>
    <w:rsid w:val="00E348D1"/>
    <w:rsid w:val="00E349F0"/>
    <w:rsid w:val="00E34A44"/>
    <w:rsid w:val="00E34BDB"/>
    <w:rsid w:val="00E34C98"/>
    <w:rsid w:val="00E34E4C"/>
    <w:rsid w:val="00E34EC4"/>
    <w:rsid w:val="00E34EEF"/>
    <w:rsid w:val="00E34EFA"/>
    <w:rsid w:val="00E35006"/>
    <w:rsid w:val="00E3508F"/>
    <w:rsid w:val="00E35314"/>
    <w:rsid w:val="00E3540C"/>
    <w:rsid w:val="00E354AA"/>
    <w:rsid w:val="00E354B3"/>
    <w:rsid w:val="00E3551D"/>
    <w:rsid w:val="00E35696"/>
    <w:rsid w:val="00E35758"/>
    <w:rsid w:val="00E357B3"/>
    <w:rsid w:val="00E35A4C"/>
    <w:rsid w:val="00E35AE4"/>
    <w:rsid w:val="00E35C7E"/>
    <w:rsid w:val="00E35E42"/>
    <w:rsid w:val="00E35F3C"/>
    <w:rsid w:val="00E361E6"/>
    <w:rsid w:val="00E36232"/>
    <w:rsid w:val="00E36594"/>
    <w:rsid w:val="00E36639"/>
    <w:rsid w:val="00E36874"/>
    <w:rsid w:val="00E3688E"/>
    <w:rsid w:val="00E36A5B"/>
    <w:rsid w:val="00E36C99"/>
    <w:rsid w:val="00E36CE7"/>
    <w:rsid w:val="00E36CEE"/>
    <w:rsid w:val="00E36D7E"/>
    <w:rsid w:val="00E36E3B"/>
    <w:rsid w:val="00E36F86"/>
    <w:rsid w:val="00E36FA8"/>
    <w:rsid w:val="00E3701A"/>
    <w:rsid w:val="00E370B5"/>
    <w:rsid w:val="00E37135"/>
    <w:rsid w:val="00E371DA"/>
    <w:rsid w:val="00E373B0"/>
    <w:rsid w:val="00E37696"/>
    <w:rsid w:val="00E376A7"/>
    <w:rsid w:val="00E379F8"/>
    <w:rsid w:val="00E37F54"/>
    <w:rsid w:val="00E37FAB"/>
    <w:rsid w:val="00E4027F"/>
    <w:rsid w:val="00E4067D"/>
    <w:rsid w:val="00E4089D"/>
    <w:rsid w:val="00E40C46"/>
    <w:rsid w:val="00E40CEB"/>
    <w:rsid w:val="00E411D0"/>
    <w:rsid w:val="00E413DB"/>
    <w:rsid w:val="00E4144F"/>
    <w:rsid w:val="00E41529"/>
    <w:rsid w:val="00E415B6"/>
    <w:rsid w:val="00E415F8"/>
    <w:rsid w:val="00E417D7"/>
    <w:rsid w:val="00E41D7A"/>
    <w:rsid w:val="00E4211D"/>
    <w:rsid w:val="00E42211"/>
    <w:rsid w:val="00E423B4"/>
    <w:rsid w:val="00E4241B"/>
    <w:rsid w:val="00E4284D"/>
    <w:rsid w:val="00E42922"/>
    <w:rsid w:val="00E42ADD"/>
    <w:rsid w:val="00E42B91"/>
    <w:rsid w:val="00E42C48"/>
    <w:rsid w:val="00E42CBE"/>
    <w:rsid w:val="00E42CEF"/>
    <w:rsid w:val="00E43058"/>
    <w:rsid w:val="00E43203"/>
    <w:rsid w:val="00E43355"/>
    <w:rsid w:val="00E433E4"/>
    <w:rsid w:val="00E43499"/>
    <w:rsid w:val="00E43687"/>
    <w:rsid w:val="00E43906"/>
    <w:rsid w:val="00E440FE"/>
    <w:rsid w:val="00E4435C"/>
    <w:rsid w:val="00E448BD"/>
    <w:rsid w:val="00E44D2E"/>
    <w:rsid w:val="00E44ED8"/>
    <w:rsid w:val="00E458E4"/>
    <w:rsid w:val="00E45E73"/>
    <w:rsid w:val="00E4622A"/>
    <w:rsid w:val="00E4627F"/>
    <w:rsid w:val="00E46429"/>
    <w:rsid w:val="00E464E7"/>
    <w:rsid w:val="00E4684D"/>
    <w:rsid w:val="00E468EC"/>
    <w:rsid w:val="00E46B4D"/>
    <w:rsid w:val="00E46BC8"/>
    <w:rsid w:val="00E46C22"/>
    <w:rsid w:val="00E46C65"/>
    <w:rsid w:val="00E46D85"/>
    <w:rsid w:val="00E46DBE"/>
    <w:rsid w:val="00E46E13"/>
    <w:rsid w:val="00E46FEB"/>
    <w:rsid w:val="00E4706C"/>
    <w:rsid w:val="00E470F9"/>
    <w:rsid w:val="00E47310"/>
    <w:rsid w:val="00E47322"/>
    <w:rsid w:val="00E47411"/>
    <w:rsid w:val="00E474F6"/>
    <w:rsid w:val="00E47579"/>
    <w:rsid w:val="00E47626"/>
    <w:rsid w:val="00E476DA"/>
    <w:rsid w:val="00E4790A"/>
    <w:rsid w:val="00E47A26"/>
    <w:rsid w:val="00E47D1D"/>
    <w:rsid w:val="00E47E87"/>
    <w:rsid w:val="00E47E8B"/>
    <w:rsid w:val="00E50080"/>
    <w:rsid w:val="00E500D6"/>
    <w:rsid w:val="00E5016A"/>
    <w:rsid w:val="00E50355"/>
    <w:rsid w:val="00E510ED"/>
    <w:rsid w:val="00E5121D"/>
    <w:rsid w:val="00E5137F"/>
    <w:rsid w:val="00E51673"/>
    <w:rsid w:val="00E51C0A"/>
    <w:rsid w:val="00E51C41"/>
    <w:rsid w:val="00E52041"/>
    <w:rsid w:val="00E52669"/>
    <w:rsid w:val="00E52AF7"/>
    <w:rsid w:val="00E52BB4"/>
    <w:rsid w:val="00E52CB9"/>
    <w:rsid w:val="00E52D72"/>
    <w:rsid w:val="00E52DEA"/>
    <w:rsid w:val="00E52E60"/>
    <w:rsid w:val="00E53066"/>
    <w:rsid w:val="00E5317C"/>
    <w:rsid w:val="00E533C0"/>
    <w:rsid w:val="00E534A9"/>
    <w:rsid w:val="00E53A62"/>
    <w:rsid w:val="00E53A63"/>
    <w:rsid w:val="00E53B9A"/>
    <w:rsid w:val="00E53C8A"/>
    <w:rsid w:val="00E54152"/>
    <w:rsid w:val="00E54220"/>
    <w:rsid w:val="00E542AA"/>
    <w:rsid w:val="00E548EE"/>
    <w:rsid w:val="00E54924"/>
    <w:rsid w:val="00E54980"/>
    <w:rsid w:val="00E54CB9"/>
    <w:rsid w:val="00E54CC8"/>
    <w:rsid w:val="00E54DC1"/>
    <w:rsid w:val="00E54E4E"/>
    <w:rsid w:val="00E550CA"/>
    <w:rsid w:val="00E5516D"/>
    <w:rsid w:val="00E556FF"/>
    <w:rsid w:val="00E55926"/>
    <w:rsid w:val="00E55997"/>
    <w:rsid w:val="00E55CCC"/>
    <w:rsid w:val="00E55DC4"/>
    <w:rsid w:val="00E55E79"/>
    <w:rsid w:val="00E55EE2"/>
    <w:rsid w:val="00E5645A"/>
    <w:rsid w:val="00E56CC0"/>
    <w:rsid w:val="00E56F77"/>
    <w:rsid w:val="00E56FE5"/>
    <w:rsid w:val="00E56FFE"/>
    <w:rsid w:val="00E570E3"/>
    <w:rsid w:val="00E5744B"/>
    <w:rsid w:val="00E57561"/>
    <w:rsid w:val="00E57679"/>
    <w:rsid w:val="00E576AF"/>
    <w:rsid w:val="00E5793F"/>
    <w:rsid w:val="00E57A75"/>
    <w:rsid w:val="00E57B4C"/>
    <w:rsid w:val="00E57C38"/>
    <w:rsid w:val="00E57D94"/>
    <w:rsid w:val="00E5926D"/>
    <w:rsid w:val="00E600AA"/>
    <w:rsid w:val="00E601AC"/>
    <w:rsid w:val="00E6071F"/>
    <w:rsid w:val="00E60A77"/>
    <w:rsid w:val="00E60B56"/>
    <w:rsid w:val="00E60E23"/>
    <w:rsid w:val="00E60F0D"/>
    <w:rsid w:val="00E60F8B"/>
    <w:rsid w:val="00E61041"/>
    <w:rsid w:val="00E614A4"/>
    <w:rsid w:val="00E6157B"/>
    <w:rsid w:val="00E61634"/>
    <w:rsid w:val="00E6184E"/>
    <w:rsid w:val="00E61C1B"/>
    <w:rsid w:val="00E62030"/>
    <w:rsid w:val="00E620BE"/>
    <w:rsid w:val="00E622F2"/>
    <w:rsid w:val="00E624DD"/>
    <w:rsid w:val="00E62717"/>
    <w:rsid w:val="00E62785"/>
    <w:rsid w:val="00E62928"/>
    <w:rsid w:val="00E62D98"/>
    <w:rsid w:val="00E62DD5"/>
    <w:rsid w:val="00E62DEF"/>
    <w:rsid w:val="00E62EA4"/>
    <w:rsid w:val="00E63075"/>
    <w:rsid w:val="00E631EE"/>
    <w:rsid w:val="00E63215"/>
    <w:rsid w:val="00E632A6"/>
    <w:rsid w:val="00E632ED"/>
    <w:rsid w:val="00E63506"/>
    <w:rsid w:val="00E6366A"/>
    <w:rsid w:val="00E63700"/>
    <w:rsid w:val="00E638CF"/>
    <w:rsid w:val="00E63A2B"/>
    <w:rsid w:val="00E63D49"/>
    <w:rsid w:val="00E6419A"/>
    <w:rsid w:val="00E644DD"/>
    <w:rsid w:val="00E64603"/>
    <w:rsid w:val="00E6463C"/>
    <w:rsid w:val="00E64642"/>
    <w:rsid w:val="00E646E8"/>
    <w:rsid w:val="00E64843"/>
    <w:rsid w:val="00E64995"/>
    <w:rsid w:val="00E64B10"/>
    <w:rsid w:val="00E64B96"/>
    <w:rsid w:val="00E64EB1"/>
    <w:rsid w:val="00E65000"/>
    <w:rsid w:val="00E654F4"/>
    <w:rsid w:val="00E6589C"/>
    <w:rsid w:val="00E65904"/>
    <w:rsid w:val="00E659EF"/>
    <w:rsid w:val="00E65AE5"/>
    <w:rsid w:val="00E65CB4"/>
    <w:rsid w:val="00E6603E"/>
    <w:rsid w:val="00E66257"/>
    <w:rsid w:val="00E66274"/>
    <w:rsid w:val="00E66407"/>
    <w:rsid w:val="00E666BF"/>
    <w:rsid w:val="00E668E5"/>
    <w:rsid w:val="00E66A51"/>
    <w:rsid w:val="00E66B7F"/>
    <w:rsid w:val="00E66C75"/>
    <w:rsid w:val="00E66F07"/>
    <w:rsid w:val="00E670B8"/>
    <w:rsid w:val="00E67179"/>
    <w:rsid w:val="00E6747B"/>
    <w:rsid w:val="00E67854"/>
    <w:rsid w:val="00E6787F"/>
    <w:rsid w:val="00E67ABA"/>
    <w:rsid w:val="00E67BF4"/>
    <w:rsid w:val="00E67C12"/>
    <w:rsid w:val="00E67D4E"/>
    <w:rsid w:val="00E67D7E"/>
    <w:rsid w:val="00E67EFD"/>
    <w:rsid w:val="00E67EFF"/>
    <w:rsid w:val="00E70079"/>
    <w:rsid w:val="00E70122"/>
    <w:rsid w:val="00E70293"/>
    <w:rsid w:val="00E7066C"/>
    <w:rsid w:val="00E706D1"/>
    <w:rsid w:val="00E706D9"/>
    <w:rsid w:val="00E709A8"/>
    <w:rsid w:val="00E70E7A"/>
    <w:rsid w:val="00E70EB1"/>
    <w:rsid w:val="00E716DD"/>
    <w:rsid w:val="00E72059"/>
    <w:rsid w:val="00E72250"/>
    <w:rsid w:val="00E72412"/>
    <w:rsid w:val="00E724AF"/>
    <w:rsid w:val="00E725A9"/>
    <w:rsid w:val="00E725C8"/>
    <w:rsid w:val="00E727FB"/>
    <w:rsid w:val="00E72971"/>
    <w:rsid w:val="00E72B75"/>
    <w:rsid w:val="00E72BF9"/>
    <w:rsid w:val="00E72C30"/>
    <w:rsid w:val="00E72C7B"/>
    <w:rsid w:val="00E72C86"/>
    <w:rsid w:val="00E72FB6"/>
    <w:rsid w:val="00E7306A"/>
    <w:rsid w:val="00E73193"/>
    <w:rsid w:val="00E7333C"/>
    <w:rsid w:val="00E73430"/>
    <w:rsid w:val="00E73567"/>
    <w:rsid w:val="00E735E5"/>
    <w:rsid w:val="00E73660"/>
    <w:rsid w:val="00E7384A"/>
    <w:rsid w:val="00E7385B"/>
    <w:rsid w:val="00E73C61"/>
    <w:rsid w:val="00E73C87"/>
    <w:rsid w:val="00E73D6B"/>
    <w:rsid w:val="00E743B1"/>
    <w:rsid w:val="00E74B49"/>
    <w:rsid w:val="00E74BF1"/>
    <w:rsid w:val="00E74C19"/>
    <w:rsid w:val="00E74CEA"/>
    <w:rsid w:val="00E74E7F"/>
    <w:rsid w:val="00E75045"/>
    <w:rsid w:val="00E75126"/>
    <w:rsid w:val="00E75946"/>
    <w:rsid w:val="00E75BBD"/>
    <w:rsid w:val="00E75D6A"/>
    <w:rsid w:val="00E7635D"/>
    <w:rsid w:val="00E76554"/>
    <w:rsid w:val="00E76868"/>
    <w:rsid w:val="00E7689B"/>
    <w:rsid w:val="00E7693D"/>
    <w:rsid w:val="00E76A3D"/>
    <w:rsid w:val="00E76B7B"/>
    <w:rsid w:val="00E7707C"/>
    <w:rsid w:val="00E77AF9"/>
    <w:rsid w:val="00E80036"/>
    <w:rsid w:val="00E80055"/>
    <w:rsid w:val="00E800EA"/>
    <w:rsid w:val="00E80300"/>
    <w:rsid w:val="00E803F8"/>
    <w:rsid w:val="00E80444"/>
    <w:rsid w:val="00E8079C"/>
    <w:rsid w:val="00E810B9"/>
    <w:rsid w:val="00E810D5"/>
    <w:rsid w:val="00E81295"/>
    <w:rsid w:val="00E812DD"/>
    <w:rsid w:val="00E8132C"/>
    <w:rsid w:val="00E818DF"/>
    <w:rsid w:val="00E81974"/>
    <w:rsid w:val="00E81B6B"/>
    <w:rsid w:val="00E81BA3"/>
    <w:rsid w:val="00E81C0A"/>
    <w:rsid w:val="00E81CA0"/>
    <w:rsid w:val="00E81E03"/>
    <w:rsid w:val="00E81FA8"/>
    <w:rsid w:val="00E822B8"/>
    <w:rsid w:val="00E82445"/>
    <w:rsid w:val="00E828E5"/>
    <w:rsid w:val="00E82BDC"/>
    <w:rsid w:val="00E82BF0"/>
    <w:rsid w:val="00E82C33"/>
    <w:rsid w:val="00E82C3A"/>
    <w:rsid w:val="00E82F96"/>
    <w:rsid w:val="00E82FA4"/>
    <w:rsid w:val="00E83000"/>
    <w:rsid w:val="00E832EE"/>
    <w:rsid w:val="00E832F2"/>
    <w:rsid w:val="00E8342F"/>
    <w:rsid w:val="00E83B86"/>
    <w:rsid w:val="00E83BEF"/>
    <w:rsid w:val="00E83C1D"/>
    <w:rsid w:val="00E83D5B"/>
    <w:rsid w:val="00E83D77"/>
    <w:rsid w:val="00E83E18"/>
    <w:rsid w:val="00E83E2B"/>
    <w:rsid w:val="00E83F40"/>
    <w:rsid w:val="00E84252"/>
    <w:rsid w:val="00E843AC"/>
    <w:rsid w:val="00E8478D"/>
    <w:rsid w:val="00E848DC"/>
    <w:rsid w:val="00E84D3E"/>
    <w:rsid w:val="00E84D8B"/>
    <w:rsid w:val="00E84F3D"/>
    <w:rsid w:val="00E85060"/>
    <w:rsid w:val="00E850EF"/>
    <w:rsid w:val="00E85A9C"/>
    <w:rsid w:val="00E85BEC"/>
    <w:rsid w:val="00E85CB6"/>
    <w:rsid w:val="00E85F03"/>
    <w:rsid w:val="00E85F17"/>
    <w:rsid w:val="00E85FE7"/>
    <w:rsid w:val="00E8614E"/>
    <w:rsid w:val="00E86217"/>
    <w:rsid w:val="00E86773"/>
    <w:rsid w:val="00E8682E"/>
    <w:rsid w:val="00E868A5"/>
    <w:rsid w:val="00E868B5"/>
    <w:rsid w:val="00E868E7"/>
    <w:rsid w:val="00E86AB3"/>
    <w:rsid w:val="00E86BF0"/>
    <w:rsid w:val="00E86D0A"/>
    <w:rsid w:val="00E86F47"/>
    <w:rsid w:val="00E86F90"/>
    <w:rsid w:val="00E87001"/>
    <w:rsid w:val="00E870EF"/>
    <w:rsid w:val="00E8716E"/>
    <w:rsid w:val="00E87273"/>
    <w:rsid w:val="00E87384"/>
    <w:rsid w:val="00E8739D"/>
    <w:rsid w:val="00E877C3"/>
    <w:rsid w:val="00E877EF"/>
    <w:rsid w:val="00E87B2F"/>
    <w:rsid w:val="00E87BCC"/>
    <w:rsid w:val="00E87CEF"/>
    <w:rsid w:val="00E90101"/>
    <w:rsid w:val="00E9038B"/>
    <w:rsid w:val="00E90462"/>
    <w:rsid w:val="00E904F2"/>
    <w:rsid w:val="00E90578"/>
    <w:rsid w:val="00E9066A"/>
    <w:rsid w:val="00E9068F"/>
    <w:rsid w:val="00E91117"/>
    <w:rsid w:val="00E91205"/>
    <w:rsid w:val="00E91342"/>
    <w:rsid w:val="00E914D8"/>
    <w:rsid w:val="00E92113"/>
    <w:rsid w:val="00E923DE"/>
    <w:rsid w:val="00E923EE"/>
    <w:rsid w:val="00E92457"/>
    <w:rsid w:val="00E9267D"/>
    <w:rsid w:val="00E928B5"/>
    <w:rsid w:val="00E92B10"/>
    <w:rsid w:val="00E92E14"/>
    <w:rsid w:val="00E92FBB"/>
    <w:rsid w:val="00E92FD7"/>
    <w:rsid w:val="00E93183"/>
    <w:rsid w:val="00E93575"/>
    <w:rsid w:val="00E93B9E"/>
    <w:rsid w:val="00E93D22"/>
    <w:rsid w:val="00E94172"/>
    <w:rsid w:val="00E94296"/>
    <w:rsid w:val="00E94380"/>
    <w:rsid w:val="00E944A0"/>
    <w:rsid w:val="00E944BA"/>
    <w:rsid w:val="00E94B52"/>
    <w:rsid w:val="00E94B76"/>
    <w:rsid w:val="00E95040"/>
    <w:rsid w:val="00E950BB"/>
    <w:rsid w:val="00E95413"/>
    <w:rsid w:val="00E95586"/>
    <w:rsid w:val="00E95E0D"/>
    <w:rsid w:val="00E95FB1"/>
    <w:rsid w:val="00E96182"/>
    <w:rsid w:val="00E96413"/>
    <w:rsid w:val="00E96AF9"/>
    <w:rsid w:val="00E96CD8"/>
    <w:rsid w:val="00E96D60"/>
    <w:rsid w:val="00E96ED8"/>
    <w:rsid w:val="00E96F77"/>
    <w:rsid w:val="00E96FFD"/>
    <w:rsid w:val="00E971F4"/>
    <w:rsid w:val="00E972DF"/>
    <w:rsid w:val="00E972F7"/>
    <w:rsid w:val="00E973D5"/>
    <w:rsid w:val="00E97675"/>
    <w:rsid w:val="00E9783E"/>
    <w:rsid w:val="00E97DE3"/>
    <w:rsid w:val="00EA0073"/>
    <w:rsid w:val="00EA00C0"/>
    <w:rsid w:val="00EA01FE"/>
    <w:rsid w:val="00EA02C0"/>
    <w:rsid w:val="00EA0352"/>
    <w:rsid w:val="00EA04B5"/>
    <w:rsid w:val="00EA06DA"/>
    <w:rsid w:val="00EA09B3"/>
    <w:rsid w:val="00EA0CFB"/>
    <w:rsid w:val="00EA0F38"/>
    <w:rsid w:val="00EA14E3"/>
    <w:rsid w:val="00EA14E9"/>
    <w:rsid w:val="00EA15D2"/>
    <w:rsid w:val="00EA15DD"/>
    <w:rsid w:val="00EA1816"/>
    <w:rsid w:val="00EA1A52"/>
    <w:rsid w:val="00EA1AB4"/>
    <w:rsid w:val="00EA1B85"/>
    <w:rsid w:val="00EA282D"/>
    <w:rsid w:val="00EA28AC"/>
    <w:rsid w:val="00EA317C"/>
    <w:rsid w:val="00EA327B"/>
    <w:rsid w:val="00EA36CD"/>
    <w:rsid w:val="00EA3A72"/>
    <w:rsid w:val="00EA3C24"/>
    <w:rsid w:val="00EA3EA8"/>
    <w:rsid w:val="00EA4016"/>
    <w:rsid w:val="00EA4048"/>
    <w:rsid w:val="00EA42C2"/>
    <w:rsid w:val="00EA4780"/>
    <w:rsid w:val="00EA4C31"/>
    <w:rsid w:val="00EA51C1"/>
    <w:rsid w:val="00EA5249"/>
    <w:rsid w:val="00EA578A"/>
    <w:rsid w:val="00EA5D9C"/>
    <w:rsid w:val="00EA61A4"/>
    <w:rsid w:val="00EA6256"/>
    <w:rsid w:val="00EA63E9"/>
    <w:rsid w:val="00EA66EB"/>
    <w:rsid w:val="00EA68E8"/>
    <w:rsid w:val="00EA6AFC"/>
    <w:rsid w:val="00EA6C23"/>
    <w:rsid w:val="00EA6C4D"/>
    <w:rsid w:val="00EA6C91"/>
    <w:rsid w:val="00EA6D16"/>
    <w:rsid w:val="00EA6D5A"/>
    <w:rsid w:val="00EA6DA8"/>
    <w:rsid w:val="00EA6DBB"/>
    <w:rsid w:val="00EA70F5"/>
    <w:rsid w:val="00EA7352"/>
    <w:rsid w:val="00EA7450"/>
    <w:rsid w:val="00EA7515"/>
    <w:rsid w:val="00EA7691"/>
    <w:rsid w:val="00EA772B"/>
    <w:rsid w:val="00EA7FAE"/>
    <w:rsid w:val="00EB0438"/>
    <w:rsid w:val="00EB0440"/>
    <w:rsid w:val="00EB0D82"/>
    <w:rsid w:val="00EB0D85"/>
    <w:rsid w:val="00EB0F6E"/>
    <w:rsid w:val="00EB0FC5"/>
    <w:rsid w:val="00EB1167"/>
    <w:rsid w:val="00EB117B"/>
    <w:rsid w:val="00EB191D"/>
    <w:rsid w:val="00EB1CCD"/>
    <w:rsid w:val="00EB1D01"/>
    <w:rsid w:val="00EB22D0"/>
    <w:rsid w:val="00EB2591"/>
    <w:rsid w:val="00EB26A5"/>
    <w:rsid w:val="00EB27F4"/>
    <w:rsid w:val="00EB2879"/>
    <w:rsid w:val="00EB2B12"/>
    <w:rsid w:val="00EB2BEA"/>
    <w:rsid w:val="00EB2CE0"/>
    <w:rsid w:val="00EB2E79"/>
    <w:rsid w:val="00EB31FA"/>
    <w:rsid w:val="00EB324D"/>
    <w:rsid w:val="00EB33B6"/>
    <w:rsid w:val="00EB3686"/>
    <w:rsid w:val="00EB377C"/>
    <w:rsid w:val="00EB3837"/>
    <w:rsid w:val="00EB3954"/>
    <w:rsid w:val="00EB3990"/>
    <w:rsid w:val="00EB3C09"/>
    <w:rsid w:val="00EB3E07"/>
    <w:rsid w:val="00EB3F74"/>
    <w:rsid w:val="00EB4093"/>
    <w:rsid w:val="00EB4329"/>
    <w:rsid w:val="00EB44D2"/>
    <w:rsid w:val="00EB477D"/>
    <w:rsid w:val="00EB496F"/>
    <w:rsid w:val="00EB4AD7"/>
    <w:rsid w:val="00EB4B05"/>
    <w:rsid w:val="00EB534F"/>
    <w:rsid w:val="00EB535B"/>
    <w:rsid w:val="00EB5B33"/>
    <w:rsid w:val="00EB5E3D"/>
    <w:rsid w:val="00EB5EBA"/>
    <w:rsid w:val="00EB6054"/>
    <w:rsid w:val="00EB607D"/>
    <w:rsid w:val="00EB615D"/>
    <w:rsid w:val="00EB6979"/>
    <w:rsid w:val="00EB6B76"/>
    <w:rsid w:val="00EB6B77"/>
    <w:rsid w:val="00EB6E88"/>
    <w:rsid w:val="00EB6E8F"/>
    <w:rsid w:val="00EB6FA6"/>
    <w:rsid w:val="00EB7064"/>
    <w:rsid w:val="00EB73D4"/>
    <w:rsid w:val="00EB7503"/>
    <w:rsid w:val="00EB7514"/>
    <w:rsid w:val="00EB755C"/>
    <w:rsid w:val="00EB7627"/>
    <w:rsid w:val="00EB7763"/>
    <w:rsid w:val="00EB77B9"/>
    <w:rsid w:val="00EB77F0"/>
    <w:rsid w:val="00EB7968"/>
    <w:rsid w:val="00EB79D5"/>
    <w:rsid w:val="00EB7CA8"/>
    <w:rsid w:val="00EB7ECB"/>
    <w:rsid w:val="00EB7EDC"/>
    <w:rsid w:val="00EB7F7E"/>
    <w:rsid w:val="00EC0188"/>
    <w:rsid w:val="00EC01D9"/>
    <w:rsid w:val="00EC020F"/>
    <w:rsid w:val="00EC0349"/>
    <w:rsid w:val="00EC0395"/>
    <w:rsid w:val="00EC04EA"/>
    <w:rsid w:val="00EC061E"/>
    <w:rsid w:val="00EC066C"/>
    <w:rsid w:val="00EC06FF"/>
    <w:rsid w:val="00EC0B21"/>
    <w:rsid w:val="00EC0CDC"/>
    <w:rsid w:val="00EC0D10"/>
    <w:rsid w:val="00EC0D7E"/>
    <w:rsid w:val="00EC107B"/>
    <w:rsid w:val="00EC1113"/>
    <w:rsid w:val="00EC1494"/>
    <w:rsid w:val="00EC150A"/>
    <w:rsid w:val="00EC155D"/>
    <w:rsid w:val="00EC21D4"/>
    <w:rsid w:val="00EC229B"/>
    <w:rsid w:val="00EC2526"/>
    <w:rsid w:val="00EC2659"/>
    <w:rsid w:val="00EC26E3"/>
    <w:rsid w:val="00EC30AE"/>
    <w:rsid w:val="00EC31EB"/>
    <w:rsid w:val="00EC33C3"/>
    <w:rsid w:val="00EC33CD"/>
    <w:rsid w:val="00EC358C"/>
    <w:rsid w:val="00EC3591"/>
    <w:rsid w:val="00EC366A"/>
    <w:rsid w:val="00EC375C"/>
    <w:rsid w:val="00EC3897"/>
    <w:rsid w:val="00EC3903"/>
    <w:rsid w:val="00EC3BD8"/>
    <w:rsid w:val="00EC3EE3"/>
    <w:rsid w:val="00EC40BB"/>
    <w:rsid w:val="00EC447E"/>
    <w:rsid w:val="00EC44FE"/>
    <w:rsid w:val="00EC455D"/>
    <w:rsid w:val="00EC4724"/>
    <w:rsid w:val="00EC49A3"/>
    <w:rsid w:val="00EC4BE5"/>
    <w:rsid w:val="00EC4BF7"/>
    <w:rsid w:val="00EC4CD1"/>
    <w:rsid w:val="00EC4F1B"/>
    <w:rsid w:val="00EC50FB"/>
    <w:rsid w:val="00EC5593"/>
    <w:rsid w:val="00EC55ED"/>
    <w:rsid w:val="00EC580E"/>
    <w:rsid w:val="00EC584D"/>
    <w:rsid w:val="00EC5994"/>
    <w:rsid w:val="00EC5A4E"/>
    <w:rsid w:val="00EC5CAD"/>
    <w:rsid w:val="00EC5FAA"/>
    <w:rsid w:val="00EC606B"/>
    <w:rsid w:val="00EC6590"/>
    <w:rsid w:val="00EC65B3"/>
    <w:rsid w:val="00EC663F"/>
    <w:rsid w:val="00EC6887"/>
    <w:rsid w:val="00EC69BE"/>
    <w:rsid w:val="00EC6AD7"/>
    <w:rsid w:val="00EC6E4F"/>
    <w:rsid w:val="00EC6EC7"/>
    <w:rsid w:val="00EC6EF7"/>
    <w:rsid w:val="00EC6F6B"/>
    <w:rsid w:val="00EC7385"/>
    <w:rsid w:val="00EC74A8"/>
    <w:rsid w:val="00EC7676"/>
    <w:rsid w:val="00EC76D1"/>
    <w:rsid w:val="00EC7921"/>
    <w:rsid w:val="00EC7C3B"/>
    <w:rsid w:val="00EC7E1F"/>
    <w:rsid w:val="00EC7E3E"/>
    <w:rsid w:val="00ED00FA"/>
    <w:rsid w:val="00ED03FC"/>
    <w:rsid w:val="00ED041D"/>
    <w:rsid w:val="00ED0674"/>
    <w:rsid w:val="00ED06E8"/>
    <w:rsid w:val="00ED0901"/>
    <w:rsid w:val="00ED0ACE"/>
    <w:rsid w:val="00ED1313"/>
    <w:rsid w:val="00ED1782"/>
    <w:rsid w:val="00ED18E1"/>
    <w:rsid w:val="00ED194B"/>
    <w:rsid w:val="00ED1BFA"/>
    <w:rsid w:val="00ED203F"/>
    <w:rsid w:val="00ED23C3"/>
    <w:rsid w:val="00ED2466"/>
    <w:rsid w:val="00ED24EF"/>
    <w:rsid w:val="00ED2600"/>
    <w:rsid w:val="00ED2609"/>
    <w:rsid w:val="00ED26B8"/>
    <w:rsid w:val="00ED2B62"/>
    <w:rsid w:val="00ED3006"/>
    <w:rsid w:val="00ED34D8"/>
    <w:rsid w:val="00ED35C5"/>
    <w:rsid w:val="00ED3B20"/>
    <w:rsid w:val="00ED3B26"/>
    <w:rsid w:val="00ED3C1F"/>
    <w:rsid w:val="00ED3D2F"/>
    <w:rsid w:val="00ED4374"/>
    <w:rsid w:val="00ED4381"/>
    <w:rsid w:val="00ED46AF"/>
    <w:rsid w:val="00ED4710"/>
    <w:rsid w:val="00ED47EE"/>
    <w:rsid w:val="00ED48FB"/>
    <w:rsid w:val="00ED490F"/>
    <w:rsid w:val="00ED4B14"/>
    <w:rsid w:val="00ED4DC8"/>
    <w:rsid w:val="00ED4FE5"/>
    <w:rsid w:val="00ED5085"/>
    <w:rsid w:val="00ED509A"/>
    <w:rsid w:val="00ED5103"/>
    <w:rsid w:val="00ED530D"/>
    <w:rsid w:val="00ED5B6D"/>
    <w:rsid w:val="00ED5B73"/>
    <w:rsid w:val="00ED5B85"/>
    <w:rsid w:val="00ED5EE2"/>
    <w:rsid w:val="00ED657F"/>
    <w:rsid w:val="00ED65FF"/>
    <w:rsid w:val="00ED663F"/>
    <w:rsid w:val="00ED66BC"/>
    <w:rsid w:val="00ED67A5"/>
    <w:rsid w:val="00ED6C7A"/>
    <w:rsid w:val="00ED6DE7"/>
    <w:rsid w:val="00ED6F91"/>
    <w:rsid w:val="00ED6FC3"/>
    <w:rsid w:val="00ED7739"/>
    <w:rsid w:val="00ED7818"/>
    <w:rsid w:val="00ED7851"/>
    <w:rsid w:val="00ED78B8"/>
    <w:rsid w:val="00ED7AA5"/>
    <w:rsid w:val="00ED7E3B"/>
    <w:rsid w:val="00EE034E"/>
    <w:rsid w:val="00EE03F0"/>
    <w:rsid w:val="00EE08D2"/>
    <w:rsid w:val="00EE0C78"/>
    <w:rsid w:val="00EE0C83"/>
    <w:rsid w:val="00EE0F6C"/>
    <w:rsid w:val="00EE10CC"/>
    <w:rsid w:val="00EE10D6"/>
    <w:rsid w:val="00EE112B"/>
    <w:rsid w:val="00EE13E4"/>
    <w:rsid w:val="00EE1480"/>
    <w:rsid w:val="00EE14C8"/>
    <w:rsid w:val="00EE1701"/>
    <w:rsid w:val="00EE178F"/>
    <w:rsid w:val="00EE17ED"/>
    <w:rsid w:val="00EE1899"/>
    <w:rsid w:val="00EE1B71"/>
    <w:rsid w:val="00EE1E64"/>
    <w:rsid w:val="00EE1F00"/>
    <w:rsid w:val="00EE23E3"/>
    <w:rsid w:val="00EE2617"/>
    <w:rsid w:val="00EE262D"/>
    <w:rsid w:val="00EE2641"/>
    <w:rsid w:val="00EE2677"/>
    <w:rsid w:val="00EE26A8"/>
    <w:rsid w:val="00EE284E"/>
    <w:rsid w:val="00EE295C"/>
    <w:rsid w:val="00EE2A80"/>
    <w:rsid w:val="00EE30A2"/>
    <w:rsid w:val="00EE30AC"/>
    <w:rsid w:val="00EE3462"/>
    <w:rsid w:val="00EE39E0"/>
    <w:rsid w:val="00EE3CB2"/>
    <w:rsid w:val="00EE3CF5"/>
    <w:rsid w:val="00EE3EF6"/>
    <w:rsid w:val="00EE438B"/>
    <w:rsid w:val="00EE4583"/>
    <w:rsid w:val="00EE4906"/>
    <w:rsid w:val="00EE494D"/>
    <w:rsid w:val="00EE4ADA"/>
    <w:rsid w:val="00EE4D71"/>
    <w:rsid w:val="00EE4F4D"/>
    <w:rsid w:val="00EE4FB5"/>
    <w:rsid w:val="00EE4FE3"/>
    <w:rsid w:val="00EE501E"/>
    <w:rsid w:val="00EE562D"/>
    <w:rsid w:val="00EE5F23"/>
    <w:rsid w:val="00EE644F"/>
    <w:rsid w:val="00EE6489"/>
    <w:rsid w:val="00EE672D"/>
    <w:rsid w:val="00EE67EB"/>
    <w:rsid w:val="00EE6A0B"/>
    <w:rsid w:val="00EE6BCA"/>
    <w:rsid w:val="00EE6F8E"/>
    <w:rsid w:val="00EE7106"/>
    <w:rsid w:val="00EE7262"/>
    <w:rsid w:val="00EE7279"/>
    <w:rsid w:val="00EE72E6"/>
    <w:rsid w:val="00EE786C"/>
    <w:rsid w:val="00EE7C9F"/>
    <w:rsid w:val="00EE7DBB"/>
    <w:rsid w:val="00EE7E0A"/>
    <w:rsid w:val="00EE7EF6"/>
    <w:rsid w:val="00EE7FF2"/>
    <w:rsid w:val="00EF026C"/>
    <w:rsid w:val="00EF0351"/>
    <w:rsid w:val="00EF0376"/>
    <w:rsid w:val="00EF05DA"/>
    <w:rsid w:val="00EF08B7"/>
    <w:rsid w:val="00EF09A7"/>
    <w:rsid w:val="00EF0C4C"/>
    <w:rsid w:val="00EF0CBB"/>
    <w:rsid w:val="00EF13C6"/>
    <w:rsid w:val="00EF15EC"/>
    <w:rsid w:val="00EF164B"/>
    <w:rsid w:val="00EF17D4"/>
    <w:rsid w:val="00EF1A26"/>
    <w:rsid w:val="00EF1A62"/>
    <w:rsid w:val="00EF1C23"/>
    <w:rsid w:val="00EF1D3F"/>
    <w:rsid w:val="00EF2054"/>
    <w:rsid w:val="00EF2125"/>
    <w:rsid w:val="00EF2161"/>
    <w:rsid w:val="00EF23E2"/>
    <w:rsid w:val="00EF2540"/>
    <w:rsid w:val="00EF264B"/>
    <w:rsid w:val="00EF276E"/>
    <w:rsid w:val="00EF29AB"/>
    <w:rsid w:val="00EF2B68"/>
    <w:rsid w:val="00EF2D7C"/>
    <w:rsid w:val="00EF2ECF"/>
    <w:rsid w:val="00EF320A"/>
    <w:rsid w:val="00EF32CC"/>
    <w:rsid w:val="00EF33E2"/>
    <w:rsid w:val="00EF355A"/>
    <w:rsid w:val="00EF3646"/>
    <w:rsid w:val="00EF3720"/>
    <w:rsid w:val="00EF3743"/>
    <w:rsid w:val="00EF3C93"/>
    <w:rsid w:val="00EF3FAD"/>
    <w:rsid w:val="00EF4283"/>
    <w:rsid w:val="00EF448F"/>
    <w:rsid w:val="00EF487B"/>
    <w:rsid w:val="00EF4923"/>
    <w:rsid w:val="00EF4984"/>
    <w:rsid w:val="00EF49EE"/>
    <w:rsid w:val="00EF4B7E"/>
    <w:rsid w:val="00EF4C1F"/>
    <w:rsid w:val="00EF4D41"/>
    <w:rsid w:val="00EF4DD0"/>
    <w:rsid w:val="00EF4DD7"/>
    <w:rsid w:val="00EF5336"/>
    <w:rsid w:val="00EF599B"/>
    <w:rsid w:val="00EF5A8B"/>
    <w:rsid w:val="00EF5C19"/>
    <w:rsid w:val="00EF5E32"/>
    <w:rsid w:val="00EF6318"/>
    <w:rsid w:val="00EF65CA"/>
    <w:rsid w:val="00EF6815"/>
    <w:rsid w:val="00EF691F"/>
    <w:rsid w:val="00EF695E"/>
    <w:rsid w:val="00EF6E15"/>
    <w:rsid w:val="00EF7432"/>
    <w:rsid w:val="00EF768F"/>
    <w:rsid w:val="00EF76C4"/>
    <w:rsid w:val="00EF7779"/>
    <w:rsid w:val="00EF7913"/>
    <w:rsid w:val="00EF7961"/>
    <w:rsid w:val="00EF7AA4"/>
    <w:rsid w:val="00EF7B6C"/>
    <w:rsid w:val="00EF7E1D"/>
    <w:rsid w:val="00EF7F51"/>
    <w:rsid w:val="00F00045"/>
    <w:rsid w:val="00F0090B"/>
    <w:rsid w:val="00F00A97"/>
    <w:rsid w:val="00F00C25"/>
    <w:rsid w:val="00F00D46"/>
    <w:rsid w:val="00F00E94"/>
    <w:rsid w:val="00F00FDD"/>
    <w:rsid w:val="00F012E6"/>
    <w:rsid w:val="00F012E9"/>
    <w:rsid w:val="00F013B0"/>
    <w:rsid w:val="00F014EC"/>
    <w:rsid w:val="00F0184A"/>
    <w:rsid w:val="00F01E87"/>
    <w:rsid w:val="00F02237"/>
    <w:rsid w:val="00F02453"/>
    <w:rsid w:val="00F024C4"/>
    <w:rsid w:val="00F02562"/>
    <w:rsid w:val="00F02721"/>
    <w:rsid w:val="00F029F9"/>
    <w:rsid w:val="00F02B5D"/>
    <w:rsid w:val="00F02B70"/>
    <w:rsid w:val="00F02C41"/>
    <w:rsid w:val="00F02EE4"/>
    <w:rsid w:val="00F02F84"/>
    <w:rsid w:val="00F02FDE"/>
    <w:rsid w:val="00F031BC"/>
    <w:rsid w:val="00F031E9"/>
    <w:rsid w:val="00F034EC"/>
    <w:rsid w:val="00F037BE"/>
    <w:rsid w:val="00F03998"/>
    <w:rsid w:val="00F03A03"/>
    <w:rsid w:val="00F03F82"/>
    <w:rsid w:val="00F03FD3"/>
    <w:rsid w:val="00F04203"/>
    <w:rsid w:val="00F0422E"/>
    <w:rsid w:val="00F045C1"/>
    <w:rsid w:val="00F04A86"/>
    <w:rsid w:val="00F04FE3"/>
    <w:rsid w:val="00F0511A"/>
    <w:rsid w:val="00F05284"/>
    <w:rsid w:val="00F05575"/>
    <w:rsid w:val="00F0580F"/>
    <w:rsid w:val="00F058BB"/>
    <w:rsid w:val="00F05AB5"/>
    <w:rsid w:val="00F05C7C"/>
    <w:rsid w:val="00F05F0D"/>
    <w:rsid w:val="00F064B4"/>
    <w:rsid w:val="00F0674D"/>
    <w:rsid w:val="00F06A96"/>
    <w:rsid w:val="00F06B5E"/>
    <w:rsid w:val="00F06CB5"/>
    <w:rsid w:val="00F06D46"/>
    <w:rsid w:val="00F06F78"/>
    <w:rsid w:val="00F06FC5"/>
    <w:rsid w:val="00F07064"/>
    <w:rsid w:val="00F0710F"/>
    <w:rsid w:val="00F071EF"/>
    <w:rsid w:val="00F07453"/>
    <w:rsid w:val="00F074D2"/>
    <w:rsid w:val="00F075EA"/>
    <w:rsid w:val="00F075F0"/>
    <w:rsid w:val="00F075FE"/>
    <w:rsid w:val="00F078A0"/>
    <w:rsid w:val="00F07ADE"/>
    <w:rsid w:val="00F07BCB"/>
    <w:rsid w:val="00F07C88"/>
    <w:rsid w:val="00F07E51"/>
    <w:rsid w:val="00F10195"/>
    <w:rsid w:val="00F10347"/>
    <w:rsid w:val="00F104D5"/>
    <w:rsid w:val="00F10601"/>
    <w:rsid w:val="00F107ED"/>
    <w:rsid w:val="00F10800"/>
    <w:rsid w:val="00F1086B"/>
    <w:rsid w:val="00F10B57"/>
    <w:rsid w:val="00F10CF1"/>
    <w:rsid w:val="00F10D07"/>
    <w:rsid w:val="00F10F3D"/>
    <w:rsid w:val="00F11095"/>
    <w:rsid w:val="00F110D0"/>
    <w:rsid w:val="00F111DC"/>
    <w:rsid w:val="00F112DF"/>
    <w:rsid w:val="00F11473"/>
    <w:rsid w:val="00F116CD"/>
    <w:rsid w:val="00F11898"/>
    <w:rsid w:val="00F11A5D"/>
    <w:rsid w:val="00F11B3F"/>
    <w:rsid w:val="00F11DB9"/>
    <w:rsid w:val="00F11EAF"/>
    <w:rsid w:val="00F11F76"/>
    <w:rsid w:val="00F11FF6"/>
    <w:rsid w:val="00F12023"/>
    <w:rsid w:val="00F121D1"/>
    <w:rsid w:val="00F1282D"/>
    <w:rsid w:val="00F128A0"/>
    <w:rsid w:val="00F12D91"/>
    <w:rsid w:val="00F12E6D"/>
    <w:rsid w:val="00F13133"/>
    <w:rsid w:val="00F13500"/>
    <w:rsid w:val="00F13703"/>
    <w:rsid w:val="00F1375F"/>
    <w:rsid w:val="00F139EF"/>
    <w:rsid w:val="00F13B29"/>
    <w:rsid w:val="00F13BC1"/>
    <w:rsid w:val="00F14131"/>
    <w:rsid w:val="00F14172"/>
    <w:rsid w:val="00F143DD"/>
    <w:rsid w:val="00F14707"/>
    <w:rsid w:val="00F1478F"/>
    <w:rsid w:val="00F149BE"/>
    <w:rsid w:val="00F14A23"/>
    <w:rsid w:val="00F14AC0"/>
    <w:rsid w:val="00F14BF8"/>
    <w:rsid w:val="00F14E9B"/>
    <w:rsid w:val="00F14EB6"/>
    <w:rsid w:val="00F150B3"/>
    <w:rsid w:val="00F15138"/>
    <w:rsid w:val="00F1529F"/>
    <w:rsid w:val="00F1540C"/>
    <w:rsid w:val="00F1553F"/>
    <w:rsid w:val="00F15642"/>
    <w:rsid w:val="00F15778"/>
    <w:rsid w:val="00F157D7"/>
    <w:rsid w:val="00F16067"/>
    <w:rsid w:val="00F164F1"/>
    <w:rsid w:val="00F165BA"/>
    <w:rsid w:val="00F166E7"/>
    <w:rsid w:val="00F16B26"/>
    <w:rsid w:val="00F16B33"/>
    <w:rsid w:val="00F16B50"/>
    <w:rsid w:val="00F16DB7"/>
    <w:rsid w:val="00F16DBA"/>
    <w:rsid w:val="00F16EB2"/>
    <w:rsid w:val="00F16F7D"/>
    <w:rsid w:val="00F17044"/>
    <w:rsid w:val="00F1708C"/>
    <w:rsid w:val="00F1731F"/>
    <w:rsid w:val="00F1739E"/>
    <w:rsid w:val="00F17887"/>
    <w:rsid w:val="00F17A24"/>
    <w:rsid w:val="00F17D6A"/>
    <w:rsid w:val="00F17EDE"/>
    <w:rsid w:val="00F17F19"/>
    <w:rsid w:val="00F2006C"/>
    <w:rsid w:val="00F20174"/>
    <w:rsid w:val="00F204F0"/>
    <w:rsid w:val="00F20585"/>
    <w:rsid w:val="00F208AD"/>
    <w:rsid w:val="00F2090D"/>
    <w:rsid w:val="00F2127F"/>
    <w:rsid w:val="00F21457"/>
    <w:rsid w:val="00F215AF"/>
    <w:rsid w:val="00F21A3B"/>
    <w:rsid w:val="00F21A90"/>
    <w:rsid w:val="00F21ACC"/>
    <w:rsid w:val="00F21B56"/>
    <w:rsid w:val="00F21D12"/>
    <w:rsid w:val="00F21D40"/>
    <w:rsid w:val="00F21FBE"/>
    <w:rsid w:val="00F22164"/>
    <w:rsid w:val="00F2299E"/>
    <w:rsid w:val="00F22AA3"/>
    <w:rsid w:val="00F22BB0"/>
    <w:rsid w:val="00F22BCE"/>
    <w:rsid w:val="00F22BFD"/>
    <w:rsid w:val="00F22C8D"/>
    <w:rsid w:val="00F22E7C"/>
    <w:rsid w:val="00F230B5"/>
    <w:rsid w:val="00F2332D"/>
    <w:rsid w:val="00F23344"/>
    <w:rsid w:val="00F2373D"/>
    <w:rsid w:val="00F237CE"/>
    <w:rsid w:val="00F23A2C"/>
    <w:rsid w:val="00F23AF2"/>
    <w:rsid w:val="00F23AFE"/>
    <w:rsid w:val="00F23E70"/>
    <w:rsid w:val="00F24185"/>
    <w:rsid w:val="00F2435F"/>
    <w:rsid w:val="00F24361"/>
    <w:rsid w:val="00F247B1"/>
    <w:rsid w:val="00F24F65"/>
    <w:rsid w:val="00F25580"/>
    <w:rsid w:val="00F25614"/>
    <w:rsid w:val="00F258AB"/>
    <w:rsid w:val="00F25B49"/>
    <w:rsid w:val="00F25C57"/>
    <w:rsid w:val="00F25F8A"/>
    <w:rsid w:val="00F262BD"/>
    <w:rsid w:val="00F263E4"/>
    <w:rsid w:val="00F264CF"/>
    <w:rsid w:val="00F264FF"/>
    <w:rsid w:val="00F26580"/>
    <w:rsid w:val="00F265BA"/>
    <w:rsid w:val="00F269C0"/>
    <w:rsid w:val="00F26A12"/>
    <w:rsid w:val="00F26A3E"/>
    <w:rsid w:val="00F26E57"/>
    <w:rsid w:val="00F26F98"/>
    <w:rsid w:val="00F272BA"/>
    <w:rsid w:val="00F272E4"/>
    <w:rsid w:val="00F2735C"/>
    <w:rsid w:val="00F27364"/>
    <w:rsid w:val="00F278F3"/>
    <w:rsid w:val="00F27996"/>
    <w:rsid w:val="00F27B8E"/>
    <w:rsid w:val="00F27C4A"/>
    <w:rsid w:val="00F27D63"/>
    <w:rsid w:val="00F27F07"/>
    <w:rsid w:val="00F27F20"/>
    <w:rsid w:val="00F27FF7"/>
    <w:rsid w:val="00F3028B"/>
    <w:rsid w:val="00F308D6"/>
    <w:rsid w:val="00F30B17"/>
    <w:rsid w:val="00F30B6D"/>
    <w:rsid w:val="00F30E46"/>
    <w:rsid w:val="00F31191"/>
    <w:rsid w:val="00F3133D"/>
    <w:rsid w:val="00F31592"/>
    <w:rsid w:val="00F31617"/>
    <w:rsid w:val="00F316DD"/>
    <w:rsid w:val="00F3186A"/>
    <w:rsid w:val="00F31E74"/>
    <w:rsid w:val="00F32228"/>
    <w:rsid w:val="00F32355"/>
    <w:rsid w:val="00F3284D"/>
    <w:rsid w:val="00F32992"/>
    <w:rsid w:val="00F32AB1"/>
    <w:rsid w:val="00F32BBA"/>
    <w:rsid w:val="00F3308C"/>
    <w:rsid w:val="00F33434"/>
    <w:rsid w:val="00F3367B"/>
    <w:rsid w:val="00F3387E"/>
    <w:rsid w:val="00F33AE9"/>
    <w:rsid w:val="00F33AEF"/>
    <w:rsid w:val="00F33B02"/>
    <w:rsid w:val="00F33CCC"/>
    <w:rsid w:val="00F34395"/>
    <w:rsid w:val="00F3449E"/>
    <w:rsid w:val="00F3478D"/>
    <w:rsid w:val="00F34B0B"/>
    <w:rsid w:val="00F34DC5"/>
    <w:rsid w:val="00F34EA2"/>
    <w:rsid w:val="00F34F96"/>
    <w:rsid w:val="00F34FF5"/>
    <w:rsid w:val="00F351F7"/>
    <w:rsid w:val="00F35429"/>
    <w:rsid w:val="00F355D1"/>
    <w:rsid w:val="00F35657"/>
    <w:rsid w:val="00F356BC"/>
    <w:rsid w:val="00F357BB"/>
    <w:rsid w:val="00F3584F"/>
    <w:rsid w:val="00F359FC"/>
    <w:rsid w:val="00F35AD7"/>
    <w:rsid w:val="00F35C9F"/>
    <w:rsid w:val="00F35D3F"/>
    <w:rsid w:val="00F360C8"/>
    <w:rsid w:val="00F361F0"/>
    <w:rsid w:val="00F3627F"/>
    <w:rsid w:val="00F362B6"/>
    <w:rsid w:val="00F362D5"/>
    <w:rsid w:val="00F36871"/>
    <w:rsid w:val="00F36934"/>
    <w:rsid w:val="00F36D79"/>
    <w:rsid w:val="00F36F53"/>
    <w:rsid w:val="00F3717F"/>
    <w:rsid w:val="00F37249"/>
    <w:rsid w:val="00F37314"/>
    <w:rsid w:val="00F3777F"/>
    <w:rsid w:val="00F377DD"/>
    <w:rsid w:val="00F37A17"/>
    <w:rsid w:val="00F37BB1"/>
    <w:rsid w:val="00F37C48"/>
    <w:rsid w:val="00F37DE6"/>
    <w:rsid w:val="00F4001A"/>
    <w:rsid w:val="00F400EC"/>
    <w:rsid w:val="00F40117"/>
    <w:rsid w:val="00F4012B"/>
    <w:rsid w:val="00F4025F"/>
    <w:rsid w:val="00F4086B"/>
    <w:rsid w:val="00F4111A"/>
    <w:rsid w:val="00F4134F"/>
    <w:rsid w:val="00F4137E"/>
    <w:rsid w:val="00F41599"/>
    <w:rsid w:val="00F41C69"/>
    <w:rsid w:val="00F41FD2"/>
    <w:rsid w:val="00F41FD5"/>
    <w:rsid w:val="00F42071"/>
    <w:rsid w:val="00F4215C"/>
    <w:rsid w:val="00F42259"/>
    <w:rsid w:val="00F42673"/>
    <w:rsid w:val="00F429B4"/>
    <w:rsid w:val="00F42C61"/>
    <w:rsid w:val="00F42C7F"/>
    <w:rsid w:val="00F43071"/>
    <w:rsid w:val="00F430B1"/>
    <w:rsid w:val="00F431D9"/>
    <w:rsid w:val="00F432B0"/>
    <w:rsid w:val="00F432EA"/>
    <w:rsid w:val="00F436AD"/>
    <w:rsid w:val="00F439CC"/>
    <w:rsid w:val="00F43C18"/>
    <w:rsid w:val="00F43C8D"/>
    <w:rsid w:val="00F43D43"/>
    <w:rsid w:val="00F44433"/>
    <w:rsid w:val="00F4444C"/>
    <w:rsid w:val="00F4472B"/>
    <w:rsid w:val="00F44946"/>
    <w:rsid w:val="00F44DF9"/>
    <w:rsid w:val="00F44EA1"/>
    <w:rsid w:val="00F44EEA"/>
    <w:rsid w:val="00F4510C"/>
    <w:rsid w:val="00F45366"/>
    <w:rsid w:val="00F4560A"/>
    <w:rsid w:val="00F4583A"/>
    <w:rsid w:val="00F45930"/>
    <w:rsid w:val="00F45A33"/>
    <w:rsid w:val="00F45BB2"/>
    <w:rsid w:val="00F45C9B"/>
    <w:rsid w:val="00F463CD"/>
    <w:rsid w:val="00F46A53"/>
    <w:rsid w:val="00F46BA9"/>
    <w:rsid w:val="00F46CF6"/>
    <w:rsid w:val="00F46D30"/>
    <w:rsid w:val="00F4708B"/>
    <w:rsid w:val="00F4712B"/>
    <w:rsid w:val="00F471E9"/>
    <w:rsid w:val="00F473B4"/>
    <w:rsid w:val="00F47448"/>
    <w:rsid w:val="00F47693"/>
    <w:rsid w:val="00F47868"/>
    <w:rsid w:val="00F47B4E"/>
    <w:rsid w:val="00F50229"/>
    <w:rsid w:val="00F503D6"/>
    <w:rsid w:val="00F506E0"/>
    <w:rsid w:val="00F507A1"/>
    <w:rsid w:val="00F50AA7"/>
    <w:rsid w:val="00F50AF5"/>
    <w:rsid w:val="00F50BE5"/>
    <w:rsid w:val="00F5102A"/>
    <w:rsid w:val="00F51171"/>
    <w:rsid w:val="00F511CE"/>
    <w:rsid w:val="00F5131B"/>
    <w:rsid w:val="00F515F7"/>
    <w:rsid w:val="00F519B2"/>
    <w:rsid w:val="00F51B1C"/>
    <w:rsid w:val="00F51C0D"/>
    <w:rsid w:val="00F51F5A"/>
    <w:rsid w:val="00F51FA4"/>
    <w:rsid w:val="00F529CF"/>
    <w:rsid w:val="00F533A3"/>
    <w:rsid w:val="00F539E7"/>
    <w:rsid w:val="00F53B34"/>
    <w:rsid w:val="00F53CC0"/>
    <w:rsid w:val="00F53E0E"/>
    <w:rsid w:val="00F540E1"/>
    <w:rsid w:val="00F545F6"/>
    <w:rsid w:val="00F5472E"/>
    <w:rsid w:val="00F54759"/>
    <w:rsid w:val="00F54908"/>
    <w:rsid w:val="00F54A88"/>
    <w:rsid w:val="00F54CA9"/>
    <w:rsid w:val="00F54CB8"/>
    <w:rsid w:val="00F54EC8"/>
    <w:rsid w:val="00F54F8C"/>
    <w:rsid w:val="00F54FAC"/>
    <w:rsid w:val="00F55144"/>
    <w:rsid w:val="00F55197"/>
    <w:rsid w:val="00F552F9"/>
    <w:rsid w:val="00F553D9"/>
    <w:rsid w:val="00F5556E"/>
    <w:rsid w:val="00F5573E"/>
    <w:rsid w:val="00F55B15"/>
    <w:rsid w:val="00F55B6F"/>
    <w:rsid w:val="00F55BE0"/>
    <w:rsid w:val="00F5610C"/>
    <w:rsid w:val="00F56271"/>
    <w:rsid w:val="00F568BB"/>
    <w:rsid w:val="00F56937"/>
    <w:rsid w:val="00F569B0"/>
    <w:rsid w:val="00F56AC8"/>
    <w:rsid w:val="00F572ED"/>
    <w:rsid w:val="00F573D5"/>
    <w:rsid w:val="00F5750F"/>
    <w:rsid w:val="00F5798C"/>
    <w:rsid w:val="00F57A6B"/>
    <w:rsid w:val="00F57D14"/>
    <w:rsid w:val="00F57E43"/>
    <w:rsid w:val="00F6015D"/>
    <w:rsid w:val="00F60184"/>
    <w:rsid w:val="00F6027B"/>
    <w:rsid w:val="00F60900"/>
    <w:rsid w:val="00F60BF8"/>
    <w:rsid w:val="00F60C66"/>
    <w:rsid w:val="00F60F82"/>
    <w:rsid w:val="00F61015"/>
    <w:rsid w:val="00F6128C"/>
    <w:rsid w:val="00F6145B"/>
    <w:rsid w:val="00F615A0"/>
    <w:rsid w:val="00F6173C"/>
    <w:rsid w:val="00F61799"/>
    <w:rsid w:val="00F617AF"/>
    <w:rsid w:val="00F61ADE"/>
    <w:rsid w:val="00F61B8C"/>
    <w:rsid w:val="00F61CC3"/>
    <w:rsid w:val="00F61E24"/>
    <w:rsid w:val="00F61E5F"/>
    <w:rsid w:val="00F62164"/>
    <w:rsid w:val="00F62776"/>
    <w:rsid w:val="00F62BEA"/>
    <w:rsid w:val="00F62F71"/>
    <w:rsid w:val="00F6308F"/>
    <w:rsid w:val="00F6313B"/>
    <w:rsid w:val="00F634F9"/>
    <w:rsid w:val="00F635E9"/>
    <w:rsid w:val="00F639BE"/>
    <w:rsid w:val="00F63A5C"/>
    <w:rsid w:val="00F642F2"/>
    <w:rsid w:val="00F64309"/>
    <w:rsid w:val="00F645F5"/>
    <w:rsid w:val="00F6487B"/>
    <w:rsid w:val="00F648D7"/>
    <w:rsid w:val="00F64BEF"/>
    <w:rsid w:val="00F64C22"/>
    <w:rsid w:val="00F64CBB"/>
    <w:rsid w:val="00F650AA"/>
    <w:rsid w:val="00F653C8"/>
    <w:rsid w:val="00F654B4"/>
    <w:rsid w:val="00F654DA"/>
    <w:rsid w:val="00F65553"/>
    <w:rsid w:val="00F6595C"/>
    <w:rsid w:val="00F65B54"/>
    <w:rsid w:val="00F65C24"/>
    <w:rsid w:val="00F65D08"/>
    <w:rsid w:val="00F65ECC"/>
    <w:rsid w:val="00F660A5"/>
    <w:rsid w:val="00F660B3"/>
    <w:rsid w:val="00F660DA"/>
    <w:rsid w:val="00F661EB"/>
    <w:rsid w:val="00F6647A"/>
    <w:rsid w:val="00F66510"/>
    <w:rsid w:val="00F6687C"/>
    <w:rsid w:val="00F669DB"/>
    <w:rsid w:val="00F669F2"/>
    <w:rsid w:val="00F66C85"/>
    <w:rsid w:val="00F66CF3"/>
    <w:rsid w:val="00F66F41"/>
    <w:rsid w:val="00F675C0"/>
    <w:rsid w:val="00F67653"/>
    <w:rsid w:val="00F676DB"/>
    <w:rsid w:val="00F67897"/>
    <w:rsid w:val="00F67A55"/>
    <w:rsid w:val="00F67C01"/>
    <w:rsid w:val="00F67C9D"/>
    <w:rsid w:val="00F67D79"/>
    <w:rsid w:val="00F67F72"/>
    <w:rsid w:val="00F7014D"/>
    <w:rsid w:val="00F701D3"/>
    <w:rsid w:val="00F70360"/>
    <w:rsid w:val="00F7038A"/>
    <w:rsid w:val="00F70919"/>
    <w:rsid w:val="00F70ABD"/>
    <w:rsid w:val="00F70B96"/>
    <w:rsid w:val="00F70DDB"/>
    <w:rsid w:val="00F70E6D"/>
    <w:rsid w:val="00F71026"/>
    <w:rsid w:val="00F710FF"/>
    <w:rsid w:val="00F71392"/>
    <w:rsid w:val="00F71903"/>
    <w:rsid w:val="00F71A52"/>
    <w:rsid w:val="00F71B14"/>
    <w:rsid w:val="00F71DA7"/>
    <w:rsid w:val="00F71DC7"/>
    <w:rsid w:val="00F71F84"/>
    <w:rsid w:val="00F7236E"/>
    <w:rsid w:val="00F724FB"/>
    <w:rsid w:val="00F729A6"/>
    <w:rsid w:val="00F72BD4"/>
    <w:rsid w:val="00F72CDA"/>
    <w:rsid w:val="00F72F78"/>
    <w:rsid w:val="00F73176"/>
    <w:rsid w:val="00F7343C"/>
    <w:rsid w:val="00F73523"/>
    <w:rsid w:val="00F73902"/>
    <w:rsid w:val="00F73AD3"/>
    <w:rsid w:val="00F73D51"/>
    <w:rsid w:val="00F73D9D"/>
    <w:rsid w:val="00F74292"/>
    <w:rsid w:val="00F74395"/>
    <w:rsid w:val="00F7439F"/>
    <w:rsid w:val="00F74A7F"/>
    <w:rsid w:val="00F75165"/>
    <w:rsid w:val="00F7530D"/>
    <w:rsid w:val="00F753A1"/>
    <w:rsid w:val="00F75588"/>
    <w:rsid w:val="00F757CC"/>
    <w:rsid w:val="00F75DBE"/>
    <w:rsid w:val="00F75E6D"/>
    <w:rsid w:val="00F76098"/>
    <w:rsid w:val="00F7619D"/>
    <w:rsid w:val="00F7659C"/>
    <w:rsid w:val="00F765BE"/>
    <w:rsid w:val="00F7685C"/>
    <w:rsid w:val="00F769F3"/>
    <w:rsid w:val="00F76ABB"/>
    <w:rsid w:val="00F76CF6"/>
    <w:rsid w:val="00F76D1C"/>
    <w:rsid w:val="00F76D7A"/>
    <w:rsid w:val="00F76D88"/>
    <w:rsid w:val="00F772FB"/>
    <w:rsid w:val="00F77546"/>
    <w:rsid w:val="00F775AA"/>
    <w:rsid w:val="00F775EC"/>
    <w:rsid w:val="00F77694"/>
    <w:rsid w:val="00F7789B"/>
    <w:rsid w:val="00F77AA6"/>
    <w:rsid w:val="00F77C2B"/>
    <w:rsid w:val="00F77C3B"/>
    <w:rsid w:val="00F77E81"/>
    <w:rsid w:val="00F80006"/>
    <w:rsid w:val="00F802A7"/>
    <w:rsid w:val="00F80498"/>
    <w:rsid w:val="00F804A1"/>
    <w:rsid w:val="00F807C0"/>
    <w:rsid w:val="00F80B20"/>
    <w:rsid w:val="00F80C49"/>
    <w:rsid w:val="00F80F20"/>
    <w:rsid w:val="00F8111D"/>
    <w:rsid w:val="00F81281"/>
    <w:rsid w:val="00F816C0"/>
    <w:rsid w:val="00F817C2"/>
    <w:rsid w:val="00F81808"/>
    <w:rsid w:val="00F819B5"/>
    <w:rsid w:val="00F81E69"/>
    <w:rsid w:val="00F8228C"/>
    <w:rsid w:val="00F82317"/>
    <w:rsid w:val="00F82425"/>
    <w:rsid w:val="00F82B6A"/>
    <w:rsid w:val="00F82D6F"/>
    <w:rsid w:val="00F82ED8"/>
    <w:rsid w:val="00F82F4B"/>
    <w:rsid w:val="00F83322"/>
    <w:rsid w:val="00F83389"/>
    <w:rsid w:val="00F833EC"/>
    <w:rsid w:val="00F83413"/>
    <w:rsid w:val="00F83776"/>
    <w:rsid w:val="00F83B8A"/>
    <w:rsid w:val="00F8408B"/>
    <w:rsid w:val="00F8408C"/>
    <w:rsid w:val="00F8423F"/>
    <w:rsid w:val="00F84518"/>
    <w:rsid w:val="00F84658"/>
    <w:rsid w:val="00F84662"/>
    <w:rsid w:val="00F847BC"/>
    <w:rsid w:val="00F847EA"/>
    <w:rsid w:val="00F84889"/>
    <w:rsid w:val="00F84DDE"/>
    <w:rsid w:val="00F84DFF"/>
    <w:rsid w:val="00F850E9"/>
    <w:rsid w:val="00F85966"/>
    <w:rsid w:val="00F85A4D"/>
    <w:rsid w:val="00F85B37"/>
    <w:rsid w:val="00F85CE6"/>
    <w:rsid w:val="00F85EE2"/>
    <w:rsid w:val="00F864B4"/>
    <w:rsid w:val="00F86518"/>
    <w:rsid w:val="00F865F0"/>
    <w:rsid w:val="00F868E7"/>
    <w:rsid w:val="00F86A58"/>
    <w:rsid w:val="00F86BC5"/>
    <w:rsid w:val="00F86E0A"/>
    <w:rsid w:val="00F870D5"/>
    <w:rsid w:val="00F87350"/>
    <w:rsid w:val="00F87628"/>
    <w:rsid w:val="00F87677"/>
    <w:rsid w:val="00F87735"/>
    <w:rsid w:val="00F87759"/>
    <w:rsid w:val="00F87B4A"/>
    <w:rsid w:val="00F87B7D"/>
    <w:rsid w:val="00F87CD3"/>
    <w:rsid w:val="00F87CFD"/>
    <w:rsid w:val="00F87D85"/>
    <w:rsid w:val="00F87E6D"/>
    <w:rsid w:val="00F90222"/>
    <w:rsid w:val="00F90622"/>
    <w:rsid w:val="00F9070A"/>
    <w:rsid w:val="00F9074A"/>
    <w:rsid w:val="00F907EC"/>
    <w:rsid w:val="00F90879"/>
    <w:rsid w:val="00F90B5A"/>
    <w:rsid w:val="00F90EBB"/>
    <w:rsid w:val="00F90FC5"/>
    <w:rsid w:val="00F910D9"/>
    <w:rsid w:val="00F910EA"/>
    <w:rsid w:val="00F912FF"/>
    <w:rsid w:val="00F9181A"/>
    <w:rsid w:val="00F91A98"/>
    <w:rsid w:val="00F91E83"/>
    <w:rsid w:val="00F9205B"/>
    <w:rsid w:val="00F921ED"/>
    <w:rsid w:val="00F922AD"/>
    <w:rsid w:val="00F922DE"/>
    <w:rsid w:val="00F9238B"/>
    <w:rsid w:val="00F92450"/>
    <w:rsid w:val="00F9273A"/>
    <w:rsid w:val="00F9285C"/>
    <w:rsid w:val="00F9286C"/>
    <w:rsid w:val="00F92A83"/>
    <w:rsid w:val="00F92E22"/>
    <w:rsid w:val="00F92E41"/>
    <w:rsid w:val="00F92E7B"/>
    <w:rsid w:val="00F93084"/>
    <w:rsid w:val="00F93401"/>
    <w:rsid w:val="00F93627"/>
    <w:rsid w:val="00F937E6"/>
    <w:rsid w:val="00F93866"/>
    <w:rsid w:val="00F93D35"/>
    <w:rsid w:val="00F941CC"/>
    <w:rsid w:val="00F941D9"/>
    <w:rsid w:val="00F94494"/>
    <w:rsid w:val="00F9451A"/>
    <w:rsid w:val="00F9463F"/>
    <w:rsid w:val="00F948CD"/>
    <w:rsid w:val="00F948F6"/>
    <w:rsid w:val="00F949FD"/>
    <w:rsid w:val="00F94A12"/>
    <w:rsid w:val="00F94BA7"/>
    <w:rsid w:val="00F954F4"/>
    <w:rsid w:val="00F95609"/>
    <w:rsid w:val="00F95872"/>
    <w:rsid w:val="00F959B3"/>
    <w:rsid w:val="00F959BE"/>
    <w:rsid w:val="00F95A0B"/>
    <w:rsid w:val="00F95B81"/>
    <w:rsid w:val="00F95C9D"/>
    <w:rsid w:val="00F95E0D"/>
    <w:rsid w:val="00F9610C"/>
    <w:rsid w:val="00F9622D"/>
    <w:rsid w:val="00F962AF"/>
    <w:rsid w:val="00F962D2"/>
    <w:rsid w:val="00F96EE0"/>
    <w:rsid w:val="00F96F01"/>
    <w:rsid w:val="00F96FB7"/>
    <w:rsid w:val="00F97103"/>
    <w:rsid w:val="00F9711D"/>
    <w:rsid w:val="00F97149"/>
    <w:rsid w:val="00F97376"/>
    <w:rsid w:val="00F97650"/>
    <w:rsid w:val="00F97679"/>
    <w:rsid w:val="00F976E7"/>
    <w:rsid w:val="00F97826"/>
    <w:rsid w:val="00F97862"/>
    <w:rsid w:val="00F9794F"/>
    <w:rsid w:val="00F979D9"/>
    <w:rsid w:val="00F97A19"/>
    <w:rsid w:val="00F97CC7"/>
    <w:rsid w:val="00F97DAC"/>
    <w:rsid w:val="00FA01AD"/>
    <w:rsid w:val="00FA0477"/>
    <w:rsid w:val="00FA05A3"/>
    <w:rsid w:val="00FA05FB"/>
    <w:rsid w:val="00FA06B1"/>
    <w:rsid w:val="00FA0784"/>
    <w:rsid w:val="00FA0861"/>
    <w:rsid w:val="00FA0AC0"/>
    <w:rsid w:val="00FA0B33"/>
    <w:rsid w:val="00FA0D82"/>
    <w:rsid w:val="00FA0EE7"/>
    <w:rsid w:val="00FA127E"/>
    <w:rsid w:val="00FA1432"/>
    <w:rsid w:val="00FA1536"/>
    <w:rsid w:val="00FA1594"/>
    <w:rsid w:val="00FA1975"/>
    <w:rsid w:val="00FA1CD2"/>
    <w:rsid w:val="00FA2118"/>
    <w:rsid w:val="00FA219A"/>
    <w:rsid w:val="00FA23AC"/>
    <w:rsid w:val="00FA2692"/>
    <w:rsid w:val="00FA26CC"/>
    <w:rsid w:val="00FA27F7"/>
    <w:rsid w:val="00FA2888"/>
    <w:rsid w:val="00FA28A2"/>
    <w:rsid w:val="00FA2AA6"/>
    <w:rsid w:val="00FA2BFF"/>
    <w:rsid w:val="00FA2CC4"/>
    <w:rsid w:val="00FA2DB1"/>
    <w:rsid w:val="00FA2E47"/>
    <w:rsid w:val="00FA32C3"/>
    <w:rsid w:val="00FA333D"/>
    <w:rsid w:val="00FA3766"/>
    <w:rsid w:val="00FA3A63"/>
    <w:rsid w:val="00FA3D43"/>
    <w:rsid w:val="00FA3D88"/>
    <w:rsid w:val="00FA3EAC"/>
    <w:rsid w:val="00FA405C"/>
    <w:rsid w:val="00FA40B5"/>
    <w:rsid w:val="00FA4353"/>
    <w:rsid w:val="00FA4920"/>
    <w:rsid w:val="00FA528E"/>
    <w:rsid w:val="00FA55C5"/>
    <w:rsid w:val="00FA56F3"/>
    <w:rsid w:val="00FA5790"/>
    <w:rsid w:val="00FA5898"/>
    <w:rsid w:val="00FA5CD1"/>
    <w:rsid w:val="00FA5E3D"/>
    <w:rsid w:val="00FA6128"/>
    <w:rsid w:val="00FA6146"/>
    <w:rsid w:val="00FA62B9"/>
    <w:rsid w:val="00FA6340"/>
    <w:rsid w:val="00FA6393"/>
    <w:rsid w:val="00FA63E4"/>
    <w:rsid w:val="00FA6415"/>
    <w:rsid w:val="00FA678C"/>
    <w:rsid w:val="00FA681D"/>
    <w:rsid w:val="00FA68A7"/>
    <w:rsid w:val="00FA6965"/>
    <w:rsid w:val="00FA69FF"/>
    <w:rsid w:val="00FA6B26"/>
    <w:rsid w:val="00FA7358"/>
    <w:rsid w:val="00FA736A"/>
    <w:rsid w:val="00FA74AD"/>
    <w:rsid w:val="00FA7A80"/>
    <w:rsid w:val="00FA7D19"/>
    <w:rsid w:val="00FA7D67"/>
    <w:rsid w:val="00FA7FE8"/>
    <w:rsid w:val="00FB029F"/>
    <w:rsid w:val="00FB0476"/>
    <w:rsid w:val="00FB05F3"/>
    <w:rsid w:val="00FB06E0"/>
    <w:rsid w:val="00FB0C39"/>
    <w:rsid w:val="00FB0D4D"/>
    <w:rsid w:val="00FB0D98"/>
    <w:rsid w:val="00FB0EB4"/>
    <w:rsid w:val="00FB0FE4"/>
    <w:rsid w:val="00FB10CF"/>
    <w:rsid w:val="00FB1242"/>
    <w:rsid w:val="00FB1382"/>
    <w:rsid w:val="00FB1544"/>
    <w:rsid w:val="00FB158B"/>
    <w:rsid w:val="00FB15BE"/>
    <w:rsid w:val="00FB1654"/>
    <w:rsid w:val="00FB1707"/>
    <w:rsid w:val="00FB19F9"/>
    <w:rsid w:val="00FB1B73"/>
    <w:rsid w:val="00FB1BB9"/>
    <w:rsid w:val="00FB1E21"/>
    <w:rsid w:val="00FB2002"/>
    <w:rsid w:val="00FB208A"/>
    <w:rsid w:val="00FB20FE"/>
    <w:rsid w:val="00FB227D"/>
    <w:rsid w:val="00FB24A7"/>
    <w:rsid w:val="00FB286B"/>
    <w:rsid w:val="00FB2ABB"/>
    <w:rsid w:val="00FB2AE1"/>
    <w:rsid w:val="00FB2BF1"/>
    <w:rsid w:val="00FB2F25"/>
    <w:rsid w:val="00FB33D6"/>
    <w:rsid w:val="00FB35ED"/>
    <w:rsid w:val="00FB3615"/>
    <w:rsid w:val="00FB3643"/>
    <w:rsid w:val="00FB3A02"/>
    <w:rsid w:val="00FB3AE8"/>
    <w:rsid w:val="00FB3B4A"/>
    <w:rsid w:val="00FB3D7F"/>
    <w:rsid w:val="00FB3FDB"/>
    <w:rsid w:val="00FB4077"/>
    <w:rsid w:val="00FB448D"/>
    <w:rsid w:val="00FB4550"/>
    <w:rsid w:val="00FB46EA"/>
    <w:rsid w:val="00FB47C0"/>
    <w:rsid w:val="00FB4824"/>
    <w:rsid w:val="00FB490D"/>
    <w:rsid w:val="00FB4AD2"/>
    <w:rsid w:val="00FB4DB6"/>
    <w:rsid w:val="00FB5132"/>
    <w:rsid w:val="00FB51B6"/>
    <w:rsid w:val="00FB51BC"/>
    <w:rsid w:val="00FB52D2"/>
    <w:rsid w:val="00FB5807"/>
    <w:rsid w:val="00FB5858"/>
    <w:rsid w:val="00FB5AC1"/>
    <w:rsid w:val="00FB62E5"/>
    <w:rsid w:val="00FB6392"/>
    <w:rsid w:val="00FB645E"/>
    <w:rsid w:val="00FB68B0"/>
    <w:rsid w:val="00FB6999"/>
    <w:rsid w:val="00FB6D1E"/>
    <w:rsid w:val="00FB705F"/>
    <w:rsid w:val="00FB71DA"/>
    <w:rsid w:val="00FB726F"/>
    <w:rsid w:val="00FB7518"/>
    <w:rsid w:val="00FB7C16"/>
    <w:rsid w:val="00FB7EE2"/>
    <w:rsid w:val="00FC0076"/>
    <w:rsid w:val="00FC052B"/>
    <w:rsid w:val="00FC0845"/>
    <w:rsid w:val="00FC0915"/>
    <w:rsid w:val="00FC0ACD"/>
    <w:rsid w:val="00FC0B6A"/>
    <w:rsid w:val="00FC0DDF"/>
    <w:rsid w:val="00FC1140"/>
    <w:rsid w:val="00FC11F2"/>
    <w:rsid w:val="00FC11FD"/>
    <w:rsid w:val="00FC12B7"/>
    <w:rsid w:val="00FC13E4"/>
    <w:rsid w:val="00FC1433"/>
    <w:rsid w:val="00FC1511"/>
    <w:rsid w:val="00FC152C"/>
    <w:rsid w:val="00FC17E5"/>
    <w:rsid w:val="00FC18A7"/>
    <w:rsid w:val="00FC18FA"/>
    <w:rsid w:val="00FC1B06"/>
    <w:rsid w:val="00FC1B4B"/>
    <w:rsid w:val="00FC1EDE"/>
    <w:rsid w:val="00FC23FC"/>
    <w:rsid w:val="00FC2964"/>
    <w:rsid w:val="00FC2B8C"/>
    <w:rsid w:val="00FC2CCF"/>
    <w:rsid w:val="00FC2D60"/>
    <w:rsid w:val="00FC2E9C"/>
    <w:rsid w:val="00FC304C"/>
    <w:rsid w:val="00FC356F"/>
    <w:rsid w:val="00FC35B4"/>
    <w:rsid w:val="00FC368D"/>
    <w:rsid w:val="00FC37D5"/>
    <w:rsid w:val="00FC391B"/>
    <w:rsid w:val="00FC3A37"/>
    <w:rsid w:val="00FC3D4D"/>
    <w:rsid w:val="00FC3E34"/>
    <w:rsid w:val="00FC3EDE"/>
    <w:rsid w:val="00FC3EEF"/>
    <w:rsid w:val="00FC3FE1"/>
    <w:rsid w:val="00FC452D"/>
    <w:rsid w:val="00FC49A9"/>
    <w:rsid w:val="00FC4A12"/>
    <w:rsid w:val="00FC4B6C"/>
    <w:rsid w:val="00FC4D53"/>
    <w:rsid w:val="00FC4EE0"/>
    <w:rsid w:val="00FC5086"/>
    <w:rsid w:val="00FC5182"/>
    <w:rsid w:val="00FC5682"/>
    <w:rsid w:val="00FC5AFF"/>
    <w:rsid w:val="00FC5F8D"/>
    <w:rsid w:val="00FC6154"/>
    <w:rsid w:val="00FC6243"/>
    <w:rsid w:val="00FC6393"/>
    <w:rsid w:val="00FC650F"/>
    <w:rsid w:val="00FC660B"/>
    <w:rsid w:val="00FC66E3"/>
    <w:rsid w:val="00FC66FA"/>
    <w:rsid w:val="00FC690A"/>
    <w:rsid w:val="00FC6ABB"/>
    <w:rsid w:val="00FC6BAF"/>
    <w:rsid w:val="00FC6DBA"/>
    <w:rsid w:val="00FC7098"/>
    <w:rsid w:val="00FC7120"/>
    <w:rsid w:val="00FC7260"/>
    <w:rsid w:val="00FC7445"/>
    <w:rsid w:val="00FC783B"/>
    <w:rsid w:val="00FC7A86"/>
    <w:rsid w:val="00FC7BC2"/>
    <w:rsid w:val="00FD0139"/>
    <w:rsid w:val="00FD0356"/>
    <w:rsid w:val="00FD0397"/>
    <w:rsid w:val="00FD059E"/>
    <w:rsid w:val="00FD05BD"/>
    <w:rsid w:val="00FD0633"/>
    <w:rsid w:val="00FD06D5"/>
    <w:rsid w:val="00FD090F"/>
    <w:rsid w:val="00FD0C2C"/>
    <w:rsid w:val="00FD0D8D"/>
    <w:rsid w:val="00FD1329"/>
    <w:rsid w:val="00FD139A"/>
    <w:rsid w:val="00FD154C"/>
    <w:rsid w:val="00FD192B"/>
    <w:rsid w:val="00FD1956"/>
    <w:rsid w:val="00FD1C37"/>
    <w:rsid w:val="00FD1C8F"/>
    <w:rsid w:val="00FD2509"/>
    <w:rsid w:val="00FD2769"/>
    <w:rsid w:val="00FD27CF"/>
    <w:rsid w:val="00FD27E3"/>
    <w:rsid w:val="00FD28B4"/>
    <w:rsid w:val="00FD29E5"/>
    <w:rsid w:val="00FD2B27"/>
    <w:rsid w:val="00FD2CE3"/>
    <w:rsid w:val="00FD2FA3"/>
    <w:rsid w:val="00FD325A"/>
    <w:rsid w:val="00FD354E"/>
    <w:rsid w:val="00FD356D"/>
    <w:rsid w:val="00FD369A"/>
    <w:rsid w:val="00FD36CB"/>
    <w:rsid w:val="00FD36EA"/>
    <w:rsid w:val="00FD3858"/>
    <w:rsid w:val="00FD3A0D"/>
    <w:rsid w:val="00FD40C2"/>
    <w:rsid w:val="00FD432B"/>
    <w:rsid w:val="00FD46E0"/>
    <w:rsid w:val="00FD47CD"/>
    <w:rsid w:val="00FD47D1"/>
    <w:rsid w:val="00FD4A84"/>
    <w:rsid w:val="00FD4B1C"/>
    <w:rsid w:val="00FD4BA5"/>
    <w:rsid w:val="00FD4C7D"/>
    <w:rsid w:val="00FD4DCC"/>
    <w:rsid w:val="00FD4F71"/>
    <w:rsid w:val="00FD4F9F"/>
    <w:rsid w:val="00FD500C"/>
    <w:rsid w:val="00FD500F"/>
    <w:rsid w:val="00FD5120"/>
    <w:rsid w:val="00FD5146"/>
    <w:rsid w:val="00FD5233"/>
    <w:rsid w:val="00FD5294"/>
    <w:rsid w:val="00FD57F8"/>
    <w:rsid w:val="00FD5DD7"/>
    <w:rsid w:val="00FD6565"/>
    <w:rsid w:val="00FD65B7"/>
    <w:rsid w:val="00FD677C"/>
    <w:rsid w:val="00FD68D0"/>
    <w:rsid w:val="00FD694F"/>
    <w:rsid w:val="00FD6C72"/>
    <w:rsid w:val="00FD6FA7"/>
    <w:rsid w:val="00FD71B4"/>
    <w:rsid w:val="00FD739E"/>
    <w:rsid w:val="00FD7435"/>
    <w:rsid w:val="00FD76B7"/>
    <w:rsid w:val="00FD7893"/>
    <w:rsid w:val="00FD7C4E"/>
    <w:rsid w:val="00FD7CE7"/>
    <w:rsid w:val="00FD7D53"/>
    <w:rsid w:val="00FD7F6E"/>
    <w:rsid w:val="00FE00A5"/>
    <w:rsid w:val="00FE0229"/>
    <w:rsid w:val="00FE0411"/>
    <w:rsid w:val="00FE0618"/>
    <w:rsid w:val="00FE068A"/>
    <w:rsid w:val="00FE0B11"/>
    <w:rsid w:val="00FE0C05"/>
    <w:rsid w:val="00FE0FAA"/>
    <w:rsid w:val="00FE105E"/>
    <w:rsid w:val="00FE11BD"/>
    <w:rsid w:val="00FE1226"/>
    <w:rsid w:val="00FE1A78"/>
    <w:rsid w:val="00FE1E22"/>
    <w:rsid w:val="00FE24DE"/>
    <w:rsid w:val="00FE2537"/>
    <w:rsid w:val="00FE256F"/>
    <w:rsid w:val="00FE2AAA"/>
    <w:rsid w:val="00FE36DE"/>
    <w:rsid w:val="00FE3932"/>
    <w:rsid w:val="00FE3A43"/>
    <w:rsid w:val="00FE3AA5"/>
    <w:rsid w:val="00FE3F56"/>
    <w:rsid w:val="00FE4198"/>
    <w:rsid w:val="00FE4235"/>
    <w:rsid w:val="00FE423F"/>
    <w:rsid w:val="00FE42B0"/>
    <w:rsid w:val="00FE43A1"/>
    <w:rsid w:val="00FE44B0"/>
    <w:rsid w:val="00FE4720"/>
    <w:rsid w:val="00FE4758"/>
    <w:rsid w:val="00FE4DBD"/>
    <w:rsid w:val="00FE4FD6"/>
    <w:rsid w:val="00FE5304"/>
    <w:rsid w:val="00FE5326"/>
    <w:rsid w:val="00FE53CB"/>
    <w:rsid w:val="00FE5415"/>
    <w:rsid w:val="00FE55E4"/>
    <w:rsid w:val="00FE57B1"/>
    <w:rsid w:val="00FE58D4"/>
    <w:rsid w:val="00FE5A5C"/>
    <w:rsid w:val="00FE5E78"/>
    <w:rsid w:val="00FE5F0C"/>
    <w:rsid w:val="00FE5FC3"/>
    <w:rsid w:val="00FE6142"/>
    <w:rsid w:val="00FE6276"/>
    <w:rsid w:val="00FE62E2"/>
    <w:rsid w:val="00FE6354"/>
    <w:rsid w:val="00FE6621"/>
    <w:rsid w:val="00FE6772"/>
    <w:rsid w:val="00FE6812"/>
    <w:rsid w:val="00FE69F7"/>
    <w:rsid w:val="00FE6B1A"/>
    <w:rsid w:val="00FE6BA7"/>
    <w:rsid w:val="00FE6C1A"/>
    <w:rsid w:val="00FE6C2F"/>
    <w:rsid w:val="00FE6D33"/>
    <w:rsid w:val="00FE6DAF"/>
    <w:rsid w:val="00FE6E91"/>
    <w:rsid w:val="00FE7044"/>
    <w:rsid w:val="00FE722E"/>
    <w:rsid w:val="00FE7268"/>
    <w:rsid w:val="00FE7591"/>
    <w:rsid w:val="00FE761C"/>
    <w:rsid w:val="00FE79C2"/>
    <w:rsid w:val="00FE7C21"/>
    <w:rsid w:val="00FE7CE5"/>
    <w:rsid w:val="00FF016A"/>
    <w:rsid w:val="00FF020E"/>
    <w:rsid w:val="00FF06A6"/>
    <w:rsid w:val="00FF074D"/>
    <w:rsid w:val="00FF0771"/>
    <w:rsid w:val="00FF0834"/>
    <w:rsid w:val="00FF089B"/>
    <w:rsid w:val="00FF08A9"/>
    <w:rsid w:val="00FF098B"/>
    <w:rsid w:val="00FF0A8F"/>
    <w:rsid w:val="00FF0CE0"/>
    <w:rsid w:val="00FF0D41"/>
    <w:rsid w:val="00FF0E11"/>
    <w:rsid w:val="00FF0FE9"/>
    <w:rsid w:val="00FF11B1"/>
    <w:rsid w:val="00FF127E"/>
    <w:rsid w:val="00FF142A"/>
    <w:rsid w:val="00FF1685"/>
    <w:rsid w:val="00FF1924"/>
    <w:rsid w:val="00FF19D1"/>
    <w:rsid w:val="00FF248E"/>
    <w:rsid w:val="00FF25A0"/>
    <w:rsid w:val="00FF265A"/>
    <w:rsid w:val="00FF273B"/>
    <w:rsid w:val="00FF283E"/>
    <w:rsid w:val="00FF288A"/>
    <w:rsid w:val="00FF2970"/>
    <w:rsid w:val="00FF2A4E"/>
    <w:rsid w:val="00FF2D7F"/>
    <w:rsid w:val="00FF2EC8"/>
    <w:rsid w:val="00FF2F3C"/>
    <w:rsid w:val="00FF2FDB"/>
    <w:rsid w:val="00FF3005"/>
    <w:rsid w:val="00FF305E"/>
    <w:rsid w:val="00FF3327"/>
    <w:rsid w:val="00FF334E"/>
    <w:rsid w:val="00FF37F5"/>
    <w:rsid w:val="00FF3A69"/>
    <w:rsid w:val="00FF3B8A"/>
    <w:rsid w:val="00FF3BE2"/>
    <w:rsid w:val="00FF3FB4"/>
    <w:rsid w:val="00FF4184"/>
    <w:rsid w:val="00FF4671"/>
    <w:rsid w:val="00FF49D9"/>
    <w:rsid w:val="00FF4A50"/>
    <w:rsid w:val="00FF4BF0"/>
    <w:rsid w:val="00FF4F31"/>
    <w:rsid w:val="00FF5085"/>
    <w:rsid w:val="00FF547F"/>
    <w:rsid w:val="00FF54EF"/>
    <w:rsid w:val="00FF57A8"/>
    <w:rsid w:val="00FF5863"/>
    <w:rsid w:val="00FF5CA5"/>
    <w:rsid w:val="00FF5D16"/>
    <w:rsid w:val="00FF6104"/>
    <w:rsid w:val="00FF64D0"/>
    <w:rsid w:val="00FF64F7"/>
    <w:rsid w:val="00FF6737"/>
    <w:rsid w:val="00FF69BC"/>
    <w:rsid w:val="00FF69D6"/>
    <w:rsid w:val="00FF6E35"/>
    <w:rsid w:val="00FF7397"/>
    <w:rsid w:val="00FF754B"/>
    <w:rsid w:val="00FF7656"/>
    <w:rsid w:val="00FF788F"/>
    <w:rsid w:val="00FF7AB4"/>
    <w:rsid w:val="00FF7DCD"/>
    <w:rsid w:val="00FF7E3C"/>
    <w:rsid w:val="00FF7E45"/>
    <w:rsid w:val="0108567F"/>
    <w:rsid w:val="010E7543"/>
    <w:rsid w:val="0113D75B"/>
    <w:rsid w:val="012E22C1"/>
    <w:rsid w:val="0153C942"/>
    <w:rsid w:val="01593A6B"/>
    <w:rsid w:val="015D4A31"/>
    <w:rsid w:val="0166E581"/>
    <w:rsid w:val="018B8A35"/>
    <w:rsid w:val="018BB440"/>
    <w:rsid w:val="019527A1"/>
    <w:rsid w:val="01AFFB40"/>
    <w:rsid w:val="01BDA3E9"/>
    <w:rsid w:val="01CD035C"/>
    <w:rsid w:val="01D411D5"/>
    <w:rsid w:val="01E7A744"/>
    <w:rsid w:val="01E81161"/>
    <w:rsid w:val="01EF51D0"/>
    <w:rsid w:val="01F163F6"/>
    <w:rsid w:val="020D025B"/>
    <w:rsid w:val="020FEE2D"/>
    <w:rsid w:val="022B0948"/>
    <w:rsid w:val="022FAD6E"/>
    <w:rsid w:val="0233E36E"/>
    <w:rsid w:val="02385F9B"/>
    <w:rsid w:val="023CB78F"/>
    <w:rsid w:val="02548C08"/>
    <w:rsid w:val="0263983D"/>
    <w:rsid w:val="02718160"/>
    <w:rsid w:val="0283C1EC"/>
    <w:rsid w:val="02AA9FB2"/>
    <w:rsid w:val="02ACB2E4"/>
    <w:rsid w:val="02AD0C68"/>
    <w:rsid w:val="02BE192D"/>
    <w:rsid w:val="02EF150F"/>
    <w:rsid w:val="02F62B55"/>
    <w:rsid w:val="02FD52A5"/>
    <w:rsid w:val="030E4750"/>
    <w:rsid w:val="032719AD"/>
    <w:rsid w:val="0334A53B"/>
    <w:rsid w:val="035E810B"/>
    <w:rsid w:val="03663979"/>
    <w:rsid w:val="03703F2D"/>
    <w:rsid w:val="03816E33"/>
    <w:rsid w:val="038B0163"/>
    <w:rsid w:val="039B7C9B"/>
    <w:rsid w:val="03CFAEB0"/>
    <w:rsid w:val="04122D59"/>
    <w:rsid w:val="042100BB"/>
    <w:rsid w:val="042B9747"/>
    <w:rsid w:val="042CA9FE"/>
    <w:rsid w:val="0435A1F2"/>
    <w:rsid w:val="044595D0"/>
    <w:rsid w:val="0446A900"/>
    <w:rsid w:val="044B12BA"/>
    <w:rsid w:val="044E55B2"/>
    <w:rsid w:val="04675CE5"/>
    <w:rsid w:val="04879A23"/>
    <w:rsid w:val="04B2E334"/>
    <w:rsid w:val="04BDC480"/>
    <w:rsid w:val="04EE776A"/>
    <w:rsid w:val="04F233A3"/>
    <w:rsid w:val="04FCA0BB"/>
    <w:rsid w:val="0527D2E1"/>
    <w:rsid w:val="052B2C1A"/>
    <w:rsid w:val="05320642"/>
    <w:rsid w:val="0533F403"/>
    <w:rsid w:val="053A0DE9"/>
    <w:rsid w:val="055B6BDB"/>
    <w:rsid w:val="05709CC7"/>
    <w:rsid w:val="0571239B"/>
    <w:rsid w:val="0575CC6F"/>
    <w:rsid w:val="05806E3D"/>
    <w:rsid w:val="05912BED"/>
    <w:rsid w:val="05980C9F"/>
    <w:rsid w:val="05A2866D"/>
    <w:rsid w:val="05A7BCB7"/>
    <w:rsid w:val="05B33DB0"/>
    <w:rsid w:val="05BB55C9"/>
    <w:rsid w:val="05CA464A"/>
    <w:rsid w:val="05DD5AAF"/>
    <w:rsid w:val="05DFBE48"/>
    <w:rsid w:val="05E74C48"/>
    <w:rsid w:val="05F6003E"/>
    <w:rsid w:val="0610235D"/>
    <w:rsid w:val="06230224"/>
    <w:rsid w:val="063304F1"/>
    <w:rsid w:val="0634041B"/>
    <w:rsid w:val="063F224F"/>
    <w:rsid w:val="06408EB1"/>
    <w:rsid w:val="064BC590"/>
    <w:rsid w:val="064EC8AD"/>
    <w:rsid w:val="06560D3C"/>
    <w:rsid w:val="065E0638"/>
    <w:rsid w:val="067526E4"/>
    <w:rsid w:val="067DD351"/>
    <w:rsid w:val="0696F55C"/>
    <w:rsid w:val="069E4509"/>
    <w:rsid w:val="06ACA73D"/>
    <w:rsid w:val="06CEC5AC"/>
    <w:rsid w:val="06D9A216"/>
    <w:rsid w:val="06F05DB6"/>
    <w:rsid w:val="0702F0FF"/>
    <w:rsid w:val="07214953"/>
    <w:rsid w:val="0730A5E7"/>
    <w:rsid w:val="0739A3A3"/>
    <w:rsid w:val="0745BBDD"/>
    <w:rsid w:val="075204F0"/>
    <w:rsid w:val="07582D01"/>
    <w:rsid w:val="0780FDCE"/>
    <w:rsid w:val="0785A159"/>
    <w:rsid w:val="078797E6"/>
    <w:rsid w:val="078B8E6F"/>
    <w:rsid w:val="07AD73BD"/>
    <w:rsid w:val="07B061D7"/>
    <w:rsid w:val="07B0E70F"/>
    <w:rsid w:val="07BBCDEF"/>
    <w:rsid w:val="07E4D4D8"/>
    <w:rsid w:val="07EC1F9C"/>
    <w:rsid w:val="081816B9"/>
    <w:rsid w:val="0834A3CD"/>
    <w:rsid w:val="08544D9C"/>
    <w:rsid w:val="085D2779"/>
    <w:rsid w:val="0861888F"/>
    <w:rsid w:val="086AB5C7"/>
    <w:rsid w:val="087FAACD"/>
    <w:rsid w:val="08A05F57"/>
    <w:rsid w:val="08A90686"/>
    <w:rsid w:val="08ACC69D"/>
    <w:rsid w:val="08D23A4A"/>
    <w:rsid w:val="08E23FEC"/>
    <w:rsid w:val="08E73982"/>
    <w:rsid w:val="08E99E9C"/>
    <w:rsid w:val="08FAF658"/>
    <w:rsid w:val="0908376C"/>
    <w:rsid w:val="0912B0E2"/>
    <w:rsid w:val="0944088D"/>
    <w:rsid w:val="0969C89B"/>
    <w:rsid w:val="098B3142"/>
    <w:rsid w:val="099AA592"/>
    <w:rsid w:val="099FFBEC"/>
    <w:rsid w:val="09AA37DC"/>
    <w:rsid w:val="09AEACBA"/>
    <w:rsid w:val="09C16AC5"/>
    <w:rsid w:val="09CC5950"/>
    <w:rsid w:val="09D335FD"/>
    <w:rsid w:val="09F55A76"/>
    <w:rsid w:val="09F7383C"/>
    <w:rsid w:val="09FB34B4"/>
    <w:rsid w:val="0A0D4478"/>
    <w:rsid w:val="0A232C3A"/>
    <w:rsid w:val="0A3151A8"/>
    <w:rsid w:val="0A342D8D"/>
    <w:rsid w:val="0A373573"/>
    <w:rsid w:val="0A454EF6"/>
    <w:rsid w:val="0A8D8016"/>
    <w:rsid w:val="0A923877"/>
    <w:rsid w:val="0A991BA1"/>
    <w:rsid w:val="0A9EC4E2"/>
    <w:rsid w:val="0AAA2759"/>
    <w:rsid w:val="0AB518DD"/>
    <w:rsid w:val="0ACBC6B7"/>
    <w:rsid w:val="0AD343F3"/>
    <w:rsid w:val="0AE82DEF"/>
    <w:rsid w:val="0B0CFBCB"/>
    <w:rsid w:val="0B191DFB"/>
    <w:rsid w:val="0B4A48D1"/>
    <w:rsid w:val="0B60D2BD"/>
    <w:rsid w:val="0B82E17B"/>
    <w:rsid w:val="0B875044"/>
    <w:rsid w:val="0B91314A"/>
    <w:rsid w:val="0B97FC91"/>
    <w:rsid w:val="0B99FF59"/>
    <w:rsid w:val="0BAE44EE"/>
    <w:rsid w:val="0BEB82E9"/>
    <w:rsid w:val="0C0A3582"/>
    <w:rsid w:val="0C0F94CA"/>
    <w:rsid w:val="0C141944"/>
    <w:rsid w:val="0C19C1E1"/>
    <w:rsid w:val="0C273AFD"/>
    <w:rsid w:val="0C28C591"/>
    <w:rsid w:val="0C2E7F5D"/>
    <w:rsid w:val="0C55A883"/>
    <w:rsid w:val="0C5BFC95"/>
    <w:rsid w:val="0C685E81"/>
    <w:rsid w:val="0C9C0096"/>
    <w:rsid w:val="0C9EB41B"/>
    <w:rsid w:val="0CA19412"/>
    <w:rsid w:val="0CE58A07"/>
    <w:rsid w:val="0CF876BA"/>
    <w:rsid w:val="0CF93DB8"/>
    <w:rsid w:val="0CFB6E4A"/>
    <w:rsid w:val="0D04DC2E"/>
    <w:rsid w:val="0D1EE0B3"/>
    <w:rsid w:val="0D2ED154"/>
    <w:rsid w:val="0D3F89CA"/>
    <w:rsid w:val="0D509644"/>
    <w:rsid w:val="0D57A8C5"/>
    <w:rsid w:val="0D6EFB08"/>
    <w:rsid w:val="0D6F598A"/>
    <w:rsid w:val="0D75AD9E"/>
    <w:rsid w:val="0D8ADA13"/>
    <w:rsid w:val="0D90BC7F"/>
    <w:rsid w:val="0D9851A6"/>
    <w:rsid w:val="0DB51800"/>
    <w:rsid w:val="0DCBDEAE"/>
    <w:rsid w:val="0DD18164"/>
    <w:rsid w:val="0DF3BB02"/>
    <w:rsid w:val="0E0BD2CD"/>
    <w:rsid w:val="0E11FCC8"/>
    <w:rsid w:val="0E16E9C5"/>
    <w:rsid w:val="0E37AC9B"/>
    <w:rsid w:val="0E48A2BD"/>
    <w:rsid w:val="0E60F9E5"/>
    <w:rsid w:val="0E706619"/>
    <w:rsid w:val="0E754917"/>
    <w:rsid w:val="0E9B66EC"/>
    <w:rsid w:val="0E9EE39A"/>
    <w:rsid w:val="0EB93669"/>
    <w:rsid w:val="0EC83E05"/>
    <w:rsid w:val="0EFB5216"/>
    <w:rsid w:val="0F1817AA"/>
    <w:rsid w:val="0F1CA7E6"/>
    <w:rsid w:val="0F25CF1D"/>
    <w:rsid w:val="0F2E7966"/>
    <w:rsid w:val="0F3CE740"/>
    <w:rsid w:val="0F41BB9B"/>
    <w:rsid w:val="0F55476A"/>
    <w:rsid w:val="0F565C90"/>
    <w:rsid w:val="0F652CC6"/>
    <w:rsid w:val="0F6CA6DF"/>
    <w:rsid w:val="0F828E15"/>
    <w:rsid w:val="0F866C9A"/>
    <w:rsid w:val="0F87D060"/>
    <w:rsid w:val="0F90E05F"/>
    <w:rsid w:val="0F91DAA1"/>
    <w:rsid w:val="0F96300E"/>
    <w:rsid w:val="0F97B2DD"/>
    <w:rsid w:val="0FA35A6A"/>
    <w:rsid w:val="0FA59282"/>
    <w:rsid w:val="0FD6F358"/>
    <w:rsid w:val="0FD6F67D"/>
    <w:rsid w:val="0FD95B26"/>
    <w:rsid w:val="0FEC6A8E"/>
    <w:rsid w:val="0FEF62D1"/>
    <w:rsid w:val="0FF149DA"/>
    <w:rsid w:val="100E8783"/>
    <w:rsid w:val="1031BF98"/>
    <w:rsid w:val="103C60DA"/>
    <w:rsid w:val="103E234B"/>
    <w:rsid w:val="10400087"/>
    <w:rsid w:val="1050AE4B"/>
    <w:rsid w:val="1052D5B5"/>
    <w:rsid w:val="10545FAA"/>
    <w:rsid w:val="105C74E4"/>
    <w:rsid w:val="105E985F"/>
    <w:rsid w:val="106063FC"/>
    <w:rsid w:val="107D5BCE"/>
    <w:rsid w:val="108849AE"/>
    <w:rsid w:val="1098CC92"/>
    <w:rsid w:val="10A215D1"/>
    <w:rsid w:val="10ADD2A2"/>
    <w:rsid w:val="10B20163"/>
    <w:rsid w:val="10CBFCD9"/>
    <w:rsid w:val="10D1F88C"/>
    <w:rsid w:val="10DAC078"/>
    <w:rsid w:val="10EB2BF2"/>
    <w:rsid w:val="10EDD48D"/>
    <w:rsid w:val="10F10A02"/>
    <w:rsid w:val="10F899E3"/>
    <w:rsid w:val="113C70A5"/>
    <w:rsid w:val="118ADEF6"/>
    <w:rsid w:val="11906B08"/>
    <w:rsid w:val="11A2A59A"/>
    <w:rsid w:val="11A67AE1"/>
    <w:rsid w:val="11AAC4BD"/>
    <w:rsid w:val="11D3A212"/>
    <w:rsid w:val="11D61737"/>
    <w:rsid w:val="11D795F7"/>
    <w:rsid w:val="11D8313D"/>
    <w:rsid w:val="11DEE2FF"/>
    <w:rsid w:val="11E9C994"/>
    <w:rsid w:val="11EC71CF"/>
    <w:rsid w:val="11F0AC09"/>
    <w:rsid w:val="11F58A11"/>
    <w:rsid w:val="12096759"/>
    <w:rsid w:val="1224BF8F"/>
    <w:rsid w:val="12419647"/>
    <w:rsid w:val="1243BDEF"/>
    <w:rsid w:val="1247DFF0"/>
    <w:rsid w:val="12491662"/>
    <w:rsid w:val="1252A9CC"/>
    <w:rsid w:val="125DFAA6"/>
    <w:rsid w:val="126F9504"/>
    <w:rsid w:val="12980897"/>
    <w:rsid w:val="12A02EC7"/>
    <w:rsid w:val="12A51CFD"/>
    <w:rsid w:val="12AEB8D7"/>
    <w:rsid w:val="12E402E9"/>
    <w:rsid w:val="12EB0ECC"/>
    <w:rsid w:val="13071C68"/>
    <w:rsid w:val="1323225E"/>
    <w:rsid w:val="13449B12"/>
    <w:rsid w:val="134944C8"/>
    <w:rsid w:val="1356DEB9"/>
    <w:rsid w:val="135AA7DB"/>
    <w:rsid w:val="136C69AC"/>
    <w:rsid w:val="13703A72"/>
    <w:rsid w:val="137C4834"/>
    <w:rsid w:val="137ED8B7"/>
    <w:rsid w:val="1381E7B6"/>
    <w:rsid w:val="13B7E6EF"/>
    <w:rsid w:val="13C863B8"/>
    <w:rsid w:val="13C88360"/>
    <w:rsid w:val="13CF1133"/>
    <w:rsid w:val="140DFDF3"/>
    <w:rsid w:val="1437431B"/>
    <w:rsid w:val="143FAF01"/>
    <w:rsid w:val="14405697"/>
    <w:rsid w:val="144BC191"/>
    <w:rsid w:val="145AF2DB"/>
    <w:rsid w:val="1464A1A0"/>
    <w:rsid w:val="1477E777"/>
    <w:rsid w:val="1478547C"/>
    <w:rsid w:val="148C0FBE"/>
    <w:rsid w:val="14A69FB5"/>
    <w:rsid w:val="14AB0A41"/>
    <w:rsid w:val="14B2C4C1"/>
    <w:rsid w:val="14BD60F1"/>
    <w:rsid w:val="14E5ABE1"/>
    <w:rsid w:val="150420C4"/>
    <w:rsid w:val="150BD1D0"/>
    <w:rsid w:val="152CBF26"/>
    <w:rsid w:val="152CEAAA"/>
    <w:rsid w:val="1546105A"/>
    <w:rsid w:val="15630E80"/>
    <w:rsid w:val="156715FB"/>
    <w:rsid w:val="1588CF81"/>
    <w:rsid w:val="158C1466"/>
    <w:rsid w:val="15C160A8"/>
    <w:rsid w:val="15CDE45D"/>
    <w:rsid w:val="15E6D7F6"/>
    <w:rsid w:val="15E86D60"/>
    <w:rsid w:val="15EDA4B4"/>
    <w:rsid w:val="160E40BA"/>
    <w:rsid w:val="1611137E"/>
    <w:rsid w:val="1611ACA0"/>
    <w:rsid w:val="161A48E7"/>
    <w:rsid w:val="162B5390"/>
    <w:rsid w:val="16311E53"/>
    <w:rsid w:val="16496A76"/>
    <w:rsid w:val="1656B4DD"/>
    <w:rsid w:val="1667D790"/>
    <w:rsid w:val="16686218"/>
    <w:rsid w:val="166E8189"/>
    <w:rsid w:val="166EFEA6"/>
    <w:rsid w:val="16700A00"/>
    <w:rsid w:val="168FCD52"/>
    <w:rsid w:val="16975F90"/>
    <w:rsid w:val="16A96A18"/>
    <w:rsid w:val="17037D3E"/>
    <w:rsid w:val="171243FB"/>
    <w:rsid w:val="172AB00F"/>
    <w:rsid w:val="17343EC1"/>
    <w:rsid w:val="1739DA7E"/>
    <w:rsid w:val="17444C3B"/>
    <w:rsid w:val="175187C2"/>
    <w:rsid w:val="17525629"/>
    <w:rsid w:val="1762E8AD"/>
    <w:rsid w:val="177867AD"/>
    <w:rsid w:val="1798BF78"/>
    <w:rsid w:val="179B3438"/>
    <w:rsid w:val="17D042C6"/>
    <w:rsid w:val="17D07225"/>
    <w:rsid w:val="17D3C188"/>
    <w:rsid w:val="17D73EC5"/>
    <w:rsid w:val="17DE11F1"/>
    <w:rsid w:val="17E1E982"/>
    <w:rsid w:val="17FA0C50"/>
    <w:rsid w:val="17FCD194"/>
    <w:rsid w:val="181BBC12"/>
    <w:rsid w:val="181FC141"/>
    <w:rsid w:val="1822CA53"/>
    <w:rsid w:val="183AC2C8"/>
    <w:rsid w:val="1866492D"/>
    <w:rsid w:val="18744A42"/>
    <w:rsid w:val="187E4BE4"/>
    <w:rsid w:val="18A5A9F4"/>
    <w:rsid w:val="18A76F7F"/>
    <w:rsid w:val="18B38108"/>
    <w:rsid w:val="18C737F7"/>
    <w:rsid w:val="18C9DD90"/>
    <w:rsid w:val="18CBB568"/>
    <w:rsid w:val="18D4E129"/>
    <w:rsid w:val="18D8CCEE"/>
    <w:rsid w:val="18E128A6"/>
    <w:rsid w:val="18E4F90A"/>
    <w:rsid w:val="1911A1F8"/>
    <w:rsid w:val="19254FCB"/>
    <w:rsid w:val="1929E671"/>
    <w:rsid w:val="19325B86"/>
    <w:rsid w:val="193A5317"/>
    <w:rsid w:val="1954E002"/>
    <w:rsid w:val="1955DDFD"/>
    <w:rsid w:val="19565346"/>
    <w:rsid w:val="195AF76C"/>
    <w:rsid w:val="19759492"/>
    <w:rsid w:val="19761F1A"/>
    <w:rsid w:val="198CFD2E"/>
    <w:rsid w:val="199F4EC6"/>
    <w:rsid w:val="19AA047C"/>
    <w:rsid w:val="19BB4DCF"/>
    <w:rsid w:val="19C4873B"/>
    <w:rsid w:val="19C72C76"/>
    <w:rsid w:val="19D63226"/>
    <w:rsid w:val="19F7765D"/>
    <w:rsid w:val="19FA51F4"/>
    <w:rsid w:val="19FB3CB6"/>
    <w:rsid w:val="1A0F855E"/>
    <w:rsid w:val="1A13E7EE"/>
    <w:rsid w:val="1A15DBBF"/>
    <w:rsid w:val="1A1AAC4F"/>
    <w:rsid w:val="1A2305A7"/>
    <w:rsid w:val="1A24E754"/>
    <w:rsid w:val="1A3EF7AE"/>
    <w:rsid w:val="1A78CF88"/>
    <w:rsid w:val="1A87D1FE"/>
    <w:rsid w:val="1A9660FE"/>
    <w:rsid w:val="1A9B302E"/>
    <w:rsid w:val="1ACEBEEE"/>
    <w:rsid w:val="1AD2FBC0"/>
    <w:rsid w:val="1AE496D6"/>
    <w:rsid w:val="1AF0EAC8"/>
    <w:rsid w:val="1AF43FEE"/>
    <w:rsid w:val="1AF95F3E"/>
    <w:rsid w:val="1AFB8FCB"/>
    <w:rsid w:val="1B12E079"/>
    <w:rsid w:val="1B13422B"/>
    <w:rsid w:val="1B24C33A"/>
    <w:rsid w:val="1B3DA3E8"/>
    <w:rsid w:val="1B3ED0F4"/>
    <w:rsid w:val="1B44DD71"/>
    <w:rsid w:val="1B54B878"/>
    <w:rsid w:val="1B6D0F23"/>
    <w:rsid w:val="1B76A08C"/>
    <w:rsid w:val="1B96A1D1"/>
    <w:rsid w:val="1BA8285B"/>
    <w:rsid w:val="1BAD739F"/>
    <w:rsid w:val="1BBCB30B"/>
    <w:rsid w:val="1BCAD9F4"/>
    <w:rsid w:val="1BEEA9B4"/>
    <w:rsid w:val="1BF733FB"/>
    <w:rsid w:val="1BFB4486"/>
    <w:rsid w:val="1C03CF4E"/>
    <w:rsid w:val="1C11BE65"/>
    <w:rsid w:val="1C1762B1"/>
    <w:rsid w:val="1C17A874"/>
    <w:rsid w:val="1C1AC60A"/>
    <w:rsid w:val="1C1F97B1"/>
    <w:rsid w:val="1C25E4DA"/>
    <w:rsid w:val="1C473B8E"/>
    <w:rsid w:val="1C5271D6"/>
    <w:rsid w:val="1C54DFD9"/>
    <w:rsid w:val="1C63B43D"/>
    <w:rsid w:val="1C660C6F"/>
    <w:rsid w:val="1C773D46"/>
    <w:rsid w:val="1C86CB73"/>
    <w:rsid w:val="1C87FC4C"/>
    <w:rsid w:val="1C888A56"/>
    <w:rsid w:val="1C984871"/>
    <w:rsid w:val="1CD0DF15"/>
    <w:rsid w:val="1CDD56BE"/>
    <w:rsid w:val="1CED667A"/>
    <w:rsid w:val="1CF7C485"/>
    <w:rsid w:val="1D217DF1"/>
    <w:rsid w:val="1D275AAD"/>
    <w:rsid w:val="1D35C2C9"/>
    <w:rsid w:val="1D521A67"/>
    <w:rsid w:val="1D598CE9"/>
    <w:rsid w:val="1D6E146B"/>
    <w:rsid w:val="1D8A46C4"/>
    <w:rsid w:val="1D8C7A23"/>
    <w:rsid w:val="1D97B4BB"/>
    <w:rsid w:val="1DB64094"/>
    <w:rsid w:val="1DB926C3"/>
    <w:rsid w:val="1DBD38DD"/>
    <w:rsid w:val="1DD7E2CF"/>
    <w:rsid w:val="1DE1A768"/>
    <w:rsid w:val="1DEECD22"/>
    <w:rsid w:val="1E2A0559"/>
    <w:rsid w:val="1E32998E"/>
    <w:rsid w:val="1E6BA566"/>
    <w:rsid w:val="1E75ADE8"/>
    <w:rsid w:val="1E7CACE6"/>
    <w:rsid w:val="1E83C96E"/>
    <w:rsid w:val="1E89C4A6"/>
    <w:rsid w:val="1E98CEF5"/>
    <w:rsid w:val="1E9DC7D8"/>
    <w:rsid w:val="1EA1F281"/>
    <w:rsid w:val="1EA25140"/>
    <w:rsid w:val="1EA284A4"/>
    <w:rsid w:val="1EA2A8C8"/>
    <w:rsid w:val="1EA957D6"/>
    <w:rsid w:val="1EB2DE7C"/>
    <w:rsid w:val="1EBC75D6"/>
    <w:rsid w:val="1EC401DF"/>
    <w:rsid w:val="1ECBD22D"/>
    <w:rsid w:val="1F141DBF"/>
    <w:rsid w:val="1F1AEEE1"/>
    <w:rsid w:val="1F201C71"/>
    <w:rsid w:val="1F74D6FD"/>
    <w:rsid w:val="1F85FB77"/>
    <w:rsid w:val="1FABEA3F"/>
    <w:rsid w:val="1FD2BFB2"/>
    <w:rsid w:val="1FD799D6"/>
    <w:rsid w:val="1FEA4AA9"/>
    <w:rsid w:val="1FF278CA"/>
    <w:rsid w:val="1FF8F3DB"/>
    <w:rsid w:val="20004619"/>
    <w:rsid w:val="200306B6"/>
    <w:rsid w:val="2007561F"/>
    <w:rsid w:val="20224555"/>
    <w:rsid w:val="204D186D"/>
    <w:rsid w:val="20675221"/>
    <w:rsid w:val="206BDF2F"/>
    <w:rsid w:val="2072F8B3"/>
    <w:rsid w:val="2088B336"/>
    <w:rsid w:val="2098CDE3"/>
    <w:rsid w:val="20A949EE"/>
    <w:rsid w:val="20B2B578"/>
    <w:rsid w:val="20CA4403"/>
    <w:rsid w:val="20CD6E41"/>
    <w:rsid w:val="20D2EF23"/>
    <w:rsid w:val="20E80CD6"/>
    <w:rsid w:val="210C1F7B"/>
    <w:rsid w:val="2123D99D"/>
    <w:rsid w:val="212CED1C"/>
    <w:rsid w:val="2133E0DC"/>
    <w:rsid w:val="21368D0C"/>
    <w:rsid w:val="2138DB65"/>
    <w:rsid w:val="214392AE"/>
    <w:rsid w:val="214F3733"/>
    <w:rsid w:val="21511831"/>
    <w:rsid w:val="21555C3C"/>
    <w:rsid w:val="216483F9"/>
    <w:rsid w:val="216C4FE2"/>
    <w:rsid w:val="21712E4F"/>
    <w:rsid w:val="2178C14C"/>
    <w:rsid w:val="21930E04"/>
    <w:rsid w:val="2193994A"/>
    <w:rsid w:val="2199503D"/>
    <w:rsid w:val="219E190A"/>
    <w:rsid w:val="21A40939"/>
    <w:rsid w:val="21AFF79D"/>
    <w:rsid w:val="21B2DCB8"/>
    <w:rsid w:val="21D314E5"/>
    <w:rsid w:val="21D60236"/>
    <w:rsid w:val="21D9B0D0"/>
    <w:rsid w:val="21E3642E"/>
    <w:rsid w:val="21FA4FC0"/>
    <w:rsid w:val="21FE0E9A"/>
    <w:rsid w:val="2233BE22"/>
    <w:rsid w:val="2262D689"/>
    <w:rsid w:val="2265B0A1"/>
    <w:rsid w:val="22681D3D"/>
    <w:rsid w:val="226C21CA"/>
    <w:rsid w:val="22780A3B"/>
    <w:rsid w:val="227B109E"/>
    <w:rsid w:val="2280AB36"/>
    <w:rsid w:val="228355F8"/>
    <w:rsid w:val="22850989"/>
    <w:rsid w:val="228DC7CF"/>
    <w:rsid w:val="22998868"/>
    <w:rsid w:val="22DB2823"/>
    <w:rsid w:val="22F420CB"/>
    <w:rsid w:val="22F857EC"/>
    <w:rsid w:val="22F9E51B"/>
    <w:rsid w:val="230775E8"/>
    <w:rsid w:val="230AE4A9"/>
    <w:rsid w:val="2311B548"/>
    <w:rsid w:val="231921BD"/>
    <w:rsid w:val="23204836"/>
    <w:rsid w:val="232C06BD"/>
    <w:rsid w:val="233701A6"/>
    <w:rsid w:val="2345DA99"/>
    <w:rsid w:val="235C95E1"/>
    <w:rsid w:val="236A42D0"/>
    <w:rsid w:val="236D1C5C"/>
    <w:rsid w:val="238D69B9"/>
    <w:rsid w:val="23973266"/>
    <w:rsid w:val="23B5E00A"/>
    <w:rsid w:val="23E05B46"/>
    <w:rsid w:val="23E07C5E"/>
    <w:rsid w:val="23E17CFC"/>
    <w:rsid w:val="23E3DACA"/>
    <w:rsid w:val="23E8972C"/>
    <w:rsid w:val="23ED5A9E"/>
    <w:rsid w:val="23F137E5"/>
    <w:rsid w:val="24120088"/>
    <w:rsid w:val="2416101F"/>
    <w:rsid w:val="242B2748"/>
    <w:rsid w:val="2432558F"/>
    <w:rsid w:val="243E87A1"/>
    <w:rsid w:val="246E26FB"/>
    <w:rsid w:val="247D10D9"/>
    <w:rsid w:val="24A22667"/>
    <w:rsid w:val="24AB9106"/>
    <w:rsid w:val="24AF574C"/>
    <w:rsid w:val="24B6A711"/>
    <w:rsid w:val="24BE9684"/>
    <w:rsid w:val="24C3825F"/>
    <w:rsid w:val="24C68C36"/>
    <w:rsid w:val="24CAF55B"/>
    <w:rsid w:val="24DEDD56"/>
    <w:rsid w:val="24E3121F"/>
    <w:rsid w:val="24EA0A39"/>
    <w:rsid w:val="24EF7FFF"/>
    <w:rsid w:val="2554E8FD"/>
    <w:rsid w:val="255AF71F"/>
    <w:rsid w:val="256500BE"/>
    <w:rsid w:val="256F639C"/>
    <w:rsid w:val="2570256D"/>
    <w:rsid w:val="2573B595"/>
    <w:rsid w:val="257EB825"/>
    <w:rsid w:val="258A043E"/>
    <w:rsid w:val="2590EBD0"/>
    <w:rsid w:val="25B8761F"/>
    <w:rsid w:val="25C77180"/>
    <w:rsid w:val="25D680DF"/>
    <w:rsid w:val="25F8448C"/>
    <w:rsid w:val="260CF223"/>
    <w:rsid w:val="260D0959"/>
    <w:rsid w:val="261BB1D5"/>
    <w:rsid w:val="26211634"/>
    <w:rsid w:val="2624F320"/>
    <w:rsid w:val="262709B8"/>
    <w:rsid w:val="2628F2E9"/>
    <w:rsid w:val="265C152D"/>
    <w:rsid w:val="266AF7A9"/>
    <w:rsid w:val="267714E5"/>
    <w:rsid w:val="26805643"/>
    <w:rsid w:val="26832954"/>
    <w:rsid w:val="269342D8"/>
    <w:rsid w:val="269A6DA8"/>
    <w:rsid w:val="26B01230"/>
    <w:rsid w:val="26B0BD9A"/>
    <w:rsid w:val="26F09392"/>
    <w:rsid w:val="26F1B5C4"/>
    <w:rsid w:val="26F46C03"/>
    <w:rsid w:val="26FBA77A"/>
    <w:rsid w:val="26FD87F3"/>
    <w:rsid w:val="2709E5E5"/>
    <w:rsid w:val="27146634"/>
    <w:rsid w:val="2720EA5E"/>
    <w:rsid w:val="274A6D69"/>
    <w:rsid w:val="275A7014"/>
    <w:rsid w:val="275E7628"/>
    <w:rsid w:val="276FB115"/>
    <w:rsid w:val="277E349A"/>
    <w:rsid w:val="2791E8CC"/>
    <w:rsid w:val="27965E4C"/>
    <w:rsid w:val="279F98AE"/>
    <w:rsid w:val="27A8F7C8"/>
    <w:rsid w:val="27B12B8D"/>
    <w:rsid w:val="27C1ED70"/>
    <w:rsid w:val="27CD0AF9"/>
    <w:rsid w:val="27CF4593"/>
    <w:rsid w:val="27D5102B"/>
    <w:rsid w:val="27EB45A7"/>
    <w:rsid w:val="27ED70BE"/>
    <w:rsid w:val="2802CC00"/>
    <w:rsid w:val="283724CF"/>
    <w:rsid w:val="2838FA30"/>
    <w:rsid w:val="283F29F5"/>
    <w:rsid w:val="285A3306"/>
    <w:rsid w:val="2864969E"/>
    <w:rsid w:val="286B9F88"/>
    <w:rsid w:val="28B003EF"/>
    <w:rsid w:val="28B2421F"/>
    <w:rsid w:val="28B8D95D"/>
    <w:rsid w:val="28BC8A78"/>
    <w:rsid w:val="28D50944"/>
    <w:rsid w:val="28EA528E"/>
    <w:rsid w:val="28EC80C4"/>
    <w:rsid w:val="28ED6EB4"/>
    <w:rsid w:val="28FCD00B"/>
    <w:rsid w:val="28FCE3F0"/>
    <w:rsid w:val="28FFBCD0"/>
    <w:rsid w:val="290E0112"/>
    <w:rsid w:val="291A3A2F"/>
    <w:rsid w:val="2924AE0C"/>
    <w:rsid w:val="292A5038"/>
    <w:rsid w:val="292A8292"/>
    <w:rsid w:val="292FCA95"/>
    <w:rsid w:val="29306878"/>
    <w:rsid w:val="2941C34F"/>
    <w:rsid w:val="294440E3"/>
    <w:rsid w:val="29479312"/>
    <w:rsid w:val="294BDD2E"/>
    <w:rsid w:val="2964420E"/>
    <w:rsid w:val="29713A8C"/>
    <w:rsid w:val="2980B78F"/>
    <w:rsid w:val="298C01FC"/>
    <w:rsid w:val="29A3E515"/>
    <w:rsid w:val="29A94B32"/>
    <w:rsid w:val="29AD588A"/>
    <w:rsid w:val="29CFD449"/>
    <w:rsid w:val="29D02571"/>
    <w:rsid w:val="29D0DC1A"/>
    <w:rsid w:val="29E19775"/>
    <w:rsid w:val="29E951B8"/>
    <w:rsid w:val="29F1080B"/>
    <w:rsid w:val="29F1254E"/>
    <w:rsid w:val="2A03F9E5"/>
    <w:rsid w:val="2A0C210C"/>
    <w:rsid w:val="2A1A1959"/>
    <w:rsid w:val="2A300460"/>
    <w:rsid w:val="2A3B4D55"/>
    <w:rsid w:val="2A48FC90"/>
    <w:rsid w:val="2A5CE2E0"/>
    <w:rsid w:val="2A700DB8"/>
    <w:rsid w:val="2A705A86"/>
    <w:rsid w:val="2A86BA2E"/>
    <w:rsid w:val="2A93C235"/>
    <w:rsid w:val="2A969D51"/>
    <w:rsid w:val="2AA69192"/>
    <w:rsid w:val="2AB2AD6E"/>
    <w:rsid w:val="2AB84AE1"/>
    <w:rsid w:val="2AC383CA"/>
    <w:rsid w:val="2ADCA81F"/>
    <w:rsid w:val="2AF831AC"/>
    <w:rsid w:val="2B0D5E7D"/>
    <w:rsid w:val="2B508D21"/>
    <w:rsid w:val="2B55009D"/>
    <w:rsid w:val="2B5FA063"/>
    <w:rsid w:val="2B64012D"/>
    <w:rsid w:val="2B676143"/>
    <w:rsid w:val="2B6CEDE2"/>
    <w:rsid w:val="2B873B5D"/>
    <w:rsid w:val="2B95CEB7"/>
    <w:rsid w:val="2B974653"/>
    <w:rsid w:val="2BA52686"/>
    <w:rsid w:val="2BB346A7"/>
    <w:rsid w:val="2BB5AC62"/>
    <w:rsid w:val="2BBAA91B"/>
    <w:rsid w:val="2BC0DE36"/>
    <w:rsid w:val="2BC192B9"/>
    <w:rsid w:val="2BC866B4"/>
    <w:rsid w:val="2BC975CC"/>
    <w:rsid w:val="2BDFB018"/>
    <w:rsid w:val="2BE999E0"/>
    <w:rsid w:val="2BF4AB50"/>
    <w:rsid w:val="2BF4C1AF"/>
    <w:rsid w:val="2BF4D531"/>
    <w:rsid w:val="2C061474"/>
    <w:rsid w:val="2C080D7D"/>
    <w:rsid w:val="2C097D9E"/>
    <w:rsid w:val="2C2AD6D2"/>
    <w:rsid w:val="2C3F8DCB"/>
    <w:rsid w:val="2C451DB0"/>
    <w:rsid w:val="2C48051A"/>
    <w:rsid w:val="2C9B261C"/>
    <w:rsid w:val="2CA24556"/>
    <w:rsid w:val="2CA2D0AB"/>
    <w:rsid w:val="2CAD3C19"/>
    <w:rsid w:val="2CBC3D7A"/>
    <w:rsid w:val="2CD9A217"/>
    <w:rsid w:val="2CDBBD6D"/>
    <w:rsid w:val="2CE91989"/>
    <w:rsid w:val="2D171BB1"/>
    <w:rsid w:val="2D2F7573"/>
    <w:rsid w:val="2D3722F8"/>
    <w:rsid w:val="2D4A97BF"/>
    <w:rsid w:val="2D59CCAB"/>
    <w:rsid w:val="2D7E5A34"/>
    <w:rsid w:val="2D83A76C"/>
    <w:rsid w:val="2D8EBB62"/>
    <w:rsid w:val="2D8FF47D"/>
    <w:rsid w:val="2D9B3765"/>
    <w:rsid w:val="2DD0DF59"/>
    <w:rsid w:val="2DE1ECA7"/>
    <w:rsid w:val="2E0F33E0"/>
    <w:rsid w:val="2E3654DD"/>
    <w:rsid w:val="2E40B657"/>
    <w:rsid w:val="2E439035"/>
    <w:rsid w:val="2E4C0318"/>
    <w:rsid w:val="2E6FA2D8"/>
    <w:rsid w:val="2E82BBBE"/>
    <w:rsid w:val="2E903766"/>
    <w:rsid w:val="2E93FB6F"/>
    <w:rsid w:val="2EA83F1F"/>
    <w:rsid w:val="2EB44709"/>
    <w:rsid w:val="2EBA5F88"/>
    <w:rsid w:val="2EC72C78"/>
    <w:rsid w:val="2F009506"/>
    <w:rsid w:val="2F134A66"/>
    <w:rsid w:val="2F1C2DA0"/>
    <w:rsid w:val="2F5E413E"/>
    <w:rsid w:val="2F7345E9"/>
    <w:rsid w:val="2F751C64"/>
    <w:rsid w:val="2F8EE347"/>
    <w:rsid w:val="2F91E42C"/>
    <w:rsid w:val="2F93586D"/>
    <w:rsid w:val="2F9C940F"/>
    <w:rsid w:val="2F9FA43C"/>
    <w:rsid w:val="2FA1B2AC"/>
    <w:rsid w:val="2FABE5C6"/>
    <w:rsid w:val="2FB5997C"/>
    <w:rsid w:val="2FBCBE35"/>
    <w:rsid w:val="2FDA8CB5"/>
    <w:rsid w:val="2FE5A2AD"/>
    <w:rsid w:val="3017364E"/>
    <w:rsid w:val="304D469C"/>
    <w:rsid w:val="304EC8F4"/>
    <w:rsid w:val="30631277"/>
    <w:rsid w:val="306363FC"/>
    <w:rsid w:val="3066EFA2"/>
    <w:rsid w:val="309186A4"/>
    <w:rsid w:val="30B3CF78"/>
    <w:rsid w:val="30B6FDEE"/>
    <w:rsid w:val="30BA353A"/>
    <w:rsid w:val="30D0A382"/>
    <w:rsid w:val="30D5CB04"/>
    <w:rsid w:val="30E3B442"/>
    <w:rsid w:val="30F6ABE9"/>
    <w:rsid w:val="311988F3"/>
    <w:rsid w:val="311B278F"/>
    <w:rsid w:val="3126DD3D"/>
    <w:rsid w:val="31403EEF"/>
    <w:rsid w:val="3148FEE1"/>
    <w:rsid w:val="31513BAB"/>
    <w:rsid w:val="315705B0"/>
    <w:rsid w:val="316022BB"/>
    <w:rsid w:val="317FBF81"/>
    <w:rsid w:val="3182D169"/>
    <w:rsid w:val="318A8A1B"/>
    <w:rsid w:val="31960799"/>
    <w:rsid w:val="31BAFBBC"/>
    <w:rsid w:val="31BD6C67"/>
    <w:rsid w:val="31D5EABF"/>
    <w:rsid w:val="31DD64DF"/>
    <w:rsid w:val="31E8AADA"/>
    <w:rsid w:val="31EC104F"/>
    <w:rsid w:val="31F64E04"/>
    <w:rsid w:val="31FCF508"/>
    <w:rsid w:val="3200A851"/>
    <w:rsid w:val="3206CE9B"/>
    <w:rsid w:val="32165D89"/>
    <w:rsid w:val="323AA4FC"/>
    <w:rsid w:val="326126CF"/>
    <w:rsid w:val="326137B6"/>
    <w:rsid w:val="3261C7BD"/>
    <w:rsid w:val="32639109"/>
    <w:rsid w:val="32693093"/>
    <w:rsid w:val="326E42F6"/>
    <w:rsid w:val="3289CB52"/>
    <w:rsid w:val="32911CCA"/>
    <w:rsid w:val="32B868EA"/>
    <w:rsid w:val="32BE6A21"/>
    <w:rsid w:val="32C7E119"/>
    <w:rsid w:val="32D40D68"/>
    <w:rsid w:val="32DA018F"/>
    <w:rsid w:val="32F7464B"/>
    <w:rsid w:val="33257133"/>
    <w:rsid w:val="3335A2E4"/>
    <w:rsid w:val="3337186F"/>
    <w:rsid w:val="336B3D49"/>
    <w:rsid w:val="337AD163"/>
    <w:rsid w:val="338A929C"/>
    <w:rsid w:val="33C03442"/>
    <w:rsid w:val="33DA44F5"/>
    <w:rsid w:val="33F33E0E"/>
    <w:rsid w:val="33F6736C"/>
    <w:rsid w:val="33FAC945"/>
    <w:rsid w:val="33FF8B16"/>
    <w:rsid w:val="34093B0A"/>
    <w:rsid w:val="3428A0E6"/>
    <w:rsid w:val="34361693"/>
    <w:rsid w:val="343BA7D4"/>
    <w:rsid w:val="343E5A03"/>
    <w:rsid w:val="3443F47B"/>
    <w:rsid w:val="3474F87B"/>
    <w:rsid w:val="3484EFD1"/>
    <w:rsid w:val="3493FB76"/>
    <w:rsid w:val="3495D812"/>
    <w:rsid w:val="34AA69D5"/>
    <w:rsid w:val="34B00847"/>
    <w:rsid w:val="34BEF853"/>
    <w:rsid w:val="34BF94FB"/>
    <w:rsid w:val="34CCA998"/>
    <w:rsid w:val="34D24323"/>
    <w:rsid w:val="34DCE276"/>
    <w:rsid w:val="34E70C21"/>
    <w:rsid w:val="35095883"/>
    <w:rsid w:val="350BD4A2"/>
    <w:rsid w:val="352B610C"/>
    <w:rsid w:val="35331111"/>
    <w:rsid w:val="354901D3"/>
    <w:rsid w:val="354C09A8"/>
    <w:rsid w:val="354FA2B0"/>
    <w:rsid w:val="35603270"/>
    <w:rsid w:val="3587A72C"/>
    <w:rsid w:val="358C4369"/>
    <w:rsid w:val="358D3707"/>
    <w:rsid w:val="3592D5B2"/>
    <w:rsid w:val="35940303"/>
    <w:rsid w:val="3595F00E"/>
    <w:rsid w:val="35A5A6E3"/>
    <w:rsid w:val="35B60390"/>
    <w:rsid w:val="35BDCFD8"/>
    <w:rsid w:val="35BDE02F"/>
    <w:rsid w:val="35ECAD0A"/>
    <w:rsid w:val="361FF0C4"/>
    <w:rsid w:val="362C232D"/>
    <w:rsid w:val="36434394"/>
    <w:rsid w:val="365304E8"/>
    <w:rsid w:val="3653CC64"/>
    <w:rsid w:val="365BBC8C"/>
    <w:rsid w:val="366998EE"/>
    <w:rsid w:val="366A4209"/>
    <w:rsid w:val="367D08C3"/>
    <w:rsid w:val="367FD928"/>
    <w:rsid w:val="368C5A53"/>
    <w:rsid w:val="36A332B4"/>
    <w:rsid w:val="36A83345"/>
    <w:rsid w:val="36C0FF9C"/>
    <w:rsid w:val="36E60895"/>
    <w:rsid w:val="36EE9C4C"/>
    <w:rsid w:val="36F062E6"/>
    <w:rsid w:val="3705E289"/>
    <w:rsid w:val="3707831E"/>
    <w:rsid w:val="37169ADF"/>
    <w:rsid w:val="37297146"/>
    <w:rsid w:val="37344B94"/>
    <w:rsid w:val="374F1BDB"/>
    <w:rsid w:val="375FCB28"/>
    <w:rsid w:val="3764DC9F"/>
    <w:rsid w:val="378189C3"/>
    <w:rsid w:val="3782A9DF"/>
    <w:rsid w:val="37AA5DC3"/>
    <w:rsid w:val="37AE3E52"/>
    <w:rsid w:val="37AE4892"/>
    <w:rsid w:val="37B49192"/>
    <w:rsid w:val="37BD0734"/>
    <w:rsid w:val="37C3B77E"/>
    <w:rsid w:val="37C99C93"/>
    <w:rsid w:val="37DB113E"/>
    <w:rsid w:val="37DCB141"/>
    <w:rsid w:val="37ECBFCE"/>
    <w:rsid w:val="380C87B1"/>
    <w:rsid w:val="381682F4"/>
    <w:rsid w:val="38215099"/>
    <w:rsid w:val="382BEDCA"/>
    <w:rsid w:val="3832FD8D"/>
    <w:rsid w:val="3839E73E"/>
    <w:rsid w:val="383D07B9"/>
    <w:rsid w:val="383E422D"/>
    <w:rsid w:val="383E9FEE"/>
    <w:rsid w:val="38499C2F"/>
    <w:rsid w:val="38610CB1"/>
    <w:rsid w:val="386D05BF"/>
    <w:rsid w:val="3878DD5E"/>
    <w:rsid w:val="38797B80"/>
    <w:rsid w:val="389300F2"/>
    <w:rsid w:val="38B598FB"/>
    <w:rsid w:val="38E2A05A"/>
    <w:rsid w:val="38F1B938"/>
    <w:rsid w:val="38FF5416"/>
    <w:rsid w:val="3903DB75"/>
    <w:rsid w:val="39052243"/>
    <w:rsid w:val="3915B1CC"/>
    <w:rsid w:val="39397371"/>
    <w:rsid w:val="3941094E"/>
    <w:rsid w:val="3947C735"/>
    <w:rsid w:val="39603443"/>
    <w:rsid w:val="397BC211"/>
    <w:rsid w:val="39931CBF"/>
    <w:rsid w:val="39AD5AA4"/>
    <w:rsid w:val="39B036D8"/>
    <w:rsid w:val="39C9253C"/>
    <w:rsid w:val="39E7980E"/>
    <w:rsid w:val="39ECFDEF"/>
    <w:rsid w:val="39F62309"/>
    <w:rsid w:val="3A047345"/>
    <w:rsid w:val="3A215743"/>
    <w:rsid w:val="3A47F980"/>
    <w:rsid w:val="3A4E4C72"/>
    <w:rsid w:val="3A5B0728"/>
    <w:rsid w:val="3A673B0C"/>
    <w:rsid w:val="3A80443D"/>
    <w:rsid w:val="3A90B54E"/>
    <w:rsid w:val="3AA7BCA8"/>
    <w:rsid w:val="3ABF8750"/>
    <w:rsid w:val="3ADF4BB9"/>
    <w:rsid w:val="3AE3578B"/>
    <w:rsid w:val="3AED1AE2"/>
    <w:rsid w:val="3B00D294"/>
    <w:rsid w:val="3B065192"/>
    <w:rsid w:val="3B0D3BF6"/>
    <w:rsid w:val="3B11BB26"/>
    <w:rsid w:val="3B580168"/>
    <w:rsid w:val="3B652BDF"/>
    <w:rsid w:val="3B697BDB"/>
    <w:rsid w:val="3B791401"/>
    <w:rsid w:val="3B79145D"/>
    <w:rsid w:val="3B84C893"/>
    <w:rsid w:val="3BAF0E52"/>
    <w:rsid w:val="3BB0C459"/>
    <w:rsid w:val="3BBE7602"/>
    <w:rsid w:val="3BDBEBB1"/>
    <w:rsid w:val="3C05F90D"/>
    <w:rsid w:val="3C1CC239"/>
    <w:rsid w:val="3C2571CD"/>
    <w:rsid w:val="3C45C260"/>
    <w:rsid w:val="3C547ABE"/>
    <w:rsid w:val="3C6ECFDE"/>
    <w:rsid w:val="3C88F83C"/>
    <w:rsid w:val="3C93FDD5"/>
    <w:rsid w:val="3C9EEDA3"/>
    <w:rsid w:val="3CA23451"/>
    <w:rsid w:val="3CCD300A"/>
    <w:rsid w:val="3CF43C04"/>
    <w:rsid w:val="3D06E971"/>
    <w:rsid w:val="3D0D17C8"/>
    <w:rsid w:val="3D16C25B"/>
    <w:rsid w:val="3D1AC263"/>
    <w:rsid w:val="3D1C7F68"/>
    <w:rsid w:val="3D435ACA"/>
    <w:rsid w:val="3D4A1CD8"/>
    <w:rsid w:val="3D4ECD53"/>
    <w:rsid w:val="3D561F43"/>
    <w:rsid w:val="3D5A7C6D"/>
    <w:rsid w:val="3D5CB2F8"/>
    <w:rsid w:val="3D613FBF"/>
    <w:rsid w:val="3D65D1B2"/>
    <w:rsid w:val="3D73AA4D"/>
    <w:rsid w:val="3D7FC119"/>
    <w:rsid w:val="3D877AB7"/>
    <w:rsid w:val="3DA4A4F1"/>
    <w:rsid w:val="3DB4F978"/>
    <w:rsid w:val="3DB6B743"/>
    <w:rsid w:val="3DBF1358"/>
    <w:rsid w:val="3DC4FBEF"/>
    <w:rsid w:val="3DD83DEB"/>
    <w:rsid w:val="3DEFB346"/>
    <w:rsid w:val="3DF4FBC3"/>
    <w:rsid w:val="3E02701E"/>
    <w:rsid w:val="3E045651"/>
    <w:rsid w:val="3E0A9CEA"/>
    <w:rsid w:val="3E380ACC"/>
    <w:rsid w:val="3E5108D1"/>
    <w:rsid w:val="3E5A3890"/>
    <w:rsid w:val="3E751454"/>
    <w:rsid w:val="3E7739D7"/>
    <w:rsid w:val="3E77A52A"/>
    <w:rsid w:val="3E7D9EA9"/>
    <w:rsid w:val="3EAF60A9"/>
    <w:rsid w:val="3EF30330"/>
    <w:rsid w:val="3EF9268F"/>
    <w:rsid w:val="3EFFA954"/>
    <w:rsid w:val="3F11791D"/>
    <w:rsid w:val="3F4B6BB4"/>
    <w:rsid w:val="3F5674DF"/>
    <w:rsid w:val="3F617E70"/>
    <w:rsid w:val="3F62895E"/>
    <w:rsid w:val="3F643A5A"/>
    <w:rsid w:val="3F767C3E"/>
    <w:rsid w:val="3F9FE192"/>
    <w:rsid w:val="3FA60576"/>
    <w:rsid w:val="3FCE6BBC"/>
    <w:rsid w:val="3FD702BC"/>
    <w:rsid w:val="3FDFCD4E"/>
    <w:rsid w:val="3FF4A4CB"/>
    <w:rsid w:val="401DFF00"/>
    <w:rsid w:val="40277424"/>
    <w:rsid w:val="40369365"/>
    <w:rsid w:val="403FE4A3"/>
    <w:rsid w:val="40449AE1"/>
    <w:rsid w:val="4054D6FE"/>
    <w:rsid w:val="4058D0E5"/>
    <w:rsid w:val="405D4D9A"/>
    <w:rsid w:val="4063443A"/>
    <w:rsid w:val="40773AAD"/>
    <w:rsid w:val="407E604D"/>
    <w:rsid w:val="409FF963"/>
    <w:rsid w:val="40B918C1"/>
    <w:rsid w:val="40C70AEB"/>
    <w:rsid w:val="40DB491E"/>
    <w:rsid w:val="40DCB8AE"/>
    <w:rsid w:val="40E92D67"/>
    <w:rsid w:val="40F18A38"/>
    <w:rsid w:val="41057E92"/>
    <w:rsid w:val="410615DF"/>
    <w:rsid w:val="41081236"/>
    <w:rsid w:val="410881FE"/>
    <w:rsid w:val="413546BF"/>
    <w:rsid w:val="41420E0D"/>
    <w:rsid w:val="41569BB0"/>
    <w:rsid w:val="415A41F8"/>
    <w:rsid w:val="415E3EA0"/>
    <w:rsid w:val="41980CD6"/>
    <w:rsid w:val="41A2FB2F"/>
    <w:rsid w:val="41B7B913"/>
    <w:rsid w:val="41BFBB04"/>
    <w:rsid w:val="41CB8F4D"/>
    <w:rsid w:val="41D0F07E"/>
    <w:rsid w:val="41D6D7DE"/>
    <w:rsid w:val="41EC2A60"/>
    <w:rsid w:val="41FA64D9"/>
    <w:rsid w:val="421524A4"/>
    <w:rsid w:val="422C04B6"/>
    <w:rsid w:val="424EDFBB"/>
    <w:rsid w:val="425BBEDC"/>
    <w:rsid w:val="425D0667"/>
    <w:rsid w:val="428E6670"/>
    <w:rsid w:val="42A7A088"/>
    <w:rsid w:val="42A972A8"/>
    <w:rsid w:val="42B2F9B6"/>
    <w:rsid w:val="42E0AC4B"/>
    <w:rsid w:val="42ED313F"/>
    <w:rsid w:val="42ED4F88"/>
    <w:rsid w:val="42F9BA83"/>
    <w:rsid w:val="430710FE"/>
    <w:rsid w:val="430E4045"/>
    <w:rsid w:val="431EFE79"/>
    <w:rsid w:val="43314843"/>
    <w:rsid w:val="433FAF67"/>
    <w:rsid w:val="434CDA11"/>
    <w:rsid w:val="435243DF"/>
    <w:rsid w:val="435ADBB1"/>
    <w:rsid w:val="43642E97"/>
    <w:rsid w:val="43645C82"/>
    <w:rsid w:val="43874EDF"/>
    <w:rsid w:val="438F9345"/>
    <w:rsid w:val="438FB0DC"/>
    <w:rsid w:val="43920C06"/>
    <w:rsid w:val="43944203"/>
    <w:rsid w:val="43AF0673"/>
    <w:rsid w:val="43B0A60E"/>
    <w:rsid w:val="43B8ECA9"/>
    <w:rsid w:val="43D65624"/>
    <w:rsid w:val="43E09B19"/>
    <w:rsid w:val="43E43E45"/>
    <w:rsid w:val="43E45DFE"/>
    <w:rsid w:val="43FBC3EE"/>
    <w:rsid w:val="443F60A0"/>
    <w:rsid w:val="445364F5"/>
    <w:rsid w:val="445581F1"/>
    <w:rsid w:val="445875D9"/>
    <w:rsid w:val="44819AB4"/>
    <w:rsid w:val="4486EE3C"/>
    <w:rsid w:val="44940417"/>
    <w:rsid w:val="4495753A"/>
    <w:rsid w:val="44994C7B"/>
    <w:rsid w:val="44A7CAA0"/>
    <w:rsid w:val="44AE47CE"/>
    <w:rsid w:val="44B93B8A"/>
    <w:rsid w:val="44BACF90"/>
    <w:rsid w:val="44CA269A"/>
    <w:rsid w:val="44CBABBA"/>
    <w:rsid w:val="44D1823A"/>
    <w:rsid w:val="44D4ADFF"/>
    <w:rsid w:val="44DBD6B2"/>
    <w:rsid w:val="44E856AD"/>
    <w:rsid w:val="44E85916"/>
    <w:rsid w:val="44F93D20"/>
    <w:rsid w:val="4504D42F"/>
    <w:rsid w:val="450C9D30"/>
    <w:rsid w:val="450F4E56"/>
    <w:rsid w:val="45117CF9"/>
    <w:rsid w:val="45268D8C"/>
    <w:rsid w:val="45272AC8"/>
    <w:rsid w:val="453A519A"/>
    <w:rsid w:val="453D3301"/>
    <w:rsid w:val="4546344E"/>
    <w:rsid w:val="4546F052"/>
    <w:rsid w:val="4562E701"/>
    <w:rsid w:val="4565802A"/>
    <w:rsid w:val="4568139B"/>
    <w:rsid w:val="456D7C89"/>
    <w:rsid w:val="45700A9E"/>
    <w:rsid w:val="458BC87F"/>
    <w:rsid w:val="458DCA0D"/>
    <w:rsid w:val="45963976"/>
    <w:rsid w:val="45BC0986"/>
    <w:rsid w:val="45C29D37"/>
    <w:rsid w:val="45C3B8E8"/>
    <w:rsid w:val="45D0F38A"/>
    <w:rsid w:val="45DA4658"/>
    <w:rsid w:val="45E78E77"/>
    <w:rsid w:val="45E796F5"/>
    <w:rsid w:val="4610DA28"/>
    <w:rsid w:val="461AE9E8"/>
    <w:rsid w:val="461CF807"/>
    <w:rsid w:val="46371F3F"/>
    <w:rsid w:val="463940A4"/>
    <w:rsid w:val="46495916"/>
    <w:rsid w:val="46499D50"/>
    <w:rsid w:val="4665CCB2"/>
    <w:rsid w:val="467B44AB"/>
    <w:rsid w:val="467B6220"/>
    <w:rsid w:val="46964083"/>
    <w:rsid w:val="469B4537"/>
    <w:rsid w:val="469BC1C6"/>
    <w:rsid w:val="46AEA774"/>
    <w:rsid w:val="46BCE4D0"/>
    <w:rsid w:val="46E225F6"/>
    <w:rsid w:val="46EA58AC"/>
    <w:rsid w:val="46EC5C44"/>
    <w:rsid w:val="46EF8426"/>
    <w:rsid w:val="46F17003"/>
    <w:rsid w:val="46FA4AB7"/>
    <w:rsid w:val="4703BC7A"/>
    <w:rsid w:val="471AA84F"/>
    <w:rsid w:val="471CB885"/>
    <w:rsid w:val="472DC532"/>
    <w:rsid w:val="472FB34B"/>
    <w:rsid w:val="474BB904"/>
    <w:rsid w:val="4752E499"/>
    <w:rsid w:val="479194F4"/>
    <w:rsid w:val="47B03555"/>
    <w:rsid w:val="47B3FAF0"/>
    <w:rsid w:val="47F9D5FA"/>
    <w:rsid w:val="47FA9852"/>
    <w:rsid w:val="4804AC91"/>
    <w:rsid w:val="4823551A"/>
    <w:rsid w:val="4828CC63"/>
    <w:rsid w:val="4839806E"/>
    <w:rsid w:val="4857E4A6"/>
    <w:rsid w:val="48707ADD"/>
    <w:rsid w:val="48863463"/>
    <w:rsid w:val="489217C9"/>
    <w:rsid w:val="48931AED"/>
    <w:rsid w:val="48A20D87"/>
    <w:rsid w:val="48B548B6"/>
    <w:rsid w:val="48B7430C"/>
    <w:rsid w:val="48BC9057"/>
    <w:rsid w:val="48C77BD5"/>
    <w:rsid w:val="48C9E478"/>
    <w:rsid w:val="48CA8E29"/>
    <w:rsid w:val="48D75E8E"/>
    <w:rsid w:val="492345B5"/>
    <w:rsid w:val="4945C7A4"/>
    <w:rsid w:val="4948D6C9"/>
    <w:rsid w:val="494D648B"/>
    <w:rsid w:val="49528A6C"/>
    <w:rsid w:val="4962D246"/>
    <w:rsid w:val="4977AA6E"/>
    <w:rsid w:val="4989D67B"/>
    <w:rsid w:val="49A786CA"/>
    <w:rsid w:val="49A847A7"/>
    <w:rsid w:val="49BB2D41"/>
    <w:rsid w:val="49BFDE2E"/>
    <w:rsid w:val="49D2EADF"/>
    <w:rsid w:val="49D76ECD"/>
    <w:rsid w:val="49F4D823"/>
    <w:rsid w:val="4A1D7BE6"/>
    <w:rsid w:val="4A31E291"/>
    <w:rsid w:val="4A3E8A65"/>
    <w:rsid w:val="4A4A7AF9"/>
    <w:rsid w:val="4A4AD0DC"/>
    <w:rsid w:val="4A686846"/>
    <w:rsid w:val="4AB052B4"/>
    <w:rsid w:val="4AC733B3"/>
    <w:rsid w:val="4AD9E091"/>
    <w:rsid w:val="4AEDF963"/>
    <w:rsid w:val="4B0AC0E9"/>
    <w:rsid w:val="4B130859"/>
    <w:rsid w:val="4B178DD8"/>
    <w:rsid w:val="4B33D272"/>
    <w:rsid w:val="4B4722D8"/>
    <w:rsid w:val="4B4C238F"/>
    <w:rsid w:val="4B565665"/>
    <w:rsid w:val="4B574424"/>
    <w:rsid w:val="4B6B21CB"/>
    <w:rsid w:val="4B6C9679"/>
    <w:rsid w:val="4B9BC39D"/>
    <w:rsid w:val="4BC2CA64"/>
    <w:rsid w:val="4BCA8539"/>
    <w:rsid w:val="4BCCA795"/>
    <w:rsid w:val="4BD6ADDC"/>
    <w:rsid w:val="4BF64633"/>
    <w:rsid w:val="4C0F5772"/>
    <w:rsid w:val="4C13F5D9"/>
    <w:rsid w:val="4C24A1BD"/>
    <w:rsid w:val="4C259450"/>
    <w:rsid w:val="4C30B8F2"/>
    <w:rsid w:val="4C364502"/>
    <w:rsid w:val="4C4DDFCB"/>
    <w:rsid w:val="4C61B8A4"/>
    <w:rsid w:val="4C76380F"/>
    <w:rsid w:val="4C8EB974"/>
    <w:rsid w:val="4CA3CEFA"/>
    <w:rsid w:val="4CB9D33D"/>
    <w:rsid w:val="4CBC27AF"/>
    <w:rsid w:val="4CC8BB60"/>
    <w:rsid w:val="4CDD0B0C"/>
    <w:rsid w:val="4CEBCA19"/>
    <w:rsid w:val="4CEF3678"/>
    <w:rsid w:val="4D0044DF"/>
    <w:rsid w:val="4D11A440"/>
    <w:rsid w:val="4D179C7C"/>
    <w:rsid w:val="4D287F70"/>
    <w:rsid w:val="4D3AE9E3"/>
    <w:rsid w:val="4D490BC8"/>
    <w:rsid w:val="4D4B3ABD"/>
    <w:rsid w:val="4D5B2142"/>
    <w:rsid w:val="4D5E144D"/>
    <w:rsid w:val="4D6FEA0C"/>
    <w:rsid w:val="4D82D63A"/>
    <w:rsid w:val="4D918B93"/>
    <w:rsid w:val="4D98579F"/>
    <w:rsid w:val="4D9F4166"/>
    <w:rsid w:val="4DCBDE0A"/>
    <w:rsid w:val="4DD4D0BE"/>
    <w:rsid w:val="4DE12776"/>
    <w:rsid w:val="4E02885B"/>
    <w:rsid w:val="4E17D4FA"/>
    <w:rsid w:val="4E198058"/>
    <w:rsid w:val="4E30130C"/>
    <w:rsid w:val="4E361072"/>
    <w:rsid w:val="4E4C34EA"/>
    <w:rsid w:val="4E68942A"/>
    <w:rsid w:val="4EA3CFE5"/>
    <w:rsid w:val="4EB1C25C"/>
    <w:rsid w:val="4EECB0E1"/>
    <w:rsid w:val="4EF18BB7"/>
    <w:rsid w:val="4F0348C3"/>
    <w:rsid w:val="4F088E3A"/>
    <w:rsid w:val="4F0B07A6"/>
    <w:rsid w:val="4F161862"/>
    <w:rsid w:val="4F456F9E"/>
    <w:rsid w:val="4F48343C"/>
    <w:rsid w:val="4F6C30FE"/>
    <w:rsid w:val="4F6E30C4"/>
    <w:rsid w:val="4F720384"/>
    <w:rsid w:val="4F9ABD8C"/>
    <w:rsid w:val="4FA682EE"/>
    <w:rsid w:val="4FC0681C"/>
    <w:rsid w:val="4FD9E5D2"/>
    <w:rsid w:val="4FDD1594"/>
    <w:rsid w:val="4FE43B08"/>
    <w:rsid w:val="4FEB0F05"/>
    <w:rsid w:val="4FFAD25A"/>
    <w:rsid w:val="4FFB6A0C"/>
    <w:rsid w:val="50105CB9"/>
    <w:rsid w:val="5011E3AA"/>
    <w:rsid w:val="5027805B"/>
    <w:rsid w:val="50390578"/>
    <w:rsid w:val="50640C70"/>
    <w:rsid w:val="50675C61"/>
    <w:rsid w:val="506C7256"/>
    <w:rsid w:val="508F8FF3"/>
    <w:rsid w:val="50A8FE55"/>
    <w:rsid w:val="50AE247A"/>
    <w:rsid w:val="50AEBBFB"/>
    <w:rsid w:val="50E1A682"/>
    <w:rsid w:val="50E7EF7D"/>
    <w:rsid w:val="50EBD641"/>
    <w:rsid w:val="510DFC34"/>
    <w:rsid w:val="511C1EFB"/>
    <w:rsid w:val="511E5819"/>
    <w:rsid w:val="512531BE"/>
    <w:rsid w:val="51432C55"/>
    <w:rsid w:val="51564088"/>
    <w:rsid w:val="5166C082"/>
    <w:rsid w:val="51891DF0"/>
    <w:rsid w:val="5199042E"/>
    <w:rsid w:val="51997429"/>
    <w:rsid w:val="51AA36ED"/>
    <w:rsid w:val="51AAB8FB"/>
    <w:rsid w:val="51AAEAED"/>
    <w:rsid w:val="51B85BC0"/>
    <w:rsid w:val="51BB3D68"/>
    <w:rsid w:val="51BB68B9"/>
    <w:rsid w:val="51C834B7"/>
    <w:rsid w:val="51D62A19"/>
    <w:rsid w:val="51D7C1B3"/>
    <w:rsid w:val="51E8489D"/>
    <w:rsid w:val="51F5371D"/>
    <w:rsid w:val="51FEEA5D"/>
    <w:rsid w:val="5207BD79"/>
    <w:rsid w:val="520889C6"/>
    <w:rsid w:val="52188DBF"/>
    <w:rsid w:val="52364E21"/>
    <w:rsid w:val="5267F55F"/>
    <w:rsid w:val="5296B97C"/>
    <w:rsid w:val="5298FD79"/>
    <w:rsid w:val="52B11DC0"/>
    <w:rsid w:val="52B4A95C"/>
    <w:rsid w:val="52BA66D2"/>
    <w:rsid w:val="52BCB7DD"/>
    <w:rsid w:val="52DEAE78"/>
    <w:rsid w:val="52E41572"/>
    <w:rsid w:val="52E43D9B"/>
    <w:rsid w:val="52E5BE21"/>
    <w:rsid w:val="52FEAA95"/>
    <w:rsid w:val="52FFA9AF"/>
    <w:rsid w:val="5302137D"/>
    <w:rsid w:val="5327B31A"/>
    <w:rsid w:val="532BAF81"/>
    <w:rsid w:val="53397814"/>
    <w:rsid w:val="53427875"/>
    <w:rsid w:val="535B891B"/>
    <w:rsid w:val="536B3184"/>
    <w:rsid w:val="536FE41B"/>
    <w:rsid w:val="53AD7A8A"/>
    <w:rsid w:val="53B064CA"/>
    <w:rsid w:val="53B21946"/>
    <w:rsid w:val="53B9A196"/>
    <w:rsid w:val="53BCEB7E"/>
    <w:rsid w:val="53C4A3A3"/>
    <w:rsid w:val="53C6464E"/>
    <w:rsid w:val="53C7CDE5"/>
    <w:rsid w:val="53C7CE2A"/>
    <w:rsid w:val="53CA6EC9"/>
    <w:rsid w:val="53D08801"/>
    <w:rsid w:val="53F762EC"/>
    <w:rsid w:val="54010DB5"/>
    <w:rsid w:val="54064605"/>
    <w:rsid w:val="5417D265"/>
    <w:rsid w:val="54296AF7"/>
    <w:rsid w:val="54406399"/>
    <w:rsid w:val="5467CE06"/>
    <w:rsid w:val="54928CBB"/>
    <w:rsid w:val="5497827A"/>
    <w:rsid w:val="54A49FCD"/>
    <w:rsid w:val="54A7FBD3"/>
    <w:rsid w:val="54B670FE"/>
    <w:rsid w:val="54BA5554"/>
    <w:rsid w:val="54C430C6"/>
    <w:rsid w:val="54CA5507"/>
    <w:rsid w:val="54CF99FD"/>
    <w:rsid w:val="54CFC553"/>
    <w:rsid w:val="55015E51"/>
    <w:rsid w:val="551C6FD0"/>
    <w:rsid w:val="5531B467"/>
    <w:rsid w:val="553CD356"/>
    <w:rsid w:val="554744AC"/>
    <w:rsid w:val="554DE57F"/>
    <w:rsid w:val="554F21DC"/>
    <w:rsid w:val="5557986E"/>
    <w:rsid w:val="555E92AB"/>
    <w:rsid w:val="559C1B19"/>
    <w:rsid w:val="559F8FD9"/>
    <w:rsid w:val="55B1C9CF"/>
    <w:rsid w:val="55BF58DE"/>
    <w:rsid w:val="55CC53E9"/>
    <w:rsid w:val="55E64654"/>
    <w:rsid w:val="55EB72EA"/>
    <w:rsid w:val="55EBC02E"/>
    <w:rsid w:val="55EF232D"/>
    <w:rsid w:val="56146BAE"/>
    <w:rsid w:val="5637486D"/>
    <w:rsid w:val="563912DA"/>
    <w:rsid w:val="5665E9CC"/>
    <w:rsid w:val="5668C819"/>
    <w:rsid w:val="566AE6F4"/>
    <w:rsid w:val="566C00D3"/>
    <w:rsid w:val="569A8C97"/>
    <w:rsid w:val="56A502CA"/>
    <w:rsid w:val="56BEFCC3"/>
    <w:rsid w:val="56CCE384"/>
    <w:rsid w:val="56DA5641"/>
    <w:rsid w:val="56DFA412"/>
    <w:rsid w:val="56EA5C0A"/>
    <w:rsid w:val="56F4AF45"/>
    <w:rsid w:val="56F9C74A"/>
    <w:rsid w:val="5735DD6F"/>
    <w:rsid w:val="573EAD16"/>
    <w:rsid w:val="574B4C82"/>
    <w:rsid w:val="574FAF2E"/>
    <w:rsid w:val="5751E6CB"/>
    <w:rsid w:val="5765602F"/>
    <w:rsid w:val="57A2FCE6"/>
    <w:rsid w:val="57A71382"/>
    <w:rsid w:val="57AEB95C"/>
    <w:rsid w:val="57C1AB98"/>
    <w:rsid w:val="57D7EC4B"/>
    <w:rsid w:val="57DD8B9A"/>
    <w:rsid w:val="57DDC184"/>
    <w:rsid w:val="57EAC21A"/>
    <w:rsid w:val="57EF6CD3"/>
    <w:rsid w:val="57FC0EC9"/>
    <w:rsid w:val="58130998"/>
    <w:rsid w:val="582409FE"/>
    <w:rsid w:val="582E72EA"/>
    <w:rsid w:val="5838A2F3"/>
    <w:rsid w:val="58488A99"/>
    <w:rsid w:val="585D216E"/>
    <w:rsid w:val="58694295"/>
    <w:rsid w:val="588F3EDB"/>
    <w:rsid w:val="58983AE8"/>
    <w:rsid w:val="58B133D2"/>
    <w:rsid w:val="58B5322E"/>
    <w:rsid w:val="58C21391"/>
    <w:rsid w:val="58CF51E6"/>
    <w:rsid w:val="58E3387A"/>
    <w:rsid w:val="5906AD36"/>
    <w:rsid w:val="59086803"/>
    <w:rsid w:val="591535F6"/>
    <w:rsid w:val="59535B74"/>
    <w:rsid w:val="5965EC58"/>
    <w:rsid w:val="5989A4C5"/>
    <w:rsid w:val="59933FEA"/>
    <w:rsid w:val="599B05D6"/>
    <w:rsid w:val="59A74C13"/>
    <w:rsid w:val="59BB1EC4"/>
    <w:rsid w:val="59C9C7ED"/>
    <w:rsid w:val="59CAFB99"/>
    <w:rsid w:val="59D65AE4"/>
    <w:rsid w:val="59DD45F4"/>
    <w:rsid w:val="59E23649"/>
    <w:rsid w:val="59EB9615"/>
    <w:rsid w:val="59F4DA59"/>
    <w:rsid w:val="5A0511C3"/>
    <w:rsid w:val="5A0867E5"/>
    <w:rsid w:val="5A24C423"/>
    <w:rsid w:val="5A4F0DF2"/>
    <w:rsid w:val="5A758638"/>
    <w:rsid w:val="5A770AD5"/>
    <w:rsid w:val="5ACC21E8"/>
    <w:rsid w:val="5ADC8A7B"/>
    <w:rsid w:val="5ADF1CD1"/>
    <w:rsid w:val="5AF35497"/>
    <w:rsid w:val="5AFBF36B"/>
    <w:rsid w:val="5B0962A9"/>
    <w:rsid w:val="5B0AF7EC"/>
    <w:rsid w:val="5B1B82DA"/>
    <w:rsid w:val="5B1DD093"/>
    <w:rsid w:val="5B2AE341"/>
    <w:rsid w:val="5B330162"/>
    <w:rsid w:val="5B4360A2"/>
    <w:rsid w:val="5B4F5846"/>
    <w:rsid w:val="5B552B9A"/>
    <w:rsid w:val="5B632501"/>
    <w:rsid w:val="5B65A10E"/>
    <w:rsid w:val="5B6CAEA2"/>
    <w:rsid w:val="5B7D7A23"/>
    <w:rsid w:val="5BA4FEE7"/>
    <w:rsid w:val="5BB50CB4"/>
    <w:rsid w:val="5BB809FF"/>
    <w:rsid w:val="5BCC9B31"/>
    <w:rsid w:val="5BCDAA6C"/>
    <w:rsid w:val="5BDC9F11"/>
    <w:rsid w:val="5BF6B5D0"/>
    <w:rsid w:val="5BFB5936"/>
    <w:rsid w:val="5C0D2AB4"/>
    <w:rsid w:val="5C39A1EC"/>
    <w:rsid w:val="5C3AE56D"/>
    <w:rsid w:val="5C4B9CE1"/>
    <w:rsid w:val="5C5239BE"/>
    <w:rsid w:val="5C5580A8"/>
    <w:rsid w:val="5C68074A"/>
    <w:rsid w:val="5C7DF81A"/>
    <w:rsid w:val="5C813A9C"/>
    <w:rsid w:val="5C81AE1E"/>
    <w:rsid w:val="5C833C9A"/>
    <w:rsid w:val="5C8CE4B1"/>
    <w:rsid w:val="5C8F9725"/>
    <w:rsid w:val="5CAD94BC"/>
    <w:rsid w:val="5CC64695"/>
    <w:rsid w:val="5CCB95A6"/>
    <w:rsid w:val="5CDB1D64"/>
    <w:rsid w:val="5CE06E09"/>
    <w:rsid w:val="5D11DB92"/>
    <w:rsid w:val="5D28E4CC"/>
    <w:rsid w:val="5D434AE1"/>
    <w:rsid w:val="5D5F242D"/>
    <w:rsid w:val="5D6756A9"/>
    <w:rsid w:val="5D72998E"/>
    <w:rsid w:val="5D84BA71"/>
    <w:rsid w:val="5D8BDEC5"/>
    <w:rsid w:val="5DA9420D"/>
    <w:rsid w:val="5DE08BF3"/>
    <w:rsid w:val="5DE5469A"/>
    <w:rsid w:val="5DFB0957"/>
    <w:rsid w:val="5DFF6B46"/>
    <w:rsid w:val="5E141605"/>
    <w:rsid w:val="5E1CEAA3"/>
    <w:rsid w:val="5E259232"/>
    <w:rsid w:val="5E308A61"/>
    <w:rsid w:val="5E3D9DC0"/>
    <w:rsid w:val="5E49FF76"/>
    <w:rsid w:val="5E504541"/>
    <w:rsid w:val="5E56A211"/>
    <w:rsid w:val="5E5DA078"/>
    <w:rsid w:val="5E79B354"/>
    <w:rsid w:val="5E7B4B3D"/>
    <w:rsid w:val="5E8D9BBD"/>
    <w:rsid w:val="5E90C173"/>
    <w:rsid w:val="5E92DD60"/>
    <w:rsid w:val="5ED91951"/>
    <w:rsid w:val="5EECA6C9"/>
    <w:rsid w:val="5EF12DFA"/>
    <w:rsid w:val="5EF1486C"/>
    <w:rsid w:val="5EFC022C"/>
    <w:rsid w:val="5F00D007"/>
    <w:rsid w:val="5F14949E"/>
    <w:rsid w:val="5F27856D"/>
    <w:rsid w:val="5F2A2E2F"/>
    <w:rsid w:val="5F2B3D42"/>
    <w:rsid w:val="5F482A40"/>
    <w:rsid w:val="5F48F814"/>
    <w:rsid w:val="5F556545"/>
    <w:rsid w:val="5F662D9D"/>
    <w:rsid w:val="5F882413"/>
    <w:rsid w:val="5F90080C"/>
    <w:rsid w:val="5F9A9C11"/>
    <w:rsid w:val="5FB5893F"/>
    <w:rsid w:val="5FC58513"/>
    <w:rsid w:val="5FD4C052"/>
    <w:rsid w:val="5FDE384B"/>
    <w:rsid w:val="5FE2F794"/>
    <w:rsid w:val="5FE7C410"/>
    <w:rsid w:val="5FEA402D"/>
    <w:rsid w:val="5FF6D994"/>
    <w:rsid w:val="6009D7BF"/>
    <w:rsid w:val="602135FF"/>
    <w:rsid w:val="6069DB50"/>
    <w:rsid w:val="6079C719"/>
    <w:rsid w:val="607E8077"/>
    <w:rsid w:val="608F4CE9"/>
    <w:rsid w:val="60982430"/>
    <w:rsid w:val="60A43A54"/>
    <w:rsid w:val="60A6E13F"/>
    <w:rsid w:val="60A6FFD3"/>
    <w:rsid w:val="60CE8434"/>
    <w:rsid w:val="60E01CE9"/>
    <w:rsid w:val="60E59050"/>
    <w:rsid w:val="60EE9E02"/>
    <w:rsid w:val="60F1E797"/>
    <w:rsid w:val="60F6B6A5"/>
    <w:rsid w:val="60F92C63"/>
    <w:rsid w:val="6107261C"/>
    <w:rsid w:val="6109F80A"/>
    <w:rsid w:val="61115C89"/>
    <w:rsid w:val="612A3ED9"/>
    <w:rsid w:val="6143CFB8"/>
    <w:rsid w:val="614A963B"/>
    <w:rsid w:val="615F501F"/>
    <w:rsid w:val="6160AC50"/>
    <w:rsid w:val="61654AB9"/>
    <w:rsid w:val="61689E00"/>
    <w:rsid w:val="61829877"/>
    <w:rsid w:val="61987ED2"/>
    <w:rsid w:val="619D587C"/>
    <w:rsid w:val="61A3F484"/>
    <w:rsid w:val="61A6135A"/>
    <w:rsid w:val="61BD222F"/>
    <w:rsid w:val="61C38569"/>
    <w:rsid w:val="61CC7619"/>
    <w:rsid w:val="61CF7F4B"/>
    <w:rsid w:val="61D97A3F"/>
    <w:rsid w:val="61DAA916"/>
    <w:rsid w:val="61E3F5FC"/>
    <w:rsid w:val="61ECEC16"/>
    <w:rsid w:val="622941AA"/>
    <w:rsid w:val="624C9CA1"/>
    <w:rsid w:val="629DC0FA"/>
    <w:rsid w:val="62A0DF9D"/>
    <w:rsid w:val="62D0E50B"/>
    <w:rsid w:val="62DA8799"/>
    <w:rsid w:val="62DCDA5A"/>
    <w:rsid w:val="62F7C02A"/>
    <w:rsid w:val="630861C9"/>
    <w:rsid w:val="632B30B7"/>
    <w:rsid w:val="63324EC7"/>
    <w:rsid w:val="6336A3D0"/>
    <w:rsid w:val="63411DB0"/>
    <w:rsid w:val="63509729"/>
    <w:rsid w:val="63537F88"/>
    <w:rsid w:val="63846A11"/>
    <w:rsid w:val="639E1C27"/>
    <w:rsid w:val="63AC3F5B"/>
    <w:rsid w:val="63B0AC20"/>
    <w:rsid w:val="63B0E3B0"/>
    <w:rsid w:val="63D0DC7B"/>
    <w:rsid w:val="63D6FBD0"/>
    <w:rsid w:val="64063284"/>
    <w:rsid w:val="64085923"/>
    <w:rsid w:val="6421F64E"/>
    <w:rsid w:val="6434BECF"/>
    <w:rsid w:val="6436BB1B"/>
    <w:rsid w:val="6442C758"/>
    <w:rsid w:val="644E4C77"/>
    <w:rsid w:val="6450B22C"/>
    <w:rsid w:val="64550982"/>
    <w:rsid w:val="645C278A"/>
    <w:rsid w:val="646FD5F6"/>
    <w:rsid w:val="6483494A"/>
    <w:rsid w:val="64A5A9F5"/>
    <w:rsid w:val="64EE8B9F"/>
    <w:rsid w:val="64F2BEDC"/>
    <w:rsid w:val="64FCFE63"/>
    <w:rsid w:val="64FD4017"/>
    <w:rsid w:val="6542A91C"/>
    <w:rsid w:val="654F7C16"/>
    <w:rsid w:val="6557A761"/>
    <w:rsid w:val="655D418B"/>
    <w:rsid w:val="65789116"/>
    <w:rsid w:val="65816EC4"/>
    <w:rsid w:val="659130F0"/>
    <w:rsid w:val="6593A827"/>
    <w:rsid w:val="65979FA2"/>
    <w:rsid w:val="65A9FC80"/>
    <w:rsid w:val="65B15288"/>
    <w:rsid w:val="65B5AC3D"/>
    <w:rsid w:val="65B85730"/>
    <w:rsid w:val="65BA7A98"/>
    <w:rsid w:val="65C444CE"/>
    <w:rsid w:val="65E17B79"/>
    <w:rsid w:val="65E58155"/>
    <w:rsid w:val="65FA1F99"/>
    <w:rsid w:val="66020503"/>
    <w:rsid w:val="6604392F"/>
    <w:rsid w:val="6643AF32"/>
    <w:rsid w:val="664E7390"/>
    <w:rsid w:val="6659923C"/>
    <w:rsid w:val="66836E31"/>
    <w:rsid w:val="669C5739"/>
    <w:rsid w:val="66CD259C"/>
    <w:rsid w:val="66D9F726"/>
    <w:rsid w:val="66DB3048"/>
    <w:rsid w:val="66E832BE"/>
    <w:rsid w:val="670801E0"/>
    <w:rsid w:val="670D238A"/>
    <w:rsid w:val="67179844"/>
    <w:rsid w:val="671DDCF6"/>
    <w:rsid w:val="67560BF6"/>
    <w:rsid w:val="675D62B6"/>
    <w:rsid w:val="6773BED4"/>
    <w:rsid w:val="67838754"/>
    <w:rsid w:val="67D0E2A8"/>
    <w:rsid w:val="67D3E988"/>
    <w:rsid w:val="67D5463B"/>
    <w:rsid w:val="67D5CAAA"/>
    <w:rsid w:val="67D8BD0C"/>
    <w:rsid w:val="67EB6520"/>
    <w:rsid w:val="6800E03E"/>
    <w:rsid w:val="68074380"/>
    <w:rsid w:val="682A24C4"/>
    <w:rsid w:val="6848C23D"/>
    <w:rsid w:val="6893B6CC"/>
    <w:rsid w:val="68A5F3EC"/>
    <w:rsid w:val="68A9FA5A"/>
    <w:rsid w:val="68BA8285"/>
    <w:rsid w:val="68CCA1CA"/>
    <w:rsid w:val="68DBF096"/>
    <w:rsid w:val="68DEED72"/>
    <w:rsid w:val="68E14D6B"/>
    <w:rsid w:val="68E287F8"/>
    <w:rsid w:val="6900C572"/>
    <w:rsid w:val="6910BF32"/>
    <w:rsid w:val="691F4861"/>
    <w:rsid w:val="69634999"/>
    <w:rsid w:val="6965D9BD"/>
    <w:rsid w:val="69A4385E"/>
    <w:rsid w:val="69AFA162"/>
    <w:rsid w:val="69BC25C4"/>
    <w:rsid w:val="69D566D2"/>
    <w:rsid w:val="69D62148"/>
    <w:rsid w:val="69DFE25E"/>
    <w:rsid w:val="69E1BE98"/>
    <w:rsid w:val="69E90878"/>
    <w:rsid w:val="69F7591F"/>
    <w:rsid w:val="69F8E933"/>
    <w:rsid w:val="6A07442B"/>
    <w:rsid w:val="6A1C500C"/>
    <w:rsid w:val="6A289C4B"/>
    <w:rsid w:val="6A295BE2"/>
    <w:rsid w:val="6A4A5C99"/>
    <w:rsid w:val="6A4D5E4A"/>
    <w:rsid w:val="6A588A00"/>
    <w:rsid w:val="6A591E56"/>
    <w:rsid w:val="6A6AE051"/>
    <w:rsid w:val="6A6E9F2A"/>
    <w:rsid w:val="6A9F81C7"/>
    <w:rsid w:val="6AB14241"/>
    <w:rsid w:val="6AE05FF2"/>
    <w:rsid w:val="6AEF7A86"/>
    <w:rsid w:val="6AFE5735"/>
    <w:rsid w:val="6B063E3D"/>
    <w:rsid w:val="6B0E4FFC"/>
    <w:rsid w:val="6B17D81D"/>
    <w:rsid w:val="6B2A8265"/>
    <w:rsid w:val="6B6C39AC"/>
    <w:rsid w:val="6BA4E156"/>
    <w:rsid w:val="6BA5DE2F"/>
    <w:rsid w:val="6BAB8BCF"/>
    <w:rsid w:val="6BDDB1C9"/>
    <w:rsid w:val="6BE5D358"/>
    <w:rsid w:val="6BEF2C83"/>
    <w:rsid w:val="6C0471C3"/>
    <w:rsid w:val="6C07F2F4"/>
    <w:rsid w:val="6C2D6DA0"/>
    <w:rsid w:val="6C3C1EE0"/>
    <w:rsid w:val="6C43E7DA"/>
    <w:rsid w:val="6C4B7A0D"/>
    <w:rsid w:val="6C4FE300"/>
    <w:rsid w:val="6C54DDD9"/>
    <w:rsid w:val="6C622788"/>
    <w:rsid w:val="6C80D809"/>
    <w:rsid w:val="6C926151"/>
    <w:rsid w:val="6C974811"/>
    <w:rsid w:val="6C9C5FB3"/>
    <w:rsid w:val="6CA6C17F"/>
    <w:rsid w:val="6CB452F3"/>
    <w:rsid w:val="6CE34629"/>
    <w:rsid w:val="6CF8F71F"/>
    <w:rsid w:val="6CFB5171"/>
    <w:rsid w:val="6D11C58D"/>
    <w:rsid w:val="6D37B3A3"/>
    <w:rsid w:val="6D3C0BC9"/>
    <w:rsid w:val="6D568E29"/>
    <w:rsid w:val="6D77B406"/>
    <w:rsid w:val="6D7A7B02"/>
    <w:rsid w:val="6D8672A6"/>
    <w:rsid w:val="6D87965B"/>
    <w:rsid w:val="6DDDD58F"/>
    <w:rsid w:val="6DE2EEB6"/>
    <w:rsid w:val="6DF19607"/>
    <w:rsid w:val="6E01BDEE"/>
    <w:rsid w:val="6E051C23"/>
    <w:rsid w:val="6E0E071F"/>
    <w:rsid w:val="6E10E9E6"/>
    <w:rsid w:val="6E25EF30"/>
    <w:rsid w:val="6E2C02BB"/>
    <w:rsid w:val="6E3BD709"/>
    <w:rsid w:val="6E3C4321"/>
    <w:rsid w:val="6E444A9C"/>
    <w:rsid w:val="6E5081B2"/>
    <w:rsid w:val="6E57F0FA"/>
    <w:rsid w:val="6E5B9CB3"/>
    <w:rsid w:val="6E64A744"/>
    <w:rsid w:val="6E6A44F6"/>
    <w:rsid w:val="6E6C3136"/>
    <w:rsid w:val="6E7D0CF4"/>
    <w:rsid w:val="6E7D7C96"/>
    <w:rsid w:val="6E7FF17D"/>
    <w:rsid w:val="6E8114D8"/>
    <w:rsid w:val="6EA2B327"/>
    <w:rsid w:val="6EB34A76"/>
    <w:rsid w:val="6EC9AABD"/>
    <w:rsid w:val="6EE2ABC9"/>
    <w:rsid w:val="6EE6A837"/>
    <w:rsid w:val="6EF00C84"/>
    <w:rsid w:val="6F01605E"/>
    <w:rsid w:val="6F0E6C0D"/>
    <w:rsid w:val="6F1254E6"/>
    <w:rsid w:val="6F1722F0"/>
    <w:rsid w:val="6F176123"/>
    <w:rsid w:val="6F184EB0"/>
    <w:rsid w:val="6F272B2A"/>
    <w:rsid w:val="6F2AD7A1"/>
    <w:rsid w:val="6F39CE9A"/>
    <w:rsid w:val="6F4AB6F9"/>
    <w:rsid w:val="6F5E9B8F"/>
    <w:rsid w:val="6F6AD81B"/>
    <w:rsid w:val="6F719BA6"/>
    <w:rsid w:val="6F73BFF8"/>
    <w:rsid w:val="6F9028C4"/>
    <w:rsid w:val="6F967BAB"/>
    <w:rsid w:val="6F983A95"/>
    <w:rsid w:val="6FA1A968"/>
    <w:rsid w:val="6FA494C3"/>
    <w:rsid w:val="6FAF6B38"/>
    <w:rsid w:val="6FC9B3D8"/>
    <w:rsid w:val="6FD91650"/>
    <w:rsid w:val="6FE5ED75"/>
    <w:rsid w:val="6FEB4A4D"/>
    <w:rsid w:val="6FF3DFBE"/>
    <w:rsid w:val="6FFD4813"/>
    <w:rsid w:val="7031CBB5"/>
    <w:rsid w:val="703BB365"/>
    <w:rsid w:val="703F3F19"/>
    <w:rsid w:val="70562F80"/>
    <w:rsid w:val="706C9E9E"/>
    <w:rsid w:val="706D7331"/>
    <w:rsid w:val="70716E7B"/>
    <w:rsid w:val="708AC74F"/>
    <w:rsid w:val="70B2C2A2"/>
    <w:rsid w:val="70C38BF9"/>
    <w:rsid w:val="70CF698E"/>
    <w:rsid w:val="70E648D7"/>
    <w:rsid w:val="70F3080C"/>
    <w:rsid w:val="710CD1A2"/>
    <w:rsid w:val="714070C0"/>
    <w:rsid w:val="71448361"/>
    <w:rsid w:val="71CB2D52"/>
    <w:rsid w:val="71CE50B1"/>
    <w:rsid w:val="71D868D3"/>
    <w:rsid w:val="720CC183"/>
    <w:rsid w:val="7225E876"/>
    <w:rsid w:val="725113C0"/>
    <w:rsid w:val="725CEA17"/>
    <w:rsid w:val="725FE964"/>
    <w:rsid w:val="7277C88F"/>
    <w:rsid w:val="727A6A0D"/>
    <w:rsid w:val="72880946"/>
    <w:rsid w:val="729D6AAF"/>
    <w:rsid w:val="72A3DEBF"/>
    <w:rsid w:val="72BA9208"/>
    <w:rsid w:val="72BF4244"/>
    <w:rsid w:val="72DC9662"/>
    <w:rsid w:val="732C9E9B"/>
    <w:rsid w:val="7332367A"/>
    <w:rsid w:val="7344143A"/>
    <w:rsid w:val="734A9FB8"/>
    <w:rsid w:val="735393EB"/>
    <w:rsid w:val="739267E4"/>
    <w:rsid w:val="73B04101"/>
    <w:rsid w:val="73C5F9F7"/>
    <w:rsid w:val="73CA9D91"/>
    <w:rsid w:val="73E4CA70"/>
    <w:rsid w:val="73EB9FC2"/>
    <w:rsid w:val="73EF182C"/>
    <w:rsid w:val="73F93A7E"/>
    <w:rsid w:val="740CEC3E"/>
    <w:rsid w:val="7421F253"/>
    <w:rsid w:val="7427E30F"/>
    <w:rsid w:val="74309434"/>
    <w:rsid w:val="74317483"/>
    <w:rsid w:val="7438852F"/>
    <w:rsid w:val="744FA2DC"/>
    <w:rsid w:val="745EB6D1"/>
    <w:rsid w:val="749ED13A"/>
    <w:rsid w:val="74A3F3C2"/>
    <w:rsid w:val="74A6B960"/>
    <w:rsid w:val="74A7E998"/>
    <w:rsid w:val="74BD2F58"/>
    <w:rsid w:val="74DF8CB8"/>
    <w:rsid w:val="74F19C86"/>
    <w:rsid w:val="75018A4C"/>
    <w:rsid w:val="7502EED6"/>
    <w:rsid w:val="7523F33E"/>
    <w:rsid w:val="75499735"/>
    <w:rsid w:val="75652950"/>
    <w:rsid w:val="756F8737"/>
    <w:rsid w:val="75714B04"/>
    <w:rsid w:val="75765E68"/>
    <w:rsid w:val="75766BD1"/>
    <w:rsid w:val="757B3AE8"/>
    <w:rsid w:val="75836CE9"/>
    <w:rsid w:val="759DB3CC"/>
    <w:rsid w:val="75A338FE"/>
    <w:rsid w:val="75B19175"/>
    <w:rsid w:val="75B7E55B"/>
    <w:rsid w:val="75BB2982"/>
    <w:rsid w:val="75BEB9A7"/>
    <w:rsid w:val="75D7356C"/>
    <w:rsid w:val="75E114E0"/>
    <w:rsid w:val="75F1CF68"/>
    <w:rsid w:val="75FB2C2E"/>
    <w:rsid w:val="7605FBCF"/>
    <w:rsid w:val="7609BBCF"/>
    <w:rsid w:val="762A71F4"/>
    <w:rsid w:val="76336B1B"/>
    <w:rsid w:val="7636A1A2"/>
    <w:rsid w:val="76464077"/>
    <w:rsid w:val="765F9687"/>
    <w:rsid w:val="76A098A4"/>
    <w:rsid w:val="76AB72CF"/>
    <w:rsid w:val="76BA3594"/>
    <w:rsid w:val="76D57596"/>
    <w:rsid w:val="76DFD7C1"/>
    <w:rsid w:val="76E73177"/>
    <w:rsid w:val="770C7FB7"/>
    <w:rsid w:val="771CD9AD"/>
    <w:rsid w:val="7731D2F6"/>
    <w:rsid w:val="7747BC95"/>
    <w:rsid w:val="774D6972"/>
    <w:rsid w:val="7762FB2D"/>
    <w:rsid w:val="776660AF"/>
    <w:rsid w:val="7795181E"/>
    <w:rsid w:val="77B9272A"/>
    <w:rsid w:val="77D7191C"/>
    <w:rsid w:val="77E12939"/>
    <w:rsid w:val="78102A0D"/>
    <w:rsid w:val="781A7042"/>
    <w:rsid w:val="7828A6CB"/>
    <w:rsid w:val="782EFDA0"/>
    <w:rsid w:val="7840866C"/>
    <w:rsid w:val="78453990"/>
    <w:rsid w:val="785A3F0A"/>
    <w:rsid w:val="7866B5CC"/>
    <w:rsid w:val="786FBDB8"/>
    <w:rsid w:val="787EBCCB"/>
    <w:rsid w:val="78846F7B"/>
    <w:rsid w:val="78886B0C"/>
    <w:rsid w:val="788FEF91"/>
    <w:rsid w:val="7899F4A1"/>
    <w:rsid w:val="78B22247"/>
    <w:rsid w:val="78B23D93"/>
    <w:rsid w:val="78BF3387"/>
    <w:rsid w:val="78C5D8F2"/>
    <w:rsid w:val="78CCC71D"/>
    <w:rsid w:val="78D8748D"/>
    <w:rsid w:val="78DF5BB2"/>
    <w:rsid w:val="78EF4D02"/>
    <w:rsid w:val="7906227C"/>
    <w:rsid w:val="79076679"/>
    <w:rsid w:val="792A1209"/>
    <w:rsid w:val="792D3E7C"/>
    <w:rsid w:val="793D346E"/>
    <w:rsid w:val="7956EDEE"/>
    <w:rsid w:val="7982FE48"/>
    <w:rsid w:val="7992D7F1"/>
    <w:rsid w:val="79A8C92D"/>
    <w:rsid w:val="79AD0CD6"/>
    <w:rsid w:val="79B40420"/>
    <w:rsid w:val="79BDA6E8"/>
    <w:rsid w:val="79CF15EA"/>
    <w:rsid w:val="79D401DD"/>
    <w:rsid w:val="79D6F9CF"/>
    <w:rsid w:val="79E0A305"/>
    <w:rsid w:val="79EE465F"/>
    <w:rsid w:val="79FF86D4"/>
    <w:rsid w:val="7A07A5F2"/>
    <w:rsid w:val="7A0EC684"/>
    <w:rsid w:val="7A0F561B"/>
    <w:rsid w:val="7A1F2873"/>
    <w:rsid w:val="7A200A5C"/>
    <w:rsid w:val="7A27078B"/>
    <w:rsid w:val="7A28FDC8"/>
    <w:rsid w:val="7A2976FB"/>
    <w:rsid w:val="7A2B478D"/>
    <w:rsid w:val="7A3B0445"/>
    <w:rsid w:val="7A46304D"/>
    <w:rsid w:val="7A4AB354"/>
    <w:rsid w:val="7A4EC0B1"/>
    <w:rsid w:val="7A51A802"/>
    <w:rsid w:val="7A666C1F"/>
    <w:rsid w:val="7A744A68"/>
    <w:rsid w:val="7A8548B7"/>
    <w:rsid w:val="7A9DDFDB"/>
    <w:rsid w:val="7AA93D9B"/>
    <w:rsid w:val="7AAB95A0"/>
    <w:rsid w:val="7ABC59D0"/>
    <w:rsid w:val="7AD44B4F"/>
    <w:rsid w:val="7AFF4C74"/>
    <w:rsid w:val="7B0BD339"/>
    <w:rsid w:val="7B21CDAA"/>
    <w:rsid w:val="7B28E1E6"/>
    <w:rsid w:val="7B3A3C7B"/>
    <w:rsid w:val="7B47F6A8"/>
    <w:rsid w:val="7B6223FF"/>
    <w:rsid w:val="7B6DDE28"/>
    <w:rsid w:val="7B740206"/>
    <w:rsid w:val="7BA2AFA0"/>
    <w:rsid w:val="7BA9DD28"/>
    <w:rsid w:val="7BAF91B3"/>
    <w:rsid w:val="7BBB9028"/>
    <w:rsid w:val="7BF7AE18"/>
    <w:rsid w:val="7C07FE1F"/>
    <w:rsid w:val="7C0B5ACD"/>
    <w:rsid w:val="7C139734"/>
    <w:rsid w:val="7C19A316"/>
    <w:rsid w:val="7C1A7003"/>
    <w:rsid w:val="7C25A318"/>
    <w:rsid w:val="7C2E23ED"/>
    <w:rsid w:val="7C50D11A"/>
    <w:rsid w:val="7C9A25B6"/>
    <w:rsid w:val="7CAC54BC"/>
    <w:rsid w:val="7D1BB045"/>
    <w:rsid w:val="7D24E25D"/>
    <w:rsid w:val="7D27998D"/>
    <w:rsid w:val="7D2C6673"/>
    <w:rsid w:val="7D327D27"/>
    <w:rsid w:val="7D4AB59F"/>
    <w:rsid w:val="7D4E59C8"/>
    <w:rsid w:val="7D54E548"/>
    <w:rsid w:val="7D55BFE6"/>
    <w:rsid w:val="7D6A1B20"/>
    <w:rsid w:val="7D6EA049"/>
    <w:rsid w:val="7D816998"/>
    <w:rsid w:val="7D9E3F8F"/>
    <w:rsid w:val="7DB2E3F6"/>
    <w:rsid w:val="7DEB526D"/>
    <w:rsid w:val="7DEE7BF8"/>
    <w:rsid w:val="7DEF2A02"/>
    <w:rsid w:val="7DF930B9"/>
    <w:rsid w:val="7DFB81F2"/>
    <w:rsid w:val="7E058179"/>
    <w:rsid w:val="7E087D38"/>
    <w:rsid w:val="7E13B4F8"/>
    <w:rsid w:val="7E1CEBCA"/>
    <w:rsid w:val="7E25F61E"/>
    <w:rsid w:val="7E3F5CD9"/>
    <w:rsid w:val="7E438F09"/>
    <w:rsid w:val="7E52C025"/>
    <w:rsid w:val="7E6BD4B2"/>
    <w:rsid w:val="7E9E29DB"/>
    <w:rsid w:val="7E9E684D"/>
    <w:rsid w:val="7EB7AD7D"/>
    <w:rsid w:val="7ECB15B2"/>
    <w:rsid w:val="7ECED29E"/>
    <w:rsid w:val="7ED93BD7"/>
    <w:rsid w:val="7ED99E11"/>
    <w:rsid w:val="7EF98AA9"/>
    <w:rsid w:val="7EFA5C66"/>
    <w:rsid w:val="7F361A8C"/>
    <w:rsid w:val="7F4476FF"/>
    <w:rsid w:val="7F4B8B68"/>
    <w:rsid w:val="7F5ABA1D"/>
    <w:rsid w:val="7F6A2C7B"/>
    <w:rsid w:val="7F832A81"/>
    <w:rsid w:val="7FB2C6A8"/>
    <w:rsid w:val="7FC3D66A"/>
    <w:rsid w:val="7FC9B857"/>
    <w:rsid w:val="7FD05F5C"/>
    <w:rsid w:val="7FD5F9DA"/>
    <w:rsid w:val="7FD77576"/>
    <w:rsid w:val="7FD911F0"/>
    <w:rsid w:val="7FDBC946"/>
    <w:rsid w:val="7FFDCEE0"/>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75"/>
    <o:shapelayout v:ext="edit">
      <o:idmap v:ext="edit" data="2"/>
      <o:rules v:ext="edit">
        <o:r id="V:Rule2" type="connector" idref="#_x0000_s2072"/>
      </o:rules>
    </o:shapelayout>
  </w:shapeDefaults>
  <w:decimalSymbol w:val=","/>
  <w:listSeparator w:val=";"/>
  <w14:docId w14:val="782F3935"/>
  <w15:docId w15:val="{EEBA6D0D-A69E-4340-A059-EF86ED644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1FC7"/>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_Sections,Paragraphe EI,Paragraphe de liste1,EC,List Paragraph compact,Normal bullet 2,Paragraphe de liste 2,Reference list,Numbered List,List Paragraph1,1st level - Bullet List Paragraph,Lettre d'introduction,Paragraph,Dot"/>
    <w:basedOn w:val="Normal"/>
    <w:link w:val="ListParagraphChar"/>
    <w:uiPriority w:val="34"/>
    <w:qFormat/>
    <w:rsid w:val="00D9074E"/>
    <w:pPr>
      <w:ind w:left="720"/>
      <w:contextualSpacing/>
    </w:pPr>
  </w:style>
  <w:style w:type="paragraph" w:styleId="Revision">
    <w:name w:val="Revision"/>
    <w:hidden/>
    <w:uiPriority w:val="99"/>
    <w:semiHidden/>
    <w:rsid w:val="007D5CB0"/>
    <w:pPr>
      <w:spacing w:after="0" w:line="240" w:lineRule="auto"/>
    </w:pPr>
  </w:style>
  <w:style w:type="character" w:styleId="CommentReference">
    <w:name w:val="annotation reference"/>
    <w:basedOn w:val="DefaultParagraphFont"/>
    <w:uiPriority w:val="99"/>
    <w:semiHidden/>
    <w:unhideWhenUsed/>
    <w:rsid w:val="007D5CB0"/>
    <w:rPr>
      <w:sz w:val="16"/>
      <w:szCs w:val="16"/>
    </w:rPr>
  </w:style>
  <w:style w:type="paragraph" w:styleId="CommentText">
    <w:name w:val="annotation text"/>
    <w:basedOn w:val="Normal"/>
    <w:link w:val="CommentTextChar"/>
    <w:uiPriority w:val="99"/>
    <w:unhideWhenUsed/>
    <w:rsid w:val="007D5CB0"/>
    <w:pPr>
      <w:spacing w:line="240" w:lineRule="auto"/>
    </w:pPr>
    <w:rPr>
      <w:sz w:val="20"/>
      <w:szCs w:val="20"/>
    </w:rPr>
  </w:style>
  <w:style w:type="character" w:customStyle="1" w:styleId="CommentTextChar">
    <w:name w:val="Comment Text Char"/>
    <w:basedOn w:val="DefaultParagraphFont"/>
    <w:link w:val="CommentText"/>
    <w:uiPriority w:val="99"/>
    <w:rsid w:val="007D5CB0"/>
    <w:rPr>
      <w:sz w:val="20"/>
      <w:szCs w:val="20"/>
    </w:rPr>
  </w:style>
  <w:style w:type="paragraph" w:styleId="CommentSubject">
    <w:name w:val="annotation subject"/>
    <w:basedOn w:val="CommentText"/>
    <w:next w:val="CommentText"/>
    <w:link w:val="CommentSubjectChar"/>
    <w:uiPriority w:val="99"/>
    <w:semiHidden/>
    <w:unhideWhenUsed/>
    <w:rsid w:val="007D5CB0"/>
    <w:rPr>
      <w:b/>
      <w:bCs/>
    </w:rPr>
  </w:style>
  <w:style w:type="character" w:customStyle="1" w:styleId="CommentSubjectChar">
    <w:name w:val="Comment Subject Char"/>
    <w:basedOn w:val="CommentTextChar"/>
    <w:link w:val="CommentSubject"/>
    <w:uiPriority w:val="99"/>
    <w:semiHidden/>
    <w:rsid w:val="007D5CB0"/>
    <w:rPr>
      <w:b/>
      <w:bCs/>
      <w:sz w:val="20"/>
      <w:szCs w:val="20"/>
    </w:rPr>
  </w:style>
  <w:style w:type="paragraph" w:styleId="FootnoteText">
    <w:name w:val="footnote text"/>
    <w:basedOn w:val="Normal"/>
    <w:link w:val="FootnoteTextChar"/>
    <w:uiPriority w:val="99"/>
    <w:unhideWhenUsed/>
    <w:qFormat/>
    <w:rsid w:val="00A51683"/>
    <w:pPr>
      <w:spacing w:after="0" w:line="240" w:lineRule="auto"/>
    </w:pPr>
    <w:rPr>
      <w:sz w:val="20"/>
      <w:szCs w:val="20"/>
    </w:rPr>
  </w:style>
  <w:style w:type="character" w:customStyle="1" w:styleId="FootnoteTextChar">
    <w:name w:val="Footnote Text Char"/>
    <w:basedOn w:val="DefaultParagraphFont"/>
    <w:link w:val="FootnoteText"/>
    <w:uiPriority w:val="99"/>
    <w:rsid w:val="00A51683"/>
    <w:rPr>
      <w:sz w:val="20"/>
      <w:szCs w:val="20"/>
    </w:rPr>
  </w:style>
  <w:style w:type="character" w:styleId="FootnoteReference">
    <w:name w:val="footnote reference"/>
    <w:aliases w:val="Footnote Reference Char,Footnote symbol,Footnote reference number,note TESI,BVI fnr,Appel note de bas de p,Nota,SUPERS,Footnote number,Footnote Reference Superscript,EN Footnote Reference,-E Fußnotenzeichen,number Char Char,number,Ref"/>
    <w:basedOn w:val="DefaultParagraphFont"/>
    <w:link w:val="CharCharChar1"/>
    <w:uiPriority w:val="99"/>
    <w:unhideWhenUsed/>
    <w:rsid w:val="00A51683"/>
    <w:rPr>
      <w:vertAlign w:val="superscript"/>
    </w:rPr>
  </w:style>
  <w:style w:type="character" w:styleId="Hyperlink">
    <w:name w:val="Hyperlink"/>
    <w:basedOn w:val="DefaultParagraphFont"/>
    <w:uiPriority w:val="99"/>
    <w:unhideWhenUsed/>
    <w:rsid w:val="00A51683"/>
    <w:rPr>
      <w:color w:val="0000FF"/>
      <w:u w:val="single"/>
    </w:rPr>
  </w:style>
  <w:style w:type="paragraph" w:styleId="Header">
    <w:name w:val="header"/>
    <w:basedOn w:val="Normal"/>
    <w:link w:val="HeaderChar"/>
    <w:uiPriority w:val="99"/>
    <w:unhideWhenUsed/>
    <w:rsid w:val="007E4F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7E4F96"/>
  </w:style>
  <w:style w:type="paragraph" w:styleId="Footer">
    <w:name w:val="footer"/>
    <w:basedOn w:val="Normal"/>
    <w:link w:val="FooterChar"/>
    <w:uiPriority w:val="99"/>
    <w:unhideWhenUsed/>
    <w:rsid w:val="007E4F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7E4F96"/>
  </w:style>
  <w:style w:type="paragraph" w:styleId="ListBullet">
    <w:name w:val="List Bullet"/>
    <w:basedOn w:val="Normal"/>
    <w:uiPriority w:val="99"/>
    <w:unhideWhenUsed/>
    <w:rsid w:val="004F176A"/>
    <w:pPr>
      <w:numPr>
        <w:numId w:val="3"/>
      </w:numPr>
      <w:spacing w:after="0" w:line="240" w:lineRule="auto"/>
      <w:contextualSpacing/>
    </w:pPr>
    <w:rPr>
      <w:rFonts w:eastAsiaTheme="minorEastAsia"/>
      <w:kern w:val="0"/>
      <w:lang w:eastAsia="en-GB"/>
    </w:rPr>
  </w:style>
  <w:style w:type="character" w:styleId="FollowedHyperlink">
    <w:name w:val="FollowedHyperlink"/>
    <w:basedOn w:val="DefaultParagraphFont"/>
    <w:uiPriority w:val="99"/>
    <w:semiHidden/>
    <w:unhideWhenUsed/>
    <w:rsid w:val="00B7041C"/>
    <w:rPr>
      <w:color w:val="954F72" w:themeColor="followedHyperlink"/>
      <w:u w:val="single"/>
    </w:rPr>
  </w:style>
  <w:style w:type="paragraph" w:customStyle="1" w:styleId="CharCharChar1">
    <w:name w:val="Char Char Char1"/>
    <w:basedOn w:val="Normal"/>
    <w:link w:val="FootnoteReference"/>
    <w:uiPriority w:val="99"/>
    <w:rsid w:val="00BD034B"/>
    <w:pPr>
      <w:spacing w:after="120" w:line="240" w:lineRule="exact"/>
      <w:jc w:val="both"/>
    </w:pPr>
    <w:rPr>
      <w:vertAlign w:val="superscript"/>
    </w:rPr>
  </w:style>
  <w:style w:type="character" w:customStyle="1" w:styleId="Mention1">
    <w:name w:val="Mention1"/>
    <w:basedOn w:val="DefaultParagraphFont"/>
    <w:uiPriority w:val="99"/>
    <w:unhideWhenUsed/>
    <w:rsid w:val="00753E95"/>
    <w:rPr>
      <w:color w:val="2B579A"/>
      <w:shd w:val="clear" w:color="auto" w:fill="E1DFDD"/>
    </w:rPr>
  </w:style>
  <w:style w:type="character" w:customStyle="1" w:styleId="UnresolvedMention1">
    <w:name w:val="Unresolved Mention1"/>
    <w:basedOn w:val="DefaultParagraphFont"/>
    <w:uiPriority w:val="99"/>
    <w:semiHidden/>
    <w:unhideWhenUsed/>
    <w:rsid w:val="008D74F7"/>
    <w:rPr>
      <w:color w:val="605E5C"/>
      <w:shd w:val="clear" w:color="auto" w:fill="E1DFDD"/>
    </w:rPr>
  </w:style>
  <w:style w:type="character" w:customStyle="1" w:styleId="ListParagraphChar">
    <w:name w:val="List Paragraph Char"/>
    <w:aliases w:val="List Paragraph_Sections Char,Paragraphe EI Char,Paragraphe de liste1 Char,EC Char,List Paragraph compact Char,Normal bullet 2 Char,Paragraphe de liste 2 Char,Reference list Char,Numbered List Char,List Paragraph1 Char,Paragraph Char"/>
    <w:basedOn w:val="DefaultParagraphFont"/>
    <w:link w:val="ListParagraph"/>
    <w:uiPriority w:val="34"/>
    <w:qFormat/>
    <w:rsid w:val="00DE2F0D"/>
  </w:style>
  <w:style w:type="table" w:styleId="TableGrid">
    <w:name w:val="Table Grid"/>
    <w:basedOn w:val="TableNormal"/>
    <w:uiPriority w:val="39"/>
    <w:rsid w:val="007E34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melinedate">
    <w:name w:val="Timeline date"/>
    <w:basedOn w:val="Normal"/>
    <w:qFormat/>
    <w:rsid w:val="00170E62"/>
    <w:pPr>
      <w:widowControl w:val="0"/>
      <w:autoSpaceDE w:val="0"/>
      <w:autoSpaceDN w:val="0"/>
      <w:spacing w:after="0" w:line="240" w:lineRule="auto"/>
    </w:pPr>
    <w:rPr>
      <w:rFonts w:ascii="EC Square Sans Cond Pro" w:eastAsia="EC Square Sans Pro Medium" w:hAnsi="EC Square Sans Cond Pro" w:cs="EC Square Sans Pro Medium"/>
      <w:b/>
      <w:caps/>
      <w:color w:val="FFFFFF"/>
      <w:spacing w:val="30"/>
      <w:kern w:val="0"/>
      <w:sz w:val="18"/>
    </w:rPr>
  </w:style>
  <w:style w:type="character" w:customStyle="1" w:styleId="Timelinebold">
    <w:name w:val="Timeline bold"/>
    <w:basedOn w:val="DefaultParagraphFont"/>
    <w:uiPriority w:val="1"/>
    <w:qFormat/>
    <w:rsid w:val="00170E62"/>
    <w:rPr>
      <w:rFonts w:ascii="EC Square Sans Pro"/>
      <w:b/>
      <w:color w:val="0F6EB6"/>
      <w:sz w:val="24"/>
    </w:rPr>
  </w:style>
  <w:style w:type="table" w:styleId="PlainTable1">
    <w:name w:val="Plain Table 1"/>
    <w:basedOn w:val="TableNormal"/>
    <w:uiPriority w:val="41"/>
    <w:rsid w:val="00170E62"/>
    <w:pPr>
      <w:widowControl w:val="0"/>
      <w:autoSpaceDE w:val="0"/>
      <w:autoSpaceDN w:val="0"/>
      <w:spacing w:after="0" w:line="240" w:lineRule="auto"/>
    </w:pPr>
    <w:rPr>
      <w:kern w:val="0"/>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Timelinebullets">
    <w:name w:val="Timeline bullets"/>
    <w:basedOn w:val="Normal"/>
    <w:qFormat/>
    <w:rsid w:val="00D736E6"/>
    <w:pPr>
      <w:widowControl w:val="0"/>
      <w:numPr>
        <w:numId w:val="38"/>
      </w:numPr>
      <w:autoSpaceDE w:val="0"/>
      <w:autoSpaceDN w:val="0"/>
      <w:spacing w:after="0" w:line="240" w:lineRule="auto"/>
    </w:pPr>
    <w:rPr>
      <w:rFonts w:ascii="EC Square Sans Pro Medium" w:eastAsia="EC Square Sans Pro" w:hAnsi="EC Square Sans Pro Medium" w:cs="EC Square Sans Pro"/>
      <w:color w:val="4A4A49"/>
      <w:spacing w:val="-1"/>
      <w:kern w:val="0"/>
      <w:sz w:val="20"/>
    </w:rPr>
  </w:style>
  <w:style w:type="paragraph" w:customStyle="1" w:styleId="Timelineicons">
    <w:name w:val="Timeline icons"/>
    <w:basedOn w:val="Normal"/>
    <w:qFormat/>
    <w:rsid w:val="00170E62"/>
    <w:pPr>
      <w:widowControl w:val="0"/>
      <w:autoSpaceDE w:val="0"/>
      <w:autoSpaceDN w:val="0"/>
      <w:spacing w:after="0" w:line="240" w:lineRule="auto"/>
      <w:jc w:val="center"/>
    </w:pPr>
    <w:rPr>
      <w:rFonts w:ascii="EC Square Sans Pro" w:eastAsia="EC Square Sans Pro Medium" w:hAnsi="EC Square Sans Pro" w:cs="EC Square Sans Pro Medium"/>
      <w:noProof/>
      <w:kern w:val="0"/>
    </w:rPr>
  </w:style>
  <w:style w:type="character" w:customStyle="1" w:styleId="Marker">
    <w:name w:val="Marker"/>
    <w:basedOn w:val="DefaultParagraphFont"/>
    <w:rsid w:val="00574E6A"/>
    <w:rPr>
      <w:color w:val="0000FF"/>
      <w:shd w:val="clear" w:color="auto" w:fill="auto"/>
    </w:rPr>
  </w:style>
  <w:style w:type="paragraph" w:customStyle="1" w:styleId="Pagedecouverture">
    <w:name w:val="Page de couverture"/>
    <w:basedOn w:val="Normal"/>
    <w:next w:val="Normal"/>
    <w:rsid w:val="00ED34D8"/>
    <w:pPr>
      <w:spacing w:after="0" w:line="240" w:lineRule="auto"/>
      <w:jc w:val="both"/>
    </w:pPr>
    <w:rPr>
      <w:rFonts w:ascii="Times New Roman" w:hAnsi="Times New Roman" w:cs="Times New Roman"/>
      <w:kern w:val="0"/>
      <w:sz w:val="24"/>
    </w:rPr>
  </w:style>
  <w:style w:type="paragraph" w:customStyle="1" w:styleId="FooterCoverPage">
    <w:name w:val="Footer Cover Page"/>
    <w:basedOn w:val="Normal"/>
    <w:link w:val="FooterCoverPageChar"/>
    <w:rsid w:val="00D80AF9"/>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D80AF9"/>
    <w:rPr>
      <w:rFonts w:ascii="Times New Roman" w:hAnsi="Times New Roman" w:cs="Times New Roman"/>
      <w:sz w:val="24"/>
    </w:rPr>
  </w:style>
  <w:style w:type="paragraph" w:customStyle="1" w:styleId="FooterSensitivity">
    <w:name w:val="Footer Sensitivity"/>
    <w:basedOn w:val="Normal"/>
    <w:link w:val="FooterSensitivityChar"/>
    <w:rsid w:val="00D80AF9"/>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D80AF9"/>
    <w:rPr>
      <w:rFonts w:ascii="Times New Roman" w:hAnsi="Times New Roman" w:cs="Times New Roman"/>
      <w:b/>
      <w:sz w:val="32"/>
    </w:rPr>
  </w:style>
  <w:style w:type="paragraph" w:customStyle="1" w:styleId="HeaderCoverPage">
    <w:name w:val="Header Cover Page"/>
    <w:basedOn w:val="Normal"/>
    <w:link w:val="HeaderCoverPageChar"/>
    <w:rsid w:val="00D80AF9"/>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D80AF9"/>
    <w:rPr>
      <w:rFonts w:ascii="Times New Roman" w:hAnsi="Times New Roman" w:cs="Times New Roman"/>
      <w:sz w:val="24"/>
    </w:rPr>
  </w:style>
  <w:style w:type="paragraph" w:customStyle="1" w:styleId="HeaderSensitivity">
    <w:name w:val="Header Sensitivity"/>
    <w:basedOn w:val="Normal"/>
    <w:link w:val="HeaderSensitivityChar"/>
    <w:rsid w:val="00D80AF9"/>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D80AF9"/>
    <w:rPr>
      <w:rFonts w:ascii="Times New Roman" w:hAnsi="Times New Roman" w:cs="Times New Roman"/>
      <w:b/>
      <w:sz w:val="32"/>
    </w:rPr>
  </w:style>
  <w:style w:type="paragraph" w:customStyle="1" w:styleId="HeaderSensitivityRight">
    <w:name w:val="Header Sensitivity Right"/>
    <w:basedOn w:val="Normal"/>
    <w:link w:val="HeaderSensitivityRightChar"/>
    <w:rsid w:val="00D80AF9"/>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D80AF9"/>
    <w:rPr>
      <w:rFonts w:ascii="Times New Roman" w:hAnsi="Times New Roman" w:cs="Times New Roman"/>
      <w:sz w:val="28"/>
    </w:rPr>
  </w:style>
  <w:style w:type="character" w:customStyle="1" w:styleId="Mention2">
    <w:name w:val="Mention2"/>
    <w:basedOn w:val="DefaultParagraphFont"/>
    <w:uiPriority w:val="99"/>
    <w:unhideWhenUsed/>
    <w:rsid w:val="00DC0964"/>
    <w:rPr>
      <w:color w:val="2B579A"/>
      <w:shd w:val="clear" w:color="auto" w:fill="E1DFDD"/>
    </w:rPr>
  </w:style>
  <w:style w:type="paragraph" w:styleId="EndnoteText">
    <w:name w:val="endnote text"/>
    <w:basedOn w:val="Normal"/>
    <w:link w:val="EndnoteTextChar"/>
    <w:uiPriority w:val="99"/>
    <w:semiHidden/>
    <w:unhideWhenUsed/>
    <w:rsid w:val="00E7306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7306A"/>
    <w:rPr>
      <w:sz w:val="20"/>
      <w:szCs w:val="20"/>
      <w:lang w:val="fr-FR"/>
    </w:rPr>
  </w:style>
  <w:style w:type="character" w:styleId="EndnoteReference">
    <w:name w:val="endnote reference"/>
    <w:basedOn w:val="DefaultParagraphFont"/>
    <w:uiPriority w:val="99"/>
    <w:semiHidden/>
    <w:unhideWhenUsed/>
    <w:rsid w:val="00E7306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921888">
      <w:bodyDiv w:val="1"/>
      <w:marLeft w:val="0"/>
      <w:marRight w:val="0"/>
      <w:marTop w:val="0"/>
      <w:marBottom w:val="0"/>
      <w:divBdr>
        <w:top w:val="none" w:sz="0" w:space="0" w:color="auto"/>
        <w:left w:val="none" w:sz="0" w:space="0" w:color="auto"/>
        <w:bottom w:val="none" w:sz="0" w:space="0" w:color="auto"/>
        <w:right w:val="none" w:sz="0" w:space="0" w:color="auto"/>
      </w:divBdr>
    </w:div>
    <w:div w:id="176116920">
      <w:bodyDiv w:val="1"/>
      <w:marLeft w:val="0"/>
      <w:marRight w:val="0"/>
      <w:marTop w:val="0"/>
      <w:marBottom w:val="0"/>
      <w:divBdr>
        <w:top w:val="none" w:sz="0" w:space="0" w:color="auto"/>
        <w:left w:val="none" w:sz="0" w:space="0" w:color="auto"/>
        <w:bottom w:val="none" w:sz="0" w:space="0" w:color="auto"/>
        <w:right w:val="none" w:sz="0" w:space="0" w:color="auto"/>
      </w:divBdr>
    </w:div>
    <w:div w:id="264701517">
      <w:bodyDiv w:val="1"/>
      <w:marLeft w:val="0"/>
      <w:marRight w:val="0"/>
      <w:marTop w:val="0"/>
      <w:marBottom w:val="0"/>
      <w:divBdr>
        <w:top w:val="none" w:sz="0" w:space="0" w:color="auto"/>
        <w:left w:val="none" w:sz="0" w:space="0" w:color="auto"/>
        <w:bottom w:val="none" w:sz="0" w:space="0" w:color="auto"/>
        <w:right w:val="none" w:sz="0" w:space="0" w:color="auto"/>
      </w:divBdr>
    </w:div>
    <w:div w:id="459955053">
      <w:bodyDiv w:val="1"/>
      <w:marLeft w:val="0"/>
      <w:marRight w:val="0"/>
      <w:marTop w:val="0"/>
      <w:marBottom w:val="0"/>
      <w:divBdr>
        <w:top w:val="none" w:sz="0" w:space="0" w:color="auto"/>
        <w:left w:val="none" w:sz="0" w:space="0" w:color="auto"/>
        <w:bottom w:val="none" w:sz="0" w:space="0" w:color="auto"/>
        <w:right w:val="none" w:sz="0" w:space="0" w:color="auto"/>
      </w:divBdr>
    </w:div>
    <w:div w:id="500051084">
      <w:bodyDiv w:val="1"/>
      <w:marLeft w:val="0"/>
      <w:marRight w:val="0"/>
      <w:marTop w:val="0"/>
      <w:marBottom w:val="0"/>
      <w:divBdr>
        <w:top w:val="none" w:sz="0" w:space="0" w:color="auto"/>
        <w:left w:val="none" w:sz="0" w:space="0" w:color="auto"/>
        <w:bottom w:val="none" w:sz="0" w:space="0" w:color="auto"/>
        <w:right w:val="none" w:sz="0" w:space="0" w:color="auto"/>
      </w:divBdr>
    </w:div>
    <w:div w:id="738868293">
      <w:bodyDiv w:val="1"/>
      <w:marLeft w:val="0"/>
      <w:marRight w:val="0"/>
      <w:marTop w:val="0"/>
      <w:marBottom w:val="0"/>
      <w:divBdr>
        <w:top w:val="none" w:sz="0" w:space="0" w:color="auto"/>
        <w:left w:val="none" w:sz="0" w:space="0" w:color="auto"/>
        <w:bottom w:val="none" w:sz="0" w:space="0" w:color="auto"/>
        <w:right w:val="none" w:sz="0" w:space="0" w:color="auto"/>
      </w:divBdr>
    </w:div>
    <w:div w:id="832262680">
      <w:bodyDiv w:val="1"/>
      <w:marLeft w:val="0"/>
      <w:marRight w:val="0"/>
      <w:marTop w:val="0"/>
      <w:marBottom w:val="0"/>
      <w:divBdr>
        <w:top w:val="none" w:sz="0" w:space="0" w:color="auto"/>
        <w:left w:val="none" w:sz="0" w:space="0" w:color="auto"/>
        <w:bottom w:val="none" w:sz="0" w:space="0" w:color="auto"/>
        <w:right w:val="none" w:sz="0" w:space="0" w:color="auto"/>
      </w:divBdr>
    </w:div>
    <w:div w:id="835533118">
      <w:bodyDiv w:val="1"/>
      <w:marLeft w:val="0"/>
      <w:marRight w:val="0"/>
      <w:marTop w:val="0"/>
      <w:marBottom w:val="0"/>
      <w:divBdr>
        <w:top w:val="none" w:sz="0" w:space="0" w:color="auto"/>
        <w:left w:val="none" w:sz="0" w:space="0" w:color="auto"/>
        <w:bottom w:val="none" w:sz="0" w:space="0" w:color="auto"/>
        <w:right w:val="none" w:sz="0" w:space="0" w:color="auto"/>
      </w:divBdr>
    </w:div>
    <w:div w:id="845482947">
      <w:bodyDiv w:val="1"/>
      <w:marLeft w:val="0"/>
      <w:marRight w:val="0"/>
      <w:marTop w:val="0"/>
      <w:marBottom w:val="0"/>
      <w:divBdr>
        <w:top w:val="none" w:sz="0" w:space="0" w:color="auto"/>
        <w:left w:val="none" w:sz="0" w:space="0" w:color="auto"/>
        <w:bottom w:val="none" w:sz="0" w:space="0" w:color="auto"/>
        <w:right w:val="none" w:sz="0" w:space="0" w:color="auto"/>
      </w:divBdr>
    </w:div>
    <w:div w:id="892228353">
      <w:bodyDiv w:val="1"/>
      <w:marLeft w:val="0"/>
      <w:marRight w:val="0"/>
      <w:marTop w:val="0"/>
      <w:marBottom w:val="0"/>
      <w:divBdr>
        <w:top w:val="none" w:sz="0" w:space="0" w:color="auto"/>
        <w:left w:val="none" w:sz="0" w:space="0" w:color="auto"/>
        <w:bottom w:val="none" w:sz="0" w:space="0" w:color="auto"/>
        <w:right w:val="none" w:sz="0" w:space="0" w:color="auto"/>
      </w:divBdr>
    </w:div>
    <w:div w:id="1319070163">
      <w:bodyDiv w:val="1"/>
      <w:marLeft w:val="0"/>
      <w:marRight w:val="0"/>
      <w:marTop w:val="0"/>
      <w:marBottom w:val="0"/>
      <w:divBdr>
        <w:top w:val="none" w:sz="0" w:space="0" w:color="auto"/>
        <w:left w:val="none" w:sz="0" w:space="0" w:color="auto"/>
        <w:bottom w:val="none" w:sz="0" w:space="0" w:color="auto"/>
        <w:right w:val="none" w:sz="0" w:space="0" w:color="auto"/>
      </w:divBdr>
    </w:div>
    <w:div w:id="1421834861">
      <w:bodyDiv w:val="1"/>
      <w:marLeft w:val="0"/>
      <w:marRight w:val="0"/>
      <w:marTop w:val="0"/>
      <w:marBottom w:val="0"/>
      <w:divBdr>
        <w:top w:val="none" w:sz="0" w:space="0" w:color="auto"/>
        <w:left w:val="none" w:sz="0" w:space="0" w:color="auto"/>
        <w:bottom w:val="none" w:sz="0" w:space="0" w:color="auto"/>
        <w:right w:val="none" w:sz="0" w:space="0" w:color="auto"/>
      </w:divBdr>
    </w:div>
    <w:div w:id="1491288002">
      <w:bodyDiv w:val="1"/>
      <w:marLeft w:val="0"/>
      <w:marRight w:val="0"/>
      <w:marTop w:val="0"/>
      <w:marBottom w:val="0"/>
      <w:divBdr>
        <w:top w:val="none" w:sz="0" w:space="0" w:color="auto"/>
        <w:left w:val="none" w:sz="0" w:space="0" w:color="auto"/>
        <w:bottom w:val="none" w:sz="0" w:space="0" w:color="auto"/>
        <w:right w:val="none" w:sz="0" w:space="0" w:color="auto"/>
      </w:divBdr>
    </w:div>
    <w:div w:id="1529685881">
      <w:bodyDiv w:val="1"/>
      <w:marLeft w:val="0"/>
      <w:marRight w:val="0"/>
      <w:marTop w:val="0"/>
      <w:marBottom w:val="0"/>
      <w:divBdr>
        <w:top w:val="none" w:sz="0" w:space="0" w:color="auto"/>
        <w:left w:val="none" w:sz="0" w:space="0" w:color="auto"/>
        <w:bottom w:val="none" w:sz="0" w:space="0" w:color="auto"/>
        <w:right w:val="none" w:sz="0" w:space="0" w:color="auto"/>
      </w:divBdr>
    </w:div>
    <w:div w:id="1674213374">
      <w:bodyDiv w:val="1"/>
      <w:marLeft w:val="0"/>
      <w:marRight w:val="0"/>
      <w:marTop w:val="0"/>
      <w:marBottom w:val="0"/>
      <w:divBdr>
        <w:top w:val="none" w:sz="0" w:space="0" w:color="auto"/>
        <w:left w:val="none" w:sz="0" w:space="0" w:color="auto"/>
        <w:bottom w:val="none" w:sz="0" w:space="0" w:color="auto"/>
        <w:right w:val="none" w:sz="0" w:space="0" w:color="auto"/>
      </w:divBdr>
    </w:div>
    <w:div w:id="1897428073">
      <w:bodyDiv w:val="1"/>
      <w:marLeft w:val="0"/>
      <w:marRight w:val="0"/>
      <w:marTop w:val="0"/>
      <w:marBottom w:val="0"/>
      <w:divBdr>
        <w:top w:val="none" w:sz="0" w:space="0" w:color="auto"/>
        <w:left w:val="none" w:sz="0" w:space="0" w:color="auto"/>
        <w:bottom w:val="none" w:sz="0" w:space="0" w:color="auto"/>
        <w:right w:val="none" w:sz="0" w:space="0" w:color="auto"/>
      </w:divBdr>
    </w:div>
    <w:div w:id="19140474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image" Target="media/image9.svg"/><Relationship Id="rId3" Type="http://schemas.openxmlformats.org/officeDocument/2006/relationships/customXml" Target="../customXml/item3.xml"/><Relationship Id="rId21" Type="http://schemas.openxmlformats.org/officeDocument/2006/relationships/image" Target="media/image3.png"/><Relationship Id="rId34"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image" Target="media/image5.pn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3.svg"/><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7.svg"/><Relationship Id="rId32" Type="http://schemas.openxmlformats.org/officeDocument/2006/relationships/footer" Target="footer6.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image" Target="media/image4.png"/><Relationship Id="rId28" Type="http://schemas.openxmlformats.org/officeDocument/2006/relationships/header" Target="header5.xml"/><Relationship Id="rId10" Type="http://schemas.openxmlformats.org/officeDocument/2006/relationships/footnotes" Target="footnotes.xml"/><Relationship Id="rId19" Type="http://schemas.openxmlformats.org/officeDocument/2006/relationships/image" Target="media/image2.png"/><Relationship Id="rId31"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image" Target="media/image5.svg"/><Relationship Id="rId27" Type="http://schemas.openxmlformats.org/officeDocument/2006/relationships/header" Target="header4.xml"/><Relationship Id="rId30" Type="http://schemas.openxmlformats.org/officeDocument/2006/relationships/footer" Target="footer5.xml"/></Relationships>
</file>

<file path=word/_rels/endnotes.xml.rels><?xml version="1.0" encoding="UTF-8" standalone="yes"?>
<Relationships xmlns="http://schemas.openxmlformats.org/package/2006/relationships"><Relationship Id="rId8" Type="http://schemas.openxmlformats.org/officeDocument/2006/relationships/hyperlink" Target="https://europa.eu/youreurope/index_fr.htm" TargetMode="External"/><Relationship Id="rId13" Type="http://schemas.openxmlformats.org/officeDocument/2006/relationships/hyperlink" Target="https://www.oecd.org/fr/publications/politique-de-la-reglementation-perspectives-de-l-ocde-2021_494d5942-fr.html" TargetMode="External"/><Relationship Id="rId3" Type="http://schemas.openxmlformats.org/officeDocument/2006/relationships/hyperlink" Target="https://commission.europa.eu/%20topics/strengthening-european-competitiveness/eu-competitiveness-looking-ahead_en%23paragraph_47059" TargetMode="External"/><Relationship Id="rId7" Type="http://schemas.openxmlformats.org/officeDocument/2006/relationships/hyperlink" Target="https://finance.ec.europa.eu/consumer-finance-and-payments/retail-financial-services/financial-dispute-resolution-network-fin-net_fr" TargetMode="External"/><Relationship Id="rId12" Type="http://schemas.openxmlformats.org/officeDocument/2006/relationships/hyperlink" Target="https://commission.europa.eu/law/law-making-process/planning-and-proposing-law/better-regulation/better-regulation-guidelines-and-toolbox_en?prefLang=fr" TargetMode="External"/><Relationship Id="rId2" Type="http://schemas.openxmlformats.org/officeDocument/2006/relationships/hyperlink" Target="https://commission.europa.eu/document/e6cd4328-673c-4e7a-8683-f63ffb2cf648_fr" TargetMode="External"/><Relationship Id="rId16" Type="http://schemas.openxmlformats.org/officeDocument/2006/relationships/hyperlink" Target="https://curia.europa.eu/juris/document/document.jsf?docid=290673&amp;mode=req&amp;pageIndex=1&amp;dir=&amp;occ=first&amp;part=1&amp;text=&amp;doclang=FR&amp;cid=4039037" TargetMode="External"/><Relationship Id="rId1" Type="http://schemas.openxmlformats.org/officeDocument/2006/relationships/hyperlink" Target="https://commission.europa.eu/document/e6cd4328-673c-4e7a-8683-f63ffb2cf648_fr" TargetMode="External"/><Relationship Id="rId6" Type="http://schemas.openxmlformats.org/officeDocument/2006/relationships/hyperlink" Target="https://ec.europa.eu/solvit/index_fr.htm" TargetMode="External"/><Relationship Id="rId11" Type="http://schemas.openxmlformats.org/officeDocument/2006/relationships/hyperlink" Target="https://asf.youreurope.europa.eu/" TargetMode="External"/><Relationship Id="rId5" Type="http://schemas.openxmlformats.org/officeDocument/2006/relationships/hyperlink" Target="https://energy.ec.europa.eu/news/commission-adopts-guidance-eu-countries-implementing-revised-directiv%20es-renewable-energy-and-energy-2024-09-02_en" TargetMode="External"/><Relationship Id="rId15" Type="http://schemas.openxmlformats.org/officeDocument/2006/relationships/hyperlink" Target="https://eur-lex.europa.eu/legal-content/FR/TXT/HTML/?uri=CELEX:32016Q0512(01)" TargetMode="External"/><Relationship Id="rId10" Type="http://schemas.openxmlformats.org/officeDocument/2006/relationships/hyperlink" Target="mailto:GROW-SINGLE-DIGITAL-GATEWAY@ec.europa.eu" TargetMode="External"/><Relationship Id="rId4" Type="http://schemas.openxmlformats.org/officeDocument/2006/relationships/hyperlink" Target="https://www.consilium.europa.eu/media/ny3j24sm/much-more-than-a-market-report-by-enrico-letta.pdf" TargetMode="External"/><Relationship Id="rId9" Type="http://schemas.openxmlformats.org/officeDocument/2006/relationships/hyperlink" Target="https://fosmo.youreurope.europa.eu/" TargetMode="External"/><Relationship Id="rId14" Type="http://schemas.openxmlformats.org/officeDocument/2006/relationships/hyperlink" Target="https://commission.europa.eu/system/files/2023-09/BR%20toolbox%20-%20Jul%202023%20-%20FINAL.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2EF9373D7657549B6CD127E08569206" ma:contentTypeVersion="4" ma:contentTypeDescription="Create a new document." ma:contentTypeScope="" ma:versionID="e7cd426fbf7ce0c757cedf900ff0161e">
  <xsd:schema xmlns:xsd="http://www.w3.org/2001/XMLSchema" xmlns:xs="http://www.w3.org/2001/XMLSchema" xmlns:p="http://schemas.microsoft.com/office/2006/metadata/properties" xmlns:ns2="7c2df423-21e3-4881-a08a-095b88bfd823" targetNamespace="http://schemas.microsoft.com/office/2006/metadata/properties" ma:root="true" ma:fieldsID="74f5668355feddbc32a3ad676e974814" ns2:_="">
    <xsd:import namespace="7c2df423-21e3-4881-a08a-095b88bfd82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2df423-21e3-4881-a08a-095b88bfd8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ocument" ma:contentTypeID="0x01010082EF9373D7657549B6CD127E08569206" ma:contentTypeVersion="4" ma:contentTypeDescription="Create a new document." ma:contentTypeScope="" ma:versionID="e7cd426fbf7ce0c757cedf900ff0161e">
  <xsd:schema xmlns:xsd="http://www.w3.org/2001/XMLSchema" xmlns:xs="http://www.w3.org/2001/XMLSchema" xmlns:p="http://schemas.microsoft.com/office/2006/metadata/properties" xmlns:ns2="7c2df423-21e3-4881-a08a-095b88bfd823" targetNamespace="http://schemas.microsoft.com/office/2006/metadata/properties" ma:root="true" ma:fieldsID="74f5668355feddbc32a3ad676e974814" ns2:_="">
    <xsd:import namespace="7c2df423-21e3-4881-a08a-095b88bfd82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2df423-21e3-4881-a08a-095b88bfd8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791CA4-5886-4EAE-8286-74EAC7319457}">
  <ds:schemaRefs>
    <ds:schemaRef ds:uri="http://schemas.microsoft.com/sharepoint/v3/contenttype/forms"/>
  </ds:schemaRefs>
</ds:datastoreItem>
</file>

<file path=customXml/itemProps2.xml><?xml version="1.0" encoding="utf-8"?>
<ds:datastoreItem xmlns:ds="http://schemas.openxmlformats.org/officeDocument/2006/customXml" ds:itemID="{4DF1C9DB-A7FC-428F-A3CB-2F6958F238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2df423-21e3-4881-a08a-095b88bfd8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0C01C2A-97DB-4B83-BE29-FF824F4E70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2df423-21e3-4881-a08a-095b88bfd8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8FAF1CE-8C58-4521-A954-006106ECEA1D}">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D651D6AC-32D0-44CC-8889-D3DCB38E75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17</Pages>
  <Words>6787</Words>
  <Characters>38688</Characters>
  <Application>Microsoft Office Word</Application>
  <DocSecurity>0</DocSecurity>
  <Lines>322</Lines>
  <Paragraphs>90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45385</CharactersWithSpaces>
  <SharedDoc>false</SharedDoc>
  <HLinks>
    <vt:vector size="90" baseType="variant">
      <vt:variant>
        <vt:i4>458762</vt:i4>
      </vt:variant>
      <vt:variant>
        <vt:i4>42</vt:i4>
      </vt:variant>
      <vt:variant>
        <vt:i4>0</vt:i4>
      </vt:variant>
      <vt:variant>
        <vt:i4>5</vt:i4>
      </vt:variant>
      <vt:variant>
        <vt:lpwstr>https://curia.europa.eu/juris/document/document.jsf?docid=290673&amp;mode=req&amp;pageIndex=1&amp;dir=&amp;occ=first&amp;part=1&amp;text=&amp;doclang=EN&amp;cid=4039037</vt:lpwstr>
      </vt:variant>
      <vt:variant>
        <vt:lpwstr/>
      </vt:variant>
      <vt:variant>
        <vt:i4>4325390</vt:i4>
      </vt:variant>
      <vt:variant>
        <vt:i4>39</vt:i4>
      </vt:variant>
      <vt:variant>
        <vt:i4>0</vt:i4>
      </vt:variant>
      <vt:variant>
        <vt:i4>5</vt:i4>
      </vt:variant>
      <vt:variant>
        <vt:lpwstr>https://eur-lex.europa.eu/legal-content/EN/TXT/HTML/?uri=CELEX:32016Q0512(01)</vt:lpwstr>
      </vt:variant>
      <vt:variant>
        <vt:lpwstr/>
      </vt:variant>
      <vt:variant>
        <vt:i4>3407976</vt:i4>
      </vt:variant>
      <vt:variant>
        <vt:i4>36</vt:i4>
      </vt:variant>
      <vt:variant>
        <vt:i4>0</vt:i4>
      </vt:variant>
      <vt:variant>
        <vt:i4>5</vt:i4>
      </vt:variant>
      <vt:variant>
        <vt:lpwstr>https://commission.europa.eu/system/files/2023-09/BR toolbox - Jul 2023 - FINAL.pdf</vt:lpwstr>
      </vt:variant>
      <vt:variant>
        <vt:lpwstr/>
      </vt:variant>
      <vt:variant>
        <vt:i4>4456557</vt:i4>
      </vt:variant>
      <vt:variant>
        <vt:i4>33</vt:i4>
      </vt:variant>
      <vt:variant>
        <vt:i4>0</vt:i4>
      </vt:variant>
      <vt:variant>
        <vt:i4>5</vt:i4>
      </vt:variant>
      <vt:variant>
        <vt:lpwstr>https://www.oecd.org/en/publications/oecd-regulatory-policy-outlook-2021_38b0fdb1-en.html</vt:lpwstr>
      </vt:variant>
      <vt:variant>
        <vt:lpwstr/>
      </vt:variant>
      <vt:variant>
        <vt:i4>7012416</vt:i4>
      </vt:variant>
      <vt:variant>
        <vt:i4>30</vt:i4>
      </vt:variant>
      <vt:variant>
        <vt:i4>0</vt:i4>
      </vt:variant>
      <vt:variant>
        <vt:i4>5</vt:i4>
      </vt:variant>
      <vt:variant>
        <vt:lpwstr>https://commission.europa.eu/law/law-making-process/planning-and-proposing-law/better-regulation/better-regulation-guidelines-and-toolbox_en</vt:lpwstr>
      </vt:variant>
      <vt:variant>
        <vt:lpwstr/>
      </vt:variant>
      <vt:variant>
        <vt:i4>1179676</vt:i4>
      </vt:variant>
      <vt:variant>
        <vt:i4>27</vt:i4>
      </vt:variant>
      <vt:variant>
        <vt:i4>0</vt:i4>
      </vt:variant>
      <vt:variant>
        <vt:i4>5</vt:i4>
      </vt:variant>
      <vt:variant>
        <vt:lpwstr>https://asf.youreurope.europa.eu/</vt:lpwstr>
      </vt:variant>
      <vt:variant>
        <vt:lpwstr/>
      </vt:variant>
      <vt:variant>
        <vt:i4>8323152</vt:i4>
      </vt:variant>
      <vt:variant>
        <vt:i4>24</vt:i4>
      </vt:variant>
      <vt:variant>
        <vt:i4>0</vt:i4>
      </vt:variant>
      <vt:variant>
        <vt:i4>5</vt:i4>
      </vt:variant>
      <vt:variant>
        <vt:lpwstr>mailto:GROW-SINGLE-DIGITAL-GATEWAY@ec.europa.eu</vt:lpwstr>
      </vt:variant>
      <vt:variant>
        <vt:lpwstr/>
      </vt:variant>
      <vt:variant>
        <vt:i4>6488161</vt:i4>
      </vt:variant>
      <vt:variant>
        <vt:i4>21</vt:i4>
      </vt:variant>
      <vt:variant>
        <vt:i4>0</vt:i4>
      </vt:variant>
      <vt:variant>
        <vt:i4>5</vt:i4>
      </vt:variant>
      <vt:variant>
        <vt:lpwstr>https://fosmo.youreurope.europa.eu/</vt:lpwstr>
      </vt:variant>
      <vt:variant>
        <vt:lpwstr/>
      </vt:variant>
      <vt:variant>
        <vt:i4>524394</vt:i4>
      </vt:variant>
      <vt:variant>
        <vt:i4>18</vt:i4>
      </vt:variant>
      <vt:variant>
        <vt:i4>0</vt:i4>
      </vt:variant>
      <vt:variant>
        <vt:i4>5</vt:i4>
      </vt:variant>
      <vt:variant>
        <vt:lpwstr>https://europa.eu/youreurope/index_en.htm</vt:lpwstr>
      </vt:variant>
      <vt:variant>
        <vt:lpwstr/>
      </vt:variant>
      <vt:variant>
        <vt:i4>2818132</vt:i4>
      </vt:variant>
      <vt:variant>
        <vt:i4>15</vt:i4>
      </vt:variant>
      <vt:variant>
        <vt:i4>0</vt:i4>
      </vt:variant>
      <vt:variant>
        <vt:i4>5</vt:i4>
      </vt:variant>
      <vt:variant>
        <vt:lpwstr>https://finance.ec.europa.eu/consumer-finance-and-payments/retail-financial-services/financial-dispute-resolution-network-fin-net_en</vt:lpwstr>
      </vt:variant>
      <vt:variant>
        <vt:lpwstr/>
      </vt:variant>
      <vt:variant>
        <vt:i4>2621469</vt:i4>
      </vt:variant>
      <vt:variant>
        <vt:i4>12</vt:i4>
      </vt:variant>
      <vt:variant>
        <vt:i4>0</vt:i4>
      </vt:variant>
      <vt:variant>
        <vt:i4>5</vt:i4>
      </vt:variant>
      <vt:variant>
        <vt:lpwstr>https://ec.europa.eu/solvit/index_en.htm</vt:lpwstr>
      </vt:variant>
      <vt:variant>
        <vt:lpwstr/>
      </vt:variant>
      <vt:variant>
        <vt:i4>7143427</vt:i4>
      </vt:variant>
      <vt:variant>
        <vt:i4>9</vt:i4>
      </vt:variant>
      <vt:variant>
        <vt:i4>0</vt:i4>
      </vt:variant>
      <vt:variant>
        <vt:i4>5</vt:i4>
      </vt:variant>
      <vt:variant>
        <vt:lpwstr>https://energy.ec.europa.eu/news/commission-adopts-guidance-eu-countries-implementing-revised-directiv es-renewable-energy-and-energy-2024-09-02_en</vt:lpwstr>
      </vt:variant>
      <vt:variant>
        <vt:lpwstr/>
      </vt:variant>
      <vt:variant>
        <vt:i4>6225928</vt:i4>
      </vt:variant>
      <vt:variant>
        <vt:i4>6</vt:i4>
      </vt:variant>
      <vt:variant>
        <vt:i4>0</vt:i4>
      </vt:variant>
      <vt:variant>
        <vt:i4>5</vt:i4>
      </vt:variant>
      <vt:variant>
        <vt:lpwstr>https://www.consilium.europa.eu/media/ny3j24sm/much-more-than-a-market-report-by-enrico-letta.pdf</vt:lpwstr>
      </vt:variant>
      <vt:variant>
        <vt:lpwstr/>
      </vt:variant>
      <vt:variant>
        <vt:i4>3407934</vt:i4>
      </vt:variant>
      <vt:variant>
        <vt:i4>3</vt:i4>
      </vt:variant>
      <vt:variant>
        <vt:i4>0</vt:i4>
      </vt:variant>
      <vt:variant>
        <vt:i4>5</vt:i4>
      </vt:variant>
      <vt:variant>
        <vt:lpwstr>https://commission.europa.eu/ topics/strengthening-european-competitiveness/eu-competitiveness-looking-ahead_en</vt:lpwstr>
      </vt:variant>
      <vt:variant>
        <vt:lpwstr>paragraph_47059</vt:lpwstr>
      </vt:variant>
      <vt:variant>
        <vt:i4>1179761</vt:i4>
      </vt:variant>
      <vt:variant>
        <vt:i4>0</vt:i4>
      </vt:variant>
      <vt:variant>
        <vt:i4>0</vt:i4>
      </vt:variant>
      <vt:variant>
        <vt:i4>5</vt:i4>
      </vt:variant>
      <vt:variant>
        <vt:lpwstr>https://commission.europa.eu/document/e6cd4328-673c-4e7a-8683-f63ffb2cf648_en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12</cp:revision>
  <cp:lastPrinted>2025-02-05T22:55:00Z</cp:lastPrinted>
  <dcterms:created xsi:type="dcterms:W3CDTF">2025-02-11T15:32:00Z</dcterms:created>
  <dcterms:modified xsi:type="dcterms:W3CDTF">2025-02-17T16:33:00Z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2024-10-11T16:51:01Z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09b5849a-4496-43d4-a323-3c579e664869</vt:lpwstr>
  </property>
  <property fmtid="{D5CDD505-2E9C-101B-9397-08002B2CF9AE}" pid="8" name="MSIP_Label_6bd9ddd1-4d20-43f6-abfa-fc3c07406f94_ContentBits">
    <vt:lpwstr>0</vt:lpwstr>
  </property>
  <property fmtid="{D5CDD505-2E9C-101B-9397-08002B2CF9AE}" pid="9" name="ContentTypeId">
    <vt:lpwstr>0x01010082EF9373D7657549B6CD127E08569206</vt:lpwstr>
  </property>
  <property fmtid="{D5CDD505-2E9C-101B-9397-08002B2CF9AE}" pid="10" name="MediaServiceImageTags">
    <vt:lpwstr/>
  </property>
  <property fmtid="{D5CDD505-2E9C-101B-9397-08002B2CF9AE}" pid="11" name="Level of sensitivity">
    <vt:lpwstr>Standard treatment</vt:lpwstr>
  </property>
  <property fmtid="{D5CDD505-2E9C-101B-9397-08002B2CF9AE}" pid="12" name="Part">
    <vt:lpwstr>1</vt:lpwstr>
  </property>
  <property fmtid="{D5CDD505-2E9C-101B-9397-08002B2CF9AE}" pid="13" name="Total parts">
    <vt:lpwstr>1</vt:lpwstr>
  </property>
  <property fmtid="{D5CDD505-2E9C-101B-9397-08002B2CF9AE}" pid="14" name="CPTemplateID">
    <vt:lpwstr>CP-014</vt:lpwstr>
  </property>
  <property fmtid="{D5CDD505-2E9C-101B-9397-08002B2CF9AE}" pid="15" name="Last edited using">
    <vt:lpwstr>LW 9.1, Build 20240808</vt:lpwstr>
  </property>
  <property fmtid="{D5CDD505-2E9C-101B-9397-08002B2CF9AE}" pid="16" name="Created using">
    <vt:lpwstr>LW 9.1, Build 20240808</vt:lpwstr>
  </property>
  <property fmtid="{D5CDD505-2E9C-101B-9397-08002B2CF9AE}" pid="17" name="DocStatus">
    <vt:lpwstr>Green</vt:lpwstr>
  </property>
</Properties>
</file>