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BF79EC" w14:textId="34617CB1" w:rsidR="00E11843" w:rsidRDefault="00AC7C9D" w:rsidP="00AC7C9D">
      <w:pPr>
        <w:pStyle w:val="Pagedecouverture"/>
        <w:rPr>
          <w:noProof/>
        </w:rPr>
      </w:pPr>
      <w:bookmarkStart w:id="0" w:name="LW_BM_COVERPAGE"/>
      <w:r>
        <w:rPr>
          <w:noProof/>
        </w:rPr>
        <w:pict w14:anchorId="5F14566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F9F7A1FA-5130-467E-95CE-98A950556406" style="width:455.15pt;height:337.05pt">
            <v:imagedata r:id="rId8" o:title=""/>
          </v:shape>
        </w:pict>
      </w:r>
    </w:p>
    <w:bookmarkEnd w:id="0"/>
    <w:p w14:paraId="2B084A6A" w14:textId="77777777" w:rsidR="00E11843" w:rsidRDefault="00E11843" w:rsidP="00E11843">
      <w:pPr>
        <w:rPr>
          <w:noProof/>
        </w:rPr>
        <w:sectPr w:rsidR="00E11843" w:rsidSect="00AC7C9D">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1"/>
          <w:cols w:space="720"/>
          <w:docGrid w:linePitch="360"/>
        </w:sectPr>
      </w:pPr>
    </w:p>
    <w:p w14:paraId="2FAF697B" w14:textId="2705FC24" w:rsidR="00D40F4F" w:rsidRPr="00D32869" w:rsidRDefault="00D40F4F" w:rsidP="008279A0">
      <w:pPr>
        <w:pStyle w:val="Text1"/>
        <w:spacing w:after="120"/>
        <w:ind w:left="0"/>
        <w:jc w:val="center"/>
        <w:rPr>
          <w:b/>
          <w:noProof/>
          <w:szCs w:val="24"/>
        </w:rPr>
      </w:pPr>
      <w:bookmarkStart w:id="1" w:name="_GoBack"/>
      <w:bookmarkEnd w:id="1"/>
      <w:r>
        <w:rPr>
          <w:b/>
          <w:noProof/>
        </w:rPr>
        <w:lastRenderedPageBreak/>
        <w:t>UNE STRATÉGIE EUROPÉENNE POUR LES INFRASTRUCTURES DE RECHERCHE ET DE TECHNOLOGIE</w:t>
      </w:r>
    </w:p>
    <w:p w14:paraId="776E5159" w14:textId="77777777" w:rsidR="00D40F4F" w:rsidRPr="00D32869" w:rsidRDefault="00D40F4F" w:rsidP="00D40F4F">
      <w:pPr>
        <w:pStyle w:val="Heading1"/>
        <w:rPr>
          <w:smallCaps w:val="0"/>
          <w:noProof/>
          <w:szCs w:val="24"/>
        </w:rPr>
      </w:pPr>
      <w:r>
        <w:rPr>
          <w:noProof/>
        </w:rPr>
        <w:t>Justification en faveur du choix d’une stratégie à long terme</w:t>
      </w:r>
    </w:p>
    <w:p w14:paraId="5E33AFFA" w14:textId="77777777" w:rsidR="00D40F4F" w:rsidRDefault="00D40F4F" w:rsidP="00D40F4F">
      <w:pPr>
        <w:pStyle w:val="Heading2"/>
        <w:rPr>
          <w:noProof/>
        </w:rPr>
      </w:pPr>
      <w:r>
        <w:rPr>
          <w:noProof/>
        </w:rPr>
        <w:t xml:space="preserve">Contexte stratégique </w:t>
      </w:r>
    </w:p>
    <w:p w14:paraId="0D38D030" w14:textId="1E5D7FD2" w:rsidR="00172F3D" w:rsidRPr="00D32869" w:rsidRDefault="004E6C6C" w:rsidP="00F734BC">
      <w:pPr>
        <w:pStyle w:val="Text1"/>
        <w:spacing w:before="120" w:after="0"/>
        <w:ind w:left="0"/>
        <w:rPr>
          <w:noProof/>
        </w:rPr>
      </w:pPr>
      <w:r>
        <w:rPr>
          <w:noProof/>
        </w:rPr>
        <w:t>L’écosystème européen d’infrastructures de recherche et de technologie de classe mondiale est un atout unique qui favorise le progrès scientifique, stimule l’innovation, renforce la compétitivité et crée des liens entre les talents au-delà des frontières. Il constitue en outre une raison convaincante de choisir l’Europe pour mener des recherches scientifiques de pointe et développer des innovations de rupture. Mais pour rester à l’avant-garde, cet écosystème doit être continuellement renforcé, tout en devenant de plus en plus intégré et accessible.</w:t>
      </w:r>
    </w:p>
    <w:p w14:paraId="1EE678F0" w14:textId="6ABF51C9" w:rsidR="00D32869" w:rsidRPr="00D32869" w:rsidRDefault="6D4E30B5" w:rsidP="00012E42">
      <w:pPr>
        <w:spacing w:before="120"/>
        <w:jc w:val="both"/>
        <w:rPr>
          <w:noProof/>
        </w:rPr>
      </w:pPr>
      <w:r>
        <w:rPr>
          <w:noProof/>
        </w:rPr>
        <w:t xml:space="preserve">L’Union européenne doit investir de manière audacieuse – à une échelle et avec une cohérence inédites – dans de nouvelles capacités pouvant accueillir les meilleures infrastructures de recherche, afin de consolider sa position de chef de file mondial dans le domaine de la science et de l’innovation et d’attirer les meilleurs talents. Parallèlement, elle doit investir davantage dans des infrastructures technologiques d’importance stratégique aptes à stimuler sa compétitivité, sa résilience et sa souveraineté technologique, afin de traduire la recherche en innovations commercialisables. Ces infrastructures sont essentielles au développement et au déploiement de nouvelles technologies stratégiques en Europe. En particulier, les jeunes pousses et les entreprises en expansion dans le domaine des deep tech sont extrêmement dépendantes de l’accès aux infrastructures technologiques pour développer et démontrer l'efficacité de leurs technologies innovantes. </w:t>
      </w:r>
    </w:p>
    <w:p w14:paraId="3428B429" w14:textId="77777777" w:rsidR="00B67F76" w:rsidRDefault="00D32869" w:rsidP="00633B23">
      <w:pPr>
        <w:spacing w:before="120"/>
        <w:jc w:val="both"/>
        <w:rPr>
          <w:noProof/>
        </w:rPr>
      </w:pPr>
      <w:r>
        <w:rPr>
          <w:noProof/>
        </w:rPr>
        <w:t xml:space="preserve">La présente stratégie européenne pour les infrastructures de recherche et de technologie définit une vision à long terme qui décrit comment étendre et renforcer cet écosystème, en exploitant toutes les possibilités qu'il peut offrir à l’avenir scientifique, technologique et industriel de l’Europe. </w:t>
      </w:r>
    </w:p>
    <w:p w14:paraId="0ABA5AB8" w14:textId="72345226" w:rsidR="00D32869" w:rsidRPr="00D32869" w:rsidRDefault="0035727A" w:rsidP="00633B23">
      <w:pPr>
        <w:spacing w:before="120"/>
        <w:jc w:val="both"/>
        <w:rPr>
          <w:noProof/>
        </w:rPr>
      </w:pPr>
      <w:r>
        <w:rPr>
          <w:noProof/>
        </w:rPr>
        <w:t>La stratégie répond aux grandes ambitions en matière d’infrastructures qui sont énoncées dans la proposition relative à Horizon Europe incluse dans le prochain cadre financier pluriannuel de l’Union (2028-2034), ainsi que dans la proposition relative au Fonds européen pour la compétitivité. Elle fournit un cadre stratégique global pour orienter la mise en œuvre des actions pertinentes en matière d’infrastructures de recherche et de technologie.</w:t>
      </w:r>
    </w:p>
    <w:p w14:paraId="2A36FBEB" w14:textId="5BB65E01" w:rsidR="00D32869" w:rsidRPr="00D32869" w:rsidRDefault="00C210B6" w:rsidP="00633B23">
      <w:pPr>
        <w:spacing w:before="120"/>
        <w:jc w:val="both"/>
        <w:rPr>
          <w:noProof/>
        </w:rPr>
      </w:pPr>
      <w:r>
        <w:rPr>
          <w:noProof/>
        </w:rPr>
        <w:t>Cette stratégie soutient la réalisation de la «cinquième liberté» du marché unique de l’Union concernant la libre circulation des chercheurs, des connaissances scientifiques et des technologies dans l’Espace européen de la recherche (EER), favorisant ainsi l’innovation et le progrès technologique. Elle contribuera à libérer tout le potentiel de la position de premier plan de l’Europe en tant que puissance scientifique dans divers secteurs stratégiques tels que l’intelligence artificielle (IA), les sciences du vivant, l’observation de la Terre, les technologies quantiques, l’énergie de fusion, les biotechnologies, les technologies énergétiques propres et renouvelables et les matériaux avancés, en s’appuyant en outre sur la stratégie visant à améliorer les conditions-cadres pour les jeunes pousses et les entreprises en expansion dans l’Union.</w:t>
      </w:r>
    </w:p>
    <w:p w14:paraId="1A6B2D42" w14:textId="43232B7E" w:rsidR="00D32869" w:rsidRPr="00D32869" w:rsidRDefault="6D4E30B5" w:rsidP="00633B23">
      <w:pPr>
        <w:spacing w:before="120"/>
        <w:jc w:val="both"/>
        <w:rPr>
          <w:noProof/>
        </w:rPr>
      </w:pPr>
      <w:r>
        <w:rPr>
          <w:noProof/>
        </w:rPr>
        <w:t>Alors que l’Union s’efforce d’affirmer son rôle de chef de file mondial dans la transition vers une économie propre et de consolider sa compétitivité et son autonomie stratégique, il est impératif qu’elle renforce ses efforts en matière de recherche et d’innovation (R&amp;I), en exploitant pleinement le potentiel des infrastructures de recherche et de technologie pour atteindre son objectif d’investir 3 % de son PIB dans la recherche et le développement (R&amp;D).</w:t>
      </w:r>
    </w:p>
    <w:p w14:paraId="1CB3EA03" w14:textId="6B528246" w:rsidR="00D32869" w:rsidRPr="00D32869" w:rsidRDefault="6D4E30B5" w:rsidP="00633B23">
      <w:pPr>
        <w:spacing w:before="120"/>
        <w:jc w:val="both"/>
        <w:rPr>
          <w:noProof/>
        </w:rPr>
      </w:pPr>
      <w:r>
        <w:rPr>
          <w:noProof/>
        </w:rPr>
        <w:t>Les infrastructures de recherche et de technologie sont également des facteurs essentiels pour combler le retard de l’Europe en matière d’innovation par rapport à d’autres régions et pays du monde, comme l’indiquent le rapport Draghi et la boussole pour la compétitivité, car elles permettent de fournir les installations là où les idées novatrices sont développées, arrivent à maturité et sont transformées en solutions commercialisables.</w:t>
      </w:r>
    </w:p>
    <w:p w14:paraId="3D252EEF" w14:textId="3CBEE71B" w:rsidR="00D32869" w:rsidRPr="00D32869" w:rsidRDefault="6D4E30B5" w:rsidP="00633B23">
      <w:pPr>
        <w:pStyle w:val="Text2"/>
        <w:spacing w:before="120" w:after="120"/>
        <w:ind w:left="0"/>
        <w:rPr>
          <w:rFonts w:eastAsia="Aptos"/>
          <w:noProof/>
        </w:rPr>
      </w:pPr>
      <w:r>
        <w:rPr>
          <w:noProof/>
        </w:rPr>
        <w:t>En tirant parti des forces et capacités collectives de ces infrastructures, il devient possible de mettre en commun les ressources, de partager les connaissances et de coordonner les efforts dans l’ensemble de l’écosystème européen de la R&amp;I. Les infrastructures de recherche et les infrastructures technologiques étant complémentaires, il est nécessaire d'adopter une approche écosystémique plus globale pour développer leurs capacités, exploiter les synergies dans leurs services et simplifier l’accès des utilisateurs, conformément aux priorités politiques de l’Union. Une telle approche favoriserait l’excellence scientifique dans la recherche exploratoire, alimenterait l’innovation deep tech et redynamiserait les chaînes de valeur stratégiques. L’Europe doit fournir aux entreprises innovantes, y compris aux jeunes pousses et aux entreprises en expansion, les capacités pour accéder à des installations avancées, valider des technologies, élaborer les normes correspondantes et accélérer l'entrée sur le marché. Une approche ambitieuse et coordonnée des infrastructures est essentielle pour renforcer le tissu d’innovation et la sécurité économique de l’Europe, donner les moyens d’agir à sa prochaine génération de champions industriels et garantir un avantage concurrentiel durable dans la course mondiale aux technologies.</w:t>
      </w:r>
    </w:p>
    <w:p w14:paraId="5686695B" w14:textId="1C38E210" w:rsidR="00D32869" w:rsidRPr="00D32869" w:rsidRDefault="6D4E30B5" w:rsidP="00633B23">
      <w:pPr>
        <w:pStyle w:val="Text2"/>
        <w:spacing w:before="120" w:after="120"/>
        <w:ind w:left="0"/>
        <w:rPr>
          <w:noProof/>
        </w:rPr>
      </w:pPr>
      <w:r>
        <w:rPr>
          <w:noProof/>
        </w:rPr>
        <w:t xml:space="preserve">Les grandes puissances se désengagent de plus en plus de la coopération internationale en matière de R&amp;I. L’Europe doit affirmer et renforcer sa position en tant que porte-étendard d’une science d’excellence libre et ouverte, en s’appuyant sur son rôle de chef de file mondial de longue date en tant que poids lourd de la recherche. Forte d’un vaste réservoir de talents de plus de deux millions de chercheurs, l’Europe est particulièrement bien placée pour mettre au point des solutions de rupture pour le monde de demain en investissant dans la recherche et le développement (R&amp;D) des biens publics mondiaux, dans des domaines tels que la santé publique et le changement climatique. En investissant stratégiquement dans les infrastructures de recherche et de technologie, l’Europe peut consolider sa réputation de championne d’un progrès fondé sur la connaissance et attirer des talents internationaux en réponse à l’initiative </w:t>
      </w:r>
      <w:r>
        <w:rPr>
          <w:i/>
          <w:noProof/>
        </w:rPr>
        <w:t>«choisir l’Europe»</w:t>
      </w:r>
      <w:r w:rsidR="00501691">
        <w:rPr>
          <w:rStyle w:val="FootnoteReference"/>
          <w:noProof/>
        </w:rPr>
        <w:footnoteReference w:id="2"/>
      </w:r>
      <w:r>
        <w:rPr>
          <w:noProof/>
        </w:rPr>
        <w:t xml:space="preserve">.  En se dotant de nouvelles capacités, l’Europe renforcera son rôle de partenaire de confiance pour la coopération internationale, tout en consolidant et en protégeant des atouts essentiels pour son avenir. </w:t>
      </w:r>
    </w:p>
    <w:p w14:paraId="114EBD3A" w14:textId="77777777" w:rsidR="00D40F4F" w:rsidRPr="00D32869" w:rsidRDefault="00D40F4F" w:rsidP="00D40F4F">
      <w:pPr>
        <w:pStyle w:val="Heading2"/>
        <w:spacing w:before="120"/>
        <w:rPr>
          <w:b w:val="0"/>
          <w:bCs/>
          <w:noProof/>
        </w:rPr>
      </w:pPr>
      <w:r>
        <w:rPr>
          <w:noProof/>
        </w:rPr>
        <w:t>Paysage des infrastructures européennes de recherche et de technologie</w:t>
      </w:r>
      <w:r>
        <w:rPr>
          <w:b w:val="0"/>
          <w:noProof/>
        </w:rPr>
        <w:t xml:space="preserve"> </w:t>
      </w:r>
    </w:p>
    <w:p w14:paraId="27CDBA14" w14:textId="3D7A7FE2" w:rsidR="003C7C83" w:rsidRPr="00D32869" w:rsidRDefault="003C7C83" w:rsidP="00D40F4F">
      <w:pPr>
        <w:pStyle w:val="Text2"/>
        <w:spacing w:after="120"/>
        <w:ind w:left="0"/>
        <w:rPr>
          <w:b/>
          <w:bCs/>
          <w:i/>
          <w:iCs/>
          <w:noProof/>
          <w:u w:val="single"/>
        </w:rPr>
      </w:pPr>
      <w:r>
        <w:rPr>
          <w:b/>
          <w:i/>
          <w:noProof/>
          <w:u w:val="single"/>
        </w:rPr>
        <w:t>Infrastructures de recherche</w:t>
      </w:r>
    </w:p>
    <w:p w14:paraId="14BE06F5" w14:textId="372DF65B" w:rsidR="00D40F4F" w:rsidRPr="00D32869" w:rsidRDefault="00D40F4F" w:rsidP="00D40F4F">
      <w:pPr>
        <w:pStyle w:val="Text2"/>
        <w:spacing w:after="120"/>
        <w:ind w:left="0"/>
        <w:rPr>
          <w:noProof/>
        </w:rPr>
      </w:pPr>
      <w:r>
        <w:rPr>
          <w:noProof/>
        </w:rPr>
        <w:t xml:space="preserve">Depuis des décennies, l’Europe abrite une constellation d’infrastructures de recherche de classe mondiale, allant de grandes installations à site unique à des organisations réparties sur plusieurs sites collaborant sur l’ensemble du continent. Elles constituent le fondement de l’écosystème européen de R&amp;I. Ce sont elles qui produisent des données pour la science, générant et gérant de vastes quantités de données fiables qui alimentent la recherche fondamentale et sont indispensables pour relever des défis mondiaux tels que la lutte contre le changement climatique, la préparation aux pandémies et la lutte contre les menaces hybrides. </w:t>
      </w:r>
    </w:p>
    <w:p w14:paraId="591D90E9" w14:textId="4B1D54C6" w:rsidR="00D40F4F" w:rsidRPr="00D32869" w:rsidRDefault="00D40F4F" w:rsidP="00D40F4F">
      <w:pPr>
        <w:pStyle w:val="Text2"/>
        <w:spacing w:after="120"/>
        <w:ind w:left="0"/>
        <w:rPr>
          <w:noProof/>
        </w:rPr>
      </w:pPr>
      <w:r>
        <w:rPr>
          <w:noProof/>
        </w:rPr>
        <w:t>Les infrastructures de recherche ont pour objectif premier de favoriser l’excellence scientifique en veillant à ce que les chercheurs aient accès à des équipements, à des laboratoires et à des ressources numériques de pointe, en particulier ceux qui seraient trop coûteux ou trop complexes à développer pour des institutions individuelles.</w:t>
      </w:r>
      <w:r>
        <w:rPr>
          <w:i/>
          <w:noProof/>
        </w:rPr>
        <w:t xml:space="preserve"> </w:t>
      </w:r>
      <w:r>
        <w:rPr>
          <w:noProof/>
        </w:rPr>
        <w:t xml:space="preserve">Elles comprennent, entre autres,  les principaux équipements ou ensembles d'instruments, des collections, des archives et des infrastructures de données scientifiques, généralement détenus et financés par le secteur public. </w:t>
      </w:r>
    </w:p>
    <w:p w14:paraId="74163283" w14:textId="55C79CF3" w:rsidR="00B56BEE" w:rsidRPr="00B56BEE" w:rsidRDefault="00B56BEE" w:rsidP="003E27D0">
      <w:pPr>
        <w:pStyle w:val="Text2"/>
        <w:spacing w:after="120"/>
        <w:ind w:left="0"/>
        <w:rPr>
          <w:noProof/>
        </w:rPr>
      </w:pPr>
      <w:r>
        <w:rPr>
          <w:noProof/>
        </w:rPr>
        <w:t xml:space="preserve">Depuis le lancement de l’EER en 2000, plus de 60 nouvelles infrastructures de recherche paneuropéennes ont été créées, allant d’installations à grande échelle telles que des synchrotrons et des lasers à des plateformes distribuées dans les domaines des sciences du vivant, de l’énergie, de l’environnement et des sciences sociales et humaines. Nombre d’entre elles opèrent en tant que consortiums pour une infrastructure européenne de recherche (ERIC), un cadre juridique unique pour les infrastructures de recherche d’importance paneuropéenne. </w:t>
      </w:r>
    </w:p>
    <w:p w14:paraId="129CB7A4" w14:textId="63543D91" w:rsidR="00B56BEE" w:rsidRDefault="00731299" w:rsidP="00B56BEE">
      <w:pPr>
        <w:pStyle w:val="Text2"/>
        <w:spacing w:after="120"/>
        <w:ind w:left="0"/>
        <w:rPr>
          <w:noProof/>
        </w:rPr>
      </w:pPr>
      <w:r>
        <w:rPr>
          <w:noProof/>
        </w:rPr>
        <w:t>Depuis 2002, le paysage européen est régi par le Forum stratégique européen pour les infrastructures de recherche (ESFRI). Les feuilles de route et les analyses du paysage réalisées par l’ESFRI orientent les investissements stratégiques, la feuille de route actuelle représentant plus de 25 milliards d’euros d’investissements et plus de 2 milliards d’euros de coûts d’exploitation annuels. Le financement de l’Union pour la période 2021-2027 ajoute 2,4 milliards d’euros pour soutenir l’instrumentation scientifique, l’accès et la conception de nouvelles infrastructures. L’analyse récente de l’ESFRI cartographie l’écosystème et recense les lacunes critiques, alimentant ainsi de plus en plus les stratégies nationales. Le Fonds européen de développement régional (FEDER) a également joué un rôle important dans le renforcement des capacités régionales de R&amp;I grâce à des investissements dans les infrastructures de recherche.</w:t>
      </w:r>
    </w:p>
    <w:p w14:paraId="4E83CA0C" w14:textId="0F0F211A" w:rsidR="001D0DB0" w:rsidRDefault="001D0DB0" w:rsidP="00B56BEE">
      <w:pPr>
        <w:pStyle w:val="Text2"/>
        <w:spacing w:after="120"/>
        <w:ind w:left="0"/>
        <w:rPr>
          <w:noProof/>
        </w:rPr>
      </w:pPr>
      <w:r>
        <w:rPr>
          <w:noProof/>
        </w:rPr>
        <w:t xml:space="preserve">Toutefois, à mesure que le paysage des infrastructures de recherche s’étend, il devient plus difficile d’en assurer la cohérence et la viabilité à long terme, ce qui nécessite une approche stratégique inscrite dans la durée. </w:t>
      </w:r>
    </w:p>
    <w:p w14:paraId="69C27446" w14:textId="183B99C1" w:rsidR="006C5921" w:rsidRPr="006C5921" w:rsidRDefault="006C5921" w:rsidP="003E27D0">
      <w:pPr>
        <w:pStyle w:val="Text2"/>
        <w:spacing w:after="120"/>
        <w:ind w:left="0"/>
        <w:rPr>
          <w:noProof/>
        </w:rPr>
      </w:pPr>
      <w:r>
        <w:rPr>
          <w:noProof/>
          <w:lang w:val="en-GB"/>
        </w:rPr>
        <mc:AlternateContent>
          <mc:Choice Requires="wps">
            <w:drawing>
              <wp:anchor distT="0" distB="0" distL="114300" distR="114300" simplePos="0" relativeHeight="251658248" behindDoc="1" locked="0" layoutInCell="1" allowOverlap="1" wp14:anchorId="4FCE69BB" wp14:editId="798C9B36">
                <wp:simplePos x="0" y="0"/>
                <wp:positionH relativeFrom="margin">
                  <wp:posOffset>-208667</wp:posOffset>
                </wp:positionH>
                <wp:positionV relativeFrom="paragraph">
                  <wp:posOffset>-439254</wp:posOffset>
                </wp:positionV>
                <wp:extent cx="6270653" cy="6106601"/>
                <wp:effectExtent l="0" t="0" r="15875" b="27940"/>
                <wp:wrapNone/>
                <wp:docPr id="696123326" name="Rectangle 2"/>
                <wp:cNvGraphicFramePr/>
                <a:graphic xmlns:a="http://schemas.openxmlformats.org/drawingml/2006/main">
                  <a:graphicData uri="http://schemas.microsoft.com/office/word/2010/wordprocessingShape">
                    <wps:wsp>
                      <wps:cNvSpPr/>
                      <wps:spPr>
                        <a:xfrm>
                          <a:off x="0" y="0"/>
                          <a:ext cx="6270653" cy="6106601"/>
                        </a:xfrm>
                        <a:prstGeom prst="rect">
                          <a:avLst/>
                        </a:prstGeom>
                        <a:solidFill>
                          <a:schemeClr val="bg1"/>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a="http://schemas.openxmlformats.org/drawingml/2006/main">
            <w:pict>
              <v:rect id="Rectangle 2" style="position:absolute;margin-left:-16.45pt;margin-top:-34.6pt;width:493.75pt;height:480.85pt;z-index:-2516582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white [3212]" strokecolor="#091723 [484]" strokeweigh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" w14:anchorId="6ABDB52F">
                <w10:wrap anchorx="margin"/>
              </v:rect>
            </w:pict>
          </mc:Fallback>
        </mc:AlternateContent>
      </w:r>
      <w:r>
        <w:rPr>
          <w:noProof/>
          <w:lang w:val="en-GB"/>
        </w:rPr>
        <mc:AlternateContent>
          <mc:Choice Requires="wps">
            <w:drawing>
              <wp:anchor distT="45720" distB="45720" distL="114300" distR="114300" simplePos="0" relativeHeight="251658249" behindDoc="0" locked="0" layoutInCell="1" allowOverlap="1" wp14:anchorId="63F39FC2" wp14:editId="1444B8C2">
                <wp:simplePos x="0" y="0"/>
                <wp:positionH relativeFrom="margin">
                  <wp:align>right</wp:align>
                </wp:positionH>
                <wp:positionV relativeFrom="paragraph">
                  <wp:posOffset>-423352</wp:posOffset>
                </wp:positionV>
                <wp:extent cx="5740842" cy="396240"/>
                <wp:effectExtent l="0" t="0" r="12700" b="22860"/>
                <wp:wrapNone/>
                <wp:docPr id="17411437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0842" cy="396240"/>
                        </a:xfrm>
                        <a:prstGeom prst="rect">
                          <a:avLst/>
                        </a:prstGeom>
                        <a:solidFill>
                          <a:srgbClr val="FFFFFF"/>
                        </a:solidFill>
                        <a:ln w="9525">
                          <a:solidFill>
                            <a:schemeClr val="bg1"/>
                          </a:solidFill>
                          <a:miter lim="800000"/>
                          <a:headEnd/>
                          <a:tailEnd/>
                        </a:ln>
                      </wps:spPr>
                      <wps:txbx>
                        <w:txbxContent>
                          <w:p w14:paraId="69B417E8" w14:textId="3AAD229C" w:rsidR="006C5921" w:rsidRPr="008543DF" w:rsidRDefault="006C5921" w:rsidP="006C5921">
                            <w:pPr>
                              <w:rPr>
                                <w:b/>
                                <w:bCs/>
                              </w:rPr>
                            </w:pPr>
                            <w:r>
                              <w:rPr>
                                <w:b/>
                              </w:rPr>
                              <w:t>Exemples d’infrastructures de recherche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3F39FC2" id="_x0000_t202" coordsize="21600,21600" o:spt="202" path="m,l,21600r21600,l21600,xe">
                <v:stroke joinstyle="miter"/>
                <v:path gradientshapeok="t" o:connecttype="rect"/>
              </v:shapetype>
              <v:shape id="Text Box 2" o:spid="_x0000_s1026" type="#_x0000_t202" style="position:absolute;left:0;text-align:left;margin-left:400.85pt;margin-top:-33.35pt;width:452.05pt;height:31.2pt;z-index:251658249;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" strokecolor="white [3212]">
                <v:textbox>
                  <w:txbxContent>
                    <w:p w14:paraId="69B417E8" w14:textId="3AAD229C" w:rsidR="006C5921" w:rsidRPr="008543DF" w:rsidRDefault="006C5921" w:rsidP="006C5921">
                      <w:pPr>
                        <w:rPr>
                          <w:b/>
                          <w:bCs/>
                        </w:rPr>
                      </w:pPr>
                      <w:r>
                        <w:rPr>
                          <w:b/>
                        </w:rPr>
                        <w:t>Exemples d’infrastructures de recherche</w:t>
                      </w:r>
                    </w:p>
                  </w:txbxContent>
                </v:textbox>
                <w10:wrap anchorx="margin"/>
              </v:shape>
            </w:pict>
          </mc:Fallback>
        </mc:AlternateContent>
      </w:r>
      <w:r>
        <w:rPr>
          <w:noProof/>
          <w:lang w:val="en-GB"/>
        </w:rPr>
        <mc:AlternateContent>
          <mc:Choice Requires="wps">
            <w:drawing>
              <wp:anchor distT="0" distB="0" distL="114300" distR="114300" simplePos="0" relativeHeight="251658251" behindDoc="0" locked="0" layoutInCell="1" allowOverlap="1" wp14:anchorId="2B70B7CE" wp14:editId="18F2A962">
                <wp:simplePos x="0" y="0"/>
                <wp:positionH relativeFrom="column">
                  <wp:posOffset>2928620</wp:posOffset>
                </wp:positionH>
                <wp:positionV relativeFrom="paragraph">
                  <wp:posOffset>1861820</wp:posOffset>
                </wp:positionV>
                <wp:extent cx="3022600" cy="690245"/>
                <wp:effectExtent l="0" t="0" r="6350" b="0"/>
                <wp:wrapThrough wrapText="bothSides">
                  <wp:wrapPolygon edited="0">
                    <wp:start x="0" y="0"/>
                    <wp:lineTo x="0" y="20865"/>
                    <wp:lineTo x="21509" y="20865"/>
                    <wp:lineTo x="21509" y="0"/>
                    <wp:lineTo x="0" y="0"/>
                  </wp:wrapPolygon>
                </wp:wrapThrough>
                <wp:docPr id="1015238497" name="Text Box 1"/>
                <wp:cNvGraphicFramePr/>
                <a:graphic xmlns:a="http://schemas.openxmlformats.org/drawingml/2006/main">
                  <a:graphicData uri="http://schemas.microsoft.com/office/word/2010/wordprocessingShape">
                    <wps:wsp>
                      <wps:cNvSpPr txBox="1"/>
                      <wps:spPr>
                        <a:xfrm>
                          <a:off x="0" y="0"/>
                          <a:ext cx="3022600" cy="690245"/>
                        </a:xfrm>
                        <a:prstGeom prst="rect">
                          <a:avLst/>
                        </a:prstGeom>
                        <a:solidFill>
                          <a:prstClr val="white"/>
                        </a:solidFill>
                        <a:ln>
                          <a:noFill/>
                        </a:ln>
                      </wps:spPr>
                      <wps:txbx>
                        <w:txbxContent>
                          <w:p w14:paraId="3D060EB3" w14:textId="1F159FAD" w:rsidR="006C5921" w:rsidRPr="008543DF" w:rsidRDefault="006C5921" w:rsidP="006C5921">
                            <w:pPr>
                              <w:jc w:val="both"/>
                              <w:rPr>
                                <w:color w:val="44546A" w:themeColor="text2"/>
                                <w:sz w:val="16"/>
                                <w:szCs w:val="16"/>
                              </w:rPr>
                            </w:pPr>
                            <w:r>
                              <w:rPr>
                                <w:color w:val="44546A" w:themeColor="text2"/>
                                <w:sz w:val="18"/>
                              </w:rPr>
                              <w:t>L’</w:t>
                            </w:r>
                            <w:r>
                              <w:rPr>
                                <w:color w:val="44546A" w:themeColor="text2"/>
                                <w:sz w:val="18"/>
                                <w:u w:val="single"/>
                              </w:rPr>
                              <w:t>ERIC-BBMRI</w:t>
                            </w:r>
                            <w:r>
                              <w:rPr>
                                <w:color w:val="44546A" w:themeColor="text2"/>
                                <w:sz w:val="18"/>
                              </w:rPr>
                              <w:t xml:space="preserve"> héberge la plus grande biobanque d’échantillons humains au monde. Elle collabore avec d’autres grandes infrastructures de recherche dans le domaine de la santé, telles que l’ERIC Euro-Bioimaging et l’ERIC Instruct, qui aident à la mise en place de réactions rapides aux défis sanitaires mondiaux.</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B70B7CE" id="Text Box 1" o:spid="_x0000_s1027" type="#_x0000_t202" style="position:absolute;left:0;text-align:left;margin-left:230.6pt;margin-top:146.6pt;width:238pt;height:54.35pt;z-index:25165825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" stroked="f">
                <v:textbox inset="0,0,0,0">
                  <w:txbxContent>
                    <w:p w14:paraId="3D060EB3" w14:textId="1F159FAD" w:rsidR="006C5921" w:rsidRPr="008543DF" w:rsidRDefault="006C5921" w:rsidP="006C5921">
                      <w:pPr>
                        <w:jc w:val="both"/>
                        <w:rPr>
                          <w:color w:val="44546A" w:themeColor="text2"/>
                          <w:sz w:val="16"/>
                          <w:szCs w:val="16"/>
                        </w:rPr>
                      </w:pPr>
                      <w:r>
                        <w:rPr>
                          <w:color w:val="44546A" w:themeColor="text2"/>
                          <w:sz w:val="18"/>
                        </w:rPr>
                        <w:t>L’</w:t>
                      </w:r>
                      <w:r>
                        <w:rPr>
                          <w:color w:val="44546A" w:themeColor="text2"/>
                          <w:sz w:val="18"/>
                          <w:u w:val="single"/>
                        </w:rPr>
                        <w:t>ERIC-BBMRI</w:t>
                      </w:r>
                      <w:r>
                        <w:rPr>
                          <w:color w:val="44546A" w:themeColor="text2"/>
                          <w:sz w:val="18"/>
                        </w:rPr>
                        <w:t xml:space="preserve"> héberge la plus grande biobanque d’échantillons humains au monde. Elle collabore avec d’autres grandes infrastructures de recherche dans le domaine de la santé, telles que l’ERIC Euro-Bioimaging et l’ERIC Instruct, qui aident à la mise en place de réactions rapides aux défis sanitaires mondiaux.</w:t>
                      </w:r>
                    </w:p>
                  </w:txbxContent>
                </v:textbox>
                <w10:wrap type="through"/>
              </v:shape>
            </w:pict>
          </mc:Fallback>
        </mc:AlternateContent>
      </w:r>
      <w:r>
        <w:rPr>
          <w:noProof/>
          <w:lang w:val="en-GB"/>
        </w:rPr>
        <mc:AlternateContent>
          <mc:Choice Requires="wps">
            <w:drawing>
              <wp:anchor distT="0" distB="0" distL="114300" distR="114300" simplePos="0" relativeHeight="251658245" behindDoc="0" locked="0" layoutInCell="1" allowOverlap="1" wp14:anchorId="6E14AD34" wp14:editId="2A458A9E">
                <wp:simplePos x="0" y="0"/>
                <wp:positionH relativeFrom="margin">
                  <wp:align>left</wp:align>
                </wp:positionH>
                <wp:positionV relativeFrom="paragraph">
                  <wp:posOffset>4391025</wp:posOffset>
                </wp:positionV>
                <wp:extent cx="2709545" cy="828675"/>
                <wp:effectExtent l="0" t="0" r="0" b="9525"/>
                <wp:wrapTopAndBottom/>
                <wp:docPr id="483884639" name="Text Box 1"/>
                <wp:cNvGraphicFramePr/>
                <a:graphic xmlns:a="http://schemas.openxmlformats.org/drawingml/2006/main">
                  <a:graphicData uri="http://schemas.microsoft.com/office/word/2010/wordprocessingShape">
                    <wps:wsp>
                      <wps:cNvSpPr txBox="1"/>
                      <wps:spPr>
                        <a:xfrm>
                          <a:off x="0" y="0"/>
                          <a:ext cx="2709545" cy="828675"/>
                        </a:xfrm>
                        <a:prstGeom prst="rect">
                          <a:avLst/>
                        </a:prstGeom>
                        <a:solidFill>
                          <a:prstClr val="white"/>
                        </a:solidFill>
                        <a:ln>
                          <a:noFill/>
                        </a:ln>
                      </wps:spPr>
                      <wps:txbx>
                        <w:txbxContent>
                          <w:p w14:paraId="2C6EC6B0" w14:textId="1B9B83FF" w:rsidR="006C5921" w:rsidRPr="003314B2" w:rsidRDefault="006C5921" w:rsidP="006C5921">
                            <w:pPr>
                              <w:pStyle w:val="Caption"/>
                              <w:jc w:val="both"/>
                              <w:rPr>
                                <w:i w:val="0"/>
                                <w:iCs w:val="0"/>
                                <w:noProof/>
                                <w:sz w:val="22"/>
                                <w:szCs w:val="22"/>
                              </w:rPr>
                            </w:pPr>
                            <w:r>
                              <w:rPr>
                                <w:i w:val="0"/>
                              </w:rPr>
                              <w:t xml:space="preserve">Le réseau d’infrastructures de recherche </w:t>
                            </w:r>
                            <w:r>
                              <w:rPr>
                                <w:i w:val="0"/>
                                <w:u w:val="single"/>
                              </w:rPr>
                              <w:t>INTERACT</w:t>
                            </w:r>
                            <w:r>
                              <w:rPr>
                                <w:i w:val="0"/>
                              </w:rPr>
                              <w:t xml:space="preserve">, qui regroupe 90 stations de recherche, facilite la collaboration scientifique internationale dans la région arctique, stratégiquement sensible, parallèlement à un réseau en expansion d’installations complémentaires telles que des navires de recherche brise-glace et des carothèque d’archives glaciaires et sédimentaires.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E14AD34" id="_x0000_s1028" type="#_x0000_t202" style="position:absolute;left:0;text-align:left;margin-left:0;margin-top:345.75pt;width:213.35pt;height:65.25pt;z-index:251658245;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" stroked="f">
                <v:textbox inset="0,0,0,0">
                  <w:txbxContent>
                    <w:p w14:paraId="2C6EC6B0" w14:textId="1B9B83FF" w:rsidR="006C5921" w:rsidRPr="003314B2" w:rsidRDefault="006C5921" w:rsidP="006C5921">
                      <w:pPr>
                        <w:pStyle w:val="Caption"/>
                        <w:jc w:val="both"/>
                        <w:rPr>
                          <w:i w:val="0"/>
                          <w:iCs w:val="0"/>
                          <w:noProof/>
                          <w:sz w:val="22"/>
                          <w:szCs w:val="22"/>
                        </w:rPr>
                      </w:pPr>
                      <w:r>
                        <w:rPr>
                          <w:i w:val="0"/>
                        </w:rPr>
                        <w:t xml:space="preserve">Le réseau d’infrastructures de recherche </w:t>
                      </w:r>
                      <w:r>
                        <w:rPr>
                          <w:i w:val="0"/>
                          <w:u w:val="single"/>
                        </w:rPr>
                        <w:t>INTERACT</w:t>
                      </w:r>
                      <w:r>
                        <w:rPr>
                          <w:i w:val="0"/>
                        </w:rPr>
                        <w:t xml:space="preserve">, qui regroupe 90 stations de recherche, facilite la collaboration scientifique internationale dans la région arctique, stratégiquement sensible, parallèlement à un réseau en expansion d’installations complémentaires telles que des navires de recherche brise-glace et des carothèque d’archives glaciaires et sédimentaires. </w:t>
                      </w:r>
                    </w:p>
                  </w:txbxContent>
                </v:textbox>
                <w10:wrap type="topAndBottom" anchorx="margin"/>
              </v:shape>
            </w:pict>
          </mc:Fallback>
        </mc:AlternateContent>
      </w:r>
      <w:r>
        <w:rPr>
          <w:noProof/>
          <w:lang w:val="en-GB"/>
        </w:rPr>
        <w:drawing>
          <wp:anchor distT="0" distB="0" distL="114300" distR="114300" simplePos="0" relativeHeight="251658247" behindDoc="0" locked="0" layoutInCell="1" allowOverlap="1" wp14:anchorId="48E3AA70" wp14:editId="753B4A66">
            <wp:simplePos x="0" y="0"/>
            <wp:positionH relativeFrom="margin">
              <wp:align>right</wp:align>
            </wp:positionH>
            <wp:positionV relativeFrom="paragraph">
              <wp:posOffset>-47625</wp:posOffset>
            </wp:positionV>
            <wp:extent cx="2743200" cy="1724025"/>
            <wp:effectExtent l="0" t="0" r="0" b="9525"/>
            <wp:wrapTopAndBottom/>
            <wp:docPr id="1118235087" name="Picture 1" descr="Un groupe de personnes en blouses blanches&#10;&#10;Il est possible que le contenu généré par l’IA soit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8848309" name="Picture 1" descr="A group of people in white coats&#10;&#10;AI-generated content may be incorrect."/>
                    <pic:cNvPicPr/>
                  </pic:nvPicPr>
                  <pic:blipFill rotWithShape="1">
                    <a:blip r:embed="rId15" cstate="print">
                      <a:extLst>
                        <a:ext uri="{28A0092B-C50C-407E-A947-70E740481C1C}">
                          <a14:useLocalDpi xmlns:a14="http://schemas.microsoft.com/office/drawing/2010/main" val="0"/>
                        </a:ext>
                      </a:extLst>
                    </a:blip>
                    <a:srcRect/>
                    <a:stretch/>
                  </pic:blipFill>
                  <pic:spPr bwMode="auto">
                    <a:xfrm>
                      <a:off x="0" y="0"/>
                      <a:ext cx="2743200" cy="1724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GB"/>
        </w:rPr>
        <w:drawing>
          <wp:anchor distT="0" distB="0" distL="114300" distR="114300" simplePos="0" relativeHeight="251658240" behindDoc="0" locked="0" layoutInCell="1" allowOverlap="1" wp14:anchorId="7E701504" wp14:editId="327608C5">
            <wp:simplePos x="0" y="0"/>
            <wp:positionH relativeFrom="margin">
              <wp:align>right</wp:align>
            </wp:positionH>
            <wp:positionV relativeFrom="paragraph">
              <wp:posOffset>2600325</wp:posOffset>
            </wp:positionV>
            <wp:extent cx="2838450" cy="1647825"/>
            <wp:effectExtent l="0" t="0" r="0" b="9525"/>
            <wp:wrapTopAndBottom/>
            <wp:docPr id="628747523" name="Picture 5" descr="Un groupe d’hommes travaillant sur une machine&#10;&#10;Il est possible que le contenu généré par l’IA soit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8559035" name="Picture 5" descr="A group of men working on a machine&#10;&#10;AI-generated content may be incorrect."/>
                    <pic:cNvPicPr/>
                  </pic:nvPicPr>
                  <pic:blipFill rotWithShape="1">
                    <a:blip r:embed="rId16" cstate="print">
                      <a:extLst>
                        <a:ext uri="{28A0092B-C50C-407E-A947-70E740481C1C}">
                          <a14:useLocalDpi xmlns:a14="http://schemas.microsoft.com/office/drawing/2010/main" val="0"/>
                        </a:ext>
                      </a:extLst>
                    </a:blip>
                    <a:srcRect/>
                    <a:stretch/>
                  </pic:blipFill>
                  <pic:spPr bwMode="auto">
                    <a:xfrm>
                      <a:off x="0" y="0"/>
                      <a:ext cx="2838450" cy="16478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n-GB"/>
        </w:rPr>
        <mc:AlternateContent>
          <mc:Choice Requires="wps">
            <w:drawing>
              <wp:anchor distT="0" distB="0" distL="114300" distR="114300" simplePos="0" relativeHeight="251658246" behindDoc="0" locked="0" layoutInCell="1" allowOverlap="1" wp14:anchorId="23767A68" wp14:editId="13429CFC">
                <wp:simplePos x="0" y="0"/>
                <wp:positionH relativeFrom="column">
                  <wp:posOffset>2929255</wp:posOffset>
                </wp:positionH>
                <wp:positionV relativeFrom="paragraph">
                  <wp:posOffset>4361180</wp:posOffset>
                </wp:positionV>
                <wp:extent cx="2838450" cy="635"/>
                <wp:effectExtent l="0" t="0" r="0" b="0"/>
                <wp:wrapTopAndBottom/>
                <wp:docPr id="446729057" name="Text Box 1"/>
                <wp:cNvGraphicFramePr/>
                <a:graphic xmlns:a="http://schemas.openxmlformats.org/drawingml/2006/main">
                  <a:graphicData uri="http://schemas.microsoft.com/office/word/2010/wordprocessingShape">
                    <wps:wsp>
                      <wps:cNvSpPr txBox="1"/>
                      <wps:spPr>
                        <a:xfrm>
                          <a:off x="0" y="0"/>
                          <a:ext cx="2838450" cy="635"/>
                        </a:xfrm>
                        <a:prstGeom prst="rect">
                          <a:avLst/>
                        </a:prstGeom>
                        <a:solidFill>
                          <a:prstClr val="white"/>
                        </a:solidFill>
                        <a:ln>
                          <a:noFill/>
                        </a:ln>
                      </wps:spPr>
                      <wps:txbx>
                        <w:txbxContent>
                          <w:p w14:paraId="30C929BA" w14:textId="38238070" w:rsidR="006C5921" w:rsidRPr="003314B2" w:rsidRDefault="006C5921" w:rsidP="006C5921">
                            <w:pPr>
                              <w:pStyle w:val="Caption"/>
                              <w:jc w:val="both"/>
                              <w:rPr>
                                <w:i w:val="0"/>
                                <w:iCs w:val="0"/>
                              </w:rPr>
                            </w:pPr>
                            <w:r>
                              <w:rPr>
                                <w:i w:val="0"/>
                                <w:u w:val="single"/>
                              </w:rPr>
                              <w:t>KM3NeT</w:t>
                            </w:r>
                            <w:r>
                              <w:rPr>
                                <w:i w:val="0"/>
                              </w:rPr>
                              <w:t xml:space="preserve"> est un télescope sous-marin situé en mer Méditerranée à une profondeur de 3,5 km. Il utilise des réseaux de capteurs optiques immergés dans l’eau de mer pour détecter des neutrinos cosmiques de haute énergie. En 2023, il a détecté le neutrino le plus énergétique jamais enregistré, une étape importante pour la physique fondamentale.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 w14:anchorId="23767A68" id="_x0000_s1029" type="#_x0000_t202" style="position:absolute;left:0;text-align:left;margin-left:230.65pt;margin-top:343.4pt;width:223.5pt;height:.0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" stroked="f">
                <v:textbox style="mso-fit-shape-to-text:t" inset="0,0,0,0">
                  <w:txbxContent>
                    <w:p w14:paraId="30C929BA" w14:textId="38238070" w:rsidR="006C5921" w:rsidRPr="003314B2" w:rsidRDefault="006C5921" w:rsidP="006C5921">
                      <w:pPr>
                        <w:pStyle w:val="Caption"/>
                        <w:jc w:val="both"/>
                        <w:rPr>
                          <w:i w:val="0"/>
                          <w:iCs w:val="0"/>
                        </w:rPr>
                      </w:pPr>
                      <w:r>
                        <w:rPr>
                          <w:i w:val="0"/>
                          <w:u w:val="single"/>
                        </w:rPr>
                        <w:t>KM3NeT</w:t>
                      </w:r>
                      <w:r>
                        <w:rPr>
                          <w:i w:val="0"/>
                        </w:rPr>
                        <w:t xml:space="preserve"> est un télescope sous-marin situé en mer Méditerranée à une profondeur de 3,5 km. Il utilise des réseaux de capteurs optiques immergés dans l’eau de mer pour détecter des neutrinos cosmiques de haute énergie. En 2023, il a détecté le neutrino le plus énergétique jamais enregistré, une étape importante pour la physique fondamentale.</w:t>
                      </w:r>
                    </w:p>
                  </w:txbxContent>
                </v:textbox>
                <w10:wrap type="topAndBottom"/>
              </v:shape>
            </w:pict>
          </mc:Fallback>
        </mc:AlternateContent>
      </w:r>
      <w:r>
        <w:rPr>
          <w:noProof/>
          <w:lang w:val="en-GB"/>
        </w:rPr>
        <mc:AlternateContent>
          <mc:Choice Requires="wps">
            <w:drawing>
              <wp:anchor distT="0" distB="0" distL="114300" distR="114300" simplePos="0" relativeHeight="251658242" behindDoc="0" locked="0" layoutInCell="1" allowOverlap="1" wp14:anchorId="7D8D21AC" wp14:editId="2A51B12E">
                <wp:simplePos x="0" y="0"/>
                <wp:positionH relativeFrom="margin">
                  <wp:align>left</wp:align>
                </wp:positionH>
                <wp:positionV relativeFrom="paragraph">
                  <wp:posOffset>1838325</wp:posOffset>
                </wp:positionV>
                <wp:extent cx="2800350" cy="695325"/>
                <wp:effectExtent l="0" t="0" r="0" b="9525"/>
                <wp:wrapTopAndBottom/>
                <wp:docPr id="554683816" name="Text Box 1"/>
                <wp:cNvGraphicFramePr/>
                <a:graphic xmlns:a="http://schemas.openxmlformats.org/drawingml/2006/main">
                  <a:graphicData uri="http://schemas.microsoft.com/office/word/2010/wordprocessingShape">
                    <wps:wsp>
                      <wps:cNvSpPr txBox="1"/>
                      <wps:spPr>
                        <a:xfrm>
                          <a:off x="0" y="0"/>
                          <a:ext cx="2800350" cy="695325"/>
                        </a:xfrm>
                        <a:prstGeom prst="rect">
                          <a:avLst/>
                        </a:prstGeom>
                        <a:solidFill>
                          <a:prstClr val="white"/>
                        </a:solidFill>
                        <a:ln>
                          <a:noFill/>
                        </a:ln>
                      </wps:spPr>
                      <wps:txbx>
                        <w:txbxContent>
                          <w:p w14:paraId="30528B9B" w14:textId="77777777" w:rsidR="006C5921" w:rsidRPr="003314B2" w:rsidRDefault="006C5921" w:rsidP="006C5921">
                            <w:pPr>
                              <w:pStyle w:val="Caption"/>
                              <w:jc w:val="both"/>
                              <w:rPr>
                                <w:i w:val="0"/>
                                <w:iCs w:val="0"/>
                                <w:noProof/>
                                <w:sz w:val="22"/>
                                <w:szCs w:val="22"/>
                              </w:rPr>
                            </w:pPr>
                            <w:r>
                              <w:rPr>
                                <w:i w:val="0"/>
                              </w:rPr>
                              <w:t xml:space="preserve">Le </w:t>
                            </w:r>
                            <w:r>
                              <w:rPr>
                                <w:i w:val="0"/>
                                <w:u w:val="single"/>
                              </w:rPr>
                              <w:t>CERN</w:t>
                            </w:r>
                            <w:r>
                              <w:rPr>
                                <w:i w:val="0"/>
                              </w:rPr>
                              <w:t>, première infrastructure de recherche européenne créée en 1954, est le plus prestigieux laboratoire au monde dans le domaine de la physique des particules, où collaborent des scientifiques de plus de 100 pays. Il est également connu pour avoir donné naissance au World Wide Web.</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8D21AC" id="_x0000_s1030" type="#_x0000_t202" style="position:absolute;left:0;text-align:left;margin-left:0;margin-top:144.75pt;width:220.5pt;height:54.75pt;z-index:25165824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" stroked="f">
                <v:textbox inset="0,0,0,0">
                  <w:txbxContent>
                    <w:p w14:paraId="30528B9B" w14:textId="77777777" w:rsidR="006C5921" w:rsidRPr="003314B2" w:rsidRDefault="006C5921" w:rsidP="006C5921">
                      <w:pPr>
                        <w:pStyle w:val="Caption"/>
                        <w:jc w:val="both"/>
                        <w:rPr>
                          <w:i w:val="0"/>
                          <w:iCs w:val="0"/>
                          <w:noProof/>
                          <w:sz w:val="22"/>
                          <w:szCs w:val="22"/>
                        </w:rPr>
                      </w:pPr>
                      <w:r>
                        <w:rPr>
                          <w:i w:val="0"/>
                        </w:rPr>
                        <w:t xml:space="preserve">Le </w:t>
                      </w:r>
                      <w:r>
                        <w:rPr>
                          <w:i w:val="0"/>
                          <w:u w:val="single"/>
                        </w:rPr>
                        <w:t>CERN</w:t>
                      </w:r>
                      <w:r>
                        <w:rPr>
                          <w:i w:val="0"/>
                        </w:rPr>
                        <w:t>, première infrastructure de recherche européenne créée en 1954, est le plus prestigieux laboratoire au monde dans le domaine de la physique des particules, où collaborent des scientifiques de plus de 100 pays. Il est également connu pour avoir donné naissance au World Wide Web.</w:t>
                      </w:r>
                    </w:p>
                  </w:txbxContent>
                </v:textbox>
                <w10:wrap type="topAndBottom" anchorx="margin"/>
              </v:shape>
            </w:pict>
          </mc:Fallback>
        </mc:AlternateContent>
      </w:r>
      <w:r>
        <w:rPr>
          <w:noProof/>
          <w:lang w:val="en-GB"/>
        </w:rPr>
        <w:drawing>
          <wp:anchor distT="0" distB="0" distL="114300" distR="114300" simplePos="0" relativeHeight="251658241" behindDoc="0" locked="0" layoutInCell="1" allowOverlap="1" wp14:anchorId="1B07088E" wp14:editId="729AA9EE">
            <wp:simplePos x="0" y="0"/>
            <wp:positionH relativeFrom="margin">
              <wp:posOffset>-29210</wp:posOffset>
            </wp:positionH>
            <wp:positionV relativeFrom="paragraph">
              <wp:posOffset>2610485</wp:posOffset>
            </wp:positionV>
            <wp:extent cx="2709545" cy="1704975"/>
            <wp:effectExtent l="0" t="0" r="0" b="9525"/>
            <wp:wrapTopAndBottom/>
            <wp:docPr id="133290171" name="Picture 4" descr="Une maison en bois sur une côte rocheuse&#10;&#10;Il est possible que le contenu généré par l’IA soit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8155025" name="Picture 4" descr="A wooden house on a rocky shore&#10;&#10;AI-generated content may be incorrect."/>
                    <pic:cNvPicPr/>
                  </pic:nvPicPr>
                  <pic:blipFill rotWithShape="1">
                    <a:blip r:embed="rId17" cstate="print">
                      <a:extLst>
                        <a:ext uri="{28A0092B-C50C-407E-A947-70E740481C1C}">
                          <a14:useLocalDpi xmlns:a14="http://schemas.microsoft.com/office/drawing/2010/main" val="0"/>
                        </a:ext>
                      </a:extLst>
                    </a:blip>
                    <a:srcRect b="-5"/>
                    <a:stretch/>
                  </pic:blipFill>
                  <pic:spPr bwMode="auto">
                    <a:xfrm>
                      <a:off x="0" y="0"/>
                      <a:ext cx="2709545" cy="17049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t>Pour d’autres exemples d’infrastructures paneuropéennes, voir: https://ri-portfolio.esfri.eu/</w:t>
      </w:r>
      <w:r w:rsidRPr="006C5921">
        <w:rPr>
          <w:noProof/>
          <w:vertAlign w:val="superscript"/>
          <w:lang w:val="en-IE"/>
        </w:rPr>
        <w:footnoteReference w:id="3"/>
      </w:r>
      <w:r>
        <w:rPr>
          <w:noProof/>
          <w:lang w:val="en-GB"/>
        </w:rPr>
        <w:drawing>
          <wp:anchor distT="0" distB="0" distL="114300" distR="114300" simplePos="0" relativeHeight="251658250" behindDoc="0" locked="0" layoutInCell="1" allowOverlap="1" wp14:anchorId="66162BF4" wp14:editId="7BA11551">
            <wp:simplePos x="0" y="0"/>
            <wp:positionH relativeFrom="margin">
              <wp:align>left</wp:align>
            </wp:positionH>
            <wp:positionV relativeFrom="paragraph">
              <wp:posOffset>-55245</wp:posOffset>
            </wp:positionV>
            <wp:extent cx="2728913" cy="1819275"/>
            <wp:effectExtent l="0" t="0" r="0" b="0"/>
            <wp:wrapTopAndBottom/>
            <wp:docPr id="53293421" name="Picture 2" descr="Vue panoramique d’un tunnel&#10;&#10;Il est possible que le contenu généré par l’IA soit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874231" name="Picture 2" descr="A long shot of a tunnel&#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728913" cy="1819275"/>
                    </a:xfrm>
                    <a:prstGeom prst="rect">
                      <a:avLst/>
                    </a:prstGeom>
                  </pic:spPr>
                </pic:pic>
              </a:graphicData>
            </a:graphic>
            <wp14:sizeRelH relativeFrom="page">
              <wp14:pctWidth>0</wp14:pctWidth>
            </wp14:sizeRelH>
            <wp14:sizeRelV relativeFrom="page">
              <wp14:pctHeight>0</wp14:pctHeight>
            </wp14:sizeRelV>
          </wp:anchor>
        </w:drawing>
      </w:r>
    </w:p>
    <w:p w14:paraId="0A4D9A8A" w14:textId="77777777" w:rsidR="006C5921" w:rsidRPr="00741A43" w:rsidRDefault="006C5921" w:rsidP="003E27D0">
      <w:pPr>
        <w:pStyle w:val="Text2"/>
        <w:spacing w:after="120"/>
        <w:ind w:left="0"/>
        <w:rPr>
          <w:noProof/>
        </w:rPr>
      </w:pPr>
    </w:p>
    <w:p w14:paraId="33CB8558" w14:textId="418650C3" w:rsidR="003C7C83" w:rsidRPr="00D32869" w:rsidRDefault="003C7C83" w:rsidP="00176C42">
      <w:pPr>
        <w:pStyle w:val="Text2"/>
        <w:spacing w:after="120"/>
        <w:ind w:left="0"/>
        <w:rPr>
          <w:b/>
          <w:bCs/>
          <w:i/>
          <w:iCs/>
          <w:noProof/>
          <w:u w:val="single"/>
        </w:rPr>
      </w:pPr>
      <w:r>
        <w:rPr>
          <w:b/>
          <w:i/>
          <w:noProof/>
          <w:u w:val="single"/>
        </w:rPr>
        <w:t>Infrastructures technologiques</w:t>
      </w:r>
    </w:p>
    <w:p w14:paraId="67FE0D53" w14:textId="041BD953" w:rsidR="00D40F4F" w:rsidRPr="00D32869" w:rsidRDefault="00D40F4F" w:rsidP="008543DF">
      <w:pPr>
        <w:jc w:val="both"/>
        <w:rPr>
          <w:noProof/>
        </w:rPr>
      </w:pPr>
      <w:r>
        <w:rPr>
          <w:noProof/>
        </w:rPr>
        <w:t xml:space="preserve">Parallèlement aux infrastructures de recherche, un environnement émergent d’infrastructures technologiques, tant dans le domaine civil que militaire, vient compléter une gamme d’installations et de services qui soutiennent le développement, l’essai, la validation et la mise à l’échelle des technologies, accélérant ainsi l’adoption des résultats de la recherche par le marché. </w:t>
      </w:r>
    </w:p>
    <w:p w14:paraId="53016DFD" w14:textId="3B6D06CA" w:rsidR="00D40F4F" w:rsidRDefault="39794B2F" w:rsidP="008543DF">
      <w:pPr>
        <w:pStyle w:val="Text2"/>
        <w:spacing w:before="120" w:after="120"/>
        <w:ind w:left="0"/>
        <w:rPr>
          <w:noProof/>
        </w:rPr>
      </w:pPr>
      <w:r>
        <w:rPr>
          <w:noProof/>
        </w:rPr>
        <w:t>Les infrastructures technologiques</w:t>
      </w:r>
      <w:r w:rsidR="0057767D">
        <w:rPr>
          <w:rStyle w:val="FootnoteReference"/>
          <w:noProof/>
        </w:rPr>
        <w:footnoteReference w:id="4"/>
      </w:r>
      <w:r>
        <w:rPr>
          <w:noProof/>
        </w:rPr>
        <w:t xml:space="preserve"> sont des installations, des équipements, des capacités et des ressources nécessaires au développement, à l’essai, à la mise à l’échelle et à la validation de technologies. Elles comprennent, entre autres, des bancs d’essai, des lignes pilotes, des installations pilotes et de démonstration, des salles blanches et des laboratoires vivants. Leur objectif principal est de permettre et d’accélérer les innovations technologiques en vue de leur adoption par la société et le marché, afin de stimuler la compétitivité industrielle. La principale valeur ajoutée des infrastructures technologiques réside dans la possibilité pour les entreprises de réduire les risques liés à leurs investissements en R&amp;D&amp;I avant la mise sur le marché et de tester et valider leurs idées et concepts afin d’accélérer leur pénétration à l’échelle commerciale. </w:t>
      </w:r>
    </w:p>
    <w:p w14:paraId="716E881A" w14:textId="77777777" w:rsidR="009E0264" w:rsidRPr="00D32869" w:rsidRDefault="009E0264" w:rsidP="008543DF">
      <w:pPr>
        <w:pStyle w:val="Text2"/>
        <w:spacing w:before="120" w:after="120"/>
        <w:ind w:left="0"/>
        <w:rPr>
          <w:noProof/>
        </w:rPr>
      </w:pPr>
    </w:p>
    <w:tbl>
      <w:tblPr>
        <w:tblStyle w:val="TableGrid"/>
        <w:tblW w:w="9714" w:type="dxa"/>
        <w:tblInd w:w="-294" w:type="dxa"/>
        <w:tblLayout w:type="fixed"/>
        <w:tblLook w:val="04A0" w:firstRow="1" w:lastRow="0" w:firstColumn="1" w:lastColumn="0" w:noHBand="0" w:noVBand="1"/>
      </w:tblPr>
      <w:tblGrid>
        <w:gridCol w:w="4679"/>
        <w:gridCol w:w="5035"/>
      </w:tblGrid>
      <w:tr w:rsidR="2E033EC2" w:rsidRPr="00D32869" w14:paraId="3D957216" w14:textId="016C355B" w:rsidTr="003C6D9C">
        <w:trPr>
          <w:trHeight w:val="270"/>
        </w:trPr>
        <w:tc>
          <w:tcPr>
            <w:tcW w:w="9714" w:type="dxa"/>
            <w:gridSpan w:val="2"/>
            <w:tcBorders>
              <w:top w:val="single" w:sz="8" w:space="0" w:color="auto"/>
              <w:left w:val="single" w:sz="8" w:space="0" w:color="auto"/>
              <w:bottom w:val="none" w:sz="4" w:space="0" w:color="000000" w:themeColor="text1"/>
              <w:right w:val="single" w:sz="8" w:space="0" w:color="auto"/>
            </w:tcBorders>
            <w:tcMar>
              <w:left w:w="108" w:type="dxa"/>
              <w:right w:w="108" w:type="dxa"/>
            </w:tcMar>
          </w:tcPr>
          <w:p w14:paraId="240FF802" w14:textId="77777777" w:rsidR="2E033EC2" w:rsidRDefault="2E033EC2" w:rsidP="00D533F1">
            <w:pPr>
              <w:rPr>
                <w:b/>
                <w:bCs/>
                <w:noProof/>
              </w:rPr>
            </w:pPr>
            <w:r>
              <w:rPr>
                <w:b/>
                <w:noProof/>
              </w:rPr>
              <w:t>Exemples d’infrastructures technologiques</w:t>
            </w:r>
          </w:p>
          <w:p w14:paraId="1ECEA57C" w14:textId="104CFB13" w:rsidR="004E6C6C" w:rsidRPr="00D32869" w:rsidRDefault="004E6C6C" w:rsidP="00D533F1">
            <w:pPr>
              <w:rPr>
                <w:noProof/>
              </w:rPr>
            </w:pPr>
          </w:p>
        </w:tc>
      </w:tr>
      <w:tr w:rsidR="2E033EC2" w:rsidRPr="00D32869" w14:paraId="4FF2E816" w14:textId="55A5F2BA" w:rsidTr="003E7F72">
        <w:trPr>
          <w:trHeight w:val="4573"/>
        </w:trPr>
        <w:tc>
          <w:tcPr>
            <w:tcW w:w="4679" w:type="dxa"/>
            <w:tcBorders>
              <w:top w:val="none" w:sz="4" w:space="0" w:color="000000" w:themeColor="text1"/>
              <w:left w:val="single" w:sz="8" w:space="0" w:color="000000" w:themeColor="text1"/>
              <w:bottom w:val="none" w:sz="12" w:space="0" w:color="000000" w:themeColor="text1"/>
              <w:right w:val="none" w:sz="8" w:space="0" w:color="000000" w:themeColor="text1"/>
            </w:tcBorders>
            <w:tcMar>
              <w:left w:w="108" w:type="dxa"/>
              <w:right w:w="108" w:type="dxa"/>
            </w:tcMar>
          </w:tcPr>
          <w:p w14:paraId="39786A5A" w14:textId="77777777" w:rsidR="004E6C6C" w:rsidRDefault="45947330" w:rsidP="003E7F72">
            <w:pPr>
              <w:jc w:val="center"/>
              <w:rPr>
                <w:noProof/>
                <w:color w:val="1F3864" w:themeColor="accent5" w:themeShade="80"/>
                <w:sz w:val="19"/>
                <w:szCs w:val="19"/>
              </w:rPr>
            </w:pPr>
            <w:r>
              <w:rPr>
                <w:noProof/>
                <w:lang w:val="en-GB"/>
              </w:rPr>
              <w:drawing>
                <wp:inline distT="0" distB="0" distL="0" distR="0" wp14:anchorId="44770EEF" wp14:editId="2977FADB">
                  <wp:extent cx="2743200" cy="1965960"/>
                  <wp:effectExtent l="0" t="0" r="0" b="0"/>
                  <wp:docPr id="1267660184" name="Picture 1267660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7660184"/>
                          <pic:cNvPicPr/>
                        </pic:nvPicPr>
                        <pic:blipFill>
                          <a:blip r:embed="rId19">
                            <a:extLst>
                              <a:ext uri="{28A0092B-C50C-407E-A947-70E740481C1C}">
                                <a14:useLocalDpi xmlns:a14="http://schemas.microsoft.com/office/drawing/2010/main" val="0"/>
                              </a:ext>
                            </a:extLst>
                          </a:blip>
                          <a:stretch>
                            <a:fillRect/>
                          </a:stretch>
                        </pic:blipFill>
                        <pic:spPr>
                          <a:xfrm>
                            <a:off x="0" y="0"/>
                            <a:ext cx="2749031" cy="1970139"/>
                          </a:xfrm>
                          <a:prstGeom prst="rect">
                            <a:avLst/>
                          </a:prstGeom>
                        </pic:spPr>
                      </pic:pic>
                    </a:graphicData>
                  </a:graphic>
                </wp:inline>
              </w:drawing>
            </w:r>
          </w:p>
          <w:p w14:paraId="2A63FE03" w14:textId="072F37B2" w:rsidR="2E033EC2" w:rsidRPr="00D32869" w:rsidRDefault="7E1AC169" w:rsidP="00D533F1">
            <w:pPr>
              <w:jc w:val="both"/>
              <w:rPr>
                <w:noProof/>
              </w:rPr>
            </w:pPr>
            <w:r>
              <w:rPr>
                <w:noProof/>
                <w:color w:val="1F3864" w:themeColor="accent5" w:themeShade="80"/>
                <w:sz w:val="19"/>
              </w:rPr>
              <w:t xml:space="preserve">Les </w:t>
            </w:r>
            <w:hyperlink r:id="rId20">
              <w:r>
                <w:rPr>
                  <w:rStyle w:val="Hyperlink"/>
                  <w:noProof/>
                  <w:color w:val="1F3864" w:themeColor="accent5" w:themeShade="80"/>
                  <w:sz w:val="19"/>
                </w:rPr>
                <w:t>salles blanches de l’Imec</w:t>
              </w:r>
            </w:hyperlink>
            <w:r>
              <w:rPr>
                <w:noProof/>
                <w:color w:val="1F3864" w:themeColor="accent5" w:themeShade="80"/>
                <w:sz w:val="19"/>
              </w:rPr>
              <w:t xml:space="preserve"> sont trois salles blanches ultramodernes (FAB1, FAB2 et FAB3) dotées d’équipements de pointe dans les nanotechnologies et les semi-conducteurs. Elles alimentent des collaborations avec des chefs de file industriels mondiaux (par exemple ASML) et soutiennent un écosystème dynamique de jeunes pousses</w:t>
            </w:r>
            <w:r>
              <w:rPr>
                <w:noProof/>
                <w:color w:val="1F3864" w:themeColor="accent5" w:themeShade="80"/>
              </w:rPr>
              <w:t>.</w:t>
            </w:r>
            <w:r>
              <w:rPr>
                <w:noProof/>
                <w:color w:val="2F5496" w:themeColor="accent5" w:themeShade="BF"/>
              </w:rPr>
              <w:t xml:space="preserve"> </w:t>
            </w:r>
          </w:p>
        </w:tc>
        <w:tc>
          <w:tcPr>
            <w:tcW w:w="5035" w:type="dxa"/>
            <w:tcBorders>
              <w:top w:val="none" w:sz="8" w:space="0" w:color="000000" w:themeColor="text1"/>
              <w:left w:val="none" w:sz="8" w:space="0" w:color="000000" w:themeColor="text1"/>
              <w:bottom w:val="none" w:sz="8" w:space="0" w:color="000000" w:themeColor="text1"/>
              <w:right w:val="single" w:sz="8" w:space="0" w:color="000000" w:themeColor="text1"/>
            </w:tcBorders>
            <w:tcMar>
              <w:left w:w="108" w:type="dxa"/>
              <w:right w:w="108" w:type="dxa"/>
            </w:tcMar>
          </w:tcPr>
          <w:p w14:paraId="0DEFC2B4" w14:textId="77777777" w:rsidR="008E6915" w:rsidRDefault="0ECBF137" w:rsidP="003E7F72">
            <w:pPr>
              <w:jc w:val="center"/>
              <w:rPr>
                <w:noProof/>
                <w:color w:val="1F3864" w:themeColor="accent5" w:themeShade="80"/>
                <w:sz w:val="19"/>
                <w:szCs w:val="19"/>
              </w:rPr>
            </w:pPr>
            <w:r>
              <w:rPr>
                <w:noProof/>
                <w:lang w:val="en-GB"/>
              </w:rPr>
              <w:drawing>
                <wp:inline distT="0" distB="0" distL="0" distR="0" wp14:anchorId="1BE82886" wp14:editId="698E7B68">
                  <wp:extent cx="2768400" cy="1965600"/>
                  <wp:effectExtent l="0" t="0" r="0" b="0"/>
                  <wp:docPr id="259018284" name="Picture 259018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768400" cy="1965600"/>
                          </a:xfrm>
                          <a:prstGeom prst="rect">
                            <a:avLst/>
                          </a:prstGeom>
                        </pic:spPr>
                      </pic:pic>
                    </a:graphicData>
                  </a:graphic>
                </wp:inline>
              </w:drawing>
            </w:r>
          </w:p>
          <w:p w14:paraId="6D16EA3F" w14:textId="14D04E7A" w:rsidR="2E033EC2" w:rsidRPr="00D32869" w:rsidRDefault="79B65078" w:rsidP="00D533F1">
            <w:pPr>
              <w:jc w:val="both"/>
              <w:rPr>
                <w:noProof/>
                <w:color w:val="1F3864" w:themeColor="accent5" w:themeShade="80"/>
                <w:sz w:val="19"/>
                <w:szCs w:val="19"/>
              </w:rPr>
            </w:pPr>
            <w:r>
              <w:rPr>
                <w:noProof/>
                <w:color w:val="1F3864" w:themeColor="accent5" w:themeShade="80"/>
                <w:sz w:val="19"/>
              </w:rPr>
              <w:t xml:space="preserve">Le </w:t>
            </w:r>
            <w:hyperlink r:id="rId22">
              <w:r>
                <w:rPr>
                  <w:noProof/>
                  <w:color w:val="1F3864" w:themeColor="accent5" w:themeShade="80"/>
                  <w:sz w:val="19"/>
                  <w:u w:val="single"/>
                </w:rPr>
                <w:t>Centre pilote de VTT Bioruukki</w:t>
              </w:r>
            </w:hyperlink>
            <w:r>
              <w:rPr>
                <w:noProof/>
                <w:color w:val="1F3864" w:themeColor="accent5" w:themeShade="80"/>
                <w:sz w:val="19"/>
                <w:u w:val="single"/>
              </w:rPr>
              <w:t xml:space="preserve"> </w:t>
            </w:r>
            <w:r>
              <w:rPr>
                <w:noProof/>
                <w:color w:val="1F3864" w:themeColor="accent5" w:themeShade="80"/>
                <w:sz w:val="19"/>
              </w:rPr>
              <w:t>pour les produits biosourcés et l’économie circulaire regroupe plusieurs installations et services consacrés aux technologies des matériaux et de la chimie et permet le développement, la mise à l’échelle et la démonstration.</w:t>
            </w:r>
          </w:p>
        </w:tc>
      </w:tr>
      <w:tr w:rsidR="2E033EC2" w:rsidRPr="00D32869" w14:paraId="724B7300" w14:textId="605A7815" w:rsidTr="003E7F72">
        <w:trPr>
          <w:trHeight w:val="4672"/>
        </w:trPr>
        <w:tc>
          <w:tcPr>
            <w:tcW w:w="4679" w:type="dxa"/>
            <w:tcBorders>
              <w:top w:val="none" w:sz="12" w:space="0" w:color="000000" w:themeColor="text1"/>
              <w:left w:val="single" w:sz="8" w:space="0" w:color="auto"/>
              <w:bottom w:val="single" w:sz="8" w:space="0" w:color="auto"/>
              <w:right w:val="nil"/>
            </w:tcBorders>
            <w:tcMar>
              <w:left w:w="108" w:type="dxa"/>
              <w:right w:w="108" w:type="dxa"/>
            </w:tcMar>
          </w:tcPr>
          <w:p w14:paraId="0F3DE5BB" w14:textId="77777777" w:rsidR="003E7F72" w:rsidRDefault="1CAD1A08" w:rsidP="003E7F72">
            <w:pPr>
              <w:jc w:val="center"/>
              <w:rPr>
                <w:noProof/>
                <w:color w:val="1F3864" w:themeColor="accent5" w:themeShade="80"/>
                <w:sz w:val="19"/>
                <w:szCs w:val="19"/>
              </w:rPr>
            </w:pPr>
            <w:r>
              <w:rPr>
                <w:noProof/>
                <w:lang w:val="en-GB"/>
              </w:rPr>
              <w:drawing>
                <wp:inline distT="0" distB="0" distL="0" distR="0" wp14:anchorId="10F2804C" wp14:editId="1A213B78">
                  <wp:extent cx="2685600" cy="1965600"/>
                  <wp:effectExtent l="0" t="0" r="635" b="0"/>
                  <wp:docPr id="1922062481" name="Picture 1922062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2062481"/>
                          <pic:cNvPicPr/>
                        </pic:nvPicPr>
                        <pic:blipFill>
                          <a:blip r:embed="rId23">
                            <a:extLst>
                              <a:ext uri="{28A0092B-C50C-407E-A947-70E740481C1C}">
                                <a14:useLocalDpi xmlns:a14="http://schemas.microsoft.com/office/drawing/2010/main" val="0"/>
                              </a:ext>
                            </a:extLst>
                          </a:blip>
                          <a:stretch>
                            <a:fillRect/>
                          </a:stretch>
                        </pic:blipFill>
                        <pic:spPr>
                          <a:xfrm>
                            <a:off x="0" y="0"/>
                            <a:ext cx="2685600" cy="1965600"/>
                          </a:xfrm>
                          <a:prstGeom prst="rect">
                            <a:avLst/>
                          </a:prstGeom>
                        </pic:spPr>
                      </pic:pic>
                    </a:graphicData>
                  </a:graphic>
                </wp:inline>
              </w:drawing>
            </w:r>
          </w:p>
          <w:p w14:paraId="27932288" w14:textId="549FBDB7" w:rsidR="2E033EC2" w:rsidRPr="00D32869" w:rsidRDefault="163FBA50" w:rsidP="003E7F72">
            <w:pPr>
              <w:jc w:val="both"/>
              <w:rPr>
                <w:noProof/>
                <w:color w:val="1F3864" w:themeColor="accent5" w:themeShade="80"/>
                <w:sz w:val="19"/>
                <w:szCs w:val="19"/>
              </w:rPr>
            </w:pPr>
            <w:r>
              <w:rPr>
                <w:noProof/>
                <w:color w:val="1F3864" w:themeColor="accent5" w:themeShade="80"/>
                <w:sz w:val="19"/>
              </w:rPr>
              <w:t xml:space="preserve">Le </w:t>
            </w:r>
            <w:hyperlink r:id="rId24">
              <w:r>
                <w:rPr>
                  <w:noProof/>
                  <w:color w:val="1F3864" w:themeColor="accent5" w:themeShade="80"/>
                  <w:sz w:val="19"/>
                  <w:u w:val="single"/>
                </w:rPr>
                <w:t>laboratoire solaire de TNO</w:t>
              </w:r>
            </w:hyperlink>
            <w:r>
              <w:rPr>
                <w:noProof/>
                <w:color w:val="1F3864" w:themeColor="accent5" w:themeShade="80"/>
                <w:sz w:val="19"/>
                <w:u w:val="single"/>
              </w:rPr>
              <w:t xml:space="preserve"> </w:t>
            </w:r>
            <w:r>
              <w:rPr>
                <w:noProof/>
                <w:color w:val="1F3864" w:themeColor="accent5" w:themeShade="80"/>
                <w:sz w:val="19"/>
              </w:rPr>
              <w:t>est un complexe d’installations, comprenant des laboratoires de pointe et des lignes de production pilotes, qui permettent la maturation, la mise à l’échelle, le prototypage et la validation de technologies photovoltaïques solaires. Le laboratoire collabore avec de grandes entreprises, des PME et des jeunes pousses, ainsi qu’avec les pouvoirs publics, par exemple pour tester l’intégration de cellules solaires dans les revêtements routiers et les murs antibruit.</w:t>
            </w:r>
          </w:p>
        </w:tc>
        <w:tc>
          <w:tcPr>
            <w:tcW w:w="5035" w:type="dxa"/>
            <w:tcBorders>
              <w:top w:val="none" w:sz="8" w:space="0" w:color="000000" w:themeColor="text1"/>
              <w:left w:val="nil"/>
              <w:bottom w:val="single" w:sz="8" w:space="0" w:color="auto"/>
              <w:right w:val="single" w:sz="8" w:space="0" w:color="auto"/>
            </w:tcBorders>
            <w:tcMar>
              <w:left w:w="108" w:type="dxa"/>
              <w:right w:w="108" w:type="dxa"/>
            </w:tcMar>
          </w:tcPr>
          <w:p w14:paraId="0C1E0C41" w14:textId="77777777" w:rsidR="003E7F72" w:rsidRDefault="008C6EF2" w:rsidP="003E7F72">
            <w:pPr>
              <w:jc w:val="center"/>
              <w:rPr>
                <w:noProof/>
              </w:rPr>
            </w:pPr>
            <w:r>
              <w:rPr>
                <w:noProof/>
                <w:lang w:val="en-GB"/>
              </w:rPr>
              <w:drawing>
                <wp:inline distT="0" distB="0" distL="0" distR="0" wp14:anchorId="5CCAEEFB" wp14:editId="07F339A6">
                  <wp:extent cx="2732400" cy="1965600"/>
                  <wp:effectExtent l="0" t="0" r="0" b="0"/>
                  <wp:docPr id="598963664" name="Picture 598963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8963664"/>
                          <pic:cNvPicPr/>
                        </pic:nvPicPr>
                        <pic:blipFill>
                          <a:blip r:embed="rId25">
                            <a:extLst>
                              <a:ext uri="{28A0092B-C50C-407E-A947-70E740481C1C}">
                                <a14:useLocalDpi xmlns:a14="http://schemas.microsoft.com/office/drawing/2010/main" val="0"/>
                              </a:ext>
                            </a:extLst>
                          </a:blip>
                          <a:stretch>
                            <a:fillRect/>
                          </a:stretch>
                        </pic:blipFill>
                        <pic:spPr>
                          <a:xfrm>
                            <a:off x="0" y="0"/>
                            <a:ext cx="2732400" cy="1965600"/>
                          </a:xfrm>
                          <a:prstGeom prst="rect">
                            <a:avLst/>
                          </a:prstGeom>
                        </pic:spPr>
                      </pic:pic>
                    </a:graphicData>
                  </a:graphic>
                </wp:inline>
              </w:drawing>
            </w:r>
          </w:p>
          <w:p w14:paraId="79CC7F0F" w14:textId="19AE19FA" w:rsidR="2E033EC2" w:rsidRPr="00D32869" w:rsidRDefault="00AC7C9D" w:rsidP="003E7F72">
            <w:pPr>
              <w:jc w:val="both"/>
              <w:rPr>
                <w:noProof/>
                <w:color w:val="1F3864" w:themeColor="accent5" w:themeShade="80"/>
                <w:sz w:val="19"/>
                <w:szCs w:val="19"/>
              </w:rPr>
            </w:pPr>
            <w:hyperlink r:id="rId26">
              <w:r w:rsidR="7E1AC169">
                <w:rPr>
                  <w:noProof/>
                  <w:color w:val="1F3864" w:themeColor="accent5" w:themeShade="80"/>
                  <w:sz w:val="19"/>
                  <w:u w:val="single"/>
                </w:rPr>
                <w:t>ASTAZERO</w:t>
              </w:r>
            </w:hyperlink>
            <w:r w:rsidR="7E1AC169">
              <w:rPr>
                <w:noProof/>
                <w:color w:val="1F3864" w:themeColor="accent5" w:themeShade="80"/>
                <w:sz w:val="19"/>
              </w:rPr>
              <w:t xml:space="preserve"> exploite des pistes et terrains d’essai, dont la plus longue piste intérieure au monde, la DryZone, pour soutenir le développement et la validation des technologies automobiles et des systèmes de transport, depuis la phase de conception initiale jusqu’à la vérification et au suivi du rendement du produit. Les collaborations incluent de grandes entreprises (par exemple Volvo Cars, Ericsson) et un large éventail de PME</w:t>
            </w:r>
            <w:r w:rsidR="003E7F72">
              <w:rPr>
                <w:rStyle w:val="FootnoteReference"/>
                <w:noProof/>
                <w:color w:val="1F3864" w:themeColor="accent5" w:themeShade="80"/>
                <w:sz w:val="19"/>
                <w:szCs w:val="19"/>
              </w:rPr>
              <w:footnoteReference w:id="5"/>
            </w:r>
            <w:r w:rsidR="7E1AC169">
              <w:rPr>
                <w:noProof/>
                <w:color w:val="1F3864" w:themeColor="accent5" w:themeShade="80"/>
                <w:sz w:val="19"/>
              </w:rPr>
              <w:t>.</w:t>
            </w:r>
          </w:p>
          <w:p w14:paraId="41D3F693" w14:textId="6DC800A8" w:rsidR="2E033EC2" w:rsidRPr="00D32869" w:rsidRDefault="2E033EC2" w:rsidP="003E7F72">
            <w:pPr>
              <w:jc w:val="both"/>
              <w:rPr>
                <w:noProof/>
              </w:rPr>
            </w:pPr>
          </w:p>
        </w:tc>
      </w:tr>
    </w:tbl>
    <w:p w14:paraId="78E567B0" w14:textId="2AFB3F9D" w:rsidR="00D40F4F" w:rsidRPr="00D32869" w:rsidRDefault="00D40F4F" w:rsidP="00D533F1">
      <w:pPr>
        <w:pStyle w:val="Text2"/>
        <w:spacing w:after="0"/>
        <w:ind w:left="0"/>
        <w:rPr>
          <w:noProof/>
        </w:rPr>
      </w:pPr>
    </w:p>
    <w:p w14:paraId="13C7B08B" w14:textId="010DCDA0" w:rsidR="00D40F4F" w:rsidRPr="00D32869" w:rsidRDefault="00D40F4F" w:rsidP="00D40F4F">
      <w:pPr>
        <w:pStyle w:val="ContNumLevel2"/>
        <w:numPr>
          <w:ilvl w:val="0"/>
          <w:numId w:val="0"/>
        </w:numPr>
        <w:spacing w:after="120"/>
        <w:rPr>
          <w:noProof/>
        </w:rPr>
      </w:pPr>
      <w:r>
        <w:rPr>
          <w:noProof/>
        </w:rPr>
        <w:t>Il existe une multitude d’infrastructures technologiques à travers l’Union, tant dans le domaine civil que dans celui de la défense. Cependant, elles opèrent principalement au niveau des écosystèmes locaux. Le paysage est fragmenté et manque de coordination, avec peu de collaboration au niveau transrégional ou transnational. Leurs services d’expérimentation, d’essai et de validation ne sont généralement pas connus et ne sont pas accessibles au-delà de leurs écosystèmes locaux ou régionaux. Cette fragmentation empêche les chercheurs, les innovateurs et l’industrie en Europe d’avoir accès à un large éventail d’installations de classe mondiale et à des services sur mesure pour soutenir l’excellence scientifique et technologique.</w:t>
      </w:r>
    </w:p>
    <w:p w14:paraId="43DC5F43" w14:textId="629827DB" w:rsidR="00D40F4F" w:rsidRPr="00D32869" w:rsidDel="00E71A6E" w:rsidRDefault="22CCD200" w:rsidP="00D40F4F">
      <w:pPr>
        <w:pStyle w:val="ContNumLevel2"/>
        <w:numPr>
          <w:ilvl w:val="0"/>
          <w:numId w:val="0"/>
        </w:numPr>
        <w:spacing w:after="120"/>
        <w:rPr>
          <w:noProof/>
        </w:rPr>
      </w:pPr>
      <w:r>
        <w:rPr>
          <w:noProof/>
        </w:rPr>
        <w:t xml:space="preserve">Les exercices de cartographie menés ces dernières années montrent une forte concentration d’infrastructures technologiques dans certaines régions de l’Union. Par exemple, plus de 50 % des infrastructures technologiques dans le domaine des énergies propres et renouvelables sont concentrées dans seulement quatre pays (Allemagne, Espagne, France et Pays-Bas). </w:t>
      </w:r>
    </w:p>
    <w:p w14:paraId="5221F2F4" w14:textId="2C19F994" w:rsidR="00D40F4F" w:rsidRPr="00D32869" w:rsidDel="00E71A6E" w:rsidRDefault="2E0AEEC4" w:rsidP="008543DF">
      <w:pPr>
        <w:spacing w:after="120"/>
        <w:jc w:val="center"/>
        <w:rPr>
          <w:noProof/>
        </w:rPr>
      </w:pPr>
      <w:r>
        <w:rPr>
          <w:noProof/>
          <w:lang w:val="en-GB"/>
        </w:rPr>
        <w:drawing>
          <wp:inline distT="0" distB="0" distL="0" distR="0" wp14:anchorId="64BEB366" wp14:editId="105E2C5E">
            <wp:extent cx="4681300" cy="3310415"/>
            <wp:effectExtent l="0" t="0" r="5080" b="4445"/>
            <wp:docPr id="1881668925" name="Picture 1881668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668925" name="Picture 1881668925"/>
                    <pic:cNvPicPr/>
                  </pic:nvPicPr>
                  <pic:blipFill>
                    <a:blip r:embed="rId27" cstate="print">
                      <a:extLst>
                        <a:ext uri="{28A0092B-C50C-407E-A947-70E740481C1C}">
                          <a14:useLocalDpi xmlns:a14="http://schemas.microsoft.com/office/drawing/2010/main" val="0"/>
                        </a:ext>
                      </a:extLst>
                    </a:blip>
                    <a:stretch>
                      <a:fillRect/>
                    </a:stretch>
                  </pic:blipFill>
                  <pic:spPr>
                    <a:xfrm>
                      <a:off x="0" y="0"/>
                      <a:ext cx="4681300" cy="3310415"/>
                    </a:xfrm>
                    <a:prstGeom prst="rect">
                      <a:avLst/>
                    </a:prstGeom>
                  </pic:spPr>
                </pic:pic>
              </a:graphicData>
            </a:graphic>
          </wp:inline>
        </w:drawing>
      </w:r>
    </w:p>
    <w:p w14:paraId="53B409FA" w14:textId="5095DF7D" w:rsidR="00D40F4F" w:rsidRPr="00D32869" w:rsidDel="00E71A6E" w:rsidRDefault="00B46CB5" w:rsidP="22DE8D92">
      <w:pPr>
        <w:spacing w:before="120" w:after="120"/>
        <w:jc w:val="both"/>
        <w:rPr>
          <w:i/>
          <w:iCs/>
          <w:noProof/>
          <w:sz w:val="20"/>
          <w:szCs w:val="20"/>
        </w:rPr>
      </w:pPr>
      <w:r>
        <w:rPr>
          <w:rFonts w:ascii="Times New Roman Bold" w:hAnsi="Times New Roman Bold"/>
          <w:i/>
          <w:noProof/>
          <w:sz w:val="20"/>
        </w:rPr>
        <w:t xml:space="preserve">Figure 1: Répartition des infrastructures technologiques dans le domaine des énergies propres et renouvelables par région NUTS 2. </w:t>
      </w:r>
      <w:r>
        <w:rPr>
          <w:i/>
          <w:noProof/>
          <w:sz w:val="20"/>
        </w:rPr>
        <w:t xml:space="preserve">Source: </w:t>
      </w:r>
      <w:hyperlink r:id="rId28">
        <w:r>
          <w:rPr>
            <w:rStyle w:val="Hyperlink"/>
            <w:i/>
            <w:noProof/>
            <w:sz w:val="20"/>
          </w:rPr>
          <w:t>Mapping of Technology Infrastructures supporting clean and renewable energy industries in Europe</w:t>
        </w:r>
      </w:hyperlink>
      <w:r>
        <w:rPr>
          <w:i/>
          <w:noProof/>
          <w:sz w:val="20"/>
        </w:rPr>
        <w:t xml:space="preserve"> (Cartographie des infrastructures technologiques soutenant les industries des énergies propres et renouvelables en Europe), 2024</w:t>
      </w:r>
      <w:r>
        <w:rPr>
          <w:noProof/>
        </w:rPr>
        <w:t>.</w:t>
      </w:r>
    </w:p>
    <w:p w14:paraId="66A430E2" w14:textId="407857DB" w:rsidR="000F584E" w:rsidRDefault="006876EE" w:rsidP="003E27D0">
      <w:pPr>
        <w:pStyle w:val="ContNumLevel2"/>
        <w:numPr>
          <w:ilvl w:val="0"/>
          <w:numId w:val="0"/>
        </w:numPr>
        <w:spacing w:after="120"/>
        <w:rPr>
          <w:noProof/>
        </w:rPr>
      </w:pPr>
      <w:r>
        <w:rPr>
          <w:noProof/>
        </w:rPr>
        <w:t>Cette répartition inégale est plus marquée lorsqu’il s’agit d’installations qui nécessitent un investissement initial important. Par exemple, un quart des salles blanches de l’Union sont situées dans seulement cinq régions</w:t>
      </w:r>
      <w:r w:rsidR="2441CC9E" w:rsidRPr="00D32869">
        <w:rPr>
          <w:noProof/>
          <w:vertAlign w:val="superscript"/>
        </w:rPr>
        <w:footnoteReference w:id="6"/>
      </w:r>
      <w:r>
        <w:rPr>
          <w:noProof/>
        </w:rPr>
        <w:t xml:space="preserve">. Dans le même temps, il existe une très forte corrélation entre la localisation des infrastructures technologiques et celle des entreprises actives dans les mêmes technologies. Cela démontre l’importance de l’accès aux services d’infrastructure pour l’activité industrielle dans les secteurs à forte intensité technologique. </w:t>
      </w:r>
    </w:p>
    <w:p w14:paraId="36E3C8F4" w14:textId="6899A25C" w:rsidR="00D40F4F" w:rsidRPr="00907DFD" w:rsidRDefault="002E57EF" w:rsidP="00907DFD">
      <w:pPr>
        <w:pStyle w:val="Heading2"/>
        <w:spacing w:before="120"/>
        <w:rPr>
          <w:bCs/>
          <w:noProof/>
          <w:szCs w:val="24"/>
        </w:rPr>
      </w:pPr>
      <w:r>
        <w:rPr>
          <w:noProof/>
        </w:rPr>
        <w:t>Défis et nécessité d’agir</w:t>
      </w:r>
    </w:p>
    <w:p w14:paraId="1FE497F7" w14:textId="4EE9EC02" w:rsidR="00BE368D" w:rsidRDefault="001C7BC3" w:rsidP="003E27D0">
      <w:pPr>
        <w:pStyle w:val="NormalWeb"/>
        <w:jc w:val="both"/>
        <w:rPr>
          <w:noProof/>
        </w:rPr>
      </w:pPr>
      <w:r>
        <w:rPr>
          <w:noProof/>
        </w:rPr>
        <w:t>Alors que ses concurrents mondiaux intensifient leurs investissements dans des installations à grande échelle, l’Europe doit agir avec détermination. Cette stratégie européenne renouvelée pour les infrastructures de recherche et de technologie est cruciale pour conserver une longueur d’avance.</w:t>
      </w:r>
    </w:p>
    <w:p w14:paraId="1FA6AE15" w14:textId="79B7D2B4" w:rsidR="00BE368D" w:rsidRDefault="004246CD" w:rsidP="003E27D0">
      <w:pPr>
        <w:pStyle w:val="NormalWeb"/>
        <w:jc w:val="both"/>
        <w:rPr>
          <w:noProof/>
        </w:rPr>
      </w:pPr>
      <w:r>
        <w:rPr>
          <w:noProof/>
        </w:rPr>
        <w:t xml:space="preserve">Ces infrastructures sont essentielles pour répondre à des questions scientifiques complexes et interdisciplinaires, et pour exploiter le potentiel des </w:t>
      </w:r>
      <w:r>
        <w:rPr>
          <w:b/>
          <w:noProof/>
        </w:rPr>
        <w:t>technologies émergentes</w:t>
      </w:r>
      <w:r>
        <w:rPr>
          <w:noProof/>
        </w:rPr>
        <w:t xml:space="preserve"> telles que les matériaux avancés, les biotechnologies et l’IA. Elles doivent également servir un </w:t>
      </w:r>
      <w:r>
        <w:rPr>
          <w:b/>
          <w:noProof/>
        </w:rPr>
        <w:t>éventail plus large d’utilisateurs</w:t>
      </w:r>
      <w:r>
        <w:rPr>
          <w:noProof/>
        </w:rPr>
        <w:t>: petites et moyennes entreprises (PME) innovantes, jeunes pousses, entreprises en expansion et diverses communautés de recherche.</w:t>
      </w:r>
    </w:p>
    <w:p w14:paraId="58711CD1" w14:textId="77777777" w:rsidR="00BE368D" w:rsidRDefault="00BE368D" w:rsidP="003E27D0">
      <w:pPr>
        <w:pStyle w:val="NormalWeb"/>
        <w:jc w:val="both"/>
        <w:rPr>
          <w:noProof/>
        </w:rPr>
      </w:pPr>
      <w:r>
        <w:rPr>
          <w:noProof/>
        </w:rPr>
        <w:t>Pourtant, la capacité de l’Europe à construire un écosystème d’infrastructures solide est freinée:</w:t>
      </w:r>
    </w:p>
    <w:p w14:paraId="01E94857" w14:textId="67C71EA5" w:rsidR="00D40F4F" w:rsidRPr="00D32869" w:rsidRDefault="00D40F4F" w:rsidP="00D40F4F">
      <w:pPr>
        <w:pStyle w:val="ListParagraph"/>
        <w:numPr>
          <w:ilvl w:val="0"/>
          <w:numId w:val="28"/>
        </w:numPr>
        <w:ind w:left="357" w:hanging="357"/>
        <w:contextualSpacing/>
        <w:jc w:val="both"/>
        <w:rPr>
          <w:noProof/>
        </w:rPr>
      </w:pPr>
      <w:r>
        <w:rPr>
          <w:b/>
          <w:noProof/>
        </w:rPr>
        <w:t xml:space="preserve">Fragmentation des politiques et des financements au sein de l’Union: </w:t>
      </w:r>
      <w:r>
        <w:rPr>
          <w:noProof/>
        </w:rPr>
        <w:t>Alors que les infrastructures de recherche bénéficient d’une planification stratégique par l’intermédiaire de l’ESFRI, les infrastructures technologiques ne disposent pas d’une approche cohérente de l’Union en matière d’investissement. Les contraintes budgétaires, la dispersion des financements et les investissements privés limités ralentissent les progrès.</w:t>
      </w:r>
    </w:p>
    <w:p w14:paraId="6D88D665" w14:textId="79A386A1" w:rsidR="00D40F4F" w:rsidRPr="00D32869" w:rsidRDefault="00D40F4F" w:rsidP="4AAB90E8">
      <w:pPr>
        <w:pStyle w:val="ListParagraph"/>
        <w:numPr>
          <w:ilvl w:val="0"/>
          <w:numId w:val="28"/>
        </w:numPr>
        <w:ind w:left="357" w:hanging="357"/>
        <w:contextualSpacing/>
        <w:jc w:val="both"/>
        <w:rPr>
          <w:noProof/>
        </w:rPr>
      </w:pPr>
      <w:r>
        <w:rPr>
          <w:b/>
          <w:noProof/>
        </w:rPr>
        <w:t>Collaboration limitée entre les infrastructures</w:t>
      </w:r>
      <w:r>
        <w:rPr>
          <w:noProof/>
        </w:rPr>
        <w:t xml:space="preserve">: Les synergies intersectorielles et transfrontières restent sous-exploitées, ce qui limite l’accès, fait manquer des occasions et accentue les disparités régionales. </w:t>
      </w:r>
    </w:p>
    <w:p w14:paraId="3595C1A7" w14:textId="7B8BDFE0" w:rsidR="00D40F4F" w:rsidRPr="001B7EE8" w:rsidDel="00F3057A" w:rsidRDefault="00D40F4F" w:rsidP="00D40F4F">
      <w:pPr>
        <w:pStyle w:val="ListParagraph"/>
        <w:numPr>
          <w:ilvl w:val="0"/>
          <w:numId w:val="28"/>
        </w:numPr>
        <w:ind w:left="357" w:hanging="357"/>
        <w:contextualSpacing/>
        <w:jc w:val="both"/>
        <w:rPr>
          <w:noProof/>
        </w:rPr>
      </w:pPr>
      <w:r>
        <w:rPr>
          <w:b/>
          <w:noProof/>
        </w:rPr>
        <w:t xml:space="preserve">Possibilités d’accès insuffisantes et procédures d’accès complexes: </w:t>
      </w:r>
      <w:r>
        <w:rPr>
          <w:noProof/>
        </w:rPr>
        <w:t xml:space="preserve">La complexité des procédures, les coûts élevés et le manque de visibilité limitent l’accessibilité pour les chercheurs et les entreprises. C’est particulièrement le cas pour les jeunes pousses, comme le souligne la stratégie de l’UE en faveur des start-up et des scale-up.  </w:t>
      </w:r>
    </w:p>
    <w:p w14:paraId="4D32EFDF" w14:textId="3E86205F" w:rsidR="00D40F4F" w:rsidRPr="00D32869" w:rsidRDefault="00D40F4F" w:rsidP="00D40F4F">
      <w:pPr>
        <w:pStyle w:val="ListParagraph"/>
        <w:numPr>
          <w:ilvl w:val="0"/>
          <w:numId w:val="28"/>
        </w:numPr>
        <w:spacing w:after="120" w:line="259" w:lineRule="auto"/>
        <w:contextualSpacing/>
        <w:jc w:val="both"/>
        <w:rPr>
          <w:noProof/>
        </w:rPr>
      </w:pPr>
      <w:r>
        <w:rPr>
          <w:b/>
          <w:noProof/>
        </w:rPr>
        <w:t>Déficits de compétences</w:t>
      </w:r>
      <w:r>
        <w:rPr>
          <w:noProof/>
        </w:rPr>
        <w:t xml:space="preserve">: Les changements technologiques rapides et la diversification croissante de la base d’utilisateurs exigent une mise à niveau constante des compétences pour maintenir les infrastructures à la pointe du progrès, s’assurer qu’elles attirent les meilleurs talents et enrichir l’expérience de leurs partenaires. </w:t>
      </w:r>
    </w:p>
    <w:p w14:paraId="3D2F7CFD" w14:textId="3CD9B634" w:rsidR="00D40F4F" w:rsidRPr="00D32869" w:rsidRDefault="00D40F4F" w:rsidP="00D40F4F">
      <w:pPr>
        <w:pStyle w:val="ListParagraph"/>
        <w:numPr>
          <w:ilvl w:val="0"/>
          <w:numId w:val="28"/>
        </w:numPr>
        <w:spacing w:after="120" w:line="259" w:lineRule="auto"/>
        <w:contextualSpacing/>
        <w:jc w:val="both"/>
        <w:rPr>
          <w:noProof/>
        </w:rPr>
      </w:pPr>
      <w:r>
        <w:rPr>
          <w:b/>
          <w:noProof/>
        </w:rPr>
        <w:t>Potentiel inexploité de la numérisation et de l’adoption de l’IA</w:t>
      </w:r>
      <w:r>
        <w:rPr>
          <w:noProof/>
        </w:rPr>
        <w:t>: Il est nécessaire d’accroître la numérisation, le partage des données et l’utilisation de l’IA par les infrastructures pour renforcer leur fonctionnalité et leur résilience, et réduire les coûts d’exploitation et d’accès.</w:t>
      </w:r>
    </w:p>
    <w:p w14:paraId="6F90CDD4" w14:textId="33441EC5" w:rsidR="00D40F4F" w:rsidRPr="00D32869" w:rsidRDefault="00922A66" w:rsidP="003E27D0">
      <w:pPr>
        <w:pStyle w:val="ListParagraph"/>
        <w:numPr>
          <w:ilvl w:val="0"/>
          <w:numId w:val="28"/>
        </w:numPr>
        <w:spacing w:after="120" w:line="259" w:lineRule="auto"/>
        <w:contextualSpacing/>
        <w:jc w:val="both"/>
        <w:rPr>
          <w:noProof/>
        </w:rPr>
      </w:pPr>
      <w:r>
        <w:rPr>
          <w:b/>
          <w:noProof/>
        </w:rPr>
        <w:t>Obstacles à la réutilisation des données à des fins de recherche</w:t>
      </w:r>
      <w:r>
        <w:rPr>
          <w:noProof/>
        </w:rPr>
        <w:t>: L’explosion des volumes de données issues de la recherche, en particulier dans les domaines où l’IA est profondément intégrée, dépasse notre capacité à les exploiter. Il est essentiel de stocker et de gérer ces volumes croissants de données de manière efficace et sécurisée, conformément aux principes FAIR</w:t>
      </w:r>
      <w:r w:rsidR="0057767D">
        <w:rPr>
          <w:rStyle w:val="FootnoteReference"/>
          <w:noProof/>
        </w:rPr>
        <w:footnoteReference w:id="7"/>
      </w:r>
      <w:r>
        <w:rPr>
          <w:noProof/>
        </w:rPr>
        <w:t>.</w:t>
      </w:r>
      <w:r>
        <w:rPr>
          <w:b/>
          <w:noProof/>
          <w:color w:val="000000" w:themeColor="text1"/>
        </w:rPr>
        <w:t xml:space="preserve"> </w:t>
      </w:r>
    </w:p>
    <w:p w14:paraId="21352711" w14:textId="77777777" w:rsidR="00D40F4F" w:rsidRPr="00D32869" w:rsidRDefault="00D40F4F" w:rsidP="00D40F4F">
      <w:pPr>
        <w:pStyle w:val="Heading2"/>
        <w:spacing w:before="120"/>
        <w:rPr>
          <w:bCs/>
          <w:noProof/>
          <w:szCs w:val="24"/>
        </w:rPr>
      </w:pPr>
      <w:r>
        <w:rPr>
          <w:noProof/>
        </w:rPr>
        <w:t>Objectifs de la stratégie</w:t>
      </w:r>
    </w:p>
    <w:p w14:paraId="0F288421" w14:textId="1B432ADA" w:rsidR="00D40F4F" w:rsidRPr="00D32869" w:rsidRDefault="00D40F4F" w:rsidP="00D40F4F">
      <w:pPr>
        <w:pStyle w:val="Text1"/>
        <w:spacing w:after="120"/>
        <w:ind w:left="0"/>
        <w:rPr>
          <w:noProof/>
        </w:rPr>
      </w:pPr>
      <w:r>
        <w:rPr>
          <w:noProof/>
        </w:rPr>
        <w:t xml:space="preserve">L’objectif principal de la stratégie est de </w:t>
      </w:r>
      <w:r>
        <w:rPr>
          <w:b/>
          <w:noProof/>
        </w:rPr>
        <w:t>garantir que les scientifiques, les chercheurs, les innovateurs, les inventeurs et les acteurs industriels en Europe disposent d’installations de pointe facilement accessibles, de données de haute qualité et de services personnalisés</w:t>
      </w:r>
      <w:r>
        <w:rPr>
          <w:noProof/>
        </w:rPr>
        <w:t xml:space="preserve"> qui favorisent l’excellence scientifique et technologique, la compétitivité industrielle et le bien-être des personnes. Elle poursuit les objectifs suivants:</w:t>
      </w:r>
    </w:p>
    <w:p w14:paraId="2061AE5F" w14:textId="6D379C65" w:rsidR="00D40F4F" w:rsidRPr="00D32869" w:rsidRDefault="00D40F4F" w:rsidP="00D40F4F">
      <w:pPr>
        <w:pStyle w:val="Text1"/>
        <w:numPr>
          <w:ilvl w:val="0"/>
          <w:numId w:val="27"/>
        </w:numPr>
        <w:spacing w:after="120"/>
        <w:ind w:left="504" w:hanging="425"/>
        <w:rPr>
          <w:noProof/>
        </w:rPr>
      </w:pPr>
      <w:r>
        <w:rPr>
          <w:b/>
          <w:noProof/>
        </w:rPr>
        <w:t xml:space="preserve">renforcer l’écosystème européen des infrastructures de recherche et de technologie </w:t>
      </w:r>
      <w:r>
        <w:rPr>
          <w:noProof/>
        </w:rPr>
        <w:t xml:space="preserve">grâce à une approche globale du </w:t>
      </w:r>
      <w:r>
        <w:rPr>
          <w:b/>
          <w:noProof/>
        </w:rPr>
        <w:t>renforcement des capacités et de la mobilisation des investissements</w:t>
      </w:r>
      <w:r>
        <w:rPr>
          <w:noProof/>
        </w:rPr>
        <w:t>, en améliorant l’</w:t>
      </w:r>
      <w:r>
        <w:rPr>
          <w:b/>
          <w:noProof/>
        </w:rPr>
        <w:t>adéquation entre les besoins des utilisateurs et les installations</w:t>
      </w:r>
      <w:r>
        <w:rPr>
          <w:noProof/>
        </w:rPr>
        <w:t xml:space="preserve"> </w:t>
      </w:r>
      <w:r>
        <w:rPr>
          <w:b/>
          <w:noProof/>
        </w:rPr>
        <w:t>et services disponibles</w:t>
      </w:r>
      <w:r>
        <w:rPr>
          <w:noProof/>
        </w:rPr>
        <w:t xml:space="preserve">, tout en assurant la cohérence avec les priorités stratégiques de l’Union; </w:t>
      </w:r>
    </w:p>
    <w:p w14:paraId="52494DCD" w14:textId="2A8CF149" w:rsidR="00D40F4F" w:rsidRPr="00D32869" w:rsidRDefault="00D40F4F" w:rsidP="00D40F4F">
      <w:pPr>
        <w:pStyle w:val="Text1"/>
        <w:numPr>
          <w:ilvl w:val="0"/>
          <w:numId w:val="27"/>
        </w:numPr>
        <w:spacing w:after="120"/>
        <w:ind w:left="504" w:hanging="425"/>
        <w:rPr>
          <w:noProof/>
        </w:rPr>
      </w:pPr>
      <w:r>
        <w:rPr>
          <w:b/>
          <w:noProof/>
        </w:rPr>
        <w:t xml:space="preserve">favoriser l’accessibilité des infrastructures de recherche et de technologie en tant que continuum de services complémentaires </w:t>
      </w:r>
      <w:r>
        <w:rPr>
          <w:noProof/>
        </w:rPr>
        <w:t xml:space="preserve">pour les chercheurs et les entreprises innovantes, y compris les jeunes pousses et les entreprises en expansion, dans toute l’Union, afin de soutenir les avancées scientifiques et de stimuler le développement, l’essai et la validation des technologies, en accélérant leur mise à disposition pour la société et le marché; </w:t>
      </w:r>
    </w:p>
    <w:p w14:paraId="613A9B7F" w14:textId="023DEC81" w:rsidR="00D40F4F" w:rsidRPr="00D32869" w:rsidRDefault="00D40F4F" w:rsidP="00D40F4F">
      <w:pPr>
        <w:pStyle w:val="Text1"/>
        <w:numPr>
          <w:ilvl w:val="0"/>
          <w:numId w:val="27"/>
        </w:numPr>
        <w:spacing w:after="120"/>
        <w:ind w:left="504" w:hanging="425"/>
        <w:rPr>
          <w:noProof/>
        </w:rPr>
      </w:pPr>
      <w:r>
        <w:rPr>
          <w:b/>
          <w:noProof/>
        </w:rPr>
        <w:t xml:space="preserve">attirer et cultiver les talents en Europe </w:t>
      </w:r>
      <w:r>
        <w:rPr>
          <w:noProof/>
        </w:rPr>
        <w:t xml:space="preserve">grâce à des parcours professionnels solides dans les infrastructures de recherche et de technologie, depuis les techniciens jusqu’aux dirigeants scientifiques, en développant de nouvelles aptitudes et compétences, et en tirant parti de l’initiative plus large </w:t>
      </w:r>
      <w:r>
        <w:rPr>
          <w:i/>
          <w:noProof/>
        </w:rPr>
        <w:t>Choisir l’Europe</w:t>
      </w:r>
      <w:r>
        <w:rPr>
          <w:noProof/>
        </w:rPr>
        <w:t>; </w:t>
      </w:r>
    </w:p>
    <w:p w14:paraId="206C31CD" w14:textId="23A1F0EA" w:rsidR="00D40F4F" w:rsidRPr="00D32869" w:rsidRDefault="00D40F4F" w:rsidP="00D40F4F">
      <w:pPr>
        <w:pStyle w:val="Text1"/>
        <w:numPr>
          <w:ilvl w:val="0"/>
          <w:numId w:val="27"/>
        </w:numPr>
        <w:spacing w:after="120"/>
        <w:ind w:left="504" w:hanging="425"/>
        <w:rPr>
          <w:noProof/>
        </w:rPr>
      </w:pPr>
      <w:r>
        <w:rPr>
          <w:b/>
          <w:noProof/>
        </w:rPr>
        <w:t>améliorer et simplifier le cadre de gouvernance</w:t>
      </w:r>
      <w:r>
        <w:rPr>
          <w:noProof/>
        </w:rPr>
        <w:t xml:space="preserve"> des infrastructures de recherche et de technologie afin de soutenir les décisions d’investissement à long terme et de promouvoir l’alignement des priorités entre les États membres de l’Union et les parties prenantes, renforcer la coordination</w:t>
      </w:r>
      <w:r>
        <w:rPr>
          <w:b/>
          <w:noProof/>
        </w:rPr>
        <w:t xml:space="preserve"> </w:t>
      </w:r>
      <w:r>
        <w:rPr>
          <w:noProof/>
        </w:rPr>
        <w:t>entre les sources de financement</w:t>
      </w:r>
      <w:r>
        <w:rPr>
          <w:b/>
          <w:noProof/>
        </w:rPr>
        <w:t xml:space="preserve"> </w:t>
      </w:r>
      <w:r>
        <w:rPr>
          <w:noProof/>
        </w:rPr>
        <w:t>et accroître les retombées des investissements publics;</w:t>
      </w:r>
    </w:p>
    <w:p w14:paraId="71BF5711" w14:textId="2D2310FC" w:rsidR="00D40F4F" w:rsidRPr="00D32869" w:rsidRDefault="00D40F4F" w:rsidP="00D40F4F">
      <w:pPr>
        <w:pStyle w:val="Text1"/>
        <w:numPr>
          <w:ilvl w:val="0"/>
          <w:numId w:val="27"/>
        </w:numPr>
        <w:spacing w:after="120"/>
        <w:ind w:left="504" w:hanging="425"/>
        <w:rPr>
          <w:noProof/>
        </w:rPr>
      </w:pPr>
      <w:r>
        <w:rPr>
          <w:b/>
          <w:noProof/>
        </w:rPr>
        <w:t xml:space="preserve">améliorer la dimension internationale et la résilience </w:t>
      </w:r>
      <w:r>
        <w:rPr>
          <w:noProof/>
        </w:rPr>
        <w:t>des infrastructures de recherche et de technologie</w:t>
      </w:r>
      <w:r>
        <w:rPr>
          <w:b/>
          <w:noProof/>
        </w:rPr>
        <w:t xml:space="preserve"> </w:t>
      </w:r>
      <w:r>
        <w:rPr>
          <w:noProof/>
        </w:rPr>
        <w:t>grâce à une coopération avec des partenaires stratégiques qui permette de répondre aux défis sociétaux mondiaux, améliorer l’intégration des pays candidats et associés</w:t>
      </w:r>
      <w:r w:rsidR="00A03C47">
        <w:rPr>
          <w:rStyle w:val="FootnoteReference"/>
          <w:noProof/>
        </w:rPr>
        <w:footnoteReference w:id="8"/>
      </w:r>
      <w:r>
        <w:rPr>
          <w:noProof/>
        </w:rPr>
        <w:t xml:space="preserve"> dans l’EER, tout en soutenant la gestion des risques, en particulier ceux liés à l’accès aux données et aux installations critiques, et renforcer la souveraineté de l’Union dans le domaine des technologies critiques.</w:t>
      </w:r>
    </w:p>
    <w:p w14:paraId="547C1FF6" w14:textId="50B39EFA" w:rsidR="00D40F4F" w:rsidRPr="00D32869" w:rsidRDefault="00D40F4F" w:rsidP="00D40F4F">
      <w:pPr>
        <w:pStyle w:val="Heading1"/>
        <w:rPr>
          <w:noProof/>
        </w:rPr>
      </w:pPr>
      <w:r>
        <w:rPr>
          <w:noProof/>
        </w:rPr>
        <w:t xml:space="preserve">Accroître les capacités des infrastructures européennes de recherche et de technologie et mobiliser les investissements </w:t>
      </w:r>
    </w:p>
    <w:p w14:paraId="38E2F2B7" w14:textId="354F5E7A" w:rsidR="00D40F4F" w:rsidRPr="00D32869" w:rsidRDefault="00D40F4F" w:rsidP="00D40F4F">
      <w:pPr>
        <w:pStyle w:val="Text1"/>
        <w:spacing w:after="120"/>
        <w:ind w:left="0"/>
        <w:rPr>
          <w:b/>
          <w:bCs/>
          <w:i/>
          <w:iCs/>
          <w:noProof/>
          <w:szCs w:val="24"/>
          <w:u w:val="single"/>
        </w:rPr>
      </w:pPr>
      <w:r>
        <w:rPr>
          <w:b/>
          <w:i/>
          <w:noProof/>
          <w:u w:val="single"/>
        </w:rPr>
        <w:t xml:space="preserve">Renforcer les capacités – assurer l’existence d’installations de classe mondiale en Europe </w:t>
      </w:r>
    </w:p>
    <w:p w14:paraId="4DDF45CF" w14:textId="40E83A5F" w:rsidR="00A26F89" w:rsidRDefault="00A26F89" w:rsidP="00607DB8">
      <w:pPr>
        <w:pStyle w:val="Text2"/>
        <w:spacing w:after="120"/>
        <w:ind w:left="0"/>
        <w:rPr>
          <w:noProof/>
        </w:rPr>
      </w:pPr>
      <w:bookmarkStart w:id="4" w:name="_Hlk201572984"/>
      <w:r>
        <w:rPr>
          <w:noProof/>
        </w:rPr>
        <w:t>Le rapport Draghi sur l’avenir de la compétitivité de l’UE et le rapport «Align, Act, Accelerate» (Aligner, agir, accélérer) du groupe d’experts de la Commission chargé de l’évaluation intermédiaire d’Horizon Europe appellent à une augmentation substantielle des investissements dans les capacités des infrastructures de recherche et de technologie, considérées comme l’épine dorsale de la compétitivité de l’Union.</w:t>
      </w:r>
    </w:p>
    <w:p w14:paraId="5274BCE6" w14:textId="7E026832" w:rsidR="00607DB8" w:rsidRPr="003C663B" w:rsidRDefault="00D94910" w:rsidP="00607DB8">
      <w:pPr>
        <w:pStyle w:val="Text2"/>
        <w:spacing w:after="120"/>
        <w:ind w:left="0"/>
        <w:rPr>
          <w:noProof/>
        </w:rPr>
      </w:pPr>
      <w:r>
        <w:rPr>
          <w:noProof/>
        </w:rPr>
        <w:t>En particulier, l’Europe doit investir massivement dans la modernisation et la construction d’infrastructures de recherche de pointe afin d’assurer un leadership mondial dans la recherche exploratoire et de permettre des avancées technologiques décisives. Ces installations deviennent de plus en plus complexes et coûteuses. L’ampleur du financement requis dépasse les capacités d’un seul pays, et le rythme actuel de prise de décision concernant les investissements paneuropéens risque de laisser l’Europe à la traîne face à ses concurrents mondiaux. Des investissements stratégiques à grande échelle sont nécessaires pour mettre en place et maintenir ces infrastructures de pointe, afin que l’Europe</w:t>
      </w:r>
      <w:r w:rsidR="008D16B5">
        <w:rPr>
          <w:rStyle w:val="FootnoteReference"/>
          <w:noProof/>
        </w:rPr>
        <w:footnoteReference w:id="9"/>
      </w:r>
      <w:r>
        <w:rPr>
          <w:noProof/>
        </w:rPr>
        <w:t xml:space="preserve"> reste la première région de la «mégascience», qui sous-tend l’innovation «deep tech».</w:t>
      </w:r>
    </w:p>
    <w:bookmarkEnd w:id="4"/>
    <w:p w14:paraId="7D7BC693" w14:textId="1AD41621" w:rsidR="00F31C66" w:rsidRPr="00F31C66" w:rsidRDefault="00F31C66" w:rsidP="003E27D0">
      <w:pPr>
        <w:pStyle w:val="Text2"/>
        <w:spacing w:after="120"/>
        <w:ind w:left="0"/>
        <w:rPr>
          <w:noProof/>
        </w:rPr>
      </w:pPr>
      <w:r>
        <w:rPr>
          <w:noProof/>
        </w:rPr>
        <w:t>Les infrastructures de recherche ont besoin d’un développement technologique continu pour moderniser les équipements, améliorer les services et répondre aux besoins changeants des utilisateurs dans le domaine de la R&amp;I. La co-création avec l’industrie est essentielle au développement et au maintien de ces capacités. Comme le souligne le rapport de l’ESFRI sur les enjeux en matière d’énergie et d’approvisionnement</w:t>
      </w:r>
      <w:r>
        <w:rPr>
          <w:rStyle w:val="FootnoteReference"/>
          <w:noProof/>
        </w:rPr>
        <w:footnoteReference w:id="10"/>
      </w:r>
      <w:r>
        <w:rPr>
          <w:noProof/>
        </w:rPr>
        <w:t>, la résilience et la préparation aux crises nécessitent à la fois une écologisation à court terme et des investissements à long terme dans des mises à niveau technologiques.</w:t>
      </w:r>
    </w:p>
    <w:p w14:paraId="31F5326F" w14:textId="46E936B5" w:rsidR="00D40F4F" w:rsidRPr="00D32869" w:rsidRDefault="00D40F4F" w:rsidP="00D40F4F">
      <w:pPr>
        <w:pStyle w:val="Text2"/>
        <w:spacing w:after="120"/>
        <w:ind w:left="0"/>
        <w:rPr>
          <w:noProof/>
        </w:rPr>
      </w:pPr>
      <w:r>
        <w:rPr>
          <w:noProof/>
        </w:rPr>
        <w:t xml:space="preserve">La nécessité de réduire l’écart d’innovation entre l’Union et ses principaux concurrents mondiaux exige une action rapide afin de déterminer les besoins non satisfaits des entreprises innovantes de l’Union en matière de services d’infrastructures de recherche et de technologie dans les secteurs industriels et technologiques stratégiques. Répondre à ces besoins renforcera le développement de nouvelles technologies dans des domaines d’intérêt stratégique pour l’Union, en soutenant les objectifs en matière de climat et de compétitivité, les capacités de défense et la sécurité civile des citoyens. </w:t>
      </w:r>
    </w:p>
    <w:p w14:paraId="269CA5F1" w14:textId="55C61354" w:rsidR="00D40F4F" w:rsidRPr="00D32869" w:rsidRDefault="00772180" w:rsidP="00D40F4F">
      <w:pPr>
        <w:pStyle w:val="Text2"/>
        <w:spacing w:after="120"/>
        <w:ind w:left="0"/>
        <w:rPr>
          <w:noProof/>
        </w:rPr>
      </w:pPr>
      <w:r>
        <w:rPr>
          <w:noProof/>
        </w:rPr>
        <w:t>Le renforcement des capacités des infrastructures technologiques européennes est essentiel pour la mise au point de technologies clés telles que les matériaux avancés, les semi-conducteurs, les biotechnologies et les technologies quantiques. Il est également crucial pour des secteurs comme l’énergie, la santé, les transports, la connectivité et les réseaux, la métrologie, l’agriculture, l’espace ou la défense, ainsi que pour accompagner la transition vers une économie circulaire. Dans ces domaines stratégiques, l’Union aurait tout intérêt à procéder à une évaluation coordonnée des installations et des services disponibles et de leur compétitivité au niveau mondial, et à déterminer les besoins et les lacunes dans le contexte de ses priorités politiques. L’établissement de critères solides permettant de déterminer les infrastructures susceptibles d’accompagner les entreprises au-delà de leurs écosystèmes locaux permettrait de définir des priorités européennes communes et d’élaborer des feuilles de route conjointes en matière d’investissement. Ces mesures sont nécessaires pour mieux mobiliser les financements aux niveaux européen, national et régional et pour en promouvoir un meilleur alignement.</w:t>
      </w:r>
    </w:p>
    <w:p w14:paraId="6296CB51" w14:textId="38F67EF2" w:rsidR="00D40F4F" w:rsidRPr="00D32869" w:rsidRDefault="6F8BBF21" w:rsidP="00E3221B">
      <w:pPr>
        <w:pStyle w:val="Text2"/>
        <w:spacing w:after="120" w:line="259" w:lineRule="auto"/>
        <w:ind w:left="0"/>
        <w:rPr>
          <w:noProof/>
        </w:rPr>
      </w:pPr>
      <w:r>
        <w:rPr>
          <w:noProof/>
        </w:rPr>
        <w:t>Pour remédier à la fragmentation des services d’infrastructure technologique dans l’Union, il est nécessaire de renforcer la collaboration entre les organismes de recherche et de technologie, les universités et les autres opérateurs d’infrastructures afin de mettre au point des offres de services communes destinées aux entreprises innovantes dans toute l’Union. Il convient également de renforcer les liens entre les infrastructures technologiques et celles exploitées par l’industrie</w:t>
      </w:r>
      <w:r w:rsidR="0057767D">
        <w:rPr>
          <w:rStyle w:val="FootnoteReference"/>
          <w:noProof/>
        </w:rPr>
        <w:footnoteReference w:id="11"/>
      </w:r>
      <w:r>
        <w:rPr>
          <w:noProof/>
        </w:rPr>
        <w:t xml:space="preserve">, ainsi que les connexions avec d’autres espaces expérimentaux tels que les bacs à sable réglementaires et les laboratoires vivants. </w:t>
      </w:r>
    </w:p>
    <w:p w14:paraId="4E02C82E" w14:textId="77777777" w:rsidR="00D40F4F" w:rsidRPr="00D32869" w:rsidRDefault="00D40F4F" w:rsidP="00D40F4F">
      <w:pPr>
        <w:pStyle w:val="Text1"/>
        <w:keepNext/>
        <w:spacing w:after="120"/>
        <w:ind w:left="0"/>
        <w:rPr>
          <w:b/>
          <w:bCs/>
          <w:i/>
          <w:iCs/>
          <w:noProof/>
          <w:szCs w:val="24"/>
          <w:u w:val="single"/>
        </w:rPr>
      </w:pPr>
      <w:r>
        <w:rPr>
          <w:b/>
          <w:i/>
          <w:noProof/>
          <w:u w:val="single"/>
        </w:rPr>
        <w:t>Mobiliser les investissements</w:t>
      </w:r>
    </w:p>
    <w:p w14:paraId="7E4318D8" w14:textId="5CED6386" w:rsidR="00F02EAA" w:rsidRPr="00F02EAA" w:rsidRDefault="00F02EAA" w:rsidP="003E27D0">
      <w:pPr>
        <w:pStyle w:val="Text2"/>
        <w:spacing w:after="120"/>
        <w:ind w:left="0"/>
        <w:rPr>
          <w:noProof/>
        </w:rPr>
      </w:pPr>
      <w:r>
        <w:rPr>
          <w:noProof/>
        </w:rPr>
        <w:t xml:space="preserve">Le développement et le maintien des infrastructures de recherche en tant qu’atouts stratégiques pour l’excellence scientifique et la compétitivité industrielle nécessitent des investissements importants, comme indiqué dans le </w:t>
      </w:r>
      <w:hyperlink r:id="rId29" w:history="1">
        <w:r>
          <w:rPr>
            <w:rStyle w:val="Hyperlink"/>
            <w:noProof/>
          </w:rPr>
          <w:t>Pacte pour la recherche et l’innovation en Europe</w:t>
        </w:r>
      </w:hyperlink>
      <w:r>
        <w:rPr>
          <w:noProof/>
        </w:rPr>
        <w:t>. Toutefois, la lenteur des processus décisionnels en matière d’investissements dans les infrastructures de recherche paneuropéennes affaiblit la position de l’Europe sur la scène internationale. L’Union devrait jouer un rôle plus important dans le soutien aux infrastructures de pointe, aux côtés des États membres et des autres organismes de financement. Il est essentiel d’aligner plus étroitement les financements européens, nationaux et régionaux, en s’appuyant sur les orientations et les bonnes pratiques existantes.</w:t>
      </w:r>
    </w:p>
    <w:p w14:paraId="6F1D1AA4" w14:textId="14007498" w:rsidR="00F02EAA" w:rsidRPr="00F02EAA" w:rsidRDefault="00F02EAA" w:rsidP="003E27D0">
      <w:pPr>
        <w:pStyle w:val="Text2"/>
        <w:spacing w:after="120"/>
        <w:ind w:left="0"/>
        <w:rPr>
          <w:noProof/>
        </w:rPr>
      </w:pPr>
      <w:r>
        <w:rPr>
          <w:noProof/>
        </w:rPr>
        <w:t>La feuille de route de l’ESFRI et le cadre ERIC permettent des investissements conjoints, mais des défis subsistent: les ERIC distribués</w:t>
      </w:r>
      <w:r w:rsidR="005B33B3">
        <w:rPr>
          <w:noProof/>
        </w:rPr>
        <w:t xml:space="preserve"> </w:t>
      </w:r>
      <w:r>
        <w:rPr>
          <w:noProof/>
        </w:rPr>
        <w:t>ne sont pas pleinement reconnus dans les systèmes de financement nationaux, et la participation des partenaires internationaux est limitée. Ces obstacles empêchent de tirer pleinement parti du potentiel des ERIC.</w:t>
      </w:r>
    </w:p>
    <w:p w14:paraId="4A93EF4D" w14:textId="1BF35540" w:rsidR="00F02EAA" w:rsidRPr="00F02EAA" w:rsidRDefault="00F02EAA" w:rsidP="003E27D0">
      <w:pPr>
        <w:pStyle w:val="Text2"/>
        <w:spacing w:after="120"/>
        <w:ind w:left="0"/>
        <w:rPr>
          <w:noProof/>
        </w:rPr>
      </w:pPr>
      <w:r>
        <w:rPr>
          <w:noProof/>
        </w:rPr>
        <w:t>Le rapport de l’ESFRI sur le financement</w:t>
      </w:r>
      <w:r>
        <w:rPr>
          <w:rStyle w:val="FootnoteReference"/>
          <w:noProof/>
        </w:rPr>
        <w:footnoteReference w:id="12"/>
      </w:r>
      <w:r>
        <w:rPr>
          <w:noProof/>
        </w:rPr>
        <w:t xml:space="preserve"> met en évidence des lacunes dans le suivi des flux de financement et dans la prise en compte du coût total du cycle de vie des infrastructures de recherche, depuis leur construction et leur exploitation, jusqu’à leur modernisation et l’adaptation à des besoins qui évoluent. Les infrastructures distribuées sont confrontées à des défis de financement particuliers. Nombre d’entre elles contribuent également à des priorités plus larges de l’Union, telles que l’alimentation de données dans Copernicus, mais dépendent uniquement du financement de la R&amp;I, ce qui menace leur viabilité à long terme. Ces contributions devraient être prises en compte dans le financement des programmes de l’Union concernés.</w:t>
      </w:r>
    </w:p>
    <w:p w14:paraId="234E1741" w14:textId="77777777" w:rsidR="00BA0A5E" w:rsidRPr="00D32869" w:rsidRDefault="00677D0A" w:rsidP="00BA0A5E">
      <w:pPr>
        <w:pStyle w:val="Text2"/>
        <w:keepNext/>
        <w:spacing w:after="120"/>
        <w:ind w:left="0"/>
        <w:jc w:val="center"/>
        <w:rPr>
          <w:noProof/>
        </w:rPr>
      </w:pPr>
      <w:r>
        <w:rPr>
          <w:noProof/>
          <w:lang w:val="en-GB"/>
        </w:rPr>
        <w:drawing>
          <wp:inline distT="0" distB="0" distL="0" distR="0" wp14:anchorId="64E142AC" wp14:editId="4502EA66">
            <wp:extent cx="4214191" cy="3622151"/>
            <wp:effectExtent l="0" t="0" r="0" b="0"/>
            <wp:docPr id="5" name="Content Placeholder 4">
              <a:extLst xmlns:a="http://schemas.openxmlformats.org/drawingml/2006/main">
                <a:ext uri="{FF2B5EF4-FFF2-40B4-BE49-F238E27FC236}">
                  <a16:creationId xmlns:a16="http://schemas.microsoft.com/office/drawing/2014/main" id="{6330FA48-7620-E63C-9475-DCD17731DA4E}"/>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5" name="Content Placeholder 4">
                      <a:extLst>
                        <a:ext uri="{FF2B5EF4-FFF2-40B4-BE49-F238E27FC236}">
                          <a16:creationId xmlns:a16="http://schemas.microsoft.com/office/drawing/2014/main" id="{6330FA48-7620-E63C-9475-DCD17731DA4E}"/>
                        </a:ext>
                      </a:extLst>
                    </pic:cNvPr>
                    <pic:cNvPicPr>
                      <a:picLocks noGrp="1" noChangeAspect="1"/>
                    </pic:cNvPicPr>
                  </pic:nvPicPr>
                  <pic:blipFill>
                    <a:blip r:embed="rId30"/>
                    <a:stretch>
                      <a:fillRect/>
                    </a:stretch>
                  </pic:blipFill>
                  <pic:spPr>
                    <a:xfrm>
                      <a:off x="0" y="0"/>
                      <a:ext cx="4241509" cy="3645631"/>
                    </a:xfrm>
                    <a:prstGeom prst="rect">
                      <a:avLst/>
                    </a:prstGeom>
                  </pic:spPr>
                </pic:pic>
              </a:graphicData>
            </a:graphic>
          </wp:inline>
        </w:drawing>
      </w:r>
    </w:p>
    <w:p w14:paraId="1341262C" w14:textId="28E1F67D" w:rsidR="009177DD" w:rsidRPr="00D32869" w:rsidRDefault="00BA0A5E" w:rsidP="00C71944">
      <w:pPr>
        <w:pStyle w:val="Caption"/>
        <w:jc w:val="both"/>
        <w:rPr>
          <w:noProof/>
        </w:rPr>
      </w:pPr>
      <w:r>
        <w:rPr>
          <w:noProof/>
        </w:rPr>
        <w:t xml:space="preserve">La </w:t>
      </w:r>
      <w:r>
        <w:rPr>
          <w:b/>
          <w:noProof/>
          <w:sz w:val="20"/>
        </w:rPr>
        <w:t>figure 2</w:t>
      </w:r>
      <w:r>
        <w:rPr>
          <w:noProof/>
        </w:rPr>
        <w:t xml:space="preserve"> montre l’engagement des gouvernements nationaux en faveur du soutien des infrastructures de recherche dans le cadre de la feuille de route de l’ESFRI et indique l’emplacement des principales infrastructures de recherche européennes. Source: générée par les auteurs sur la base des données ESFRI.</w:t>
      </w:r>
    </w:p>
    <w:p w14:paraId="1BC6EA50" w14:textId="67A8CC6C" w:rsidR="00D84EAD" w:rsidRPr="00D32869" w:rsidRDefault="0EDFE05E" w:rsidP="574CA0A4">
      <w:pPr>
        <w:pStyle w:val="Text2"/>
        <w:spacing w:after="120" w:line="259" w:lineRule="auto"/>
        <w:ind w:left="0"/>
        <w:rPr>
          <w:noProof/>
        </w:rPr>
      </w:pPr>
      <w:r>
        <w:rPr>
          <w:noProof/>
        </w:rPr>
        <w:t xml:space="preserve">Des investissements importants ont été réalisés ces dernières années dans les infrastructures technologiques au sein de l’Union. Toutefois, des </w:t>
      </w:r>
      <w:hyperlink r:id="rId31" w:anchor="publications">
        <w:r>
          <w:rPr>
            <w:rStyle w:val="Hyperlink"/>
            <w:noProof/>
          </w:rPr>
          <w:t>études</w:t>
        </w:r>
      </w:hyperlink>
      <w:r>
        <w:rPr>
          <w:noProof/>
        </w:rPr>
        <w:t xml:space="preserve"> récentes montrent que le paysage actuel du financement de ces investissements est fragmenté et qu’il manque de vision commune et de cohérence, tant au niveau européen que national. Il existe également un écart important entre les besoins en investissement et les financements disponibles, tandis que les modèles de financement sont souvent complexes et peu fiables. Une étude récente</w:t>
      </w:r>
      <w:r w:rsidRPr="008D16B5">
        <w:rPr>
          <w:noProof/>
          <w:vertAlign w:val="superscript"/>
          <w:lang w:val="en-US"/>
        </w:rPr>
        <w:footnoteReference w:id="13"/>
      </w:r>
      <w:r>
        <w:rPr>
          <w:noProof/>
        </w:rPr>
        <w:t xml:space="preserve"> sur les besoins de financement des infrastructures technologiques dans l’Union indique que les principaux organismes européens de recherche et de technologie devront mobiliser entre 13 et 16 milliards d’euros pour des investissements en capital dans de telles infrastructures d’ici à 2030, en particulier dans les domaines de la microélectronique et des semi-conducteurs, des technologies énergétiques propres, des technologies quantiques, de l’IA et des données, de l’avionique et des technologies spatiales, de l’économie circulaire, des matériaux avancés et de la fabrication avancée. Cela représente une prévision de croissance globale d’environ 200 % par rapport aux investissements réalisés au cours des cinq dernières années, avec des taux nettement plus élevés pour certaines des technologies les plus innovantes.</w:t>
      </w:r>
    </w:p>
    <w:p w14:paraId="68C7791D" w14:textId="50534C7A" w:rsidR="072519D7" w:rsidRDefault="47D1E4E9" w:rsidP="003E27D0">
      <w:pPr>
        <w:spacing w:after="120" w:line="259" w:lineRule="auto"/>
        <w:jc w:val="center"/>
        <w:rPr>
          <w:noProof/>
        </w:rPr>
      </w:pPr>
      <w:r>
        <w:rPr>
          <w:noProof/>
          <w:lang w:val="en-GB"/>
        </w:rPr>
        <w:drawing>
          <wp:inline distT="0" distB="0" distL="0" distR="0" wp14:anchorId="615EEBB7" wp14:editId="4306C45C">
            <wp:extent cx="4963886" cy="3552665"/>
            <wp:effectExtent l="0" t="0" r="8255" b="0"/>
            <wp:docPr id="184965353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9653530"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4972867" cy="3559093"/>
                    </a:xfrm>
                    <a:prstGeom prst="rect">
                      <a:avLst/>
                    </a:prstGeom>
                  </pic:spPr>
                </pic:pic>
              </a:graphicData>
            </a:graphic>
          </wp:inline>
        </w:drawing>
      </w:r>
    </w:p>
    <w:p w14:paraId="7CFE950F" w14:textId="02594553" w:rsidR="000D5D2A" w:rsidRPr="00D32869" w:rsidRDefault="65256A5E" w:rsidP="53440870">
      <w:pPr>
        <w:pStyle w:val="Text2"/>
        <w:spacing w:after="120" w:line="259" w:lineRule="auto"/>
        <w:ind w:left="0"/>
        <w:rPr>
          <w:rFonts w:ascii="Arial" w:eastAsiaTheme="minorEastAsia" w:hAnsi="Arial" w:cs="Arial"/>
          <w:i/>
          <w:iCs/>
          <w:noProof/>
          <w:color w:val="C45911" w:themeColor="accent2" w:themeShade="BF"/>
          <w:sz w:val="16"/>
          <w:szCs w:val="16"/>
        </w:rPr>
      </w:pPr>
      <w:r>
        <w:rPr>
          <w:rFonts w:ascii="Arial" w:hAnsi="Arial"/>
          <w:b/>
          <w:i/>
          <w:noProof/>
          <w:color w:val="C45911" w:themeColor="accent2" w:themeShade="BF"/>
          <w:sz w:val="16"/>
        </w:rPr>
        <w:t xml:space="preserve">Figure 3: </w:t>
      </w:r>
      <w:r>
        <w:rPr>
          <w:rFonts w:ascii="Arial" w:hAnsi="Arial"/>
          <w:i/>
          <w:noProof/>
          <w:color w:val="C45911" w:themeColor="accent2" w:themeShade="BF"/>
          <w:sz w:val="16"/>
        </w:rPr>
        <w:t>Résultats d’une enquête sur les besoins de financement des infrastructures technologiques. Source: Technopolis Group (2025).</w:t>
      </w:r>
    </w:p>
    <w:p w14:paraId="501F5582" w14:textId="7BE49E68" w:rsidR="529AA20C" w:rsidRDefault="529AA20C" w:rsidP="7D5821A3">
      <w:pPr>
        <w:pStyle w:val="Text2"/>
        <w:spacing w:after="120" w:line="259" w:lineRule="auto"/>
        <w:ind w:left="0"/>
        <w:rPr>
          <w:noProof/>
        </w:rPr>
      </w:pPr>
      <w:r>
        <w:rPr>
          <w:noProof/>
        </w:rPr>
        <w:t xml:space="preserve">L’identification des lacunes courantes en matière de capacités et la mise en commun efficace des ressources permettant une mise en œuvre optimale des investissements nécessaires exigent une coordination et une collaboration étroites entre tous les acteurs concernés, comme cela a été fait, par exemple, pour les entreprises communes EuroHPC et Chips.  Les politiques et les actions de l’Union, d’une part, et les stratégies et programmes nationaux, d’autre part, doivent être coordonnés pour renforcer les capacités des infrastructures technologiques, assurer la cohérence des priorités stratégiques et faciliter la mise en œuvre efficace des investissements nécessaires. </w:t>
      </w:r>
    </w:p>
    <w:p w14:paraId="6E1D49BC" w14:textId="18DA1B2B" w:rsidR="00E7150F" w:rsidRPr="00D32869" w:rsidRDefault="008C75C9" w:rsidP="251D7477">
      <w:pPr>
        <w:pStyle w:val="Text2"/>
        <w:spacing w:after="120" w:line="259" w:lineRule="auto"/>
        <w:ind w:left="0"/>
        <w:rPr>
          <w:noProof/>
        </w:rPr>
      </w:pPr>
      <w:r>
        <w:rPr>
          <w:noProof/>
        </w:rPr>
        <w:t xml:space="preserve">À l’heure actuelle, les investissements en capital reposent principalement sur le financement public et sur les ressources propres des organisations d’accueil. Compte tenu des priorités concurrentes en matière de financement public, il est nécessaire, pour répondre aux besoins d’investissement, d’élargir les sources de financement afin de mobiliser tous les cadres de financement pertinents disponibles aux niveaux européen, national et régional, tant publics que privés, pour réaliser des investissements conjoints. Un renforcement du rôle du financement de l’Union devrait servir de catalyseur pour les investissements dans les infrastructures d’intérêt européen visant à combler les lacunes dans les capacités stratégiques. </w:t>
      </w:r>
    </w:p>
    <w:p w14:paraId="6A46649C" w14:textId="4BD6A57D" w:rsidR="003E27D0" w:rsidRDefault="00E7150F" w:rsidP="007E64EA">
      <w:pPr>
        <w:pStyle w:val="Text2"/>
        <w:spacing w:after="120" w:line="259" w:lineRule="auto"/>
        <w:ind w:left="0"/>
        <w:rPr>
          <w:noProof/>
        </w:rPr>
      </w:pPr>
      <w:r>
        <w:rPr>
          <w:noProof/>
        </w:rPr>
        <w:t xml:space="preserve">Pour les infrastructures technologiques, il pourrait s’agir de partenariats public-privé, dans lesquels le financement de l’UE jouerait un rôle accru, en s’appuyant sur l’expérience des lignes pilotes pour les semi-conducteurs et des fabriques d’IA, et en étendant l’utilisation des instruments financiers disponibles par l’intermédiaire du programme InvestEU et de la Banque européenne d’investissement.  Il convient également de renforcer l’intégration des priorités d’investissement dans des cadres de collaboration structurés tels que les partenariats européens et les collaborations transfrontières dans le cadre des projets importants d’intérêt européen commun (PIIEC). Les investissements dans les infrastructures deviennent plus attractifs lorsqu’ils peuvent soutenir des initiatives qui garantissent une chaîne de projets fluide, de la recherche et de l’innovation jusqu’au déploiement. Le pacte pour une industrie propre met en évidence les synergies potentielles entre le programme-cadre pour la R&amp;I et le Fonds pour l’innovation à titre d’exemple. L’amélioration des synergies entre un éventail plus large de sources de financement pour les infrastructures technologiques nécessite de la clarté et des orientations appropriées sur les règles applicables en matière d’aides d’État. Une meilleure compréhension de l’application la plus efficace des règles en matière d’aides d’État dans l’ensemble des États membres pourrait stimuler les investissements transfrontières et conjoints. La Commission pourrait faciliter l’échange d’expériences et de bonnes pratiques entre les États membres en créant une communauté de pratique et en organisant un exercice d’apprentissage mutuel. </w:t>
      </w:r>
    </w:p>
    <w:p w14:paraId="50F80D4C" w14:textId="7F0FF2E5" w:rsidR="2908A009" w:rsidRPr="003E27D0" w:rsidRDefault="009E0264" w:rsidP="007E64EA">
      <w:pPr>
        <w:pStyle w:val="Text2"/>
        <w:spacing w:after="120" w:line="259" w:lineRule="auto"/>
        <w:ind w:left="0"/>
        <w:rPr>
          <w:noProof/>
        </w:rPr>
      </w:pPr>
      <w:r>
        <w:rPr>
          <w:b/>
          <w:noProof/>
          <w:lang w:val="en-GB"/>
        </w:rPr>
        <mc:AlternateContent>
          <mc:Choice Requires="wps">
            <w:drawing>
              <wp:anchor distT="0" distB="0" distL="114300" distR="114300" simplePos="0" relativeHeight="251660302" behindDoc="1" locked="0" layoutInCell="1" allowOverlap="1" wp14:anchorId="4097D26B" wp14:editId="15781AA1">
                <wp:simplePos x="0" y="0"/>
                <wp:positionH relativeFrom="margin">
                  <wp:posOffset>-49640</wp:posOffset>
                </wp:positionH>
                <wp:positionV relativeFrom="paragraph">
                  <wp:posOffset>968927</wp:posOffset>
                </wp:positionV>
                <wp:extent cx="5868062" cy="7251590"/>
                <wp:effectExtent l="0" t="0" r="18415" b="26035"/>
                <wp:wrapNone/>
                <wp:docPr id="1539595556" name="Rectangle 3"/>
                <wp:cNvGraphicFramePr/>
                <a:graphic xmlns:a="http://schemas.openxmlformats.org/drawingml/2006/main">
                  <a:graphicData uri="http://schemas.microsoft.com/office/word/2010/wordprocessingShape">
                    <wps:wsp>
                      <wps:cNvSpPr/>
                      <wps:spPr>
                        <a:xfrm>
                          <a:off x="0" y="0"/>
                          <a:ext cx="5868062" cy="7251590"/>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a="http://schemas.openxmlformats.org/drawingml/2006/main">
            <w:pict>
              <v:rect id="Rectangle 3" style="position:absolute;margin-left:-3.9pt;margin-top:76.3pt;width:462.05pt;height:571pt;z-index:-25165617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91723 [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" w14:anchorId="3A28E400">
                <w10:wrap anchorx="margin"/>
              </v:rect>
            </w:pict>
          </mc:Fallback>
        </mc:AlternateContent>
      </w:r>
      <w:r>
        <w:rPr>
          <w:noProof/>
        </w:rPr>
        <w:t>Afin de renforcer les capacités en matière d’infrastructures de recherche et de technologie, le Centre commun de recherche prépare une série de projets phares visant à offrir aux scientifiques issus du monde universitaire et des instituts de recherche, ainsi que des petites entreprises, de l’industrie, des jeunes pousses et des entreprises en expansion, de nouvelles possibilités de développer et de tester leurs innovations dans un continuum unique allant des infrastructures de recherche aux infrastructures technologiques et bénéficiant d’une perspective européenne.</w:t>
      </w:r>
    </w:p>
    <w:p w14:paraId="7AFEC940" w14:textId="03CAF656" w:rsidR="00567AEE" w:rsidRPr="00401BF4" w:rsidRDefault="00567AEE" w:rsidP="00567AEE">
      <w:pPr>
        <w:pStyle w:val="Text1"/>
        <w:keepNext/>
        <w:spacing w:after="120"/>
        <w:ind w:left="0"/>
        <w:rPr>
          <w:b/>
          <w:bCs/>
          <w:noProof/>
        </w:rPr>
      </w:pPr>
      <w:bookmarkStart w:id="5" w:name="_Hlk202793629"/>
      <w:r>
        <w:rPr>
          <w:b/>
          <w:noProof/>
        </w:rPr>
        <w:t>Afin d’accroître les capacités et les investissements dans les infrastructures européennes de recherche et de technologie, la Commission travaillera conjointement avec les États membres et les parties prenantes pour:</w:t>
      </w:r>
    </w:p>
    <w:p w14:paraId="1B7B8454" w14:textId="77777777" w:rsidR="00567AEE" w:rsidRPr="00401BF4" w:rsidRDefault="00567AEE" w:rsidP="004E6C6C">
      <w:pPr>
        <w:pStyle w:val="Text1"/>
        <w:numPr>
          <w:ilvl w:val="0"/>
          <w:numId w:val="42"/>
        </w:numPr>
        <w:spacing w:after="120"/>
        <w:rPr>
          <w:noProof/>
          <w:color w:val="000000" w:themeColor="text1"/>
        </w:rPr>
      </w:pPr>
      <w:r>
        <w:rPr>
          <w:noProof/>
          <w:color w:val="000000" w:themeColor="text1"/>
        </w:rPr>
        <w:t xml:space="preserve">Élaborer des </w:t>
      </w:r>
      <w:r>
        <w:rPr>
          <w:b/>
          <w:noProof/>
          <w:color w:val="000000" w:themeColor="text1"/>
        </w:rPr>
        <w:t>critères permettant d’identifier les infrastructures technologiques d’intérêt européen</w:t>
      </w:r>
      <w:r>
        <w:rPr>
          <w:noProof/>
          <w:color w:val="000000" w:themeColor="text1"/>
        </w:rPr>
        <w:t>, en synergie avec la feuille de route de l’ESFRI pour les infrastructures de recherche.</w:t>
      </w:r>
    </w:p>
    <w:p w14:paraId="6C904987" w14:textId="50946CFA" w:rsidR="00567AEE" w:rsidRPr="00401BF4" w:rsidDel="00211466" w:rsidRDefault="00567AEE" w:rsidP="004E6C6C">
      <w:pPr>
        <w:pStyle w:val="Text1"/>
        <w:numPr>
          <w:ilvl w:val="0"/>
          <w:numId w:val="42"/>
        </w:numPr>
        <w:spacing w:after="120"/>
        <w:rPr>
          <w:noProof/>
        </w:rPr>
      </w:pPr>
      <w:r>
        <w:rPr>
          <w:noProof/>
        </w:rPr>
        <w:t xml:space="preserve">Cartographier et évaluer les </w:t>
      </w:r>
      <w:r>
        <w:rPr>
          <w:b/>
          <w:noProof/>
        </w:rPr>
        <w:t>capacités des infrastructures de recherche et de technologie</w:t>
      </w:r>
      <w:r>
        <w:rPr>
          <w:noProof/>
        </w:rPr>
        <w:t xml:space="preserve"> en Europe dans le contexte de la concurrence mondiale, des priorités politiques et des besoins des utilisateurs, et élaborer des </w:t>
      </w:r>
      <w:r>
        <w:rPr>
          <w:b/>
          <w:noProof/>
        </w:rPr>
        <w:t>feuilles de route communes pour l’investissement dans les capacités, en identifiant les domaines prioritaires</w:t>
      </w:r>
      <w:r>
        <w:rPr>
          <w:noProof/>
        </w:rPr>
        <w:t xml:space="preserve"> pour des investissements ciblés dans un continuum allant des infrastructures de recherche aux infrastructures technologiques, y compris dans le cadre d’initiatives sectorielles au niveau de l’Union.</w:t>
      </w:r>
    </w:p>
    <w:p w14:paraId="7661B707" w14:textId="25AA6F58" w:rsidR="00567AEE" w:rsidRDefault="00567AEE" w:rsidP="004E6C6C">
      <w:pPr>
        <w:pStyle w:val="Text1"/>
        <w:numPr>
          <w:ilvl w:val="0"/>
          <w:numId w:val="42"/>
        </w:numPr>
        <w:spacing w:after="120"/>
        <w:rPr>
          <w:noProof/>
          <w:color w:val="000000" w:themeColor="text1"/>
        </w:rPr>
      </w:pPr>
      <w:r>
        <w:rPr>
          <w:b/>
          <w:noProof/>
          <w:color w:val="000000" w:themeColor="text1"/>
        </w:rPr>
        <w:t>Investir dans la mise en place et le maintien de nouvelles capacités essentielles</w:t>
      </w:r>
      <w:r>
        <w:rPr>
          <w:noProof/>
          <w:color w:val="000000" w:themeColor="text1"/>
        </w:rPr>
        <w:t xml:space="preserve"> pour des infrastructures de recherche et de technologie de classe mondiale en Europe, sur la base des priorités de l’Union, afin de faciliter la mise en œuvre d’initiatives stratégiques visant à assurer un leadership mondial à long terme.</w:t>
      </w:r>
    </w:p>
    <w:p w14:paraId="0140591A" w14:textId="4FBFCC05" w:rsidR="004E6C6C" w:rsidRPr="00CE2D6B" w:rsidRDefault="00567AEE" w:rsidP="00CE2D6B">
      <w:pPr>
        <w:pStyle w:val="Text1"/>
        <w:numPr>
          <w:ilvl w:val="0"/>
          <w:numId w:val="42"/>
        </w:numPr>
        <w:spacing w:after="120"/>
        <w:rPr>
          <w:noProof/>
          <w:color w:val="000000" w:themeColor="text1"/>
        </w:rPr>
      </w:pPr>
      <w:r>
        <w:rPr>
          <w:b/>
          <w:noProof/>
        </w:rPr>
        <w:t>Accroître les possibilités de financement</w:t>
      </w:r>
      <w:r>
        <w:rPr>
          <w:noProof/>
        </w:rPr>
        <w:t xml:space="preserve"> des infrastructures de recherche et de technologie au niveau de l’Union et proposer des modèles de financement spécifiques afin d’encourager une </w:t>
      </w:r>
      <w:r>
        <w:rPr>
          <w:b/>
          <w:noProof/>
        </w:rPr>
        <w:t>mise en commun</w:t>
      </w:r>
      <w:r>
        <w:rPr>
          <w:noProof/>
        </w:rPr>
        <w:t xml:space="preserve"> plus efficace </w:t>
      </w:r>
      <w:r>
        <w:rPr>
          <w:b/>
          <w:noProof/>
        </w:rPr>
        <w:t>des financements publics et privés</w:t>
      </w:r>
      <w:r>
        <w:rPr>
          <w:noProof/>
        </w:rPr>
        <w:t xml:space="preserve"> pour les investissements, </w:t>
      </w:r>
      <w:r>
        <w:rPr>
          <w:noProof/>
          <w:color w:val="000000" w:themeColor="text1"/>
        </w:rPr>
        <w:t>ce qui permettra de mieux exploiter les cadres de financement existants, tout en répondant à la nécessité de réduire les disparités régionales.</w:t>
      </w:r>
      <w:bookmarkEnd w:id="5"/>
    </w:p>
    <w:p w14:paraId="21AF20DD" w14:textId="5078E54A" w:rsidR="00567AEE" w:rsidRPr="00401BF4" w:rsidRDefault="00567AEE" w:rsidP="00567AEE">
      <w:pPr>
        <w:pStyle w:val="Text1"/>
        <w:spacing w:after="120"/>
        <w:ind w:left="0"/>
        <w:rPr>
          <w:b/>
          <w:bCs/>
          <w:noProof/>
        </w:rPr>
      </w:pPr>
      <w:r>
        <w:rPr>
          <w:b/>
          <w:noProof/>
        </w:rPr>
        <w:t>Afin de renforcer davantage les capacités paneuropéennes en matière d’infrastructures de recherche, la Commission s’engage à:</w:t>
      </w:r>
    </w:p>
    <w:p w14:paraId="568C8BC3" w14:textId="72EBF4BB" w:rsidR="00567AEE" w:rsidRPr="00401BF4" w:rsidRDefault="00567AEE" w:rsidP="004E6C6C">
      <w:pPr>
        <w:pStyle w:val="Text1"/>
        <w:numPr>
          <w:ilvl w:val="0"/>
          <w:numId w:val="42"/>
        </w:numPr>
        <w:spacing w:after="120"/>
        <w:rPr>
          <w:noProof/>
        </w:rPr>
      </w:pPr>
      <w:r>
        <w:rPr>
          <w:noProof/>
        </w:rPr>
        <w:t xml:space="preserve">Fournir un </w:t>
      </w:r>
      <w:r>
        <w:rPr>
          <w:b/>
          <w:noProof/>
        </w:rPr>
        <w:t>cadre stable pour le maintien et la modernisation des infrastructures de recherche de classe mondiale</w:t>
      </w:r>
      <w:r>
        <w:rPr>
          <w:noProof/>
        </w:rPr>
        <w:t xml:space="preserve"> en soutenant la </w:t>
      </w:r>
      <w:r>
        <w:rPr>
          <w:b/>
          <w:noProof/>
        </w:rPr>
        <w:t>mise en œuvre des feuilles de route existantes et nouvelles</w:t>
      </w:r>
      <w:r>
        <w:rPr>
          <w:noProof/>
        </w:rPr>
        <w:t xml:space="preserve"> pour les technologies des infrastructures de recherche, compte tenu des besoins identifiés conjointement et des points communs entre les infrastructures de recherche et, le cas échéant, entre les domaines; soutenir l’</w:t>
      </w:r>
      <w:r>
        <w:rPr>
          <w:b/>
          <w:noProof/>
        </w:rPr>
        <w:t>élaboration de feuilles de route pour les besoins en nouvelles technologies</w:t>
      </w:r>
      <w:r>
        <w:rPr>
          <w:noProof/>
        </w:rPr>
        <w:t xml:space="preserve">, en tenant compte des aspects liés à la numérisation des opérations, à la normalisation, à l’interopérabilité, à la résilience et à la durabilité des infrastructures de recherche. </w:t>
      </w:r>
    </w:p>
    <w:p w14:paraId="68DA8AA2" w14:textId="5770FD16" w:rsidR="00567AEE" w:rsidRPr="00401BF4" w:rsidRDefault="00567AEE" w:rsidP="004E6C6C">
      <w:pPr>
        <w:pStyle w:val="Text1"/>
        <w:numPr>
          <w:ilvl w:val="0"/>
          <w:numId w:val="42"/>
        </w:numPr>
        <w:spacing w:after="120"/>
        <w:rPr>
          <w:noProof/>
        </w:rPr>
      </w:pPr>
      <w:r>
        <w:rPr>
          <w:noProof/>
        </w:rPr>
        <w:t xml:space="preserve">Soutenir la </w:t>
      </w:r>
      <w:r>
        <w:rPr>
          <w:b/>
          <w:noProof/>
        </w:rPr>
        <w:t>cartographie des sources de financement des infrastructures de recherche</w:t>
      </w:r>
      <w:r>
        <w:rPr>
          <w:noProof/>
        </w:rPr>
        <w:t xml:space="preserve"> aux niveaux national, régional et européen et promouvoir les </w:t>
      </w:r>
      <w:r>
        <w:rPr>
          <w:b/>
          <w:noProof/>
        </w:rPr>
        <w:t>synergies</w:t>
      </w:r>
      <w:r>
        <w:rPr>
          <w:noProof/>
        </w:rPr>
        <w:t xml:space="preserve"> entre les instruments de financement complémentaires en encourageant les bonnes pratiques et en promouvant des orientations appropriées; le cas échéant, étudier la possibilité d’adapter les conditions et les règles des </w:t>
      </w:r>
      <w:r>
        <w:rPr>
          <w:b/>
          <w:noProof/>
        </w:rPr>
        <w:t>instruments de financement de l’Union</w:t>
      </w:r>
      <w:r>
        <w:rPr>
          <w:noProof/>
        </w:rPr>
        <w:t xml:space="preserve"> pour les financements combinés et complémentaires, notamment pour les infrastructures de recherche considérées comme des </w:t>
      </w:r>
      <w:r>
        <w:rPr>
          <w:b/>
          <w:noProof/>
        </w:rPr>
        <w:t>infrastructures essentielles</w:t>
      </w:r>
      <w:r>
        <w:rPr>
          <w:noProof/>
        </w:rPr>
        <w:t xml:space="preserve"> pour les programmes opérationnels ou de déploiement de l’Union.</w:t>
      </w:r>
    </w:p>
    <w:p w14:paraId="73DB7608" w14:textId="3C01D70F" w:rsidR="00CE2D6B" w:rsidRPr="00CE2D6B" w:rsidRDefault="00567AEE" w:rsidP="00CE2D6B">
      <w:pPr>
        <w:pStyle w:val="ListParagraph"/>
        <w:numPr>
          <w:ilvl w:val="0"/>
          <w:numId w:val="42"/>
        </w:numPr>
        <w:spacing w:after="160" w:line="259" w:lineRule="auto"/>
        <w:contextualSpacing/>
        <w:jc w:val="both"/>
        <w:rPr>
          <w:noProof/>
        </w:rPr>
      </w:pPr>
      <w:r>
        <w:rPr>
          <w:noProof/>
        </w:rPr>
        <w:t xml:space="preserve">Proposer une </w:t>
      </w:r>
      <w:r>
        <w:rPr>
          <w:b/>
          <w:noProof/>
        </w:rPr>
        <w:t>révision du règlement ERIC</w:t>
      </w:r>
      <w:r>
        <w:rPr>
          <w:noProof/>
        </w:rPr>
        <w:t xml:space="preserve"> sur des aspects concrets qui ne peuvent pas être traités par des lignes directrices pratiques révisées, tels que la facilitation de la participation des partenaires internationaux, en promouvant ce cadre juridique en tant que vecteur fiable d’investissements communs.</w:t>
      </w:r>
    </w:p>
    <w:p w14:paraId="1FF582C5" w14:textId="64002013" w:rsidR="00567AEE" w:rsidRPr="00401BF4" w:rsidRDefault="00CE2D6B" w:rsidP="00567AEE">
      <w:pPr>
        <w:pStyle w:val="Text1"/>
        <w:keepNext/>
        <w:spacing w:after="120"/>
        <w:ind w:left="0"/>
        <w:rPr>
          <w:b/>
          <w:bCs/>
          <w:noProof/>
        </w:rPr>
      </w:pPr>
      <w:r>
        <w:rPr>
          <w:b/>
          <w:noProof/>
          <w:lang w:val="en-GB" w:eastAsia="en-GB"/>
        </w:rPr>
        <mc:AlternateContent>
          <mc:Choice Requires="wps">
            <w:drawing>
              <wp:anchor distT="0" distB="0" distL="114300" distR="114300" simplePos="0" relativeHeight="251664398" behindDoc="1" locked="0" layoutInCell="1" allowOverlap="1" wp14:anchorId="5E98E27C" wp14:editId="1BEB642E">
                <wp:simplePos x="0" y="0"/>
                <wp:positionH relativeFrom="margin">
                  <wp:posOffset>-9884</wp:posOffset>
                </wp:positionH>
                <wp:positionV relativeFrom="paragraph">
                  <wp:posOffset>6019</wp:posOffset>
                </wp:positionV>
                <wp:extent cx="5820355" cy="1144850"/>
                <wp:effectExtent l="0" t="0" r="28575" b="17780"/>
                <wp:wrapNone/>
                <wp:docPr id="866180826" name="Rectangle 3"/>
                <wp:cNvGraphicFramePr/>
                <a:graphic xmlns:a="http://schemas.openxmlformats.org/drawingml/2006/main">
                  <a:graphicData uri="http://schemas.microsoft.com/office/word/2010/wordprocessingShape">
                    <wps:wsp>
                      <wps:cNvSpPr/>
                      <wps:spPr>
                        <a:xfrm>
                          <a:off x="0" y="0"/>
                          <a:ext cx="5820355" cy="1144850"/>
                        </a:xfrm>
                        <a:prstGeom prst="rect">
                          <a:avLst/>
                        </a:prstGeom>
                        <a:noFill/>
                        <a:ln w="952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a16="http://schemas.microsoft.com/office/drawing/2014/main" xmlns:a14="http://schemas.microsoft.com/office/drawing/2010/main" xmlns:pic="http://schemas.openxmlformats.org/drawingml/2006/picture" xmlns:a="http://schemas.openxmlformats.org/drawingml/2006/main">
            <w:pict>
              <v:rect id="Rectangle 3" style="position:absolute;margin-left:-.8pt;margin-top:.45pt;width:458.3pt;height:90.15pt;z-index:-25165208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ed="f" strokecolor="#091723 [4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" w14:anchorId="5417AB3D">
                <w10:wrap anchorx="margin"/>
              </v:rect>
            </w:pict>
          </mc:Fallback>
        </mc:AlternateContent>
      </w:r>
      <w:r>
        <w:rPr>
          <w:b/>
          <w:noProof/>
        </w:rPr>
        <w:t xml:space="preserve">Afin d’améliorer et d’optimiser les services des infrastructures technologiques européennes, la Commission travaillera avec les États membres et les parties prenantes pour: </w:t>
      </w:r>
    </w:p>
    <w:p w14:paraId="3790AE17" w14:textId="0885B0F1" w:rsidR="00FE24C1" w:rsidRPr="00C4173C" w:rsidRDefault="00567AEE" w:rsidP="00C4173C">
      <w:pPr>
        <w:pStyle w:val="Text2"/>
        <w:numPr>
          <w:ilvl w:val="0"/>
          <w:numId w:val="42"/>
        </w:numPr>
        <w:spacing w:after="120"/>
        <w:rPr>
          <w:noProof/>
        </w:rPr>
      </w:pPr>
      <w:r>
        <w:rPr>
          <w:noProof/>
          <w:color w:val="000000" w:themeColor="text1"/>
        </w:rPr>
        <w:t xml:space="preserve">Soutenir et mettre en œuvre des mesures facilitant la </w:t>
      </w:r>
      <w:r>
        <w:rPr>
          <w:b/>
          <w:noProof/>
          <w:color w:val="000000" w:themeColor="text1"/>
        </w:rPr>
        <w:t>collaboration</w:t>
      </w:r>
      <w:r>
        <w:rPr>
          <w:noProof/>
          <w:color w:val="000000" w:themeColor="text1"/>
        </w:rPr>
        <w:t xml:space="preserve"> </w:t>
      </w:r>
      <w:r>
        <w:rPr>
          <w:b/>
          <w:noProof/>
          <w:color w:val="000000" w:themeColor="text1"/>
        </w:rPr>
        <w:t>transnationale et multisite</w:t>
      </w:r>
      <w:r>
        <w:rPr>
          <w:noProof/>
          <w:color w:val="000000" w:themeColor="text1"/>
        </w:rPr>
        <w:t xml:space="preserve"> </w:t>
      </w:r>
      <w:r>
        <w:rPr>
          <w:b/>
          <w:noProof/>
          <w:color w:val="000000" w:themeColor="text1"/>
        </w:rPr>
        <w:t>entre les infrastructures technologiques</w:t>
      </w:r>
      <w:r>
        <w:rPr>
          <w:noProof/>
          <w:color w:val="000000" w:themeColor="text1"/>
        </w:rPr>
        <w:t>, en élaborant des offres de services coordonnées dans le domaine des technologies stratégiques, y compris pour la défense, et en promouvant leur visibilité et leur adoption.</w:t>
      </w:r>
    </w:p>
    <w:p w14:paraId="6773F87F" w14:textId="1B556F04" w:rsidR="00D40F4F" w:rsidRPr="00D32869" w:rsidRDefault="00D40F4F" w:rsidP="00D40F4F">
      <w:pPr>
        <w:pStyle w:val="Text1"/>
        <w:keepNext/>
        <w:spacing w:after="120"/>
        <w:ind w:left="0"/>
        <w:rPr>
          <w:i/>
          <w:iCs/>
          <w:noProof/>
          <w:szCs w:val="24"/>
          <w:u w:val="single"/>
        </w:rPr>
      </w:pPr>
      <w:r>
        <w:rPr>
          <w:b/>
          <w:i/>
          <w:noProof/>
          <w:u w:val="single"/>
        </w:rPr>
        <w:t>Optimiser le potentiel de la numérisation et de l’IA dans les infrastructures européennes</w:t>
      </w:r>
    </w:p>
    <w:p w14:paraId="67111134" w14:textId="2369CBF8" w:rsidR="00D40F4F" w:rsidRPr="00D32869" w:rsidRDefault="00D40F4F" w:rsidP="00D40F4F">
      <w:pPr>
        <w:pStyle w:val="Text2"/>
        <w:spacing w:after="120"/>
        <w:ind w:left="0"/>
        <w:rPr>
          <w:noProof/>
          <w:szCs w:val="24"/>
        </w:rPr>
      </w:pPr>
      <w:r>
        <w:rPr>
          <w:noProof/>
        </w:rPr>
        <w:t>La numérisation ne transforme pas seulement la manière dont la recherche est menée; elle transforme également les infrastructures. Les infrastructures de recherche génèrent de vastes quantités de données de recherche fiables. La gestion, la réutilisation et le partage efficaces de ces données sont essentiels pour optimiser leur valeur afin de stimuler le progrès scientifique, de relever les défis mondiaux et d’alimenter l’innovation et l’IA.</w:t>
      </w:r>
    </w:p>
    <w:p w14:paraId="14CDD567" w14:textId="2CC2A962" w:rsidR="00D40F4F" w:rsidRPr="00D32869" w:rsidRDefault="00D40F4F" w:rsidP="00D40F4F">
      <w:pPr>
        <w:pStyle w:val="Text2"/>
        <w:spacing w:after="120"/>
        <w:ind w:left="0"/>
        <w:rPr>
          <w:noProof/>
          <w:szCs w:val="24"/>
        </w:rPr>
      </w:pPr>
      <w:r>
        <w:rPr>
          <w:noProof/>
        </w:rPr>
        <w:t xml:space="preserve">Le nuage européen pour la science ouverte (EOSC), l’espace européen des données pour la R&amp;I, met en place une fédération des </w:t>
      </w:r>
      <w:r>
        <w:rPr>
          <w:noProof/>
          <w:color w:val="000000" w:themeColor="text1"/>
        </w:rPr>
        <w:t>référentiels de données et des services numériques des infrastructures de recherche et d’autres fournisseurs de services scientifiques afin d’offrir aux chercheurs et aux innovateurs une plateforme fiable pour le partage et la réutilisation de données, d’outils et de services de recherche FAIR</w:t>
      </w:r>
      <w:r>
        <w:rPr>
          <w:noProof/>
        </w:rPr>
        <w:t xml:space="preserve"> de haute qualité, dans toutes les disciplines et au-delà des frontières européennes.</w:t>
      </w:r>
    </w:p>
    <w:p w14:paraId="37809E45" w14:textId="42E8E899" w:rsidR="00D40F4F" w:rsidRPr="00D32869" w:rsidRDefault="00D40F4F" w:rsidP="0267476F">
      <w:pPr>
        <w:pStyle w:val="Text2"/>
        <w:spacing w:after="120"/>
        <w:ind w:left="0"/>
        <w:rPr>
          <w:rFonts w:ascii="Aptos" w:eastAsia="Aptos" w:hAnsi="Aptos" w:cs="Aptos"/>
          <w:noProof/>
          <w:sz w:val="22"/>
          <w:szCs w:val="22"/>
        </w:rPr>
      </w:pPr>
      <w:r>
        <w:rPr>
          <w:noProof/>
        </w:rPr>
        <w:t xml:space="preserve">La production d’un volume important de données de grande valeur et l’utilisation de nouvelles technologies numériques, y compris l’IA, dans la fourniture de services, peuvent considérablement accroître l’efficacité et l’accessibilité des infrastructures tout en réduisant leurs coûts opérationnels et en renforçant la sécurité et la confidentialité. Le renforcement des capacités numériques des infrastructures de recherche et de technologie comprend également la modélisation informatique, les jumeaux numériques et la réalité virtuelle/étendue. </w:t>
      </w:r>
    </w:p>
    <w:p w14:paraId="5C448C57" w14:textId="7C3000CF" w:rsidR="00D40F4F" w:rsidRDefault="00D40F4F" w:rsidP="00D40F4F">
      <w:pPr>
        <w:pStyle w:val="Text2"/>
        <w:spacing w:after="120"/>
        <w:ind w:left="0"/>
        <w:rPr>
          <w:noProof/>
          <w:color w:val="000000" w:themeColor="text1"/>
        </w:rPr>
      </w:pPr>
      <w:r>
        <w:rPr>
          <w:noProof/>
        </w:rPr>
        <w:t xml:space="preserve">Les infrastructures de recherche et de technologie peuvent également jouer un rôle important dans la réalisation des objectifs de la stratégie européenne pour l’IA dans la science et dans le cadre de l’initiative RAISE (Resource for AI Science in Europe), en contribuant à la mise en commun des ressources, des données </w:t>
      </w:r>
      <w:r>
        <w:rPr>
          <w:noProof/>
          <w:color w:val="000000" w:themeColor="text1"/>
        </w:rPr>
        <w:t xml:space="preserve">et des capacités informatiques afin d’accélérer l’utilisation responsable de l’IA dans le domaine scientifique. </w:t>
      </w:r>
    </w:p>
    <w:p w14:paraId="1D1B9CFE" w14:textId="3EBEF21A" w:rsidR="00451C8F" w:rsidRPr="00D32869" w:rsidRDefault="00D3382F" w:rsidP="00D40F4F">
      <w:pPr>
        <w:pStyle w:val="Text2"/>
        <w:spacing w:after="120"/>
        <w:ind w:left="0"/>
        <w:rPr>
          <w:noProof/>
          <w:color w:val="000000" w:themeColor="text1"/>
        </w:rPr>
      </w:pPr>
      <w:r>
        <w:rPr>
          <w:noProof/>
          <w:color w:val="000000" w:themeColor="text1"/>
        </w:rPr>
        <w:t xml:space="preserve">En outre, les questions liées à l’accessibilité de certaines catégories de données à des fins de R&amp;I seront examinées dans le cadre de la future législation sur l’EER. </w:t>
      </w:r>
    </w:p>
    <w:tbl>
      <w:tblPr>
        <w:tblStyle w:val="TableGrid"/>
        <w:tblW w:w="9067" w:type="dxa"/>
        <w:tblLook w:val="04A0" w:firstRow="1" w:lastRow="0" w:firstColumn="1" w:lastColumn="0" w:noHBand="0" w:noVBand="1"/>
      </w:tblPr>
      <w:tblGrid>
        <w:gridCol w:w="9067"/>
      </w:tblGrid>
      <w:tr w:rsidR="00D40F4F" w:rsidRPr="00D32869" w14:paraId="410B2FFA" w14:textId="77777777" w:rsidTr="00A13694">
        <w:trPr>
          <w:trHeight w:val="3285"/>
        </w:trPr>
        <w:tc>
          <w:tcPr>
            <w:tcW w:w="9067" w:type="dxa"/>
          </w:tcPr>
          <w:p w14:paraId="4CC8C630" w14:textId="70E4BC10" w:rsidR="00D40F4F" w:rsidRPr="00D32869" w:rsidRDefault="00D40F4F" w:rsidP="003A1756">
            <w:pPr>
              <w:pStyle w:val="Text1"/>
              <w:keepNext/>
              <w:spacing w:after="120"/>
              <w:ind w:left="0"/>
              <w:rPr>
                <w:b/>
                <w:noProof/>
              </w:rPr>
            </w:pPr>
            <w:r>
              <w:rPr>
                <w:b/>
                <w:noProof/>
              </w:rPr>
              <w:t>La Commission travaillera avec les États membres et les parties prenantes afin de:</w:t>
            </w:r>
          </w:p>
          <w:p w14:paraId="4D67FE72" w14:textId="77777777" w:rsidR="00D40F4F" w:rsidRPr="00D32869" w:rsidRDefault="00D40F4F" w:rsidP="004E6C6C">
            <w:pPr>
              <w:pStyle w:val="Text1"/>
              <w:numPr>
                <w:ilvl w:val="0"/>
                <w:numId w:val="42"/>
              </w:numPr>
              <w:spacing w:after="120"/>
              <w:rPr>
                <w:noProof/>
                <w:szCs w:val="24"/>
              </w:rPr>
            </w:pPr>
            <w:r>
              <w:rPr>
                <w:noProof/>
              </w:rPr>
              <w:t xml:space="preserve">Soutenir et </w:t>
            </w:r>
            <w:r>
              <w:rPr>
                <w:b/>
                <w:noProof/>
              </w:rPr>
              <w:t>renforcer la fédération EOSC</w:t>
            </w:r>
            <w:r>
              <w:rPr>
                <w:noProof/>
              </w:rPr>
              <w:t xml:space="preserve"> en tant qu’espace européen des données en matière de recherche et d’innovation, de manière à permettre le partage et la réutilisation de données de recherche FAIR de haute qualité, de résultats scientifiques et de services numériques.</w:t>
            </w:r>
          </w:p>
          <w:p w14:paraId="2999418B" w14:textId="120FB10B" w:rsidR="00D40F4F" w:rsidRPr="00D32869" w:rsidRDefault="00D40F4F" w:rsidP="004E6C6C">
            <w:pPr>
              <w:pStyle w:val="Text1"/>
              <w:numPr>
                <w:ilvl w:val="0"/>
                <w:numId w:val="42"/>
              </w:numPr>
              <w:spacing w:after="120"/>
              <w:rPr>
                <w:noProof/>
                <w:szCs w:val="24"/>
              </w:rPr>
            </w:pPr>
            <w:r>
              <w:rPr>
                <w:noProof/>
              </w:rPr>
              <w:t xml:space="preserve">Soutenir le </w:t>
            </w:r>
            <w:r>
              <w:rPr>
                <w:b/>
                <w:noProof/>
              </w:rPr>
              <w:t xml:space="preserve">respect des </w:t>
            </w:r>
            <w:r>
              <w:rPr>
                <w:noProof/>
              </w:rPr>
              <w:t xml:space="preserve">principes </w:t>
            </w:r>
            <w:r>
              <w:rPr>
                <w:b/>
                <w:noProof/>
              </w:rPr>
              <w:t>FAIR</w:t>
            </w:r>
            <w:r>
              <w:rPr>
                <w:noProof/>
              </w:rPr>
              <w:t>, accroître la productivité des données FAIR, et renforcer les connexions avec l’EOSC ainsi qu’avec d’autres espaces de données pertinents.</w:t>
            </w:r>
          </w:p>
          <w:p w14:paraId="77743B13" w14:textId="77777777" w:rsidR="00D40F4F" w:rsidRPr="00D32869" w:rsidRDefault="00D40F4F" w:rsidP="004E6C6C">
            <w:pPr>
              <w:pStyle w:val="Text1"/>
              <w:numPr>
                <w:ilvl w:val="0"/>
                <w:numId w:val="42"/>
              </w:numPr>
              <w:spacing w:after="120"/>
              <w:rPr>
                <w:noProof/>
                <w:szCs w:val="24"/>
              </w:rPr>
            </w:pPr>
            <w:r>
              <w:rPr>
                <w:noProof/>
              </w:rPr>
              <w:t xml:space="preserve">Soutenir la mise en commun et le développement de </w:t>
            </w:r>
            <w:r>
              <w:rPr>
                <w:b/>
                <w:noProof/>
              </w:rPr>
              <w:t>données de recherche prêtes pour l’IA</w:t>
            </w:r>
            <w:r>
              <w:rPr>
                <w:noProof/>
              </w:rPr>
              <w:t xml:space="preserve"> ainsi que d’outils et de services permettant le développement de modèles scientifiques d’IA et de leurs applications technologiques, afin d’accélérer l’utilisation de l’IA dans le domaine scientifique et, par là même, de contribuer à la phase pilote de RAISE.</w:t>
            </w:r>
          </w:p>
        </w:tc>
      </w:tr>
    </w:tbl>
    <w:p w14:paraId="653C6F32" w14:textId="77777777" w:rsidR="00D40F4F" w:rsidRPr="00D32869" w:rsidRDefault="00D40F4F" w:rsidP="00D40F4F">
      <w:pPr>
        <w:pStyle w:val="Heading1"/>
        <w:rPr>
          <w:noProof/>
          <w:szCs w:val="24"/>
        </w:rPr>
      </w:pPr>
      <w:r>
        <w:rPr>
          <w:noProof/>
        </w:rPr>
        <w:t>Renforcer l’accessibilité des infrastructures de recherche et de technologie en tant que continuum de services complémentaires</w:t>
      </w:r>
    </w:p>
    <w:p w14:paraId="5A82C826" w14:textId="6602A52D" w:rsidR="00D40F4F" w:rsidRDefault="00D40F4F" w:rsidP="00D40F4F">
      <w:pPr>
        <w:pStyle w:val="Text2"/>
        <w:spacing w:after="120"/>
        <w:ind w:left="0"/>
        <w:rPr>
          <w:noProof/>
        </w:rPr>
      </w:pPr>
      <w:r>
        <w:rPr>
          <w:noProof/>
        </w:rPr>
        <w:t>La mise en œuvre de la «cinquième liberté» nécessite des avancées vers un marché unique des services d’infrastructures de recherche et de technologie au sein de l’Union.</w:t>
      </w:r>
      <w:r>
        <w:rPr>
          <w:i/>
          <w:noProof/>
        </w:rPr>
        <w:t xml:space="preserve"> </w:t>
      </w:r>
      <w:r>
        <w:rPr>
          <w:noProof/>
        </w:rPr>
        <w:t>Du point de vue des utilisateurs et des services, ces deux types d’infrastructures forment un continuum d’installations et de services complémentaires, qui doit être de plus en plus pris en compte dans la politique d’accès. Cependant, les infrastructures de recherche et de technologie</w:t>
      </w:r>
      <w:r>
        <w:rPr>
          <w:i/>
          <w:noProof/>
        </w:rPr>
        <w:t xml:space="preserve"> </w:t>
      </w:r>
      <w:r>
        <w:rPr>
          <w:noProof/>
        </w:rPr>
        <w:t xml:space="preserve">ont été mises au point pour répondre à des besoins différents et, par conséquent, à des communautés d’utilisateurs primaires différentes. </w:t>
      </w:r>
    </w:p>
    <w:p w14:paraId="645184AD" w14:textId="0E8796FA" w:rsidR="0001162D" w:rsidRPr="0001162D" w:rsidRDefault="0001162D" w:rsidP="003E27D0">
      <w:pPr>
        <w:pStyle w:val="Text2"/>
        <w:spacing w:after="120"/>
        <w:ind w:left="0"/>
        <w:rPr>
          <w:noProof/>
        </w:rPr>
      </w:pPr>
      <w:r>
        <w:rPr>
          <w:noProof/>
        </w:rPr>
        <w:t>L’accès transnational aux infrastructures de recherche, sur la base de l’excellence scientifique, est une caractéristique de longue date des programmes-cadres successifs de l’Union en matière de R&amp;I. Il permet aux chercheurs d’utiliser des installations de pointe en dehors de leur pays d’origine, ce qui constitue l’une des pierres angulaires de l’EER. Ces systèmes profitent grandement aux pays à moindre intensité de recherche et contribuent ainsi à combler l’écart en matière d’innovation, comme le montre la figure 4. Toutefois, l’accès reste fragmenté et de courte durée. Il est nécessaire de mettre en place des systèmes plus durables, d’accroître la visibilité – en particulier pour les ERIC distribués– et de mieux mobiliser les nouvelles communautés et l’industrie. Les consultations soulignent l’importance d’étendre l’accès à distance et virtuel, et d’élaborer des politiques d’accès communes et des catalogues de services conviviaux et interopérables. Un système d’accès européen à long terme et à guichet unique serait porteur de changements profonds.</w:t>
      </w:r>
    </w:p>
    <w:p w14:paraId="556F69DD" w14:textId="77777777" w:rsidR="0001162D" w:rsidRPr="003E27D0" w:rsidRDefault="0001162D" w:rsidP="00D40F4F">
      <w:pPr>
        <w:pStyle w:val="Text2"/>
        <w:spacing w:after="120"/>
        <w:ind w:left="0"/>
        <w:rPr>
          <w:noProof/>
        </w:rPr>
      </w:pPr>
    </w:p>
    <w:p w14:paraId="0A6A7521" w14:textId="0C62807F" w:rsidR="00D40F4F" w:rsidRPr="00D32869" w:rsidRDefault="009E0264" w:rsidP="00D40F4F">
      <w:pPr>
        <w:pStyle w:val="Text2"/>
        <w:spacing w:after="120"/>
        <w:ind w:left="0"/>
        <w:rPr>
          <w:noProof/>
        </w:rPr>
      </w:pPr>
      <w:r>
        <w:rPr>
          <w:noProof/>
          <w:lang w:val="en-GB"/>
        </w:rPr>
        <w:drawing>
          <wp:anchor distT="0" distB="0" distL="114300" distR="114300" simplePos="0" relativeHeight="251658243" behindDoc="0" locked="0" layoutInCell="1" allowOverlap="1" wp14:anchorId="26A6C0EC" wp14:editId="73E9FCF8">
            <wp:simplePos x="0" y="0"/>
            <wp:positionH relativeFrom="column">
              <wp:posOffset>545465</wp:posOffset>
            </wp:positionH>
            <wp:positionV relativeFrom="paragraph">
              <wp:posOffset>3175</wp:posOffset>
            </wp:positionV>
            <wp:extent cx="4707255" cy="4263390"/>
            <wp:effectExtent l="0" t="0" r="0" b="3810"/>
            <wp:wrapTopAndBottom/>
            <wp:docPr id="99256677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a:stretch/>
                  </pic:blipFill>
                  <pic:spPr bwMode="auto">
                    <a:xfrm>
                      <a:off x="0" y="0"/>
                      <a:ext cx="4707255" cy="42633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en-GB"/>
        </w:rPr>
        <mc:AlternateContent>
          <mc:Choice Requires="wps">
            <w:drawing>
              <wp:anchor distT="0" distB="0" distL="114300" distR="114300" simplePos="0" relativeHeight="251658244" behindDoc="0" locked="0" layoutInCell="1" allowOverlap="1" wp14:anchorId="4EEB2436" wp14:editId="1528ED71">
                <wp:simplePos x="0" y="0"/>
                <wp:positionH relativeFrom="column">
                  <wp:posOffset>548640</wp:posOffset>
                </wp:positionH>
                <wp:positionV relativeFrom="paragraph">
                  <wp:posOffset>4321175</wp:posOffset>
                </wp:positionV>
                <wp:extent cx="4707255" cy="635"/>
                <wp:effectExtent l="0" t="0" r="0" b="0"/>
                <wp:wrapTopAndBottom/>
                <wp:docPr id="1242593308" name="Text Box 1"/>
                <wp:cNvGraphicFramePr/>
                <a:graphic xmlns:a="http://schemas.openxmlformats.org/drawingml/2006/main">
                  <a:graphicData uri="http://schemas.microsoft.com/office/word/2010/wordprocessingShape">
                    <wps:wsp>
                      <wps:cNvSpPr txBox="1"/>
                      <wps:spPr>
                        <a:xfrm>
                          <a:off x="0" y="0"/>
                          <a:ext cx="4707255" cy="635"/>
                        </a:xfrm>
                        <a:prstGeom prst="rect">
                          <a:avLst/>
                        </a:prstGeom>
                        <a:solidFill>
                          <a:prstClr val="white"/>
                        </a:solidFill>
                        <a:ln>
                          <a:noFill/>
                        </a:ln>
                      </wps:spPr>
                      <wps:txbx>
                        <w:txbxContent>
                          <w:p w14:paraId="60283EBD" w14:textId="24DB4617" w:rsidR="00AC7287" w:rsidRPr="00FB795E" w:rsidRDefault="00AC7287" w:rsidP="007E64EA">
                            <w:pPr>
                              <w:pStyle w:val="Caption"/>
                            </w:pPr>
                            <w:r>
                              <w:t xml:space="preserve">La </w:t>
                            </w:r>
                            <w:r>
                              <w:rPr>
                                <w:b/>
                              </w:rPr>
                              <w:t>figure 4</w:t>
                            </w:r>
                            <w:r>
                              <w:t xml:space="preserve"> montre l’accès transnational aux infrastructures de recherche fournies par les projets Horizon 2020, normalisé en fonction du nombre de chercheurs dans chaque pays. Source: Agence exécutive pour la recherche, 2025.</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4EEB2436" id="_x0000_s1031" type="#_x0000_t202" style="position:absolute;left:0;text-align:left;margin-left:43.2pt;margin-top:340.25pt;width:370.65pt;height:.05pt;z-index:2516582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" stroked="f">
                <v:textbox style="mso-fit-shape-to-text:t" inset="0,0,0,0">
                  <w:txbxContent>
                    <w:p w14:paraId="60283EBD" w14:textId="24DB4617" w:rsidR="00AC7287" w:rsidRPr="00FB795E" w:rsidRDefault="00AC7287" w:rsidP="007E64EA">
                      <w:pPr>
                        <w:pStyle w:val="Caption"/>
                      </w:pPr>
                      <w:r>
                        <w:t xml:space="preserve">La </w:t>
                      </w:r>
                      <w:r>
                        <w:rPr>
                          <w:b/>
                        </w:rPr>
                        <w:t>figure 4</w:t>
                      </w:r>
                      <w:r>
                        <w:t xml:space="preserve"> montre l’accès transnational aux infrastructures de recherche fournies par les projets Horizon 2020, normalisé en fonction du nombre de chercheurs dans chaque pays. Source: Agence exécutive pour la recherche, 2025.</w:t>
                      </w:r>
                    </w:p>
                  </w:txbxContent>
                </v:textbox>
                <w10:wrap type="topAndBottom"/>
              </v:shape>
            </w:pict>
          </mc:Fallback>
        </mc:AlternateContent>
      </w:r>
      <w:r>
        <w:rPr>
          <w:noProof/>
        </w:rPr>
        <w:t xml:space="preserve">L’accessibilité des infrastructures technologiques est principalement axée sur les acteurs industriels, qui s’efforcent de répondre aux besoins spécifiques des entreprises innovantes, y compris les jeunes pousses et les entreprises en expansion, souvent confrontées à des incertitudes quant à leurs défis technologiques. </w:t>
      </w:r>
    </w:p>
    <w:p w14:paraId="311C397F" w14:textId="5BF3CF71" w:rsidR="00D40F4F" w:rsidRPr="00D32869" w:rsidRDefault="04637775" w:rsidP="59365633">
      <w:pPr>
        <w:pStyle w:val="Text2"/>
        <w:spacing w:after="120"/>
        <w:ind w:left="0"/>
        <w:rPr>
          <w:noProof/>
        </w:rPr>
      </w:pPr>
      <w:r>
        <w:rPr>
          <w:noProof/>
        </w:rPr>
        <w:t>Les utilisateurs industriels, en particulier les PME et les jeunes pousses, peuvent être confrontés à des obstacles importants pour accéder aux infrastructures technologiques, tels que l’insuffisance des ressources financières et humaines, l’asymétrie de l’information et les barrières culturelles. Ces obstacles sont encore exacerbés lorsqu’il s’agit d’un accès interrégional et, en particulier, transnational, où s’ajoutent des questions linguistiques, juridiques et réglementaires (par exemple, les réglementations en matière d’importation/d’exportation d’échantillons de test), tandis que les coûts financiers liés à l’accès augmentent généralement. Cela empêche souvent les petites entreprises d’utiliser les services d’infrastructure technologique à leur disposition, en particulier dans des installations situées dans d’autres régions ou pays.</w:t>
      </w:r>
    </w:p>
    <w:p w14:paraId="0CFC2261" w14:textId="05648A7C" w:rsidR="5F0AFB05" w:rsidRPr="00D32869" w:rsidRDefault="5F0AFB05" w:rsidP="08FD6CEA">
      <w:pPr>
        <w:spacing w:after="120"/>
        <w:rPr>
          <w:noProof/>
        </w:rPr>
      </w:pPr>
      <w:r>
        <w:rPr>
          <w:noProof/>
          <w:lang w:val="en-GB"/>
        </w:rPr>
        <w:drawing>
          <wp:inline distT="0" distB="0" distL="0" distR="0" wp14:anchorId="1F525F17" wp14:editId="564D2F02">
            <wp:extent cx="5241852" cy="3692141"/>
            <wp:effectExtent l="0" t="0" r="0" b="3810"/>
            <wp:docPr id="580893671" name="Picture 580893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4">
                      <a:extLst>
                        <a:ext uri="{28A0092B-C50C-407E-A947-70E740481C1C}">
                          <a14:useLocalDpi xmlns:a14="http://schemas.microsoft.com/office/drawing/2010/main" val="0"/>
                        </a:ext>
                      </a:extLst>
                    </a:blip>
                    <a:stretch>
                      <a:fillRect/>
                    </a:stretch>
                  </pic:blipFill>
                  <pic:spPr>
                    <a:xfrm>
                      <a:off x="0" y="0"/>
                      <a:ext cx="5253139" cy="3700091"/>
                    </a:xfrm>
                    <a:prstGeom prst="rect">
                      <a:avLst/>
                    </a:prstGeom>
                  </pic:spPr>
                </pic:pic>
              </a:graphicData>
            </a:graphic>
          </wp:inline>
        </w:drawing>
      </w:r>
    </w:p>
    <w:p w14:paraId="508C1374" w14:textId="21E64A28" w:rsidR="59365633" w:rsidRPr="00D32869" w:rsidRDefault="01D06E7D" w:rsidP="08FD6CEA">
      <w:pPr>
        <w:spacing w:after="120"/>
        <w:jc w:val="both"/>
        <w:rPr>
          <w:i/>
          <w:iCs/>
          <w:noProof/>
        </w:rPr>
      </w:pPr>
      <w:r>
        <w:rPr>
          <w:i/>
          <w:noProof/>
          <w:color w:val="666666"/>
          <w:sz w:val="20"/>
        </w:rPr>
        <w:t xml:space="preserve">La </w:t>
      </w:r>
      <w:r>
        <w:rPr>
          <w:b/>
          <w:i/>
          <w:noProof/>
          <w:color w:val="666666"/>
          <w:sz w:val="20"/>
        </w:rPr>
        <w:t>figure 4</w:t>
      </w:r>
      <w:r>
        <w:rPr>
          <w:i/>
          <w:noProof/>
          <w:color w:val="666666"/>
          <w:sz w:val="20"/>
        </w:rPr>
        <w:t xml:space="preserve"> montre le pourcentage d’entreprises (PME et jeunes pousses d’une part, grandes entreprises d’autre part) en réponse à la question portant sur les principaux obstacles perçus pour accéder aux infrastructures technologiques. Cette enquête a recueilli 328 réponses. Source:</w:t>
      </w:r>
      <w:r>
        <w:rPr>
          <w:i/>
          <w:noProof/>
          <w:sz w:val="20"/>
        </w:rPr>
        <w:t xml:space="preserve"> </w:t>
      </w:r>
      <w:r>
        <w:rPr>
          <w:i/>
          <w:noProof/>
          <w:color w:val="666666"/>
          <w:sz w:val="20"/>
        </w:rPr>
        <w:t>User needs for technology infrastructures (Besoins des utilisateurs en matière d’infrastructures technologiques) – Rapport analytique, Office des publications de l’Union européenne, 2025.</w:t>
      </w:r>
    </w:p>
    <w:p w14:paraId="22D6940E" w14:textId="01CFB05C" w:rsidR="00D40F4F" w:rsidRPr="00D32869" w:rsidRDefault="00D40F4F" w:rsidP="00D40F4F">
      <w:pPr>
        <w:pStyle w:val="Text2"/>
        <w:spacing w:after="120"/>
        <w:ind w:left="0"/>
        <w:rPr>
          <w:noProof/>
        </w:rPr>
      </w:pPr>
      <w:r>
        <w:rPr>
          <w:noProof/>
        </w:rPr>
        <w:t>Au-delà de ces besoins particuliers en matière d’accès, les synergies entre les services des infrastructures de recherche et de technologie restent largement sous-exploitées, ce qui, dans certains domaines, limite considérablement les avantages qu’elles peuvent apporter aux chercheurs, aux innovateurs et aux entreprises de l’Union. Pour optimiser ces synergies, les chercheurs et les innovateurs ont besoin de possibilités d’accès intégrées et durables, assorties de conditions et de procédures plus harmonisées, tenant compte des besoins allant de la recherche exploratoire à la recherche interdisciplinaire et appliquée.</w:t>
      </w:r>
    </w:p>
    <w:p w14:paraId="1CFAAB8A" w14:textId="336A0EDA" w:rsidR="00D40F4F" w:rsidRPr="00D32869" w:rsidRDefault="7A8C269B" w:rsidP="00D40F4F">
      <w:pPr>
        <w:pStyle w:val="Text2"/>
        <w:spacing w:after="120"/>
        <w:ind w:left="0"/>
        <w:rPr>
          <w:noProof/>
        </w:rPr>
      </w:pPr>
      <w:r>
        <w:rPr>
          <w:noProof/>
        </w:rPr>
        <w:t>Dans le cadre de la stratégie de l’UE en faveur des start-up et des scale-up, la Commission élaborera une charte d’accès aux infrastructures de recherche et de technologie pour les utilisateurs industriels, afin de simplifier et d’harmoniser des conditions d’accès et des conditions contractuelles divergentes. Elle fournira également des orientations sur les règles applicables en matière d’aides d’État en faveur des organismes de recherche publics qui accordent l’accès à des infrastructures. La Commission s’emploiera à promouvoir l’adoption de la charte par les infrastructures de recherche et de technologie ainsi que par les organismes de financement nationaux. S’appuyant sur la charte, le futur acte législatif européen sur l’innovation favorisera l’accès des entreprises innovantes aux infrastructures européennes de recherche et de technologie au moyen de mesures législatives. Ainsi, les obstacles réglementaires pour les PME, les jeunes pousses et les entreprises en expansion seront réduits, et les synergies entre les infrastructures soutenant l’excellence de la recherche et la compétitivité industrielle seront renforcées.</w:t>
      </w:r>
    </w:p>
    <w:tbl>
      <w:tblPr>
        <w:tblStyle w:val="TableGrid"/>
        <w:tblW w:w="9067" w:type="dxa"/>
        <w:tblLook w:val="04A0" w:firstRow="1" w:lastRow="0" w:firstColumn="1" w:lastColumn="0" w:noHBand="0" w:noVBand="1"/>
      </w:tblPr>
      <w:tblGrid>
        <w:gridCol w:w="9067"/>
      </w:tblGrid>
      <w:tr w:rsidR="00D40F4F" w:rsidRPr="00D32869" w14:paraId="05BE5DEB" w14:textId="77777777" w:rsidTr="00A13694">
        <w:tc>
          <w:tcPr>
            <w:tcW w:w="9067" w:type="dxa"/>
          </w:tcPr>
          <w:p w14:paraId="5793876D" w14:textId="7BF71B40" w:rsidR="00D40F4F" w:rsidRPr="00D32869" w:rsidRDefault="00D40F4F" w:rsidP="003A1756">
            <w:pPr>
              <w:pStyle w:val="Text1"/>
              <w:keepNext/>
              <w:spacing w:after="120"/>
              <w:ind w:left="0"/>
              <w:rPr>
                <w:b/>
                <w:bCs/>
                <w:noProof/>
                <w:szCs w:val="24"/>
              </w:rPr>
            </w:pPr>
            <w:r>
              <w:rPr>
                <w:b/>
                <w:noProof/>
              </w:rPr>
              <w:t xml:space="preserve">Afin d’améliorer et de simplifier l’accès aux infrastructures de recherche et de technologie, la Commission travaillera avec les États membres et les parties prenantes pour: </w:t>
            </w:r>
          </w:p>
          <w:p w14:paraId="51BF4693" w14:textId="06C881CA" w:rsidR="00D40F4F" w:rsidRPr="00D32869" w:rsidRDefault="00D40F4F" w:rsidP="004E6C6C">
            <w:pPr>
              <w:pStyle w:val="Text1"/>
              <w:numPr>
                <w:ilvl w:val="0"/>
                <w:numId w:val="42"/>
              </w:numPr>
              <w:spacing w:after="120"/>
              <w:rPr>
                <w:noProof/>
              </w:rPr>
            </w:pPr>
            <w:r>
              <w:rPr>
                <w:noProof/>
              </w:rPr>
              <w:t xml:space="preserve">Soutenir le développement d’un </w:t>
            </w:r>
            <w:r>
              <w:rPr>
                <w:b/>
                <w:noProof/>
              </w:rPr>
              <w:t>système intégré et durable</w:t>
            </w:r>
            <w:r>
              <w:rPr>
                <w:noProof/>
              </w:rPr>
              <w:t xml:space="preserve"> </w:t>
            </w:r>
            <w:r>
              <w:rPr>
                <w:b/>
                <w:noProof/>
              </w:rPr>
              <w:t>pour l’accès aux infrastructures de recherche de pointe</w:t>
            </w:r>
            <w:r>
              <w:rPr>
                <w:noProof/>
              </w:rPr>
              <w:t xml:space="preserve"> d’intérêt européen, en offrant un «guichet unique» pour y accéder, et à un portefeuille européen unique de services de R&amp;I complémentaires et intersectoriels d’intérêt européen, y compris la </w:t>
            </w:r>
            <w:r>
              <w:rPr>
                <w:b/>
                <w:noProof/>
              </w:rPr>
              <w:t>navigation dans les services d’infrastructure de recherche assistée par l’IA.</w:t>
            </w:r>
          </w:p>
          <w:p w14:paraId="32035769" w14:textId="78357177" w:rsidR="00D40F4F" w:rsidRPr="00D32869" w:rsidRDefault="00D40F4F" w:rsidP="004E6C6C">
            <w:pPr>
              <w:pStyle w:val="Text1"/>
              <w:numPr>
                <w:ilvl w:val="0"/>
                <w:numId w:val="42"/>
              </w:numPr>
              <w:spacing w:after="120"/>
              <w:rPr>
                <w:i/>
                <w:iCs/>
                <w:noProof/>
              </w:rPr>
            </w:pPr>
            <w:r>
              <w:rPr>
                <w:noProof/>
              </w:rPr>
              <w:t xml:space="preserve">Mettre en œuvre des </w:t>
            </w:r>
            <w:r>
              <w:rPr>
                <w:b/>
                <w:noProof/>
              </w:rPr>
              <w:t>programmes pilotes d’accès aux infrastructures technologiques pour les jeunes pousses et les entreprises en expansion</w:t>
            </w:r>
            <w:r>
              <w:rPr>
                <w:noProof/>
              </w:rPr>
              <w:t>, en vue d’en amplifier la mise en œuvre future.</w:t>
            </w:r>
          </w:p>
          <w:p w14:paraId="552BA0A3" w14:textId="2D31BEFE" w:rsidR="00D40F4F" w:rsidRPr="00D32869" w:rsidRDefault="00D40F4F" w:rsidP="004E6C6C">
            <w:pPr>
              <w:pStyle w:val="Text1"/>
              <w:numPr>
                <w:ilvl w:val="0"/>
                <w:numId w:val="42"/>
              </w:numPr>
              <w:spacing w:after="120"/>
              <w:rPr>
                <w:noProof/>
              </w:rPr>
            </w:pPr>
            <w:bookmarkStart w:id="6" w:name="_Hlk202793640"/>
            <w:r>
              <w:rPr>
                <w:noProof/>
              </w:rPr>
              <w:t xml:space="preserve">Tester des </w:t>
            </w:r>
            <w:r>
              <w:rPr>
                <w:b/>
                <w:noProof/>
              </w:rPr>
              <w:t>systèmes d’accès transnationaux à des infrastructures de recherche et de technologie communes</w:t>
            </w:r>
            <w:r>
              <w:rPr>
                <w:noProof/>
              </w:rPr>
              <w:t xml:space="preserve"> dans des domaines prioritaires tels que les matériaux avancés, les énergies propres, les technologies quantiques, l’IA ou la santé et les biotechnologies.</w:t>
            </w:r>
            <w:bookmarkEnd w:id="6"/>
          </w:p>
        </w:tc>
      </w:tr>
    </w:tbl>
    <w:p w14:paraId="3993F636" w14:textId="77777777" w:rsidR="00D40F4F" w:rsidRPr="00D32869" w:rsidRDefault="00D40F4F" w:rsidP="00D40F4F">
      <w:pPr>
        <w:pStyle w:val="Heading1"/>
        <w:spacing w:after="120"/>
        <w:rPr>
          <w:i/>
          <w:noProof/>
          <w:u w:val="single"/>
        </w:rPr>
      </w:pPr>
      <w:r>
        <w:rPr>
          <w:i/>
          <w:noProof/>
          <w:u w:val="single"/>
        </w:rPr>
        <w:t>Attirer et cultiver les talents en Europe</w:t>
      </w:r>
    </w:p>
    <w:p w14:paraId="57DD9BF9" w14:textId="798CA903" w:rsidR="00D40F4F" w:rsidRPr="00D32869" w:rsidRDefault="322534F2" w:rsidP="007E64EA">
      <w:pPr>
        <w:spacing w:after="120"/>
        <w:jc w:val="both"/>
        <w:rPr>
          <w:noProof/>
        </w:rPr>
      </w:pPr>
      <w:r>
        <w:rPr>
          <w:noProof/>
        </w:rPr>
        <w:t xml:space="preserve">L’Europe dispose d’infrastructures de recherche et de technologie de classe mondiale qui attirent les meilleurs talents du monde entier. Des organisations telles que le CERN, le Centre commun de recherche, le Laboratoire européen de biologie moléculaire ou l’Imec accueillent des scientifiques, des ingénieurs et des innovateurs originaires de plus de 100 pays différents, ce qui en fait des centres d’excellence mondiaux. Face à la pénurie de compétences en Europe, les infrastructures de recherche et de technologie ont un rôle essentiel à jouer dans la formation d’experts dans les domaines des sciences et des technologies, ainsi que dans l’attractivité de l’Europe pour les meilleurs talents mondiaux dans le domaine de la recherche et de l’innovation. Par conséquent, les infrastructures de recherche et de technologie peuvent contribuer de manière significative à l’approche </w:t>
      </w:r>
      <w:r>
        <w:rPr>
          <w:i/>
          <w:noProof/>
        </w:rPr>
        <w:t xml:space="preserve">«Choisir l’Europe». </w:t>
      </w:r>
      <w:r>
        <w:rPr>
          <w:noProof/>
        </w:rPr>
        <w:t xml:space="preserve"> </w:t>
      </w:r>
    </w:p>
    <w:p w14:paraId="7C594FFA" w14:textId="79665942" w:rsidR="00D40F4F" w:rsidRDefault="09ABF88E" w:rsidP="007E64EA">
      <w:pPr>
        <w:spacing w:after="120"/>
        <w:jc w:val="both"/>
        <w:rPr>
          <w:noProof/>
        </w:rPr>
      </w:pPr>
      <w:r>
        <w:rPr>
          <w:noProof/>
        </w:rPr>
        <w:t xml:space="preserve">L’efficacité des infrastructures de recherche et de technologie et la qualité des services qu’elles fournissent reposent sur une combinaison des compétences de leur personnel dans le domaine des sciences, des techniques et de la gestion. Des efforts considérables ont déjà été consentis pour la formation du personnel de gestion et de direction des infrastructures de recherche, notamment par l’élaboration d’un programme de </w:t>
      </w:r>
      <w:hyperlink r:id="rId35">
        <w:r>
          <w:rPr>
            <w:rStyle w:val="Hyperlink"/>
            <w:noProof/>
          </w:rPr>
          <w:t>master exécutif</w:t>
        </w:r>
      </w:hyperlink>
      <w:r>
        <w:rPr>
          <w:noProof/>
        </w:rPr>
        <w:t xml:space="preserve"> soutenu par l’Union. Ces actions doivent être renforcées, y compris pour les infrastructures technologiques, dans le but de consolider le socle de compétences en matière de gestion et d’entrepreneuriat, ce qui permettra de mieux soutenir les nouveaux utilisateurs, notamment les utilisateurs non experts et ceux de l’industrie, des PME, des jeunes pousses et des entreprises en expansion, et d’accroître la résilience des infrastructures. </w:t>
      </w:r>
    </w:p>
    <w:p w14:paraId="6182A94C" w14:textId="4EE09177" w:rsidR="003E27D0" w:rsidRDefault="003E27D0" w:rsidP="003E27D0">
      <w:pPr>
        <w:pStyle w:val="Text1"/>
        <w:keepNext/>
        <w:spacing w:after="120"/>
        <w:ind w:left="0"/>
        <w:rPr>
          <w:noProof/>
        </w:rPr>
      </w:pPr>
      <w:r>
        <w:rPr>
          <w:noProof/>
        </w:rPr>
        <w:t xml:space="preserve">De plus, à mesure que la recherche et la sécurité économique deviennent de plus en plus cruciales et que les évolutions technologiques s’accélèrent, il est nécessaire de former en continu le personnel technique, en s’appuyant sur des échanges de personnel, afin d’assurer la robustesse des outils et des services qu’ils mettent au point. Le cas échéant, les possibilités offertes par les académies européennes des compétences et les actions Marie Skłodowska-Curie devraient être davantage exploitées. Enfin, le personnel et les utilisateurs des infrastructures de recherche et de technologie, ainsi que leurs résultats, devraient </w:t>
      </w:r>
      <w:r>
        <w:rPr>
          <w:noProof/>
          <w:lang w:val="en-GB" w:eastAsia="en-GB"/>
        </w:rPr>
        <mc:AlternateContent>
          <mc:Choice Requires="wps">
            <w:drawing>
              <wp:anchor distT="45720" distB="45720" distL="114300" distR="114300" simplePos="0" relativeHeight="251662350" behindDoc="0" locked="0" layoutInCell="1" allowOverlap="1" wp14:anchorId="39011F32" wp14:editId="72EF8932">
                <wp:simplePos x="0" y="0"/>
                <wp:positionH relativeFrom="margin">
                  <wp:align>right</wp:align>
                </wp:positionH>
                <wp:positionV relativeFrom="paragraph">
                  <wp:posOffset>608965</wp:posOffset>
                </wp:positionV>
                <wp:extent cx="5730875" cy="1404620"/>
                <wp:effectExtent l="0" t="0" r="22225" b="25400"/>
                <wp:wrapTopAndBottom/>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0949" cy="1404620"/>
                        </a:xfrm>
                        <a:prstGeom prst="rect">
                          <a:avLst/>
                        </a:prstGeom>
                        <a:solidFill>
                          <a:srgbClr val="FFFFFF"/>
                        </a:solidFill>
                        <a:ln w="9525">
                          <a:solidFill>
                            <a:srgbClr val="000000"/>
                          </a:solidFill>
                          <a:miter lim="800000"/>
                          <a:headEnd/>
                          <a:tailEnd/>
                        </a:ln>
                      </wps:spPr>
                      <wps:txbx>
                        <w:txbxContent>
                          <w:p w14:paraId="64B33934" w14:textId="4B76F594" w:rsidR="009E0264" w:rsidRPr="00D32869" w:rsidRDefault="009E0264" w:rsidP="009E0264">
                            <w:pPr>
                              <w:pStyle w:val="Text1"/>
                              <w:keepNext/>
                              <w:spacing w:after="120"/>
                              <w:ind w:left="0"/>
                              <w:rPr>
                                <w:b/>
                                <w:szCs w:val="24"/>
                              </w:rPr>
                            </w:pPr>
                            <w:r>
                              <w:rPr>
                                <w:b/>
                              </w:rPr>
                              <w:t>La Commission s’engage à:</w:t>
                            </w:r>
                          </w:p>
                          <w:p w14:paraId="4AA65FA6" w14:textId="7AE6153C" w:rsidR="009E0264" w:rsidRPr="00D32869" w:rsidRDefault="009E0264" w:rsidP="009E0264">
                            <w:pPr>
                              <w:pStyle w:val="Text1"/>
                              <w:numPr>
                                <w:ilvl w:val="0"/>
                                <w:numId w:val="39"/>
                              </w:numPr>
                              <w:spacing w:after="120"/>
                            </w:pPr>
                            <w:r>
                              <w:t xml:space="preserve">Élaborer des stratégies d’infrastructures de recherche et de technologie pour </w:t>
                            </w:r>
                            <w:r>
                              <w:rPr>
                                <w:b/>
                              </w:rPr>
                              <w:t>attirer les talents issus de pays hors UE</w:t>
                            </w:r>
                            <w:r>
                              <w:t xml:space="preserve">, conformément à l’approche </w:t>
                            </w:r>
                            <w:hyperlink r:id="rId36">
                              <w:r>
                                <w:rPr>
                                  <w:rStyle w:val="Hyperlink"/>
                                  <w:i/>
                                </w:rPr>
                                <w:t>Choisir l’Europe</w:t>
                              </w:r>
                            </w:hyperlink>
                            <w:r>
                              <w:t xml:space="preserve">. </w:t>
                            </w:r>
                          </w:p>
                          <w:p w14:paraId="6BB04263" w14:textId="77777777" w:rsidR="009E0264" w:rsidRPr="00D32869" w:rsidRDefault="009E0264" w:rsidP="009E0264">
                            <w:pPr>
                              <w:pStyle w:val="Text1"/>
                              <w:numPr>
                                <w:ilvl w:val="0"/>
                                <w:numId w:val="39"/>
                              </w:numPr>
                              <w:spacing w:after="0"/>
                            </w:pPr>
                            <w:r>
                              <w:t xml:space="preserve">Soutenir la </w:t>
                            </w:r>
                            <w:r>
                              <w:rPr>
                                <w:b/>
                              </w:rPr>
                              <w:t>formation du personnel des infrastructures de recherche et des infrastructures technologiques</w:t>
                            </w:r>
                            <w:r>
                              <w:t xml:space="preserve">, tout en encourageant la reconnaissance de leurs contributions diverses dans l’évaluation de la recherche: (i) professionnaliser la formation du </w:t>
                            </w:r>
                            <w:r>
                              <w:rPr>
                                <w:b/>
                              </w:rPr>
                              <w:t>personnel de gestion et de direction</w:t>
                            </w:r>
                            <w:r>
                              <w:t xml:space="preserve">, (ii) améliorer les compétences et les profils de carrière du </w:t>
                            </w:r>
                            <w:r>
                              <w:rPr>
                                <w:b/>
                              </w:rPr>
                              <w:t>personnel technique</w:t>
                            </w:r>
                            <w:r>
                              <w:t xml:space="preserve"> pour répondre à l’évolution des besoins tels que la sécurité de la recherche, la gestion des données, l’assurance de la qualité, etc., (iii) promouvoir les </w:t>
                            </w:r>
                            <w:r>
                              <w:rPr>
                                <w:b/>
                              </w:rPr>
                              <w:t>compétences entrepreneuriales</w:t>
                            </w:r>
                            <w:r>
                              <w:t xml:space="preserve"> pour exploiter le potentiel des infrastructures en tant que centres dans les écosystèmes d’innovation deep tech, et (iv) mettre en place des mécanismes d’</w:t>
                            </w:r>
                            <w:r>
                              <w:rPr>
                                <w:b/>
                              </w:rPr>
                              <w:t>échanges de personnel</w:t>
                            </w:r>
                            <w:r>
                              <w:t xml:space="preserve"> entre les infrastructures et les organisations opérant dans les écosystèmes d’innovation.</w:t>
                            </w:r>
                          </w:p>
                          <w:p w14:paraId="3BAC6998" w14:textId="4B4FB246" w:rsidR="009E0264" w:rsidRDefault="009E0264"/>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9011F32" id="_x0000_s1032" type="#_x0000_t202" style="position:absolute;left:0;text-align:left;margin-left:400.05pt;margin-top:47.95pt;width:451.25pt;height:110.6pt;z-index:251662350;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">
                <v:textbox style="mso-fit-shape-to-text:t">
                  <w:txbxContent>
                    <w:p w14:paraId="64B33934" w14:textId="4B76F594" w:rsidR="009E0264" w:rsidRPr="00D32869" w:rsidRDefault="009E0264" w:rsidP="009E0264">
                      <w:pPr>
                        <w:pStyle w:val="Text1"/>
                        <w:keepNext/>
                        <w:spacing w:after="120"/>
                        <w:ind w:left="0"/>
                        <w:rPr>
                          <w:b/>
                          <w:szCs w:val="24"/>
                        </w:rPr>
                      </w:pPr>
                      <w:r>
                        <w:rPr>
                          <w:b/>
                        </w:rPr>
                        <w:t>La Commission s’engage à:</w:t>
                      </w:r>
                    </w:p>
                    <w:p w14:paraId="4AA65FA6" w14:textId="7AE6153C" w:rsidR="009E0264" w:rsidRPr="00D32869" w:rsidRDefault="009E0264" w:rsidP="009E0264">
                      <w:pPr>
                        <w:pStyle w:val="Text1"/>
                        <w:numPr>
                          <w:ilvl w:val="0"/>
                          <w:numId w:val="39"/>
                        </w:numPr>
                        <w:spacing w:after="120"/>
                      </w:pPr>
                      <w:r>
                        <w:t xml:space="preserve">Élaborer des stratégies d’infrastructures de recherche et de technologie pour </w:t>
                      </w:r>
                      <w:r>
                        <w:rPr>
                          <w:b/>
                        </w:rPr>
                        <w:t>attirer les talents issus de pays hors UE</w:t>
                      </w:r>
                      <w:r>
                        <w:t xml:space="preserve">, conformément à l’approche </w:t>
                      </w:r>
                      <w:hyperlink r:id="rId37">
                        <w:r>
                          <w:rPr>
                            <w:rStyle w:val="Hyperlink"/>
                            <w:i/>
                          </w:rPr>
                          <w:t>Choisir l’Europe</w:t>
                        </w:r>
                      </w:hyperlink>
                      <w:r>
                        <w:t xml:space="preserve">. </w:t>
                      </w:r>
                    </w:p>
                    <w:p w14:paraId="6BB04263" w14:textId="77777777" w:rsidR="009E0264" w:rsidRPr="00D32869" w:rsidRDefault="009E0264" w:rsidP="009E0264">
                      <w:pPr>
                        <w:pStyle w:val="Text1"/>
                        <w:numPr>
                          <w:ilvl w:val="0"/>
                          <w:numId w:val="39"/>
                        </w:numPr>
                        <w:spacing w:after="0"/>
                      </w:pPr>
                      <w:r>
                        <w:t xml:space="preserve">Soutenir la </w:t>
                      </w:r>
                      <w:r>
                        <w:rPr>
                          <w:b/>
                        </w:rPr>
                        <w:t>formation du personnel des infrastructures de recherche et des infrastructures technologiques</w:t>
                      </w:r>
                      <w:r>
                        <w:t xml:space="preserve">, tout en encourageant la reconnaissance de leurs contributions diverses dans l’évaluation de la recherche: (i) professionnaliser la formation du </w:t>
                      </w:r>
                      <w:r>
                        <w:rPr>
                          <w:b/>
                        </w:rPr>
                        <w:t>personnel de gestion et de direction</w:t>
                      </w:r>
                      <w:r>
                        <w:t xml:space="preserve">, (ii) améliorer les compétences et les profils de carrière du </w:t>
                      </w:r>
                      <w:r>
                        <w:rPr>
                          <w:b/>
                        </w:rPr>
                        <w:t>personnel technique</w:t>
                      </w:r>
                      <w:r>
                        <w:t xml:space="preserve"> pour répondre à l’évolution des besoins tels que la sécurité de la recherche, la gestion des données, l’assurance de la qualité, etc., (iii) promouvoir les </w:t>
                      </w:r>
                      <w:r>
                        <w:rPr>
                          <w:b/>
                        </w:rPr>
                        <w:t>compétences entrepreneuriales</w:t>
                      </w:r>
                      <w:r>
                        <w:t xml:space="preserve"> pour exploiter le potentiel des infrastructures en tant que centres dans les écosystèmes d’innovation deep tech, et (iv) mettre en place des mécanismes d’</w:t>
                      </w:r>
                      <w:r>
                        <w:rPr>
                          <w:b/>
                        </w:rPr>
                        <w:t>échanges de personnel</w:t>
                      </w:r>
                      <w:r>
                        <w:t xml:space="preserve"> entre les infrastructures et les organisations opérant dans les écosystèmes d’innovation.</w:t>
                      </w:r>
                    </w:p>
                    <w:p w14:paraId="3BAC6998" w14:textId="4B4FB246" w:rsidR="009E0264" w:rsidRDefault="009E0264"/>
                  </w:txbxContent>
                </v:textbox>
                <w10:wrap type="topAndBottom" anchorx="margin"/>
              </v:shape>
            </w:pict>
          </mc:Fallback>
        </mc:AlternateContent>
      </w:r>
      <w:r>
        <w:rPr>
          <w:noProof/>
        </w:rPr>
        <w:t xml:space="preserve">être mis en avant dans l’évaluation de la recherche et des chercheurs. </w:t>
      </w:r>
    </w:p>
    <w:p w14:paraId="4BA95EF3" w14:textId="5DCAF9DE" w:rsidR="009E0264" w:rsidRDefault="009E0264" w:rsidP="003E27D0">
      <w:pPr>
        <w:pStyle w:val="Text1"/>
        <w:keepNext/>
        <w:spacing w:after="120"/>
        <w:ind w:left="0"/>
        <w:rPr>
          <w:noProof/>
        </w:rPr>
      </w:pPr>
    </w:p>
    <w:p w14:paraId="0F9C33B4" w14:textId="16942764" w:rsidR="00D40F4F" w:rsidRPr="00D32869" w:rsidRDefault="00385257" w:rsidP="00D40F4F">
      <w:pPr>
        <w:pStyle w:val="Heading1"/>
        <w:rPr>
          <w:noProof/>
        </w:rPr>
      </w:pPr>
      <w:r>
        <w:rPr>
          <w:noProof/>
        </w:rPr>
        <w:t>Améliorer et simplifier le cadre de gouvernance de l’écosystème des infrastructures de recherche et de technologie</w:t>
      </w:r>
    </w:p>
    <w:p w14:paraId="76782C85" w14:textId="6A2E6410" w:rsidR="00D40F4F" w:rsidRPr="00D32869" w:rsidRDefault="00D40F4F" w:rsidP="00D40F4F">
      <w:pPr>
        <w:pStyle w:val="Text2"/>
        <w:spacing w:after="120"/>
        <w:ind w:left="0"/>
        <w:rPr>
          <w:noProof/>
        </w:rPr>
      </w:pPr>
      <w:r>
        <w:rPr>
          <w:noProof/>
        </w:rPr>
        <w:t xml:space="preserve">Afin de renforcer l’écosystème européen des infrastructures de recherche et de technologie qui permettra de définir et de convenir des priorités européennes, ainsi que de mobiliser et d’aligner les investissements stratégiques en conséquence, il est nécessaire de mettre en place un cadre de gouvernance approprié, en appliquant une approche globale et en reconnaissant les différentes missions des infrastructures de recherche et des infrastructures technologiques. Le cadre doit notamment tenir compte de la nécessité d’un soutien stable et structurel à la recherche exploratoire et d’excellence, et d’une approche davantage axée sur les défis pour la compétitivité industrielle et le déploiement de technologies stratégiques. </w:t>
      </w:r>
    </w:p>
    <w:p w14:paraId="5D5ABF13" w14:textId="20162AD9" w:rsidR="00115889" w:rsidRPr="00D32869" w:rsidRDefault="00115889" w:rsidP="00D40F4F">
      <w:pPr>
        <w:pStyle w:val="Text2"/>
        <w:spacing w:after="120"/>
        <w:ind w:left="0"/>
        <w:rPr>
          <w:noProof/>
          <w:szCs w:val="24"/>
        </w:rPr>
      </w:pPr>
      <w:r>
        <w:rPr>
          <w:noProof/>
        </w:rPr>
        <w:t>La planification stratégique des infrastructures de recherche est soutenue par la gouvernance de l’ESFRI au niveau de l’Union, qui devrait être encore consolidée pour traiter les domaines les plus fragmentés entre les États membres. La dernière feuille de route de l’ESFRI comprend plus de 60 infrastructures représentant plus de 25 milliards d’euros d’investissements, dont une grande partie est attendue dans les années à venir. L’analyse du paysage qui l’accompagne offre un aperçu détaillé de l’état, des services, de l’incidence et des perspectives des infrastructures de recherche européennes. L’ESFRI oriente également la planification nationale en matière d’infrastructures de recherche, de nombreux pays alignant leurs feuilles de route sur ses méthodologies</w:t>
      </w:r>
      <w:r w:rsidR="0075777D">
        <w:rPr>
          <w:rStyle w:val="FootnoteReference"/>
          <w:noProof/>
        </w:rPr>
        <w:footnoteReference w:id="14"/>
      </w:r>
      <w:r>
        <w:rPr>
          <w:noProof/>
        </w:rPr>
        <w:t>. Comme la plupart des infrastructures de recherche de l’ESFRI sont distribuées, elles contribuent à intégrer et à connecter de nombreuses installations et services nationaux.</w:t>
      </w:r>
    </w:p>
    <w:p w14:paraId="20659798" w14:textId="04EB6F15" w:rsidR="00385257" w:rsidRPr="00D32869" w:rsidRDefault="00D40F4F" w:rsidP="00D40F4F">
      <w:pPr>
        <w:pStyle w:val="Text2"/>
        <w:spacing w:after="120"/>
        <w:ind w:left="0"/>
        <w:rPr>
          <w:noProof/>
        </w:rPr>
      </w:pPr>
      <w:r>
        <w:rPr>
          <w:noProof/>
        </w:rPr>
        <w:t>Sur cette base, la stratégie vise à consolider et à rationaliser davantage le paysage européen des infrastructures de recherche, ainsi qu’à renforcer leur gouvernance, en favorisant une analyse et un suivi plus stratégiques du paysage, afin de mieux répondre aux priorités européennes et aux besoins en matière de sécurité économique, et d’établir des liens avec les travaux sur les infrastructures technologiques.</w:t>
      </w:r>
    </w:p>
    <w:p w14:paraId="668566A6" w14:textId="4B5CBCEC" w:rsidR="00D40F4F" w:rsidRPr="00D32869" w:rsidRDefault="004F3DA2" w:rsidP="00D40F4F">
      <w:pPr>
        <w:pStyle w:val="Text2"/>
        <w:spacing w:after="120"/>
        <w:ind w:left="0"/>
        <w:rPr>
          <w:noProof/>
        </w:rPr>
      </w:pPr>
      <w:r>
        <w:rPr>
          <w:noProof/>
        </w:rPr>
        <w:t>Au-delà des technologies numériques spécifiques, telles que l’IA ou le jumeau numérique pour la Terre par exemple, il n’existe actuellement aucun mécanisme de coordination dans l’Union pour faciliter la coopération et le dialogue sur les infrastructures technologiques entre les États membres, les opérateurs et les parties prenantes. Il est nécessaire de mettre en place un cadre de gouvernance multi-acteurs efficace et inclusif pour identifier les lacunes existantes en matière de services et les nouvelles priorités stratégiques au niveau de l’Union, afin de répondre aux besoins de l’industrie et de faciliter les investissements coordonnés dans les infrastructures technologiques, en mobilisant des fonds publics et privés pour des mises à niveau à grande échelle ou de nouvelles installations. Un mécanisme de coordination solide fournira une plateforme de réflexion stratégique et prospective, d’apprentissage mutuel, d’élaboration de normes communes et de suivi de la mise en œuvre et des résultats des actions convenues. Ce travail sera effectué en coopération avec le cadre des infrastructures de recherche, y compris l’ESFRI.</w:t>
      </w:r>
    </w:p>
    <w:p w14:paraId="66A37F53" w14:textId="253B5D4E" w:rsidR="3316726E" w:rsidRPr="00D32869" w:rsidRDefault="21F07161" w:rsidP="3316726E">
      <w:pPr>
        <w:pStyle w:val="Text2"/>
        <w:spacing w:after="120"/>
        <w:ind w:left="0"/>
        <w:rPr>
          <w:noProof/>
        </w:rPr>
      </w:pPr>
      <w:r>
        <w:rPr>
          <w:noProof/>
        </w:rPr>
        <w:t xml:space="preserve">Le mécanisme de coordination des infrastructures technologiques au niveau de l’Union doit être soutenu par des stratégies nationales ciblées conduisant à la hiérarchisation des investissements et à des programmes de financement solides. </w:t>
      </w:r>
    </w:p>
    <w:p w14:paraId="646AD805" w14:textId="0D54EE95" w:rsidR="006E21CB" w:rsidRPr="00D32869" w:rsidRDefault="00D40F4F" w:rsidP="00D40F4F">
      <w:pPr>
        <w:pStyle w:val="Text2"/>
        <w:spacing w:after="120"/>
        <w:ind w:left="0"/>
        <w:rPr>
          <w:noProof/>
        </w:rPr>
      </w:pPr>
      <w:r>
        <w:rPr>
          <w:noProof/>
        </w:rPr>
        <w:t xml:space="preserve">À plus long terme, un cadre de coordination européen global et léger contribuerait à harmoniser les politiques en matière d’infrastructures de recherche et de technologie et à rationaliser les mécanismes d’investissement et de financement, garantissant ainsi des synergies dans l’ensemble de l’écosystème européen des infrastructures de recherche et de technologie, tout en respectant leurs besoins et objectifs concrets, ainsi que les domaines et contextes politiques particuliers dans lesquels elles opèrent. Ce cadre devrait faciliter la poursuite de la convergence de la gouvernance des infrastructures de recherche et de technologie. </w:t>
      </w:r>
      <w:bookmarkStart w:id="7" w:name="_Hlk204588247"/>
      <w:r>
        <w:rPr>
          <w:noProof/>
        </w:rPr>
        <w:t>Parallèlement, la cohérence sera assurée avec d’autres initiatives européennes, dotées de cadres de gouvernance distincts, qui fournissent des capacités et des infrastructures soutenant le développement, l’adoption et le déploiement des technologies numériques</w:t>
      </w:r>
      <w:r w:rsidR="006E21CB">
        <w:rPr>
          <w:rStyle w:val="FootnoteReference"/>
          <w:noProof/>
        </w:rPr>
        <w:footnoteReference w:id="15"/>
      </w:r>
      <w:r>
        <w:rPr>
          <w:noProof/>
        </w:rPr>
        <w:t xml:space="preserve">, y compris au-delà de la recherche et de l’innovation. </w:t>
      </w:r>
    </w:p>
    <w:tbl>
      <w:tblPr>
        <w:tblStyle w:val="TableGrid"/>
        <w:tblW w:w="9067" w:type="dxa"/>
        <w:tblLook w:val="04A0" w:firstRow="1" w:lastRow="0" w:firstColumn="1" w:lastColumn="0" w:noHBand="0" w:noVBand="1"/>
      </w:tblPr>
      <w:tblGrid>
        <w:gridCol w:w="9067"/>
      </w:tblGrid>
      <w:tr w:rsidR="00D40F4F" w:rsidRPr="00D32869" w14:paraId="65306B06" w14:textId="77777777" w:rsidTr="4F24E2FD">
        <w:trPr>
          <w:trHeight w:val="3150"/>
        </w:trPr>
        <w:tc>
          <w:tcPr>
            <w:tcW w:w="9067" w:type="dxa"/>
          </w:tcPr>
          <w:bookmarkEnd w:id="7"/>
          <w:p w14:paraId="4DFB694D" w14:textId="63441401" w:rsidR="00D40F4F" w:rsidRPr="00D32869" w:rsidRDefault="00D40F4F" w:rsidP="003A1756">
            <w:pPr>
              <w:pStyle w:val="Text1"/>
              <w:keepNext/>
              <w:spacing w:after="120"/>
              <w:ind w:left="0"/>
              <w:rPr>
                <w:b/>
                <w:bCs/>
                <w:noProof/>
                <w:szCs w:val="24"/>
              </w:rPr>
            </w:pPr>
            <w:r>
              <w:rPr>
                <w:b/>
                <w:noProof/>
              </w:rPr>
              <w:t>Afin de renforcer le cadre de gouvernance des infrastructures de recherche et de technologie, la Commission s’engage à:</w:t>
            </w:r>
          </w:p>
          <w:p w14:paraId="2808679B" w14:textId="5FBC1D4F" w:rsidR="001A60D2" w:rsidRPr="00E3221B" w:rsidRDefault="00E43D7C" w:rsidP="009E0264">
            <w:pPr>
              <w:pStyle w:val="Text1"/>
              <w:numPr>
                <w:ilvl w:val="0"/>
                <w:numId w:val="41"/>
              </w:numPr>
              <w:spacing w:after="120"/>
              <w:rPr>
                <w:i/>
                <w:noProof/>
              </w:rPr>
            </w:pPr>
            <w:r>
              <w:rPr>
                <w:noProof/>
              </w:rPr>
              <w:t xml:space="preserve"> Proposer un </w:t>
            </w:r>
            <w:r>
              <w:rPr>
                <w:b/>
                <w:noProof/>
              </w:rPr>
              <w:t>cadre de coordination global de l’Union pour l’écosystème des infrastructures de recherche et de technologie</w:t>
            </w:r>
            <w:r>
              <w:rPr>
                <w:noProof/>
              </w:rPr>
              <w:t xml:space="preserve"> orienté vers une approche globale fondée sur les synergies, tout en reconnaissant les différentes missions, objectifs et contextes politiques de ces infrastructures.</w:t>
            </w:r>
          </w:p>
          <w:p w14:paraId="41039E2B" w14:textId="4EBD4A52" w:rsidR="00D40F4F" w:rsidRPr="00D32869" w:rsidRDefault="001A60D2" w:rsidP="009E0264">
            <w:pPr>
              <w:pStyle w:val="Text1"/>
              <w:numPr>
                <w:ilvl w:val="0"/>
                <w:numId w:val="41"/>
              </w:numPr>
              <w:spacing w:after="120"/>
              <w:rPr>
                <w:i/>
                <w:iCs/>
                <w:noProof/>
              </w:rPr>
            </w:pPr>
            <w:r>
              <w:rPr>
                <w:noProof/>
              </w:rPr>
              <w:t xml:space="preserve">Mettre en œuvre un </w:t>
            </w:r>
            <w:r>
              <w:rPr>
                <w:b/>
                <w:noProof/>
              </w:rPr>
              <w:t xml:space="preserve">mécanisme de gouvernance, </w:t>
            </w:r>
            <w:r>
              <w:rPr>
                <w:noProof/>
              </w:rPr>
              <w:t>en collaboration avec les États membres et les parties prenantes,</w:t>
            </w:r>
            <w:r>
              <w:rPr>
                <w:b/>
                <w:noProof/>
              </w:rPr>
              <w:t xml:space="preserve"> </w:t>
            </w:r>
            <w:r>
              <w:rPr>
                <w:noProof/>
              </w:rPr>
              <w:t xml:space="preserve">qui fournira un cadre commun pour une approche européenne des </w:t>
            </w:r>
            <w:r>
              <w:rPr>
                <w:b/>
                <w:noProof/>
              </w:rPr>
              <w:t>infrastructures technologiques</w:t>
            </w:r>
            <w:r>
              <w:rPr>
                <w:noProof/>
              </w:rPr>
              <w:t>.</w:t>
            </w:r>
          </w:p>
          <w:p w14:paraId="42D7A060" w14:textId="75D54C32" w:rsidR="00D40F4F" w:rsidRPr="00D32869" w:rsidRDefault="00E43D7C" w:rsidP="009E0264">
            <w:pPr>
              <w:pStyle w:val="Text1"/>
              <w:numPr>
                <w:ilvl w:val="0"/>
                <w:numId w:val="41"/>
              </w:numPr>
              <w:spacing w:after="120"/>
              <w:rPr>
                <w:noProof/>
                <w:szCs w:val="24"/>
              </w:rPr>
            </w:pPr>
            <w:r>
              <w:rPr>
                <w:noProof/>
              </w:rPr>
              <w:t xml:space="preserve"> Encourager l’ESFRI à poursuivre le dialogue avec les parties prenantes concernées et à </w:t>
            </w:r>
            <w:r>
              <w:rPr>
                <w:b/>
                <w:noProof/>
              </w:rPr>
              <w:t>réviser sa méthodologie d’analyse du paysage</w:t>
            </w:r>
            <w:r>
              <w:rPr>
                <w:noProof/>
              </w:rPr>
              <w:t xml:space="preserve"> et sa vision à long terme en conséquence. Proposer des </w:t>
            </w:r>
            <w:r>
              <w:rPr>
                <w:b/>
                <w:noProof/>
              </w:rPr>
              <w:t>indicateurs relatifs à l’évaluation et à la sensibilisation en ce qui concerne la pertinence stratégique des repères ESFRI et des ERIC ou de leurs services</w:t>
            </w:r>
            <w:r>
              <w:rPr>
                <w:noProof/>
              </w:rPr>
              <w:t xml:space="preserve">, en fonction des priorités de l’Union, y compris la sécurité économique. </w:t>
            </w:r>
          </w:p>
        </w:tc>
      </w:tr>
    </w:tbl>
    <w:p w14:paraId="0D86B174" w14:textId="77777777" w:rsidR="00D40F4F" w:rsidRPr="00D32869" w:rsidRDefault="00D40F4F" w:rsidP="00D40F4F">
      <w:pPr>
        <w:pStyle w:val="Heading1"/>
        <w:rPr>
          <w:noProof/>
          <w:szCs w:val="24"/>
        </w:rPr>
      </w:pPr>
      <w:r>
        <w:rPr>
          <w:noProof/>
        </w:rPr>
        <w:t xml:space="preserve">Renforcer la dimension internationale et la résilience des infrastructures européennes de recherche et de technologie </w:t>
      </w:r>
    </w:p>
    <w:p w14:paraId="48D44EC8" w14:textId="5412BB62" w:rsidR="00512B09" w:rsidRDefault="00C649E6" w:rsidP="757AB81F">
      <w:pPr>
        <w:pStyle w:val="Text2"/>
        <w:spacing w:after="120"/>
        <w:ind w:left="0"/>
        <w:rPr>
          <w:noProof/>
          <w:szCs w:val="24"/>
        </w:rPr>
      </w:pPr>
      <w:r>
        <w:rPr>
          <w:noProof/>
        </w:rPr>
        <w:t>L’attrait des infrastructures européennes de recherche et de technologie ne réside pas seulement dans leur excellence, mais aussi dans leur rôle de pôles de coopération mondiale</w:t>
      </w:r>
      <w:r w:rsidR="00E55557">
        <w:rPr>
          <w:rStyle w:val="FootnoteReference"/>
          <w:noProof/>
          <w:szCs w:val="24"/>
        </w:rPr>
        <w:footnoteReference w:id="16"/>
      </w:r>
      <w:r>
        <w:rPr>
          <w:noProof/>
        </w:rPr>
        <w:t>.</w:t>
      </w:r>
    </w:p>
    <w:p w14:paraId="152B284C" w14:textId="4ED917D6" w:rsidR="00EC2DF8" w:rsidRPr="003E27D0" w:rsidRDefault="00512B09" w:rsidP="757AB81F">
      <w:pPr>
        <w:pStyle w:val="Text2"/>
        <w:spacing w:after="120"/>
        <w:ind w:left="0"/>
        <w:rPr>
          <w:noProof/>
          <w:szCs w:val="24"/>
        </w:rPr>
      </w:pPr>
      <w:r>
        <w:rPr>
          <w:noProof/>
        </w:rPr>
        <w:t>Les infrastructures de recherche européennes sont souvent engagées dans des collaborations internationales, en particulier dans les domaines de la mégascience comme l’astronomie et la physique des particules, où les coûts et l’expertise exigent des efforts conjoints, comme l’illustre le projet Square Kilometre Array (SKA) sur la radioastronomie. La coopération mondiale est également essentielle pour relever des défis tels que la surveillance de l’environnement, où les données gagnent de la valeur grâce à une couverture mondiale, comme dans le cas de l’observation des océans</w:t>
      </w:r>
      <w:r w:rsidR="000813F4">
        <w:rPr>
          <w:rStyle w:val="FootnoteReference"/>
          <w:noProof/>
          <w:szCs w:val="24"/>
        </w:rPr>
        <w:footnoteReference w:id="17"/>
      </w:r>
      <w:r>
        <w:rPr>
          <w:noProof/>
        </w:rPr>
        <w:t xml:space="preserve">. Ces infrastructures servent d’outils de diplomatie scientifique en établissant des relations de confiance avec des régions telles que l’Amérique latine, l’Afrique et l’Association des nations de l’Asie du Sud-Est (ASEAN). Cette forme de diplomatie scientifique par le biais des infrastructures de recherche est encore plus précieuse lorsque les relations entre les partenaires sont difficiles dans d’autres domaines, comme l’a montré l’exemple du Centre international de rayonnement synchrotron pour les sciences expérimentales et appliquées au Moyen-Orient (Centre SESAME). </w:t>
      </w:r>
    </w:p>
    <w:p w14:paraId="3E7E5095" w14:textId="797443BB" w:rsidR="00D40F4F" w:rsidRPr="00D32869" w:rsidRDefault="001D3E15" w:rsidP="00EC2DF8">
      <w:pPr>
        <w:pStyle w:val="Text2"/>
        <w:spacing w:after="120"/>
        <w:ind w:left="0"/>
        <w:rPr>
          <w:noProof/>
          <w:szCs w:val="24"/>
        </w:rPr>
      </w:pPr>
      <w:r>
        <w:rPr>
          <w:noProof/>
        </w:rPr>
        <w:t>Les connexions internationales deviennent également de plus en plus importantes pour les infrastructures technologiques, reflétant les chaînes d’approvisionnement mondiales des technologies clés qu’elles couvrent. Le soutien aux activités de coopération internationale dans le domaine de la recherche et de la technologie offre également aux chercheurs et aux innovateurs européens la possibilité d’accéder à des instruments et à des services de classe mondiale dans d’autres régions du monde.</w:t>
      </w:r>
    </w:p>
    <w:p w14:paraId="0EE6308D" w14:textId="343B5805" w:rsidR="00D40F4F" w:rsidRPr="00D32869" w:rsidRDefault="00D40F4F" w:rsidP="00D40F4F">
      <w:pPr>
        <w:pStyle w:val="Text1"/>
        <w:spacing w:after="120"/>
        <w:ind w:left="0"/>
        <w:rPr>
          <w:noProof/>
          <w:szCs w:val="24"/>
        </w:rPr>
      </w:pPr>
      <w:r>
        <w:rPr>
          <w:noProof/>
        </w:rPr>
        <w:t>Dans le même temps, l’évolution rapide du contexte géopolitique exige d’accroître la résilience de l’écosystème européen des infrastructures de recherche et de technologie afin de garantir l’autonomie et le contrôle de l’Union sur ses actifs essentiels en matière de recherche et de technologie, y compris les données et les ressources numériques. Conformément à la stratégie européenne de sécurité intérieure (ProtectEU) adoptée en 2025</w:t>
      </w:r>
      <w:r w:rsidR="007C3187">
        <w:rPr>
          <w:rStyle w:val="FootnoteReference"/>
          <w:noProof/>
          <w:lang w:val="en-IE"/>
        </w:rPr>
        <w:footnoteReference w:id="18"/>
      </w:r>
      <w:r>
        <w:rPr>
          <w:noProof/>
        </w:rPr>
        <w:t>, il est nécessaire de prendre des mesures pour faire face aux menaces pesant sur les infrastructures de recherche et technologiques considérées comme critiques pour la sécurité économique et les intérêts stratégiques de l’Union, y compris dans les domaines technologiques critiques</w:t>
      </w:r>
      <w:r w:rsidRPr="7D5821A3">
        <w:rPr>
          <w:noProof/>
          <w:vertAlign w:val="superscript"/>
          <w:lang w:val="en-IE"/>
        </w:rPr>
        <w:footnoteReference w:id="19"/>
      </w:r>
      <w:r>
        <w:rPr>
          <w:noProof/>
        </w:rPr>
        <w:t xml:space="preserve"> de la défense et de l’espace, et pour les défis sociétaux clés tels que la santé mondiale, la transition vers une économie circulaire, la sécurité énergétique et alimentaire, le changement climatique, la perte de biodiversité et les risques naturels ou d’origine anthropique. Ces menaces peuvent être liées à la réduction de la couverture géographique, à la perte, à la fuite ou à l’interruption de données essentielles, à l’accès limité ou coûteux aux données, aux équipements ou aux installations, ainsi qu’à la fourniture de ressources et d’instruments. L’accès aux infrastructures technologiques traitant des technologies critiques doit être géré avec soin.</w:t>
      </w:r>
    </w:p>
    <w:p w14:paraId="2FE13FE7" w14:textId="2B3019A1" w:rsidR="00D40F4F" w:rsidRPr="00D32869" w:rsidRDefault="00D40F4F" w:rsidP="00D40F4F">
      <w:pPr>
        <w:pStyle w:val="Text1"/>
        <w:spacing w:after="120"/>
        <w:ind w:left="0"/>
        <w:rPr>
          <w:noProof/>
        </w:rPr>
      </w:pPr>
      <w:r>
        <w:rPr>
          <w:noProof/>
        </w:rPr>
        <w:t>L’intégration des pays candidats et candidats potentiels ainsi que des pays associés dans l’EER est également un élément clé de la résilience des infrastructures de recherche et de technologie. Dans ce contexte, l’Ukraine mérite un soutien particulier. L’état des infrastructures de recherche en Ukraine est en cours d’évaluation, et une évaluation des infrastructures technologiques débutera prochainement. L’Union devrait soutenir les autorités ukrainiennes dans leurs efforts stratégiques pour développer et reconstruire leurs capacités de R&amp;I et renforcer la collaboration et la mise en réseau avec d’autres infrastructures européennes de recherche et de technologie.</w:t>
      </w:r>
    </w:p>
    <w:p w14:paraId="6F5D60F9" w14:textId="2EABDFAD" w:rsidR="00D40F4F" w:rsidRPr="00741A43" w:rsidRDefault="00D40F4F" w:rsidP="4AAB90E8">
      <w:pPr>
        <w:pStyle w:val="Text1"/>
        <w:spacing w:after="120"/>
        <w:ind w:left="0"/>
        <w:rPr>
          <w:noProof/>
        </w:rPr>
      </w:pPr>
    </w:p>
    <w:tbl>
      <w:tblPr>
        <w:tblStyle w:val="TableGrid"/>
        <w:tblW w:w="9067" w:type="dxa"/>
        <w:tblLook w:val="04A0" w:firstRow="1" w:lastRow="0" w:firstColumn="1" w:lastColumn="0" w:noHBand="0" w:noVBand="1"/>
      </w:tblPr>
      <w:tblGrid>
        <w:gridCol w:w="9067"/>
      </w:tblGrid>
      <w:tr w:rsidR="00D40F4F" w:rsidRPr="00D32869" w14:paraId="6208BDCE" w14:textId="77777777" w:rsidTr="003E27D0">
        <w:trPr>
          <w:trHeight w:val="4113"/>
        </w:trPr>
        <w:tc>
          <w:tcPr>
            <w:tcW w:w="9067" w:type="dxa"/>
          </w:tcPr>
          <w:p w14:paraId="6C5E2B69" w14:textId="6F54013D" w:rsidR="00D40F4F" w:rsidRPr="00D32869" w:rsidRDefault="00D40F4F" w:rsidP="003A1756">
            <w:pPr>
              <w:pStyle w:val="Text1"/>
              <w:keepNext/>
              <w:spacing w:after="120"/>
              <w:ind w:left="0"/>
              <w:rPr>
                <w:b/>
                <w:noProof/>
                <w:szCs w:val="24"/>
              </w:rPr>
            </w:pPr>
            <w:r>
              <w:rPr>
                <w:b/>
                <w:noProof/>
              </w:rPr>
              <w:t>Afin de renforcer les infrastructures européennes de recherche et de technologie sur la scène internationale, la Commission travaillera avec les États membres pour:</w:t>
            </w:r>
          </w:p>
          <w:p w14:paraId="73B45E31" w14:textId="0A5892F1" w:rsidR="00D40F4F" w:rsidRPr="00D32869" w:rsidRDefault="00D40F4F" w:rsidP="009E0264">
            <w:pPr>
              <w:pStyle w:val="Text1"/>
              <w:numPr>
                <w:ilvl w:val="0"/>
                <w:numId w:val="41"/>
              </w:numPr>
              <w:spacing w:after="120"/>
              <w:rPr>
                <w:noProof/>
              </w:rPr>
            </w:pPr>
            <w:r>
              <w:rPr>
                <w:noProof/>
              </w:rPr>
              <w:t xml:space="preserve">Renforcer la </w:t>
            </w:r>
            <w:r>
              <w:rPr>
                <w:b/>
                <w:noProof/>
              </w:rPr>
              <w:t>dimension internationale des infrastructures de recherche paneuropéennes</w:t>
            </w:r>
            <w:r>
              <w:rPr>
                <w:noProof/>
              </w:rPr>
              <w:t xml:space="preserve"> et leur rôle dans la diplomatie scientifique, notamment en élargissant la couverture géographique dans les domaines scientifiques hautement prioritaires, en promouvant les normes et approches européennes en matière d’accès, de gestion des données et de science ouverte à l’échelle mondiale, en favorisant la réciprocité de l’accès pour les chercheurs de l'UE et en facilitant l’échange de bonnes pratiques, tout en garantissant les niveaux appropriés de sécurité et de confidentialité.</w:t>
            </w:r>
          </w:p>
          <w:p w14:paraId="4AB145EA" w14:textId="490E48B0" w:rsidR="00547501" w:rsidRPr="00390ED6" w:rsidRDefault="0009208B" w:rsidP="009E0264">
            <w:pPr>
              <w:pStyle w:val="Text1"/>
              <w:numPr>
                <w:ilvl w:val="0"/>
                <w:numId w:val="41"/>
              </w:numPr>
              <w:spacing w:after="120"/>
              <w:rPr>
                <w:noProof/>
                <w:szCs w:val="24"/>
              </w:rPr>
            </w:pPr>
            <w:r>
              <w:rPr>
                <w:noProof/>
              </w:rPr>
              <w:t xml:space="preserve">Mettre en place des actions pour soutenir: (i) la mise en œuvre de mesures de </w:t>
            </w:r>
            <w:r>
              <w:rPr>
                <w:b/>
                <w:noProof/>
              </w:rPr>
              <w:t>gestion et d’atténuation des risques et d’intervention en cas d'urgence</w:t>
            </w:r>
            <w:r>
              <w:rPr>
                <w:noProof/>
              </w:rPr>
              <w:t xml:space="preserve"> pour les infrastructures, (ii) l’alignement et la coordination des investissements dans toute l’Europe pour un </w:t>
            </w:r>
            <w:r>
              <w:rPr>
                <w:b/>
                <w:noProof/>
              </w:rPr>
              <w:t>stockage, un traitement et un partage fiables et sécurisés</w:t>
            </w:r>
            <w:r>
              <w:rPr>
                <w:noProof/>
              </w:rPr>
              <w:t xml:space="preserve"> des données critiques, y compris par l’intermédiaire de l’EOSC, et (iii) l’élaboration de cadres de </w:t>
            </w:r>
            <w:r>
              <w:rPr>
                <w:b/>
                <w:noProof/>
              </w:rPr>
              <w:t>souveraineté des données</w:t>
            </w:r>
            <w:r>
              <w:rPr>
                <w:noProof/>
              </w:rPr>
              <w:t xml:space="preserve"> pour un partage sécurisé et efficace des données. Ces mesures bénéficieront également de la coopération avec l’Observatoire européen des technologies critiques et avec les initiatives pertinentes en matière de sécurité de la recherche dans le cadre de la stratégie ProtectEU.</w:t>
            </w:r>
          </w:p>
          <w:p w14:paraId="18BE928C" w14:textId="675A46D2" w:rsidR="00FB62CD" w:rsidRPr="00D32869" w:rsidRDefault="00FB62CD" w:rsidP="009E0264">
            <w:pPr>
              <w:pStyle w:val="Text1"/>
              <w:numPr>
                <w:ilvl w:val="0"/>
                <w:numId w:val="41"/>
              </w:numPr>
              <w:spacing w:after="120"/>
              <w:rPr>
                <w:noProof/>
                <w:szCs w:val="24"/>
              </w:rPr>
            </w:pPr>
            <w:r>
              <w:rPr>
                <w:noProof/>
              </w:rPr>
              <w:t>Promouvoir l’</w:t>
            </w:r>
            <w:r>
              <w:rPr>
                <w:b/>
                <w:noProof/>
              </w:rPr>
              <w:t>intégration des pays candidats, des pays candidats potentiels et des pays associés, en particulier l’Ukraine,</w:t>
            </w:r>
            <w:r>
              <w:rPr>
                <w:noProof/>
              </w:rPr>
              <w:t xml:space="preserve"> dans l’EER, en soutenant la coopération entre les infrastructures de recherche et de technologie et leurs organisations hôtes, et en facilitant l’accès aux infrastructures européennes de recherche et de technologie, le cas échéant.</w:t>
            </w:r>
          </w:p>
        </w:tc>
      </w:tr>
    </w:tbl>
    <w:p w14:paraId="0466637A" w14:textId="77777777" w:rsidR="00D40F4F" w:rsidRPr="00D32869" w:rsidRDefault="00D40F4F" w:rsidP="00D40F4F">
      <w:pPr>
        <w:pStyle w:val="Heading1"/>
        <w:rPr>
          <w:noProof/>
        </w:rPr>
      </w:pPr>
      <w:r>
        <w:rPr>
          <w:noProof/>
        </w:rPr>
        <w:t>Conclusion</w:t>
      </w:r>
    </w:p>
    <w:p w14:paraId="6702F86A" w14:textId="440753C4" w:rsidR="00D40F4F" w:rsidRPr="00D32869" w:rsidRDefault="00D40F4F" w:rsidP="00D40F4F">
      <w:pPr>
        <w:pStyle w:val="Text1"/>
        <w:spacing w:after="120"/>
        <w:ind w:left="0"/>
        <w:rPr>
          <w:noProof/>
        </w:rPr>
      </w:pPr>
      <w:r>
        <w:rPr>
          <w:noProof/>
        </w:rPr>
        <w:t xml:space="preserve">Les infrastructures de recherche et de technologie de classe mondiale de l’Europe constituent des atouts stratégiques essentiels pour l’EER. Elles soutiennent l’excellence, de la recherche fondamentale à l’innovation de rupture, en soutenant la souveraineté et l’autonomie stratégique de l’Europe en matière de technologie et de données. </w:t>
      </w:r>
    </w:p>
    <w:p w14:paraId="7800E414" w14:textId="7BD9E390" w:rsidR="00D40F4F" w:rsidRPr="00D32869" w:rsidRDefault="00D40F4F" w:rsidP="00D40F4F">
      <w:pPr>
        <w:pStyle w:val="Text1"/>
        <w:spacing w:after="120"/>
        <w:ind w:left="0"/>
        <w:rPr>
          <w:noProof/>
        </w:rPr>
      </w:pPr>
      <w:r>
        <w:rPr>
          <w:noProof/>
        </w:rPr>
        <w:t xml:space="preserve">Cette stratégie vise à renforcer la compétitivité européenne en renforçant sa position de chef de file mondial dans les domaines de la science, de la technologie et de l’innovation. Pour y parvenir dans un paysage mondial en évolution rapide, l’Europe doit adopter une approche écosystémique globale des défis communs auxquels sont confrontées les infrastructures de recherche et de technologie, tout en s’engageant à prendre des mesures pour répondre à leurs besoins concrets. </w:t>
      </w:r>
    </w:p>
    <w:p w14:paraId="553AD0D8" w14:textId="4F6107CC" w:rsidR="00D40F4F" w:rsidRPr="00D32869" w:rsidRDefault="00221869" w:rsidP="00D40F4F">
      <w:pPr>
        <w:pStyle w:val="Text1"/>
        <w:spacing w:after="120"/>
        <w:ind w:left="0"/>
        <w:rPr>
          <w:noProof/>
        </w:rPr>
      </w:pPr>
      <w:r>
        <w:rPr>
          <w:noProof/>
        </w:rPr>
        <w:t xml:space="preserve">La mise en œuvre de cette stratégie permettrait de stimuler les capacités des infrastructures européennes grâce à des investissements accrus et à de nouveaux modèles de financement, à de nouveaux développements technologiques en matière d’infrastructures, à la pénétration des technologies numériques et de l’IA, ainsi qu’au renforcement des compétences. Elle améliorera, sécurisera et harmonisera l’accès aux services d’infrastructure, renforcera la gouvernance et consolidera leur dimension internationale, notamment en assurant la souveraineté des données critiques, tout en protégeant les actifs européens. </w:t>
      </w:r>
    </w:p>
    <w:p w14:paraId="53F9C2B5" w14:textId="5D919EAD" w:rsidR="007901E5" w:rsidRPr="00D32869" w:rsidRDefault="00BD2267">
      <w:pPr>
        <w:rPr>
          <w:rFonts w:ascii="Times New Roman Bold" w:hAnsi="Times New Roman Bold"/>
          <w:b/>
          <w:smallCaps/>
          <w:noProof/>
          <w:sz w:val="28"/>
          <w:szCs w:val="28"/>
        </w:rPr>
      </w:pPr>
      <w:r>
        <w:rPr>
          <w:noProof/>
        </w:rPr>
        <w:t>La Commission rendra régulièrement compte de la mise en œuvre de la présente stratégie au Parlement et au Conseil.</w:t>
      </w:r>
      <w:r>
        <w:rPr>
          <w:noProof/>
        </w:rPr>
        <w:br w:type="page"/>
      </w:r>
    </w:p>
    <w:p w14:paraId="4E030431" w14:textId="2FDAA3B8" w:rsidR="007901E5" w:rsidRPr="00D32869" w:rsidRDefault="007901E5" w:rsidP="007901E5">
      <w:pPr>
        <w:spacing w:after="240"/>
        <w:jc w:val="both"/>
        <w:rPr>
          <w:rFonts w:ascii="Times New Roman Bold" w:hAnsi="Times New Roman Bold"/>
          <w:b/>
          <w:noProof/>
          <w:szCs w:val="28"/>
        </w:rPr>
      </w:pPr>
      <w:r>
        <w:rPr>
          <w:rFonts w:ascii="Times New Roman Bold" w:hAnsi="Times New Roman Bold"/>
          <w:b/>
          <w:noProof/>
        </w:rPr>
        <w:t>Annexe 1. Calendrier de mise en œuvre des actions</w:t>
      </w:r>
    </w:p>
    <w:tbl>
      <w:tblPr>
        <w:tblStyle w:val="TableGrid"/>
        <w:tblW w:w="10349" w:type="dxa"/>
        <w:tblInd w:w="-431" w:type="dxa"/>
        <w:tblLayout w:type="fixed"/>
        <w:tblLook w:val="04A0" w:firstRow="1" w:lastRow="0" w:firstColumn="1" w:lastColumn="0" w:noHBand="0" w:noVBand="1"/>
      </w:tblPr>
      <w:tblGrid>
        <w:gridCol w:w="9215"/>
        <w:gridCol w:w="1134"/>
      </w:tblGrid>
      <w:tr w:rsidR="002F6801" w:rsidRPr="008E6915" w14:paraId="2AA7EE9E" w14:textId="77777777" w:rsidTr="008E6915">
        <w:trPr>
          <w:trHeight w:val="516"/>
        </w:trPr>
        <w:tc>
          <w:tcPr>
            <w:tcW w:w="9215" w:type="dxa"/>
            <w:shd w:val="clear" w:color="auto" w:fill="E7E6E6" w:themeFill="background2"/>
            <w:vAlign w:val="center"/>
          </w:tcPr>
          <w:p w14:paraId="78E051AC" w14:textId="77777777" w:rsidR="00CA2812" w:rsidRPr="008E6915" w:rsidRDefault="00CA2812">
            <w:pPr>
              <w:jc w:val="center"/>
              <w:rPr>
                <w:b/>
                <w:bCs/>
                <w:noProof/>
              </w:rPr>
            </w:pPr>
            <w:r>
              <w:rPr>
                <w:b/>
                <w:noProof/>
              </w:rPr>
              <w:t>Actions</w:t>
            </w:r>
          </w:p>
        </w:tc>
        <w:tc>
          <w:tcPr>
            <w:tcW w:w="1134" w:type="dxa"/>
            <w:shd w:val="clear" w:color="auto" w:fill="E7E6E6" w:themeFill="background2"/>
            <w:vAlign w:val="center"/>
          </w:tcPr>
          <w:p w14:paraId="50AA2706" w14:textId="77777777" w:rsidR="00CA2812" w:rsidRPr="008E6915" w:rsidRDefault="00CA2812">
            <w:pPr>
              <w:jc w:val="center"/>
              <w:rPr>
                <w:b/>
                <w:bCs/>
                <w:noProof/>
              </w:rPr>
            </w:pPr>
            <w:r>
              <w:rPr>
                <w:b/>
                <w:noProof/>
              </w:rPr>
              <w:t>Début</w:t>
            </w:r>
          </w:p>
        </w:tc>
      </w:tr>
      <w:tr w:rsidR="00723D53" w:rsidRPr="008E6915" w14:paraId="6B1D9F8D" w14:textId="77777777" w:rsidTr="008E6915">
        <w:trPr>
          <w:trHeight w:val="463"/>
        </w:trPr>
        <w:tc>
          <w:tcPr>
            <w:tcW w:w="10349" w:type="dxa"/>
            <w:gridSpan w:val="2"/>
            <w:shd w:val="clear" w:color="auto" w:fill="E7E6E6" w:themeFill="background2"/>
            <w:vAlign w:val="center"/>
          </w:tcPr>
          <w:p w14:paraId="0779EA49" w14:textId="77777777" w:rsidR="00CA2812" w:rsidRPr="008E6915" w:rsidRDefault="00CA2812">
            <w:pPr>
              <w:jc w:val="center"/>
              <w:rPr>
                <w:b/>
                <w:bCs/>
                <w:noProof/>
              </w:rPr>
            </w:pPr>
            <w:r>
              <w:rPr>
                <w:b/>
                <w:noProof/>
                <w:color w:val="000000" w:themeColor="text1"/>
              </w:rPr>
              <w:t>Renforcer les capacités et mobiliser les investissements</w:t>
            </w:r>
          </w:p>
        </w:tc>
      </w:tr>
      <w:tr w:rsidR="00CA2812" w:rsidRPr="008E6915" w14:paraId="40FAC025" w14:textId="77777777" w:rsidTr="008E6915">
        <w:tc>
          <w:tcPr>
            <w:tcW w:w="9215" w:type="dxa"/>
          </w:tcPr>
          <w:p w14:paraId="6A7EC46E" w14:textId="77777777" w:rsidR="00CA2812" w:rsidRPr="008E6915" w:rsidRDefault="00CA2812" w:rsidP="00CA2812">
            <w:pPr>
              <w:pStyle w:val="Text1"/>
              <w:numPr>
                <w:ilvl w:val="0"/>
                <w:numId w:val="40"/>
              </w:numPr>
              <w:spacing w:after="120"/>
              <w:jc w:val="left"/>
              <w:rPr>
                <w:noProof/>
                <w:color w:val="000000" w:themeColor="text1"/>
                <w:sz w:val="22"/>
                <w:szCs w:val="22"/>
              </w:rPr>
            </w:pPr>
            <w:r>
              <w:rPr>
                <w:noProof/>
                <w:color w:val="000000" w:themeColor="text1"/>
                <w:sz w:val="22"/>
              </w:rPr>
              <w:t xml:space="preserve">Élaborer des </w:t>
            </w:r>
            <w:r>
              <w:rPr>
                <w:b/>
                <w:noProof/>
                <w:color w:val="000000" w:themeColor="text1"/>
                <w:sz w:val="22"/>
              </w:rPr>
              <w:t>critères permettant d’identifier les infrastructures technologiques d’intérêt européen</w:t>
            </w:r>
            <w:r>
              <w:rPr>
                <w:noProof/>
                <w:color w:val="000000" w:themeColor="text1"/>
                <w:sz w:val="22"/>
              </w:rPr>
              <w:t>, en synergie avec la feuille de route de l’ESFRI pour les infrastructures de recherche.</w:t>
            </w:r>
          </w:p>
        </w:tc>
        <w:tc>
          <w:tcPr>
            <w:tcW w:w="1134" w:type="dxa"/>
            <w:vAlign w:val="center"/>
          </w:tcPr>
          <w:p w14:paraId="1C42927F" w14:textId="77777777" w:rsidR="00CA2812" w:rsidRPr="008E6915" w:rsidRDefault="00CA2812">
            <w:pPr>
              <w:jc w:val="center"/>
              <w:rPr>
                <w:noProof/>
                <w:sz w:val="22"/>
                <w:szCs w:val="22"/>
              </w:rPr>
            </w:pPr>
            <w:r>
              <w:rPr>
                <w:noProof/>
                <w:sz w:val="22"/>
              </w:rPr>
              <w:t>2025</w:t>
            </w:r>
          </w:p>
        </w:tc>
      </w:tr>
      <w:tr w:rsidR="00CA2812" w:rsidRPr="008E6915" w14:paraId="5119E0DD" w14:textId="77777777" w:rsidTr="008E6915">
        <w:tc>
          <w:tcPr>
            <w:tcW w:w="9215" w:type="dxa"/>
          </w:tcPr>
          <w:p w14:paraId="6EAA1325" w14:textId="777BB03F" w:rsidR="00CA2812" w:rsidRPr="008E6915" w:rsidRDefault="00C4173C" w:rsidP="00CA2812">
            <w:pPr>
              <w:pStyle w:val="Text1"/>
              <w:numPr>
                <w:ilvl w:val="0"/>
                <w:numId w:val="40"/>
              </w:numPr>
              <w:spacing w:after="120"/>
              <w:jc w:val="left"/>
              <w:rPr>
                <w:noProof/>
                <w:sz w:val="22"/>
                <w:szCs w:val="22"/>
              </w:rPr>
            </w:pPr>
            <w:r>
              <w:rPr>
                <w:noProof/>
                <w:sz w:val="22"/>
              </w:rPr>
              <w:t xml:space="preserve">Cartographier et évaluer les </w:t>
            </w:r>
            <w:r>
              <w:rPr>
                <w:b/>
                <w:noProof/>
                <w:sz w:val="22"/>
              </w:rPr>
              <w:t>capacités des infrastructures de recherche et de technologie</w:t>
            </w:r>
            <w:r>
              <w:rPr>
                <w:noProof/>
                <w:sz w:val="22"/>
              </w:rPr>
              <w:t xml:space="preserve"> en Europe dans le contexte de la concurrence mondiale, des priorités politiques et des besoins des utilisateurs, et élaborer des </w:t>
            </w:r>
            <w:r>
              <w:rPr>
                <w:b/>
                <w:noProof/>
                <w:sz w:val="22"/>
              </w:rPr>
              <w:t>feuilles de route communes pour l’investissement dans les capacités, en identifiant les domaines prioritaires</w:t>
            </w:r>
            <w:r>
              <w:rPr>
                <w:noProof/>
                <w:sz w:val="22"/>
              </w:rPr>
              <w:t xml:space="preserve"> pour des investissements ciblés dans un continuum allant des infrastructures de recherche aux infrastructures technologiques, y compris dans le cadre d’initiatives sectorielles au niveau de l’Union</w:t>
            </w:r>
            <w:r>
              <w:rPr>
                <w:noProof/>
                <w:sz w:val="20"/>
              </w:rPr>
              <w:t>.</w:t>
            </w:r>
          </w:p>
        </w:tc>
        <w:tc>
          <w:tcPr>
            <w:tcW w:w="1134" w:type="dxa"/>
            <w:vAlign w:val="center"/>
          </w:tcPr>
          <w:p w14:paraId="0DAD6C21" w14:textId="77777777" w:rsidR="00CA2812" w:rsidRPr="008E6915" w:rsidRDefault="00CA2812">
            <w:pPr>
              <w:jc w:val="center"/>
              <w:rPr>
                <w:noProof/>
                <w:sz w:val="22"/>
                <w:szCs w:val="22"/>
              </w:rPr>
            </w:pPr>
            <w:r>
              <w:rPr>
                <w:noProof/>
                <w:sz w:val="22"/>
              </w:rPr>
              <w:t>2026</w:t>
            </w:r>
          </w:p>
        </w:tc>
      </w:tr>
      <w:tr w:rsidR="00CA2812" w:rsidRPr="008E6915" w14:paraId="7286194D" w14:textId="77777777" w:rsidTr="008E6915">
        <w:tc>
          <w:tcPr>
            <w:tcW w:w="9215" w:type="dxa"/>
          </w:tcPr>
          <w:p w14:paraId="68D464EF" w14:textId="3C4A76D4" w:rsidR="00CA2812" w:rsidRPr="00C4173C" w:rsidRDefault="00C4173C" w:rsidP="00C4173C">
            <w:pPr>
              <w:pStyle w:val="Text1"/>
              <w:numPr>
                <w:ilvl w:val="0"/>
                <w:numId w:val="40"/>
              </w:numPr>
              <w:spacing w:after="120"/>
              <w:rPr>
                <w:noProof/>
                <w:color w:val="000000" w:themeColor="text1"/>
              </w:rPr>
            </w:pPr>
            <w:r>
              <w:rPr>
                <w:b/>
                <w:noProof/>
                <w:color w:val="000000" w:themeColor="text1"/>
                <w:sz w:val="22"/>
              </w:rPr>
              <w:t>Investir dans la mise en place et le maintien de nouvelles capacités essentielles</w:t>
            </w:r>
            <w:r>
              <w:rPr>
                <w:noProof/>
                <w:color w:val="000000" w:themeColor="text1"/>
                <w:sz w:val="22"/>
              </w:rPr>
              <w:t xml:space="preserve"> pour des infrastructures de recherche et de technologie de classe mondiale en Europe, sur la base des priorités de l’Union, afin de faciliter la mise en œuvre d’initiatives stratégiques visant à assurer un leadership mondial à long terme.</w:t>
            </w:r>
          </w:p>
        </w:tc>
        <w:tc>
          <w:tcPr>
            <w:tcW w:w="1134" w:type="dxa"/>
            <w:vAlign w:val="center"/>
          </w:tcPr>
          <w:p w14:paraId="37311F2F" w14:textId="77777777" w:rsidR="00CA2812" w:rsidRPr="008E6915" w:rsidRDefault="00CA2812">
            <w:pPr>
              <w:jc w:val="center"/>
              <w:rPr>
                <w:noProof/>
                <w:sz w:val="22"/>
                <w:szCs w:val="22"/>
              </w:rPr>
            </w:pPr>
            <w:r>
              <w:rPr>
                <w:noProof/>
                <w:color w:val="000000" w:themeColor="text1"/>
                <w:sz w:val="22"/>
              </w:rPr>
              <w:t>2027</w:t>
            </w:r>
          </w:p>
        </w:tc>
      </w:tr>
      <w:tr w:rsidR="00CA2812" w:rsidRPr="008E6915" w14:paraId="3CBA9B81" w14:textId="77777777" w:rsidTr="008E6915">
        <w:tc>
          <w:tcPr>
            <w:tcW w:w="9215" w:type="dxa"/>
          </w:tcPr>
          <w:p w14:paraId="1D8586E7" w14:textId="3681318F" w:rsidR="00CA2812" w:rsidRPr="008E6915" w:rsidRDefault="00CA2812" w:rsidP="00CA2812">
            <w:pPr>
              <w:pStyle w:val="Text1"/>
              <w:numPr>
                <w:ilvl w:val="0"/>
                <w:numId w:val="40"/>
              </w:numPr>
              <w:spacing w:after="120"/>
              <w:jc w:val="left"/>
              <w:rPr>
                <w:noProof/>
                <w:color w:val="000000" w:themeColor="text1"/>
                <w:sz w:val="22"/>
                <w:szCs w:val="22"/>
              </w:rPr>
            </w:pPr>
            <w:r>
              <w:rPr>
                <w:b/>
                <w:noProof/>
                <w:sz w:val="22"/>
              </w:rPr>
              <w:t>Accroître les possibilités de financement</w:t>
            </w:r>
            <w:r>
              <w:rPr>
                <w:noProof/>
                <w:sz w:val="22"/>
              </w:rPr>
              <w:t xml:space="preserve"> des infrastructures de recherche et de technologie au niveau de l’Union et proposer des modèles de financement spécifiques afin d’encourager une </w:t>
            </w:r>
            <w:r>
              <w:rPr>
                <w:b/>
                <w:noProof/>
                <w:sz w:val="22"/>
              </w:rPr>
              <w:t>mise en commun</w:t>
            </w:r>
            <w:r>
              <w:rPr>
                <w:noProof/>
                <w:sz w:val="22"/>
              </w:rPr>
              <w:t xml:space="preserve"> plus efficace </w:t>
            </w:r>
            <w:r>
              <w:rPr>
                <w:b/>
                <w:noProof/>
                <w:sz w:val="22"/>
              </w:rPr>
              <w:t>des financements publics et privés</w:t>
            </w:r>
            <w:r>
              <w:rPr>
                <w:noProof/>
                <w:sz w:val="22"/>
              </w:rPr>
              <w:t xml:space="preserve"> pour les investissements, </w:t>
            </w:r>
            <w:r>
              <w:rPr>
                <w:noProof/>
                <w:color w:val="000000" w:themeColor="text1"/>
                <w:sz w:val="22"/>
              </w:rPr>
              <w:t>ce qui permettra de mieux exploiter les cadres de financement existants, tout en répondant à la nécessité de réduire les disparités régionales.</w:t>
            </w:r>
          </w:p>
        </w:tc>
        <w:tc>
          <w:tcPr>
            <w:tcW w:w="1134" w:type="dxa"/>
            <w:vAlign w:val="center"/>
          </w:tcPr>
          <w:p w14:paraId="2694FCFF" w14:textId="77777777" w:rsidR="00CA2812" w:rsidRPr="008E6915" w:rsidRDefault="00CA2812">
            <w:pPr>
              <w:jc w:val="center"/>
              <w:rPr>
                <w:noProof/>
                <w:sz w:val="22"/>
                <w:szCs w:val="22"/>
              </w:rPr>
            </w:pPr>
            <w:r>
              <w:rPr>
                <w:noProof/>
                <w:sz w:val="22"/>
              </w:rPr>
              <w:t>2026</w:t>
            </w:r>
          </w:p>
        </w:tc>
      </w:tr>
      <w:tr w:rsidR="00CA2812" w:rsidRPr="008E6915" w14:paraId="55BF8759" w14:textId="77777777" w:rsidTr="008E6915">
        <w:tc>
          <w:tcPr>
            <w:tcW w:w="9215" w:type="dxa"/>
          </w:tcPr>
          <w:p w14:paraId="5DEC67AC" w14:textId="3637CE13" w:rsidR="00CA2812" w:rsidRPr="008E6915" w:rsidRDefault="00C4173C" w:rsidP="00CA2812">
            <w:pPr>
              <w:pStyle w:val="Text1"/>
              <w:numPr>
                <w:ilvl w:val="0"/>
                <w:numId w:val="40"/>
              </w:numPr>
              <w:spacing w:after="120"/>
              <w:jc w:val="left"/>
              <w:rPr>
                <w:noProof/>
                <w:sz w:val="22"/>
                <w:szCs w:val="22"/>
              </w:rPr>
            </w:pPr>
            <w:r>
              <w:rPr>
                <w:noProof/>
                <w:sz w:val="22"/>
              </w:rPr>
              <w:t xml:space="preserve">Fournir un </w:t>
            </w:r>
            <w:r>
              <w:rPr>
                <w:b/>
                <w:noProof/>
                <w:sz w:val="22"/>
              </w:rPr>
              <w:t>cadre stable pour le maintien et la modernisation d’infrastructures de recherche de classe mondiale</w:t>
            </w:r>
            <w:r>
              <w:rPr>
                <w:noProof/>
                <w:sz w:val="22"/>
              </w:rPr>
              <w:t xml:space="preserve"> en soutenant la </w:t>
            </w:r>
            <w:r>
              <w:rPr>
                <w:b/>
                <w:noProof/>
                <w:sz w:val="22"/>
              </w:rPr>
              <w:t>mise en œuvre des feuilles de route existantes et nouvelles</w:t>
            </w:r>
            <w:r>
              <w:rPr>
                <w:noProof/>
                <w:sz w:val="22"/>
              </w:rPr>
              <w:t xml:space="preserve"> pour les technologies des infrastructures de recherche, compte tenu des besoins identifiés conjointement et des points communs entre les infrastructures de recherche et, le cas échéant, entre les domaines; soutenir l’</w:t>
            </w:r>
            <w:r>
              <w:rPr>
                <w:b/>
                <w:noProof/>
                <w:sz w:val="22"/>
              </w:rPr>
              <w:t>élaboration de feuilles de route pour les besoins en nouvelles technologies</w:t>
            </w:r>
            <w:r>
              <w:rPr>
                <w:noProof/>
                <w:sz w:val="22"/>
              </w:rPr>
              <w:t>, en tenant compte des aspects liés à la numérisation des opérations, à la normalisation, à l’interopérabilité, à la résilience et à la durabilité des infrastructures de recherche</w:t>
            </w:r>
          </w:p>
        </w:tc>
        <w:tc>
          <w:tcPr>
            <w:tcW w:w="1134" w:type="dxa"/>
            <w:vAlign w:val="center"/>
          </w:tcPr>
          <w:p w14:paraId="51521A15" w14:textId="77777777" w:rsidR="00CA2812" w:rsidRPr="008E6915" w:rsidRDefault="00CA2812">
            <w:pPr>
              <w:jc w:val="center"/>
              <w:rPr>
                <w:noProof/>
                <w:sz w:val="22"/>
                <w:szCs w:val="22"/>
              </w:rPr>
            </w:pPr>
            <w:r>
              <w:rPr>
                <w:noProof/>
                <w:sz w:val="22"/>
              </w:rPr>
              <w:t>2025</w:t>
            </w:r>
          </w:p>
        </w:tc>
      </w:tr>
      <w:tr w:rsidR="00CA2812" w:rsidRPr="008E6915" w14:paraId="7C83AE26" w14:textId="77777777" w:rsidTr="008E6915">
        <w:tc>
          <w:tcPr>
            <w:tcW w:w="9215" w:type="dxa"/>
          </w:tcPr>
          <w:p w14:paraId="2FB83481" w14:textId="61FCB7A2" w:rsidR="00CA2812" w:rsidRPr="008C7391" w:rsidRDefault="008C7391" w:rsidP="008C7391">
            <w:pPr>
              <w:pStyle w:val="Text1"/>
              <w:numPr>
                <w:ilvl w:val="0"/>
                <w:numId w:val="40"/>
              </w:numPr>
              <w:spacing w:after="120"/>
              <w:rPr>
                <w:noProof/>
              </w:rPr>
            </w:pPr>
            <w:r>
              <w:rPr>
                <w:noProof/>
                <w:sz w:val="22"/>
              </w:rPr>
              <w:t xml:space="preserve">Soutenir la </w:t>
            </w:r>
            <w:r>
              <w:rPr>
                <w:b/>
                <w:noProof/>
                <w:sz w:val="22"/>
              </w:rPr>
              <w:t>cartographie des sources de financement des infrastructures de recherche</w:t>
            </w:r>
            <w:r>
              <w:rPr>
                <w:noProof/>
                <w:sz w:val="22"/>
              </w:rPr>
              <w:t xml:space="preserve"> aux niveaux national, régional et européen et promouvoir les </w:t>
            </w:r>
            <w:r>
              <w:rPr>
                <w:b/>
                <w:noProof/>
                <w:sz w:val="22"/>
              </w:rPr>
              <w:t>synergies</w:t>
            </w:r>
            <w:r>
              <w:rPr>
                <w:noProof/>
                <w:sz w:val="22"/>
              </w:rPr>
              <w:t xml:space="preserve"> entre les instruments de financement complémentaires en encourageant les bonnes pratiques et en promouvant des orientations appropriées; le cas échéant, étudier la possibilité d’adapter les conditions et les règles des </w:t>
            </w:r>
            <w:r>
              <w:rPr>
                <w:b/>
                <w:noProof/>
                <w:sz w:val="22"/>
              </w:rPr>
              <w:t>instruments de financement de l’Union</w:t>
            </w:r>
            <w:r>
              <w:rPr>
                <w:noProof/>
                <w:sz w:val="22"/>
              </w:rPr>
              <w:t xml:space="preserve"> pour les financements combinés et complémentaires, notamment pour les infrastructures de recherche considérées comme des </w:t>
            </w:r>
            <w:r>
              <w:rPr>
                <w:b/>
                <w:noProof/>
                <w:sz w:val="22"/>
              </w:rPr>
              <w:t>infrastructures essentielles</w:t>
            </w:r>
            <w:r>
              <w:rPr>
                <w:noProof/>
                <w:sz w:val="22"/>
              </w:rPr>
              <w:t xml:space="preserve"> pour les programmes opérationnels ou de déploiement de l’Union.</w:t>
            </w:r>
          </w:p>
        </w:tc>
        <w:tc>
          <w:tcPr>
            <w:tcW w:w="1134" w:type="dxa"/>
            <w:vAlign w:val="center"/>
          </w:tcPr>
          <w:p w14:paraId="48C3042A" w14:textId="77777777" w:rsidR="00CA2812" w:rsidRPr="008E6915" w:rsidRDefault="00CA2812">
            <w:pPr>
              <w:jc w:val="center"/>
              <w:rPr>
                <w:noProof/>
                <w:sz w:val="22"/>
                <w:szCs w:val="22"/>
              </w:rPr>
            </w:pPr>
            <w:r>
              <w:rPr>
                <w:noProof/>
                <w:sz w:val="22"/>
              </w:rPr>
              <w:t>2025</w:t>
            </w:r>
          </w:p>
        </w:tc>
      </w:tr>
      <w:tr w:rsidR="00CA2812" w:rsidRPr="008E6915" w14:paraId="0EBCA9F1" w14:textId="77777777" w:rsidTr="008E6915">
        <w:tc>
          <w:tcPr>
            <w:tcW w:w="9215" w:type="dxa"/>
          </w:tcPr>
          <w:p w14:paraId="62BCE169" w14:textId="77777777" w:rsidR="00CA2812" w:rsidRPr="008E6915" w:rsidRDefault="00CA2812" w:rsidP="00CA2812">
            <w:pPr>
              <w:pStyle w:val="ListParagraph"/>
              <w:numPr>
                <w:ilvl w:val="0"/>
                <w:numId w:val="40"/>
              </w:numPr>
              <w:spacing w:after="160"/>
              <w:contextualSpacing/>
              <w:rPr>
                <w:noProof/>
                <w:sz w:val="22"/>
                <w:szCs w:val="22"/>
              </w:rPr>
            </w:pPr>
            <w:r>
              <w:rPr>
                <w:noProof/>
                <w:sz w:val="22"/>
              </w:rPr>
              <w:t xml:space="preserve">Proposer une </w:t>
            </w:r>
            <w:r>
              <w:rPr>
                <w:b/>
                <w:noProof/>
                <w:sz w:val="22"/>
              </w:rPr>
              <w:t>révision du règlement ERIC</w:t>
            </w:r>
            <w:r>
              <w:rPr>
                <w:noProof/>
                <w:sz w:val="22"/>
              </w:rPr>
              <w:t xml:space="preserve"> sur des aspects spécifiques qui ne peuvent pas être traités par des lignes directrices pratiques révisées, tels que la facilitation de la participation des partenaires internationaux, en promouvant ce cadre juridique en tant que vecteur fiable d’investissements communs.</w:t>
            </w:r>
          </w:p>
        </w:tc>
        <w:tc>
          <w:tcPr>
            <w:tcW w:w="1134" w:type="dxa"/>
            <w:vAlign w:val="center"/>
          </w:tcPr>
          <w:p w14:paraId="032071DC" w14:textId="77777777" w:rsidR="00CA2812" w:rsidRPr="008E6915" w:rsidRDefault="00CA2812">
            <w:pPr>
              <w:jc w:val="center"/>
              <w:rPr>
                <w:noProof/>
                <w:sz w:val="22"/>
                <w:szCs w:val="22"/>
              </w:rPr>
            </w:pPr>
            <w:r>
              <w:rPr>
                <w:noProof/>
                <w:sz w:val="22"/>
              </w:rPr>
              <w:t>2026</w:t>
            </w:r>
          </w:p>
        </w:tc>
      </w:tr>
      <w:tr w:rsidR="00CA2812" w:rsidRPr="008E6915" w14:paraId="5AE886D4" w14:textId="77777777" w:rsidTr="008E6915">
        <w:trPr>
          <w:trHeight w:val="942"/>
        </w:trPr>
        <w:tc>
          <w:tcPr>
            <w:tcW w:w="9215" w:type="dxa"/>
          </w:tcPr>
          <w:p w14:paraId="76D02BB0" w14:textId="77777777" w:rsidR="00CA2812" w:rsidRPr="008E6915" w:rsidRDefault="00CA2812" w:rsidP="00CA2812">
            <w:pPr>
              <w:pStyle w:val="ListParagraph"/>
              <w:numPr>
                <w:ilvl w:val="0"/>
                <w:numId w:val="40"/>
              </w:numPr>
              <w:contextualSpacing/>
              <w:rPr>
                <w:noProof/>
                <w:sz w:val="22"/>
                <w:szCs w:val="22"/>
              </w:rPr>
            </w:pPr>
            <w:r>
              <w:rPr>
                <w:noProof/>
                <w:color w:val="000000" w:themeColor="text1"/>
                <w:sz w:val="22"/>
              </w:rPr>
              <w:t xml:space="preserve">Soutenir et mettre en œuvre des mesures facilitant la </w:t>
            </w:r>
            <w:r>
              <w:rPr>
                <w:b/>
                <w:noProof/>
                <w:color w:val="000000" w:themeColor="text1"/>
                <w:sz w:val="22"/>
              </w:rPr>
              <w:t>collaboration</w:t>
            </w:r>
            <w:r>
              <w:rPr>
                <w:noProof/>
                <w:color w:val="000000" w:themeColor="text1"/>
                <w:sz w:val="22"/>
              </w:rPr>
              <w:t xml:space="preserve"> </w:t>
            </w:r>
            <w:r>
              <w:rPr>
                <w:b/>
                <w:noProof/>
                <w:color w:val="000000" w:themeColor="text1"/>
                <w:sz w:val="22"/>
              </w:rPr>
              <w:t>transnationale et multisites</w:t>
            </w:r>
            <w:r>
              <w:rPr>
                <w:noProof/>
                <w:color w:val="000000" w:themeColor="text1"/>
                <w:sz w:val="22"/>
              </w:rPr>
              <w:t xml:space="preserve"> </w:t>
            </w:r>
            <w:r>
              <w:rPr>
                <w:b/>
                <w:noProof/>
                <w:color w:val="000000" w:themeColor="text1"/>
                <w:sz w:val="22"/>
              </w:rPr>
              <w:t>entre les infrastructures technologiques</w:t>
            </w:r>
            <w:r>
              <w:rPr>
                <w:noProof/>
                <w:color w:val="000000" w:themeColor="text1"/>
                <w:sz w:val="22"/>
              </w:rPr>
              <w:t>, en élaborant des offres de services coordonnées dans le domaine des technologies stratégiques, y compris pour la défense, et en promouvant leur visibilité et leur pénétration.</w:t>
            </w:r>
          </w:p>
        </w:tc>
        <w:tc>
          <w:tcPr>
            <w:tcW w:w="1134" w:type="dxa"/>
            <w:vAlign w:val="center"/>
          </w:tcPr>
          <w:p w14:paraId="2B28E511" w14:textId="77777777" w:rsidR="00CA2812" w:rsidRPr="008E6915" w:rsidRDefault="00CA2812">
            <w:pPr>
              <w:jc w:val="center"/>
              <w:rPr>
                <w:noProof/>
                <w:sz w:val="22"/>
                <w:szCs w:val="22"/>
              </w:rPr>
            </w:pPr>
            <w:r>
              <w:rPr>
                <w:noProof/>
                <w:sz w:val="22"/>
              </w:rPr>
              <w:t>2026</w:t>
            </w:r>
          </w:p>
        </w:tc>
      </w:tr>
      <w:tr w:rsidR="00723D53" w:rsidRPr="008E6915" w14:paraId="2283BAA2" w14:textId="77777777" w:rsidTr="008E6915">
        <w:trPr>
          <w:trHeight w:val="444"/>
        </w:trPr>
        <w:tc>
          <w:tcPr>
            <w:tcW w:w="10349" w:type="dxa"/>
            <w:gridSpan w:val="2"/>
            <w:shd w:val="clear" w:color="auto" w:fill="E7E6E6" w:themeFill="background2"/>
            <w:vAlign w:val="center"/>
          </w:tcPr>
          <w:p w14:paraId="25896210" w14:textId="77777777" w:rsidR="00CA2812" w:rsidRPr="008E6915" w:rsidRDefault="00CA2812">
            <w:pPr>
              <w:jc w:val="center"/>
              <w:rPr>
                <w:noProof/>
              </w:rPr>
            </w:pPr>
            <w:r>
              <w:rPr>
                <w:b/>
                <w:noProof/>
              </w:rPr>
              <w:t>Optimiser le potentiel de la numérisation et de l’IA</w:t>
            </w:r>
          </w:p>
        </w:tc>
      </w:tr>
      <w:tr w:rsidR="00CA2812" w:rsidRPr="008E6915" w14:paraId="68063FEA" w14:textId="77777777" w:rsidTr="008E6915">
        <w:tc>
          <w:tcPr>
            <w:tcW w:w="9215" w:type="dxa"/>
            <w:vAlign w:val="center"/>
          </w:tcPr>
          <w:p w14:paraId="329BA2E2" w14:textId="77777777" w:rsidR="00CA2812" w:rsidRPr="008E6915" w:rsidRDefault="00CA2812" w:rsidP="00CA2812">
            <w:pPr>
              <w:pStyle w:val="Text1"/>
              <w:numPr>
                <w:ilvl w:val="0"/>
                <w:numId w:val="40"/>
              </w:numPr>
              <w:spacing w:after="120"/>
              <w:jc w:val="left"/>
              <w:rPr>
                <w:noProof/>
                <w:sz w:val="22"/>
                <w:szCs w:val="22"/>
              </w:rPr>
            </w:pPr>
            <w:r>
              <w:rPr>
                <w:noProof/>
                <w:sz w:val="22"/>
              </w:rPr>
              <w:t xml:space="preserve">Soutenir et </w:t>
            </w:r>
            <w:r>
              <w:rPr>
                <w:b/>
                <w:noProof/>
                <w:sz w:val="22"/>
              </w:rPr>
              <w:t>renforcer la fédération EOSC</w:t>
            </w:r>
            <w:r>
              <w:rPr>
                <w:noProof/>
                <w:sz w:val="22"/>
              </w:rPr>
              <w:t xml:space="preserve"> en tant qu’espace européen des données en matière de recherche et d’innovation, de manière à permettre le partage et la réutilisation de données de recherche FAIR de haute qualité, de résultats scientifiques et de services numériques.</w:t>
            </w:r>
          </w:p>
        </w:tc>
        <w:tc>
          <w:tcPr>
            <w:tcW w:w="1134" w:type="dxa"/>
            <w:vAlign w:val="center"/>
          </w:tcPr>
          <w:p w14:paraId="17C47D43" w14:textId="77777777" w:rsidR="00CA2812" w:rsidRPr="008E6915" w:rsidRDefault="00CA2812">
            <w:pPr>
              <w:jc w:val="center"/>
              <w:rPr>
                <w:noProof/>
                <w:sz w:val="22"/>
                <w:szCs w:val="22"/>
              </w:rPr>
            </w:pPr>
            <w:r>
              <w:rPr>
                <w:noProof/>
                <w:sz w:val="22"/>
              </w:rPr>
              <w:t>2025</w:t>
            </w:r>
          </w:p>
        </w:tc>
      </w:tr>
      <w:tr w:rsidR="00CA2812" w:rsidRPr="008E6915" w14:paraId="47BF399C" w14:textId="77777777" w:rsidTr="008E6915">
        <w:trPr>
          <w:trHeight w:val="778"/>
        </w:trPr>
        <w:tc>
          <w:tcPr>
            <w:tcW w:w="9215" w:type="dxa"/>
            <w:vAlign w:val="center"/>
          </w:tcPr>
          <w:p w14:paraId="52CEE646" w14:textId="16BD208F" w:rsidR="00CA2812" w:rsidRPr="008E6915" w:rsidRDefault="00CA2812" w:rsidP="00CA2812">
            <w:pPr>
              <w:pStyle w:val="Text1"/>
              <w:numPr>
                <w:ilvl w:val="0"/>
                <w:numId w:val="40"/>
              </w:numPr>
              <w:spacing w:after="120"/>
              <w:jc w:val="left"/>
              <w:rPr>
                <w:noProof/>
                <w:sz w:val="22"/>
                <w:szCs w:val="22"/>
              </w:rPr>
            </w:pPr>
            <w:r>
              <w:rPr>
                <w:noProof/>
                <w:sz w:val="22"/>
              </w:rPr>
              <w:t xml:space="preserve">Soutenir le </w:t>
            </w:r>
            <w:r>
              <w:rPr>
                <w:b/>
                <w:noProof/>
                <w:sz w:val="22"/>
              </w:rPr>
              <w:t xml:space="preserve">respect des </w:t>
            </w:r>
            <w:r>
              <w:rPr>
                <w:noProof/>
                <w:sz w:val="22"/>
              </w:rPr>
              <w:t xml:space="preserve">principes </w:t>
            </w:r>
            <w:r>
              <w:rPr>
                <w:b/>
                <w:noProof/>
                <w:sz w:val="22"/>
              </w:rPr>
              <w:t>FAIR</w:t>
            </w:r>
            <w:r>
              <w:rPr>
                <w:noProof/>
                <w:sz w:val="22"/>
              </w:rPr>
              <w:t>, accroître la productivité des données FAIR, et renforcer les connexions avec l’EOSC ainsi qu’avec d’autres espaces de données pertinents.</w:t>
            </w:r>
          </w:p>
        </w:tc>
        <w:tc>
          <w:tcPr>
            <w:tcW w:w="1134" w:type="dxa"/>
            <w:vAlign w:val="center"/>
          </w:tcPr>
          <w:p w14:paraId="6664E557" w14:textId="77777777" w:rsidR="00CA2812" w:rsidRPr="008E6915" w:rsidRDefault="00CA2812">
            <w:pPr>
              <w:jc w:val="center"/>
              <w:rPr>
                <w:noProof/>
                <w:sz w:val="22"/>
                <w:szCs w:val="22"/>
              </w:rPr>
            </w:pPr>
            <w:r>
              <w:rPr>
                <w:noProof/>
                <w:sz w:val="22"/>
              </w:rPr>
              <w:t>2025</w:t>
            </w:r>
          </w:p>
        </w:tc>
      </w:tr>
      <w:tr w:rsidR="00CA2812" w:rsidRPr="008E6915" w14:paraId="1AB31667" w14:textId="77777777" w:rsidTr="008E6915">
        <w:trPr>
          <w:trHeight w:val="991"/>
        </w:trPr>
        <w:tc>
          <w:tcPr>
            <w:tcW w:w="9215" w:type="dxa"/>
            <w:vAlign w:val="center"/>
          </w:tcPr>
          <w:p w14:paraId="0E11EAF2" w14:textId="77777777" w:rsidR="00CA2812" w:rsidRPr="008E6915" w:rsidRDefault="00CA2812" w:rsidP="00CA2812">
            <w:pPr>
              <w:pStyle w:val="Text1"/>
              <w:numPr>
                <w:ilvl w:val="0"/>
                <w:numId w:val="40"/>
              </w:numPr>
              <w:spacing w:after="120"/>
              <w:jc w:val="left"/>
              <w:rPr>
                <w:noProof/>
                <w:sz w:val="22"/>
                <w:szCs w:val="22"/>
              </w:rPr>
            </w:pPr>
            <w:r>
              <w:rPr>
                <w:noProof/>
                <w:sz w:val="22"/>
              </w:rPr>
              <w:t xml:space="preserve">Soutenir la mise en commun et le développement de </w:t>
            </w:r>
            <w:r>
              <w:rPr>
                <w:b/>
                <w:noProof/>
                <w:sz w:val="22"/>
              </w:rPr>
              <w:t>données de recherche prêtes pour l’IA</w:t>
            </w:r>
            <w:r>
              <w:rPr>
                <w:noProof/>
                <w:sz w:val="22"/>
              </w:rPr>
              <w:t xml:space="preserve"> ainsi que d’outils et de services permettant le développement de modèles scientifiques d’IA et de leurs applications technologiques, afin d’accélérer l’utilisation de l’IA dans le domaine scientifique et, par là même, de contribuer à la phase pilote de RAISE.</w:t>
            </w:r>
          </w:p>
        </w:tc>
        <w:tc>
          <w:tcPr>
            <w:tcW w:w="1134" w:type="dxa"/>
            <w:vAlign w:val="center"/>
          </w:tcPr>
          <w:p w14:paraId="606EEE26" w14:textId="77777777" w:rsidR="00CA2812" w:rsidRPr="008E6915" w:rsidRDefault="00CA2812">
            <w:pPr>
              <w:jc w:val="center"/>
              <w:rPr>
                <w:noProof/>
                <w:sz w:val="22"/>
                <w:szCs w:val="22"/>
              </w:rPr>
            </w:pPr>
            <w:r>
              <w:rPr>
                <w:noProof/>
                <w:sz w:val="22"/>
              </w:rPr>
              <w:t>2025</w:t>
            </w:r>
          </w:p>
        </w:tc>
      </w:tr>
      <w:tr w:rsidR="00723D53" w:rsidRPr="008E6915" w14:paraId="39E33C24" w14:textId="77777777" w:rsidTr="008E6915">
        <w:trPr>
          <w:trHeight w:val="410"/>
        </w:trPr>
        <w:tc>
          <w:tcPr>
            <w:tcW w:w="10349" w:type="dxa"/>
            <w:gridSpan w:val="2"/>
            <w:shd w:val="clear" w:color="auto" w:fill="E7E6E6" w:themeFill="background2"/>
            <w:vAlign w:val="center"/>
          </w:tcPr>
          <w:p w14:paraId="636F24CA" w14:textId="77777777" w:rsidR="00CA2812" w:rsidRPr="008E6915" w:rsidRDefault="00CA2812">
            <w:pPr>
              <w:jc w:val="center"/>
              <w:rPr>
                <w:b/>
                <w:bCs/>
                <w:noProof/>
              </w:rPr>
            </w:pPr>
            <w:r>
              <w:rPr>
                <w:b/>
                <w:noProof/>
              </w:rPr>
              <w:t>Renforcer l’accessibilité</w:t>
            </w:r>
          </w:p>
        </w:tc>
      </w:tr>
      <w:tr w:rsidR="00CA2812" w:rsidRPr="008E6915" w14:paraId="64160BD7" w14:textId="77777777" w:rsidTr="008E6915">
        <w:tc>
          <w:tcPr>
            <w:tcW w:w="9215" w:type="dxa"/>
            <w:vAlign w:val="center"/>
          </w:tcPr>
          <w:p w14:paraId="5D86F3FD" w14:textId="7096BC54" w:rsidR="00CA2812" w:rsidRPr="008E6915" w:rsidRDefault="00CA2812" w:rsidP="00CA2812">
            <w:pPr>
              <w:pStyle w:val="Text1"/>
              <w:numPr>
                <w:ilvl w:val="0"/>
                <w:numId w:val="40"/>
              </w:numPr>
              <w:spacing w:after="120"/>
              <w:jc w:val="left"/>
              <w:rPr>
                <w:noProof/>
                <w:sz w:val="22"/>
                <w:szCs w:val="22"/>
              </w:rPr>
            </w:pPr>
            <w:r>
              <w:rPr>
                <w:noProof/>
                <w:sz w:val="22"/>
              </w:rPr>
              <w:t xml:space="preserve">Soutenir le développement d’un </w:t>
            </w:r>
            <w:r>
              <w:rPr>
                <w:b/>
                <w:noProof/>
                <w:sz w:val="22"/>
              </w:rPr>
              <w:t>système intégré et durable</w:t>
            </w:r>
            <w:r>
              <w:rPr>
                <w:noProof/>
                <w:sz w:val="22"/>
              </w:rPr>
              <w:t xml:space="preserve"> </w:t>
            </w:r>
            <w:r>
              <w:rPr>
                <w:b/>
                <w:noProof/>
                <w:sz w:val="22"/>
              </w:rPr>
              <w:t>pour l’accès aux infrastructures de recherche de pointe</w:t>
            </w:r>
            <w:r>
              <w:rPr>
                <w:noProof/>
                <w:sz w:val="22"/>
              </w:rPr>
              <w:t xml:space="preserve"> d’intérêt européen, offrant un «guichet unique» pour y accéder, et à un portefeuille européen unique de services de R&amp;I complémentaires et intersectoriels d’intérêt européen, y compris la </w:t>
            </w:r>
            <w:r>
              <w:rPr>
                <w:b/>
                <w:noProof/>
                <w:sz w:val="22"/>
              </w:rPr>
              <w:t>navigation dans les services d’infrastructure de recherche assistée par l’IA.</w:t>
            </w:r>
          </w:p>
        </w:tc>
        <w:tc>
          <w:tcPr>
            <w:tcW w:w="1134" w:type="dxa"/>
            <w:vAlign w:val="center"/>
          </w:tcPr>
          <w:p w14:paraId="1D4B129E" w14:textId="77777777" w:rsidR="00CA2812" w:rsidRPr="008E6915" w:rsidRDefault="00CA2812">
            <w:pPr>
              <w:jc w:val="center"/>
              <w:rPr>
                <w:noProof/>
                <w:sz w:val="22"/>
                <w:szCs w:val="22"/>
              </w:rPr>
            </w:pPr>
            <w:r>
              <w:rPr>
                <w:noProof/>
                <w:sz w:val="22"/>
              </w:rPr>
              <w:t>2025</w:t>
            </w:r>
          </w:p>
        </w:tc>
      </w:tr>
      <w:tr w:rsidR="00CA2812" w:rsidRPr="008E6915" w14:paraId="2BE3AB32" w14:textId="77777777" w:rsidTr="008E6915">
        <w:tc>
          <w:tcPr>
            <w:tcW w:w="9215" w:type="dxa"/>
          </w:tcPr>
          <w:p w14:paraId="3CD12C25" w14:textId="3E6B9AF1" w:rsidR="00CA2812" w:rsidRPr="008C7391" w:rsidRDefault="008C7391" w:rsidP="008C7391">
            <w:pPr>
              <w:pStyle w:val="Text1"/>
              <w:numPr>
                <w:ilvl w:val="0"/>
                <w:numId w:val="40"/>
              </w:numPr>
              <w:spacing w:after="120"/>
              <w:rPr>
                <w:i/>
                <w:iCs/>
                <w:noProof/>
              </w:rPr>
            </w:pPr>
            <w:r>
              <w:rPr>
                <w:noProof/>
                <w:sz w:val="22"/>
              </w:rPr>
              <w:t xml:space="preserve">Mettre en œuvre des </w:t>
            </w:r>
            <w:r>
              <w:rPr>
                <w:b/>
                <w:noProof/>
                <w:sz w:val="22"/>
              </w:rPr>
              <w:t>programmes pilotes d’accès aux infrastructures technologiques pour les jeunes pousses et les entreprises en expansion</w:t>
            </w:r>
            <w:r>
              <w:rPr>
                <w:noProof/>
                <w:sz w:val="22"/>
              </w:rPr>
              <w:t>, en vue d’en amplifier la mise en œuvre future.</w:t>
            </w:r>
          </w:p>
        </w:tc>
        <w:tc>
          <w:tcPr>
            <w:tcW w:w="1134" w:type="dxa"/>
            <w:vAlign w:val="center"/>
          </w:tcPr>
          <w:p w14:paraId="3F9756A4" w14:textId="77777777" w:rsidR="00CA2812" w:rsidRPr="008E6915" w:rsidRDefault="00CA2812">
            <w:pPr>
              <w:jc w:val="center"/>
              <w:rPr>
                <w:noProof/>
                <w:sz w:val="22"/>
                <w:szCs w:val="22"/>
              </w:rPr>
            </w:pPr>
            <w:r>
              <w:rPr>
                <w:noProof/>
                <w:sz w:val="22"/>
              </w:rPr>
              <w:t>2026</w:t>
            </w:r>
          </w:p>
        </w:tc>
      </w:tr>
      <w:tr w:rsidR="00CA2812" w:rsidRPr="008E6915" w14:paraId="52D73C15" w14:textId="77777777" w:rsidTr="008E6915">
        <w:tc>
          <w:tcPr>
            <w:tcW w:w="9215" w:type="dxa"/>
          </w:tcPr>
          <w:p w14:paraId="582B59EE" w14:textId="77777777" w:rsidR="00CA2812" w:rsidRPr="008E6915" w:rsidRDefault="00CA2812" w:rsidP="00CA2812">
            <w:pPr>
              <w:pStyle w:val="Text1"/>
              <w:numPr>
                <w:ilvl w:val="0"/>
                <w:numId w:val="40"/>
              </w:numPr>
              <w:spacing w:after="120"/>
              <w:jc w:val="left"/>
              <w:rPr>
                <w:noProof/>
                <w:sz w:val="22"/>
                <w:szCs w:val="22"/>
              </w:rPr>
            </w:pPr>
            <w:r>
              <w:rPr>
                <w:noProof/>
                <w:sz w:val="22"/>
              </w:rPr>
              <w:t xml:space="preserve">Tester des </w:t>
            </w:r>
            <w:r>
              <w:rPr>
                <w:b/>
                <w:noProof/>
                <w:sz w:val="22"/>
              </w:rPr>
              <w:t>systèmes d’accès transnationaux à des infrastructures de recherche et de technologie communes</w:t>
            </w:r>
            <w:r>
              <w:rPr>
                <w:noProof/>
                <w:sz w:val="22"/>
              </w:rPr>
              <w:t xml:space="preserve"> dans des domaines prioritaires tels que les matériaux avancés, les énergies propres, les technologies quantiques, l’IA ou la santé et les biotechnologies.</w:t>
            </w:r>
          </w:p>
        </w:tc>
        <w:tc>
          <w:tcPr>
            <w:tcW w:w="1134" w:type="dxa"/>
            <w:vAlign w:val="center"/>
          </w:tcPr>
          <w:p w14:paraId="1225E537" w14:textId="170E8622" w:rsidR="00CA2812" w:rsidRPr="008E6915" w:rsidRDefault="00CE2D6B">
            <w:pPr>
              <w:jc w:val="center"/>
              <w:rPr>
                <w:noProof/>
                <w:sz w:val="22"/>
                <w:szCs w:val="22"/>
              </w:rPr>
            </w:pPr>
            <w:r>
              <w:rPr>
                <w:noProof/>
                <w:sz w:val="22"/>
              </w:rPr>
              <w:t>2027</w:t>
            </w:r>
          </w:p>
        </w:tc>
      </w:tr>
      <w:tr w:rsidR="00723D53" w:rsidRPr="008E6915" w14:paraId="058B7259" w14:textId="77777777" w:rsidTr="008E6915">
        <w:trPr>
          <w:trHeight w:val="401"/>
        </w:trPr>
        <w:tc>
          <w:tcPr>
            <w:tcW w:w="10349" w:type="dxa"/>
            <w:gridSpan w:val="2"/>
            <w:shd w:val="clear" w:color="auto" w:fill="E7E6E6" w:themeFill="background2"/>
            <w:vAlign w:val="center"/>
          </w:tcPr>
          <w:p w14:paraId="2628C7F3" w14:textId="77777777" w:rsidR="00CA2812" w:rsidRPr="008E6915" w:rsidRDefault="00CA2812">
            <w:pPr>
              <w:jc w:val="center"/>
              <w:rPr>
                <w:noProof/>
              </w:rPr>
            </w:pPr>
            <w:r>
              <w:rPr>
                <w:b/>
                <w:noProof/>
              </w:rPr>
              <w:t>Attirer et cultiver les talents</w:t>
            </w:r>
          </w:p>
        </w:tc>
      </w:tr>
      <w:tr w:rsidR="00CA2812" w:rsidRPr="008E6915" w14:paraId="64F82952" w14:textId="77777777" w:rsidTr="008E6915">
        <w:tc>
          <w:tcPr>
            <w:tcW w:w="9215" w:type="dxa"/>
            <w:vAlign w:val="center"/>
          </w:tcPr>
          <w:p w14:paraId="51AE753B" w14:textId="61C3CD10" w:rsidR="00CA2812" w:rsidRPr="008E6915" w:rsidRDefault="00CA2812" w:rsidP="00CA2812">
            <w:pPr>
              <w:pStyle w:val="Text1"/>
              <w:numPr>
                <w:ilvl w:val="0"/>
                <w:numId w:val="40"/>
              </w:numPr>
              <w:spacing w:after="120"/>
              <w:jc w:val="left"/>
              <w:rPr>
                <w:noProof/>
                <w:sz w:val="22"/>
                <w:szCs w:val="22"/>
              </w:rPr>
            </w:pPr>
            <w:r>
              <w:rPr>
                <w:noProof/>
                <w:sz w:val="22"/>
              </w:rPr>
              <w:t xml:space="preserve">Élaborer des stratégies d’infrastructures de recherche et de technologie pour </w:t>
            </w:r>
            <w:r>
              <w:rPr>
                <w:b/>
                <w:noProof/>
                <w:sz w:val="22"/>
              </w:rPr>
              <w:t>attirer les talents issus de pays hors UE</w:t>
            </w:r>
            <w:r>
              <w:rPr>
                <w:noProof/>
                <w:sz w:val="22"/>
              </w:rPr>
              <w:t xml:space="preserve">, conformément à l’approche </w:t>
            </w:r>
            <w:hyperlink r:id="rId38" w:history="1">
              <w:r>
                <w:rPr>
                  <w:rStyle w:val="Hyperlink"/>
                  <w:i/>
                  <w:noProof/>
                  <w:sz w:val="22"/>
                </w:rPr>
                <w:t>Choisir l’Europe</w:t>
              </w:r>
            </w:hyperlink>
            <w:r>
              <w:rPr>
                <w:noProof/>
                <w:sz w:val="22"/>
              </w:rPr>
              <w:t>.</w:t>
            </w:r>
          </w:p>
        </w:tc>
        <w:tc>
          <w:tcPr>
            <w:tcW w:w="1134" w:type="dxa"/>
            <w:vAlign w:val="center"/>
          </w:tcPr>
          <w:p w14:paraId="2CD43B6A" w14:textId="77777777" w:rsidR="00CA2812" w:rsidRPr="008E6915" w:rsidRDefault="00CA2812">
            <w:pPr>
              <w:jc w:val="center"/>
              <w:rPr>
                <w:noProof/>
                <w:sz w:val="22"/>
                <w:szCs w:val="22"/>
              </w:rPr>
            </w:pPr>
            <w:r>
              <w:rPr>
                <w:noProof/>
                <w:sz w:val="22"/>
              </w:rPr>
              <w:t>2026</w:t>
            </w:r>
          </w:p>
        </w:tc>
      </w:tr>
      <w:tr w:rsidR="00CA2812" w:rsidRPr="008E6915" w14:paraId="3E3226DD" w14:textId="77777777" w:rsidTr="008E6915">
        <w:tc>
          <w:tcPr>
            <w:tcW w:w="9215" w:type="dxa"/>
            <w:vAlign w:val="center"/>
          </w:tcPr>
          <w:p w14:paraId="1F562A7F" w14:textId="77777777" w:rsidR="00CA2812" w:rsidRPr="008E6915" w:rsidRDefault="00CA2812" w:rsidP="00CA2812">
            <w:pPr>
              <w:pStyle w:val="Text1"/>
              <w:numPr>
                <w:ilvl w:val="0"/>
                <w:numId w:val="40"/>
              </w:numPr>
              <w:spacing w:after="120"/>
              <w:jc w:val="left"/>
              <w:rPr>
                <w:noProof/>
                <w:sz w:val="22"/>
                <w:szCs w:val="22"/>
              </w:rPr>
            </w:pPr>
            <w:r>
              <w:rPr>
                <w:noProof/>
                <w:sz w:val="22"/>
              </w:rPr>
              <w:t xml:space="preserve">Soutenir la </w:t>
            </w:r>
            <w:r>
              <w:rPr>
                <w:b/>
                <w:noProof/>
                <w:sz w:val="22"/>
              </w:rPr>
              <w:t>formation du personnel des infrastructures de recherche et de technologie</w:t>
            </w:r>
            <w:r>
              <w:rPr>
                <w:noProof/>
                <w:sz w:val="22"/>
              </w:rPr>
              <w:t>, tout en favorisant la reconnaissance de leurs contributions diverses à l’évaluation de la recherche.</w:t>
            </w:r>
          </w:p>
        </w:tc>
        <w:tc>
          <w:tcPr>
            <w:tcW w:w="1134" w:type="dxa"/>
            <w:vAlign w:val="center"/>
          </w:tcPr>
          <w:p w14:paraId="47A91FB4" w14:textId="77777777" w:rsidR="00CA2812" w:rsidRPr="008E6915" w:rsidRDefault="00CA2812">
            <w:pPr>
              <w:jc w:val="center"/>
              <w:rPr>
                <w:noProof/>
                <w:sz w:val="22"/>
                <w:szCs w:val="22"/>
              </w:rPr>
            </w:pPr>
            <w:r>
              <w:rPr>
                <w:noProof/>
                <w:sz w:val="22"/>
              </w:rPr>
              <w:t>2026</w:t>
            </w:r>
          </w:p>
        </w:tc>
      </w:tr>
      <w:tr w:rsidR="008E6915" w:rsidRPr="008E6915" w14:paraId="21544FC5" w14:textId="77777777" w:rsidTr="008E6915">
        <w:trPr>
          <w:trHeight w:val="470"/>
        </w:trPr>
        <w:tc>
          <w:tcPr>
            <w:tcW w:w="10349" w:type="dxa"/>
            <w:gridSpan w:val="2"/>
            <w:shd w:val="clear" w:color="auto" w:fill="E7E6E6" w:themeFill="background2"/>
            <w:vAlign w:val="center"/>
          </w:tcPr>
          <w:p w14:paraId="03A663EE" w14:textId="7D9010B8" w:rsidR="008E6915" w:rsidRPr="008E6915" w:rsidRDefault="008E6915">
            <w:pPr>
              <w:jc w:val="center"/>
              <w:rPr>
                <w:noProof/>
              </w:rPr>
            </w:pPr>
            <w:r>
              <w:rPr>
                <w:b/>
                <w:noProof/>
              </w:rPr>
              <w:t>Améliorer et simplifier le cadre de gouvernance</w:t>
            </w:r>
          </w:p>
        </w:tc>
      </w:tr>
      <w:tr w:rsidR="00CA2812" w:rsidRPr="008E6915" w14:paraId="3D6CC64C" w14:textId="77777777" w:rsidTr="008E6915">
        <w:tc>
          <w:tcPr>
            <w:tcW w:w="9215" w:type="dxa"/>
            <w:vAlign w:val="center"/>
          </w:tcPr>
          <w:p w14:paraId="3A84F5C9" w14:textId="6B8566E1" w:rsidR="00CA2812" w:rsidRPr="00CE2D6B" w:rsidRDefault="00CA2812" w:rsidP="00CE2D6B">
            <w:pPr>
              <w:pStyle w:val="Text1"/>
              <w:numPr>
                <w:ilvl w:val="0"/>
                <w:numId w:val="40"/>
              </w:numPr>
              <w:spacing w:after="120"/>
              <w:jc w:val="left"/>
              <w:rPr>
                <w:i/>
                <w:noProof/>
                <w:sz w:val="22"/>
                <w:szCs w:val="22"/>
              </w:rPr>
            </w:pPr>
            <w:r>
              <w:rPr>
                <w:noProof/>
                <w:sz w:val="22"/>
              </w:rPr>
              <w:t xml:space="preserve">Proposer un </w:t>
            </w:r>
            <w:r>
              <w:rPr>
                <w:b/>
                <w:noProof/>
                <w:sz w:val="22"/>
              </w:rPr>
              <w:t>cadre global de coordination de l’Union pour l’écosystème des infrastructures de recherche et de technologie</w:t>
            </w:r>
            <w:r>
              <w:rPr>
                <w:noProof/>
                <w:sz w:val="22"/>
              </w:rPr>
              <w:t xml:space="preserve"> en adoptant une approche globale fondée sur les synergies, tout en reconnaissant les différentes missions, objectifs et contextes politiques de ces infrastructures.</w:t>
            </w:r>
          </w:p>
        </w:tc>
        <w:tc>
          <w:tcPr>
            <w:tcW w:w="1134" w:type="dxa"/>
            <w:vAlign w:val="center"/>
          </w:tcPr>
          <w:p w14:paraId="19D5E2DC" w14:textId="4F9CD4AF" w:rsidR="00CA2812" w:rsidRPr="008E6915" w:rsidRDefault="00CE2D6B">
            <w:pPr>
              <w:jc w:val="center"/>
              <w:rPr>
                <w:noProof/>
                <w:sz w:val="22"/>
                <w:szCs w:val="22"/>
              </w:rPr>
            </w:pPr>
            <w:r>
              <w:rPr>
                <w:noProof/>
                <w:sz w:val="22"/>
              </w:rPr>
              <w:t>2026</w:t>
            </w:r>
          </w:p>
        </w:tc>
      </w:tr>
      <w:tr w:rsidR="00CE2D6B" w:rsidRPr="008E6915" w14:paraId="4148ADA4" w14:textId="77777777" w:rsidTr="008E6915">
        <w:tc>
          <w:tcPr>
            <w:tcW w:w="9215" w:type="dxa"/>
            <w:vAlign w:val="center"/>
          </w:tcPr>
          <w:p w14:paraId="218DF4FF" w14:textId="767B7331" w:rsidR="00CE2D6B" w:rsidRPr="008E6915" w:rsidRDefault="00CE2D6B" w:rsidP="00CA2812">
            <w:pPr>
              <w:pStyle w:val="Text1"/>
              <w:numPr>
                <w:ilvl w:val="0"/>
                <w:numId w:val="40"/>
              </w:numPr>
              <w:spacing w:after="120"/>
              <w:jc w:val="left"/>
              <w:rPr>
                <w:noProof/>
                <w:sz w:val="22"/>
                <w:szCs w:val="22"/>
              </w:rPr>
            </w:pPr>
            <w:r>
              <w:rPr>
                <w:noProof/>
                <w:sz w:val="22"/>
              </w:rPr>
              <w:t xml:space="preserve">Mettre en œuvre un </w:t>
            </w:r>
            <w:r>
              <w:rPr>
                <w:b/>
                <w:noProof/>
                <w:sz w:val="22"/>
              </w:rPr>
              <w:t xml:space="preserve">mécanisme de gouvernance, </w:t>
            </w:r>
            <w:r>
              <w:rPr>
                <w:noProof/>
                <w:sz w:val="22"/>
              </w:rPr>
              <w:t>en collaboration avec les États membres et les parties prenantes,</w:t>
            </w:r>
            <w:r>
              <w:rPr>
                <w:b/>
                <w:noProof/>
                <w:sz w:val="22"/>
              </w:rPr>
              <w:t xml:space="preserve"> </w:t>
            </w:r>
            <w:r>
              <w:rPr>
                <w:noProof/>
                <w:sz w:val="22"/>
              </w:rPr>
              <w:t xml:space="preserve">qui fournira un cadre commun pour une approche européenne des </w:t>
            </w:r>
            <w:r>
              <w:rPr>
                <w:b/>
                <w:noProof/>
                <w:sz w:val="22"/>
              </w:rPr>
              <w:t>infrastructures technologiques</w:t>
            </w:r>
            <w:r>
              <w:rPr>
                <w:noProof/>
                <w:sz w:val="22"/>
              </w:rPr>
              <w:t>.</w:t>
            </w:r>
          </w:p>
        </w:tc>
        <w:tc>
          <w:tcPr>
            <w:tcW w:w="1134" w:type="dxa"/>
            <w:vAlign w:val="center"/>
          </w:tcPr>
          <w:p w14:paraId="5DFCAB68" w14:textId="35CE6CF7" w:rsidR="00CE2D6B" w:rsidRDefault="00CE2D6B">
            <w:pPr>
              <w:jc w:val="center"/>
              <w:rPr>
                <w:noProof/>
                <w:sz w:val="22"/>
                <w:szCs w:val="22"/>
              </w:rPr>
            </w:pPr>
            <w:r>
              <w:rPr>
                <w:noProof/>
                <w:sz w:val="22"/>
              </w:rPr>
              <w:t>2026</w:t>
            </w:r>
          </w:p>
        </w:tc>
      </w:tr>
      <w:tr w:rsidR="00CA2812" w:rsidRPr="008E6915" w14:paraId="262A8907" w14:textId="77777777" w:rsidTr="008E6915">
        <w:tc>
          <w:tcPr>
            <w:tcW w:w="9215" w:type="dxa"/>
            <w:vAlign w:val="center"/>
          </w:tcPr>
          <w:p w14:paraId="11002A2E" w14:textId="3ADB5305" w:rsidR="00CA2812" w:rsidRPr="008E6915" w:rsidRDefault="00CA2812" w:rsidP="00CA2812">
            <w:pPr>
              <w:pStyle w:val="Text1"/>
              <w:numPr>
                <w:ilvl w:val="0"/>
                <w:numId w:val="40"/>
              </w:numPr>
              <w:spacing w:after="120"/>
              <w:jc w:val="left"/>
              <w:rPr>
                <w:noProof/>
                <w:sz w:val="22"/>
                <w:szCs w:val="22"/>
              </w:rPr>
            </w:pPr>
            <w:r>
              <w:rPr>
                <w:noProof/>
                <w:sz w:val="22"/>
              </w:rPr>
              <w:t xml:space="preserve">Encourager l’ESFRI à poursuivre le dialogue avec les parties prenantes concernées et à </w:t>
            </w:r>
            <w:r>
              <w:rPr>
                <w:b/>
                <w:noProof/>
                <w:sz w:val="22"/>
              </w:rPr>
              <w:t>réviser sa méthodologie d’analyse du paysage</w:t>
            </w:r>
            <w:r>
              <w:rPr>
                <w:noProof/>
                <w:sz w:val="22"/>
              </w:rPr>
              <w:t xml:space="preserve"> et sa vision à long terme en conséquence. Proposer des </w:t>
            </w:r>
            <w:r>
              <w:rPr>
                <w:b/>
                <w:noProof/>
                <w:sz w:val="22"/>
              </w:rPr>
              <w:t>indicateurs</w:t>
            </w:r>
            <w:r>
              <w:rPr>
                <w:noProof/>
                <w:sz w:val="22"/>
              </w:rPr>
              <w:t xml:space="preserve"> relatifs à l'évaluation et à la sensibilisation en ce qui concerne la pertinence stratégique des repères ESFRI et des ERIC ou de leurs services, en fonction des priorités de l’Union, y compris la sécurité économique.</w:t>
            </w:r>
          </w:p>
        </w:tc>
        <w:tc>
          <w:tcPr>
            <w:tcW w:w="1134" w:type="dxa"/>
            <w:vAlign w:val="center"/>
          </w:tcPr>
          <w:p w14:paraId="4E5ECEA6" w14:textId="77777777" w:rsidR="00CA2812" w:rsidRPr="008E6915" w:rsidRDefault="00CA2812">
            <w:pPr>
              <w:jc w:val="center"/>
              <w:rPr>
                <w:noProof/>
                <w:sz w:val="22"/>
                <w:szCs w:val="22"/>
              </w:rPr>
            </w:pPr>
            <w:r>
              <w:rPr>
                <w:noProof/>
                <w:sz w:val="22"/>
              </w:rPr>
              <w:t>2025</w:t>
            </w:r>
          </w:p>
        </w:tc>
      </w:tr>
      <w:tr w:rsidR="00723D53" w:rsidRPr="008E6915" w14:paraId="1224BF51" w14:textId="77777777" w:rsidTr="008E6915">
        <w:trPr>
          <w:trHeight w:val="424"/>
        </w:trPr>
        <w:tc>
          <w:tcPr>
            <w:tcW w:w="10349" w:type="dxa"/>
            <w:gridSpan w:val="2"/>
            <w:shd w:val="clear" w:color="auto" w:fill="E7E6E6" w:themeFill="background2"/>
            <w:vAlign w:val="center"/>
          </w:tcPr>
          <w:p w14:paraId="48D79966" w14:textId="77777777" w:rsidR="00CA2812" w:rsidRPr="008E6915" w:rsidRDefault="00CA2812">
            <w:pPr>
              <w:jc w:val="center"/>
              <w:rPr>
                <w:b/>
                <w:bCs/>
                <w:noProof/>
              </w:rPr>
            </w:pPr>
            <w:r>
              <w:rPr>
                <w:b/>
                <w:noProof/>
              </w:rPr>
              <w:t>Renforcer la dimension internationale et la résilience</w:t>
            </w:r>
          </w:p>
        </w:tc>
      </w:tr>
      <w:tr w:rsidR="00CA2812" w:rsidRPr="008E6915" w14:paraId="74D1BF25" w14:textId="77777777" w:rsidTr="008E6915">
        <w:tc>
          <w:tcPr>
            <w:tcW w:w="9215" w:type="dxa"/>
          </w:tcPr>
          <w:p w14:paraId="26CC3110" w14:textId="2134279B" w:rsidR="00CA2812" w:rsidRPr="008E6915" w:rsidRDefault="00CA2812" w:rsidP="00CA2812">
            <w:pPr>
              <w:pStyle w:val="Text1"/>
              <w:numPr>
                <w:ilvl w:val="0"/>
                <w:numId w:val="40"/>
              </w:numPr>
              <w:spacing w:after="120"/>
              <w:jc w:val="left"/>
              <w:rPr>
                <w:noProof/>
                <w:sz w:val="22"/>
                <w:szCs w:val="22"/>
              </w:rPr>
            </w:pPr>
            <w:r>
              <w:rPr>
                <w:noProof/>
                <w:sz w:val="22"/>
              </w:rPr>
              <w:t xml:space="preserve">Renforcer la </w:t>
            </w:r>
            <w:r>
              <w:rPr>
                <w:b/>
                <w:noProof/>
                <w:sz w:val="22"/>
              </w:rPr>
              <w:t>dimension internationale des infrastructures de recherche paneuropéennes</w:t>
            </w:r>
            <w:r>
              <w:rPr>
                <w:noProof/>
                <w:sz w:val="22"/>
              </w:rPr>
              <w:t xml:space="preserve"> et leur rôle dans la diplomatie scientifique, notamment en élargissant la couverture géographique dans les domaines scientifiques hautement prioritaires, en promouvant les normes et approches européennes en matière d’accès, de gestion des données et de science ouverte à l’échelle mondiale, en favorisant la réciprocité de l’accès pour les chercheurs de l'UE et en facilitant l’échange de bonnes pratiques, tout en garantissant les niveaux appropriés de sécurité et de confidentialité.</w:t>
            </w:r>
          </w:p>
        </w:tc>
        <w:tc>
          <w:tcPr>
            <w:tcW w:w="1134" w:type="dxa"/>
            <w:vAlign w:val="center"/>
          </w:tcPr>
          <w:p w14:paraId="0282F3DB" w14:textId="77777777" w:rsidR="00CA2812" w:rsidRPr="008E6915" w:rsidRDefault="00CA2812">
            <w:pPr>
              <w:jc w:val="center"/>
              <w:rPr>
                <w:noProof/>
                <w:sz w:val="22"/>
                <w:szCs w:val="22"/>
              </w:rPr>
            </w:pPr>
            <w:r>
              <w:rPr>
                <w:noProof/>
                <w:sz w:val="22"/>
              </w:rPr>
              <w:t>2025</w:t>
            </w:r>
          </w:p>
        </w:tc>
      </w:tr>
      <w:tr w:rsidR="00CA2812" w:rsidRPr="008E6915" w14:paraId="6947B511" w14:textId="77777777" w:rsidTr="008E6915">
        <w:tc>
          <w:tcPr>
            <w:tcW w:w="9215" w:type="dxa"/>
          </w:tcPr>
          <w:p w14:paraId="2D9EDD30" w14:textId="4A45314C" w:rsidR="00CA2812" w:rsidRPr="008E6915" w:rsidRDefault="00CA2812" w:rsidP="00CA2812">
            <w:pPr>
              <w:pStyle w:val="Text1"/>
              <w:numPr>
                <w:ilvl w:val="0"/>
                <w:numId w:val="40"/>
              </w:numPr>
              <w:spacing w:after="120"/>
              <w:ind w:left="357" w:hanging="357"/>
              <w:jc w:val="left"/>
              <w:rPr>
                <w:noProof/>
                <w:sz w:val="22"/>
                <w:szCs w:val="22"/>
              </w:rPr>
            </w:pPr>
            <w:r>
              <w:rPr>
                <w:noProof/>
                <w:sz w:val="22"/>
              </w:rPr>
              <w:t xml:space="preserve">Mettre en place des actions pour soutenir: (i) la mise en œuvre de mesures de </w:t>
            </w:r>
            <w:r>
              <w:rPr>
                <w:b/>
                <w:noProof/>
                <w:sz w:val="22"/>
              </w:rPr>
              <w:t>gestion et d’atténuation des risques et d’intervention en cas d’urgence</w:t>
            </w:r>
            <w:r>
              <w:rPr>
                <w:noProof/>
                <w:sz w:val="22"/>
              </w:rPr>
              <w:t xml:space="preserve"> pour les infrastructures, (ii) l’alignement et la coordination des investissements dans toute l’Europe pour un </w:t>
            </w:r>
            <w:r>
              <w:rPr>
                <w:b/>
                <w:noProof/>
                <w:sz w:val="22"/>
              </w:rPr>
              <w:t>stockage, un traitement et un partage fiables et sécurisés</w:t>
            </w:r>
            <w:r>
              <w:rPr>
                <w:noProof/>
                <w:sz w:val="22"/>
              </w:rPr>
              <w:t xml:space="preserve"> des données critiques, y compris par l’intermédiaire de l’EOSC, et (iii) l’élaboration de cadres de </w:t>
            </w:r>
            <w:r>
              <w:rPr>
                <w:b/>
                <w:noProof/>
                <w:sz w:val="22"/>
              </w:rPr>
              <w:t>souveraineté des données</w:t>
            </w:r>
            <w:r>
              <w:rPr>
                <w:noProof/>
                <w:sz w:val="22"/>
              </w:rPr>
              <w:t xml:space="preserve"> pour un partage sécurisé et efficace des données. Ces mesures bénéficieront également de la coopération avec l’Observatoire européen des technologies critiques et avec les initiatives pertinentes en matière de sécurité de la recherche dans le cadre de la stratégie ProtectEU.</w:t>
            </w:r>
          </w:p>
        </w:tc>
        <w:tc>
          <w:tcPr>
            <w:tcW w:w="1134" w:type="dxa"/>
            <w:vAlign w:val="center"/>
          </w:tcPr>
          <w:p w14:paraId="429856D3" w14:textId="77777777" w:rsidR="00CA2812" w:rsidRPr="008E6915" w:rsidRDefault="00CA2812">
            <w:pPr>
              <w:jc w:val="center"/>
              <w:rPr>
                <w:noProof/>
                <w:sz w:val="22"/>
                <w:szCs w:val="22"/>
              </w:rPr>
            </w:pPr>
            <w:r>
              <w:rPr>
                <w:noProof/>
                <w:sz w:val="22"/>
              </w:rPr>
              <w:t>2025</w:t>
            </w:r>
          </w:p>
        </w:tc>
      </w:tr>
      <w:tr w:rsidR="00CA2812" w:rsidRPr="008E6915" w14:paraId="7E56485B" w14:textId="77777777" w:rsidTr="008E6915">
        <w:tc>
          <w:tcPr>
            <w:tcW w:w="9215" w:type="dxa"/>
          </w:tcPr>
          <w:p w14:paraId="7EFA33E6" w14:textId="5667AF47" w:rsidR="00CA2812" w:rsidRPr="008E6915" w:rsidRDefault="00CA2812" w:rsidP="00CA2812">
            <w:pPr>
              <w:pStyle w:val="Text1"/>
              <w:numPr>
                <w:ilvl w:val="0"/>
                <w:numId w:val="40"/>
              </w:numPr>
              <w:spacing w:after="120"/>
              <w:jc w:val="left"/>
              <w:rPr>
                <w:noProof/>
                <w:sz w:val="22"/>
                <w:szCs w:val="22"/>
              </w:rPr>
            </w:pPr>
            <w:r>
              <w:rPr>
                <w:noProof/>
                <w:sz w:val="22"/>
              </w:rPr>
              <w:t>Promouvoir l’</w:t>
            </w:r>
            <w:r>
              <w:rPr>
                <w:b/>
                <w:noProof/>
                <w:sz w:val="22"/>
              </w:rPr>
              <w:t>intégration des pays candidats, des pays candidats potentiels et des pays associés, en particulier l’Ukraine,</w:t>
            </w:r>
            <w:r>
              <w:rPr>
                <w:noProof/>
                <w:sz w:val="22"/>
              </w:rPr>
              <w:t xml:space="preserve"> dans l’EER, en soutenant la coopération entre les infrastructures de recherche et de technologie et leurs organisations hôtes, et en facilitant l’accès aux infrastructures européennes de recherche et de technologie, le cas échéant.</w:t>
            </w:r>
          </w:p>
        </w:tc>
        <w:tc>
          <w:tcPr>
            <w:tcW w:w="1134" w:type="dxa"/>
            <w:vAlign w:val="center"/>
          </w:tcPr>
          <w:p w14:paraId="5FA5FFE1" w14:textId="77777777" w:rsidR="00CA2812" w:rsidRPr="008E6915" w:rsidRDefault="00CA2812">
            <w:pPr>
              <w:jc w:val="center"/>
              <w:rPr>
                <w:noProof/>
                <w:sz w:val="22"/>
                <w:szCs w:val="22"/>
              </w:rPr>
            </w:pPr>
            <w:r>
              <w:rPr>
                <w:noProof/>
                <w:sz w:val="22"/>
              </w:rPr>
              <w:t>2025</w:t>
            </w:r>
          </w:p>
        </w:tc>
      </w:tr>
    </w:tbl>
    <w:p w14:paraId="7DBDA50D" w14:textId="77777777" w:rsidR="007901E5" w:rsidRPr="007901E5" w:rsidRDefault="007901E5" w:rsidP="007901E5">
      <w:pPr>
        <w:spacing w:after="240"/>
        <w:jc w:val="both"/>
        <w:rPr>
          <w:rFonts w:ascii="Times New Roman Bold" w:hAnsi="Times New Roman Bold"/>
          <w:b/>
          <w:noProof/>
          <w:szCs w:val="28"/>
        </w:rPr>
      </w:pPr>
    </w:p>
    <w:sectPr w:rsidR="007901E5" w:rsidRPr="007901E5" w:rsidSect="00E11843">
      <w:headerReference w:type="even" r:id="rId39"/>
      <w:headerReference w:type="default" r:id="rId40"/>
      <w:footerReference w:type="even" r:id="rId41"/>
      <w:footerReference w:type="default" r:id="rId42"/>
      <w:headerReference w:type="first" r:id="rId43"/>
      <w:footerReference w:type="first" r:id="rId44"/>
      <w:pgSz w:w="11906" w:h="16838"/>
      <w:pgMar w:top="1418" w:right="1418" w:bottom="1418" w:left="1418" w:header="709" w:footer="70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C94356" w14:textId="77777777" w:rsidR="00F628B6" w:rsidRDefault="00F628B6">
      <w:r>
        <w:separator/>
      </w:r>
    </w:p>
  </w:endnote>
  <w:endnote w:type="continuationSeparator" w:id="0">
    <w:p w14:paraId="36C7ECBF" w14:textId="77777777" w:rsidR="00F628B6" w:rsidRDefault="00F628B6">
      <w:r>
        <w:continuationSeparator/>
      </w:r>
    </w:p>
  </w:endnote>
  <w:endnote w:type="continuationNotice" w:id="1">
    <w:p w14:paraId="507EED2F" w14:textId="77777777" w:rsidR="00F628B6" w:rsidRDefault="00F628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quot;Calibri&quot;,sans-serif">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ptos">
    <w:altName w:val="Arial"/>
    <w:charset w:val="00"/>
    <w:family w:val="swiss"/>
    <w:pitch w:val="variable"/>
    <w:sig w:usb0="00000001"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C6E52B" w14:textId="6067AAF1" w:rsidR="00AC7C9D" w:rsidRPr="00AC7C9D" w:rsidRDefault="00AC7C9D" w:rsidP="00AC7C9D">
    <w:pPr>
      <w:pStyle w:val="FooterCoverPage"/>
      <w:rPr>
        <w:rFonts w:ascii="Arial" w:hAnsi="Arial" w:cs="Arial"/>
        <w:b/>
        <w:sz w:val="48"/>
      </w:rPr>
    </w:pPr>
    <w:r w:rsidRPr="00AC7C9D">
      <w:rPr>
        <w:rFonts w:ascii="Arial" w:hAnsi="Arial" w:cs="Arial"/>
        <w:b/>
        <w:sz w:val="48"/>
      </w:rPr>
      <w:t>FR</w:t>
    </w:r>
    <w:r w:rsidRPr="00AC7C9D">
      <w:rPr>
        <w:rFonts w:ascii="Arial" w:hAnsi="Arial" w:cs="Arial"/>
        <w:b/>
        <w:sz w:val="48"/>
      </w:rPr>
      <w:tab/>
    </w:r>
    <w:r w:rsidRPr="00AC7C9D">
      <w:rPr>
        <w:rFonts w:ascii="Arial" w:hAnsi="Arial" w:cs="Arial"/>
        <w:b/>
        <w:sz w:val="48"/>
      </w:rPr>
      <w:tab/>
    </w:r>
    <w:r w:rsidRPr="00AC7C9D">
      <w:tab/>
    </w:r>
    <w:r w:rsidRPr="00AC7C9D">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CE08EB" w14:textId="460978F8" w:rsidR="00AC7C9D" w:rsidRPr="00AC7C9D" w:rsidRDefault="00AC7C9D" w:rsidP="00AC7C9D">
    <w:pPr>
      <w:pStyle w:val="FooterCoverPage"/>
      <w:rPr>
        <w:rFonts w:ascii="Arial" w:hAnsi="Arial" w:cs="Arial"/>
        <w:b/>
        <w:sz w:val="48"/>
      </w:rPr>
    </w:pPr>
    <w:r w:rsidRPr="00AC7C9D">
      <w:rPr>
        <w:rFonts w:ascii="Arial" w:hAnsi="Arial" w:cs="Arial"/>
        <w:b/>
        <w:sz w:val="48"/>
      </w:rPr>
      <w:t>FR</w:t>
    </w:r>
    <w:r w:rsidRPr="00AC7C9D">
      <w:rPr>
        <w:rFonts w:ascii="Arial" w:hAnsi="Arial" w:cs="Arial"/>
        <w:b/>
        <w:sz w:val="48"/>
      </w:rPr>
      <w:tab/>
    </w:r>
    <w:r w:rsidRPr="00AC7C9D">
      <w:rPr>
        <w:rFonts w:ascii="Arial" w:hAnsi="Arial" w:cs="Arial"/>
        <w:b/>
        <w:sz w:val="48"/>
      </w:rPr>
      <w:tab/>
    </w:r>
    <w:r w:rsidRPr="00AC7C9D">
      <w:tab/>
    </w:r>
    <w:r w:rsidRPr="00AC7C9D">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8327A1" w14:textId="77777777" w:rsidR="00AC7C9D" w:rsidRPr="00AC7C9D" w:rsidRDefault="00AC7C9D" w:rsidP="00AC7C9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93AF64" w14:textId="77777777" w:rsidR="00E11843" w:rsidRDefault="00E1184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833886" w14:textId="1DD976AD" w:rsidR="00E11843" w:rsidRDefault="00E11843">
    <w:pPr>
      <w:pStyle w:val="Footer"/>
      <w:jc w:val="center"/>
    </w:pPr>
    <w:r>
      <w:fldChar w:fldCharType="begin"/>
    </w:r>
    <w:r>
      <w:instrText xml:space="preserve"> PAGE   \* MERGEFORMAT </w:instrText>
    </w:r>
    <w:r>
      <w:fldChar w:fldCharType="separate"/>
    </w:r>
    <w:r w:rsidR="00AC7C9D">
      <w:rPr>
        <w:noProof/>
      </w:rPr>
      <w:t>2</w:t>
    </w:r>
    <w:r>
      <w:fldChar w:fldCharType="end"/>
    </w:r>
  </w:p>
  <w:p w14:paraId="621C42C5" w14:textId="77777777" w:rsidR="00E11843" w:rsidRDefault="00E11843">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6CC95F" w14:textId="77777777" w:rsidR="00E11843" w:rsidRDefault="00E118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7DE290" w14:textId="77777777" w:rsidR="00F628B6" w:rsidRDefault="00F628B6">
      <w:r>
        <w:separator/>
      </w:r>
    </w:p>
  </w:footnote>
  <w:footnote w:type="continuationSeparator" w:id="0">
    <w:p w14:paraId="33C50973" w14:textId="77777777" w:rsidR="00F628B6" w:rsidRDefault="00F628B6">
      <w:r>
        <w:continuationSeparator/>
      </w:r>
    </w:p>
  </w:footnote>
  <w:footnote w:type="continuationNotice" w:id="1">
    <w:p w14:paraId="4191A52C" w14:textId="77777777" w:rsidR="00F628B6" w:rsidRDefault="00F628B6"/>
  </w:footnote>
  <w:footnote w:id="2">
    <w:p w14:paraId="3798C0B8" w14:textId="6E89C7F9" w:rsidR="00501691" w:rsidRPr="007A716B" w:rsidRDefault="00501691" w:rsidP="00E3221B">
      <w:pPr>
        <w:pStyle w:val="FootnoteText"/>
        <w:tabs>
          <w:tab w:val="left" w:pos="1982"/>
        </w:tabs>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1" w:history="1">
        <w:r>
          <w:rPr>
            <w:rStyle w:val="Hyperlink"/>
            <w:rFonts w:ascii="Times New Roman" w:hAnsi="Times New Roman"/>
            <w:i/>
          </w:rPr>
          <w:t>Choisir</w:t>
        </w:r>
        <w:bookmarkStart w:id="2" w:name="_Hlt204872138"/>
        <w:bookmarkStart w:id="3" w:name="_Hlt204872139"/>
        <w:r>
          <w:rPr>
            <w:rStyle w:val="Hyperlink"/>
            <w:rFonts w:ascii="Times New Roman" w:hAnsi="Times New Roman"/>
            <w:i/>
          </w:rPr>
          <w:t xml:space="preserve"> </w:t>
        </w:r>
        <w:bookmarkEnd w:id="2"/>
        <w:bookmarkEnd w:id="3"/>
        <w:r>
          <w:rPr>
            <w:rStyle w:val="Hyperlink"/>
            <w:rFonts w:ascii="Times New Roman" w:hAnsi="Times New Roman"/>
            <w:i/>
          </w:rPr>
          <w:t>l’Europe</w:t>
        </w:r>
      </w:hyperlink>
      <w:r>
        <w:rPr>
          <w:rFonts w:ascii="Times New Roman" w:hAnsi="Times New Roman"/>
        </w:rPr>
        <w:t xml:space="preserve">: </w:t>
      </w:r>
      <w:r>
        <w:rPr>
          <w:rFonts w:ascii="Times New Roman" w:hAnsi="Times New Roman"/>
          <w:i/>
        </w:rPr>
        <w:t>Développez votre carrière de chercheur dans l’UE</w:t>
      </w:r>
      <w:r>
        <w:rPr>
          <w:rFonts w:ascii="Times New Roman" w:hAnsi="Times New Roman"/>
        </w:rPr>
        <w:tab/>
      </w:r>
    </w:p>
  </w:footnote>
  <w:footnote w:id="3">
    <w:p w14:paraId="2D35031E" w14:textId="67605FC9" w:rsidR="006C5921" w:rsidRPr="007A716B" w:rsidRDefault="006C5921" w:rsidP="006C5921">
      <w:pPr>
        <w:pStyle w:val="FootnoteText"/>
        <w:rPr>
          <w:rFonts w:ascii="Times New Roman" w:eastAsia="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Sources des photographies: 1. CERN, 2. ERIC-BBMRI, de la Banque nationale danoise à l’institut Statens Serrum, 3. Réseau Interact, 4. Module KM3NeT, crédit: Paschal Coyle.</w:t>
      </w:r>
    </w:p>
  </w:footnote>
  <w:footnote w:id="4">
    <w:p w14:paraId="2DD54C89" w14:textId="774781A0" w:rsidR="0057767D" w:rsidRPr="007A716B" w:rsidRDefault="0057767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Précédemment décrit dans le document de travail des services de la Commission </w:t>
      </w:r>
      <w:hyperlink r:id="rId2" w:history="1">
        <w:r>
          <w:rPr>
            <w:rStyle w:val="Hyperlink"/>
            <w:rFonts w:ascii="Times New Roman" w:hAnsi="Times New Roman"/>
          </w:rPr>
          <w:t>(SWD 2019/158)</w:t>
        </w:r>
      </w:hyperlink>
      <w:r>
        <w:t>.</w:t>
      </w:r>
    </w:p>
  </w:footnote>
  <w:footnote w:id="5">
    <w:p w14:paraId="47274D88" w14:textId="0D96B338" w:rsidR="003E7F72" w:rsidRPr="007A716B" w:rsidRDefault="003E7F72">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Sources des photographies: 1. Imec, 2. VTT, 3. TNO, 4.RISE.</w:t>
      </w:r>
    </w:p>
  </w:footnote>
  <w:footnote w:id="6">
    <w:p w14:paraId="3989061F" w14:textId="7BEF233B" w:rsidR="0267476F" w:rsidRPr="007A716B" w:rsidRDefault="0267476F" w:rsidP="0267476F">
      <w:pPr>
        <w:rPr>
          <w:sz w:val="20"/>
          <w:szCs w:val="20"/>
        </w:rPr>
      </w:pPr>
      <w:r>
        <w:rPr>
          <w:sz w:val="20"/>
          <w:szCs w:val="20"/>
        </w:rPr>
        <w:footnoteRef/>
      </w:r>
      <w:r>
        <w:rPr>
          <w:sz w:val="20"/>
        </w:rPr>
        <w:t xml:space="preserve"> Comunidad de Madrid (ES), Rhône-Alpes (FR), Etelä-Suomi (FI), Limburg (NL) et Noord-Brabant (NL).</w:t>
      </w:r>
    </w:p>
  </w:footnote>
  <w:footnote w:id="7">
    <w:p w14:paraId="70DDC8EC" w14:textId="02098016" w:rsidR="0057767D" w:rsidRPr="001D5C65" w:rsidRDefault="0057767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FAIR signifie que les données sont «Faciles à trouver, Accessibles, Interopérables et Réutilisables» [Wilkinson, M., Dumontier, M., Aalbersberg, I. </w:t>
      </w:r>
      <w:r>
        <w:rPr>
          <w:rFonts w:ascii="Times New Roman" w:hAnsi="Times New Roman"/>
          <w:i/>
        </w:rPr>
        <w:t>et al.</w:t>
      </w:r>
      <w:r>
        <w:rPr>
          <w:rFonts w:ascii="Times New Roman" w:hAnsi="Times New Roman"/>
        </w:rPr>
        <w:t> </w:t>
      </w:r>
      <w:r w:rsidRPr="00741A43">
        <w:rPr>
          <w:rFonts w:ascii="Times New Roman" w:hAnsi="Times New Roman"/>
          <w:lang w:val="en-US"/>
        </w:rPr>
        <w:t>The FAIR Guiding Principles for scientific data management and stewardship. </w:t>
      </w:r>
      <w:r>
        <w:rPr>
          <w:rFonts w:ascii="Times New Roman" w:hAnsi="Times New Roman"/>
          <w:i/>
        </w:rPr>
        <w:t>Sci Data</w:t>
      </w:r>
      <w:r>
        <w:rPr>
          <w:rFonts w:ascii="Times New Roman" w:hAnsi="Times New Roman"/>
        </w:rPr>
        <w:t xml:space="preserve"> </w:t>
      </w:r>
      <w:r>
        <w:rPr>
          <w:rFonts w:ascii="Times New Roman" w:hAnsi="Times New Roman"/>
          <w:b/>
        </w:rPr>
        <w:t>3</w:t>
      </w:r>
      <w:r>
        <w:rPr>
          <w:rFonts w:ascii="Times New Roman" w:hAnsi="Times New Roman"/>
        </w:rPr>
        <w:t>, 160018 (2016).]</w:t>
      </w:r>
    </w:p>
  </w:footnote>
  <w:footnote w:id="8">
    <w:p w14:paraId="6BD14E11" w14:textId="33BC180E" w:rsidR="00A03C47" w:rsidRPr="001D5C65" w:rsidRDefault="00A03C4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Conformément à leurs accords d’association globaux respectifs. L’association à Horizon Europe est la forme de coopération la plus étroite avec les pays non membres de l’Union; elle permet aux entités juridiques d’un pays associé de participer aux actions du programme dans les mêmes conditions (droits et obligations) que les entités des États membres de l’Union en vertu de l’</w:t>
      </w:r>
      <w:hyperlink r:id="rId3" w:history="1">
        <w:r>
          <w:rPr>
            <w:rStyle w:val="Hyperlink"/>
            <w:rFonts w:ascii="Times New Roman" w:hAnsi="Times New Roman"/>
          </w:rPr>
          <w:t>article 16 du règlement Horizon Europe</w:t>
        </w:r>
      </w:hyperlink>
      <w:r>
        <w:t>.</w:t>
      </w:r>
      <w:r>
        <w:rPr>
          <w:rFonts w:ascii="Times New Roman" w:hAnsi="Times New Roman"/>
        </w:rPr>
        <w:t xml:space="preserve"> </w:t>
      </w:r>
    </w:p>
  </w:footnote>
  <w:footnote w:id="9">
    <w:p w14:paraId="3D642EFD" w14:textId="286B68EC" w:rsidR="008D16B5" w:rsidRPr="001D5C65" w:rsidRDefault="008D16B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Y compris les régions ultrapériphériques de l’Union. </w:t>
      </w:r>
    </w:p>
  </w:footnote>
  <w:footnote w:id="10">
    <w:p w14:paraId="114FA90E" w14:textId="7DF8EC62" w:rsidR="00F31C66" w:rsidRPr="001D5C65" w:rsidRDefault="00F31C66">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https://www.esfri.eu/ESFRI-Report-Energy-and-Supply-Challenges-ri</w:t>
      </w:r>
      <w:r>
        <w:t>.</w:t>
      </w:r>
    </w:p>
  </w:footnote>
  <w:footnote w:id="11">
    <w:p w14:paraId="7B61F11A" w14:textId="60A407FD" w:rsidR="0057767D" w:rsidRPr="007A716B" w:rsidRDefault="0057767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Pour la distinction entre les infrastructures technologiques et celles exploitées par l’industrie, voir Commission européenne: Direction générale de la recherche et de l’innovation, </w:t>
      </w:r>
      <w:r>
        <w:rPr>
          <w:rFonts w:ascii="Times New Roman" w:hAnsi="Times New Roman"/>
          <w:i/>
        </w:rPr>
        <w:t>Towards a European policy for technology infrastructures – Building bridges to competitiveness</w:t>
      </w:r>
      <w:r>
        <w:rPr>
          <w:rFonts w:ascii="Times New Roman" w:hAnsi="Times New Roman"/>
        </w:rPr>
        <w:t xml:space="preserve"> (Vers une politique européenne des infrastructures technologiques – Construire des ponts vers la compétitivité), Office des publications de l’Union européenne, 2025, </w:t>
      </w:r>
      <w:hyperlink r:id="rId4" w:tgtFrame="_blank" w:history="1">
        <w:r>
          <w:rPr>
            <w:rStyle w:val="Hyperlink"/>
            <w:rFonts w:ascii="Times New Roman" w:hAnsi="Times New Roman"/>
            <w:b/>
          </w:rPr>
          <w:t>https://op.europa.eu/fr/publication-detail/-/publication/ebbad86c-ea87-11ef-b5e9-01aa75ed71a1</w:t>
        </w:r>
      </w:hyperlink>
      <w:r>
        <w:t>.</w:t>
      </w:r>
    </w:p>
  </w:footnote>
  <w:footnote w:id="12">
    <w:p w14:paraId="2CFDF376" w14:textId="2C9B4D22" w:rsidR="00F02EAA" w:rsidRPr="007A716B" w:rsidRDefault="00F02EAA">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https://www.esfri.eu/esfri-report-funding-research-infrastructures</w:t>
      </w:r>
      <w:r>
        <w:t>.</w:t>
      </w:r>
    </w:p>
  </w:footnote>
  <w:footnote w:id="13">
    <w:p w14:paraId="327C42E7" w14:textId="4ED1CEAB" w:rsidR="27039F41" w:rsidRPr="007A716B" w:rsidRDefault="27039F41" w:rsidP="27039F41">
      <w:pPr>
        <w:rPr>
          <w:rStyle w:val="Hyperlink"/>
          <w:rFonts w:eastAsia="Aptos"/>
          <w:color w:val="467886"/>
          <w:sz w:val="20"/>
          <w:szCs w:val="20"/>
        </w:rPr>
      </w:pPr>
      <w:r>
        <w:rPr>
          <w:sz w:val="20"/>
          <w:szCs w:val="20"/>
        </w:rPr>
        <w:footnoteRef/>
      </w:r>
      <w:r>
        <w:rPr>
          <w:sz w:val="20"/>
        </w:rPr>
        <w:t xml:space="preserve"> </w:t>
      </w:r>
      <w:hyperlink r:id="rId5" w:history="1">
        <w:r>
          <w:rPr>
            <w:rStyle w:val="Hyperlink"/>
            <w:color w:val="467886"/>
            <w:sz w:val="20"/>
          </w:rPr>
          <w:t>https://www.eib.org/en/publications/20250208-unlocking-innovation-addressing-the-funding-needs-of-eu-technology-infrastructures</w:t>
        </w:r>
      </w:hyperlink>
      <w:r>
        <w:t>.</w:t>
      </w:r>
    </w:p>
  </w:footnote>
  <w:footnote w:id="14">
    <w:p w14:paraId="26564EC9" w14:textId="23B81244" w:rsidR="0075777D" w:rsidRPr="007A716B" w:rsidRDefault="0075777D">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Feuille de route de l’ESFRI: </w:t>
      </w:r>
      <w:hyperlink r:id="rId6" w:history="1">
        <w:r>
          <w:rPr>
            <w:rStyle w:val="Hyperlink"/>
            <w:rFonts w:ascii="Times New Roman" w:hAnsi="Times New Roman"/>
          </w:rPr>
          <w:t>https://roadmap2021.esfri.eu/</w:t>
        </w:r>
      </w:hyperlink>
      <w:r>
        <w:rPr>
          <w:rFonts w:ascii="Times New Roman" w:hAnsi="Times New Roman"/>
        </w:rPr>
        <w:t xml:space="preserve">, analyse du paysage de l’ESFRI: </w:t>
      </w:r>
      <w:hyperlink r:id="rId7" w:history="1">
        <w:r>
          <w:rPr>
            <w:rStyle w:val="Hyperlink"/>
            <w:rFonts w:ascii="Times New Roman" w:hAnsi="Times New Roman"/>
          </w:rPr>
          <w:t>https://www.esfri.eu/landscape_analysis</w:t>
        </w:r>
      </w:hyperlink>
      <w:r>
        <w:rPr>
          <w:rFonts w:ascii="Times New Roman" w:hAnsi="Times New Roman"/>
        </w:rPr>
        <w:t>, pour les feuilles de route nationales: https://www.esfri.eu/national-roadmaps</w:t>
      </w:r>
    </w:p>
  </w:footnote>
  <w:footnote w:id="15">
    <w:p w14:paraId="19D62012" w14:textId="09B42F6F" w:rsidR="006E21CB" w:rsidRPr="007A716B" w:rsidRDefault="006E21CB">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Parmi celles-ci figurent, entre autres, les pôles européens d’innovation numérique, les capacités de calcul à haute performance, les installations d’essai et d’expérimentation de l’IA, ainsi que les fabriques d’IA et les giga-usines présentées dans le plan d’action pour un continent de l’IA.</w:t>
      </w:r>
    </w:p>
  </w:footnote>
  <w:footnote w:id="16">
    <w:p w14:paraId="6DAB7D4F" w14:textId="63C22681" w:rsidR="00E55557" w:rsidRPr="007A716B" w:rsidRDefault="00E5555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Pour en savoir plus, voir </w:t>
      </w:r>
      <w:hyperlink r:id="rId8" w:history="1">
        <w:r>
          <w:rPr>
            <w:rStyle w:val="Hyperlink"/>
            <w:rFonts w:ascii="Times New Roman" w:hAnsi="Times New Roman"/>
          </w:rPr>
          <w:t>International Cooperation in the Research Infrastructure dimension - European Commission</w:t>
        </w:r>
      </w:hyperlink>
      <w:r>
        <w:t xml:space="preserve"> </w:t>
      </w:r>
    </w:p>
  </w:footnote>
  <w:footnote w:id="17">
    <w:p w14:paraId="1256E8FF" w14:textId="37C22336" w:rsidR="000813F4" w:rsidRPr="007A716B" w:rsidRDefault="000813F4">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Étant donné que les infrastructures de recherche paneuropéennes contribuent aux objectifs du Pacte européen pour l’Océan https://eur-lex.europa.eu/legal-content/FR/ALL/?uri=comnat:COM_2025_0281_FIN.</w:t>
      </w:r>
    </w:p>
  </w:footnote>
  <w:footnote w:id="18">
    <w:p w14:paraId="07D802A7" w14:textId="77777777" w:rsidR="007C3187" w:rsidRPr="007A716B" w:rsidRDefault="007C3187" w:rsidP="007C3187">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https://home-affairs.ec.europa.eu/news/commission-presents-protecteu-internal-security-strategy-2025-04-01_en?prefLang=fr</w:t>
      </w:r>
      <w:r>
        <w:t>.</w:t>
      </w:r>
    </w:p>
  </w:footnote>
  <w:footnote w:id="19">
    <w:p w14:paraId="08E40D23" w14:textId="12EA55FB" w:rsidR="7D5821A3" w:rsidRPr="007A716B" w:rsidRDefault="7D5821A3" w:rsidP="7D5821A3">
      <w:pPr>
        <w:rPr>
          <w:sz w:val="20"/>
          <w:szCs w:val="20"/>
        </w:rPr>
      </w:pPr>
      <w:r>
        <w:rPr>
          <w:sz w:val="20"/>
          <w:szCs w:val="20"/>
        </w:rPr>
        <w:footnoteRef/>
      </w:r>
      <w:r>
        <w:rPr>
          <w:sz w:val="20"/>
        </w:rPr>
        <w:t xml:space="preserve"> Recommandation (UE) 2023/2113 de la Commission du 3 octobre 2023 relative aux domaines technologiques critiques pour la sécurité économique de l’Union en vue d’une évaluation approfondie des risques avec les États membres.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7A1577" w14:textId="77777777" w:rsidR="00AC7C9D" w:rsidRPr="00AC7C9D" w:rsidRDefault="00AC7C9D" w:rsidP="00AC7C9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F1E40C" w14:textId="77777777" w:rsidR="00AC7C9D" w:rsidRPr="00AC7C9D" w:rsidRDefault="00AC7C9D" w:rsidP="00AC7C9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09F96" w14:textId="77777777" w:rsidR="00AC7C9D" w:rsidRPr="00AC7C9D" w:rsidRDefault="00AC7C9D" w:rsidP="00AC7C9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698C00" w14:textId="77777777" w:rsidR="00E11843" w:rsidRDefault="00E1184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E4E7DB" w14:textId="77777777" w:rsidR="00E11843" w:rsidRDefault="00E11843">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F17810" w14:textId="77777777" w:rsidR="00E11843" w:rsidRPr="005C30DE" w:rsidRDefault="00E11843" w:rsidP="005C30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B944C1"/>
    <w:multiLevelType w:val="hybridMultilevel"/>
    <w:tmpl w:val="D15C3196"/>
    <w:lvl w:ilvl="0" w:tplc="F0904340">
      <w:start w:val="17"/>
      <w:numFmt w:val="decimal"/>
      <w:lvlText w:val="%1."/>
      <w:lvlJc w:val="left"/>
      <w:pPr>
        <w:ind w:left="786"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2900F7"/>
    <w:multiLevelType w:val="multilevel"/>
    <w:tmpl w:val="77DEFD1A"/>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D40648"/>
    <w:multiLevelType w:val="hybridMultilevel"/>
    <w:tmpl w:val="6FD6BFA2"/>
    <w:lvl w:ilvl="0" w:tplc="FBB8735A">
      <w:start w:val="1"/>
      <w:numFmt w:val="bullet"/>
      <w:lvlText w:val=""/>
      <w:lvlJc w:val="left"/>
      <w:pPr>
        <w:ind w:left="720" w:hanging="360"/>
      </w:pPr>
      <w:rPr>
        <w:rFonts w:ascii="Symbol" w:hAnsi="Symbol" w:hint="default"/>
      </w:rPr>
    </w:lvl>
    <w:lvl w:ilvl="1" w:tplc="18090003" w:tentative="1">
      <w:start w:val="1"/>
      <w:numFmt w:val="bullet"/>
      <w:lvlText w:val="o"/>
      <w:lvlJc w:val="left"/>
      <w:pPr>
        <w:ind w:left="720" w:hanging="360"/>
      </w:pPr>
      <w:rPr>
        <w:rFonts w:ascii="Courier New" w:hAnsi="Courier New" w:cs="Courier New" w:hint="default"/>
      </w:rPr>
    </w:lvl>
    <w:lvl w:ilvl="2" w:tplc="18090005" w:tentative="1">
      <w:start w:val="1"/>
      <w:numFmt w:val="bullet"/>
      <w:lvlText w:val=""/>
      <w:lvlJc w:val="left"/>
      <w:pPr>
        <w:ind w:left="1440" w:hanging="360"/>
      </w:pPr>
      <w:rPr>
        <w:rFonts w:ascii="Wingdings" w:hAnsi="Wingdings" w:hint="default"/>
      </w:rPr>
    </w:lvl>
    <w:lvl w:ilvl="3" w:tplc="18090001" w:tentative="1">
      <w:start w:val="1"/>
      <w:numFmt w:val="bullet"/>
      <w:lvlText w:val=""/>
      <w:lvlJc w:val="left"/>
      <w:pPr>
        <w:ind w:left="2160" w:hanging="360"/>
      </w:pPr>
      <w:rPr>
        <w:rFonts w:ascii="Symbol" w:hAnsi="Symbol" w:hint="default"/>
      </w:rPr>
    </w:lvl>
    <w:lvl w:ilvl="4" w:tplc="18090003" w:tentative="1">
      <w:start w:val="1"/>
      <w:numFmt w:val="bullet"/>
      <w:lvlText w:val="o"/>
      <w:lvlJc w:val="left"/>
      <w:pPr>
        <w:ind w:left="2880" w:hanging="360"/>
      </w:pPr>
      <w:rPr>
        <w:rFonts w:ascii="Courier New" w:hAnsi="Courier New" w:cs="Courier New" w:hint="default"/>
      </w:rPr>
    </w:lvl>
    <w:lvl w:ilvl="5" w:tplc="18090005" w:tentative="1">
      <w:start w:val="1"/>
      <w:numFmt w:val="bullet"/>
      <w:lvlText w:val=""/>
      <w:lvlJc w:val="left"/>
      <w:pPr>
        <w:ind w:left="3600" w:hanging="360"/>
      </w:pPr>
      <w:rPr>
        <w:rFonts w:ascii="Wingdings" w:hAnsi="Wingdings" w:hint="default"/>
      </w:rPr>
    </w:lvl>
    <w:lvl w:ilvl="6" w:tplc="18090001" w:tentative="1">
      <w:start w:val="1"/>
      <w:numFmt w:val="bullet"/>
      <w:lvlText w:val=""/>
      <w:lvlJc w:val="left"/>
      <w:pPr>
        <w:ind w:left="4320" w:hanging="360"/>
      </w:pPr>
      <w:rPr>
        <w:rFonts w:ascii="Symbol" w:hAnsi="Symbol" w:hint="default"/>
      </w:rPr>
    </w:lvl>
    <w:lvl w:ilvl="7" w:tplc="18090003" w:tentative="1">
      <w:start w:val="1"/>
      <w:numFmt w:val="bullet"/>
      <w:lvlText w:val="o"/>
      <w:lvlJc w:val="left"/>
      <w:pPr>
        <w:ind w:left="5040" w:hanging="360"/>
      </w:pPr>
      <w:rPr>
        <w:rFonts w:ascii="Courier New" w:hAnsi="Courier New" w:cs="Courier New" w:hint="default"/>
      </w:rPr>
    </w:lvl>
    <w:lvl w:ilvl="8" w:tplc="18090005" w:tentative="1">
      <w:start w:val="1"/>
      <w:numFmt w:val="bullet"/>
      <w:lvlText w:val=""/>
      <w:lvlJc w:val="left"/>
      <w:pPr>
        <w:ind w:left="5760" w:hanging="360"/>
      </w:pPr>
      <w:rPr>
        <w:rFonts w:ascii="Wingdings" w:hAnsi="Wingdings" w:hint="default"/>
      </w:rPr>
    </w:lvl>
  </w:abstractNum>
  <w:abstractNum w:abstractNumId="3" w15:restartNumberingAfterBreak="0">
    <w:nsid w:val="0EFB7115"/>
    <w:multiLevelType w:val="multilevel"/>
    <w:tmpl w:val="A656A744"/>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7201"/>
    <w:multiLevelType w:val="multilevel"/>
    <w:tmpl w:val="4D401300"/>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4A8A225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3EB4EC3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FF94766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4996626"/>
    <w:multiLevelType w:val="hybridMultilevel"/>
    <w:tmpl w:val="167E1E8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2F0AC5"/>
    <w:multiLevelType w:val="multilevel"/>
    <w:tmpl w:val="1F044358"/>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18610976"/>
    <w:multiLevelType w:val="hybridMultilevel"/>
    <w:tmpl w:val="4298574C"/>
    <w:lvl w:ilvl="0" w:tplc="66403CDA">
      <w:start w:val="1"/>
      <w:numFmt w:val="bullet"/>
      <w:lvlText w:val=""/>
      <w:lvlJc w:val="left"/>
      <w:pPr>
        <w:ind w:left="1440" w:hanging="360"/>
      </w:pPr>
      <w:rPr>
        <w:rFonts w:ascii="Symbol" w:hAnsi="Symbol"/>
      </w:rPr>
    </w:lvl>
    <w:lvl w:ilvl="1" w:tplc="DDDE34CC">
      <w:start w:val="1"/>
      <w:numFmt w:val="bullet"/>
      <w:lvlText w:val=""/>
      <w:lvlJc w:val="left"/>
      <w:pPr>
        <w:ind w:left="1440" w:hanging="360"/>
      </w:pPr>
      <w:rPr>
        <w:rFonts w:ascii="Symbol" w:hAnsi="Symbol"/>
      </w:rPr>
    </w:lvl>
    <w:lvl w:ilvl="2" w:tplc="FD487076">
      <w:start w:val="1"/>
      <w:numFmt w:val="bullet"/>
      <w:lvlText w:val=""/>
      <w:lvlJc w:val="left"/>
      <w:pPr>
        <w:ind w:left="1440" w:hanging="360"/>
      </w:pPr>
      <w:rPr>
        <w:rFonts w:ascii="Symbol" w:hAnsi="Symbol"/>
      </w:rPr>
    </w:lvl>
    <w:lvl w:ilvl="3" w:tplc="DB62EDDE">
      <w:start w:val="1"/>
      <w:numFmt w:val="bullet"/>
      <w:lvlText w:val=""/>
      <w:lvlJc w:val="left"/>
      <w:pPr>
        <w:ind w:left="1440" w:hanging="360"/>
      </w:pPr>
      <w:rPr>
        <w:rFonts w:ascii="Symbol" w:hAnsi="Symbol"/>
      </w:rPr>
    </w:lvl>
    <w:lvl w:ilvl="4" w:tplc="DFCC435E">
      <w:start w:val="1"/>
      <w:numFmt w:val="bullet"/>
      <w:lvlText w:val=""/>
      <w:lvlJc w:val="left"/>
      <w:pPr>
        <w:ind w:left="1440" w:hanging="360"/>
      </w:pPr>
      <w:rPr>
        <w:rFonts w:ascii="Symbol" w:hAnsi="Symbol"/>
      </w:rPr>
    </w:lvl>
    <w:lvl w:ilvl="5" w:tplc="F57655A6">
      <w:start w:val="1"/>
      <w:numFmt w:val="bullet"/>
      <w:lvlText w:val=""/>
      <w:lvlJc w:val="left"/>
      <w:pPr>
        <w:ind w:left="1440" w:hanging="360"/>
      </w:pPr>
      <w:rPr>
        <w:rFonts w:ascii="Symbol" w:hAnsi="Symbol"/>
      </w:rPr>
    </w:lvl>
    <w:lvl w:ilvl="6" w:tplc="1A1275EA">
      <w:start w:val="1"/>
      <w:numFmt w:val="bullet"/>
      <w:lvlText w:val=""/>
      <w:lvlJc w:val="left"/>
      <w:pPr>
        <w:ind w:left="1440" w:hanging="360"/>
      </w:pPr>
      <w:rPr>
        <w:rFonts w:ascii="Symbol" w:hAnsi="Symbol"/>
      </w:rPr>
    </w:lvl>
    <w:lvl w:ilvl="7" w:tplc="289EC132">
      <w:start w:val="1"/>
      <w:numFmt w:val="bullet"/>
      <w:lvlText w:val=""/>
      <w:lvlJc w:val="left"/>
      <w:pPr>
        <w:ind w:left="1440" w:hanging="360"/>
      </w:pPr>
      <w:rPr>
        <w:rFonts w:ascii="Symbol" w:hAnsi="Symbol"/>
      </w:rPr>
    </w:lvl>
    <w:lvl w:ilvl="8" w:tplc="54D285B0">
      <w:start w:val="1"/>
      <w:numFmt w:val="bullet"/>
      <w:lvlText w:val=""/>
      <w:lvlJc w:val="left"/>
      <w:pPr>
        <w:ind w:left="1440" w:hanging="360"/>
      </w:pPr>
      <w:rPr>
        <w:rFonts w:ascii="Symbol" w:hAnsi="Symbol"/>
      </w:rPr>
    </w:lvl>
  </w:abstractNum>
  <w:abstractNum w:abstractNumId="11" w15:restartNumberingAfterBreak="0">
    <w:nsid w:val="1AF01E77"/>
    <w:multiLevelType w:val="hybridMultilevel"/>
    <w:tmpl w:val="F566FE18"/>
    <w:lvl w:ilvl="0" w:tplc="AA72569A">
      <w:start w:val="1"/>
      <w:numFmt w:val="bullet"/>
      <w:lvlText w:val=""/>
      <w:lvlJc w:val="left"/>
      <w:pPr>
        <w:ind w:left="720" w:hanging="360"/>
      </w:pPr>
      <w:rPr>
        <w:rFonts w:ascii="Symbol" w:hAnsi="Symbol"/>
      </w:rPr>
    </w:lvl>
    <w:lvl w:ilvl="1" w:tplc="D1703A78">
      <w:start w:val="1"/>
      <w:numFmt w:val="bullet"/>
      <w:lvlText w:val=""/>
      <w:lvlJc w:val="left"/>
      <w:pPr>
        <w:ind w:left="720" w:hanging="360"/>
      </w:pPr>
      <w:rPr>
        <w:rFonts w:ascii="Symbol" w:hAnsi="Symbol"/>
      </w:rPr>
    </w:lvl>
    <w:lvl w:ilvl="2" w:tplc="A11EA606">
      <w:start w:val="1"/>
      <w:numFmt w:val="bullet"/>
      <w:lvlText w:val=""/>
      <w:lvlJc w:val="left"/>
      <w:pPr>
        <w:ind w:left="720" w:hanging="360"/>
      </w:pPr>
      <w:rPr>
        <w:rFonts w:ascii="Symbol" w:hAnsi="Symbol"/>
      </w:rPr>
    </w:lvl>
    <w:lvl w:ilvl="3" w:tplc="9E20AFD8">
      <w:start w:val="1"/>
      <w:numFmt w:val="bullet"/>
      <w:lvlText w:val=""/>
      <w:lvlJc w:val="left"/>
      <w:pPr>
        <w:ind w:left="720" w:hanging="360"/>
      </w:pPr>
      <w:rPr>
        <w:rFonts w:ascii="Symbol" w:hAnsi="Symbol"/>
      </w:rPr>
    </w:lvl>
    <w:lvl w:ilvl="4" w:tplc="809A12B8">
      <w:start w:val="1"/>
      <w:numFmt w:val="bullet"/>
      <w:lvlText w:val=""/>
      <w:lvlJc w:val="left"/>
      <w:pPr>
        <w:ind w:left="720" w:hanging="360"/>
      </w:pPr>
      <w:rPr>
        <w:rFonts w:ascii="Symbol" w:hAnsi="Symbol"/>
      </w:rPr>
    </w:lvl>
    <w:lvl w:ilvl="5" w:tplc="5F4093AC">
      <w:start w:val="1"/>
      <w:numFmt w:val="bullet"/>
      <w:lvlText w:val=""/>
      <w:lvlJc w:val="left"/>
      <w:pPr>
        <w:ind w:left="720" w:hanging="360"/>
      </w:pPr>
      <w:rPr>
        <w:rFonts w:ascii="Symbol" w:hAnsi="Symbol"/>
      </w:rPr>
    </w:lvl>
    <w:lvl w:ilvl="6" w:tplc="B2A87B04">
      <w:start w:val="1"/>
      <w:numFmt w:val="bullet"/>
      <w:lvlText w:val=""/>
      <w:lvlJc w:val="left"/>
      <w:pPr>
        <w:ind w:left="720" w:hanging="360"/>
      </w:pPr>
      <w:rPr>
        <w:rFonts w:ascii="Symbol" w:hAnsi="Symbol"/>
      </w:rPr>
    </w:lvl>
    <w:lvl w:ilvl="7" w:tplc="EF1EE48E">
      <w:start w:val="1"/>
      <w:numFmt w:val="bullet"/>
      <w:lvlText w:val=""/>
      <w:lvlJc w:val="left"/>
      <w:pPr>
        <w:ind w:left="720" w:hanging="360"/>
      </w:pPr>
      <w:rPr>
        <w:rFonts w:ascii="Symbol" w:hAnsi="Symbol"/>
      </w:rPr>
    </w:lvl>
    <w:lvl w:ilvl="8" w:tplc="B2BED10C">
      <w:start w:val="1"/>
      <w:numFmt w:val="bullet"/>
      <w:lvlText w:val=""/>
      <w:lvlJc w:val="left"/>
      <w:pPr>
        <w:ind w:left="720" w:hanging="360"/>
      </w:pPr>
      <w:rPr>
        <w:rFonts w:ascii="Symbol" w:hAnsi="Symbol"/>
      </w:rPr>
    </w:lvl>
  </w:abstractNum>
  <w:abstractNum w:abstractNumId="12" w15:restartNumberingAfterBreak="0">
    <w:nsid w:val="1C7B624F"/>
    <w:multiLevelType w:val="multilevel"/>
    <w:tmpl w:val="2A6E157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5A14D78"/>
    <w:multiLevelType w:val="hybridMultilevel"/>
    <w:tmpl w:val="5DEEF05A"/>
    <w:lvl w:ilvl="0" w:tplc="5D448EDE">
      <w:start w:val="1"/>
      <w:numFmt w:val="decimal"/>
      <w:lvlText w:val="(%1)"/>
      <w:lvlJc w:val="left"/>
      <w:pPr>
        <w:ind w:left="780" w:hanging="360"/>
      </w:pPr>
      <w:rPr>
        <w:rFonts w:ascii="Times New Roman" w:eastAsia="Times New Roman" w:hAnsi="Times New Roman" w:cs="Times New Roman"/>
      </w:rPr>
    </w:lvl>
    <w:lvl w:ilvl="1" w:tplc="18090003" w:tentative="1">
      <w:start w:val="1"/>
      <w:numFmt w:val="bullet"/>
      <w:lvlText w:val="o"/>
      <w:lvlJc w:val="left"/>
      <w:pPr>
        <w:ind w:left="1500" w:hanging="360"/>
      </w:pPr>
      <w:rPr>
        <w:rFonts w:ascii="Courier New" w:hAnsi="Courier New" w:cs="Courier New" w:hint="default"/>
      </w:rPr>
    </w:lvl>
    <w:lvl w:ilvl="2" w:tplc="18090005" w:tentative="1">
      <w:start w:val="1"/>
      <w:numFmt w:val="bullet"/>
      <w:lvlText w:val=""/>
      <w:lvlJc w:val="left"/>
      <w:pPr>
        <w:ind w:left="2220" w:hanging="360"/>
      </w:pPr>
      <w:rPr>
        <w:rFonts w:ascii="Wingdings" w:hAnsi="Wingdings" w:hint="default"/>
      </w:rPr>
    </w:lvl>
    <w:lvl w:ilvl="3" w:tplc="18090001" w:tentative="1">
      <w:start w:val="1"/>
      <w:numFmt w:val="bullet"/>
      <w:lvlText w:val=""/>
      <w:lvlJc w:val="left"/>
      <w:pPr>
        <w:ind w:left="2940" w:hanging="360"/>
      </w:pPr>
      <w:rPr>
        <w:rFonts w:ascii="Symbol" w:hAnsi="Symbol" w:hint="default"/>
      </w:rPr>
    </w:lvl>
    <w:lvl w:ilvl="4" w:tplc="18090003" w:tentative="1">
      <w:start w:val="1"/>
      <w:numFmt w:val="bullet"/>
      <w:lvlText w:val="o"/>
      <w:lvlJc w:val="left"/>
      <w:pPr>
        <w:ind w:left="3660" w:hanging="360"/>
      </w:pPr>
      <w:rPr>
        <w:rFonts w:ascii="Courier New" w:hAnsi="Courier New" w:cs="Courier New" w:hint="default"/>
      </w:rPr>
    </w:lvl>
    <w:lvl w:ilvl="5" w:tplc="18090005" w:tentative="1">
      <w:start w:val="1"/>
      <w:numFmt w:val="bullet"/>
      <w:lvlText w:val=""/>
      <w:lvlJc w:val="left"/>
      <w:pPr>
        <w:ind w:left="4380" w:hanging="360"/>
      </w:pPr>
      <w:rPr>
        <w:rFonts w:ascii="Wingdings" w:hAnsi="Wingdings" w:hint="default"/>
      </w:rPr>
    </w:lvl>
    <w:lvl w:ilvl="6" w:tplc="18090001" w:tentative="1">
      <w:start w:val="1"/>
      <w:numFmt w:val="bullet"/>
      <w:lvlText w:val=""/>
      <w:lvlJc w:val="left"/>
      <w:pPr>
        <w:ind w:left="5100" w:hanging="360"/>
      </w:pPr>
      <w:rPr>
        <w:rFonts w:ascii="Symbol" w:hAnsi="Symbol" w:hint="default"/>
      </w:rPr>
    </w:lvl>
    <w:lvl w:ilvl="7" w:tplc="18090003" w:tentative="1">
      <w:start w:val="1"/>
      <w:numFmt w:val="bullet"/>
      <w:lvlText w:val="o"/>
      <w:lvlJc w:val="left"/>
      <w:pPr>
        <w:ind w:left="5820" w:hanging="360"/>
      </w:pPr>
      <w:rPr>
        <w:rFonts w:ascii="Courier New" w:hAnsi="Courier New" w:cs="Courier New" w:hint="default"/>
      </w:rPr>
    </w:lvl>
    <w:lvl w:ilvl="8" w:tplc="18090005" w:tentative="1">
      <w:start w:val="1"/>
      <w:numFmt w:val="bullet"/>
      <w:lvlText w:val=""/>
      <w:lvlJc w:val="left"/>
      <w:pPr>
        <w:ind w:left="6540" w:hanging="360"/>
      </w:pPr>
      <w:rPr>
        <w:rFonts w:ascii="Wingdings" w:hAnsi="Wingdings" w:hint="default"/>
      </w:rPr>
    </w:lvl>
  </w:abstractNum>
  <w:abstractNum w:abstractNumId="14" w15:restartNumberingAfterBreak="0">
    <w:nsid w:val="2C5189B7"/>
    <w:multiLevelType w:val="hybridMultilevel"/>
    <w:tmpl w:val="B2389CDA"/>
    <w:lvl w:ilvl="0" w:tplc="18090001">
      <w:start w:val="1"/>
      <w:numFmt w:val="bullet"/>
      <w:lvlText w:val=""/>
      <w:lvlJc w:val="left"/>
      <w:pPr>
        <w:ind w:left="360" w:hanging="360"/>
      </w:pPr>
      <w:rPr>
        <w:rFonts w:ascii="Symbol" w:hAnsi="Symbol" w:hint="default"/>
      </w:rPr>
    </w:lvl>
    <w:lvl w:ilvl="1" w:tplc="CBECD99E">
      <w:start w:val="1"/>
      <w:numFmt w:val="lowerLetter"/>
      <w:lvlText w:val="%2."/>
      <w:lvlJc w:val="left"/>
      <w:pPr>
        <w:ind w:left="1080" w:hanging="360"/>
      </w:pPr>
    </w:lvl>
    <w:lvl w:ilvl="2" w:tplc="358C9C6E">
      <w:start w:val="1"/>
      <w:numFmt w:val="lowerRoman"/>
      <w:lvlText w:val="%3."/>
      <w:lvlJc w:val="right"/>
      <w:pPr>
        <w:ind w:left="1800" w:hanging="180"/>
      </w:pPr>
    </w:lvl>
    <w:lvl w:ilvl="3" w:tplc="B47EE7E2">
      <w:start w:val="1"/>
      <w:numFmt w:val="decimal"/>
      <w:lvlText w:val="%4."/>
      <w:lvlJc w:val="left"/>
      <w:pPr>
        <w:ind w:left="2520" w:hanging="360"/>
      </w:pPr>
    </w:lvl>
    <w:lvl w:ilvl="4" w:tplc="68727BDA">
      <w:start w:val="1"/>
      <w:numFmt w:val="lowerLetter"/>
      <w:lvlText w:val="%5."/>
      <w:lvlJc w:val="left"/>
      <w:pPr>
        <w:ind w:left="3240" w:hanging="360"/>
      </w:pPr>
    </w:lvl>
    <w:lvl w:ilvl="5" w:tplc="DDA6E238">
      <w:start w:val="1"/>
      <w:numFmt w:val="lowerRoman"/>
      <w:lvlText w:val="%6."/>
      <w:lvlJc w:val="right"/>
      <w:pPr>
        <w:ind w:left="3960" w:hanging="180"/>
      </w:pPr>
    </w:lvl>
    <w:lvl w:ilvl="6" w:tplc="380C9AAC">
      <w:start w:val="1"/>
      <w:numFmt w:val="decimal"/>
      <w:lvlText w:val="%7."/>
      <w:lvlJc w:val="left"/>
      <w:pPr>
        <w:ind w:left="4680" w:hanging="360"/>
      </w:pPr>
    </w:lvl>
    <w:lvl w:ilvl="7" w:tplc="63C4EDD4">
      <w:start w:val="1"/>
      <w:numFmt w:val="lowerLetter"/>
      <w:lvlText w:val="%8."/>
      <w:lvlJc w:val="left"/>
      <w:pPr>
        <w:ind w:left="5400" w:hanging="360"/>
      </w:pPr>
    </w:lvl>
    <w:lvl w:ilvl="8" w:tplc="67C0BDAE">
      <w:start w:val="1"/>
      <w:numFmt w:val="lowerRoman"/>
      <w:lvlText w:val="%9."/>
      <w:lvlJc w:val="right"/>
      <w:pPr>
        <w:ind w:left="6120" w:hanging="180"/>
      </w:pPr>
    </w:lvl>
  </w:abstractNum>
  <w:abstractNum w:abstractNumId="15" w15:restartNumberingAfterBreak="0">
    <w:nsid w:val="2C8DFDF8"/>
    <w:multiLevelType w:val="multilevel"/>
    <w:tmpl w:val="89921A6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2D293CE3"/>
    <w:multiLevelType w:val="multilevel"/>
    <w:tmpl w:val="F1BECFD0"/>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2D293CF4"/>
    <w:multiLevelType w:val="multilevel"/>
    <w:tmpl w:val="239EB808"/>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6324F1E"/>
    <w:multiLevelType w:val="multilevel"/>
    <w:tmpl w:val="9E22103E"/>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7CB1E1C"/>
    <w:multiLevelType w:val="multilevel"/>
    <w:tmpl w:val="F5041D1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8293AD7"/>
    <w:multiLevelType w:val="hybridMultilevel"/>
    <w:tmpl w:val="05A027CE"/>
    <w:lvl w:ilvl="0" w:tplc="0270FE60">
      <w:start w:val="1"/>
      <w:numFmt w:val="decimal"/>
      <w:lvlText w:val="%1."/>
      <w:lvlJc w:val="left"/>
      <w:pPr>
        <w:ind w:left="360" w:hanging="360"/>
      </w:pPr>
      <w:rPr>
        <w:rFonts w:hint="default"/>
        <w:i w:val="0"/>
        <w:iCs/>
      </w:rPr>
    </w:lvl>
    <w:lvl w:ilvl="1" w:tplc="FFFFFFFF">
      <w:start w:val="1"/>
      <w:numFmt w:val="decimal"/>
      <w:lvlText w:val="%2."/>
      <w:lvlJc w:val="left"/>
      <w:pPr>
        <w:ind w:left="108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3A7730C4"/>
    <w:multiLevelType w:val="multilevel"/>
    <w:tmpl w:val="FB801D9E"/>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29E662A"/>
    <w:multiLevelType w:val="multilevel"/>
    <w:tmpl w:val="664CDA60"/>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6DC2884"/>
    <w:multiLevelType w:val="hybridMultilevel"/>
    <w:tmpl w:val="295AAA00"/>
    <w:lvl w:ilvl="0" w:tplc="7778A0C0">
      <w:start w:val="1"/>
      <w:numFmt w:val="bullet"/>
      <w:lvlText w:val=""/>
      <w:lvlJc w:val="left"/>
      <w:pPr>
        <w:ind w:left="720" w:hanging="360"/>
      </w:pPr>
      <w:rPr>
        <w:rFonts w:ascii="Symbol" w:hAnsi="Symbol"/>
      </w:rPr>
    </w:lvl>
    <w:lvl w:ilvl="1" w:tplc="4EE28982">
      <w:start w:val="1"/>
      <w:numFmt w:val="bullet"/>
      <w:lvlText w:val=""/>
      <w:lvlJc w:val="left"/>
      <w:pPr>
        <w:ind w:left="720" w:hanging="360"/>
      </w:pPr>
      <w:rPr>
        <w:rFonts w:ascii="Symbol" w:hAnsi="Symbol"/>
      </w:rPr>
    </w:lvl>
    <w:lvl w:ilvl="2" w:tplc="A2FC4A2C">
      <w:start w:val="1"/>
      <w:numFmt w:val="bullet"/>
      <w:lvlText w:val=""/>
      <w:lvlJc w:val="left"/>
      <w:pPr>
        <w:ind w:left="720" w:hanging="360"/>
      </w:pPr>
      <w:rPr>
        <w:rFonts w:ascii="Symbol" w:hAnsi="Symbol"/>
      </w:rPr>
    </w:lvl>
    <w:lvl w:ilvl="3" w:tplc="EC1A1F7E">
      <w:start w:val="1"/>
      <w:numFmt w:val="bullet"/>
      <w:lvlText w:val=""/>
      <w:lvlJc w:val="left"/>
      <w:pPr>
        <w:ind w:left="720" w:hanging="360"/>
      </w:pPr>
      <w:rPr>
        <w:rFonts w:ascii="Symbol" w:hAnsi="Symbol"/>
      </w:rPr>
    </w:lvl>
    <w:lvl w:ilvl="4" w:tplc="6FD8307E">
      <w:start w:val="1"/>
      <w:numFmt w:val="bullet"/>
      <w:lvlText w:val=""/>
      <w:lvlJc w:val="left"/>
      <w:pPr>
        <w:ind w:left="720" w:hanging="360"/>
      </w:pPr>
      <w:rPr>
        <w:rFonts w:ascii="Symbol" w:hAnsi="Symbol"/>
      </w:rPr>
    </w:lvl>
    <w:lvl w:ilvl="5" w:tplc="A6A21FC6">
      <w:start w:val="1"/>
      <w:numFmt w:val="bullet"/>
      <w:lvlText w:val=""/>
      <w:lvlJc w:val="left"/>
      <w:pPr>
        <w:ind w:left="720" w:hanging="360"/>
      </w:pPr>
      <w:rPr>
        <w:rFonts w:ascii="Symbol" w:hAnsi="Symbol"/>
      </w:rPr>
    </w:lvl>
    <w:lvl w:ilvl="6" w:tplc="353C9AA6">
      <w:start w:val="1"/>
      <w:numFmt w:val="bullet"/>
      <w:lvlText w:val=""/>
      <w:lvlJc w:val="left"/>
      <w:pPr>
        <w:ind w:left="720" w:hanging="360"/>
      </w:pPr>
      <w:rPr>
        <w:rFonts w:ascii="Symbol" w:hAnsi="Symbol"/>
      </w:rPr>
    </w:lvl>
    <w:lvl w:ilvl="7" w:tplc="7F428DFE">
      <w:start w:val="1"/>
      <w:numFmt w:val="bullet"/>
      <w:lvlText w:val=""/>
      <w:lvlJc w:val="left"/>
      <w:pPr>
        <w:ind w:left="720" w:hanging="360"/>
      </w:pPr>
      <w:rPr>
        <w:rFonts w:ascii="Symbol" w:hAnsi="Symbol"/>
      </w:rPr>
    </w:lvl>
    <w:lvl w:ilvl="8" w:tplc="F0966B42">
      <w:start w:val="1"/>
      <w:numFmt w:val="bullet"/>
      <w:lvlText w:val=""/>
      <w:lvlJc w:val="left"/>
      <w:pPr>
        <w:ind w:left="720" w:hanging="360"/>
      </w:pPr>
      <w:rPr>
        <w:rFonts w:ascii="Symbol" w:hAnsi="Symbol"/>
      </w:rPr>
    </w:lvl>
  </w:abstractNum>
  <w:abstractNum w:abstractNumId="24" w15:restartNumberingAfterBreak="0">
    <w:nsid w:val="47233B42"/>
    <w:multiLevelType w:val="hybridMultilevel"/>
    <w:tmpl w:val="2DDCA324"/>
    <w:lvl w:ilvl="0" w:tplc="FED86172">
      <w:start w:val="1"/>
      <w:numFmt w:val="decimal"/>
      <w:lvlText w:val="%1."/>
      <w:lvlJc w:val="left"/>
      <w:pPr>
        <w:ind w:left="786"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B832473"/>
    <w:multiLevelType w:val="hybridMultilevel"/>
    <w:tmpl w:val="B14C647C"/>
    <w:lvl w:ilvl="0" w:tplc="604E0788">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4E1A63DF"/>
    <w:multiLevelType w:val="multilevel"/>
    <w:tmpl w:val="173E11C4"/>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4E1A982C"/>
    <w:multiLevelType w:val="multilevel"/>
    <w:tmpl w:val="4BB8384C"/>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8" w15:restartNumberingAfterBreak="0">
    <w:nsid w:val="5072619B"/>
    <w:multiLevelType w:val="multilevel"/>
    <w:tmpl w:val="7A1E69C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9" w15:restartNumberingAfterBreak="0">
    <w:nsid w:val="50729B52"/>
    <w:multiLevelType w:val="multilevel"/>
    <w:tmpl w:val="DEDC4A50"/>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0" w15:restartNumberingAfterBreak="0">
    <w:nsid w:val="514205FA"/>
    <w:multiLevelType w:val="hybridMultilevel"/>
    <w:tmpl w:val="05087F3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211"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09C12F0"/>
    <w:multiLevelType w:val="hybridMultilevel"/>
    <w:tmpl w:val="E416AC30"/>
    <w:lvl w:ilvl="0" w:tplc="A9E2B7A6">
      <w:start w:val="4"/>
      <w:numFmt w:val="bullet"/>
      <w:lvlText w:val="-"/>
      <w:lvlJc w:val="left"/>
      <w:pPr>
        <w:ind w:left="360" w:hanging="360"/>
      </w:pPr>
      <w:rPr>
        <w:rFonts w:ascii="Times New Roman" w:eastAsiaTheme="minorHAnsi" w:hAnsi="Times New Roman" w:cs="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2" w15:restartNumberingAfterBreak="0">
    <w:nsid w:val="63F158C7"/>
    <w:multiLevelType w:val="hybridMultilevel"/>
    <w:tmpl w:val="144E633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66CC5DBB"/>
    <w:multiLevelType w:val="hybridMultilevel"/>
    <w:tmpl w:val="19A4FA72"/>
    <w:lvl w:ilvl="0" w:tplc="BE6245E0">
      <w:start w:val="1"/>
      <w:numFmt w:val="decimal"/>
      <w:lvlText w:val="%1."/>
      <w:lvlJc w:val="left"/>
      <w:pPr>
        <w:ind w:left="360" w:hanging="360"/>
      </w:pPr>
      <w:rPr>
        <w:rFonts w:hint="default"/>
        <w:i w:val="0"/>
        <w:i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88E660B"/>
    <w:multiLevelType w:val="hybridMultilevel"/>
    <w:tmpl w:val="B71AF8CE"/>
    <w:name w:val="EurolookHeading2"/>
    <w:lvl w:ilvl="0" w:tplc="8C5ADB60">
      <w:start w:val="19"/>
      <w:numFmt w:val="decimal"/>
      <w:lvlText w:val="%1."/>
      <w:lvlJc w:val="left"/>
      <w:pPr>
        <w:ind w:left="360" w:hanging="360"/>
      </w:pPr>
      <w:rPr>
        <w:rFonts w:hint="default"/>
        <w:i w:val="0"/>
        <w:i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977472E"/>
    <w:multiLevelType w:val="multilevel"/>
    <w:tmpl w:val="31AE3CF0"/>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6" w15:restartNumberingAfterBreak="0">
    <w:nsid w:val="756F2725"/>
    <w:multiLevelType w:val="hybridMultilevel"/>
    <w:tmpl w:val="FFFFFFFF"/>
    <w:lvl w:ilvl="0" w:tplc="5F36F066">
      <w:start w:val="1"/>
      <w:numFmt w:val="bullet"/>
      <w:lvlText w:val="-"/>
      <w:lvlJc w:val="left"/>
      <w:pPr>
        <w:ind w:left="720" w:hanging="360"/>
      </w:pPr>
      <w:rPr>
        <w:rFonts w:ascii="&quot;Calibri&quot;,sans-serif" w:hAnsi="&quot;Calibri&quot;,sans-serif" w:hint="default"/>
      </w:rPr>
    </w:lvl>
    <w:lvl w:ilvl="1" w:tplc="F806A290">
      <w:start w:val="1"/>
      <w:numFmt w:val="bullet"/>
      <w:lvlText w:val="o"/>
      <w:lvlJc w:val="left"/>
      <w:pPr>
        <w:ind w:left="1440" w:hanging="360"/>
      </w:pPr>
      <w:rPr>
        <w:rFonts w:ascii="Courier New" w:hAnsi="Courier New" w:hint="default"/>
      </w:rPr>
    </w:lvl>
    <w:lvl w:ilvl="2" w:tplc="06262A36">
      <w:start w:val="1"/>
      <w:numFmt w:val="bullet"/>
      <w:lvlText w:val=""/>
      <w:lvlJc w:val="left"/>
      <w:pPr>
        <w:ind w:left="2160" w:hanging="360"/>
      </w:pPr>
      <w:rPr>
        <w:rFonts w:ascii="Wingdings" w:hAnsi="Wingdings" w:hint="default"/>
      </w:rPr>
    </w:lvl>
    <w:lvl w:ilvl="3" w:tplc="B298FB0C">
      <w:start w:val="1"/>
      <w:numFmt w:val="bullet"/>
      <w:lvlText w:val=""/>
      <w:lvlJc w:val="left"/>
      <w:pPr>
        <w:ind w:left="2880" w:hanging="360"/>
      </w:pPr>
      <w:rPr>
        <w:rFonts w:ascii="Symbol" w:hAnsi="Symbol" w:hint="default"/>
      </w:rPr>
    </w:lvl>
    <w:lvl w:ilvl="4" w:tplc="8F846486">
      <w:start w:val="1"/>
      <w:numFmt w:val="bullet"/>
      <w:lvlText w:val="o"/>
      <w:lvlJc w:val="left"/>
      <w:pPr>
        <w:ind w:left="3600" w:hanging="360"/>
      </w:pPr>
      <w:rPr>
        <w:rFonts w:ascii="Courier New" w:hAnsi="Courier New" w:hint="default"/>
      </w:rPr>
    </w:lvl>
    <w:lvl w:ilvl="5" w:tplc="E2884192">
      <w:start w:val="1"/>
      <w:numFmt w:val="bullet"/>
      <w:lvlText w:val=""/>
      <w:lvlJc w:val="left"/>
      <w:pPr>
        <w:ind w:left="4320" w:hanging="360"/>
      </w:pPr>
      <w:rPr>
        <w:rFonts w:ascii="Wingdings" w:hAnsi="Wingdings" w:hint="default"/>
      </w:rPr>
    </w:lvl>
    <w:lvl w:ilvl="6" w:tplc="0D90CFF6">
      <w:start w:val="1"/>
      <w:numFmt w:val="bullet"/>
      <w:lvlText w:val=""/>
      <w:lvlJc w:val="left"/>
      <w:pPr>
        <w:ind w:left="5040" w:hanging="360"/>
      </w:pPr>
      <w:rPr>
        <w:rFonts w:ascii="Symbol" w:hAnsi="Symbol" w:hint="default"/>
      </w:rPr>
    </w:lvl>
    <w:lvl w:ilvl="7" w:tplc="B1C0841A">
      <w:start w:val="1"/>
      <w:numFmt w:val="bullet"/>
      <w:lvlText w:val="o"/>
      <w:lvlJc w:val="left"/>
      <w:pPr>
        <w:ind w:left="5760" w:hanging="360"/>
      </w:pPr>
      <w:rPr>
        <w:rFonts w:ascii="Courier New" w:hAnsi="Courier New" w:hint="default"/>
      </w:rPr>
    </w:lvl>
    <w:lvl w:ilvl="8" w:tplc="5588AF5A">
      <w:start w:val="1"/>
      <w:numFmt w:val="bullet"/>
      <w:lvlText w:val=""/>
      <w:lvlJc w:val="left"/>
      <w:pPr>
        <w:ind w:left="6480" w:hanging="360"/>
      </w:pPr>
      <w:rPr>
        <w:rFonts w:ascii="Wingdings" w:hAnsi="Wingdings" w:hint="default"/>
      </w:rPr>
    </w:lvl>
  </w:abstractNum>
  <w:abstractNum w:abstractNumId="37" w15:restartNumberingAfterBreak="0">
    <w:nsid w:val="7A3641C1"/>
    <w:multiLevelType w:val="hybridMultilevel"/>
    <w:tmpl w:val="C0E47906"/>
    <w:lvl w:ilvl="0" w:tplc="F13065BE">
      <w:start w:val="15"/>
      <w:numFmt w:val="decimal"/>
      <w:lvlText w:val="%1."/>
      <w:lvlJc w:val="left"/>
      <w:pPr>
        <w:ind w:left="786"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C65145E"/>
    <w:multiLevelType w:val="multilevel"/>
    <w:tmpl w:val="1FDCB25A"/>
    <w:lvl w:ilvl="0">
      <w:start w:val="1"/>
      <w:numFmt w:val="decimal"/>
      <w:pStyle w:val="Heading1"/>
      <w:lvlText w:val="%1."/>
      <w:lvlJc w:val="left"/>
      <w:pPr>
        <w:tabs>
          <w:tab w:val="num" w:pos="482"/>
        </w:tabs>
        <w:ind w:left="482" w:hanging="482"/>
      </w:pPr>
      <w:rPr>
        <w:lang w:val="en-IE"/>
      </w:rPr>
    </w:lvl>
    <w:lvl w:ilvl="1">
      <w:start w:val="1"/>
      <w:numFmt w:val="decimal"/>
      <w:pStyle w:val="Heading2"/>
      <w:lvlText w:val="%1.%2."/>
      <w:lvlJc w:val="left"/>
      <w:pPr>
        <w:tabs>
          <w:tab w:val="num" w:pos="1077"/>
        </w:tabs>
        <w:ind w:left="1077" w:hanging="595"/>
      </w:pPr>
      <w:rPr>
        <w:b/>
        <w:bCs/>
      </w:r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39"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abstractNum w:abstractNumId="40" w15:restartNumberingAfterBreak="0">
    <w:nsid w:val="7F2463A3"/>
    <w:multiLevelType w:val="hybridMultilevel"/>
    <w:tmpl w:val="19A4FA72"/>
    <w:lvl w:ilvl="0" w:tplc="FFFFFFFF">
      <w:start w:val="1"/>
      <w:numFmt w:val="decimal"/>
      <w:lvlText w:val="%1."/>
      <w:lvlJc w:val="left"/>
      <w:pPr>
        <w:ind w:left="360" w:hanging="360"/>
      </w:pPr>
      <w:rPr>
        <w:rFonts w:hint="default"/>
        <w:i w:val="0"/>
        <w:i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8"/>
  </w:num>
  <w:num w:numId="2">
    <w:abstractNumId w:val="25"/>
  </w:num>
  <w:num w:numId="3">
    <w:abstractNumId w:val="30"/>
  </w:num>
  <w:num w:numId="4">
    <w:abstractNumId w:val="32"/>
  </w:num>
  <w:num w:numId="5">
    <w:abstractNumId w:val="1"/>
  </w:num>
  <w:num w:numId="6">
    <w:abstractNumId w:val="18"/>
  </w:num>
  <w:num w:numId="7">
    <w:abstractNumId w:val="12"/>
  </w:num>
  <w:num w:numId="8">
    <w:abstractNumId w:val="19"/>
  </w:num>
  <w:num w:numId="9">
    <w:abstractNumId w:val="28"/>
  </w:num>
  <w:num w:numId="10">
    <w:abstractNumId w:val="35"/>
  </w:num>
  <w:num w:numId="11">
    <w:abstractNumId w:val="3"/>
  </w:num>
  <w:num w:numId="12">
    <w:abstractNumId w:val="9"/>
  </w:num>
  <w:num w:numId="13">
    <w:abstractNumId w:val="22"/>
  </w:num>
  <w:num w:numId="14">
    <w:abstractNumId w:val="4"/>
  </w:num>
  <w:num w:numId="15">
    <w:abstractNumId w:val="6"/>
  </w:num>
  <w:num w:numId="16">
    <w:abstractNumId w:val="7"/>
  </w:num>
  <w:num w:numId="17">
    <w:abstractNumId w:val="15"/>
  </w:num>
  <w:num w:numId="18">
    <w:abstractNumId w:val="21"/>
  </w:num>
  <w:num w:numId="19">
    <w:abstractNumId w:val="27"/>
  </w:num>
  <w:num w:numId="20">
    <w:abstractNumId w:val="38"/>
  </w:num>
  <w:num w:numId="21">
    <w:abstractNumId w:val="16"/>
  </w:num>
  <w:num w:numId="22">
    <w:abstractNumId w:val="17"/>
  </w:num>
  <w:num w:numId="23">
    <w:abstractNumId w:val="39"/>
  </w:num>
  <w:num w:numId="24">
    <w:abstractNumId w:val="26"/>
  </w:num>
  <w:num w:numId="25">
    <w:abstractNumId w:val="29"/>
  </w:num>
  <w:num w:numId="26">
    <w:abstractNumId w:val="5"/>
  </w:num>
  <w:num w:numId="27">
    <w:abstractNumId w:val="13"/>
  </w:num>
  <w:num w:numId="28">
    <w:abstractNumId w:val="14"/>
  </w:num>
  <w:num w:numId="29">
    <w:abstractNumId w:val="20"/>
  </w:num>
  <w:num w:numId="30">
    <w:abstractNumId w:val="34"/>
  </w:num>
  <w:num w:numId="31">
    <w:abstractNumId w:val="2"/>
  </w:num>
  <w:num w:numId="32">
    <w:abstractNumId w:val="36"/>
  </w:num>
  <w:num w:numId="33">
    <w:abstractNumId w:val="11"/>
  </w:num>
  <w:num w:numId="34">
    <w:abstractNumId w:val="23"/>
  </w:num>
  <w:num w:numId="35">
    <w:abstractNumId w:val="31"/>
  </w:num>
  <w:num w:numId="36">
    <w:abstractNumId w:val="33"/>
  </w:num>
  <w:num w:numId="37">
    <w:abstractNumId w:val="10"/>
  </w:num>
  <w:num w:numId="38">
    <w:abstractNumId w:val="38"/>
  </w:num>
  <w:num w:numId="39">
    <w:abstractNumId w:val="37"/>
  </w:num>
  <w:num w:numId="40">
    <w:abstractNumId w:val="40"/>
  </w:num>
  <w:num w:numId="41">
    <w:abstractNumId w:val="0"/>
  </w:num>
  <w:num w:numId="42">
    <w:abstractNumId w:val="24"/>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F9F7A1FA-5130-467E-95CE-98A950556406"/>
    <w:docVar w:name="LW_COVERPAGE_TYPE" w:val="1"/>
    <w:docVar w:name="LW_CROSSREFERENCE" w:val="&lt;UNUSED&gt;"/>
    <w:docVar w:name="LW_DocType" w:val="NORMAL"/>
    <w:docVar w:name="LW_EMISSION" w:val="15.9.2025"/>
    <w:docVar w:name="LW_EMISSION_ISODATE" w:val="2025-09-15"/>
    <w:docVar w:name="LW_EMISSION_LOCATION" w:val="BRX"/>
    <w:docVar w:name="LW_EMISSION_PREFIX" w:val="Bruxelles,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5) 497"/>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UNE STRATÉGIE EUROPÉENNE POUR LES INFRASTRUCTURES DE RECHERCHE ET DE TECHNOLOGIE&lt;/FMT&gt;"/>
    <w:docVar w:name="LW_TYPE.DOC.CP" w:val="COMMUNICATION DE LA COMMISSION AU PARLEMENT EUROPÉEN, AU CONSEIL, AU COMITÉ ÉCONOMIQUE ET SOCIAL EUROPÉEN ET AU COMITÉ DES RÉGIONS"/>
    <w:docVar w:name="LW_TYPE.DOC.CP.USERTEXT" w:val="&lt;EMPTY&gt;"/>
    <w:docVar w:name="LwApiVersions" w:val="LW4CoDe 1.24.5.0; LW 9.0, Build 20240221"/>
  </w:docVars>
  <w:rsids>
    <w:rsidRoot w:val="00DE36CE"/>
    <w:rsid w:val="000001C6"/>
    <w:rsid w:val="000001F6"/>
    <w:rsid w:val="00000219"/>
    <w:rsid w:val="00000326"/>
    <w:rsid w:val="00000586"/>
    <w:rsid w:val="000007F7"/>
    <w:rsid w:val="000008E5"/>
    <w:rsid w:val="00000AA5"/>
    <w:rsid w:val="00000DD5"/>
    <w:rsid w:val="00000F50"/>
    <w:rsid w:val="00001275"/>
    <w:rsid w:val="0000178C"/>
    <w:rsid w:val="000018E4"/>
    <w:rsid w:val="00001935"/>
    <w:rsid w:val="00002009"/>
    <w:rsid w:val="000020F5"/>
    <w:rsid w:val="000022CC"/>
    <w:rsid w:val="00002318"/>
    <w:rsid w:val="0000236B"/>
    <w:rsid w:val="00002507"/>
    <w:rsid w:val="00002810"/>
    <w:rsid w:val="00002884"/>
    <w:rsid w:val="00002888"/>
    <w:rsid w:val="0000288B"/>
    <w:rsid w:val="000028BB"/>
    <w:rsid w:val="00002B4E"/>
    <w:rsid w:val="00002C21"/>
    <w:rsid w:val="00002D0A"/>
    <w:rsid w:val="00002D75"/>
    <w:rsid w:val="00002DD8"/>
    <w:rsid w:val="00002E2A"/>
    <w:rsid w:val="00003149"/>
    <w:rsid w:val="00003230"/>
    <w:rsid w:val="000032E7"/>
    <w:rsid w:val="0000330B"/>
    <w:rsid w:val="000035AC"/>
    <w:rsid w:val="000035C8"/>
    <w:rsid w:val="00003872"/>
    <w:rsid w:val="00003C13"/>
    <w:rsid w:val="00003C5C"/>
    <w:rsid w:val="00003E53"/>
    <w:rsid w:val="00004000"/>
    <w:rsid w:val="000041B3"/>
    <w:rsid w:val="000042E0"/>
    <w:rsid w:val="000043CB"/>
    <w:rsid w:val="0000446D"/>
    <w:rsid w:val="00004545"/>
    <w:rsid w:val="000048D1"/>
    <w:rsid w:val="0000491A"/>
    <w:rsid w:val="0000495A"/>
    <w:rsid w:val="00004B27"/>
    <w:rsid w:val="00004D02"/>
    <w:rsid w:val="00004F85"/>
    <w:rsid w:val="00004FCB"/>
    <w:rsid w:val="000050BD"/>
    <w:rsid w:val="000053F3"/>
    <w:rsid w:val="000054CC"/>
    <w:rsid w:val="00005874"/>
    <w:rsid w:val="00005936"/>
    <w:rsid w:val="00005AB7"/>
    <w:rsid w:val="00005DDE"/>
    <w:rsid w:val="00006226"/>
    <w:rsid w:val="0000632A"/>
    <w:rsid w:val="00006642"/>
    <w:rsid w:val="000066FE"/>
    <w:rsid w:val="00006744"/>
    <w:rsid w:val="00006A93"/>
    <w:rsid w:val="00006C19"/>
    <w:rsid w:val="00006E47"/>
    <w:rsid w:val="00007057"/>
    <w:rsid w:val="00007299"/>
    <w:rsid w:val="0000743F"/>
    <w:rsid w:val="00007496"/>
    <w:rsid w:val="00007600"/>
    <w:rsid w:val="000076C6"/>
    <w:rsid w:val="000079DC"/>
    <w:rsid w:val="00007BF7"/>
    <w:rsid w:val="00007F05"/>
    <w:rsid w:val="00007F23"/>
    <w:rsid w:val="00007F3B"/>
    <w:rsid w:val="00010329"/>
    <w:rsid w:val="000103C6"/>
    <w:rsid w:val="0001054C"/>
    <w:rsid w:val="0001058B"/>
    <w:rsid w:val="000105BC"/>
    <w:rsid w:val="000107CB"/>
    <w:rsid w:val="000108B6"/>
    <w:rsid w:val="0001096C"/>
    <w:rsid w:val="000109BB"/>
    <w:rsid w:val="00010B36"/>
    <w:rsid w:val="00010DC5"/>
    <w:rsid w:val="00011482"/>
    <w:rsid w:val="0001149F"/>
    <w:rsid w:val="0001162D"/>
    <w:rsid w:val="00011784"/>
    <w:rsid w:val="00011D55"/>
    <w:rsid w:val="0001204F"/>
    <w:rsid w:val="00012117"/>
    <w:rsid w:val="00012150"/>
    <w:rsid w:val="00012208"/>
    <w:rsid w:val="00012491"/>
    <w:rsid w:val="0001254C"/>
    <w:rsid w:val="00012574"/>
    <w:rsid w:val="00012618"/>
    <w:rsid w:val="000126C4"/>
    <w:rsid w:val="000126C6"/>
    <w:rsid w:val="000128D1"/>
    <w:rsid w:val="00012B24"/>
    <w:rsid w:val="00012BFF"/>
    <w:rsid w:val="00012C9B"/>
    <w:rsid w:val="00012E42"/>
    <w:rsid w:val="000132F8"/>
    <w:rsid w:val="00013340"/>
    <w:rsid w:val="000133A7"/>
    <w:rsid w:val="000133B9"/>
    <w:rsid w:val="0001364E"/>
    <w:rsid w:val="000136FE"/>
    <w:rsid w:val="0001386B"/>
    <w:rsid w:val="00013C3F"/>
    <w:rsid w:val="00013F21"/>
    <w:rsid w:val="00013F28"/>
    <w:rsid w:val="000140F5"/>
    <w:rsid w:val="000141A2"/>
    <w:rsid w:val="000141E6"/>
    <w:rsid w:val="00014449"/>
    <w:rsid w:val="00014650"/>
    <w:rsid w:val="0001466F"/>
    <w:rsid w:val="00014EE2"/>
    <w:rsid w:val="00015168"/>
    <w:rsid w:val="000154ED"/>
    <w:rsid w:val="00015502"/>
    <w:rsid w:val="0001550F"/>
    <w:rsid w:val="0001569C"/>
    <w:rsid w:val="00015786"/>
    <w:rsid w:val="00015C78"/>
    <w:rsid w:val="00015D18"/>
    <w:rsid w:val="00015E02"/>
    <w:rsid w:val="00015ED9"/>
    <w:rsid w:val="000161C3"/>
    <w:rsid w:val="0001623A"/>
    <w:rsid w:val="000162FC"/>
    <w:rsid w:val="0001638D"/>
    <w:rsid w:val="000163A4"/>
    <w:rsid w:val="0001678D"/>
    <w:rsid w:val="00016A59"/>
    <w:rsid w:val="00016B53"/>
    <w:rsid w:val="00016E65"/>
    <w:rsid w:val="00016FD4"/>
    <w:rsid w:val="00016FFE"/>
    <w:rsid w:val="00017686"/>
    <w:rsid w:val="00017A6D"/>
    <w:rsid w:val="00017BB5"/>
    <w:rsid w:val="00017C3F"/>
    <w:rsid w:val="00017DC7"/>
    <w:rsid w:val="000200A4"/>
    <w:rsid w:val="00020151"/>
    <w:rsid w:val="0002020A"/>
    <w:rsid w:val="00020425"/>
    <w:rsid w:val="0002059B"/>
    <w:rsid w:val="000206D4"/>
    <w:rsid w:val="00020937"/>
    <w:rsid w:val="00020A24"/>
    <w:rsid w:val="00020A46"/>
    <w:rsid w:val="00020C67"/>
    <w:rsid w:val="00020F2A"/>
    <w:rsid w:val="00021288"/>
    <w:rsid w:val="000214E6"/>
    <w:rsid w:val="000217D4"/>
    <w:rsid w:val="00021853"/>
    <w:rsid w:val="0002186E"/>
    <w:rsid w:val="00021C67"/>
    <w:rsid w:val="00021D36"/>
    <w:rsid w:val="00021D3F"/>
    <w:rsid w:val="00021F13"/>
    <w:rsid w:val="000222CA"/>
    <w:rsid w:val="000223A5"/>
    <w:rsid w:val="000225B5"/>
    <w:rsid w:val="000225D9"/>
    <w:rsid w:val="00022649"/>
    <w:rsid w:val="000229B1"/>
    <w:rsid w:val="00022E79"/>
    <w:rsid w:val="00022F94"/>
    <w:rsid w:val="00022F96"/>
    <w:rsid w:val="00023084"/>
    <w:rsid w:val="00023196"/>
    <w:rsid w:val="000236AD"/>
    <w:rsid w:val="00023D8E"/>
    <w:rsid w:val="00023EEC"/>
    <w:rsid w:val="000242AC"/>
    <w:rsid w:val="00024372"/>
    <w:rsid w:val="0002498B"/>
    <w:rsid w:val="00024AF6"/>
    <w:rsid w:val="00024C9D"/>
    <w:rsid w:val="00024CF1"/>
    <w:rsid w:val="00024E1E"/>
    <w:rsid w:val="00024F7E"/>
    <w:rsid w:val="00025002"/>
    <w:rsid w:val="000250E6"/>
    <w:rsid w:val="00025144"/>
    <w:rsid w:val="0002544C"/>
    <w:rsid w:val="00025A55"/>
    <w:rsid w:val="00025E48"/>
    <w:rsid w:val="00026388"/>
    <w:rsid w:val="000263CA"/>
    <w:rsid w:val="00026595"/>
    <w:rsid w:val="0002670F"/>
    <w:rsid w:val="00026AB9"/>
    <w:rsid w:val="00026C36"/>
    <w:rsid w:val="00026D59"/>
    <w:rsid w:val="00026FD6"/>
    <w:rsid w:val="0002718D"/>
    <w:rsid w:val="000275A6"/>
    <w:rsid w:val="00027673"/>
    <w:rsid w:val="00027734"/>
    <w:rsid w:val="00027873"/>
    <w:rsid w:val="00027885"/>
    <w:rsid w:val="00027BF2"/>
    <w:rsid w:val="00027CAF"/>
    <w:rsid w:val="000301AD"/>
    <w:rsid w:val="00030414"/>
    <w:rsid w:val="000307E1"/>
    <w:rsid w:val="000307FF"/>
    <w:rsid w:val="0003084E"/>
    <w:rsid w:val="0003090F"/>
    <w:rsid w:val="00030A35"/>
    <w:rsid w:val="00030C95"/>
    <w:rsid w:val="00030CE0"/>
    <w:rsid w:val="00030D75"/>
    <w:rsid w:val="00030EDF"/>
    <w:rsid w:val="00030F2C"/>
    <w:rsid w:val="000310C3"/>
    <w:rsid w:val="00031140"/>
    <w:rsid w:val="00031336"/>
    <w:rsid w:val="00031474"/>
    <w:rsid w:val="00031482"/>
    <w:rsid w:val="00031569"/>
    <w:rsid w:val="00031B9B"/>
    <w:rsid w:val="00031E23"/>
    <w:rsid w:val="00031F84"/>
    <w:rsid w:val="00032196"/>
    <w:rsid w:val="00032256"/>
    <w:rsid w:val="0003233A"/>
    <w:rsid w:val="0003251E"/>
    <w:rsid w:val="00032660"/>
    <w:rsid w:val="0003272B"/>
    <w:rsid w:val="0003294B"/>
    <w:rsid w:val="00032B4A"/>
    <w:rsid w:val="00032F5A"/>
    <w:rsid w:val="000332FE"/>
    <w:rsid w:val="00033364"/>
    <w:rsid w:val="000334E2"/>
    <w:rsid w:val="000336D1"/>
    <w:rsid w:val="000339BB"/>
    <w:rsid w:val="00033A87"/>
    <w:rsid w:val="00033A88"/>
    <w:rsid w:val="00033B13"/>
    <w:rsid w:val="00033B8F"/>
    <w:rsid w:val="00033BC2"/>
    <w:rsid w:val="00033BE5"/>
    <w:rsid w:val="00033C07"/>
    <w:rsid w:val="00033F89"/>
    <w:rsid w:val="000340C0"/>
    <w:rsid w:val="0003418A"/>
    <w:rsid w:val="000341DD"/>
    <w:rsid w:val="0003432E"/>
    <w:rsid w:val="000345E0"/>
    <w:rsid w:val="0003477E"/>
    <w:rsid w:val="00034A09"/>
    <w:rsid w:val="00034B6A"/>
    <w:rsid w:val="00034C65"/>
    <w:rsid w:val="00034D22"/>
    <w:rsid w:val="00034D4E"/>
    <w:rsid w:val="00034DB4"/>
    <w:rsid w:val="00034E56"/>
    <w:rsid w:val="00034F14"/>
    <w:rsid w:val="00034FE1"/>
    <w:rsid w:val="000352C6"/>
    <w:rsid w:val="00035819"/>
    <w:rsid w:val="00035AB5"/>
    <w:rsid w:val="00035B8B"/>
    <w:rsid w:val="00035DED"/>
    <w:rsid w:val="00035EF4"/>
    <w:rsid w:val="00036016"/>
    <w:rsid w:val="00036125"/>
    <w:rsid w:val="00036545"/>
    <w:rsid w:val="00036574"/>
    <w:rsid w:val="00036689"/>
    <w:rsid w:val="0003680A"/>
    <w:rsid w:val="0003690A"/>
    <w:rsid w:val="00036B35"/>
    <w:rsid w:val="00037155"/>
    <w:rsid w:val="000371DD"/>
    <w:rsid w:val="000377D4"/>
    <w:rsid w:val="00037824"/>
    <w:rsid w:val="00037B22"/>
    <w:rsid w:val="00037CA3"/>
    <w:rsid w:val="00037CEF"/>
    <w:rsid w:val="00040140"/>
    <w:rsid w:val="00040367"/>
    <w:rsid w:val="0004040F"/>
    <w:rsid w:val="00040709"/>
    <w:rsid w:val="0004071E"/>
    <w:rsid w:val="000407D6"/>
    <w:rsid w:val="000409AE"/>
    <w:rsid w:val="00040B1D"/>
    <w:rsid w:val="00040F67"/>
    <w:rsid w:val="0004118D"/>
    <w:rsid w:val="000412E4"/>
    <w:rsid w:val="0004130D"/>
    <w:rsid w:val="0004135A"/>
    <w:rsid w:val="000414D6"/>
    <w:rsid w:val="00041EAD"/>
    <w:rsid w:val="00041F5B"/>
    <w:rsid w:val="00042502"/>
    <w:rsid w:val="00042526"/>
    <w:rsid w:val="0004256B"/>
    <w:rsid w:val="0004265C"/>
    <w:rsid w:val="0004284A"/>
    <w:rsid w:val="00042931"/>
    <w:rsid w:val="00042987"/>
    <w:rsid w:val="000429B5"/>
    <w:rsid w:val="00042AD0"/>
    <w:rsid w:val="00042B7D"/>
    <w:rsid w:val="00042F22"/>
    <w:rsid w:val="000430A6"/>
    <w:rsid w:val="0004317A"/>
    <w:rsid w:val="000431B1"/>
    <w:rsid w:val="00043513"/>
    <w:rsid w:val="000437CA"/>
    <w:rsid w:val="00043918"/>
    <w:rsid w:val="00043A7A"/>
    <w:rsid w:val="00043C50"/>
    <w:rsid w:val="00043D1A"/>
    <w:rsid w:val="00043E11"/>
    <w:rsid w:val="0004406A"/>
    <w:rsid w:val="000444A0"/>
    <w:rsid w:val="00044532"/>
    <w:rsid w:val="000445E5"/>
    <w:rsid w:val="00044A53"/>
    <w:rsid w:val="00044C6C"/>
    <w:rsid w:val="00044DC7"/>
    <w:rsid w:val="00045097"/>
    <w:rsid w:val="000450B1"/>
    <w:rsid w:val="00045343"/>
    <w:rsid w:val="0004548C"/>
    <w:rsid w:val="000458B8"/>
    <w:rsid w:val="000458EA"/>
    <w:rsid w:val="000459EC"/>
    <w:rsid w:val="00045AD1"/>
    <w:rsid w:val="00045EA3"/>
    <w:rsid w:val="00045EE1"/>
    <w:rsid w:val="00045F2A"/>
    <w:rsid w:val="00045F4D"/>
    <w:rsid w:val="00046096"/>
    <w:rsid w:val="0004632C"/>
    <w:rsid w:val="00046357"/>
    <w:rsid w:val="000463F9"/>
    <w:rsid w:val="000464B1"/>
    <w:rsid w:val="0004661E"/>
    <w:rsid w:val="000466F6"/>
    <w:rsid w:val="00046765"/>
    <w:rsid w:val="0004687B"/>
    <w:rsid w:val="000468AF"/>
    <w:rsid w:val="000469E7"/>
    <w:rsid w:val="00046B8A"/>
    <w:rsid w:val="00046BF4"/>
    <w:rsid w:val="00046D15"/>
    <w:rsid w:val="00046D6D"/>
    <w:rsid w:val="0004714F"/>
    <w:rsid w:val="00047159"/>
    <w:rsid w:val="0004720C"/>
    <w:rsid w:val="00047561"/>
    <w:rsid w:val="0004765E"/>
    <w:rsid w:val="00047682"/>
    <w:rsid w:val="00047846"/>
    <w:rsid w:val="00047BF1"/>
    <w:rsid w:val="00047C6E"/>
    <w:rsid w:val="00047CB9"/>
    <w:rsid w:val="00047DC3"/>
    <w:rsid w:val="00047E66"/>
    <w:rsid w:val="0005023A"/>
    <w:rsid w:val="00050512"/>
    <w:rsid w:val="0005061D"/>
    <w:rsid w:val="000508CA"/>
    <w:rsid w:val="000508CF"/>
    <w:rsid w:val="00050A64"/>
    <w:rsid w:val="00050B31"/>
    <w:rsid w:val="00050D2E"/>
    <w:rsid w:val="00050E52"/>
    <w:rsid w:val="00050FC5"/>
    <w:rsid w:val="0005114A"/>
    <w:rsid w:val="0005148A"/>
    <w:rsid w:val="000514A3"/>
    <w:rsid w:val="000514C3"/>
    <w:rsid w:val="000518CB"/>
    <w:rsid w:val="00051B15"/>
    <w:rsid w:val="00051E20"/>
    <w:rsid w:val="00051F3C"/>
    <w:rsid w:val="00051FA6"/>
    <w:rsid w:val="000522B2"/>
    <w:rsid w:val="000522B4"/>
    <w:rsid w:val="000524AE"/>
    <w:rsid w:val="00052512"/>
    <w:rsid w:val="0005265F"/>
    <w:rsid w:val="000529A2"/>
    <w:rsid w:val="00052D86"/>
    <w:rsid w:val="00053065"/>
    <w:rsid w:val="000531E2"/>
    <w:rsid w:val="00053358"/>
    <w:rsid w:val="0005341E"/>
    <w:rsid w:val="000534BD"/>
    <w:rsid w:val="00053574"/>
    <w:rsid w:val="0005375F"/>
    <w:rsid w:val="00053763"/>
    <w:rsid w:val="000538DA"/>
    <w:rsid w:val="00053E44"/>
    <w:rsid w:val="00053FE0"/>
    <w:rsid w:val="00054672"/>
    <w:rsid w:val="00054F82"/>
    <w:rsid w:val="0005508D"/>
    <w:rsid w:val="00055311"/>
    <w:rsid w:val="00055453"/>
    <w:rsid w:val="00055502"/>
    <w:rsid w:val="000555DF"/>
    <w:rsid w:val="00055705"/>
    <w:rsid w:val="00055709"/>
    <w:rsid w:val="00055851"/>
    <w:rsid w:val="00055942"/>
    <w:rsid w:val="0005595D"/>
    <w:rsid w:val="00055B79"/>
    <w:rsid w:val="00055B9D"/>
    <w:rsid w:val="00055E46"/>
    <w:rsid w:val="00055EF1"/>
    <w:rsid w:val="00055FBE"/>
    <w:rsid w:val="000560F9"/>
    <w:rsid w:val="00056123"/>
    <w:rsid w:val="00056250"/>
    <w:rsid w:val="00056600"/>
    <w:rsid w:val="00056630"/>
    <w:rsid w:val="000567B5"/>
    <w:rsid w:val="00056A35"/>
    <w:rsid w:val="00056DB4"/>
    <w:rsid w:val="00056EFF"/>
    <w:rsid w:val="000570DA"/>
    <w:rsid w:val="0005726A"/>
    <w:rsid w:val="000572EC"/>
    <w:rsid w:val="000572F0"/>
    <w:rsid w:val="00057466"/>
    <w:rsid w:val="00057502"/>
    <w:rsid w:val="00057595"/>
    <w:rsid w:val="000575A8"/>
    <w:rsid w:val="000575C2"/>
    <w:rsid w:val="00057616"/>
    <w:rsid w:val="00057936"/>
    <w:rsid w:val="00057A7E"/>
    <w:rsid w:val="00057DCE"/>
    <w:rsid w:val="00057E1E"/>
    <w:rsid w:val="00060012"/>
    <w:rsid w:val="00060073"/>
    <w:rsid w:val="0006015E"/>
    <w:rsid w:val="00060160"/>
    <w:rsid w:val="00060202"/>
    <w:rsid w:val="0006021E"/>
    <w:rsid w:val="000603C6"/>
    <w:rsid w:val="0006041B"/>
    <w:rsid w:val="00060593"/>
    <w:rsid w:val="000606C5"/>
    <w:rsid w:val="000607BD"/>
    <w:rsid w:val="00060974"/>
    <w:rsid w:val="00060B37"/>
    <w:rsid w:val="00060D3E"/>
    <w:rsid w:val="00060F1F"/>
    <w:rsid w:val="000610DE"/>
    <w:rsid w:val="00061643"/>
    <w:rsid w:val="0006182D"/>
    <w:rsid w:val="00061A87"/>
    <w:rsid w:val="00061B5B"/>
    <w:rsid w:val="00061E0C"/>
    <w:rsid w:val="00061F9C"/>
    <w:rsid w:val="00062324"/>
    <w:rsid w:val="00062440"/>
    <w:rsid w:val="000624FA"/>
    <w:rsid w:val="000625E0"/>
    <w:rsid w:val="00062DE7"/>
    <w:rsid w:val="00062EAC"/>
    <w:rsid w:val="00062F79"/>
    <w:rsid w:val="00063005"/>
    <w:rsid w:val="0006330C"/>
    <w:rsid w:val="00063562"/>
    <w:rsid w:val="00063899"/>
    <w:rsid w:val="000638C6"/>
    <w:rsid w:val="00063A47"/>
    <w:rsid w:val="00063B86"/>
    <w:rsid w:val="00063BD1"/>
    <w:rsid w:val="00063C0B"/>
    <w:rsid w:val="00063C8A"/>
    <w:rsid w:val="00063E31"/>
    <w:rsid w:val="000641C7"/>
    <w:rsid w:val="00064298"/>
    <w:rsid w:val="000642E5"/>
    <w:rsid w:val="000645E0"/>
    <w:rsid w:val="000646D5"/>
    <w:rsid w:val="00064B3A"/>
    <w:rsid w:val="00064BAC"/>
    <w:rsid w:val="00064BFF"/>
    <w:rsid w:val="00064FA7"/>
    <w:rsid w:val="000650C9"/>
    <w:rsid w:val="00065670"/>
    <w:rsid w:val="00065782"/>
    <w:rsid w:val="000657FC"/>
    <w:rsid w:val="00065926"/>
    <w:rsid w:val="00065AB7"/>
    <w:rsid w:val="00065CB4"/>
    <w:rsid w:val="00065EAA"/>
    <w:rsid w:val="000660A9"/>
    <w:rsid w:val="0006625B"/>
    <w:rsid w:val="0006627E"/>
    <w:rsid w:val="000662A3"/>
    <w:rsid w:val="000664B6"/>
    <w:rsid w:val="000664C6"/>
    <w:rsid w:val="00066735"/>
    <w:rsid w:val="00066875"/>
    <w:rsid w:val="000668F1"/>
    <w:rsid w:val="00066A22"/>
    <w:rsid w:val="00066B09"/>
    <w:rsid w:val="00066DA7"/>
    <w:rsid w:val="000674B0"/>
    <w:rsid w:val="0006774E"/>
    <w:rsid w:val="00067943"/>
    <w:rsid w:val="00067CEC"/>
    <w:rsid w:val="00067D28"/>
    <w:rsid w:val="00067D91"/>
    <w:rsid w:val="00067DC5"/>
    <w:rsid w:val="000701A4"/>
    <w:rsid w:val="00070243"/>
    <w:rsid w:val="00070320"/>
    <w:rsid w:val="000705BE"/>
    <w:rsid w:val="000707FF"/>
    <w:rsid w:val="0007085D"/>
    <w:rsid w:val="00070972"/>
    <w:rsid w:val="00070A1A"/>
    <w:rsid w:val="00070B01"/>
    <w:rsid w:val="00070C6A"/>
    <w:rsid w:val="00070C92"/>
    <w:rsid w:val="00070E96"/>
    <w:rsid w:val="00070F60"/>
    <w:rsid w:val="00070FC2"/>
    <w:rsid w:val="00071069"/>
    <w:rsid w:val="0007117C"/>
    <w:rsid w:val="0007118C"/>
    <w:rsid w:val="000711E6"/>
    <w:rsid w:val="00071379"/>
    <w:rsid w:val="00071452"/>
    <w:rsid w:val="00071484"/>
    <w:rsid w:val="000715D6"/>
    <w:rsid w:val="0007197B"/>
    <w:rsid w:val="00071A11"/>
    <w:rsid w:val="00071A97"/>
    <w:rsid w:val="00071AF6"/>
    <w:rsid w:val="00071C8A"/>
    <w:rsid w:val="00071D5C"/>
    <w:rsid w:val="00071D85"/>
    <w:rsid w:val="00071E02"/>
    <w:rsid w:val="00071F58"/>
    <w:rsid w:val="00071FB8"/>
    <w:rsid w:val="00072008"/>
    <w:rsid w:val="00072253"/>
    <w:rsid w:val="0007229E"/>
    <w:rsid w:val="000722FC"/>
    <w:rsid w:val="00072347"/>
    <w:rsid w:val="000723FC"/>
    <w:rsid w:val="000724B4"/>
    <w:rsid w:val="000724B7"/>
    <w:rsid w:val="0007272B"/>
    <w:rsid w:val="000727A1"/>
    <w:rsid w:val="00072978"/>
    <w:rsid w:val="00072A25"/>
    <w:rsid w:val="00072AB9"/>
    <w:rsid w:val="00073252"/>
    <w:rsid w:val="0007350B"/>
    <w:rsid w:val="0007351D"/>
    <w:rsid w:val="00073606"/>
    <w:rsid w:val="000739C5"/>
    <w:rsid w:val="00073C2C"/>
    <w:rsid w:val="00073C37"/>
    <w:rsid w:val="00073CA5"/>
    <w:rsid w:val="00073E52"/>
    <w:rsid w:val="00073EBF"/>
    <w:rsid w:val="0007407C"/>
    <w:rsid w:val="0007423E"/>
    <w:rsid w:val="00074473"/>
    <w:rsid w:val="0007448B"/>
    <w:rsid w:val="000744F6"/>
    <w:rsid w:val="00074658"/>
    <w:rsid w:val="00074A47"/>
    <w:rsid w:val="00074CE3"/>
    <w:rsid w:val="00074CFD"/>
    <w:rsid w:val="00074D8D"/>
    <w:rsid w:val="00074D99"/>
    <w:rsid w:val="000751AE"/>
    <w:rsid w:val="00075602"/>
    <w:rsid w:val="00075663"/>
    <w:rsid w:val="000758E1"/>
    <w:rsid w:val="00075BE3"/>
    <w:rsid w:val="00075BF0"/>
    <w:rsid w:val="00075E30"/>
    <w:rsid w:val="0007613E"/>
    <w:rsid w:val="00076256"/>
    <w:rsid w:val="00076973"/>
    <w:rsid w:val="000769DE"/>
    <w:rsid w:val="00076A80"/>
    <w:rsid w:val="00076BE3"/>
    <w:rsid w:val="00076C05"/>
    <w:rsid w:val="00076F99"/>
    <w:rsid w:val="00076FBA"/>
    <w:rsid w:val="00077008"/>
    <w:rsid w:val="000770A3"/>
    <w:rsid w:val="000770A7"/>
    <w:rsid w:val="000770E2"/>
    <w:rsid w:val="000772D7"/>
    <w:rsid w:val="0007748A"/>
    <w:rsid w:val="0007783D"/>
    <w:rsid w:val="0007783F"/>
    <w:rsid w:val="00077E15"/>
    <w:rsid w:val="00077FF7"/>
    <w:rsid w:val="0008009A"/>
    <w:rsid w:val="000800E1"/>
    <w:rsid w:val="000802C0"/>
    <w:rsid w:val="00080480"/>
    <w:rsid w:val="0008048B"/>
    <w:rsid w:val="000804C8"/>
    <w:rsid w:val="00080681"/>
    <w:rsid w:val="00080760"/>
    <w:rsid w:val="000809EF"/>
    <w:rsid w:val="00080D6A"/>
    <w:rsid w:val="00080DA3"/>
    <w:rsid w:val="000811D3"/>
    <w:rsid w:val="000813F4"/>
    <w:rsid w:val="00081533"/>
    <w:rsid w:val="000817F2"/>
    <w:rsid w:val="00081FDD"/>
    <w:rsid w:val="00082126"/>
    <w:rsid w:val="000821BB"/>
    <w:rsid w:val="00082357"/>
    <w:rsid w:val="00082427"/>
    <w:rsid w:val="0008252F"/>
    <w:rsid w:val="00082555"/>
    <w:rsid w:val="00082588"/>
    <w:rsid w:val="000825C4"/>
    <w:rsid w:val="00082611"/>
    <w:rsid w:val="00082A6F"/>
    <w:rsid w:val="00082BA4"/>
    <w:rsid w:val="00082E3D"/>
    <w:rsid w:val="00082F69"/>
    <w:rsid w:val="00082FF5"/>
    <w:rsid w:val="000832DE"/>
    <w:rsid w:val="00083977"/>
    <w:rsid w:val="00083B01"/>
    <w:rsid w:val="00083BF6"/>
    <w:rsid w:val="00083C0B"/>
    <w:rsid w:val="00083C55"/>
    <w:rsid w:val="00083E4D"/>
    <w:rsid w:val="00083EE5"/>
    <w:rsid w:val="000841C6"/>
    <w:rsid w:val="0008420F"/>
    <w:rsid w:val="00084451"/>
    <w:rsid w:val="0008445E"/>
    <w:rsid w:val="000844C4"/>
    <w:rsid w:val="00084545"/>
    <w:rsid w:val="0008464D"/>
    <w:rsid w:val="00084711"/>
    <w:rsid w:val="00084716"/>
    <w:rsid w:val="000847D0"/>
    <w:rsid w:val="000848D8"/>
    <w:rsid w:val="0008492C"/>
    <w:rsid w:val="0008494B"/>
    <w:rsid w:val="0008496C"/>
    <w:rsid w:val="000849DC"/>
    <w:rsid w:val="00084A11"/>
    <w:rsid w:val="00084AB6"/>
    <w:rsid w:val="00084B35"/>
    <w:rsid w:val="00084FDE"/>
    <w:rsid w:val="000850C9"/>
    <w:rsid w:val="00085278"/>
    <w:rsid w:val="000853EA"/>
    <w:rsid w:val="0008573C"/>
    <w:rsid w:val="00085CA2"/>
    <w:rsid w:val="00085DE4"/>
    <w:rsid w:val="000860E7"/>
    <w:rsid w:val="000866C0"/>
    <w:rsid w:val="000867D8"/>
    <w:rsid w:val="000869D8"/>
    <w:rsid w:val="00086CFC"/>
    <w:rsid w:val="00086E15"/>
    <w:rsid w:val="00086FA7"/>
    <w:rsid w:val="0008730F"/>
    <w:rsid w:val="00087662"/>
    <w:rsid w:val="0008780D"/>
    <w:rsid w:val="000878A7"/>
    <w:rsid w:val="00087D27"/>
    <w:rsid w:val="00087DBA"/>
    <w:rsid w:val="00087ECD"/>
    <w:rsid w:val="00087FA7"/>
    <w:rsid w:val="00090019"/>
    <w:rsid w:val="00090022"/>
    <w:rsid w:val="00090028"/>
    <w:rsid w:val="0009018A"/>
    <w:rsid w:val="00090307"/>
    <w:rsid w:val="000903F4"/>
    <w:rsid w:val="0009055A"/>
    <w:rsid w:val="0009059F"/>
    <w:rsid w:val="000905D6"/>
    <w:rsid w:val="000906AC"/>
    <w:rsid w:val="000908C8"/>
    <w:rsid w:val="00090B61"/>
    <w:rsid w:val="00090E8C"/>
    <w:rsid w:val="00090EC1"/>
    <w:rsid w:val="00090F5D"/>
    <w:rsid w:val="00091063"/>
    <w:rsid w:val="000910A8"/>
    <w:rsid w:val="0009147A"/>
    <w:rsid w:val="00091483"/>
    <w:rsid w:val="00091568"/>
    <w:rsid w:val="0009163E"/>
    <w:rsid w:val="00091AAC"/>
    <w:rsid w:val="00091BC8"/>
    <w:rsid w:val="00091BDA"/>
    <w:rsid w:val="00091C48"/>
    <w:rsid w:val="0009208B"/>
    <w:rsid w:val="00092151"/>
    <w:rsid w:val="000924BE"/>
    <w:rsid w:val="00092505"/>
    <w:rsid w:val="0009256D"/>
    <w:rsid w:val="0009277E"/>
    <w:rsid w:val="00092E38"/>
    <w:rsid w:val="0009311C"/>
    <w:rsid w:val="000932B9"/>
    <w:rsid w:val="00093438"/>
    <w:rsid w:val="00093498"/>
    <w:rsid w:val="00093501"/>
    <w:rsid w:val="0009362E"/>
    <w:rsid w:val="000938FB"/>
    <w:rsid w:val="00093B93"/>
    <w:rsid w:val="00093CF0"/>
    <w:rsid w:val="00093E5C"/>
    <w:rsid w:val="0009410A"/>
    <w:rsid w:val="0009416E"/>
    <w:rsid w:val="000943C3"/>
    <w:rsid w:val="00094653"/>
    <w:rsid w:val="00094739"/>
    <w:rsid w:val="0009473E"/>
    <w:rsid w:val="000948AF"/>
    <w:rsid w:val="00094927"/>
    <w:rsid w:val="00094C96"/>
    <w:rsid w:val="00094D0B"/>
    <w:rsid w:val="00094DA5"/>
    <w:rsid w:val="00095254"/>
    <w:rsid w:val="0009539F"/>
    <w:rsid w:val="000955D5"/>
    <w:rsid w:val="000956C4"/>
    <w:rsid w:val="000956D5"/>
    <w:rsid w:val="000958F1"/>
    <w:rsid w:val="000959C5"/>
    <w:rsid w:val="00095D07"/>
    <w:rsid w:val="0009639A"/>
    <w:rsid w:val="000963AB"/>
    <w:rsid w:val="000963EF"/>
    <w:rsid w:val="0009641B"/>
    <w:rsid w:val="00096470"/>
    <w:rsid w:val="0009676D"/>
    <w:rsid w:val="00096977"/>
    <w:rsid w:val="00096A58"/>
    <w:rsid w:val="00096B37"/>
    <w:rsid w:val="0009738B"/>
    <w:rsid w:val="00097509"/>
    <w:rsid w:val="0009779A"/>
    <w:rsid w:val="000977C0"/>
    <w:rsid w:val="000977E5"/>
    <w:rsid w:val="000978A4"/>
    <w:rsid w:val="000979E9"/>
    <w:rsid w:val="00097A2B"/>
    <w:rsid w:val="00097AA0"/>
    <w:rsid w:val="00097B41"/>
    <w:rsid w:val="00097C13"/>
    <w:rsid w:val="00097CC7"/>
    <w:rsid w:val="00097FD8"/>
    <w:rsid w:val="000A0032"/>
    <w:rsid w:val="000A04DF"/>
    <w:rsid w:val="000A0778"/>
    <w:rsid w:val="000A0913"/>
    <w:rsid w:val="000A0CA5"/>
    <w:rsid w:val="000A0E13"/>
    <w:rsid w:val="000A13C5"/>
    <w:rsid w:val="000A1773"/>
    <w:rsid w:val="000A182B"/>
    <w:rsid w:val="000A1B1B"/>
    <w:rsid w:val="000A1BD4"/>
    <w:rsid w:val="000A1DA2"/>
    <w:rsid w:val="000A2105"/>
    <w:rsid w:val="000A239A"/>
    <w:rsid w:val="000A253C"/>
    <w:rsid w:val="000A26B6"/>
    <w:rsid w:val="000A294B"/>
    <w:rsid w:val="000A2990"/>
    <w:rsid w:val="000A2F0E"/>
    <w:rsid w:val="000A3110"/>
    <w:rsid w:val="000A31A0"/>
    <w:rsid w:val="000A3218"/>
    <w:rsid w:val="000A35DF"/>
    <w:rsid w:val="000A36E3"/>
    <w:rsid w:val="000A3787"/>
    <w:rsid w:val="000A3871"/>
    <w:rsid w:val="000A388C"/>
    <w:rsid w:val="000A3933"/>
    <w:rsid w:val="000A3B6A"/>
    <w:rsid w:val="000A3CD3"/>
    <w:rsid w:val="000A4076"/>
    <w:rsid w:val="000A432A"/>
    <w:rsid w:val="000A43C0"/>
    <w:rsid w:val="000A4428"/>
    <w:rsid w:val="000A44DF"/>
    <w:rsid w:val="000A45A7"/>
    <w:rsid w:val="000A4B6F"/>
    <w:rsid w:val="000A5093"/>
    <w:rsid w:val="000A50F9"/>
    <w:rsid w:val="000A5119"/>
    <w:rsid w:val="000A51F7"/>
    <w:rsid w:val="000A523B"/>
    <w:rsid w:val="000A55AC"/>
    <w:rsid w:val="000A5708"/>
    <w:rsid w:val="000A5827"/>
    <w:rsid w:val="000A5A59"/>
    <w:rsid w:val="000A5ABE"/>
    <w:rsid w:val="000A5C97"/>
    <w:rsid w:val="000A5CB3"/>
    <w:rsid w:val="000A5EFB"/>
    <w:rsid w:val="000A6329"/>
    <w:rsid w:val="000A66D0"/>
    <w:rsid w:val="000A6A7B"/>
    <w:rsid w:val="000A6CF3"/>
    <w:rsid w:val="000A6EAD"/>
    <w:rsid w:val="000A6F0D"/>
    <w:rsid w:val="000A6FB8"/>
    <w:rsid w:val="000A7003"/>
    <w:rsid w:val="000A7434"/>
    <w:rsid w:val="000A7467"/>
    <w:rsid w:val="000A76AE"/>
    <w:rsid w:val="000A76F1"/>
    <w:rsid w:val="000A7823"/>
    <w:rsid w:val="000A78B4"/>
    <w:rsid w:val="000A78E0"/>
    <w:rsid w:val="000A7AB3"/>
    <w:rsid w:val="000A7ABB"/>
    <w:rsid w:val="000A7BE1"/>
    <w:rsid w:val="000A7E10"/>
    <w:rsid w:val="000A7ECA"/>
    <w:rsid w:val="000A7FDA"/>
    <w:rsid w:val="000B005C"/>
    <w:rsid w:val="000B054A"/>
    <w:rsid w:val="000B076E"/>
    <w:rsid w:val="000B07F2"/>
    <w:rsid w:val="000B0822"/>
    <w:rsid w:val="000B09D9"/>
    <w:rsid w:val="000B0DD7"/>
    <w:rsid w:val="000B0E39"/>
    <w:rsid w:val="000B106E"/>
    <w:rsid w:val="000B14D5"/>
    <w:rsid w:val="000B161F"/>
    <w:rsid w:val="000B1679"/>
    <w:rsid w:val="000B1885"/>
    <w:rsid w:val="000B1BBE"/>
    <w:rsid w:val="000B1D3F"/>
    <w:rsid w:val="000B1D52"/>
    <w:rsid w:val="000B2320"/>
    <w:rsid w:val="000B249A"/>
    <w:rsid w:val="000B267B"/>
    <w:rsid w:val="000B2857"/>
    <w:rsid w:val="000B29C1"/>
    <w:rsid w:val="000B2B62"/>
    <w:rsid w:val="000B2D1D"/>
    <w:rsid w:val="000B3557"/>
    <w:rsid w:val="000B3660"/>
    <w:rsid w:val="000B371F"/>
    <w:rsid w:val="000B3835"/>
    <w:rsid w:val="000B3916"/>
    <w:rsid w:val="000B39C3"/>
    <w:rsid w:val="000B3A31"/>
    <w:rsid w:val="000B3B52"/>
    <w:rsid w:val="000B3B80"/>
    <w:rsid w:val="000B3DA4"/>
    <w:rsid w:val="000B3F43"/>
    <w:rsid w:val="000B40AF"/>
    <w:rsid w:val="000B42E1"/>
    <w:rsid w:val="000B44A8"/>
    <w:rsid w:val="000B4E74"/>
    <w:rsid w:val="000B4F67"/>
    <w:rsid w:val="000B4FFA"/>
    <w:rsid w:val="000B532C"/>
    <w:rsid w:val="000B535B"/>
    <w:rsid w:val="000B538F"/>
    <w:rsid w:val="000B5A10"/>
    <w:rsid w:val="000B5B25"/>
    <w:rsid w:val="000B5DE0"/>
    <w:rsid w:val="000B5F0B"/>
    <w:rsid w:val="000B5F6B"/>
    <w:rsid w:val="000B6030"/>
    <w:rsid w:val="000B6529"/>
    <w:rsid w:val="000B65C6"/>
    <w:rsid w:val="000B677D"/>
    <w:rsid w:val="000B67BE"/>
    <w:rsid w:val="000B67C4"/>
    <w:rsid w:val="000B6892"/>
    <w:rsid w:val="000B68BE"/>
    <w:rsid w:val="000B6958"/>
    <w:rsid w:val="000B6C35"/>
    <w:rsid w:val="000B6E94"/>
    <w:rsid w:val="000B6FA3"/>
    <w:rsid w:val="000B6FCB"/>
    <w:rsid w:val="000B726B"/>
    <w:rsid w:val="000B7539"/>
    <w:rsid w:val="000B77CF"/>
    <w:rsid w:val="000B781F"/>
    <w:rsid w:val="000B78BA"/>
    <w:rsid w:val="000B797A"/>
    <w:rsid w:val="000B7AE3"/>
    <w:rsid w:val="000B7D46"/>
    <w:rsid w:val="000B7E42"/>
    <w:rsid w:val="000B7FDF"/>
    <w:rsid w:val="000C0135"/>
    <w:rsid w:val="000C0290"/>
    <w:rsid w:val="000C040E"/>
    <w:rsid w:val="000C047D"/>
    <w:rsid w:val="000C04BA"/>
    <w:rsid w:val="000C0745"/>
    <w:rsid w:val="000C0C7F"/>
    <w:rsid w:val="000C0F63"/>
    <w:rsid w:val="000C110D"/>
    <w:rsid w:val="000C11E0"/>
    <w:rsid w:val="000C12AA"/>
    <w:rsid w:val="000C150E"/>
    <w:rsid w:val="000C1D45"/>
    <w:rsid w:val="000C1ECF"/>
    <w:rsid w:val="000C20C6"/>
    <w:rsid w:val="000C2880"/>
    <w:rsid w:val="000C2A97"/>
    <w:rsid w:val="000C2BBC"/>
    <w:rsid w:val="000C2C27"/>
    <w:rsid w:val="000C2CB6"/>
    <w:rsid w:val="000C2DA1"/>
    <w:rsid w:val="000C309D"/>
    <w:rsid w:val="000C3202"/>
    <w:rsid w:val="000C3254"/>
    <w:rsid w:val="000C3381"/>
    <w:rsid w:val="000C3642"/>
    <w:rsid w:val="000C36BC"/>
    <w:rsid w:val="000C36E0"/>
    <w:rsid w:val="000C3782"/>
    <w:rsid w:val="000C37EB"/>
    <w:rsid w:val="000C397B"/>
    <w:rsid w:val="000C3BF6"/>
    <w:rsid w:val="000C3CCE"/>
    <w:rsid w:val="000C3CED"/>
    <w:rsid w:val="000C3E65"/>
    <w:rsid w:val="000C3E87"/>
    <w:rsid w:val="000C3FFF"/>
    <w:rsid w:val="000C4151"/>
    <w:rsid w:val="000C428D"/>
    <w:rsid w:val="000C430C"/>
    <w:rsid w:val="000C447B"/>
    <w:rsid w:val="000C448B"/>
    <w:rsid w:val="000C4583"/>
    <w:rsid w:val="000C45AE"/>
    <w:rsid w:val="000C4671"/>
    <w:rsid w:val="000C4A19"/>
    <w:rsid w:val="000C50F3"/>
    <w:rsid w:val="000C518E"/>
    <w:rsid w:val="000C5358"/>
    <w:rsid w:val="000C5524"/>
    <w:rsid w:val="000C5579"/>
    <w:rsid w:val="000C595E"/>
    <w:rsid w:val="000C5B2E"/>
    <w:rsid w:val="000C5BDF"/>
    <w:rsid w:val="000C5C1F"/>
    <w:rsid w:val="000C6372"/>
    <w:rsid w:val="000C63FB"/>
    <w:rsid w:val="000C667C"/>
    <w:rsid w:val="000C6686"/>
    <w:rsid w:val="000C67A5"/>
    <w:rsid w:val="000C6962"/>
    <w:rsid w:val="000C6D15"/>
    <w:rsid w:val="000C7089"/>
    <w:rsid w:val="000C7415"/>
    <w:rsid w:val="000C7442"/>
    <w:rsid w:val="000C74B4"/>
    <w:rsid w:val="000C78AE"/>
    <w:rsid w:val="000C7AD9"/>
    <w:rsid w:val="000C7BE7"/>
    <w:rsid w:val="000C7BE9"/>
    <w:rsid w:val="000C7C41"/>
    <w:rsid w:val="000C7CAD"/>
    <w:rsid w:val="000C7F67"/>
    <w:rsid w:val="000C7F86"/>
    <w:rsid w:val="000D0255"/>
    <w:rsid w:val="000D0296"/>
    <w:rsid w:val="000D053E"/>
    <w:rsid w:val="000D0672"/>
    <w:rsid w:val="000D079D"/>
    <w:rsid w:val="000D098B"/>
    <w:rsid w:val="000D0AF3"/>
    <w:rsid w:val="000D0BD8"/>
    <w:rsid w:val="000D0EE2"/>
    <w:rsid w:val="000D0F11"/>
    <w:rsid w:val="000D0F32"/>
    <w:rsid w:val="000D1096"/>
    <w:rsid w:val="000D1184"/>
    <w:rsid w:val="000D1209"/>
    <w:rsid w:val="000D122F"/>
    <w:rsid w:val="000D13FF"/>
    <w:rsid w:val="000D148E"/>
    <w:rsid w:val="000D15E9"/>
    <w:rsid w:val="000D1646"/>
    <w:rsid w:val="000D193F"/>
    <w:rsid w:val="000D19F0"/>
    <w:rsid w:val="000D1B47"/>
    <w:rsid w:val="000D1BBA"/>
    <w:rsid w:val="000D1C45"/>
    <w:rsid w:val="000D1D59"/>
    <w:rsid w:val="000D1E40"/>
    <w:rsid w:val="000D20F1"/>
    <w:rsid w:val="000D21B9"/>
    <w:rsid w:val="000D2220"/>
    <w:rsid w:val="000D2371"/>
    <w:rsid w:val="000D2CBE"/>
    <w:rsid w:val="000D2D55"/>
    <w:rsid w:val="000D3158"/>
    <w:rsid w:val="000D3195"/>
    <w:rsid w:val="000D361B"/>
    <w:rsid w:val="000D3646"/>
    <w:rsid w:val="000D36D1"/>
    <w:rsid w:val="000D36DE"/>
    <w:rsid w:val="000D36F0"/>
    <w:rsid w:val="000D3958"/>
    <w:rsid w:val="000D39ED"/>
    <w:rsid w:val="000D3AEB"/>
    <w:rsid w:val="000D3B10"/>
    <w:rsid w:val="000D3BAE"/>
    <w:rsid w:val="000D3D32"/>
    <w:rsid w:val="000D3DDD"/>
    <w:rsid w:val="000D3DFF"/>
    <w:rsid w:val="000D3F8E"/>
    <w:rsid w:val="000D3FED"/>
    <w:rsid w:val="000D4235"/>
    <w:rsid w:val="000D4318"/>
    <w:rsid w:val="000D44A4"/>
    <w:rsid w:val="000D4604"/>
    <w:rsid w:val="000D46B7"/>
    <w:rsid w:val="000D4AEF"/>
    <w:rsid w:val="000D4B23"/>
    <w:rsid w:val="000D4E10"/>
    <w:rsid w:val="000D51B4"/>
    <w:rsid w:val="000D54AB"/>
    <w:rsid w:val="000D571A"/>
    <w:rsid w:val="000D59BF"/>
    <w:rsid w:val="000D5ACE"/>
    <w:rsid w:val="000D5B20"/>
    <w:rsid w:val="000D5D2A"/>
    <w:rsid w:val="000D5F48"/>
    <w:rsid w:val="000D5FC6"/>
    <w:rsid w:val="000D615A"/>
    <w:rsid w:val="000D6410"/>
    <w:rsid w:val="000D6810"/>
    <w:rsid w:val="000D6A90"/>
    <w:rsid w:val="000D6BCD"/>
    <w:rsid w:val="000D70A9"/>
    <w:rsid w:val="000D7223"/>
    <w:rsid w:val="000D7468"/>
    <w:rsid w:val="000D7494"/>
    <w:rsid w:val="000D7A10"/>
    <w:rsid w:val="000D7E55"/>
    <w:rsid w:val="000D7E88"/>
    <w:rsid w:val="000D7FF6"/>
    <w:rsid w:val="000E00DA"/>
    <w:rsid w:val="000E04A7"/>
    <w:rsid w:val="000E0512"/>
    <w:rsid w:val="000E0674"/>
    <w:rsid w:val="000E077F"/>
    <w:rsid w:val="000E088E"/>
    <w:rsid w:val="000E0890"/>
    <w:rsid w:val="000E09A4"/>
    <w:rsid w:val="000E0B64"/>
    <w:rsid w:val="000E0D28"/>
    <w:rsid w:val="000E11BA"/>
    <w:rsid w:val="000E12BE"/>
    <w:rsid w:val="000E1364"/>
    <w:rsid w:val="000E15F3"/>
    <w:rsid w:val="000E1860"/>
    <w:rsid w:val="000E196C"/>
    <w:rsid w:val="000E1F25"/>
    <w:rsid w:val="000E1F47"/>
    <w:rsid w:val="000E1F64"/>
    <w:rsid w:val="000E20C5"/>
    <w:rsid w:val="000E2621"/>
    <w:rsid w:val="000E2695"/>
    <w:rsid w:val="000E284A"/>
    <w:rsid w:val="000E2A2C"/>
    <w:rsid w:val="000E3110"/>
    <w:rsid w:val="000E32A8"/>
    <w:rsid w:val="000E33F7"/>
    <w:rsid w:val="000E34DE"/>
    <w:rsid w:val="000E369C"/>
    <w:rsid w:val="000E393A"/>
    <w:rsid w:val="000E3E3B"/>
    <w:rsid w:val="000E3FD1"/>
    <w:rsid w:val="000E4091"/>
    <w:rsid w:val="000E4146"/>
    <w:rsid w:val="000E454E"/>
    <w:rsid w:val="000E4575"/>
    <w:rsid w:val="000E45F6"/>
    <w:rsid w:val="000E4663"/>
    <w:rsid w:val="000E4885"/>
    <w:rsid w:val="000E4BB3"/>
    <w:rsid w:val="000E4BED"/>
    <w:rsid w:val="000E4C47"/>
    <w:rsid w:val="000E4C5C"/>
    <w:rsid w:val="000E4D3E"/>
    <w:rsid w:val="000E4DB7"/>
    <w:rsid w:val="000E50DC"/>
    <w:rsid w:val="000E5120"/>
    <w:rsid w:val="000E51DF"/>
    <w:rsid w:val="000E51E7"/>
    <w:rsid w:val="000E53AE"/>
    <w:rsid w:val="000E53FF"/>
    <w:rsid w:val="000E54FE"/>
    <w:rsid w:val="000E5510"/>
    <w:rsid w:val="000E5869"/>
    <w:rsid w:val="000E586E"/>
    <w:rsid w:val="000E5C1B"/>
    <w:rsid w:val="000E5C25"/>
    <w:rsid w:val="000E5C6F"/>
    <w:rsid w:val="000E5D16"/>
    <w:rsid w:val="000E5E00"/>
    <w:rsid w:val="000E5FE7"/>
    <w:rsid w:val="000E6347"/>
    <w:rsid w:val="000E64C9"/>
    <w:rsid w:val="000E65D0"/>
    <w:rsid w:val="000E6672"/>
    <w:rsid w:val="000E6B9F"/>
    <w:rsid w:val="000E6C62"/>
    <w:rsid w:val="000E6EE3"/>
    <w:rsid w:val="000E6F1C"/>
    <w:rsid w:val="000E6FD0"/>
    <w:rsid w:val="000E7011"/>
    <w:rsid w:val="000E72E0"/>
    <w:rsid w:val="000E7535"/>
    <w:rsid w:val="000E75E9"/>
    <w:rsid w:val="000E76EB"/>
    <w:rsid w:val="000E78D7"/>
    <w:rsid w:val="000E7B8D"/>
    <w:rsid w:val="000E7BE8"/>
    <w:rsid w:val="000F0156"/>
    <w:rsid w:val="000F03EB"/>
    <w:rsid w:val="000F0AE9"/>
    <w:rsid w:val="000F0D73"/>
    <w:rsid w:val="000F0D84"/>
    <w:rsid w:val="000F0E3E"/>
    <w:rsid w:val="000F0E6D"/>
    <w:rsid w:val="000F0F5C"/>
    <w:rsid w:val="000F10C1"/>
    <w:rsid w:val="000F12F8"/>
    <w:rsid w:val="000F1304"/>
    <w:rsid w:val="000F1446"/>
    <w:rsid w:val="000F14D9"/>
    <w:rsid w:val="000F14EC"/>
    <w:rsid w:val="000F155E"/>
    <w:rsid w:val="000F189A"/>
    <w:rsid w:val="000F1D5A"/>
    <w:rsid w:val="000F1DBC"/>
    <w:rsid w:val="000F1E93"/>
    <w:rsid w:val="000F1F8D"/>
    <w:rsid w:val="000F2020"/>
    <w:rsid w:val="000F2216"/>
    <w:rsid w:val="000F2242"/>
    <w:rsid w:val="000F2588"/>
    <w:rsid w:val="000F2685"/>
    <w:rsid w:val="000F2998"/>
    <w:rsid w:val="000F2A12"/>
    <w:rsid w:val="000F2ACF"/>
    <w:rsid w:val="000F2B7A"/>
    <w:rsid w:val="000F2BCA"/>
    <w:rsid w:val="000F2D6F"/>
    <w:rsid w:val="000F2F81"/>
    <w:rsid w:val="000F2F99"/>
    <w:rsid w:val="000F334E"/>
    <w:rsid w:val="000F3553"/>
    <w:rsid w:val="000F359E"/>
    <w:rsid w:val="000F3653"/>
    <w:rsid w:val="000F36B7"/>
    <w:rsid w:val="000F39CD"/>
    <w:rsid w:val="000F3AFE"/>
    <w:rsid w:val="000F3B3F"/>
    <w:rsid w:val="000F3D42"/>
    <w:rsid w:val="000F40AC"/>
    <w:rsid w:val="000F4169"/>
    <w:rsid w:val="000F49BC"/>
    <w:rsid w:val="000F4A97"/>
    <w:rsid w:val="000F4AE2"/>
    <w:rsid w:val="000F4DD0"/>
    <w:rsid w:val="000F4EC3"/>
    <w:rsid w:val="000F4EDC"/>
    <w:rsid w:val="000F5030"/>
    <w:rsid w:val="000F5129"/>
    <w:rsid w:val="000F51B0"/>
    <w:rsid w:val="000F542E"/>
    <w:rsid w:val="000F56CF"/>
    <w:rsid w:val="000F57D9"/>
    <w:rsid w:val="000F584E"/>
    <w:rsid w:val="000F5ADD"/>
    <w:rsid w:val="000F5E77"/>
    <w:rsid w:val="000F5F2E"/>
    <w:rsid w:val="000F6160"/>
    <w:rsid w:val="000F616F"/>
    <w:rsid w:val="000F621C"/>
    <w:rsid w:val="000F66A9"/>
    <w:rsid w:val="000F66CF"/>
    <w:rsid w:val="000F682E"/>
    <w:rsid w:val="000F695E"/>
    <w:rsid w:val="000F69AE"/>
    <w:rsid w:val="000F6A52"/>
    <w:rsid w:val="000F6A54"/>
    <w:rsid w:val="000F6A8B"/>
    <w:rsid w:val="000F6AB7"/>
    <w:rsid w:val="000F6C97"/>
    <w:rsid w:val="000F6D1D"/>
    <w:rsid w:val="000F6E8E"/>
    <w:rsid w:val="000F7005"/>
    <w:rsid w:val="000F70F7"/>
    <w:rsid w:val="000F714B"/>
    <w:rsid w:val="000F7932"/>
    <w:rsid w:val="000F7A48"/>
    <w:rsid w:val="000F7BF2"/>
    <w:rsid w:val="000F7EAA"/>
    <w:rsid w:val="000F7F07"/>
    <w:rsid w:val="000F7F2D"/>
    <w:rsid w:val="0010012D"/>
    <w:rsid w:val="001003DD"/>
    <w:rsid w:val="00100475"/>
    <w:rsid w:val="001004DB"/>
    <w:rsid w:val="00100525"/>
    <w:rsid w:val="00100976"/>
    <w:rsid w:val="00100BAC"/>
    <w:rsid w:val="00100BC3"/>
    <w:rsid w:val="00100DB6"/>
    <w:rsid w:val="00100FAD"/>
    <w:rsid w:val="00100FE1"/>
    <w:rsid w:val="001010FE"/>
    <w:rsid w:val="00101171"/>
    <w:rsid w:val="001011FE"/>
    <w:rsid w:val="0010122D"/>
    <w:rsid w:val="00101384"/>
    <w:rsid w:val="001013DF"/>
    <w:rsid w:val="001016AC"/>
    <w:rsid w:val="001016D7"/>
    <w:rsid w:val="00101AD2"/>
    <w:rsid w:val="00101C28"/>
    <w:rsid w:val="00101EA0"/>
    <w:rsid w:val="00101F71"/>
    <w:rsid w:val="001022C9"/>
    <w:rsid w:val="00102390"/>
    <w:rsid w:val="00102516"/>
    <w:rsid w:val="0010267D"/>
    <w:rsid w:val="00102A13"/>
    <w:rsid w:val="00102B23"/>
    <w:rsid w:val="00102C0A"/>
    <w:rsid w:val="00102CBA"/>
    <w:rsid w:val="00102D5B"/>
    <w:rsid w:val="00102E04"/>
    <w:rsid w:val="00102F87"/>
    <w:rsid w:val="001030B8"/>
    <w:rsid w:val="0010310C"/>
    <w:rsid w:val="00103244"/>
    <w:rsid w:val="00103699"/>
    <w:rsid w:val="0010375B"/>
    <w:rsid w:val="001037D6"/>
    <w:rsid w:val="00103A72"/>
    <w:rsid w:val="00103BAE"/>
    <w:rsid w:val="00103E76"/>
    <w:rsid w:val="00104364"/>
    <w:rsid w:val="00104647"/>
    <w:rsid w:val="00104B10"/>
    <w:rsid w:val="00104B3A"/>
    <w:rsid w:val="001050EB"/>
    <w:rsid w:val="0010579E"/>
    <w:rsid w:val="00105DA3"/>
    <w:rsid w:val="0010600E"/>
    <w:rsid w:val="00106171"/>
    <w:rsid w:val="001062CF"/>
    <w:rsid w:val="00106354"/>
    <w:rsid w:val="00106533"/>
    <w:rsid w:val="001068D2"/>
    <w:rsid w:val="00106AEC"/>
    <w:rsid w:val="00106B14"/>
    <w:rsid w:val="00106C5F"/>
    <w:rsid w:val="00106F31"/>
    <w:rsid w:val="00106F7F"/>
    <w:rsid w:val="00106FB1"/>
    <w:rsid w:val="001070D7"/>
    <w:rsid w:val="00107409"/>
    <w:rsid w:val="0010749C"/>
    <w:rsid w:val="001075D1"/>
    <w:rsid w:val="001075DD"/>
    <w:rsid w:val="00107737"/>
    <w:rsid w:val="0010779A"/>
    <w:rsid w:val="00107922"/>
    <w:rsid w:val="00107AAF"/>
    <w:rsid w:val="00107C01"/>
    <w:rsid w:val="00107C9A"/>
    <w:rsid w:val="00107EFD"/>
    <w:rsid w:val="00110238"/>
    <w:rsid w:val="0011027B"/>
    <w:rsid w:val="00110297"/>
    <w:rsid w:val="00110328"/>
    <w:rsid w:val="001103E0"/>
    <w:rsid w:val="001103FF"/>
    <w:rsid w:val="0011043B"/>
    <w:rsid w:val="00110581"/>
    <w:rsid w:val="00110961"/>
    <w:rsid w:val="00110A23"/>
    <w:rsid w:val="00110A6B"/>
    <w:rsid w:val="00110CCF"/>
    <w:rsid w:val="00111073"/>
    <w:rsid w:val="001111AD"/>
    <w:rsid w:val="001112FD"/>
    <w:rsid w:val="00111446"/>
    <w:rsid w:val="001115C9"/>
    <w:rsid w:val="001115F1"/>
    <w:rsid w:val="0011165A"/>
    <w:rsid w:val="0011187B"/>
    <w:rsid w:val="00111A0D"/>
    <w:rsid w:val="00111BCA"/>
    <w:rsid w:val="00111CA6"/>
    <w:rsid w:val="00111FD5"/>
    <w:rsid w:val="00112231"/>
    <w:rsid w:val="0011253D"/>
    <w:rsid w:val="00112756"/>
    <w:rsid w:val="00112AB9"/>
    <w:rsid w:val="00113001"/>
    <w:rsid w:val="00113034"/>
    <w:rsid w:val="001130C3"/>
    <w:rsid w:val="0011325B"/>
    <w:rsid w:val="0011327B"/>
    <w:rsid w:val="0011328B"/>
    <w:rsid w:val="001133F0"/>
    <w:rsid w:val="001136F2"/>
    <w:rsid w:val="00113878"/>
    <w:rsid w:val="00113910"/>
    <w:rsid w:val="00113EB5"/>
    <w:rsid w:val="001140A6"/>
    <w:rsid w:val="00114113"/>
    <w:rsid w:val="00114160"/>
    <w:rsid w:val="001142C3"/>
    <w:rsid w:val="001145CE"/>
    <w:rsid w:val="0011472F"/>
    <w:rsid w:val="001149E8"/>
    <w:rsid w:val="00114D39"/>
    <w:rsid w:val="00114DE3"/>
    <w:rsid w:val="00114F87"/>
    <w:rsid w:val="001151FD"/>
    <w:rsid w:val="0011525A"/>
    <w:rsid w:val="0011555F"/>
    <w:rsid w:val="00115631"/>
    <w:rsid w:val="00115703"/>
    <w:rsid w:val="00115889"/>
    <w:rsid w:val="00115AFC"/>
    <w:rsid w:val="00115CB5"/>
    <w:rsid w:val="00115D9E"/>
    <w:rsid w:val="001160DF"/>
    <w:rsid w:val="00116195"/>
    <w:rsid w:val="0011621A"/>
    <w:rsid w:val="00116260"/>
    <w:rsid w:val="001162D1"/>
    <w:rsid w:val="00116492"/>
    <w:rsid w:val="001164BC"/>
    <w:rsid w:val="001169F3"/>
    <w:rsid w:val="00116A1D"/>
    <w:rsid w:val="00116A43"/>
    <w:rsid w:val="00116A56"/>
    <w:rsid w:val="00116AEE"/>
    <w:rsid w:val="00116C9E"/>
    <w:rsid w:val="00116EE0"/>
    <w:rsid w:val="00116F86"/>
    <w:rsid w:val="001171E0"/>
    <w:rsid w:val="001179FA"/>
    <w:rsid w:val="00117B28"/>
    <w:rsid w:val="00117DEC"/>
    <w:rsid w:val="00117FA2"/>
    <w:rsid w:val="00120480"/>
    <w:rsid w:val="001206A3"/>
    <w:rsid w:val="00120892"/>
    <w:rsid w:val="00120CF5"/>
    <w:rsid w:val="00120DD1"/>
    <w:rsid w:val="00120DE8"/>
    <w:rsid w:val="00120EAF"/>
    <w:rsid w:val="00120F7E"/>
    <w:rsid w:val="00121172"/>
    <w:rsid w:val="001214CA"/>
    <w:rsid w:val="001217F4"/>
    <w:rsid w:val="00121868"/>
    <w:rsid w:val="00121873"/>
    <w:rsid w:val="00121C14"/>
    <w:rsid w:val="00121C7E"/>
    <w:rsid w:val="00121F2D"/>
    <w:rsid w:val="001220D9"/>
    <w:rsid w:val="001220E9"/>
    <w:rsid w:val="0012215B"/>
    <w:rsid w:val="00122342"/>
    <w:rsid w:val="001223E2"/>
    <w:rsid w:val="0012281D"/>
    <w:rsid w:val="00122CA6"/>
    <w:rsid w:val="00122F03"/>
    <w:rsid w:val="001234C2"/>
    <w:rsid w:val="00123681"/>
    <w:rsid w:val="00123805"/>
    <w:rsid w:val="001238B7"/>
    <w:rsid w:val="001239FB"/>
    <w:rsid w:val="00123ACD"/>
    <w:rsid w:val="00123B29"/>
    <w:rsid w:val="00123CEE"/>
    <w:rsid w:val="00123D13"/>
    <w:rsid w:val="00123FAA"/>
    <w:rsid w:val="001242AB"/>
    <w:rsid w:val="0012453E"/>
    <w:rsid w:val="001247D2"/>
    <w:rsid w:val="00124899"/>
    <w:rsid w:val="001248A2"/>
    <w:rsid w:val="001249EB"/>
    <w:rsid w:val="00124AEC"/>
    <w:rsid w:val="00124CF5"/>
    <w:rsid w:val="00124D56"/>
    <w:rsid w:val="00124E06"/>
    <w:rsid w:val="00124EA2"/>
    <w:rsid w:val="00124F12"/>
    <w:rsid w:val="00125023"/>
    <w:rsid w:val="001251B6"/>
    <w:rsid w:val="001253D2"/>
    <w:rsid w:val="001254F0"/>
    <w:rsid w:val="001254F3"/>
    <w:rsid w:val="00125665"/>
    <w:rsid w:val="001256A9"/>
    <w:rsid w:val="001257B2"/>
    <w:rsid w:val="0012586C"/>
    <w:rsid w:val="001258C5"/>
    <w:rsid w:val="001259A7"/>
    <w:rsid w:val="00125E8A"/>
    <w:rsid w:val="0012600E"/>
    <w:rsid w:val="00126051"/>
    <w:rsid w:val="00126882"/>
    <w:rsid w:val="0012693A"/>
    <w:rsid w:val="00126990"/>
    <w:rsid w:val="00126AE9"/>
    <w:rsid w:val="00126B5D"/>
    <w:rsid w:val="00126D16"/>
    <w:rsid w:val="00126FF8"/>
    <w:rsid w:val="00127184"/>
    <w:rsid w:val="00127362"/>
    <w:rsid w:val="001273C1"/>
    <w:rsid w:val="00127938"/>
    <w:rsid w:val="00127980"/>
    <w:rsid w:val="00127E23"/>
    <w:rsid w:val="001300FC"/>
    <w:rsid w:val="0013024F"/>
    <w:rsid w:val="001303BF"/>
    <w:rsid w:val="001304B8"/>
    <w:rsid w:val="001305C2"/>
    <w:rsid w:val="00130615"/>
    <w:rsid w:val="0013062D"/>
    <w:rsid w:val="0013072C"/>
    <w:rsid w:val="00130CBA"/>
    <w:rsid w:val="00130D47"/>
    <w:rsid w:val="00130DB4"/>
    <w:rsid w:val="00130E4F"/>
    <w:rsid w:val="00130EA0"/>
    <w:rsid w:val="001316D9"/>
    <w:rsid w:val="00131D60"/>
    <w:rsid w:val="00131D78"/>
    <w:rsid w:val="00131DC4"/>
    <w:rsid w:val="00131E20"/>
    <w:rsid w:val="001321AC"/>
    <w:rsid w:val="001322A8"/>
    <w:rsid w:val="0013266E"/>
    <w:rsid w:val="0013283F"/>
    <w:rsid w:val="00132E00"/>
    <w:rsid w:val="00132E4A"/>
    <w:rsid w:val="00132EFA"/>
    <w:rsid w:val="0013318D"/>
    <w:rsid w:val="001331E6"/>
    <w:rsid w:val="0013346D"/>
    <w:rsid w:val="001334B1"/>
    <w:rsid w:val="00133C11"/>
    <w:rsid w:val="00133C68"/>
    <w:rsid w:val="00133D0F"/>
    <w:rsid w:val="00133EF2"/>
    <w:rsid w:val="001341C3"/>
    <w:rsid w:val="001342E7"/>
    <w:rsid w:val="001343D2"/>
    <w:rsid w:val="001344E3"/>
    <w:rsid w:val="001346CA"/>
    <w:rsid w:val="0013478B"/>
    <w:rsid w:val="00134856"/>
    <w:rsid w:val="001349C4"/>
    <w:rsid w:val="00134B47"/>
    <w:rsid w:val="00134D74"/>
    <w:rsid w:val="00134DA0"/>
    <w:rsid w:val="001351DE"/>
    <w:rsid w:val="0013530E"/>
    <w:rsid w:val="00135892"/>
    <w:rsid w:val="00135C14"/>
    <w:rsid w:val="00135CE3"/>
    <w:rsid w:val="0013615E"/>
    <w:rsid w:val="001362BD"/>
    <w:rsid w:val="00136692"/>
    <w:rsid w:val="001368B6"/>
    <w:rsid w:val="00136A85"/>
    <w:rsid w:val="00136AED"/>
    <w:rsid w:val="00136D7F"/>
    <w:rsid w:val="00136F2B"/>
    <w:rsid w:val="0013724E"/>
    <w:rsid w:val="001373EA"/>
    <w:rsid w:val="001376BA"/>
    <w:rsid w:val="00137893"/>
    <w:rsid w:val="001378C5"/>
    <w:rsid w:val="001379EB"/>
    <w:rsid w:val="00137B7E"/>
    <w:rsid w:val="00137C60"/>
    <w:rsid w:val="00137C8D"/>
    <w:rsid w:val="00137CB2"/>
    <w:rsid w:val="00137D77"/>
    <w:rsid w:val="00137D98"/>
    <w:rsid w:val="00137E14"/>
    <w:rsid w:val="001400E2"/>
    <w:rsid w:val="001406B2"/>
    <w:rsid w:val="00140729"/>
    <w:rsid w:val="001408A3"/>
    <w:rsid w:val="00140D80"/>
    <w:rsid w:val="00140DFE"/>
    <w:rsid w:val="0014114D"/>
    <w:rsid w:val="0014165F"/>
    <w:rsid w:val="001416DB"/>
    <w:rsid w:val="0014186F"/>
    <w:rsid w:val="00141AEB"/>
    <w:rsid w:val="00141B56"/>
    <w:rsid w:val="00141CDF"/>
    <w:rsid w:val="00141D5B"/>
    <w:rsid w:val="00141D78"/>
    <w:rsid w:val="00141E17"/>
    <w:rsid w:val="00141EFE"/>
    <w:rsid w:val="00141F52"/>
    <w:rsid w:val="00141FD3"/>
    <w:rsid w:val="001420B9"/>
    <w:rsid w:val="00142294"/>
    <w:rsid w:val="001422C5"/>
    <w:rsid w:val="001422D7"/>
    <w:rsid w:val="00142481"/>
    <w:rsid w:val="0014254A"/>
    <w:rsid w:val="0014255D"/>
    <w:rsid w:val="00142592"/>
    <w:rsid w:val="00142851"/>
    <w:rsid w:val="00142B3F"/>
    <w:rsid w:val="00142D61"/>
    <w:rsid w:val="00142FF4"/>
    <w:rsid w:val="00143044"/>
    <w:rsid w:val="00143083"/>
    <w:rsid w:val="001434AC"/>
    <w:rsid w:val="0014372E"/>
    <w:rsid w:val="001439EB"/>
    <w:rsid w:val="00143B4D"/>
    <w:rsid w:val="001441AD"/>
    <w:rsid w:val="001441C8"/>
    <w:rsid w:val="0014426C"/>
    <w:rsid w:val="0014450A"/>
    <w:rsid w:val="00144646"/>
    <w:rsid w:val="0014476F"/>
    <w:rsid w:val="001448D6"/>
    <w:rsid w:val="0014494D"/>
    <w:rsid w:val="00144A28"/>
    <w:rsid w:val="00144E80"/>
    <w:rsid w:val="00144E84"/>
    <w:rsid w:val="00144E91"/>
    <w:rsid w:val="00144FD6"/>
    <w:rsid w:val="00144FDD"/>
    <w:rsid w:val="0014519B"/>
    <w:rsid w:val="00145270"/>
    <w:rsid w:val="00145281"/>
    <w:rsid w:val="00145324"/>
    <w:rsid w:val="0014534A"/>
    <w:rsid w:val="0014570F"/>
    <w:rsid w:val="0014572D"/>
    <w:rsid w:val="0014573C"/>
    <w:rsid w:val="00145DF3"/>
    <w:rsid w:val="00145E6E"/>
    <w:rsid w:val="00145F54"/>
    <w:rsid w:val="0014606F"/>
    <w:rsid w:val="00146302"/>
    <w:rsid w:val="0014645E"/>
    <w:rsid w:val="001464FD"/>
    <w:rsid w:val="001466F0"/>
    <w:rsid w:val="00146729"/>
    <w:rsid w:val="00146818"/>
    <w:rsid w:val="00146882"/>
    <w:rsid w:val="00146884"/>
    <w:rsid w:val="001469C3"/>
    <w:rsid w:val="00146B68"/>
    <w:rsid w:val="00146DA9"/>
    <w:rsid w:val="00146F37"/>
    <w:rsid w:val="00147093"/>
    <w:rsid w:val="001471D1"/>
    <w:rsid w:val="001471F3"/>
    <w:rsid w:val="0014733A"/>
    <w:rsid w:val="00147499"/>
    <w:rsid w:val="0014761D"/>
    <w:rsid w:val="00147912"/>
    <w:rsid w:val="00147DE1"/>
    <w:rsid w:val="00147E5D"/>
    <w:rsid w:val="00150030"/>
    <w:rsid w:val="001503B8"/>
    <w:rsid w:val="00150743"/>
    <w:rsid w:val="0015087B"/>
    <w:rsid w:val="00150AD3"/>
    <w:rsid w:val="00150C64"/>
    <w:rsid w:val="0015130D"/>
    <w:rsid w:val="00151422"/>
    <w:rsid w:val="0015151D"/>
    <w:rsid w:val="00151704"/>
    <w:rsid w:val="001519CB"/>
    <w:rsid w:val="00151C3A"/>
    <w:rsid w:val="00151EE1"/>
    <w:rsid w:val="00151F64"/>
    <w:rsid w:val="00151FE2"/>
    <w:rsid w:val="001520C6"/>
    <w:rsid w:val="001521EC"/>
    <w:rsid w:val="00152208"/>
    <w:rsid w:val="00152261"/>
    <w:rsid w:val="00152370"/>
    <w:rsid w:val="001525A2"/>
    <w:rsid w:val="0015288F"/>
    <w:rsid w:val="001528E6"/>
    <w:rsid w:val="00152918"/>
    <w:rsid w:val="00152920"/>
    <w:rsid w:val="0015298D"/>
    <w:rsid w:val="001529BD"/>
    <w:rsid w:val="001529D3"/>
    <w:rsid w:val="00152AC5"/>
    <w:rsid w:val="00152C5C"/>
    <w:rsid w:val="00152C7E"/>
    <w:rsid w:val="00152DC8"/>
    <w:rsid w:val="00152DFF"/>
    <w:rsid w:val="00152E2E"/>
    <w:rsid w:val="001530DB"/>
    <w:rsid w:val="00153210"/>
    <w:rsid w:val="001535C2"/>
    <w:rsid w:val="00153B12"/>
    <w:rsid w:val="00153C38"/>
    <w:rsid w:val="00153D13"/>
    <w:rsid w:val="00153D1F"/>
    <w:rsid w:val="00153D50"/>
    <w:rsid w:val="00153E4D"/>
    <w:rsid w:val="0015403F"/>
    <w:rsid w:val="00154086"/>
    <w:rsid w:val="00154124"/>
    <w:rsid w:val="00154130"/>
    <w:rsid w:val="00154443"/>
    <w:rsid w:val="001544F8"/>
    <w:rsid w:val="0015451A"/>
    <w:rsid w:val="00154541"/>
    <w:rsid w:val="001545D2"/>
    <w:rsid w:val="0015481C"/>
    <w:rsid w:val="00154936"/>
    <w:rsid w:val="00154F20"/>
    <w:rsid w:val="00155294"/>
    <w:rsid w:val="001552FA"/>
    <w:rsid w:val="0015554A"/>
    <w:rsid w:val="0015568F"/>
    <w:rsid w:val="001556B5"/>
    <w:rsid w:val="001556F2"/>
    <w:rsid w:val="00155952"/>
    <w:rsid w:val="00155B0E"/>
    <w:rsid w:val="00155B87"/>
    <w:rsid w:val="00155CC2"/>
    <w:rsid w:val="00155D44"/>
    <w:rsid w:val="00155EDE"/>
    <w:rsid w:val="00156024"/>
    <w:rsid w:val="00156119"/>
    <w:rsid w:val="001563CF"/>
    <w:rsid w:val="00156AD5"/>
    <w:rsid w:val="00156C6B"/>
    <w:rsid w:val="001570EA"/>
    <w:rsid w:val="00157197"/>
    <w:rsid w:val="00157262"/>
    <w:rsid w:val="001573E6"/>
    <w:rsid w:val="00157574"/>
    <w:rsid w:val="0015777B"/>
    <w:rsid w:val="00157861"/>
    <w:rsid w:val="00157E01"/>
    <w:rsid w:val="00157E24"/>
    <w:rsid w:val="001601AF"/>
    <w:rsid w:val="001602B3"/>
    <w:rsid w:val="00160323"/>
    <w:rsid w:val="001607A5"/>
    <w:rsid w:val="00160967"/>
    <w:rsid w:val="00160993"/>
    <w:rsid w:val="00160A22"/>
    <w:rsid w:val="00160CB4"/>
    <w:rsid w:val="00160D6C"/>
    <w:rsid w:val="00161012"/>
    <w:rsid w:val="00161923"/>
    <w:rsid w:val="001619F2"/>
    <w:rsid w:val="00161D9D"/>
    <w:rsid w:val="00161F33"/>
    <w:rsid w:val="0016276D"/>
    <w:rsid w:val="00162813"/>
    <w:rsid w:val="0016289F"/>
    <w:rsid w:val="00162E29"/>
    <w:rsid w:val="00162F74"/>
    <w:rsid w:val="00162F9A"/>
    <w:rsid w:val="001630E4"/>
    <w:rsid w:val="001631FE"/>
    <w:rsid w:val="00163275"/>
    <w:rsid w:val="00163453"/>
    <w:rsid w:val="001636EA"/>
    <w:rsid w:val="001638AF"/>
    <w:rsid w:val="00163B49"/>
    <w:rsid w:val="00163D32"/>
    <w:rsid w:val="00163E3A"/>
    <w:rsid w:val="00163E6A"/>
    <w:rsid w:val="00163EAD"/>
    <w:rsid w:val="00164046"/>
    <w:rsid w:val="001640EB"/>
    <w:rsid w:val="0016423D"/>
    <w:rsid w:val="001645A5"/>
    <w:rsid w:val="00164641"/>
    <w:rsid w:val="00164698"/>
    <w:rsid w:val="00164BA1"/>
    <w:rsid w:val="00164BA9"/>
    <w:rsid w:val="00164EDC"/>
    <w:rsid w:val="00164F7C"/>
    <w:rsid w:val="00164FAC"/>
    <w:rsid w:val="0016504E"/>
    <w:rsid w:val="00165180"/>
    <w:rsid w:val="0016541C"/>
    <w:rsid w:val="0016548B"/>
    <w:rsid w:val="0016565E"/>
    <w:rsid w:val="0016574C"/>
    <w:rsid w:val="0016584C"/>
    <w:rsid w:val="00165926"/>
    <w:rsid w:val="001659B1"/>
    <w:rsid w:val="00165BA1"/>
    <w:rsid w:val="00165D8D"/>
    <w:rsid w:val="00165E5C"/>
    <w:rsid w:val="00166096"/>
    <w:rsid w:val="001660E4"/>
    <w:rsid w:val="0016610E"/>
    <w:rsid w:val="001661B1"/>
    <w:rsid w:val="001662EC"/>
    <w:rsid w:val="00166698"/>
    <w:rsid w:val="00166788"/>
    <w:rsid w:val="0016678C"/>
    <w:rsid w:val="001667BB"/>
    <w:rsid w:val="00166AF9"/>
    <w:rsid w:val="00166C8D"/>
    <w:rsid w:val="00166CCB"/>
    <w:rsid w:val="00166D90"/>
    <w:rsid w:val="00166E22"/>
    <w:rsid w:val="00166F02"/>
    <w:rsid w:val="0016716A"/>
    <w:rsid w:val="0016757B"/>
    <w:rsid w:val="001678F1"/>
    <w:rsid w:val="00167A45"/>
    <w:rsid w:val="00167AF7"/>
    <w:rsid w:val="00167BF3"/>
    <w:rsid w:val="00167C58"/>
    <w:rsid w:val="00167CC9"/>
    <w:rsid w:val="00167D66"/>
    <w:rsid w:val="00167FCF"/>
    <w:rsid w:val="001700C8"/>
    <w:rsid w:val="001703F5"/>
    <w:rsid w:val="00170432"/>
    <w:rsid w:val="001705F6"/>
    <w:rsid w:val="001707CA"/>
    <w:rsid w:val="0017099B"/>
    <w:rsid w:val="00170DFD"/>
    <w:rsid w:val="00170E4D"/>
    <w:rsid w:val="00171033"/>
    <w:rsid w:val="001710DC"/>
    <w:rsid w:val="001710E6"/>
    <w:rsid w:val="001713E1"/>
    <w:rsid w:val="001715E2"/>
    <w:rsid w:val="00171808"/>
    <w:rsid w:val="00171814"/>
    <w:rsid w:val="00171B48"/>
    <w:rsid w:val="00171E59"/>
    <w:rsid w:val="0017221E"/>
    <w:rsid w:val="001723AA"/>
    <w:rsid w:val="00172549"/>
    <w:rsid w:val="0017255C"/>
    <w:rsid w:val="0017274B"/>
    <w:rsid w:val="001728AC"/>
    <w:rsid w:val="00172B43"/>
    <w:rsid w:val="00172F3D"/>
    <w:rsid w:val="00172FCD"/>
    <w:rsid w:val="00173003"/>
    <w:rsid w:val="00173419"/>
    <w:rsid w:val="00173500"/>
    <w:rsid w:val="0017374B"/>
    <w:rsid w:val="00173D4D"/>
    <w:rsid w:val="00173F2C"/>
    <w:rsid w:val="00173F97"/>
    <w:rsid w:val="001740DC"/>
    <w:rsid w:val="001740E9"/>
    <w:rsid w:val="00174298"/>
    <w:rsid w:val="001742C4"/>
    <w:rsid w:val="001743DB"/>
    <w:rsid w:val="0017447F"/>
    <w:rsid w:val="0017451C"/>
    <w:rsid w:val="001745D3"/>
    <w:rsid w:val="0017474E"/>
    <w:rsid w:val="00174826"/>
    <w:rsid w:val="00174837"/>
    <w:rsid w:val="00174990"/>
    <w:rsid w:val="00174A1B"/>
    <w:rsid w:val="00174B98"/>
    <w:rsid w:val="00174DA3"/>
    <w:rsid w:val="00174F8F"/>
    <w:rsid w:val="00175279"/>
    <w:rsid w:val="00175311"/>
    <w:rsid w:val="00175565"/>
    <w:rsid w:val="00175592"/>
    <w:rsid w:val="0017578A"/>
    <w:rsid w:val="00175999"/>
    <w:rsid w:val="00175A31"/>
    <w:rsid w:val="00175ADA"/>
    <w:rsid w:val="00175CCC"/>
    <w:rsid w:val="00175D98"/>
    <w:rsid w:val="001761D7"/>
    <w:rsid w:val="00176427"/>
    <w:rsid w:val="00176465"/>
    <w:rsid w:val="0017651C"/>
    <w:rsid w:val="001769FA"/>
    <w:rsid w:val="00176B1C"/>
    <w:rsid w:val="00176C42"/>
    <w:rsid w:val="00176D99"/>
    <w:rsid w:val="00177239"/>
    <w:rsid w:val="00177446"/>
    <w:rsid w:val="00177B5D"/>
    <w:rsid w:val="00177EB2"/>
    <w:rsid w:val="00177EDE"/>
    <w:rsid w:val="00177FEA"/>
    <w:rsid w:val="0018002B"/>
    <w:rsid w:val="001800BF"/>
    <w:rsid w:val="0018015B"/>
    <w:rsid w:val="00180443"/>
    <w:rsid w:val="001804D2"/>
    <w:rsid w:val="0018087C"/>
    <w:rsid w:val="00180DBD"/>
    <w:rsid w:val="001811E3"/>
    <w:rsid w:val="0018127F"/>
    <w:rsid w:val="001812DD"/>
    <w:rsid w:val="00181314"/>
    <w:rsid w:val="001813A8"/>
    <w:rsid w:val="001814E7"/>
    <w:rsid w:val="0018165A"/>
    <w:rsid w:val="0018174D"/>
    <w:rsid w:val="00181882"/>
    <w:rsid w:val="00181988"/>
    <w:rsid w:val="00181ACC"/>
    <w:rsid w:val="00181AED"/>
    <w:rsid w:val="00181BAE"/>
    <w:rsid w:val="00181CAE"/>
    <w:rsid w:val="00181E67"/>
    <w:rsid w:val="00182073"/>
    <w:rsid w:val="00182166"/>
    <w:rsid w:val="00182429"/>
    <w:rsid w:val="0018260D"/>
    <w:rsid w:val="001826FC"/>
    <w:rsid w:val="001828F2"/>
    <w:rsid w:val="00182E42"/>
    <w:rsid w:val="00183002"/>
    <w:rsid w:val="0018301A"/>
    <w:rsid w:val="0018312A"/>
    <w:rsid w:val="00183141"/>
    <w:rsid w:val="0018324E"/>
    <w:rsid w:val="00183340"/>
    <w:rsid w:val="00183383"/>
    <w:rsid w:val="001833A7"/>
    <w:rsid w:val="001833E2"/>
    <w:rsid w:val="00183464"/>
    <w:rsid w:val="0018353C"/>
    <w:rsid w:val="0018358C"/>
    <w:rsid w:val="001835E7"/>
    <w:rsid w:val="00183680"/>
    <w:rsid w:val="001836E0"/>
    <w:rsid w:val="001838A9"/>
    <w:rsid w:val="00183937"/>
    <w:rsid w:val="001839D2"/>
    <w:rsid w:val="00183BA1"/>
    <w:rsid w:val="00184202"/>
    <w:rsid w:val="00184351"/>
    <w:rsid w:val="001844EE"/>
    <w:rsid w:val="00184515"/>
    <w:rsid w:val="00184705"/>
    <w:rsid w:val="00184951"/>
    <w:rsid w:val="00184B2A"/>
    <w:rsid w:val="00184C0D"/>
    <w:rsid w:val="00184CDC"/>
    <w:rsid w:val="001850F5"/>
    <w:rsid w:val="00185563"/>
    <w:rsid w:val="00185614"/>
    <w:rsid w:val="0018566A"/>
    <w:rsid w:val="00185688"/>
    <w:rsid w:val="00185A11"/>
    <w:rsid w:val="00185BCA"/>
    <w:rsid w:val="00185BF6"/>
    <w:rsid w:val="00185C02"/>
    <w:rsid w:val="00185C8C"/>
    <w:rsid w:val="00185DCE"/>
    <w:rsid w:val="00185E40"/>
    <w:rsid w:val="00185F02"/>
    <w:rsid w:val="00186052"/>
    <w:rsid w:val="00186138"/>
    <w:rsid w:val="00186195"/>
    <w:rsid w:val="001861C9"/>
    <w:rsid w:val="001861E1"/>
    <w:rsid w:val="00186305"/>
    <w:rsid w:val="00186486"/>
    <w:rsid w:val="001866EE"/>
    <w:rsid w:val="00186857"/>
    <w:rsid w:val="00186A74"/>
    <w:rsid w:val="00186EC4"/>
    <w:rsid w:val="00186FE3"/>
    <w:rsid w:val="0018717C"/>
    <w:rsid w:val="001873EC"/>
    <w:rsid w:val="001879CF"/>
    <w:rsid w:val="00187A18"/>
    <w:rsid w:val="00187A89"/>
    <w:rsid w:val="00187AD3"/>
    <w:rsid w:val="00187BB9"/>
    <w:rsid w:val="00187EE8"/>
    <w:rsid w:val="0019012C"/>
    <w:rsid w:val="00190514"/>
    <w:rsid w:val="00190611"/>
    <w:rsid w:val="0019061F"/>
    <w:rsid w:val="0019077B"/>
    <w:rsid w:val="00190D3B"/>
    <w:rsid w:val="00190D9D"/>
    <w:rsid w:val="00191274"/>
    <w:rsid w:val="00191395"/>
    <w:rsid w:val="00191640"/>
    <w:rsid w:val="001919F5"/>
    <w:rsid w:val="00191AE0"/>
    <w:rsid w:val="00191CE4"/>
    <w:rsid w:val="00191D6D"/>
    <w:rsid w:val="00191E63"/>
    <w:rsid w:val="00191F6C"/>
    <w:rsid w:val="0019210A"/>
    <w:rsid w:val="001921B0"/>
    <w:rsid w:val="00192372"/>
    <w:rsid w:val="0019239F"/>
    <w:rsid w:val="0019242F"/>
    <w:rsid w:val="001924A9"/>
    <w:rsid w:val="0019251A"/>
    <w:rsid w:val="001927D6"/>
    <w:rsid w:val="001928EE"/>
    <w:rsid w:val="0019296B"/>
    <w:rsid w:val="00192B5F"/>
    <w:rsid w:val="00192DFE"/>
    <w:rsid w:val="00192F4A"/>
    <w:rsid w:val="001934FD"/>
    <w:rsid w:val="00193545"/>
    <w:rsid w:val="0019368A"/>
    <w:rsid w:val="0019375C"/>
    <w:rsid w:val="001937A5"/>
    <w:rsid w:val="001937BB"/>
    <w:rsid w:val="0019382A"/>
    <w:rsid w:val="00193F37"/>
    <w:rsid w:val="00194042"/>
    <w:rsid w:val="00194068"/>
    <w:rsid w:val="0019417C"/>
    <w:rsid w:val="001943FC"/>
    <w:rsid w:val="00194476"/>
    <w:rsid w:val="0019449E"/>
    <w:rsid w:val="001946D0"/>
    <w:rsid w:val="001949DA"/>
    <w:rsid w:val="00194A4B"/>
    <w:rsid w:val="00194A67"/>
    <w:rsid w:val="00194DC5"/>
    <w:rsid w:val="00194E98"/>
    <w:rsid w:val="00194EEF"/>
    <w:rsid w:val="001953BF"/>
    <w:rsid w:val="0019586E"/>
    <w:rsid w:val="001959E0"/>
    <w:rsid w:val="00195AB5"/>
    <w:rsid w:val="00195BBF"/>
    <w:rsid w:val="00195C08"/>
    <w:rsid w:val="00195D0B"/>
    <w:rsid w:val="00196244"/>
    <w:rsid w:val="0019624C"/>
    <w:rsid w:val="00196544"/>
    <w:rsid w:val="001965DF"/>
    <w:rsid w:val="00196C60"/>
    <w:rsid w:val="00196D29"/>
    <w:rsid w:val="00196FB1"/>
    <w:rsid w:val="00197094"/>
    <w:rsid w:val="00197188"/>
    <w:rsid w:val="00197602"/>
    <w:rsid w:val="001976D5"/>
    <w:rsid w:val="00197ABC"/>
    <w:rsid w:val="00197D9D"/>
    <w:rsid w:val="001A0070"/>
    <w:rsid w:val="001A021E"/>
    <w:rsid w:val="001A0339"/>
    <w:rsid w:val="001A04E1"/>
    <w:rsid w:val="001A085E"/>
    <w:rsid w:val="001A0B15"/>
    <w:rsid w:val="001A0CEE"/>
    <w:rsid w:val="001A16C3"/>
    <w:rsid w:val="001A177D"/>
    <w:rsid w:val="001A19D3"/>
    <w:rsid w:val="001A19FF"/>
    <w:rsid w:val="001A1E01"/>
    <w:rsid w:val="001A200F"/>
    <w:rsid w:val="001A2179"/>
    <w:rsid w:val="001A2D56"/>
    <w:rsid w:val="001A2D60"/>
    <w:rsid w:val="001A30BC"/>
    <w:rsid w:val="001A3114"/>
    <w:rsid w:val="001A357F"/>
    <w:rsid w:val="001A3648"/>
    <w:rsid w:val="001A37FC"/>
    <w:rsid w:val="001A3A52"/>
    <w:rsid w:val="001A3E2B"/>
    <w:rsid w:val="001A3F41"/>
    <w:rsid w:val="001A4147"/>
    <w:rsid w:val="001A43D4"/>
    <w:rsid w:val="001A441F"/>
    <w:rsid w:val="001A4500"/>
    <w:rsid w:val="001A450A"/>
    <w:rsid w:val="001A457C"/>
    <w:rsid w:val="001A4678"/>
    <w:rsid w:val="001A4859"/>
    <w:rsid w:val="001A4FE3"/>
    <w:rsid w:val="001A5496"/>
    <w:rsid w:val="001A54D7"/>
    <w:rsid w:val="001A54D9"/>
    <w:rsid w:val="001A5507"/>
    <w:rsid w:val="001A5CD4"/>
    <w:rsid w:val="001A5D7D"/>
    <w:rsid w:val="001A5DE8"/>
    <w:rsid w:val="001A5EF4"/>
    <w:rsid w:val="001A5F12"/>
    <w:rsid w:val="001A60D2"/>
    <w:rsid w:val="001A61FC"/>
    <w:rsid w:val="001A65F0"/>
    <w:rsid w:val="001A6987"/>
    <w:rsid w:val="001A6B96"/>
    <w:rsid w:val="001A6D73"/>
    <w:rsid w:val="001A6F35"/>
    <w:rsid w:val="001A6FBB"/>
    <w:rsid w:val="001A7087"/>
    <w:rsid w:val="001A792E"/>
    <w:rsid w:val="001A798F"/>
    <w:rsid w:val="001A7AB6"/>
    <w:rsid w:val="001A7E3F"/>
    <w:rsid w:val="001B01FD"/>
    <w:rsid w:val="001B0410"/>
    <w:rsid w:val="001B0443"/>
    <w:rsid w:val="001B04FC"/>
    <w:rsid w:val="001B0D37"/>
    <w:rsid w:val="001B10FE"/>
    <w:rsid w:val="001B1125"/>
    <w:rsid w:val="001B118A"/>
    <w:rsid w:val="001B136B"/>
    <w:rsid w:val="001B1B86"/>
    <w:rsid w:val="001B1C27"/>
    <w:rsid w:val="001B1C7D"/>
    <w:rsid w:val="001B1C9C"/>
    <w:rsid w:val="001B1D90"/>
    <w:rsid w:val="001B1DB2"/>
    <w:rsid w:val="001B1DFD"/>
    <w:rsid w:val="001B223A"/>
    <w:rsid w:val="001B2339"/>
    <w:rsid w:val="001B244C"/>
    <w:rsid w:val="001B24D7"/>
    <w:rsid w:val="001B2538"/>
    <w:rsid w:val="001B272C"/>
    <w:rsid w:val="001B28B8"/>
    <w:rsid w:val="001B28BF"/>
    <w:rsid w:val="001B295A"/>
    <w:rsid w:val="001B2D6C"/>
    <w:rsid w:val="001B2D96"/>
    <w:rsid w:val="001B2DFA"/>
    <w:rsid w:val="001B2F2D"/>
    <w:rsid w:val="001B3090"/>
    <w:rsid w:val="001B333C"/>
    <w:rsid w:val="001B39B7"/>
    <w:rsid w:val="001B3A66"/>
    <w:rsid w:val="001B3DEF"/>
    <w:rsid w:val="001B4013"/>
    <w:rsid w:val="001B405C"/>
    <w:rsid w:val="001B40AC"/>
    <w:rsid w:val="001B410C"/>
    <w:rsid w:val="001B43ED"/>
    <w:rsid w:val="001B44CA"/>
    <w:rsid w:val="001B476E"/>
    <w:rsid w:val="001B47D2"/>
    <w:rsid w:val="001B48AE"/>
    <w:rsid w:val="001B4925"/>
    <w:rsid w:val="001B4957"/>
    <w:rsid w:val="001B4C05"/>
    <w:rsid w:val="001B4FBE"/>
    <w:rsid w:val="001B5056"/>
    <w:rsid w:val="001B539F"/>
    <w:rsid w:val="001B5C2E"/>
    <w:rsid w:val="001B5CFC"/>
    <w:rsid w:val="001B5E37"/>
    <w:rsid w:val="001B6090"/>
    <w:rsid w:val="001B616F"/>
    <w:rsid w:val="001B666C"/>
    <w:rsid w:val="001B69F7"/>
    <w:rsid w:val="001B6EFD"/>
    <w:rsid w:val="001B7130"/>
    <w:rsid w:val="001B759B"/>
    <w:rsid w:val="001B75A0"/>
    <w:rsid w:val="001B7601"/>
    <w:rsid w:val="001B7820"/>
    <w:rsid w:val="001B783C"/>
    <w:rsid w:val="001B7973"/>
    <w:rsid w:val="001B7A22"/>
    <w:rsid w:val="001B7A41"/>
    <w:rsid w:val="001B7A78"/>
    <w:rsid w:val="001B7B12"/>
    <w:rsid w:val="001B7EE8"/>
    <w:rsid w:val="001C0029"/>
    <w:rsid w:val="001C00C4"/>
    <w:rsid w:val="001C0566"/>
    <w:rsid w:val="001C05BE"/>
    <w:rsid w:val="001C05C4"/>
    <w:rsid w:val="001C07FF"/>
    <w:rsid w:val="001C0A7C"/>
    <w:rsid w:val="001C0D06"/>
    <w:rsid w:val="001C1067"/>
    <w:rsid w:val="001C15ED"/>
    <w:rsid w:val="001C1694"/>
    <w:rsid w:val="001C1755"/>
    <w:rsid w:val="001C17C3"/>
    <w:rsid w:val="001C1834"/>
    <w:rsid w:val="001C19A7"/>
    <w:rsid w:val="001C1A1F"/>
    <w:rsid w:val="001C1B4C"/>
    <w:rsid w:val="001C1D6B"/>
    <w:rsid w:val="001C1ED2"/>
    <w:rsid w:val="001C238F"/>
    <w:rsid w:val="001C27A7"/>
    <w:rsid w:val="001C28CE"/>
    <w:rsid w:val="001C2914"/>
    <w:rsid w:val="001C2973"/>
    <w:rsid w:val="001C2A5E"/>
    <w:rsid w:val="001C2AAF"/>
    <w:rsid w:val="001C2E27"/>
    <w:rsid w:val="001C2EE7"/>
    <w:rsid w:val="001C3186"/>
    <w:rsid w:val="001C319B"/>
    <w:rsid w:val="001C32E2"/>
    <w:rsid w:val="001C32F4"/>
    <w:rsid w:val="001C33EC"/>
    <w:rsid w:val="001C38E9"/>
    <w:rsid w:val="001C3A49"/>
    <w:rsid w:val="001C3E94"/>
    <w:rsid w:val="001C3EBA"/>
    <w:rsid w:val="001C3EC7"/>
    <w:rsid w:val="001C4228"/>
    <w:rsid w:val="001C4309"/>
    <w:rsid w:val="001C47EF"/>
    <w:rsid w:val="001C4804"/>
    <w:rsid w:val="001C48DC"/>
    <w:rsid w:val="001C49AD"/>
    <w:rsid w:val="001C4AD5"/>
    <w:rsid w:val="001C4B7D"/>
    <w:rsid w:val="001C4B94"/>
    <w:rsid w:val="001C4BA9"/>
    <w:rsid w:val="001C520D"/>
    <w:rsid w:val="001C52D4"/>
    <w:rsid w:val="001C52D5"/>
    <w:rsid w:val="001C5653"/>
    <w:rsid w:val="001C5A38"/>
    <w:rsid w:val="001C5DA4"/>
    <w:rsid w:val="001C5F16"/>
    <w:rsid w:val="001C62FD"/>
    <w:rsid w:val="001C65BC"/>
    <w:rsid w:val="001C6A6C"/>
    <w:rsid w:val="001C6ADA"/>
    <w:rsid w:val="001C6B17"/>
    <w:rsid w:val="001C6C89"/>
    <w:rsid w:val="001C6E9E"/>
    <w:rsid w:val="001C7250"/>
    <w:rsid w:val="001C72C4"/>
    <w:rsid w:val="001C7BC3"/>
    <w:rsid w:val="001C7DA6"/>
    <w:rsid w:val="001C7E69"/>
    <w:rsid w:val="001C7F75"/>
    <w:rsid w:val="001D02D4"/>
    <w:rsid w:val="001D046F"/>
    <w:rsid w:val="001D04D9"/>
    <w:rsid w:val="001D09D6"/>
    <w:rsid w:val="001D0A82"/>
    <w:rsid w:val="001D0DB0"/>
    <w:rsid w:val="001D0DD4"/>
    <w:rsid w:val="001D0E01"/>
    <w:rsid w:val="001D116C"/>
    <w:rsid w:val="001D12C7"/>
    <w:rsid w:val="001D133D"/>
    <w:rsid w:val="001D14A6"/>
    <w:rsid w:val="001D14AA"/>
    <w:rsid w:val="001D16FE"/>
    <w:rsid w:val="001D1851"/>
    <w:rsid w:val="001D188E"/>
    <w:rsid w:val="001D1BA5"/>
    <w:rsid w:val="001D20C7"/>
    <w:rsid w:val="001D20DE"/>
    <w:rsid w:val="001D255B"/>
    <w:rsid w:val="001D2738"/>
    <w:rsid w:val="001D2741"/>
    <w:rsid w:val="001D276F"/>
    <w:rsid w:val="001D2795"/>
    <w:rsid w:val="001D294D"/>
    <w:rsid w:val="001D2B6E"/>
    <w:rsid w:val="001D2BE6"/>
    <w:rsid w:val="001D2F86"/>
    <w:rsid w:val="001D3179"/>
    <w:rsid w:val="001D3257"/>
    <w:rsid w:val="001D33AE"/>
    <w:rsid w:val="001D3408"/>
    <w:rsid w:val="001D3467"/>
    <w:rsid w:val="001D3919"/>
    <w:rsid w:val="001D3B92"/>
    <w:rsid w:val="001D3E0F"/>
    <w:rsid w:val="001D3E15"/>
    <w:rsid w:val="001D3F38"/>
    <w:rsid w:val="001D4178"/>
    <w:rsid w:val="001D41B5"/>
    <w:rsid w:val="001D4357"/>
    <w:rsid w:val="001D4735"/>
    <w:rsid w:val="001D4B3D"/>
    <w:rsid w:val="001D4FFF"/>
    <w:rsid w:val="001D524B"/>
    <w:rsid w:val="001D54C6"/>
    <w:rsid w:val="001D5560"/>
    <w:rsid w:val="001D566B"/>
    <w:rsid w:val="001D58E5"/>
    <w:rsid w:val="001D5912"/>
    <w:rsid w:val="001D5A91"/>
    <w:rsid w:val="001D5AE2"/>
    <w:rsid w:val="001D5C65"/>
    <w:rsid w:val="001D5CE5"/>
    <w:rsid w:val="001D5DFE"/>
    <w:rsid w:val="001D5F05"/>
    <w:rsid w:val="001D5F8B"/>
    <w:rsid w:val="001D60AE"/>
    <w:rsid w:val="001D643D"/>
    <w:rsid w:val="001D650B"/>
    <w:rsid w:val="001D658D"/>
    <w:rsid w:val="001D6822"/>
    <w:rsid w:val="001D68FB"/>
    <w:rsid w:val="001D69CE"/>
    <w:rsid w:val="001D6CAE"/>
    <w:rsid w:val="001D6FD7"/>
    <w:rsid w:val="001D7124"/>
    <w:rsid w:val="001D7342"/>
    <w:rsid w:val="001D734C"/>
    <w:rsid w:val="001D7383"/>
    <w:rsid w:val="001D738E"/>
    <w:rsid w:val="001D7518"/>
    <w:rsid w:val="001D7593"/>
    <w:rsid w:val="001D75EB"/>
    <w:rsid w:val="001D7841"/>
    <w:rsid w:val="001E00E2"/>
    <w:rsid w:val="001E00F7"/>
    <w:rsid w:val="001E03E9"/>
    <w:rsid w:val="001E070C"/>
    <w:rsid w:val="001E0749"/>
    <w:rsid w:val="001E0863"/>
    <w:rsid w:val="001E0972"/>
    <w:rsid w:val="001E0AB4"/>
    <w:rsid w:val="001E0B92"/>
    <w:rsid w:val="001E0D5D"/>
    <w:rsid w:val="001E0D7B"/>
    <w:rsid w:val="001E0DDC"/>
    <w:rsid w:val="001E0EF2"/>
    <w:rsid w:val="001E0FEC"/>
    <w:rsid w:val="001E0FF6"/>
    <w:rsid w:val="001E1005"/>
    <w:rsid w:val="001E1091"/>
    <w:rsid w:val="001E10C2"/>
    <w:rsid w:val="001E1291"/>
    <w:rsid w:val="001E1531"/>
    <w:rsid w:val="001E16F0"/>
    <w:rsid w:val="001E18D9"/>
    <w:rsid w:val="001E1CCD"/>
    <w:rsid w:val="001E1D25"/>
    <w:rsid w:val="001E1FE8"/>
    <w:rsid w:val="001E22AA"/>
    <w:rsid w:val="001E22AF"/>
    <w:rsid w:val="001E271D"/>
    <w:rsid w:val="001E28AB"/>
    <w:rsid w:val="001E2932"/>
    <w:rsid w:val="001E2A8D"/>
    <w:rsid w:val="001E2DFD"/>
    <w:rsid w:val="001E2E42"/>
    <w:rsid w:val="001E2E80"/>
    <w:rsid w:val="001E2FC9"/>
    <w:rsid w:val="001E30DD"/>
    <w:rsid w:val="001E316B"/>
    <w:rsid w:val="001E3242"/>
    <w:rsid w:val="001E3469"/>
    <w:rsid w:val="001E34D2"/>
    <w:rsid w:val="001E3667"/>
    <w:rsid w:val="001E385C"/>
    <w:rsid w:val="001E393C"/>
    <w:rsid w:val="001E3C33"/>
    <w:rsid w:val="001E3D7C"/>
    <w:rsid w:val="001E3D94"/>
    <w:rsid w:val="001E3EBB"/>
    <w:rsid w:val="001E411E"/>
    <w:rsid w:val="001E441B"/>
    <w:rsid w:val="001E4436"/>
    <w:rsid w:val="001E4549"/>
    <w:rsid w:val="001E4605"/>
    <w:rsid w:val="001E46FA"/>
    <w:rsid w:val="001E4811"/>
    <w:rsid w:val="001E4F79"/>
    <w:rsid w:val="001E51D8"/>
    <w:rsid w:val="001E5212"/>
    <w:rsid w:val="001E570A"/>
    <w:rsid w:val="001E5883"/>
    <w:rsid w:val="001E5AC6"/>
    <w:rsid w:val="001E5CE6"/>
    <w:rsid w:val="001E5DDD"/>
    <w:rsid w:val="001E63A7"/>
    <w:rsid w:val="001E64C8"/>
    <w:rsid w:val="001E650B"/>
    <w:rsid w:val="001E6512"/>
    <w:rsid w:val="001E6642"/>
    <w:rsid w:val="001E6989"/>
    <w:rsid w:val="001E6A33"/>
    <w:rsid w:val="001E6C80"/>
    <w:rsid w:val="001E6D03"/>
    <w:rsid w:val="001E6D3D"/>
    <w:rsid w:val="001E7179"/>
    <w:rsid w:val="001E7229"/>
    <w:rsid w:val="001E7305"/>
    <w:rsid w:val="001E745E"/>
    <w:rsid w:val="001E79F6"/>
    <w:rsid w:val="001E7BDE"/>
    <w:rsid w:val="001E7C4E"/>
    <w:rsid w:val="001F00F7"/>
    <w:rsid w:val="001F029C"/>
    <w:rsid w:val="001F040C"/>
    <w:rsid w:val="001F04AF"/>
    <w:rsid w:val="001F097C"/>
    <w:rsid w:val="001F09D3"/>
    <w:rsid w:val="001F0A40"/>
    <w:rsid w:val="001F0CCE"/>
    <w:rsid w:val="001F0D0C"/>
    <w:rsid w:val="001F0E16"/>
    <w:rsid w:val="001F0E81"/>
    <w:rsid w:val="001F120B"/>
    <w:rsid w:val="001F163E"/>
    <w:rsid w:val="001F173F"/>
    <w:rsid w:val="001F1BBB"/>
    <w:rsid w:val="001F1CE5"/>
    <w:rsid w:val="001F2123"/>
    <w:rsid w:val="001F2388"/>
    <w:rsid w:val="001F2456"/>
    <w:rsid w:val="001F263F"/>
    <w:rsid w:val="001F27F4"/>
    <w:rsid w:val="001F2ACB"/>
    <w:rsid w:val="001F2BC5"/>
    <w:rsid w:val="001F2BD4"/>
    <w:rsid w:val="001F2D1B"/>
    <w:rsid w:val="001F2DA8"/>
    <w:rsid w:val="001F2DFB"/>
    <w:rsid w:val="001F2E57"/>
    <w:rsid w:val="001F2EAC"/>
    <w:rsid w:val="001F3080"/>
    <w:rsid w:val="001F3240"/>
    <w:rsid w:val="001F34CB"/>
    <w:rsid w:val="001F3BA6"/>
    <w:rsid w:val="001F3CE6"/>
    <w:rsid w:val="001F3E76"/>
    <w:rsid w:val="001F40FE"/>
    <w:rsid w:val="001F4255"/>
    <w:rsid w:val="001F4343"/>
    <w:rsid w:val="001F43F2"/>
    <w:rsid w:val="001F43F7"/>
    <w:rsid w:val="001F4605"/>
    <w:rsid w:val="001F4704"/>
    <w:rsid w:val="001F4740"/>
    <w:rsid w:val="001F47CB"/>
    <w:rsid w:val="001F4816"/>
    <w:rsid w:val="001F49B3"/>
    <w:rsid w:val="001F4DF0"/>
    <w:rsid w:val="001F4F8F"/>
    <w:rsid w:val="001F4FE6"/>
    <w:rsid w:val="001F512E"/>
    <w:rsid w:val="001F51CD"/>
    <w:rsid w:val="001F5797"/>
    <w:rsid w:val="001F5893"/>
    <w:rsid w:val="001F5DCB"/>
    <w:rsid w:val="001F5F6E"/>
    <w:rsid w:val="001F6322"/>
    <w:rsid w:val="001F6AE6"/>
    <w:rsid w:val="001F6BA0"/>
    <w:rsid w:val="001F6BA2"/>
    <w:rsid w:val="001F6C58"/>
    <w:rsid w:val="001F6D2E"/>
    <w:rsid w:val="001F701D"/>
    <w:rsid w:val="001F7307"/>
    <w:rsid w:val="001F73EB"/>
    <w:rsid w:val="001F7525"/>
    <w:rsid w:val="001F7756"/>
    <w:rsid w:val="001F78C3"/>
    <w:rsid w:val="001F797E"/>
    <w:rsid w:val="001F79E4"/>
    <w:rsid w:val="001F7BDB"/>
    <w:rsid w:val="001F7BF8"/>
    <w:rsid w:val="001F7CD4"/>
    <w:rsid w:val="001F7CFE"/>
    <w:rsid w:val="001F7EF8"/>
    <w:rsid w:val="001F7F4F"/>
    <w:rsid w:val="001F7F7D"/>
    <w:rsid w:val="001F7F8F"/>
    <w:rsid w:val="00200384"/>
    <w:rsid w:val="0020044A"/>
    <w:rsid w:val="002009B4"/>
    <w:rsid w:val="00200BDE"/>
    <w:rsid w:val="00200DFC"/>
    <w:rsid w:val="0020134F"/>
    <w:rsid w:val="00201572"/>
    <w:rsid w:val="00201607"/>
    <w:rsid w:val="00201732"/>
    <w:rsid w:val="00201B4B"/>
    <w:rsid w:val="00201CA2"/>
    <w:rsid w:val="00201F62"/>
    <w:rsid w:val="0020205A"/>
    <w:rsid w:val="002028CF"/>
    <w:rsid w:val="00202B40"/>
    <w:rsid w:val="00202DA5"/>
    <w:rsid w:val="00202FED"/>
    <w:rsid w:val="00203811"/>
    <w:rsid w:val="002038D6"/>
    <w:rsid w:val="00203AB5"/>
    <w:rsid w:val="00204003"/>
    <w:rsid w:val="002044B1"/>
    <w:rsid w:val="00204605"/>
    <w:rsid w:val="002046A5"/>
    <w:rsid w:val="00204807"/>
    <w:rsid w:val="002048A9"/>
    <w:rsid w:val="00204E72"/>
    <w:rsid w:val="002054FB"/>
    <w:rsid w:val="0020567D"/>
    <w:rsid w:val="00205827"/>
    <w:rsid w:val="002059EE"/>
    <w:rsid w:val="002060C7"/>
    <w:rsid w:val="002060D2"/>
    <w:rsid w:val="002062E5"/>
    <w:rsid w:val="00206671"/>
    <w:rsid w:val="00206768"/>
    <w:rsid w:val="00206CBF"/>
    <w:rsid w:val="00206DEC"/>
    <w:rsid w:val="00206E3A"/>
    <w:rsid w:val="0020744B"/>
    <w:rsid w:val="00207516"/>
    <w:rsid w:val="00207563"/>
    <w:rsid w:val="0020791C"/>
    <w:rsid w:val="00207998"/>
    <w:rsid w:val="00207A60"/>
    <w:rsid w:val="00207A94"/>
    <w:rsid w:val="00207C69"/>
    <w:rsid w:val="00207DEE"/>
    <w:rsid w:val="00207F7E"/>
    <w:rsid w:val="0020B80C"/>
    <w:rsid w:val="00210225"/>
    <w:rsid w:val="002108F5"/>
    <w:rsid w:val="00210A38"/>
    <w:rsid w:val="00210A6D"/>
    <w:rsid w:val="00210CB6"/>
    <w:rsid w:val="00210DBA"/>
    <w:rsid w:val="00210DF2"/>
    <w:rsid w:val="00210E26"/>
    <w:rsid w:val="00210EC0"/>
    <w:rsid w:val="00211095"/>
    <w:rsid w:val="002111E0"/>
    <w:rsid w:val="00211280"/>
    <w:rsid w:val="00211375"/>
    <w:rsid w:val="0021165B"/>
    <w:rsid w:val="0021165F"/>
    <w:rsid w:val="002119FD"/>
    <w:rsid w:val="00211DB2"/>
    <w:rsid w:val="00211F57"/>
    <w:rsid w:val="00211FA0"/>
    <w:rsid w:val="00211FB5"/>
    <w:rsid w:val="0021222E"/>
    <w:rsid w:val="00212251"/>
    <w:rsid w:val="00212276"/>
    <w:rsid w:val="00212506"/>
    <w:rsid w:val="002125C8"/>
    <w:rsid w:val="0021293B"/>
    <w:rsid w:val="00212B3E"/>
    <w:rsid w:val="00212C3F"/>
    <w:rsid w:val="00212E41"/>
    <w:rsid w:val="0021334D"/>
    <w:rsid w:val="00213549"/>
    <w:rsid w:val="002136DB"/>
    <w:rsid w:val="00213AE0"/>
    <w:rsid w:val="00213BAC"/>
    <w:rsid w:val="00213C44"/>
    <w:rsid w:val="00213C81"/>
    <w:rsid w:val="00213D1C"/>
    <w:rsid w:val="0021422D"/>
    <w:rsid w:val="00214347"/>
    <w:rsid w:val="00214675"/>
    <w:rsid w:val="00214A5E"/>
    <w:rsid w:val="00214A62"/>
    <w:rsid w:val="00214F6B"/>
    <w:rsid w:val="00215161"/>
    <w:rsid w:val="00215186"/>
    <w:rsid w:val="00215278"/>
    <w:rsid w:val="002156D6"/>
    <w:rsid w:val="00215965"/>
    <w:rsid w:val="00215A51"/>
    <w:rsid w:val="00215A7D"/>
    <w:rsid w:val="00215A90"/>
    <w:rsid w:val="00215B06"/>
    <w:rsid w:val="00215B41"/>
    <w:rsid w:val="00215C33"/>
    <w:rsid w:val="00215E61"/>
    <w:rsid w:val="002160BA"/>
    <w:rsid w:val="0021619F"/>
    <w:rsid w:val="002161DC"/>
    <w:rsid w:val="0021626A"/>
    <w:rsid w:val="00216617"/>
    <w:rsid w:val="002169DE"/>
    <w:rsid w:val="00216B70"/>
    <w:rsid w:val="00216CB7"/>
    <w:rsid w:val="00216D37"/>
    <w:rsid w:val="00216D46"/>
    <w:rsid w:val="00216D9D"/>
    <w:rsid w:val="00216DD1"/>
    <w:rsid w:val="00216E6B"/>
    <w:rsid w:val="00216E92"/>
    <w:rsid w:val="0021704E"/>
    <w:rsid w:val="0021707F"/>
    <w:rsid w:val="00217260"/>
    <w:rsid w:val="0021732C"/>
    <w:rsid w:val="0021732E"/>
    <w:rsid w:val="00217582"/>
    <w:rsid w:val="00217598"/>
    <w:rsid w:val="00217A9D"/>
    <w:rsid w:val="00217D75"/>
    <w:rsid w:val="00217F05"/>
    <w:rsid w:val="0022018F"/>
    <w:rsid w:val="00220301"/>
    <w:rsid w:val="0022038F"/>
    <w:rsid w:val="00220409"/>
    <w:rsid w:val="0022040A"/>
    <w:rsid w:val="0022051C"/>
    <w:rsid w:val="002205A0"/>
    <w:rsid w:val="002206F7"/>
    <w:rsid w:val="00220895"/>
    <w:rsid w:val="00220C15"/>
    <w:rsid w:val="00220DAF"/>
    <w:rsid w:val="00220FEE"/>
    <w:rsid w:val="00221056"/>
    <w:rsid w:val="0022106C"/>
    <w:rsid w:val="00221120"/>
    <w:rsid w:val="00221243"/>
    <w:rsid w:val="002212B6"/>
    <w:rsid w:val="0022163F"/>
    <w:rsid w:val="00221869"/>
    <w:rsid w:val="002219EE"/>
    <w:rsid w:val="00221BA1"/>
    <w:rsid w:val="00221D4C"/>
    <w:rsid w:val="00221E2B"/>
    <w:rsid w:val="00221EB7"/>
    <w:rsid w:val="00222235"/>
    <w:rsid w:val="002223F4"/>
    <w:rsid w:val="002226F5"/>
    <w:rsid w:val="0022279A"/>
    <w:rsid w:val="002227FD"/>
    <w:rsid w:val="0022294B"/>
    <w:rsid w:val="00222A3D"/>
    <w:rsid w:val="00222AC7"/>
    <w:rsid w:val="00222B94"/>
    <w:rsid w:val="002230E6"/>
    <w:rsid w:val="002231C5"/>
    <w:rsid w:val="002231CA"/>
    <w:rsid w:val="00223360"/>
    <w:rsid w:val="00223742"/>
    <w:rsid w:val="002237EB"/>
    <w:rsid w:val="00223958"/>
    <w:rsid w:val="00223BDE"/>
    <w:rsid w:val="00223C48"/>
    <w:rsid w:val="00223D07"/>
    <w:rsid w:val="00223EBE"/>
    <w:rsid w:val="00223EF7"/>
    <w:rsid w:val="0022421A"/>
    <w:rsid w:val="002244F4"/>
    <w:rsid w:val="00224627"/>
    <w:rsid w:val="00224930"/>
    <w:rsid w:val="00224A7E"/>
    <w:rsid w:val="00224F0F"/>
    <w:rsid w:val="00224F5A"/>
    <w:rsid w:val="00224FDB"/>
    <w:rsid w:val="002251A3"/>
    <w:rsid w:val="00225344"/>
    <w:rsid w:val="00225850"/>
    <w:rsid w:val="00225944"/>
    <w:rsid w:val="00225B0C"/>
    <w:rsid w:val="00225E35"/>
    <w:rsid w:val="00225F0B"/>
    <w:rsid w:val="00225FFF"/>
    <w:rsid w:val="0022639C"/>
    <w:rsid w:val="0022640F"/>
    <w:rsid w:val="00226475"/>
    <w:rsid w:val="002265A1"/>
    <w:rsid w:val="00226CE2"/>
    <w:rsid w:val="00226D41"/>
    <w:rsid w:val="00226E39"/>
    <w:rsid w:val="00226E9E"/>
    <w:rsid w:val="00227275"/>
    <w:rsid w:val="0022728C"/>
    <w:rsid w:val="002272A4"/>
    <w:rsid w:val="00227913"/>
    <w:rsid w:val="00227D72"/>
    <w:rsid w:val="00227E4B"/>
    <w:rsid w:val="0022C5D7"/>
    <w:rsid w:val="00230217"/>
    <w:rsid w:val="00230260"/>
    <w:rsid w:val="00230327"/>
    <w:rsid w:val="00230430"/>
    <w:rsid w:val="00230479"/>
    <w:rsid w:val="00230590"/>
    <w:rsid w:val="0023061B"/>
    <w:rsid w:val="0023067D"/>
    <w:rsid w:val="002307DD"/>
    <w:rsid w:val="00230820"/>
    <w:rsid w:val="00230DD0"/>
    <w:rsid w:val="00230EA1"/>
    <w:rsid w:val="00231191"/>
    <w:rsid w:val="002311ED"/>
    <w:rsid w:val="00231264"/>
    <w:rsid w:val="00231495"/>
    <w:rsid w:val="00231629"/>
    <w:rsid w:val="0023166F"/>
    <w:rsid w:val="0023192E"/>
    <w:rsid w:val="0023196B"/>
    <w:rsid w:val="00231A42"/>
    <w:rsid w:val="00231A49"/>
    <w:rsid w:val="00231B19"/>
    <w:rsid w:val="00231C53"/>
    <w:rsid w:val="00231CED"/>
    <w:rsid w:val="00231DAC"/>
    <w:rsid w:val="00231E3B"/>
    <w:rsid w:val="002322CE"/>
    <w:rsid w:val="002328EA"/>
    <w:rsid w:val="002328F5"/>
    <w:rsid w:val="00232B94"/>
    <w:rsid w:val="00232CF9"/>
    <w:rsid w:val="00232D23"/>
    <w:rsid w:val="00232EF8"/>
    <w:rsid w:val="002330EE"/>
    <w:rsid w:val="002331BD"/>
    <w:rsid w:val="00233209"/>
    <w:rsid w:val="00233223"/>
    <w:rsid w:val="0023323B"/>
    <w:rsid w:val="0023351A"/>
    <w:rsid w:val="00233590"/>
    <w:rsid w:val="002335B3"/>
    <w:rsid w:val="00233821"/>
    <w:rsid w:val="00233A78"/>
    <w:rsid w:val="00233BB9"/>
    <w:rsid w:val="00233C0D"/>
    <w:rsid w:val="00233CF8"/>
    <w:rsid w:val="00233E95"/>
    <w:rsid w:val="0023403D"/>
    <w:rsid w:val="0023421A"/>
    <w:rsid w:val="002344D1"/>
    <w:rsid w:val="0023458C"/>
    <w:rsid w:val="002345F3"/>
    <w:rsid w:val="002346FA"/>
    <w:rsid w:val="00234871"/>
    <w:rsid w:val="002348C7"/>
    <w:rsid w:val="00234DCE"/>
    <w:rsid w:val="00234F1A"/>
    <w:rsid w:val="00234F75"/>
    <w:rsid w:val="002352B9"/>
    <w:rsid w:val="002355D8"/>
    <w:rsid w:val="00235C37"/>
    <w:rsid w:val="00235D4D"/>
    <w:rsid w:val="00235D5D"/>
    <w:rsid w:val="00235E5E"/>
    <w:rsid w:val="00235F19"/>
    <w:rsid w:val="00236042"/>
    <w:rsid w:val="00236082"/>
    <w:rsid w:val="002360D5"/>
    <w:rsid w:val="00236139"/>
    <w:rsid w:val="0023635D"/>
    <w:rsid w:val="00236442"/>
    <w:rsid w:val="00236629"/>
    <w:rsid w:val="002366B8"/>
    <w:rsid w:val="002367FD"/>
    <w:rsid w:val="0023681E"/>
    <w:rsid w:val="00236B0B"/>
    <w:rsid w:val="00236B6C"/>
    <w:rsid w:val="00236CCC"/>
    <w:rsid w:val="00237012"/>
    <w:rsid w:val="0023708B"/>
    <w:rsid w:val="002370F7"/>
    <w:rsid w:val="00237113"/>
    <w:rsid w:val="00237191"/>
    <w:rsid w:val="00237233"/>
    <w:rsid w:val="00237284"/>
    <w:rsid w:val="00237393"/>
    <w:rsid w:val="0023757F"/>
    <w:rsid w:val="002376C7"/>
    <w:rsid w:val="00237A8B"/>
    <w:rsid w:val="00237B3F"/>
    <w:rsid w:val="00237D50"/>
    <w:rsid w:val="00240040"/>
    <w:rsid w:val="00240213"/>
    <w:rsid w:val="00240583"/>
    <w:rsid w:val="00240758"/>
    <w:rsid w:val="002407FD"/>
    <w:rsid w:val="00240866"/>
    <w:rsid w:val="00240A2C"/>
    <w:rsid w:val="00240A61"/>
    <w:rsid w:val="00240ED5"/>
    <w:rsid w:val="00240FBF"/>
    <w:rsid w:val="002410A5"/>
    <w:rsid w:val="002415FB"/>
    <w:rsid w:val="00241723"/>
    <w:rsid w:val="002417D8"/>
    <w:rsid w:val="0024190F"/>
    <w:rsid w:val="00241D3C"/>
    <w:rsid w:val="00241E37"/>
    <w:rsid w:val="00241E85"/>
    <w:rsid w:val="00242084"/>
    <w:rsid w:val="00242104"/>
    <w:rsid w:val="00242146"/>
    <w:rsid w:val="002422F7"/>
    <w:rsid w:val="002424C6"/>
    <w:rsid w:val="00242773"/>
    <w:rsid w:val="00242787"/>
    <w:rsid w:val="002427B3"/>
    <w:rsid w:val="0024288C"/>
    <w:rsid w:val="002428CE"/>
    <w:rsid w:val="00242B65"/>
    <w:rsid w:val="00243153"/>
    <w:rsid w:val="0024325D"/>
    <w:rsid w:val="002432FC"/>
    <w:rsid w:val="002438A7"/>
    <w:rsid w:val="00243AD7"/>
    <w:rsid w:val="00243CCD"/>
    <w:rsid w:val="00243D0C"/>
    <w:rsid w:val="00243FFC"/>
    <w:rsid w:val="002445F3"/>
    <w:rsid w:val="00244688"/>
    <w:rsid w:val="0024484D"/>
    <w:rsid w:val="0024499A"/>
    <w:rsid w:val="002449E6"/>
    <w:rsid w:val="00244B59"/>
    <w:rsid w:val="00244E4B"/>
    <w:rsid w:val="00244E8F"/>
    <w:rsid w:val="00244FC9"/>
    <w:rsid w:val="00245011"/>
    <w:rsid w:val="00245150"/>
    <w:rsid w:val="002451EB"/>
    <w:rsid w:val="0024525B"/>
    <w:rsid w:val="00245342"/>
    <w:rsid w:val="00245425"/>
    <w:rsid w:val="002454EF"/>
    <w:rsid w:val="00245535"/>
    <w:rsid w:val="0024554B"/>
    <w:rsid w:val="00245653"/>
    <w:rsid w:val="002456C1"/>
    <w:rsid w:val="0024578D"/>
    <w:rsid w:val="002459DF"/>
    <w:rsid w:val="00245B08"/>
    <w:rsid w:val="00245BCE"/>
    <w:rsid w:val="00245BEF"/>
    <w:rsid w:val="00245CB7"/>
    <w:rsid w:val="00245F1C"/>
    <w:rsid w:val="00245F38"/>
    <w:rsid w:val="00245FB3"/>
    <w:rsid w:val="0024600B"/>
    <w:rsid w:val="002464B1"/>
    <w:rsid w:val="002466D9"/>
    <w:rsid w:val="0024672C"/>
    <w:rsid w:val="00246751"/>
    <w:rsid w:val="002468E0"/>
    <w:rsid w:val="0024699A"/>
    <w:rsid w:val="002469AD"/>
    <w:rsid w:val="00246A3C"/>
    <w:rsid w:val="00246A7D"/>
    <w:rsid w:val="00246CC3"/>
    <w:rsid w:val="00246CE6"/>
    <w:rsid w:val="00246CED"/>
    <w:rsid w:val="00246D6F"/>
    <w:rsid w:val="00246DF4"/>
    <w:rsid w:val="00246E0D"/>
    <w:rsid w:val="00246E23"/>
    <w:rsid w:val="00246FCA"/>
    <w:rsid w:val="00247320"/>
    <w:rsid w:val="002474BA"/>
    <w:rsid w:val="00247584"/>
    <w:rsid w:val="00247AB7"/>
    <w:rsid w:val="00247BE4"/>
    <w:rsid w:val="00247C10"/>
    <w:rsid w:val="00247D8C"/>
    <w:rsid w:val="0025042C"/>
    <w:rsid w:val="002505E6"/>
    <w:rsid w:val="00250A34"/>
    <w:rsid w:val="00250A7F"/>
    <w:rsid w:val="00250B8D"/>
    <w:rsid w:val="00250E1D"/>
    <w:rsid w:val="0025136F"/>
    <w:rsid w:val="00251835"/>
    <w:rsid w:val="00251871"/>
    <w:rsid w:val="002519A5"/>
    <w:rsid w:val="00252158"/>
    <w:rsid w:val="0025218B"/>
    <w:rsid w:val="0025224B"/>
    <w:rsid w:val="0025243D"/>
    <w:rsid w:val="00252B60"/>
    <w:rsid w:val="00252B9B"/>
    <w:rsid w:val="00252CC3"/>
    <w:rsid w:val="00252E7B"/>
    <w:rsid w:val="00252F06"/>
    <w:rsid w:val="00253348"/>
    <w:rsid w:val="0025336B"/>
    <w:rsid w:val="00253472"/>
    <w:rsid w:val="0025348B"/>
    <w:rsid w:val="00253593"/>
    <w:rsid w:val="0025376F"/>
    <w:rsid w:val="00253846"/>
    <w:rsid w:val="00253855"/>
    <w:rsid w:val="00253922"/>
    <w:rsid w:val="002539A0"/>
    <w:rsid w:val="00253A92"/>
    <w:rsid w:val="00253D4E"/>
    <w:rsid w:val="0025432A"/>
    <w:rsid w:val="002543D2"/>
    <w:rsid w:val="00254451"/>
    <w:rsid w:val="002546E5"/>
    <w:rsid w:val="00254715"/>
    <w:rsid w:val="00254751"/>
    <w:rsid w:val="0025496F"/>
    <w:rsid w:val="00254A80"/>
    <w:rsid w:val="00254BE7"/>
    <w:rsid w:val="00254BF7"/>
    <w:rsid w:val="00254EE4"/>
    <w:rsid w:val="00255074"/>
    <w:rsid w:val="002554D8"/>
    <w:rsid w:val="002555F2"/>
    <w:rsid w:val="002558D5"/>
    <w:rsid w:val="00255B0F"/>
    <w:rsid w:val="00255C00"/>
    <w:rsid w:val="00255C69"/>
    <w:rsid w:val="00255C9B"/>
    <w:rsid w:val="0025606F"/>
    <w:rsid w:val="00256107"/>
    <w:rsid w:val="0025621A"/>
    <w:rsid w:val="002562FF"/>
    <w:rsid w:val="0025654F"/>
    <w:rsid w:val="00256778"/>
    <w:rsid w:val="00256A1E"/>
    <w:rsid w:val="00256B0D"/>
    <w:rsid w:val="00256C5E"/>
    <w:rsid w:val="00256DDC"/>
    <w:rsid w:val="00256E87"/>
    <w:rsid w:val="00256F99"/>
    <w:rsid w:val="0025718B"/>
    <w:rsid w:val="00257565"/>
    <w:rsid w:val="00257574"/>
    <w:rsid w:val="00257575"/>
    <w:rsid w:val="002575E5"/>
    <w:rsid w:val="00257789"/>
    <w:rsid w:val="002577B7"/>
    <w:rsid w:val="002578F0"/>
    <w:rsid w:val="00257BE3"/>
    <w:rsid w:val="00257C56"/>
    <w:rsid w:val="00257C7E"/>
    <w:rsid w:val="00257CE0"/>
    <w:rsid w:val="00257ECB"/>
    <w:rsid w:val="00260157"/>
    <w:rsid w:val="002602C7"/>
    <w:rsid w:val="00260666"/>
    <w:rsid w:val="002608CB"/>
    <w:rsid w:val="00260A30"/>
    <w:rsid w:val="00260B45"/>
    <w:rsid w:val="00260B5C"/>
    <w:rsid w:val="00260BB0"/>
    <w:rsid w:val="00260CBD"/>
    <w:rsid w:val="00260D5E"/>
    <w:rsid w:val="00260E0E"/>
    <w:rsid w:val="00260FEC"/>
    <w:rsid w:val="0026103C"/>
    <w:rsid w:val="00261056"/>
    <w:rsid w:val="00261192"/>
    <w:rsid w:val="00261408"/>
    <w:rsid w:val="00261417"/>
    <w:rsid w:val="002616EE"/>
    <w:rsid w:val="0026187E"/>
    <w:rsid w:val="002618E3"/>
    <w:rsid w:val="00261A89"/>
    <w:rsid w:val="00261D5F"/>
    <w:rsid w:val="00261DD2"/>
    <w:rsid w:val="00262093"/>
    <w:rsid w:val="0026235E"/>
    <w:rsid w:val="002623F8"/>
    <w:rsid w:val="0026264D"/>
    <w:rsid w:val="002627CE"/>
    <w:rsid w:val="00262825"/>
    <w:rsid w:val="0026284D"/>
    <w:rsid w:val="0026297A"/>
    <w:rsid w:val="00262B90"/>
    <w:rsid w:val="00262DD4"/>
    <w:rsid w:val="0026309B"/>
    <w:rsid w:val="00263170"/>
    <w:rsid w:val="00263263"/>
    <w:rsid w:val="00263470"/>
    <w:rsid w:val="002634DE"/>
    <w:rsid w:val="00263571"/>
    <w:rsid w:val="002636F7"/>
    <w:rsid w:val="00263988"/>
    <w:rsid w:val="00263C4A"/>
    <w:rsid w:val="00263C56"/>
    <w:rsid w:val="00263D3E"/>
    <w:rsid w:val="00263FAE"/>
    <w:rsid w:val="002640A4"/>
    <w:rsid w:val="00264580"/>
    <w:rsid w:val="00264716"/>
    <w:rsid w:val="00264791"/>
    <w:rsid w:val="00264C40"/>
    <w:rsid w:val="00264C42"/>
    <w:rsid w:val="00264CBA"/>
    <w:rsid w:val="00264CE2"/>
    <w:rsid w:val="00264D4E"/>
    <w:rsid w:val="00264F55"/>
    <w:rsid w:val="00265139"/>
    <w:rsid w:val="0026515D"/>
    <w:rsid w:val="002651FF"/>
    <w:rsid w:val="00265560"/>
    <w:rsid w:val="00265854"/>
    <w:rsid w:val="002659CE"/>
    <w:rsid w:val="00265DFF"/>
    <w:rsid w:val="00265E7B"/>
    <w:rsid w:val="00266052"/>
    <w:rsid w:val="00266174"/>
    <w:rsid w:val="0026634C"/>
    <w:rsid w:val="00266706"/>
    <w:rsid w:val="0026680B"/>
    <w:rsid w:val="00266827"/>
    <w:rsid w:val="00266829"/>
    <w:rsid w:val="002668A9"/>
    <w:rsid w:val="002669E3"/>
    <w:rsid w:val="00266D40"/>
    <w:rsid w:val="00266DC3"/>
    <w:rsid w:val="00267232"/>
    <w:rsid w:val="00267373"/>
    <w:rsid w:val="00267491"/>
    <w:rsid w:val="002678E5"/>
    <w:rsid w:val="0026795E"/>
    <w:rsid w:val="002679D8"/>
    <w:rsid w:val="00267CD0"/>
    <w:rsid w:val="00267DFF"/>
    <w:rsid w:val="00267F6F"/>
    <w:rsid w:val="002701A8"/>
    <w:rsid w:val="0027030D"/>
    <w:rsid w:val="002704B5"/>
    <w:rsid w:val="00270BDD"/>
    <w:rsid w:val="00270C95"/>
    <w:rsid w:val="00270D36"/>
    <w:rsid w:val="00270DB1"/>
    <w:rsid w:val="00271132"/>
    <w:rsid w:val="002711EC"/>
    <w:rsid w:val="002714D6"/>
    <w:rsid w:val="002718F9"/>
    <w:rsid w:val="0027193A"/>
    <w:rsid w:val="00271C99"/>
    <w:rsid w:val="00271D7C"/>
    <w:rsid w:val="00271E2C"/>
    <w:rsid w:val="00271EBB"/>
    <w:rsid w:val="00272270"/>
    <w:rsid w:val="002726AD"/>
    <w:rsid w:val="002727A4"/>
    <w:rsid w:val="002728D0"/>
    <w:rsid w:val="002729B5"/>
    <w:rsid w:val="002729E4"/>
    <w:rsid w:val="00272A9C"/>
    <w:rsid w:val="00272DA3"/>
    <w:rsid w:val="00272E4E"/>
    <w:rsid w:val="00272E7E"/>
    <w:rsid w:val="00272FB1"/>
    <w:rsid w:val="002732F0"/>
    <w:rsid w:val="00273310"/>
    <w:rsid w:val="002735B7"/>
    <w:rsid w:val="00273629"/>
    <w:rsid w:val="002736D8"/>
    <w:rsid w:val="002737E5"/>
    <w:rsid w:val="00273809"/>
    <w:rsid w:val="00273875"/>
    <w:rsid w:val="00273894"/>
    <w:rsid w:val="002739C7"/>
    <w:rsid w:val="002739E9"/>
    <w:rsid w:val="00273AA1"/>
    <w:rsid w:val="00273BC6"/>
    <w:rsid w:val="00273BF6"/>
    <w:rsid w:val="00273C5B"/>
    <w:rsid w:val="00273DB4"/>
    <w:rsid w:val="00273F28"/>
    <w:rsid w:val="002743A9"/>
    <w:rsid w:val="00274833"/>
    <w:rsid w:val="00274BFB"/>
    <w:rsid w:val="00274D15"/>
    <w:rsid w:val="00274E49"/>
    <w:rsid w:val="00274E7C"/>
    <w:rsid w:val="00275093"/>
    <w:rsid w:val="00275398"/>
    <w:rsid w:val="00275438"/>
    <w:rsid w:val="002754C5"/>
    <w:rsid w:val="00275781"/>
    <w:rsid w:val="00275847"/>
    <w:rsid w:val="00275873"/>
    <w:rsid w:val="002758DA"/>
    <w:rsid w:val="00275980"/>
    <w:rsid w:val="00275A55"/>
    <w:rsid w:val="00275AA2"/>
    <w:rsid w:val="00275E91"/>
    <w:rsid w:val="0027609D"/>
    <w:rsid w:val="002760AD"/>
    <w:rsid w:val="00276547"/>
    <w:rsid w:val="002765CD"/>
    <w:rsid w:val="00276827"/>
    <w:rsid w:val="00276908"/>
    <w:rsid w:val="00276A40"/>
    <w:rsid w:val="00276CB5"/>
    <w:rsid w:val="002770BB"/>
    <w:rsid w:val="00277107"/>
    <w:rsid w:val="00277514"/>
    <w:rsid w:val="00277C58"/>
    <w:rsid w:val="00277C7F"/>
    <w:rsid w:val="00280857"/>
    <w:rsid w:val="00280AB3"/>
    <w:rsid w:val="00280E4B"/>
    <w:rsid w:val="00280FC0"/>
    <w:rsid w:val="00281136"/>
    <w:rsid w:val="00281168"/>
    <w:rsid w:val="00281301"/>
    <w:rsid w:val="00281679"/>
    <w:rsid w:val="00281F81"/>
    <w:rsid w:val="002821BF"/>
    <w:rsid w:val="002822D6"/>
    <w:rsid w:val="00282676"/>
    <w:rsid w:val="00282699"/>
    <w:rsid w:val="002828B0"/>
    <w:rsid w:val="002829D2"/>
    <w:rsid w:val="00282A06"/>
    <w:rsid w:val="00282AF4"/>
    <w:rsid w:val="00283093"/>
    <w:rsid w:val="00283214"/>
    <w:rsid w:val="002834E8"/>
    <w:rsid w:val="00283913"/>
    <w:rsid w:val="0028395F"/>
    <w:rsid w:val="00283BC7"/>
    <w:rsid w:val="00283D54"/>
    <w:rsid w:val="00283D63"/>
    <w:rsid w:val="00283E0A"/>
    <w:rsid w:val="00284246"/>
    <w:rsid w:val="002842CC"/>
    <w:rsid w:val="0028448E"/>
    <w:rsid w:val="002845CD"/>
    <w:rsid w:val="002847C7"/>
    <w:rsid w:val="00284999"/>
    <w:rsid w:val="00284AB6"/>
    <w:rsid w:val="00284B08"/>
    <w:rsid w:val="00284BB5"/>
    <w:rsid w:val="00284D16"/>
    <w:rsid w:val="002852ED"/>
    <w:rsid w:val="00285474"/>
    <w:rsid w:val="002855EE"/>
    <w:rsid w:val="00285872"/>
    <w:rsid w:val="002858C6"/>
    <w:rsid w:val="002858C7"/>
    <w:rsid w:val="00285A2D"/>
    <w:rsid w:val="00285D25"/>
    <w:rsid w:val="00285D3C"/>
    <w:rsid w:val="00285F46"/>
    <w:rsid w:val="00286130"/>
    <w:rsid w:val="0028619A"/>
    <w:rsid w:val="002862A7"/>
    <w:rsid w:val="00286456"/>
    <w:rsid w:val="002866CB"/>
    <w:rsid w:val="00286841"/>
    <w:rsid w:val="002868A2"/>
    <w:rsid w:val="0028692F"/>
    <w:rsid w:val="00286A17"/>
    <w:rsid w:val="00286CFC"/>
    <w:rsid w:val="00286DA6"/>
    <w:rsid w:val="00286ECA"/>
    <w:rsid w:val="0028709B"/>
    <w:rsid w:val="00287245"/>
    <w:rsid w:val="00287623"/>
    <w:rsid w:val="002877A2"/>
    <w:rsid w:val="00287867"/>
    <w:rsid w:val="00287A9B"/>
    <w:rsid w:val="00287BFA"/>
    <w:rsid w:val="00287C2F"/>
    <w:rsid w:val="00287E18"/>
    <w:rsid w:val="00290192"/>
    <w:rsid w:val="0029027F"/>
    <w:rsid w:val="002903BD"/>
    <w:rsid w:val="002904A0"/>
    <w:rsid w:val="0029063B"/>
    <w:rsid w:val="00290874"/>
    <w:rsid w:val="00290979"/>
    <w:rsid w:val="00290999"/>
    <w:rsid w:val="00290B5C"/>
    <w:rsid w:val="00290B80"/>
    <w:rsid w:val="00290BEE"/>
    <w:rsid w:val="00290CBB"/>
    <w:rsid w:val="00291261"/>
    <w:rsid w:val="0029131E"/>
    <w:rsid w:val="00291331"/>
    <w:rsid w:val="002913AE"/>
    <w:rsid w:val="0029157D"/>
    <w:rsid w:val="00291861"/>
    <w:rsid w:val="00291A3C"/>
    <w:rsid w:val="00291A72"/>
    <w:rsid w:val="00291B2D"/>
    <w:rsid w:val="00291EB3"/>
    <w:rsid w:val="00291ED9"/>
    <w:rsid w:val="00291F8B"/>
    <w:rsid w:val="002920A4"/>
    <w:rsid w:val="00292211"/>
    <w:rsid w:val="002923F9"/>
    <w:rsid w:val="00292B15"/>
    <w:rsid w:val="00292D81"/>
    <w:rsid w:val="00292DE5"/>
    <w:rsid w:val="00292E7E"/>
    <w:rsid w:val="00292F50"/>
    <w:rsid w:val="00293178"/>
    <w:rsid w:val="002931B6"/>
    <w:rsid w:val="0029330E"/>
    <w:rsid w:val="002933C4"/>
    <w:rsid w:val="00293460"/>
    <w:rsid w:val="0029354D"/>
    <w:rsid w:val="0029359A"/>
    <w:rsid w:val="002935B4"/>
    <w:rsid w:val="00293D10"/>
    <w:rsid w:val="00293F2F"/>
    <w:rsid w:val="002944F2"/>
    <w:rsid w:val="0029477B"/>
    <w:rsid w:val="00294852"/>
    <w:rsid w:val="002948BE"/>
    <w:rsid w:val="00294A91"/>
    <w:rsid w:val="00294B03"/>
    <w:rsid w:val="00294D54"/>
    <w:rsid w:val="00294E33"/>
    <w:rsid w:val="00294FAB"/>
    <w:rsid w:val="00295073"/>
    <w:rsid w:val="0029508F"/>
    <w:rsid w:val="00295384"/>
    <w:rsid w:val="002954FC"/>
    <w:rsid w:val="00295645"/>
    <w:rsid w:val="002957A8"/>
    <w:rsid w:val="00295B50"/>
    <w:rsid w:val="00295BC9"/>
    <w:rsid w:val="00295C7B"/>
    <w:rsid w:val="0029606A"/>
    <w:rsid w:val="00296244"/>
    <w:rsid w:val="0029681A"/>
    <w:rsid w:val="0029683D"/>
    <w:rsid w:val="00296C76"/>
    <w:rsid w:val="00296EBD"/>
    <w:rsid w:val="00296F0C"/>
    <w:rsid w:val="002970F2"/>
    <w:rsid w:val="00297300"/>
    <w:rsid w:val="002975E7"/>
    <w:rsid w:val="002978CA"/>
    <w:rsid w:val="00297959"/>
    <w:rsid w:val="00297BD6"/>
    <w:rsid w:val="00297C0E"/>
    <w:rsid w:val="00297C39"/>
    <w:rsid w:val="00297D17"/>
    <w:rsid w:val="00297D6C"/>
    <w:rsid w:val="002A00BE"/>
    <w:rsid w:val="002A01A6"/>
    <w:rsid w:val="002A0241"/>
    <w:rsid w:val="002A045F"/>
    <w:rsid w:val="002A0560"/>
    <w:rsid w:val="002A05DB"/>
    <w:rsid w:val="002A0812"/>
    <w:rsid w:val="002A08A8"/>
    <w:rsid w:val="002A0926"/>
    <w:rsid w:val="002A09A9"/>
    <w:rsid w:val="002A09B0"/>
    <w:rsid w:val="002A0C79"/>
    <w:rsid w:val="002A0DF7"/>
    <w:rsid w:val="002A0EDF"/>
    <w:rsid w:val="002A0F6B"/>
    <w:rsid w:val="002A131A"/>
    <w:rsid w:val="002A1503"/>
    <w:rsid w:val="002A1B74"/>
    <w:rsid w:val="002A1C0B"/>
    <w:rsid w:val="002A1C3B"/>
    <w:rsid w:val="002A1D64"/>
    <w:rsid w:val="002A20AE"/>
    <w:rsid w:val="002A219B"/>
    <w:rsid w:val="002A21C8"/>
    <w:rsid w:val="002A21D6"/>
    <w:rsid w:val="002A22A0"/>
    <w:rsid w:val="002A2343"/>
    <w:rsid w:val="002A2403"/>
    <w:rsid w:val="002A2590"/>
    <w:rsid w:val="002A27B2"/>
    <w:rsid w:val="002A283C"/>
    <w:rsid w:val="002A29B1"/>
    <w:rsid w:val="002A2AFB"/>
    <w:rsid w:val="002A2B29"/>
    <w:rsid w:val="002A2E92"/>
    <w:rsid w:val="002A31CC"/>
    <w:rsid w:val="002A33A9"/>
    <w:rsid w:val="002A359D"/>
    <w:rsid w:val="002A35AA"/>
    <w:rsid w:val="002A3712"/>
    <w:rsid w:val="002A3B29"/>
    <w:rsid w:val="002A3CAD"/>
    <w:rsid w:val="002A3D40"/>
    <w:rsid w:val="002A4123"/>
    <w:rsid w:val="002A4370"/>
    <w:rsid w:val="002A4424"/>
    <w:rsid w:val="002A4449"/>
    <w:rsid w:val="002A4833"/>
    <w:rsid w:val="002A4A67"/>
    <w:rsid w:val="002A4AAB"/>
    <w:rsid w:val="002A4F73"/>
    <w:rsid w:val="002A54BF"/>
    <w:rsid w:val="002A55A0"/>
    <w:rsid w:val="002A59F6"/>
    <w:rsid w:val="002A60D2"/>
    <w:rsid w:val="002A6265"/>
    <w:rsid w:val="002A64C2"/>
    <w:rsid w:val="002A66D2"/>
    <w:rsid w:val="002A688E"/>
    <w:rsid w:val="002A6CD5"/>
    <w:rsid w:val="002A6DDB"/>
    <w:rsid w:val="002A718A"/>
    <w:rsid w:val="002A72BD"/>
    <w:rsid w:val="002A7327"/>
    <w:rsid w:val="002A73A8"/>
    <w:rsid w:val="002A7581"/>
    <w:rsid w:val="002A7606"/>
    <w:rsid w:val="002A7705"/>
    <w:rsid w:val="002A7817"/>
    <w:rsid w:val="002A79D6"/>
    <w:rsid w:val="002A7AAA"/>
    <w:rsid w:val="002A7AC4"/>
    <w:rsid w:val="002A7D2F"/>
    <w:rsid w:val="002A7D65"/>
    <w:rsid w:val="002A7F50"/>
    <w:rsid w:val="002B00C2"/>
    <w:rsid w:val="002B00CD"/>
    <w:rsid w:val="002B0217"/>
    <w:rsid w:val="002B035E"/>
    <w:rsid w:val="002B055D"/>
    <w:rsid w:val="002B05B4"/>
    <w:rsid w:val="002B0720"/>
    <w:rsid w:val="002B07A0"/>
    <w:rsid w:val="002B0A38"/>
    <w:rsid w:val="002B0B3A"/>
    <w:rsid w:val="002B0CF0"/>
    <w:rsid w:val="002B1056"/>
    <w:rsid w:val="002B1237"/>
    <w:rsid w:val="002B1579"/>
    <w:rsid w:val="002B180F"/>
    <w:rsid w:val="002B18CA"/>
    <w:rsid w:val="002B1997"/>
    <w:rsid w:val="002B222C"/>
    <w:rsid w:val="002B253D"/>
    <w:rsid w:val="002B2550"/>
    <w:rsid w:val="002B2553"/>
    <w:rsid w:val="002B2580"/>
    <w:rsid w:val="002B2A2F"/>
    <w:rsid w:val="002B30A3"/>
    <w:rsid w:val="002B3261"/>
    <w:rsid w:val="002B333A"/>
    <w:rsid w:val="002B3462"/>
    <w:rsid w:val="002B34AC"/>
    <w:rsid w:val="002B3A84"/>
    <w:rsid w:val="002B3B08"/>
    <w:rsid w:val="002B3B4F"/>
    <w:rsid w:val="002B3CF8"/>
    <w:rsid w:val="002B3E57"/>
    <w:rsid w:val="002B3F82"/>
    <w:rsid w:val="002B4206"/>
    <w:rsid w:val="002B4251"/>
    <w:rsid w:val="002B43BE"/>
    <w:rsid w:val="002B45F1"/>
    <w:rsid w:val="002B4738"/>
    <w:rsid w:val="002B4852"/>
    <w:rsid w:val="002B489F"/>
    <w:rsid w:val="002B4A4E"/>
    <w:rsid w:val="002B4E1F"/>
    <w:rsid w:val="002B5332"/>
    <w:rsid w:val="002B54D2"/>
    <w:rsid w:val="002B5696"/>
    <w:rsid w:val="002B5D8C"/>
    <w:rsid w:val="002B5EE2"/>
    <w:rsid w:val="002B629C"/>
    <w:rsid w:val="002B63D9"/>
    <w:rsid w:val="002B6663"/>
    <w:rsid w:val="002B687D"/>
    <w:rsid w:val="002B6C26"/>
    <w:rsid w:val="002B6DE0"/>
    <w:rsid w:val="002B6E43"/>
    <w:rsid w:val="002B6F56"/>
    <w:rsid w:val="002B7003"/>
    <w:rsid w:val="002B7133"/>
    <w:rsid w:val="002B71ED"/>
    <w:rsid w:val="002B7240"/>
    <w:rsid w:val="002B73F2"/>
    <w:rsid w:val="002B7466"/>
    <w:rsid w:val="002B7495"/>
    <w:rsid w:val="002B7CC2"/>
    <w:rsid w:val="002B7D82"/>
    <w:rsid w:val="002C00C3"/>
    <w:rsid w:val="002C0108"/>
    <w:rsid w:val="002C0443"/>
    <w:rsid w:val="002C0594"/>
    <w:rsid w:val="002C05E0"/>
    <w:rsid w:val="002C08F1"/>
    <w:rsid w:val="002C0FA7"/>
    <w:rsid w:val="002C1113"/>
    <w:rsid w:val="002C1222"/>
    <w:rsid w:val="002C1264"/>
    <w:rsid w:val="002C135F"/>
    <w:rsid w:val="002C1405"/>
    <w:rsid w:val="002C14A6"/>
    <w:rsid w:val="002C16B8"/>
    <w:rsid w:val="002C1808"/>
    <w:rsid w:val="002C18C2"/>
    <w:rsid w:val="002C18CC"/>
    <w:rsid w:val="002C1C42"/>
    <w:rsid w:val="002C2102"/>
    <w:rsid w:val="002C2458"/>
    <w:rsid w:val="002C2462"/>
    <w:rsid w:val="002C2470"/>
    <w:rsid w:val="002C247B"/>
    <w:rsid w:val="002C27BA"/>
    <w:rsid w:val="002C29A6"/>
    <w:rsid w:val="002C2AD7"/>
    <w:rsid w:val="002C2CA0"/>
    <w:rsid w:val="002C2D83"/>
    <w:rsid w:val="002C2E8E"/>
    <w:rsid w:val="002C2E9F"/>
    <w:rsid w:val="002C2F5E"/>
    <w:rsid w:val="002C31AC"/>
    <w:rsid w:val="002C340F"/>
    <w:rsid w:val="002C350F"/>
    <w:rsid w:val="002C392C"/>
    <w:rsid w:val="002C39F6"/>
    <w:rsid w:val="002C3B68"/>
    <w:rsid w:val="002C3BA6"/>
    <w:rsid w:val="002C3BD0"/>
    <w:rsid w:val="002C3EE1"/>
    <w:rsid w:val="002C42D1"/>
    <w:rsid w:val="002C42E8"/>
    <w:rsid w:val="002C4338"/>
    <w:rsid w:val="002C44DB"/>
    <w:rsid w:val="002C47AC"/>
    <w:rsid w:val="002C47E9"/>
    <w:rsid w:val="002C4819"/>
    <w:rsid w:val="002C4837"/>
    <w:rsid w:val="002C48CA"/>
    <w:rsid w:val="002C4A03"/>
    <w:rsid w:val="002C4ACD"/>
    <w:rsid w:val="002C4B7B"/>
    <w:rsid w:val="002C4CC1"/>
    <w:rsid w:val="002C4DB8"/>
    <w:rsid w:val="002C4F82"/>
    <w:rsid w:val="002C51EB"/>
    <w:rsid w:val="002C52BF"/>
    <w:rsid w:val="002C5463"/>
    <w:rsid w:val="002C5CB9"/>
    <w:rsid w:val="002C5EB4"/>
    <w:rsid w:val="002C604A"/>
    <w:rsid w:val="002C607D"/>
    <w:rsid w:val="002C60EB"/>
    <w:rsid w:val="002C63C9"/>
    <w:rsid w:val="002C650A"/>
    <w:rsid w:val="002C6690"/>
    <w:rsid w:val="002C70C5"/>
    <w:rsid w:val="002C727B"/>
    <w:rsid w:val="002C72C4"/>
    <w:rsid w:val="002C7389"/>
    <w:rsid w:val="002C7538"/>
    <w:rsid w:val="002C7669"/>
    <w:rsid w:val="002C7721"/>
    <w:rsid w:val="002C7804"/>
    <w:rsid w:val="002C7D57"/>
    <w:rsid w:val="002D017F"/>
    <w:rsid w:val="002D01C4"/>
    <w:rsid w:val="002D027C"/>
    <w:rsid w:val="002D0320"/>
    <w:rsid w:val="002D03AA"/>
    <w:rsid w:val="002D0573"/>
    <w:rsid w:val="002D0688"/>
    <w:rsid w:val="002D071C"/>
    <w:rsid w:val="002D0C2D"/>
    <w:rsid w:val="002D0C96"/>
    <w:rsid w:val="002D0FDC"/>
    <w:rsid w:val="002D11CC"/>
    <w:rsid w:val="002D1236"/>
    <w:rsid w:val="002D1374"/>
    <w:rsid w:val="002D1386"/>
    <w:rsid w:val="002D14C7"/>
    <w:rsid w:val="002D1C96"/>
    <w:rsid w:val="002D1CA1"/>
    <w:rsid w:val="002D1CD3"/>
    <w:rsid w:val="002D1D12"/>
    <w:rsid w:val="002D1F02"/>
    <w:rsid w:val="002D20A9"/>
    <w:rsid w:val="002D21A3"/>
    <w:rsid w:val="002D2400"/>
    <w:rsid w:val="002D2572"/>
    <w:rsid w:val="002D2C10"/>
    <w:rsid w:val="002D2E4B"/>
    <w:rsid w:val="002D3124"/>
    <w:rsid w:val="002D3394"/>
    <w:rsid w:val="002D350C"/>
    <w:rsid w:val="002D3613"/>
    <w:rsid w:val="002D361C"/>
    <w:rsid w:val="002D3714"/>
    <w:rsid w:val="002D3B0E"/>
    <w:rsid w:val="002D3C0C"/>
    <w:rsid w:val="002D3CD4"/>
    <w:rsid w:val="002D3E0E"/>
    <w:rsid w:val="002D3F38"/>
    <w:rsid w:val="002D41BB"/>
    <w:rsid w:val="002D4280"/>
    <w:rsid w:val="002D44A7"/>
    <w:rsid w:val="002D457E"/>
    <w:rsid w:val="002D4686"/>
    <w:rsid w:val="002D468B"/>
    <w:rsid w:val="002D48A6"/>
    <w:rsid w:val="002D4B17"/>
    <w:rsid w:val="002D4E79"/>
    <w:rsid w:val="002D4E7B"/>
    <w:rsid w:val="002D4FD2"/>
    <w:rsid w:val="002D5067"/>
    <w:rsid w:val="002D5275"/>
    <w:rsid w:val="002D5730"/>
    <w:rsid w:val="002D5B8E"/>
    <w:rsid w:val="002D5EC7"/>
    <w:rsid w:val="002D618E"/>
    <w:rsid w:val="002D624A"/>
    <w:rsid w:val="002D6363"/>
    <w:rsid w:val="002D640C"/>
    <w:rsid w:val="002D647D"/>
    <w:rsid w:val="002D648A"/>
    <w:rsid w:val="002D66ED"/>
    <w:rsid w:val="002D6800"/>
    <w:rsid w:val="002D6811"/>
    <w:rsid w:val="002D6819"/>
    <w:rsid w:val="002D6873"/>
    <w:rsid w:val="002D6C30"/>
    <w:rsid w:val="002D6D26"/>
    <w:rsid w:val="002D6D7D"/>
    <w:rsid w:val="002D6EAA"/>
    <w:rsid w:val="002D6EC7"/>
    <w:rsid w:val="002D7069"/>
    <w:rsid w:val="002D7161"/>
    <w:rsid w:val="002D717E"/>
    <w:rsid w:val="002D734F"/>
    <w:rsid w:val="002D7438"/>
    <w:rsid w:val="002D7763"/>
    <w:rsid w:val="002D7CA7"/>
    <w:rsid w:val="002D7E69"/>
    <w:rsid w:val="002E019B"/>
    <w:rsid w:val="002E057D"/>
    <w:rsid w:val="002E0646"/>
    <w:rsid w:val="002E08F7"/>
    <w:rsid w:val="002E0A34"/>
    <w:rsid w:val="002E0B15"/>
    <w:rsid w:val="002E0C36"/>
    <w:rsid w:val="002E0CDC"/>
    <w:rsid w:val="002E0DFB"/>
    <w:rsid w:val="002E0F70"/>
    <w:rsid w:val="002E0FF1"/>
    <w:rsid w:val="002E108C"/>
    <w:rsid w:val="002E1148"/>
    <w:rsid w:val="002E12FF"/>
    <w:rsid w:val="002E1448"/>
    <w:rsid w:val="002E16EB"/>
    <w:rsid w:val="002E1991"/>
    <w:rsid w:val="002E1C85"/>
    <w:rsid w:val="002E1FAF"/>
    <w:rsid w:val="002E212F"/>
    <w:rsid w:val="002E2336"/>
    <w:rsid w:val="002E2410"/>
    <w:rsid w:val="002E2455"/>
    <w:rsid w:val="002E2500"/>
    <w:rsid w:val="002E25F0"/>
    <w:rsid w:val="002E282F"/>
    <w:rsid w:val="002E2847"/>
    <w:rsid w:val="002E2A61"/>
    <w:rsid w:val="002E2BBF"/>
    <w:rsid w:val="002E2CD1"/>
    <w:rsid w:val="002E2E36"/>
    <w:rsid w:val="002E2E4F"/>
    <w:rsid w:val="002E2F91"/>
    <w:rsid w:val="002E30FC"/>
    <w:rsid w:val="002E3158"/>
    <w:rsid w:val="002E37EA"/>
    <w:rsid w:val="002E3AF4"/>
    <w:rsid w:val="002E3E2A"/>
    <w:rsid w:val="002E4038"/>
    <w:rsid w:val="002E4079"/>
    <w:rsid w:val="002E4460"/>
    <w:rsid w:val="002E466A"/>
    <w:rsid w:val="002E4911"/>
    <w:rsid w:val="002E4BAC"/>
    <w:rsid w:val="002E4BBD"/>
    <w:rsid w:val="002E4CF6"/>
    <w:rsid w:val="002E4EDA"/>
    <w:rsid w:val="002E4F70"/>
    <w:rsid w:val="002E5085"/>
    <w:rsid w:val="002E508B"/>
    <w:rsid w:val="002E5335"/>
    <w:rsid w:val="002E53D4"/>
    <w:rsid w:val="002E5455"/>
    <w:rsid w:val="002E5568"/>
    <w:rsid w:val="002E558B"/>
    <w:rsid w:val="002E5711"/>
    <w:rsid w:val="002E57EF"/>
    <w:rsid w:val="002E585A"/>
    <w:rsid w:val="002E5996"/>
    <w:rsid w:val="002E69D6"/>
    <w:rsid w:val="002E69F3"/>
    <w:rsid w:val="002E6B97"/>
    <w:rsid w:val="002E6B9A"/>
    <w:rsid w:val="002E6BCF"/>
    <w:rsid w:val="002E6E33"/>
    <w:rsid w:val="002E70CD"/>
    <w:rsid w:val="002E71E9"/>
    <w:rsid w:val="002E7228"/>
    <w:rsid w:val="002E726E"/>
    <w:rsid w:val="002E75D0"/>
    <w:rsid w:val="002E75F3"/>
    <w:rsid w:val="002E7CF7"/>
    <w:rsid w:val="002F011F"/>
    <w:rsid w:val="002F014C"/>
    <w:rsid w:val="002F0163"/>
    <w:rsid w:val="002F046B"/>
    <w:rsid w:val="002F057C"/>
    <w:rsid w:val="002F0580"/>
    <w:rsid w:val="002F05D1"/>
    <w:rsid w:val="002F087D"/>
    <w:rsid w:val="002F08EB"/>
    <w:rsid w:val="002F093C"/>
    <w:rsid w:val="002F0959"/>
    <w:rsid w:val="002F0DA0"/>
    <w:rsid w:val="002F0DD1"/>
    <w:rsid w:val="002F0F8E"/>
    <w:rsid w:val="002F1016"/>
    <w:rsid w:val="002F10DD"/>
    <w:rsid w:val="002F10F0"/>
    <w:rsid w:val="002F1271"/>
    <w:rsid w:val="002F1481"/>
    <w:rsid w:val="002F14A5"/>
    <w:rsid w:val="002F14D1"/>
    <w:rsid w:val="002F155E"/>
    <w:rsid w:val="002F1622"/>
    <w:rsid w:val="002F17B8"/>
    <w:rsid w:val="002F19E6"/>
    <w:rsid w:val="002F1A1F"/>
    <w:rsid w:val="002F1ADD"/>
    <w:rsid w:val="002F1C98"/>
    <w:rsid w:val="002F20B3"/>
    <w:rsid w:val="002F2146"/>
    <w:rsid w:val="002F21E6"/>
    <w:rsid w:val="002F2223"/>
    <w:rsid w:val="002F2308"/>
    <w:rsid w:val="002F23E1"/>
    <w:rsid w:val="002F23F7"/>
    <w:rsid w:val="002F2490"/>
    <w:rsid w:val="002F254E"/>
    <w:rsid w:val="002F26E2"/>
    <w:rsid w:val="002F283C"/>
    <w:rsid w:val="002F2A50"/>
    <w:rsid w:val="002F2C09"/>
    <w:rsid w:val="002F30AD"/>
    <w:rsid w:val="002F31D9"/>
    <w:rsid w:val="002F322C"/>
    <w:rsid w:val="002F37EB"/>
    <w:rsid w:val="002F3832"/>
    <w:rsid w:val="002F3A22"/>
    <w:rsid w:val="002F3A40"/>
    <w:rsid w:val="002F3AD7"/>
    <w:rsid w:val="002F3B04"/>
    <w:rsid w:val="002F3B3E"/>
    <w:rsid w:val="002F3BC9"/>
    <w:rsid w:val="002F3C0E"/>
    <w:rsid w:val="002F3D6A"/>
    <w:rsid w:val="002F40B0"/>
    <w:rsid w:val="002F4194"/>
    <w:rsid w:val="002F4483"/>
    <w:rsid w:val="002F457F"/>
    <w:rsid w:val="002F4622"/>
    <w:rsid w:val="002F4702"/>
    <w:rsid w:val="002F48CE"/>
    <w:rsid w:val="002F4942"/>
    <w:rsid w:val="002F4B17"/>
    <w:rsid w:val="002F4C51"/>
    <w:rsid w:val="002F4CAD"/>
    <w:rsid w:val="002F4D63"/>
    <w:rsid w:val="002F4D9A"/>
    <w:rsid w:val="002F5052"/>
    <w:rsid w:val="002F5149"/>
    <w:rsid w:val="002F522A"/>
    <w:rsid w:val="002F524E"/>
    <w:rsid w:val="002F530C"/>
    <w:rsid w:val="002F53C3"/>
    <w:rsid w:val="002F5482"/>
    <w:rsid w:val="002F5560"/>
    <w:rsid w:val="002F55CE"/>
    <w:rsid w:val="002F5652"/>
    <w:rsid w:val="002F57F4"/>
    <w:rsid w:val="002F594F"/>
    <w:rsid w:val="002F59F0"/>
    <w:rsid w:val="002F5C3C"/>
    <w:rsid w:val="002F5D19"/>
    <w:rsid w:val="002F5F6C"/>
    <w:rsid w:val="002F61BA"/>
    <w:rsid w:val="002F6214"/>
    <w:rsid w:val="002F62F5"/>
    <w:rsid w:val="002F6458"/>
    <w:rsid w:val="002F6492"/>
    <w:rsid w:val="002F64BF"/>
    <w:rsid w:val="002F65E3"/>
    <w:rsid w:val="002F65E6"/>
    <w:rsid w:val="002F6614"/>
    <w:rsid w:val="002F66E4"/>
    <w:rsid w:val="002F6801"/>
    <w:rsid w:val="002F680C"/>
    <w:rsid w:val="002F69D0"/>
    <w:rsid w:val="002F6BB7"/>
    <w:rsid w:val="002F6CF9"/>
    <w:rsid w:val="002F6EF0"/>
    <w:rsid w:val="002F7070"/>
    <w:rsid w:val="002F7153"/>
    <w:rsid w:val="002F795C"/>
    <w:rsid w:val="002F7B13"/>
    <w:rsid w:val="002F7D65"/>
    <w:rsid w:val="002F7E4A"/>
    <w:rsid w:val="002F7F1A"/>
    <w:rsid w:val="002F7FA3"/>
    <w:rsid w:val="003000C3"/>
    <w:rsid w:val="00300103"/>
    <w:rsid w:val="00300330"/>
    <w:rsid w:val="00300351"/>
    <w:rsid w:val="0030039B"/>
    <w:rsid w:val="0030043A"/>
    <w:rsid w:val="00300598"/>
    <w:rsid w:val="00300604"/>
    <w:rsid w:val="003006B4"/>
    <w:rsid w:val="00300751"/>
    <w:rsid w:val="00300A5E"/>
    <w:rsid w:val="00300D81"/>
    <w:rsid w:val="00300F7E"/>
    <w:rsid w:val="0030117F"/>
    <w:rsid w:val="00301377"/>
    <w:rsid w:val="0030152A"/>
    <w:rsid w:val="0030168C"/>
    <w:rsid w:val="0030192D"/>
    <w:rsid w:val="00301931"/>
    <w:rsid w:val="00301AF4"/>
    <w:rsid w:val="00301BD3"/>
    <w:rsid w:val="00301DD0"/>
    <w:rsid w:val="00302115"/>
    <w:rsid w:val="00302337"/>
    <w:rsid w:val="00302538"/>
    <w:rsid w:val="0030264D"/>
    <w:rsid w:val="00302667"/>
    <w:rsid w:val="003029D8"/>
    <w:rsid w:val="00302D11"/>
    <w:rsid w:val="00302E67"/>
    <w:rsid w:val="00303169"/>
    <w:rsid w:val="00303325"/>
    <w:rsid w:val="003033F3"/>
    <w:rsid w:val="00303441"/>
    <w:rsid w:val="003037A2"/>
    <w:rsid w:val="0030380E"/>
    <w:rsid w:val="003038FB"/>
    <w:rsid w:val="00303992"/>
    <w:rsid w:val="00303E25"/>
    <w:rsid w:val="00304054"/>
    <w:rsid w:val="003041FD"/>
    <w:rsid w:val="003042E4"/>
    <w:rsid w:val="00304384"/>
    <w:rsid w:val="003045BE"/>
    <w:rsid w:val="00304664"/>
    <w:rsid w:val="00304A14"/>
    <w:rsid w:val="00304A74"/>
    <w:rsid w:val="00304AA9"/>
    <w:rsid w:val="00304C5B"/>
    <w:rsid w:val="00304C7F"/>
    <w:rsid w:val="00304C8D"/>
    <w:rsid w:val="00304E78"/>
    <w:rsid w:val="00304EC0"/>
    <w:rsid w:val="0030511C"/>
    <w:rsid w:val="0030517C"/>
    <w:rsid w:val="003055FA"/>
    <w:rsid w:val="003055FF"/>
    <w:rsid w:val="00305997"/>
    <w:rsid w:val="003059F7"/>
    <w:rsid w:val="00305A89"/>
    <w:rsid w:val="00305DBE"/>
    <w:rsid w:val="00305E0C"/>
    <w:rsid w:val="00305EBE"/>
    <w:rsid w:val="003060F2"/>
    <w:rsid w:val="003064B7"/>
    <w:rsid w:val="0030651F"/>
    <w:rsid w:val="003066EA"/>
    <w:rsid w:val="00306718"/>
    <w:rsid w:val="00306754"/>
    <w:rsid w:val="00306A33"/>
    <w:rsid w:val="00306AC8"/>
    <w:rsid w:val="00306BE1"/>
    <w:rsid w:val="00306D4A"/>
    <w:rsid w:val="00306FD2"/>
    <w:rsid w:val="003071D1"/>
    <w:rsid w:val="0030720D"/>
    <w:rsid w:val="003074B9"/>
    <w:rsid w:val="003078AE"/>
    <w:rsid w:val="003078EB"/>
    <w:rsid w:val="00307C23"/>
    <w:rsid w:val="00307D1D"/>
    <w:rsid w:val="00307DDE"/>
    <w:rsid w:val="00310164"/>
    <w:rsid w:val="003101F0"/>
    <w:rsid w:val="00310244"/>
    <w:rsid w:val="00310383"/>
    <w:rsid w:val="003103D1"/>
    <w:rsid w:val="003104DA"/>
    <w:rsid w:val="0031053A"/>
    <w:rsid w:val="00310778"/>
    <w:rsid w:val="00310875"/>
    <w:rsid w:val="00310BEF"/>
    <w:rsid w:val="00310C08"/>
    <w:rsid w:val="00310D1F"/>
    <w:rsid w:val="00310EEF"/>
    <w:rsid w:val="00311028"/>
    <w:rsid w:val="0031105C"/>
    <w:rsid w:val="003112EC"/>
    <w:rsid w:val="00311363"/>
    <w:rsid w:val="00311366"/>
    <w:rsid w:val="003113CF"/>
    <w:rsid w:val="003118A2"/>
    <w:rsid w:val="003118BD"/>
    <w:rsid w:val="003119C3"/>
    <w:rsid w:val="00311AED"/>
    <w:rsid w:val="00311FD3"/>
    <w:rsid w:val="0031214F"/>
    <w:rsid w:val="00312366"/>
    <w:rsid w:val="00312451"/>
    <w:rsid w:val="003124F2"/>
    <w:rsid w:val="003125BF"/>
    <w:rsid w:val="00312638"/>
    <w:rsid w:val="003126A1"/>
    <w:rsid w:val="003127E1"/>
    <w:rsid w:val="00312C16"/>
    <w:rsid w:val="00312D18"/>
    <w:rsid w:val="00312D69"/>
    <w:rsid w:val="00312E04"/>
    <w:rsid w:val="0031334C"/>
    <w:rsid w:val="0031356D"/>
    <w:rsid w:val="003135BE"/>
    <w:rsid w:val="0031370C"/>
    <w:rsid w:val="00314274"/>
    <w:rsid w:val="0031433E"/>
    <w:rsid w:val="0031447E"/>
    <w:rsid w:val="003146A6"/>
    <w:rsid w:val="003147BA"/>
    <w:rsid w:val="00314A13"/>
    <w:rsid w:val="00314EFE"/>
    <w:rsid w:val="0031514F"/>
    <w:rsid w:val="003151EF"/>
    <w:rsid w:val="003152F3"/>
    <w:rsid w:val="003153BB"/>
    <w:rsid w:val="00315424"/>
    <w:rsid w:val="00315435"/>
    <w:rsid w:val="00315960"/>
    <w:rsid w:val="00315F18"/>
    <w:rsid w:val="00315F58"/>
    <w:rsid w:val="0031635C"/>
    <w:rsid w:val="00316444"/>
    <w:rsid w:val="00316512"/>
    <w:rsid w:val="00316647"/>
    <w:rsid w:val="0031666C"/>
    <w:rsid w:val="003169F7"/>
    <w:rsid w:val="00316A8D"/>
    <w:rsid w:val="00316CC4"/>
    <w:rsid w:val="00316F06"/>
    <w:rsid w:val="003170C9"/>
    <w:rsid w:val="0031722D"/>
    <w:rsid w:val="0031755C"/>
    <w:rsid w:val="0031783A"/>
    <w:rsid w:val="00317947"/>
    <w:rsid w:val="003179BE"/>
    <w:rsid w:val="00317C2A"/>
    <w:rsid w:val="00317EF0"/>
    <w:rsid w:val="003203CE"/>
    <w:rsid w:val="0032077E"/>
    <w:rsid w:val="00320A0D"/>
    <w:rsid w:val="00320A0E"/>
    <w:rsid w:val="00320AAC"/>
    <w:rsid w:val="00320B5E"/>
    <w:rsid w:val="00320BAB"/>
    <w:rsid w:val="00320F16"/>
    <w:rsid w:val="00321061"/>
    <w:rsid w:val="0032118B"/>
    <w:rsid w:val="0032185B"/>
    <w:rsid w:val="00321948"/>
    <w:rsid w:val="00321961"/>
    <w:rsid w:val="00321D30"/>
    <w:rsid w:val="00321DDD"/>
    <w:rsid w:val="00322013"/>
    <w:rsid w:val="0032201F"/>
    <w:rsid w:val="00322100"/>
    <w:rsid w:val="003223E1"/>
    <w:rsid w:val="00322802"/>
    <w:rsid w:val="0032313E"/>
    <w:rsid w:val="003231C6"/>
    <w:rsid w:val="0032351D"/>
    <w:rsid w:val="0032362E"/>
    <w:rsid w:val="00323646"/>
    <w:rsid w:val="00323782"/>
    <w:rsid w:val="003238FE"/>
    <w:rsid w:val="00323AAD"/>
    <w:rsid w:val="00323BF7"/>
    <w:rsid w:val="00323C7F"/>
    <w:rsid w:val="0032401E"/>
    <w:rsid w:val="0032412C"/>
    <w:rsid w:val="00324370"/>
    <w:rsid w:val="003243D8"/>
    <w:rsid w:val="003243FC"/>
    <w:rsid w:val="00324694"/>
    <w:rsid w:val="003246B0"/>
    <w:rsid w:val="0032482C"/>
    <w:rsid w:val="0032490F"/>
    <w:rsid w:val="003249F9"/>
    <w:rsid w:val="00324BAD"/>
    <w:rsid w:val="00324BFE"/>
    <w:rsid w:val="00324C6F"/>
    <w:rsid w:val="00324D81"/>
    <w:rsid w:val="00324EF4"/>
    <w:rsid w:val="00325279"/>
    <w:rsid w:val="003255E8"/>
    <w:rsid w:val="0032567D"/>
    <w:rsid w:val="003256C6"/>
    <w:rsid w:val="00325973"/>
    <w:rsid w:val="00325D83"/>
    <w:rsid w:val="00325EE7"/>
    <w:rsid w:val="003263F5"/>
    <w:rsid w:val="003264F8"/>
    <w:rsid w:val="003265A7"/>
    <w:rsid w:val="003265BB"/>
    <w:rsid w:val="0032689F"/>
    <w:rsid w:val="003268EE"/>
    <w:rsid w:val="00326A41"/>
    <w:rsid w:val="00326A7D"/>
    <w:rsid w:val="00326AB1"/>
    <w:rsid w:val="00326ACC"/>
    <w:rsid w:val="00326BA4"/>
    <w:rsid w:val="00326C1C"/>
    <w:rsid w:val="0032705F"/>
    <w:rsid w:val="00327143"/>
    <w:rsid w:val="00327268"/>
    <w:rsid w:val="0032731A"/>
    <w:rsid w:val="00327324"/>
    <w:rsid w:val="003274A2"/>
    <w:rsid w:val="00327602"/>
    <w:rsid w:val="0032763B"/>
    <w:rsid w:val="00327649"/>
    <w:rsid w:val="003277D1"/>
    <w:rsid w:val="00330039"/>
    <w:rsid w:val="0033029E"/>
    <w:rsid w:val="00330583"/>
    <w:rsid w:val="003305C8"/>
    <w:rsid w:val="003305D0"/>
    <w:rsid w:val="0033074D"/>
    <w:rsid w:val="00330874"/>
    <w:rsid w:val="00330D66"/>
    <w:rsid w:val="00330EDD"/>
    <w:rsid w:val="00330F92"/>
    <w:rsid w:val="00331261"/>
    <w:rsid w:val="003312C1"/>
    <w:rsid w:val="0033140F"/>
    <w:rsid w:val="00331559"/>
    <w:rsid w:val="00331579"/>
    <w:rsid w:val="00331700"/>
    <w:rsid w:val="003318CA"/>
    <w:rsid w:val="003319FD"/>
    <w:rsid w:val="00331C04"/>
    <w:rsid w:val="00331C0D"/>
    <w:rsid w:val="003320AB"/>
    <w:rsid w:val="00332123"/>
    <w:rsid w:val="0033245F"/>
    <w:rsid w:val="00332462"/>
    <w:rsid w:val="00332463"/>
    <w:rsid w:val="00332B01"/>
    <w:rsid w:val="00332CE5"/>
    <w:rsid w:val="00332EA5"/>
    <w:rsid w:val="00332EF1"/>
    <w:rsid w:val="00332FCB"/>
    <w:rsid w:val="00333031"/>
    <w:rsid w:val="00333138"/>
    <w:rsid w:val="003334C9"/>
    <w:rsid w:val="00333570"/>
    <w:rsid w:val="00333592"/>
    <w:rsid w:val="00333756"/>
    <w:rsid w:val="00333853"/>
    <w:rsid w:val="00333940"/>
    <w:rsid w:val="003339B8"/>
    <w:rsid w:val="00333A75"/>
    <w:rsid w:val="00333CAF"/>
    <w:rsid w:val="00333CB0"/>
    <w:rsid w:val="00333D19"/>
    <w:rsid w:val="00333F29"/>
    <w:rsid w:val="003340EE"/>
    <w:rsid w:val="00334562"/>
    <w:rsid w:val="00334574"/>
    <w:rsid w:val="00334643"/>
    <w:rsid w:val="003347E1"/>
    <w:rsid w:val="0033491C"/>
    <w:rsid w:val="00334965"/>
    <w:rsid w:val="003349F1"/>
    <w:rsid w:val="00334DAC"/>
    <w:rsid w:val="00334DD9"/>
    <w:rsid w:val="00334E82"/>
    <w:rsid w:val="003351F2"/>
    <w:rsid w:val="00335329"/>
    <w:rsid w:val="00335687"/>
    <w:rsid w:val="003358F9"/>
    <w:rsid w:val="00335D00"/>
    <w:rsid w:val="00335D72"/>
    <w:rsid w:val="00335D74"/>
    <w:rsid w:val="00335E6B"/>
    <w:rsid w:val="00335FA3"/>
    <w:rsid w:val="0033623E"/>
    <w:rsid w:val="00336288"/>
    <w:rsid w:val="00336345"/>
    <w:rsid w:val="0033637C"/>
    <w:rsid w:val="003363C9"/>
    <w:rsid w:val="0033656B"/>
    <w:rsid w:val="00336727"/>
    <w:rsid w:val="003367C1"/>
    <w:rsid w:val="00336863"/>
    <w:rsid w:val="00336B83"/>
    <w:rsid w:val="00337089"/>
    <w:rsid w:val="00337460"/>
    <w:rsid w:val="00337550"/>
    <w:rsid w:val="003377D5"/>
    <w:rsid w:val="003378B3"/>
    <w:rsid w:val="003378EF"/>
    <w:rsid w:val="00337C89"/>
    <w:rsid w:val="00337D79"/>
    <w:rsid w:val="00337DA0"/>
    <w:rsid w:val="003402CF"/>
    <w:rsid w:val="00340463"/>
    <w:rsid w:val="003407DD"/>
    <w:rsid w:val="00340AF5"/>
    <w:rsid w:val="00340BD5"/>
    <w:rsid w:val="00340DB2"/>
    <w:rsid w:val="0034107A"/>
    <w:rsid w:val="0034120F"/>
    <w:rsid w:val="00341382"/>
    <w:rsid w:val="00341638"/>
    <w:rsid w:val="00341CC1"/>
    <w:rsid w:val="00341F09"/>
    <w:rsid w:val="00341FCB"/>
    <w:rsid w:val="0034201C"/>
    <w:rsid w:val="003422EF"/>
    <w:rsid w:val="003424E1"/>
    <w:rsid w:val="003426C8"/>
    <w:rsid w:val="0034281B"/>
    <w:rsid w:val="00342881"/>
    <w:rsid w:val="00342BFE"/>
    <w:rsid w:val="0034301B"/>
    <w:rsid w:val="0034336B"/>
    <w:rsid w:val="003433FD"/>
    <w:rsid w:val="00343574"/>
    <w:rsid w:val="00343C49"/>
    <w:rsid w:val="003442A8"/>
    <w:rsid w:val="0034433E"/>
    <w:rsid w:val="0034498A"/>
    <w:rsid w:val="003449FB"/>
    <w:rsid w:val="00344AE7"/>
    <w:rsid w:val="00344BE4"/>
    <w:rsid w:val="00344BE9"/>
    <w:rsid w:val="00344C4D"/>
    <w:rsid w:val="00344D93"/>
    <w:rsid w:val="00344E43"/>
    <w:rsid w:val="00344E9E"/>
    <w:rsid w:val="00344F01"/>
    <w:rsid w:val="00344F4F"/>
    <w:rsid w:val="003456DD"/>
    <w:rsid w:val="00345C19"/>
    <w:rsid w:val="00345ED9"/>
    <w:rsid w:val="003460B4"/>
    <w:rsid w:val="00346B1F"/>
    <w:rsid w:val="00346E0A"/>
    <w:rsid w:val="00347452"/>
    <w:rsid w:val="00347460"/>
    <w:rsid w:val="00347544"/>
    <w:rsid w:val="0034760E"/>
    <w:rsid w:val="00347752"/>
    <w:rsid w:val="00347C10"/>
    <w:rsid w:val="00347C8A"/>
    <w:rsid w:val="00347C8D"/>
    <w:rsid w:val="00347FA9"/>
    <w:rsid w:val="00347FD5"/>
    <w:rsid w:val="00350196"/>
    <w:rsid w:val="003501CA"/>
    <w:rsid w:val="00350524"/>
    <w:rsid w:val="0035080E"/>
    <w:rsid w:val="003508C5"/>
    <w:rsid w:val="00350B12"/>
    <w:rsid w:val="00350C47"/>
    <w:rsid w:val="00350C9A"/>
    <w:rsid w:val="00350E2E"/>
    <w:rsid w:val="00350EC3"/>
    <w:rsid w:val="00351058"/>
    <w:rsid w:val="00351328"/>
    <w:rsid w:val="0035167F"/>
    <w:rsid w:val="00351CCC"/>
    <w:rsid w:val="00351F00"/>
    <w:rsid w:val="003522F5"/>
    <w:rsid w:val="003522F9"/>
    <w:rsid w:val="00352400"/>
    <w:rsid w:val="00352905"/>
    <w:rsid w:val="003529B6"/>
    <w:rsid w:val="00352CE4"/>
    <w:rsid w:val="00352D49"/>
    <w:rsid w:val="00352D68"/>
    <w:rsid w:val="00352DBE"/>
    <w:rsid w:val="00352F7A"/>
    <w:rsid w:val="00353199"/>
    <w:rsid w:val="00353299"/>
    <w:rsid w:val="0035353F"/>
    <w:rsid w:val="003538BC"/>
    <w:rsid w:val="003539B2"/>
    <w:rsid w:val="003539DC"/>
    <w:rsid w:val="00353AA7"/>
    <w:rsid w:val="00353C91"/>
    <w:rsid w:val="00353DC9"/>
    <w:rsid w:val="0035406F"/>
    <w:rsid w:val="003542CC"/>
    <w:rsid w:val="003545BA"/>
    <w:rsid w:val="00354680"/>
    <w:rsid w:val="003547A3"/>
    <w:rsid w:val="003549D4"/>
    <w:rsid w:val="00354A43"/>
    <w:rsid w:val="00354C41"/>
    <w:rsid w:val="00354C91"/>
    <w:rsid w:val="00354DFE"/>
    <w:rsid w:val="00354F04"/>
    <w:rsid w:val="00354F62"/>
    <w:rsid w:val="00355158"/>
    <w:rsid w:val="00355348"/>
    <w:rsid w:val="0035534B"/>
    <w:rsid w:val="0035545E"/>
    <w:rsid w:val="00355877"/>
    <w:rsid w:val="00355905"/>
    <w:rsid w:val="00355A21"/>
    <w:rsid w:val="00355C29"/>
    <w:rsid w:val="00355C7A"/>
    <w:rsid w:val="00355D10"/>
    <w:rsid w:val="00355D5A"/>
    <w:rsid w:val="0035615E"/>
    <w:rsid w:val="00356333"/>
    <w:rsid w:val="00356409"/>
    <w:rsid w:val="003564F6"/>
    <w:rsid w:val="0035652E"/>
    <w:rsid w:val="003566D5"/>
    <w:rsid w:val="00356814"/>
    <w:rsid w:val="00356B74"/>
    <w:rsid w:val="00356F83"/>
    <w:rsid w:val="0035727A"/>
    <w:rsid w:val="00357431"/>
    <w:rsid w:val="0035755C"/>
    <w:rsid w:val="003577C3"/>
    <w:rsid w:val="00357862"/>
    <w:rsid w:val="00357887"/>
    <w:rsid w:val="00357A6F"/>
    <w:rsid w:val="00357BCF"/>
    <w:rsid w:val="00357CCC"/>
    <w:rsid w:val="00357F61"/>
    <w:rsid w:val="00360121"/>
    <w:rsid w:val="0036012C"/>
    <w:rsid w:val="003602E1"/>
    <w:rsid w:val="00360867"/>
    <w:rsid w:val="0036089C"/>
    <w:rsid w:val="00360C59"/>
    <w:rsid w:val="00360CE2"/>
    <w:rsid w:val="00360CFA"/>
    <w:rsid w:val="00360D23"/>
    <w:rsid w:val="00360D4D"/>
    <w:rsid w:val="00360DFB"/>
    <w:rsid w:val="003611E0"/>
    <w:rsid w:val="00361534"/>
    <w:rsid w:val="0036154E"/>
    <w:rsid w:val="0036171E"/>
    <w:rsid w:val="0036178B"/>
    <w:rsid w:val="00361852"/>
    <w:rsid w:val="00361A4A"/>
    <w:rsid w:val="00361B67"/>
    <w:rsid w:val="00361BA9"/>
    <w:rsid w:val="00361BDD"/>
    <w:rsid w:val="00361CED"/>
    <w:rsid w:val="0036208D"/>
    <w:rsid w:val="00362110"/>
    <w:rsid w:val="00362328"/>
    <w:rsid w:val="0036272C"/>
    <w:rsid w:val="003627A2"/>
    <w:rsid w:val="00362A59"/>
    <w:rsid w:val="00362C3C"/>
    <w:rsid w:val="00362CE5"/>
    <w:rsid w:val="00362D2A"/>
    <w:rsid w:val="00362D81"/>
    <w:rsid w:val="00362E9C"/>
    <w:rsid w:val="00362FFE"/>
    <w:rsid w:val="00363209"/>
    <w:rsid w:val="0036328B"/>
    <w:rsid w:val="003634CC"/>
    <w:rsid w:val="0036369B"/>
    <w:rsid w:val="003637BF"/>
    <w:rsid w:val="00363866"/>
    <w:rsid w:val="003638B2"/>
    <w:rsid w:val="00363905"/>
    <w:rsid w:val="00363D1A"/>
    <w:rsid w:val="00363F8D"/>
    <w:rsid w:val="003644B7"/>
    <w:rsid w:val="003645A4"/>
    <w:rsid w:val="003645D2"/>
    <w:rsid w:val="00364612"/>
    <w:rsid w:val="003646A6"/>
    <w:rsid w:val="00364816"/>
    <w:rsid w:val="0036486D"/>
    <w:rsid w:val="00364AFA"/>
    <w:rsid w:val="00364C44"/>
    <w:rsid w:val="00364EF5"/>
    <w:rsid w:val="00365173"/>
    <w:rsid w:val="003654FD"/>
    <w:rsid w:val="00365607"/>
    <w:rsid w:val="003656C3"/>
    <w:rsid w:val="0036579F"/>
    <w:rsid w:val="00365B1A"/>
    <w:rsid w:val="00365CAA"/>
    <w:rsid w:val="00365D2A"/>
    <w:rsid w:val="00365EF8"/>
    <w:rsid w:val="0036625A"/>
    <w:rsid w:val="003663C9"/>
    <w:rsid w:val="00366488"/>
    <w:rsid w:val="00366508"/>
    <w:rsid w:val="00366610"/>
    <w:rsid w:val="003669A2"/>
    <w:rsid w:val="00366E8A"/>
    <w:rsid w:val="003670B2"/>
    <w:rsid w:val="0036714E"/>
    <w:rsid w:val="003671F8"/>
    <w:rsid w:val="003671FA"/>
    <w:rsid w:val="0036788A"/>
    <w:rsid w:val="00367C95"/>
    <w:rsid w:val="00367EE1"/>
    <w:rsid w:val="0037021E"/>
    <w:rsid w:val="00370326"/>
    <w:rsid w:val="003705A6"/>
    <w:rsid w:val="003705DE"/>
    <w:rsid w:val="00370752"/>
    <w:rsid w:val="0037084B"/>
    <w:rsid w:val="00370C4D"/>
    <w:rsid w:val="00370EC8"/>
    <w:rsid w:val="00370FC3"/>
    <w:rsid w:val="003711A5"/>
    <w:rsid w:val="003714D3"/>
    <w:rsid w:val="003715AF"/>
    <w:rsid w:val="00371634"/>
    <w:rsid w:val="0037177C"/>
    <w:rsid w:val="003718CF"/>
    <w:rsid w:val="00371F13"/>
    <w:rsid w:val="00371F4E"/>
    <w:rsid w:val="00371F94"/>
    <w:rsid w:val="003721F9"/>
    <w:rsid w:val="003724BD"/>
    <w:rsid w:val="003724FB"/>
    <w:rsid w:val="0037280F"/>
    <w:rsid w:val="00372838"/>
    <w:rsid w:val="00372C08"/>
    <w:rsid w:val="00372D28"/>
    <w:rsid w:val="00372F0B"/>
    <w:rsid w:val="00373902"/>
    <w:rsid w:val="00373963"/>
    <w:rsid w:val="00373CC9"/>
    <w:rsid w:val="00374231"/>
    <w:rsid w:val="003743B9"/>
    <w:rsid w:val="0037441F"/>
    <w:rsid w:val="00374475"/>
    <w:rsid w:val="003748CB"/>
    <w:rsid w:val="00374983"/>
    <w:rsid w:val="00374C7E"/>
    <w:rsid w:val="00375040"/>
    <w:rsid w:val="00375588"/>
    <w:rsid w:val="00375731"/>
    <w:rsid w:val="00375796"/>
    <w:rsid w:val="00376223"/>
    <w:rsid w:val="00376486"/>
    <w:rsid w:val="003764B0"/>
    <w:rsid w:val="00376789"/>
    <w:rsid w:val="00376A94"/>
    <w:rsid w:val="00376AEF"/>
    <w:rsid w:val="00376C1C"/>
    <w:rsid w:val="0037701F"/>
    <w:rsid w:val="0037750A"/>
    <w:rsid w:val="003779B8"/>
    <w:rsid w:val="00377A88"/>
    <w:rsid w:val="00377ADE"/>
    <w:rsid w:val="00377B78"/>
    <w:rsid w:val="00377DFC"/>
    <w:rsid w:val="00380049"/>
    <w:rsid w:val="00380380"/>
    <w:rsid w:val="003804E1"/>
    <w:rsid w:val="003806D8"/>
    <w:rsid w:val="003806F1"/>
    <w:rsid w:val="0038075D"/>
    <w:rsid w:val="0038075E"/>
    <w:rsid w:val="00380B8B"/>
    <w:rsid w:val="00380BCB"/>
    <w:rsid w:val="00380BE4"/>
    <w:rsid w:val="00380C7D"/>
    <w:rsid w:val="00380C7E"/>
    <w:rsid w:val="00380FFD"/>
    <w:rsid w:val="003811EB"/>
    <w:rsid w:val="00381228"/>
    <w:rsid w:val="0038149E"/>
    <w:rsid w:val="003816D4"/>
    <w:rsid w:val="003818A9"/>
    <w:rsid w:val="00381C95"/>
    <w:rsid w:val="003820EA"/>
    <w:rsid w:val="0038210C"/>
    <w:rsid w:val="0038216E"/>
    <w:rsid w:val="003821C8"/>
    <w:rsid w:val="003821CB"/>
    <w:rsid w:val="003822D6"/>
    <w:rsid w:val="00382448"/>
    <w:rsid w:val="0038246C"/>
    <w:rsid w:val="00382499"/>
    <w:rsid w:val="00382574"/>
    <w:rsid w:val="003825E0"/>
    <w:rsid w:val="00382810"/>
    <w:rsid w:val="00382AD9"/>
    <w:rsid w:val="00382CD4"/>
    <w:rsid w:val="00382FBD"/>
    <w:rsid w:val="0038307D"/>
    <w:rsid w:val="00383096"/>
    <w:rsid w:val="00383110"/>
    <w:rsid w:val="0038318D"/>
    <w:rsid w:val="00383400"/>
    <w:rsid w:val="00383568"/>
    <w:rsid w:val="00383786"/>
    <w:rsid w:val="00383971"/>
    <w:rsid w:val="00383980"/>
    <w:rsid w:val="003839BF"/>
    <w:rsid w:val="00383B4A"/>
    <w:rsid w:val="00383E81"/>
    <w:rsid w:val="00384215"/>
    <w:rsid w:val="00384395"/>
    <w:rsid w:val="00384618"/>
    <w:rsid w:val="003847C9"/>
    <w:rsid w:val="00384977"/>
    <w:rsid w:val="00384B14"/>
    <w:rsid w:val="00384F86"/>
    <w:rsid w:val="0038511A"/>
    <w:rsid w:val="003851AE"/>
    <w:rsid w:val="00385214"/>
    <w:rsid w:val="00385257"/>
    <w:rsid w:val="00385289"/>
    <w:rsid w:val="003857E6"/>
    <w:rsid w:val="0038599D"/>
    <w:rsid w:val="00385CDF"/>
    <w:rsid w:val="00385CFE"/>
    <w:rsid w:val="00385DFB"/>
    <w:rsid w:val="00385E5E"/>
    <w:rsid w:val="00385FE4"/>
    <w:rsid w:val="00386065"/>
    <w:rsid w:val="003860C5"/>
    <w:rsid w:val="0038632E"/>
    <w:rsid w:val="003863EC"/>
    <w:rsid w:val="0038643D"/>
    <w:rsid w:val="003865AC"/>
    <w:rsid w:val="00386880"/>
    <w:rsid w:val="0038696E"/>
    <w:rsid w:val="00386AD2"/>
    <w:rsid w:val="00386C3E"/>
    <w:rsid w:val="00386F6F"/>
    <w:rsid w:val="003871C8"/>
    <w:rsid w:val="003872F3"/>
    <w:rsid w:val="003874E7"/>
    <w:rsid w:val="0038751B"/>
    <w:rsid w:val="003875A1"/>
    <w:rsid w:val="00387937"/>
    <w:rsid w:val="0038797E"/>
    <w:rsid w:val="003879D8"/>
    <w:rsid w:val="00390042"/>
    <w:rsid w:val="00390242"/>
    <w:rsid w:val="003903F8"/>
    <w:rsid w:val="00390A03"/>
    <w:rsid w:val="00390ACC"/>
    <w:rsid w:val="00390AF2"/>
    <w:rsid w:val="00390B1A"/>
    <w:rsid w:val="00390BB5"/>
    <w:rsid w:val="00390DE2"/>
    <w:rsid w:val="00390EC4"/>
    <w:rsid w:val="00390EE8"/>
    <w:rsid w:val="003910E7"/>
    <w:rsid w:val="00391456"/>
    <w:rsid w:val="003914FA"/>
    <w:rsid w:val="00391647"/>
    <w:rsid w:val="00391944"/>
    <w:rsid w:val="00391963"/>
    <w:rsid w:val="003919AD"/>
    <w:rsid w:val="00391B5A"/>
    <w:rsid w:val="00391C44"/>
    <w:rsid w:val="00391CD6"/>
    <w:rsid w:val="00391D48"/>
    <w:rsid w:val="00391E42"/>
    <w:rsid w:val="003921AD"/>
    <w:rsid w:val="00392277"/>
    <w:rsid w:val="003923FF"/>
    <w:rsid w:val="003924EF"/>
    <w:rsid w:val="0039273D"/>
    <w:rsid w:val="00392838"/>
    <w:rsid w:val="0039285C"/>
    <w:rsid w:val="00392931"/>
    <w:rsid w:val="00392B24"/>
    <w:rsid w:val="00392F28"/>
    <w:rsid w:val="00393043"/>
    <w:rsid w:val="003932AF"/>
    <w:rsid w:val="00393449"/>
    <w:rsid w:val="0039350F"/>
    <w:rsid w:val="003935C9"/>
    <w:rsid w:val="003935CB"/>
    <w:rsid w:val="003937CB"/>
    <w:rsid w:val="00393837"/>
    <w:rsid w:val="003938AA"/>
    <w:rsid w:val="00393CAB"/>
    <w:rsid w:val="00393CC2"/>
    <w:rsid w:val="00393CE5"/>
    <w:rsid w:val="00393D19"/>
    <w:rsid w:val="00393D63"/>
    <w:rsid w:val="00393DC4"/>
    <w:rsid w:val="00393EA2"/>
    <w:rsid w:val="00394112"/>
    <w:rsid w:val="0039472F"/>
    <w:rsid w:val="003948F6"/>
    <w:rsid w:val="003949E6"/>
    <w:rsid w:val="00394A1B"/>
    <w:rsid w:val="00394A62"/>
    <w:rsid w:val="00394C38"/>
    <w:rsid w:val="0039508A"/>
    <w:rsid w:val="003950A3"/>
    <w:rsid w:val="00395439"/>
    <w:rsid w:val="003954ED"/>
    <w:rsid w:val="003956DF"/>
    <w:rsid w:val="00395803"/>
    <w:rsid w:val="00395854"/>
    <w:rsid w:val="003958A2"/>
    <w:rsid w:val="00395954"/>
    <w:rsid w:val="00395A09"/>
    <w:rsid w:val="00395B51"/>
    <w:rsid w:val="00395F9B"/>
    <w:rsid w:val="0039629A"/>
    <w:rsid w:val="003962F5"/>
    <w:rsid w:val="00396542"/>
    <w:rsid w:val="0039661F"/>
    <w:rsid w:val="003966C0"/>
    <w:rsid w:val="003966DD"/>
    <w:rsid w:val="00396888"/>
    <w:rsid w:val="003969BE"/>
    <w:rsid w:val="00396B2B"/>
    <w:rsid w:val="00396E9D"/>
    <w:rsid w:val="003975B0"/>
    <w:rsid w:val="003976E3"/>
    <w:rsid w:val="00397843"/>
    <w:rsid w:val="003979AA"/>
    <w:rsid w:val="00397ED7"/>
    <w:rsid w:val="00397F16"/>
    <w:rsid w:val="00397FC0"/>
    <w:rsid w:val="003A0443"/>
    <w:rsid w:val="003A0691"/>
    <w:rsid w:val="003A074E"/>
    <w:rsid w:val="003A083F"/>
    <w:rsid w:val="003A0A28"/>
    <w:rsid w:val="003A0B90"/>
    <w:rsid w:val="003A0C2C"/>
    <w:rsid w:val="003A0CDC"/>
    <w:rsid w:val="003A0EB5"/>
    <w:rsid w:val="003A10C5"/>
    <w:rsid w:val="003A13B4"/>
    <w:rsid w:val="003A13CB"/>
    <w:rsid w:val="003A1647"/>
    <w:rsid w:val="003A16C8"/>
    <w:rsid w:val="003A1756"/>
    <w:rsid w:val="003A1AF3"/>
    <w:rsid w:val="003A1D7C"/>
    <w:rsid w:val="003A1D7E"/>
    <w:rsid w:val="003A1EF4"/>
    <w:rsid w:val="003A20FD"/>
    <w:rsid w:val="003A2296"/>
    <w:rsid w:val="003A23B4"/>
    <w:rsid w:val="003A240A"/>
    <w:rsid w:val="003A25AA"/>
    <w:rsid w:val="003A2897"/>
    <w:rsid w:val="003A28EB"/>
    <w:rsid w:val="003A2932"/>
    <w:rsid w:val="003A2D81"/>
    <w:rsid w:val="003A2FD4"/>
    <w:rsid w:val="003A30C9"/>
    <w:rsid w:val="003A33D7"/>
    <w:rsid w:val="003A360D"/>
    <w:rsid w:val="003A368A"/>
    <w:rsid w:val="003A36E7"/>
    <w:rsid w:val="003A3717"/>
    <w:rsid w:val="003A38CB"/>
    <w:rsid w:val="003A38D8"/>
    <w:rsid w:val="003A391D"/>
    <w:rsid w:val="003A3BB4"/>
    <w:rsid w:val="003A3CD7"/>
    <w:rsid w:val="003A3E16"/>
    <w:rsid w:val="003A3F22"/>
    <w:rsid w:val="003A4031"/>
    <w:rsid w:val="003A40CB"/>
    <w:rsid w:val="003A44CE"/>
    <w:rsid w:val="003A45FD"/>
    <w:rsid w:val="003A4809"/>
    <w:rsid w:val="003A496C"/>
    <w:rsid w:val="003A49C8"/>
    <w:rsid w:val="003A4A5E"/>
    <w:rsid w:val="003A4C7F"/>
    <w:rsid w:val="003A4CBE"/>
    <w:rsid w:val="003A4E6C"/>
    <w:rsid w:val="003A503F"/>
    <w:rsid w:val="003A507B"/>
    <w:rsid w:val="003A5081"/>
    <w:rsid w:val="003A5091"/>
    <w:rsid w:val="003A5430"/>
    <w:rsid w:val="003A553E"/>
    <w:rsid w:val="003A5717"/>
    <w:rsid w:val="003A591C"/>
    <w:rsid w:val="003A5946"/>
    <w:rsid w:val="003A598B"/>
    <w:rsid w:val="003A59FB"/>
    <w:rsid w:val="003A5A96"/>
    <w:rsid w:val="003A5D13"/>
    <w:rsid w:val="003A5DA2"/>
    <w:rsid w:val="003A5DCA"/>
    <w:rsid w:val="003A5EBA"/>
    <w:rsid w:val="003A5F8D"/>
    <w:rsid w:val="003A633B"/>
    <w:rsid w:val="003A6359"/>
    <w:rsid w:val="003A63D4"/>
    <w:rsid w:val="003A6602"/>
    <w:rsid w:val="003A678F"/>
    <w:rsid w:val="003A6817"/>
    <w:rsid w:val="003A6868"/>
    <w:rsid w:val="003A6898"/>
    <w:rsid w:val="003A68C3"/>
    <w:rsid w:val="003A69C8"/>
    <w:rsid w:val="003A6AE2"/>
    <w:rsid w:val="003A6AE9"/>
    <w:rsid w:val="003A6C65"/>
    <w:rsid w:val="003A6DC1"/>
    <w:rsid w:val="003A6EFB"/>
    <w:rsid w:val="003A7086"/>
    <w:rsid w:val="003A7104"/>
    <w:rsid w:val="003A79FC"/>
    <w:rsid w:val="003A7B2B"/>
    <w:rsid w:val="003A7E30"/>
    <w:rsid w:val="003A7F4A"/>
    <w:rsid w:val="003B0241"/>
    <w:rsid w:val="003B025B"/>
    <w:rsid w:val="003B029C"/>
    <w:rsid w:val="003B02E5"/>
    <w:rsid w:val="003B0323"/>
    <w:rsid w:val="003B0356"/>
    <w:rsid w:val="003B03A7"/>
    <w:rsid w:val="003B058E"/>
    <w:rsid w:val="003B0693"/>
    <w:rsid w:val="003B08D4"/>
    <w:rsid w:val="003B09FF"/>
    <w:rsid w:val="003B0A05"/>
    <w:rsid w:val="003B0CE8"/>
    <w:rsid w:val="003B10D4"/>
    <w:rsid w:val="003B10F9"/>
    <w:rsid w:val="003B1276"/>
    <w:rsid w:val="003B13EB"/>
    <w:rsid w:val="003B1515"/>
    <w:rsid w:val="003B1549"/>
    <w:rsid w:val="003B1585"/>
    <w:rsid w:val="003B16C8"/>
    <w:rsid w:val="003B16E9"/>
    <w:rsid w:val="003B171D"/>
    <w:rsid w:val="003B18D9"/>
    <w:rsid w:val="003B1A02"/>
    <w:rsid w:val="003B1DE8"/>
    <w:rsid w:val="003B1F04"/>
    <w:rsid w:val="003B24B9"/>
    <w:rsid w:val="003B2691"/>
    <w:rsid w:val="003B2921"/>
    <w:rsid w:val="003B2933"/>
    <w:rsid w:val="003B2AE4"/>
    <w:rsid w:val="003B2C2B"/>
    <w:rsid w:val="003B2E77"/>
    <w:rsid w:val="003B2E7A"/>
    <w:rsid w:val="003B2F20"/>
    <w:rsid w:val="003B2FCB"/>
    <w:rsid w:val="003B3306"/>
    <w:rsid w:val="003B34F0"/>
    <w:rsid w:val="003B388F"/>
    <w:rsid w:val="003B38FB"/>
    <w:rsid w:val="003B3962"/>
    <w:rsid w:val="003B3C81"/>
    <w:rsid w:val="003B3D7F"/>
    <w:rsid w:val="003B3E28"/>
    <w:rsid w:val="003B3EC4"/>
    <w:rsid w:val="003B3FA5"/>
    <w:rsid w:val="003B3FCE"/>
    <w:rsid w:val="003B40AB"/>
    <w:rsid w:val="003B42C9"/>
    <w:rsid w:val="003B42D7"/>
    <w:rsid w:val="003B42F7"/>
    <w:rsid w:val="003B43A8"/>
    <w:rsid w:val="003B43C4"/>
    <w:rsid w:val="003B4553"/>
    <w:rsid w:val="003B4681"/>
    <w:rsid w:val="003B46C5"/>
    <w:rsid w:val="003B4804"/>
    <w:rsid w:val="003B48BB"/>
    <w:rsid w:val="003B49F5"/>
    <w:rsid w:val="003B4AC5"/>
    <w:rsid w:val="003B4C21"/>
    <w:rsid w:val="003B4DDD"/>
    <w:rsid w:val="003B4FEF"/>
    <w:rsid w:val="003B5135"/>
    <w:rsid w:val="003B5197"/>
    <w:rsid w:val="003B5405"/>
    <w:rsid w:val="003B567E"/>
    <w:rsid w:val="003B57F7"/>
    <w:rsid w:val="003B5827"/>
    <w:rsid w:val="003B585E"/>
    <w:rsid w:val="003B5911"/>
    <w:rsid w:val="003B59B2"/>
    <w:rsid w:val="003B5A12"/>
    <w:rsid w:val="003B5B3F"/>
    <w:rsid w:val="003B5BFA"/>
    <w:rsid w:val="003B5C71"/>
    <w:rsid w:val="003B5D18"/>
    <w:rsid w:val="003B5E0F"/>
    <w:rsid w:val="003B6348"/>
    <w:rsid w:val="003B635E"/>
    <w:rsid w:val="003B6497"/>
    <w:rsid w:val="003B6577"/>
    <w:rsid w:val="003B6712"/>
    <w:rsid w:val="003B6814"/>
    <w:rsid w:val="003B68D6"/>
    <w:rsid w:val="003B68DB"/>
    <w:rsid w:val="003B6A89"/>
    <w:rsid w:val="003B6AFC"/>
    <w:rsid w:val="003B6CAD"/>
    <w:rsid w:val="003B6E7A"/>
    <w:rsid w:val="003B743F"/>
    <w:rsid w:val="003B7731"/>
    <w:rsid w:val="003B7C80"/>
    <w:rsid w:val="003B7EF1"/>
    <w:rsid w:val="003B7F0C"/>
    <w:rsid w:val="003B7F6C"/>
    <w:rsid w:val="003C0055"/>
    <w:rsid w:val="003C0174"/>
    <w:rsid w:val="003C0381"/>
    <w:rsid w:val="003C0390"/>
    <w:rsid w:val="003C0726"/>
    <w:rsid w:val="003C08AF"/>
    <w:rsid w:val="003C0B46"/>
    <w:rsid w:val="003C0C1A"/>
    <w:rsid w:val="003C0E39"/>
    <w:rsid w:val="003C0F56"/>
    <w:rsid w:val="003C0FFA"/>
    <w:rsid w:val="003C1543"/>
    <w:rsid w:val="003C1865"/>
    <w:rsid w:val="003C1873"/>
    <w:rsid w:val="003C1B8C"/>
    <w:rsid w:val="003C1BA9"/>
    <w:rsid w:val="003C1E7A"/>
    <w:rsid w:val="003C20EF"/>
    <w:rsid w:val="003C2130"/>
    <w:rsid w:val="003C2281"/>
    <w:rsid w:val="003C25C7"/>
    <w:rsid w:val="003C260B"/>
    <w:rsid w:val="003C27F2"/>
    <w:rsid w:val="003C2849"/>
    <w:rsid w:val="003C2D68"/>
    <w:rsid w:val="003C3071"/>
    <w:rsid w:val="003C308F"/>
    <w:rsid w:val="003C325E"/>
    <w:rsid w:val="003C33CA"/>
    <w:rsid w:val="003C35F4"/>
    <w:rsid w:val="003C39CB"/>
    <w:rsid w:val="003C39EA"/>
    <w:rsid w:val="003C3BB4"/>
    <w:rsid w:val="003C3D51"/>
    <w:rsid w:val="003C3DAC"/>
    <w:rsid w:val="003C406B"/>
    <w:rsid w:val="003C4134"/>
    <w:rsid w:val="003C4409"/>
    <w:rsid w:val="003C4604"/>
    <w:rsid w:val="003C4695"/>
    <w:rsid w:val="003C4862"/>
    <w:rsid w:val="003C493E"/>
    <w:rsid w:val="003C4AC6"/>
    <w:rsid w:val="003C4BC3"/>
    <w:rsid w:val="003C4BC8"/>
    <w:rsid w:val="003C4E25"/>
    <w:rsid w:val="003C5253"/>
    <w:rsid w:val="003C5580"/>
    <w:rsid w:val="003C576F"/>
    <w:rsid w:val="003C5998"/>
    <w:rsid w:val="003C5CE6"/>
    <w:rsid w:val="003C5D94"/>
    <w:rsid w:val="003C5E0B"/>
    <w:rsid w:val="003C6184"/>
    <w:rsid w:val="003C62C9"/>
    <w:rsid w:val="003C62ED"/>
    <w:rsid w:val="003C651D"/>
    <w:rsid w:val="003C66D2"/>
    <w:rsid w:val="003C675C"/>
    <w:rsid w:val="003C68D8"/>
    <w:rsid w:val="003C6AE3"/>
    <w:rsid w:val="003C6B82"/>
    <w:rsid w:val="003C6BBC"/>
    <w:rsid w:val="003C6BD0"/>
    <w:rsid w:val="003C6D9C"/>
    <w:rsid w:val="003C70C9"/>
    <w:rsid w:val="003C71CB"/>
    <w:rsid w:val="003C7219"/>
    <w:rsid w:val="003C73DA"/>
    <w:rsid w:val="003C7717"/>
    <w:rsid w:val="003C7981"/>
    <w:rsid w:val="003C7AFD"/>
    <w:rsid w:val="003C7B8C"/>
    <w:rsid w:val="003C7C83"/>
    <w:rsid w:val="003C7DB7"/>
    <w:rsid w:val="003D0884"/>
    <w:rsid w:val="003D08A0"/>
    <w:rsid w:val="003D09A0"/>
    <w:rsid w:val="003D0ADF"/>
    <w:rsid w:val="003D0C4E"/>
    <w:rsid w:val="003D0CB2"/>
    <w:rsid w:val="003D0D1B"/>
    <w:rsid w:val="003D0ED5"/>
    <w:rsid w:val="003D0EF6"/>
    <w:rsid w:val="003D0F75"/>
    <w:rsid w:val="003D1106"/>
    <w:rsid w:val="003D1109"/>
    <w:rsid w:val="003D14CD"/>
    <w:rsid w:val="003D14FD"/>
    <w:rsid w:val="003D15BB"/>
    <w:rsid w:val="003D1624"/>
    <w:rsid w:val="003D1782"/>
    <w:rsid w:val="003D1836"/>
    <w:rsid w:val="003D1953"/>
    <w:rsid w:val="003D1CA4"/>
    <w:rsid w:val="003D1EB5"/>
    <w:rsid w:val="003D1F29"/>
    <w:rsid w:val="003D2290"/>
    <w:rsid w:val="003D2888"/>
    <w:rsid w:val="003D2C5C"/>
    <w:rsid w:val="003D2CDC"/>
    <w:rsid w:val="003D2D23"/>
    <w:rsid w:val="003D2D4B"/>
    <w:rsid w:val="003D2EAA"/>
    <w:rsid w:val="003D3333"/>
    <w:rsid w:val="003D3565"/>
    <w:rsid w:val="003D3644"/>
    <w:rsid w:val="003D3676"/>
    <w:rsid w:val="003D3801"/>
    <w:rsid w:val="003D3A6C"/>
    <w:rsid w:val="003D3C43"/>
    <w:rsid w:val="003D3F02"/>
    <w:rsid w:val="003D40F4"/>
    <w:rsid w:val="003D41ED"/>
    <w:rsid w:val="003D44B5"/>
    <w:rsid w:val="003D464A"/>
    <w:rsid w:val="003D467B"/>
    <w:rsid w:val="003D4725"/>
    <w:rsid w:val="003D48D1"/>
    <w:rsid w:val="003D4B8C"/>
    <w:rsid w:val="003D4BBD"/>
    <w:rsid w:val="003D4C45"/>
    <w:rsid w:val="003D52C4"/>
    <w:rsid w:val="003D52DD"/>
    <w:rsid w:val="003D54B4"/>
    <w:rsid w:val="003D54C8"/>
    <w:rsid w:val="003D55B8"/>
    <w:rsid w:val="003D5733"/>
    <w:rsid w:val="003D590A"/>
    <w:rsid w:val="003D59AF"/>
    <w:rsid w:val="003D5D95"/>
    <w:rsid w:val="003D604D"/>
    <w:rsid w:val="003D623A"/>
    <w:rsid w:val="003D6294"/>
    <w:rsid w:val="003D62DE"/>
    <w:rsid w:val="003D6996"/>
    <w:rsid w:val="003D6B63"/>
    <w:rsid w:val="003D6BAB"/>
    <w:rsid w:val="003D6CCF"/>
    <w:rsid w:val="003D6E8B"/>
    <w:rsid w:val="003D6F61"/>
    <w:rsid w:val="003D7160"/>
    <w:rsid w:val="003D7170"/>
    <w:rsid w:val="003D742B"/>
    <w:rsid w:val="003D75CB"/>
    <w:rsid w:val="003D75D6"/>
    <w:rsid w:val="003D7963"/>
    <w:rsid w:val="003D7AED"/>
    <w:rsid w:val="003D7B8D"/>
    <w:rsid w:val="003E0041"/>
    <w:rsid w:val="003E02D4"/>
    <w:rsid w:val="003E03BC"/>
    <w:rsid w:val="003E05D2"/>
    <w:rsid w:val="003E07CE"/>
    <w:rsid w:val="003E0978"/>
    <w:rsid w:val="003E09D1"/>
    <w:rsid w:val="003E0EB3"/>
    <w:rsid w:val="003E0FB1"/>
    <w:rsid w:val="003E10AD"/>
    <w:rsid w:val="003E13AC"/>
    <w:rsid w:val="003E13CE"/>
    <w:rsid w:val="003E15A1"/>
    <w:rsid w:val="003E197F"/>
    <w:rsid w:val="003E1992"/>
    <w:rsid w:val="003E19B5"/>
    <w:rsid w:val="003E1BDE"/>
    <w:rsid w:val="003E1C5E"/>
    <w:rsid w:val="003E1D68"/>
    <w:rsid w:val="003E1DFF"/>
    <w:rsid w:val="003E2301"/>
    <w:rsid w:val="003E25C4"/>
    <w:rsid w:val="003E27D0"/>
    <w:rsid w:val="003E2A2E"/>
    <w:rsid w:val="003E2A70"/>
    <w:rsid w:val="003E2A94"/>
    <w:rsid w:val="003E2BFA"/>
    <w:rsid w:val="003E2DE6"/>
    <w:rsid w:val="003E2E88"/>
    <w:rsid w:val="003E2EB2"/>
    <w:rsid w:val="003E301A"/>
    <w:rsid w:val="003E3093"/>
    <w:rsid w:val="003E3338"/>
    <w:rsid w:val="003E333B"/>
    <w:rsid w:val="003E3368"/>
    <w:rsid w:val="003E338E"/>
    <w:rsid w:val="003E33A7"/>
    <w:rsid w:val="003E33E5"/>
    <w:rsid w:val="003E347F"/>
    <w:rsid w:val="003E3494"/>
    <w:rsid w:val="003E3511"/>
    <w:rsid w:val="003E35E7"/>
    <w:rsid w:val="003E35ED"/>
    <w:rsid w:val="003E3A99"/>
    <w:rsid w:val="003E3C22"/>
    <w:rsid w:val="003E3C6E"/>
    <w:rsid w:val="003E3E8F"/>
    <w:rsid w:val="003E3F2F"/>
    <w:rsid w:val="003E409F"/>
    <w:rsid w:val="003E42FA"/>
    <w:rsid w:val="003E4467"/>
    <w:rsid w:val="003E44FE"/>
    <w:rsid w:val="003E466C"/>
    <w:rsid w:val="003E4729"/>
    <w:rsid w:val="003E489D"/>
    <w:rsid w:val="003E4A5E"/>
    <w:rsid w:val="003E4C9F"/>
    <w:rsid w:val="003E5010"/>
    <w:rsid w:val="003E53F7"/>
    <w:rsid w:val="003E54DE"/>
    <w:rsid w:val="003E5757"/>
    <w:rsid w:val="003E5A36"/>
    <w:rsid w:val="003E5BDA"/>
    <w:rsid w:val="003E5D0A"/>
    <w:rsid w:val="003E5D1A"/>
    <w:rsid w:val="003E5D97"/>
    <w:rsid w:val="003E5EB9"/>
    <w:rsid w:val="003E602E"/>
    <w:rsid w:val="003E6169"/>
    <w:rsid w:val="003E6335"/>
    <w:rsid w:val="003E6402"/>
    <w:rsid w:val="003E668E"/>
    <w:rsid w:val="003E679A"/>
    <w:rsid w:val="003E67AD"/>
    <w:rsid w:val="003E6A14"/>
    <w:rsid w:val="003E6A47"/>
    <w:rsid w:val="003E6BAC"/>
    <w:rsid w:val="003E6E32"/>
    <w:rsid w:val="003E6EA9"/>
    <w:rsid w:val="003E6F35"/>
    <w:rsid w:val="003E6FEC"/>
    <w:rsid w:val="003E6FF0"/>
    <w:rsid w:val="003E7050"/>
    <w:rsid w:val="003E7104"/>
    <w:rsid w:val="003E7346"/>
    <w:rsid w:val="003E7469"/>
    <w:rsid w:val="003E74C8"/>
    <w:rsid w:val="003E75C4"/>
    <w:rsid w:val="003E7719"/>
    <w:rsid w:val="003E772E"/>
    <w:rsid w:val="003E7DB2"/>
    <w:rsid w:val="003E7EEE"/>
    <w:rsid w:val="003E7F44"/>
    <w:rsid w:val="003E7F72"/>
    <w:rsid w:val="003E7F9C"/>
    <w:rsid w:val="003E7FD1"/>
    <w:rsid w:val="003F014A"/>
    <w:rsid w:val="003F01CE"/>
    <w:rsid w:val="003F02BB"/>
    <w:rsid w:val="003F02DB"/>
    <w:rsid w:val="003F034D"/>
    <w:rsid w:val="003F03D7"/>
    <w:rsid w:val="003F06C0"/>
    <w:rsid w:val="003F06E0"/>
    <w:rsid w:val="003F0738"/>
    <w:rsid w:val="003F0CF3"/>
    <w:rsid w:val="003F1033"/>
    <w:rsid w:val="003F10A6"/>
    <w:rsid w:val="003F141A"/>
    <w:rsid w:val="003F176A"/>
    <w:rsid w:val="003F18E3"/>
    <w:rsid w:val="003F1A67"/>
    <w:rsid w:val="003F1AB6"/>
    <w:rsid w:val="003F1DAF"/>
    <w:rsid w:val="003F1EBF"/>
    <w:rsid w:val="003F2194"/>
    <w:rsid w:val="003F225B"/>
    <w:rsid w:val="003F238A"/>
    <w:rsid w:val="003F2400"/>
    <w:rsid w:val="003F25DC"/>
    <w:rsid w:val="003F28DC"/>
    <w:rsid w:val="003F291D"/>
    <w:rsid w:val="003F2C51"/>
    <w:rsid w:val="003F2ECE"/>
    <w:rsid w:val="003F3152"/>
    <w:rsid w:val="003F34D6"/>
    <w:rsid w:val="003F35F9"/>
    <w:rsid w:val="003F370E"/>
    <w:rsid w:val="003F3BCE"/>
    <w:rsid w:val="003F3C5D"/>
    <w:rsid w:val="003F3D20"/>
    <w:rsid w:val="003F3EEB"/>
    <w:rsid w:val="003F3F43"/>
    <w:rsid w:val="003F3F69"/>
    <w:rsid w:val="003F3F9A"/>
    <w:rsid w:val="003F4212"/>
    <w:rsid w:val="003F42FF"/>
    <w:rsid w:val="003F4391"/>
    <w:rsid w:val="003F44CB"/>
    <w:rsid w:val="003F4AF3"/>
    <w:rsid w:val="003F4BFE"/>
    <w:rsid w:val="003F5132"/>
    <w:rsid w:val="003F548F"/>
    <w:rsid w:val="003F5CB4"/>
    <w:rsid w:val="003F606F"/>
    <w:rsid w:val="003F60F0"/>
    <w:rsid w:val="003F6213"/>
    <w:rsid w:val="003F628C"/>
    <w:rsid w:val="003F62AA"/>
    <w:rsid w:val="003F62D6"/>
    <w:rsid w:val="003F6461"/>
    <w:rsid w:val="003F6955"/>
    <w:rsid w:val="003F69E4"/>
    <w:rsid w:val="003F6A22"/>
    <w:rsid w:val="003F6F13"/>
    <w:rsid w:val="003F727E"/>
    <w:rsid w:val="003F73AC"/>
    <w:rsid w:val="003F7580"/>
    <w:rsid w:val="003F75C4"/>
    <w:rsid w:val="003F76E8"/>
    <w:rsid w:val="003F771D"/>
    <w:rsid w:val="003F77E5"/>
    <w:rsid w:val="003F7831"/>
    <w:rsid w:val="003F7B9D"/>
    <w:rsid w:val="003F7C11"/>
    <w:rsid w:val="003F7E24"/>
    <w:rsid w:val="003F7E2C"/>
    <w:rsid w:val="004000EC"/>
    <w:rsid w:val="00400162"/>
    <w:rsid w:val="004001CA"/>
    <w:rsid w:val="00400280"/>
    <w:rsid w:val="00400A42"/>
    <w:rsid w:val="00400D04"/>
    <w:rsid w:val="0040137C"/>
    <w:rsid w:val="004013FC"/>
    <w:rsid w:val="00401654"/>
    <w:rsid w:val="00401737"/>
    <w:rsid w:val="004017E8"/>
    <w:rsid w:val="00401800"/>
    <w:rsid w:val="00401A6B"/>
    <w:rsid w:val="00401BE7"/>
    <w:rsid w:val="00401CF9"/>
    <w:rsid w:val="00401E57"/>
    <w:rsid w:val="00401E88"/>
    <w:rsid w:val="0040203F"/>
    <w:rsid w:val="004021BC"/>
    <w:rsid w:val="004025BC"/>
    <w:rsid w:val="00402753"/>
    <w:rsid w:val="00402893"/>
    <w:rsid w:val="0040289D"/>
    <w:rsid w:val="00402A7E"/>
    <w:rsid w:val="00402C2D"/>
    <w:rsid w:val="00402C2E"/>
    <w:rsid w:val="00402D58"/>
    <w:rsid w:val="00402D83"/>
    <w:rsid w:val="00403092"/>
    <w:rsid w:val="0040310A"/>
    <w:rsid w:val="00403155"/>
    <w:rsid w:val="00403245"/>
    <w:rsid w:val="0040333C"/>
    <w:rsid w:val="00403522"/>
    <w:rsid w:val="00403859"/>
    <w:rsid w:val="00403CA4"/>
    <w:rsid w:val="00403CC3"/>
    <w:rsid w:val="00403FF6"/>
    <w:rsid w:val="00404007"/>
    <w:rsid w:val="00404054"/>
    <w:rsid w:val="0040419F"/>
    <w:rsid w:val="00404338"/>
    <w:rsid w:val="00404348"/>
    <w:rsid w:val="00404511"/>
    <w:rsid w:val="00404574"/>
    <w:rsid w:val="004046A0"/>
    <w:rsid w:val="00404862"/>
    <w:rsid w:val="004048B8"/>
    <w:rsid w:val="0040491F"/>
    <w:rsid w:val="00404BBC"/>
    <w:rsid w:val="00404F1E"/>
    <w:rsid w:val="00405117"/>
    <w:rsid w:val="004051FD"/>
    <w:rsid w:val="00405218"/>
    <w:rsid w:val="00405A3E"/>
    <w:rsid w:val="00405BE7"/>
    <w:rsid w:val="00405CAB"/>
    <w:rsid w:val="00405D5A"/>
    <w:rsid w:val="00405E51"/>
    <w:rsid w:val="00405F3E"/>
    <w:rsid w:val="00405F9E"/>
    <w:rsid w:val="00406001"/>
    <w:rsid w:val="0040608B"/>
    <w:rsid w:val="00406153"/>
    <w:rsid w:val="00406326"/>
    <w:rsid w:val="00406408"/>
    <w:rsid w:val="0040682F"/>
    <w:rsid w:val="004068E9"/>
    <w:rsid w:val="00406A66"/>
    <w:rsid w:val="00406AC3"/>
    <w:rsid w:val="00406C6C"/>
    <w:rsid w:val="00406E55"/>
    <w:rsid w:val="00406FB7"/>
    <w:rsid w:val="00407041"/>
    <w:rsid w:val="00407BF0"/>
    <w:rsid w:val="00407E01"/>
    <w:rsid w:val="00410B41"/>
    <w:rsid w:val="00410EDE"/>
    <w:rsid w:val="0041101B"/>
    <w:rsid w:val="00411B05"/>
    <w:rsid w:val="00411D6C"/>
    <w:rsid w:val="004124B4"/>
    <w:rsid w:val="00412751"/>
    <w:rsid w:val="00412838"/>
    <w:rsid w:val="00412C3F"/>
    <w:rsid w:val="00412C44"/>
    <w:rsid w:val="00412CEE"/>
    <w:rsid w:val="00412DF8"/>
    <w:rsid w:val="00412EA1"/>
    <w:rsid w:val="00412EB3"/>
    <w:rsid w:val="00413346"/>
    <w:rsid w:val="00413431"/>
    <w:rsid w:val="004134D7"/>
    <w:rsid w:val="00413A28"/>
    <w:rsid w:val="00413A9F"/>
    <w:rsid w:val="00413AEF"/>
    <w:rsid w:val="00413B91"/>
    <w:rsid w:val="00413CE3"/>
    <w:rsid w:val="00413ED1"/>
    <w:rsid w:val="00413F4C"/>
    <w:rsid w:val="0041403D"/>
    <w:rsid w:val="004140CF"/>
    <w:rsid w:val="004141AB"/>
    <w:rsid w:val="0041465E"/>
    <w:rsid w:val="00414894"/>
    <w:rsid w:val="00414944"/>
    <w:rsid w:val="00414A5C"/>
    <w:rsid w:val="00414AEB"/>
    <w:rsid w:val="00414D10"/>
    <w:rsid w:val="00414E36"/>
    <w:rsid w:val="00415249"/>
    <w:rsid w:val="004153EC"/>
    <w:rsid w:val="00415688"/>
    <w:rsid w:val="00415A49"/>
    <w:rsid w:val="0041604D"/>
    <w:rsid w:val="0041611F"/>
    <w:rsid w:val="00416150"/>
    <w:rsid w:val="0041672E"/>
    <w:rsid w:val="00416800"/>
    <w:rsid w:val="0041681E"/>
    <w:rsid w:val="00416956"/>
    <w:rsid w:val="00416B0E"/>
    <w:rsid w:val="00416BA0"/>
    <w:rsid w:val="004172C4"/>
    <w:rsid w:val="004175AC"/>
    <w:rsid w:val="004178A3"/>
    <w:rsid w:val="00417B86"/>
    <w:rsid w:val="00417D3A"/>
    <w:rsid w:val="00417ED8"/>
    <w:rsid w:val="00420192"/>
    <w:rsid w:val="004203CE"/>
    <w:rsid w:val="004204A8"/>
    <w:rsid w:val="004205E8"/>
    <w:rsid w:val="0042063C"/>
    <w:rsid w:val="00420886"/>
    <w:rsid w:val="00420930"/>
    <w:rsid w:val="004209FA"/>
    <w:rsid w:val="00420C95"/>
    <w:rsid w:val="00420DDB"/>
    <w:rsid w:val="004210A8"/>
    <w:rsid w:val="00421117"/>
    <w:rsid w:val="00421192"/>
    <w:rsid w:val="00421249"/>
    <w:rsid w:val="004212E6"/>
    <w:rsid w:val="004213E2"/>
    <w:rsid w:val="004214EB"/>
    <w:rsid w:val="00421571"/>
    <w:rsid w:val="00421602"/>
    <w:rsid w:val="00421D2D"/>
    <w:rsid w:val="0042202E"/>
    <w:rsid w:val="004220BC"/>
    <w:rsid w:val="00422104"/>
    <w:rsid w:val="00422509"/>
    <w:rsid w:val="00422521"/>
    <w:rsid w:val="00422582"/>
    <w:rsid w:val="004225B6"/>
    <w:rsid w:val="004225F5"/>
    <w:rsid w:val="00422817"/>
    <w:rsid w:val="00422AC7"/>
    <w:rsid w:val="00422B34"/>
    <w:rsid w:val="00422B62"/>
    <w:rsid w:val="00422EBC"/>
    <w:rsid w:val="00422EE3"/>
    <w:rsid w:val="00423202"/>
    <w:rsid w:val="004234F1"/>
    <w:rsid w:val="00423C54"/>
    <w:rsid w:val="0042450A"/>
    <w:rsid w:val="0042450C"/>
    <w:rsid w:val="004246CD"/>
    <w:rsid w:val="004247AA"/>
    <w:rsid w:val="00424B97"/>
    <w:rsid w:val="00424D65"/>
    <w:rsid w:val="004252F8"/>
    <w:rsid w:val="00425484"/>
    <w:rsid w:val="00425485"/>
    <w:rsid w:val="004254BD"/>
    <w:rsid w:val="00425517"/>
    <w:rsid w:val="0042566D"/>
    <w:rsid w:val="004258E4"/>
    <w:rsid w:val="004259A1"/>
    <w:rsid w:val="004259D8"/>
    <w:rsid w:val="004259DE"/>
    <w:rsid w:val="00425D83"/>
    <w:rsid w:val="00425EE0"/>
    <w:rsid w:val="004264E0"/>
    <w:rsid w:val="004265D7"/>
    <w:rsid w:val="0042660C"/>
    <w:rsid w:val="0042672F"/>
    <w:rsid w:val="0042692A"/>
    <w:rsid w:val="0042694E"/>
    <w:rsid w:val="00426A73"/>
    <w:rsid w:val="00426ACF"/>
    <w:rsid w:val="00426CBC"/>
    <w:rsid w:val="00426E2D"/>
    <w:rsid w:val="00426F15"/>
    <w:rsid w:val="0042704E"/>
    <w:rsid w:val="00427110"/>
    <w:rsid w:val="00427136"/>
    <w:rsid w:val="00427920"/>
    <w:rsid w:val="00427925"/>
    <w:rsid w:val="004279B2"/>
    <w:rsid w:val="00427F25"/>
    <w:rsid w:val="004300F8"/>
    <w:rsid w:val="0043022B"/>
    <w:rsid w:val="0043034B"/>
    <w:rsid w:val="004306F7"/>
    <w:rsid w:val="004308DC"/>
    <w:rsid w:val="004309EC"/>
    <w:rsid w:val="00430B60"/>
    <w:rsid w:val="00430DCD"/>
    <w:rsid w:val="0043102E"/>
    <w:rsid w:val="004312EC"/>
    <w:rsid w:val="0043138C"/>
    <w:rsid w:val="004313D2"/>
    <w:rsid w:val="0043148D"/>
    <w:rsid w:val="0043150E"/>
    <w:rsid w:val="004315EB"/>
    <w:rsid w:val="0043196C"/>
    <w:rsid w:val="004319BF"/>
    <w:rsid w:val="00431E63"/>
    <w:rsid w:val="00431E88"/>
    <w:rsid w:val="00432041"/>
    <w:rsid w:val="004320C9"/>
    <w:rsid w:val="004320E8"/>
    <w:rsid w:val="004325D0"/>
    <w:rsid w:val="00432695"/>
    <w:rsid w:val="004329A0"/>
    <w:rsid w:val="00432FE2"/>
    <w:rsid w:val="004332D2"/>
    <w:rsid w:val="00433498"/>
    <w:rsid w:val="004334C1"/>
    <w:rsid w:val="00433619"/>
    <w:rsid w:val="00433A1F"/>
    <w:rsid w:val="00433BB9"/>
    <w:rsid w:val="00433BFA"/>
    <w:rsid w:val="00433CDA"/>
    <w:rsid w:val="00433CEC"/>
    <w:rsid w:val="00433DB6"/>
    <w:rsid w:val="00433E58"/>
    <w:rsid w:val="0043400B"/>
    <w:rsid w:val="0043410A"/>
    <w:rsid w:val="00434181"/>
    <w:rsid w:val="004343DB"/>
    <w:rsid w:val="00434447"/>
    <w:rsid w:val="0043455B"/>
    <w:rsid w:val="004346EB"/>
    <w:rsid w:val="004346ED"/>
    <w:rsid w:val="00434748"/>
    <w:rsid w:val="00434899"/>
    <w:rsid w:val="00434A73"/>
    <w:rsid w:val="00434EA1"/>
    <w:rsid w:val="00435273"/>
    <w:rsid w:val="00435672"/>
    <w:rsid w:val="004357B1"/>
    <w:rsid w:val="00435A2D"/>
    <w:rsid w:val="0043610A"/>
    <w:rsid w:val="00436380"/>
    <w:rsid w:val="00436386"/>
    <w:rsid w:val="004365F3"/>
    <w:rsid w:val="00436763"/>
    <w:rsid w:val="00436917"/>
    <w:rsid w:val="00436922"/>
    <w:rsid w:val="00436F54"/>
    <w:rsid w:val="00437094"/>
    <w:rsid w:val="00437171"/>
    <w:rsid w:val="004374BA"/>
    <w:rsid w:val="0043786A"/>
    <w:rsid w:val="004378B1"/>
    <w:rsid w:val="00437961"/>
    <w:rsid w:val="00437BAA"/>
    <w:rsid w:val="00437DD4"/>
    <w:rsid w:val="00437FD6"/>
    <w:rsid w:val="004403FA"/>
    <w:rsid w:val="004404EA"/>
    <w:rsid w:val="0044081F"/>
    <w:rsid w:val="0044127A"/>
    <w:rsid w:val="004412F8"/>
    <w:rsid w:val="004413A3"/>
    <w:rsid w:val="004413FC"/>
    <w:rsid w:val="00441553"/>
    <w:rsid w:val="00441977"/>
    <w:rsid w:val="00441D00"/>
    <w:rsid w:val="00441E93"/>
    <w:rsid w:val="00441F1E"/>
    <w:rsid w:val="00442144"/>
    <w:rsid w:val="0044237D"/>
    <w:rsid w:val="004425B0"/>
    <w:rsid w:val="00442698"/>
    <w:rsid w:val="00442769"/>
    <w:rsid w:val="00442780"/>
    <w:rsid w:val="00442B33"/>
    <w:rsid w:val="00442B3D"/>
    <w:rsid w:val="00442C98"/>
    <w:rsid w:val="00442CCE"/>
    <w:rsid w:val="00442EE3"/>
    <w:rsid w:val="00442EF1"/>
    <w:rsid w:val="0044300B"/>
    <w:rsid w:val="00443071"/>
    <w:rsid w:val="00443155"/>
    <w:rsid w:val="0044317F"/>
    <w:rsid w:val="004431F1"/>
    <w:rsid w:val="004435FB"/>
    <w:rsid w:val="0044368D"/>
    <w:rsid w:val="00443725"/>
    <w:rsid w:val="00443845"/>
    <w:rsid w:val="00443B55"/>
    <w:rsid w:val="00443CA0"/>
    <w:rsid w:val="00443FE4"/>
    <w:rsid w:val="00444051"/>
    <w:rsid w:val="0044451A"/>
    <w:rsid w:val="0044486C"/>
    <w:rsid w:val="0044488B"/>
    <w:rsid w:val="004448CD"/>
    <w:rsid w:val="00444AE0"/>
    <w:rsid w:val="00444E38"/>
    <w:rsid w:val="004450CE"/>
    <w:rsid w:val="0044522C"/>
    <w:rsid w:val="00445594"/>
    <w:rsid w:val="004455F8"/>
    <w:rsid w:val="00445640"/>
    <w:rsid w:val="004457E4"/>
    <w:rsid w:val="0044581A"/>
    <w:rsid w:val="00445AB4"/>
    <w:rsid w:val="00445C97"/>
    <w:rsid w:val="004461A0"/>
    <w:rsid w:val="00446322"/>
    <w:rsid w:val="0044638A"/>
    <w:rsid w:val="00446434"/>
    <w:rsid w:val="004467CB"/>
    <w:rsid w:val="0044691C"/>
    <w:rsid w:val="004469B4"/>
    <w:rsid w:val="00446CED"/>
    <w:rsid w:val="00447067"/>
    <w:rsid w:val="004474C1"/>
    <w:rsid w:val="004475DF"/>
    <w:rsid w:val="0044785A"/>
    <w:rsid w:val="00447E54"/>
    <w:rsid w:val="00447F02"/>
    <w:rsid w:val="00450201"/>
    <w:rsid w:val="00450563"/>
    <w:rsid w:val="0045076E"/>
    <w:rsid w:val="004507D4"/>
    <w:rsid w:val="00450B3A"/>
    <w:rsid w:val="00450C53"/>
    <w:rsid w:val="00450D26"/>
    <w:rsid w:val="00450D29"/>
    <w:rsid w:val="00450D4F"/>
    <w:rsid w:val="004510A0"/>
    <w:rsid w:val="004511DF"/>
    <w:rsid w:val="0045120E"/>
    <w:rsid w:val="004512E0"/>
    <w:rsid w:val="00451360"/>
    <w:rsid w:val="0045181D"/>
    <w:rsid w:val="004519AE"/>
    <w:rsid w:val="00451B76"/>
    <w:rsid w:val="00451C8F"/>
    <w:rsid w:val="00451CFE"/>
    <w:rsid w:val="00451E96"/>
    <w:rsid w:val="00451FCD"/>
    <w:rsid w:val="00452768"/>
    <w:rsid w:val="00452B8F"/>
    <w:rsid w:val="00452BDE"/>
    <w:rsid w:val="00452D3A"/>
    <w:rsid w:val="00452E05"/>
    <w:rsid w:val="00452FDF"/>
    <w:rsid w:val="00453279"/>
    <w:rsid w:val="0045344A"/>
    <w:rsid w:val="004534FB"/>
    <w:rsid w:val="0045378D"/>
    <w:rsid w:val="00453933"/>
    <w:rsid w:val="0045399C"/>
    <w:rsid w:val="00453A1E"/>
    <w:rsid w:val="00453C6F"/>
    <w:rsid w:val="00453E6A"/>
    <w:rsid w:val="0045418A"/>
    <w:rsid w:val="00454412"/>
    <w:rsid w:val="0045469B"/>
    <w:rsid w:val="004548DA"/>
    <w:rsid w:val="00454979"/>
    <w:rsid w:val="00454A4E"/>
    <w:rsid w:val="00454AD5"/>
    <w:rsid w:val="00454B84"/>
    <w:rsid w:val="00455030"/>
    <w:rsid w:val="0045503F"/>
    <w:rsid w:val="00455071"/>
    <w:rsid w:val="004554C1"/>
    <w:rsid w:val="0045577F"/>
    <w:rsid w:val="00455876"/>
    <w:rsid w:val="004558F7"/>
    <w:rsid w:val="00455D88"/>
    <w:rsid w:val="00455FE9"/>
    <w:rsid w:val="00456003"/>
    <w:rsid w:val="0045615F"/>
    <w:rsid w:val="00456183"/>
    <w:rsid w:val="0045648C"/>
    <w:rsid w:val="00456724"/>
    <w:rsid w:val="00456736"/>
    <w:rsid w:val="004567CC"/>
    <w:rsid w:val="004568FF"/>
    <w:rsid w:val="00456961"/>
    <w:rsid w:val="00456BC3"/>
    <w:rsid w:val="00456BDF"/>
    <w:rsid w:val="00456C70"/>
    <w:rsid w:val="00456F53"/>
    <w:rsid w:val="004573FD"/>
    <w:rsid w:val="0045757C"/>
    <w:rsid w:val="00457848"/>
    <w:rsid w:val="0045789D"/>
    <w:rsid w:val="004578EB"/>
    <w:rsid w:val="004578F8"/>
    <w:rsid w:val="0045794E"/>
    <w:rsid w:val="00457A62"/>
    <w:rsid w:val="00457A96"/>
    <w:rsid w:val="00457B1C"/>
    <w:rsid w:val="00457BF9"/>
    <w:rsid w:val="00457DF9"/>
    <w:rsid w:val="00457F9C"/>
    <w:rsid w:val="00460048"/>
    <w:rsid w:val="00460117"/>
    <w:rsid w:val="004601BA"/>
    <w:rsid w:val="004602A8"/>
    <w:rsid w:val="004602BD"/>
    <w:rsid w:val="004605CE"/>
    <w:rsid w:val="00460CD2"/>
    <w:rsid w:val="00460E68"/>
    <w:rsid w:val="00461015"/>
    <w:rsid w:val="0046101D"/>
    <w:rsid w:val="004611E2"/>
    <w:rsid w:val="0046189E"/>
    <w:rsid w:val="00461C79"/>
    <w:rsid w:val="00461CEC"/>
    <w:rsid w:val="00461DD7"/>
    <w:rsid w:val="00461E25"/>
    <w:rsid w:val="00461F26"/>
    <w:rsid w:val="00461F88"/>
    <w:rsid w:val="004620E4"/>
    <w:rsid w:val="00462118"/>
    <w:rsid w:val="004624CB"/>
    <w:rsid w:val="00462BF6"/>
    <w:rsid w:val="00462E77"/>
    <w:rsid w:val="00462FA3"/>
    <w:rsid w:val="004630AC"/>
    <w:rsid w:val="004631B6"/>
    <w:rsid w:val="00463411"/>
    <w:rsid w:val="00463423"/>
    <w:rsid w:val="004638A7"/>
    <w:rsid w:val="00463C5C"/>
    <w:rsid w:val="00463F82"/>
    <w:rsid w:val="0046408B"/>
    <w:rsid w:val="004641FE"/>
    <w:rsid w:val="004643D5"/>
    <w:rsid w:val="0046476C"/>
    <w:rsid w:val="00464884"/>
    <w:rsid w:val="00464CF9"/>
    <w:rsid w:val="00464F05"/>
    <w:rsid w:val="004652CE"/>
    <w:rsid w:val="00465518"/>
    <w:rsid w:val="004655D9"/>
    <w:rsid w:val="004659E5"/>
    <w:rsid w:val="00465CEC"/>
    <w:rsid w:val="00465F9E"/>
    <w:rsid w:val="00465FFD"/>
    <w:rsid w:val="0046617B"/>
    <w:rsid w:val="004661D9"/>
    <w:rsid w:val="004661F9"/>
    <w:rsid w:val="00466232"/>
    <w:rsid w:val="004663AD"/>
    <w:rsid w:val="0046646C"/>
    <w:rsid w:val="00466481"/>
    <w:rsid w:val="004667FF"/>
    <w:rsid w:val="00466A02"/>
    <w:rsid w:val="00466A85"/>
    <w:rsid w:val="00466BA6"/>
    <w:rsid w:val="00466C75"/>
    <w:rsid w:val="00466F7E"/>
    <w:rsid w:val="00467012"/>
    <w:rsid w:val="0046747C"/>
    <w:rsid w:val="00467635"/>
    <w:rsid w:val="0046769E"/>
    <w:rsid w:val="004676A5"/>
    <w:rsid w:val="00467949"/>
    <w:rsid w:val="00467A4E"/>
    <w:rsid w:val="00467B9B"/>
    <w:rsid w:val="00467EC2"/>
    <w:rsid w:val="00467F2F"/>
    <w:rsid w:val="00467F75"/>
    <w:rsid w:val="004701E4"/>
    <w:rsid w:val="004702C0"/>
    <w:rsid w:val="00470496"/>
    <w:rsid w:val="00470511"/>
    <w:rsid w:val="00470634"/>
    <w:rsid w:val="004707CA"/>
    <w:rsid w:val="0047088B"/>
    <w:rsid w:val="00470EB2"/>
    <w:rsid w:val="00471343"/>
    <w:rsid w:val="00471529"/>
    <w:rsid w:val="0047156A"/>
    <w:rsid w:val="004715DA"/>
    <w:rsid w:val="00471718"/>
    <w:rsid w:val="004719A2"/>
    <w:rsid w:val="00471A4B"/>
    <w:rsid w:val="00471A59"/>
    <w:rsid w:val="00471A8E"/>
    <w:rsid w:val="00471AC2"/>
    <w:rsid w:val="00471B4A"/>
    <w:rsid w:val="00471E3F"/>
    <w:rsid w:val="00471FCA"/>
    <w:rsid w:val="00471FE8"/>
    <w:rsid w:val="0047201D"/>
    <w:rsid w:val="00472034"/>
    <w:rsid w:val="00472074"/>
    <w:rsid w:val="00472211"/>
    <w:rsid w:val="004723EB"/>
    <w:rsid w:val="00472463"/>
    <w:rsid w:val="004726B1"/>
    <w:rsid w:val="00472AD8"/>
    <w:rsid w:val="00472CFD"/>
    <w:rsid w:val="00472D27"/>
    <w:rsid w:val="00472E15"/>
    <w:rsid w:val="00472EF0"/>
    <w:rsid w:val="00472F34"/>
    <w:rsid w:val="00473097"/>
    <w:rsid w:val="004732C5"/>
    <w:rsid w:val="004732E1"/>
    <w:rsid w:val="004733B9"/>
    <w:rsid w:val="00473505"/>
    <w:rsid w:val="004735DD"/>
    <w:rsid w:val="0047361C"/>
    <w:rsid w:val="0047381D"/>
    <w:rsid w:val="00473820"/>
    <w:rsid w:val="004738A8"/>
    <w:rsid w:val="004738F6"/>
    <w:rsid w:val="00473946"/>
    <w:rsid w:val="00473D50"/>
    <w:rsid w:val="00473D6D"/>
    <w:rsid w:val="0047414D"/>
    <w:rsid w:val="0047423C"/>
    <w:rsid w:val="0047425D"/>
    <w:rsid w:val="00474448"/>
    <w:rsid w:val="00474586"/>
    <w:rsid w:val="004745B1"/>
    <w:rsid w:val="00474765"/>
    <w:rsid w:val="004748B8"/>
    <w:rsid w:val="00474B00"/>
    <w:rsid w:val="00474B7E"/>
    <w:rsid w:val="00474BC5"/>
    <w:rsid w:val="00474DD3"/>
    <w:rsid w:val="00475089"/>
    <w:rsid w:val="0047539E"/>
    <w:rsid w:val="00475458"/>
    <w:rsid w:val="004755D3"/>
    <w:rsid w:val="00475771"/>
    <w:rsid w:val="00475B01"/>
    <w:rsid w:val="00475BDB"/>
    <w:rsid w:val="00475CD6"/>
    <w:rsid w:val="004760A6"/>
    <w:rsid w:val="00476284"/>
    <w:rsid w:val="00476926"/>
    <w:rsid w:val="0047696A"/>
    <w:rsid w:val="00476B1A"/>
    <w:rsid w:val="00476F00"/>
    <w:rsid w:val="00477103"/>
    <w:rsid w:val="00477299"/>
    <w:rsid w:val="00477467"/>
    <w:rsid w:val="0047748F"/>
    <w:rsid w:val="00477534"/>
    <w:rsid w:val="0047767B"/>
    <w:rsid w:val="004776C1"/>
    <w:rsid w:val="004777F6"/>
    <w:rsid w:val="00477A2B"/>
    <w:rsid w:val="00477D87"/>
    <w:rsid w:val="00477FD3"/>
    <w:rsid w:val="00480395"/>
    <w:rsid w:val="00480961"/>
    <w:rsid w:val="00480A21"/>
    <w:rsid w:val="00480A31"/>
    <w:rsid w:val="0048107A"/>
    <w:rsid w:val="004810C7"/>
    <w:rsid w:val="004812C8"/>
    <w:rsid w:val="00481541"/>
    <w:rsid w:val="00481694"/>
    <w:rsid w:val="00481831"/>
    <w:rsid w:val="00481C36"/>
    <w:rsid w:val="00481D2D"/>
    <w:rsid w:val="00482189"/>
    <w:rsid w:val="0048218B"/>
    <w:rsid w:val="00482199"/>
    <w:rsid w:val="00482274"/>
    <w:rsid w:val="004825F1"/>
    <w:rsid w:val="004826BA"/>
    <w:rsid w:val="004828AF"/>
    <w:rsid w:val="004828B2"/>
    <w:rsid w:val="00482981"/>
    <w:rsid w:val="00482983"/>
    <w:rsid w:val="00482AD2"/>
    <w:rsid w:val="00482B33"/>
    <w:rsid w:val="00482F2C"/>
    <w:rsid w:val="00483145"/>
    <w:rsid w:val="004831CB"/>
    <w:rsid w:val="00483356"/>
    <w:rsid w:val="00483418"/>
    <w:rsid w:val="00483564"/>
    <w:rsid w:val="004839A3"/>
    <w:rsid w:val="00483AC6"/>
    <w:rsid w:val="00483B35"/>
    <w:rsid w:val="00483CE1"/>
    <w:rsid w:val="00483E59"/>
    <w:rsid w:val="00484047"/>
    <w:rsid w:val="00484455"/>
    <w:rsid w:val="004845ED"/>
    <w:rsid w:val="00484651"/>
    <w:rsid w:val="00484710"/>
    <w:rsid w:val="00484C7E"/>
    <w:rsid w:val="00484D15"/>
    <w:rsid w:val="00484DEF"/>
    <w:rsid w:val="00484E92"/>
    <w:rsid w:val="00484F5D"/>
    <w:rsid w:val="00484F6C"/>
    <w:rsid w:val="00485350"/>
    <w:rsid w:val="004853AD"/>
    <w:rsid w:val="004853E0"/>
    <w:rsid w:val="0048542A"/>
    <w:rsid w:val="004854AE"/>
    <w:rsid w:val="004855F4"/>
    <w:rsid w:val="004857C3"/>
    <w:rsid w:val="0048587A"/>
    <w:rsid w:val="004858C4"/>
    <w:rsid w:val="00485910"/>
    <w:rsid w:val="004859B6"/>
    <w:rsid w:val="00485DCA"/>
    <w:rsid w:val="004860DD"/>
    <w:rsid w:val="00486401"/>
    <w:rsid w:val="0048642D"/>
    <w:rsid w:val="0048666E"/>
    <w:rsid w:val="00486758"/>
    <w:rsid w:val="00486767"/>
    <w:rsid w:val="004867C0"/>
    <w:rsid w:val="0048696B"/>
    <w:rsid w:val="00486ACA"/>
    <w:rsid w:val="00486C9D"/>
    <w:rsid w:val="00486ED2"/>
    <w:rsid w:val="00486FB3"/>
    <w:rsid w:val="00487406"/>
    <w:rsid w:val="00487635"/>
    <w:rsid w:val="00487A77"/>
    <w:rsid w:val="00487ADC"/>
    <w:rsid w:val="00487C24"/>
    <w:rsid w:val="00487F38"/>
    <w:rsid w:val="0049025A"/>
    <w:rsid w:val="004903A0"/>
    <w:rsid w:val="004905B5"/>
    <w:rsid w:val="004905FB"/>
    <w:rsid w:val="0049066F"/>
    <w:rsid w:val="00490752"/>
    <w:rsid w:val="0049097A"/>
    <w:rsid w:val="00490EF9"/>
    <w:rsid w:val="00490FDE"/>
    <w:rsid w:val="004910A5"/>
    <w:rsid w:val="00491115"/>
    <w:rsid w:val="004915A0"/>
    <w:rsid w:val="004915EE"/>
    <w:rsid w:val="0049178A"/>
    <w:rsid w:val="004919C5"/>
    <w:rsid w:val="00491B9D"/>
    <w:rsid w:val="00491D16"/>
    <w:rsid w:val="004922D1"/>
    <w:rsid w:val="0049238E"/>
    <w:rsid w:val="004923B1"/>
    <w:rsid w:val="00492BEF"/>
    <w:rsid w:val="00492C58"/>
    <w:rsid w:val="00492CC2"/>
    <w:rsid w:val="00492D0B"/>
    <w:rsid w:val="00492E70"/>
    <w:rsid w:val="00492E7A"/>
    <w:rsid w:val="00492ED4"/>
    <w:rsid w:val="00492F8E"/>
    <w:rsid w:val="00493343"/>
    <w:rsid w:val="00493987"/>
    <w:rsid w:val="00493A75"/>
    <w:rsid w:val="00493A92"/>
    <w:rsid w:val="00493D20"/>
    <w:rsid w:val="00493DBC"/>
    <w:rsid w:val="00493F2D"/>
    <w:rsid w:val="00494033"/>
    <w:rsid w:val="0049430A"/>
    <w:rsid w:val="00494394"/>
    <w:rsid w:val="004944A6"/>
    <w:rsid w:val="00494632"/>
    <w:rsid w:val="00494767"/>
    <w:rsid w:val="0049478D"/>
    <w:rsid w:val="0049485D"/>
    <w:rsid w:val="00494982"/>
    <w:rsid w:val="004949E2"/>
    <w:rsid w:val="00494A1B"/>
    <w:rsid w:val="00494AC1"/>
    <w:rsid w:val="00494AC7"/>
    <w:rsid w:val="00494CB5"/>
    <w:rsid w:val="004951E8"/>
    <w:rsid w:val="004952E4"/>
    <w:rsid w:val="0049554B"/>
    <w:rsid w:val="00495592"/>
    <w:rsid w:val="004955A3"/>
    <w:rsid w:val="00495635"/>
    <w:rsid w:val="00495808"/>
    <w:rsid w:val="00495AB5"/>
    <w:rsid w:val="00495AEA"/>
    <w:rsid w:val="00495B01"/>
    <w:rsid w:val="00495C47"/>
    <w:rsid w:val="00495CAA"/>
    <w:rsid w:val="00495D3E"/>
    <w:rsid w:val="00495D70"/>
    <w:rsid w:val="00495DEF"/>
    <w:rsid w:val="00495E32"/>
    <w:rsid w:val="00496048"/>
    <w:rsid w:val="00496183"/>
    <w:rsid w:val="004961A2"/>
    <w:rsid w:val="00496208"/>
    <w:rsid w:val="00496384"/>
    <w:rsid w:val="00496501"/>
    <w:rsid w:val="0049658B"/>
    <w:rsid w:val="00496735"/>
    <w:rsid w:val="00496831"/>
    <w:rsid w:val="00496977"/>
    <w:rsid w:val="00496B47"/>
    <w:rsid w:val="00496B8C"/>
    <w:rsid w:val="004972CB"/>
    <w:rsid w:val="00497343"/>
    <w:rsid w:val="00497B8B"/>
    <w:rsid w:val="00497DC9"/>
    <w:rsid w:val="00497E69"/>
    <w:rsid w:val="004A0232"/>
    <w:rsid w:val="004A05F7"/>
    <w:rsid w:val="004A060F"/>
    <w:rsid w:val="004A0A5B"/>
    <w:rsid w:val="004A0B8C"/>
    <w:rsid w:val="004A0CC6"/>
    <w:rsid w:val="004A0CE6"/>
    <w:rsid w:val="004A128F"/>
    <w:rsid w:val="004A12D4"/>
    <w:rsid w:val="004A136D"/>
    <w:rsid w:val="004A1372"/>
    <w:rsid w:val="004A14CE"/>
    <w:rsid w:val="004A1658"/>
    <w:rsid w:val="004A1772"/>
    <w:rsid w:val="004A188F"/>
    <w:rsid w:val="004A1C72"/>
    <w:rsid w:val="004A1D5C"/>
    <w:rsid w:val="004A1E7A"/>
    <w:rsid w:val="004A1F20"/>
    <w:rsid w:val="004A26FD"/>
    <w:rsid w:val="004A2976"/>
    <w:rsid w:val="004A2999"/>
    <w:rsid w:val="004A2C1D"/>
    <w:rsid w:val="004A2DFB"/>
    <w:rsid w:val="004A2FBC"/>
    <w:rsid w:val="004A2FF6"/>
    <w:rsid w:val="004A3429"/>
    <w:rsid w:val="004A357B"/>
    <w:rsid w:val="004A3600"/>
    <w:rsid w:val="004A3689"/>
    <w:rsid w:val="004A3699"/>
    <w:rsid w:val="004A3A24"/>
    <w:rsid w:val="004A3C4D"/>
    <w:rsid w:val="004A3CD5"/>
    <w:rsid w:val="004A3FE7"/>
    <w:rsid w:val="004A4060"/>
    <w:rsid w:val="004A4391"/>
    <w:rsid w:val="004A458E"/>
    <w:rsid w:val="004A4768"/>
    <w:rsid w:val="004A47B1"/>
    <w:rsid w:val="004A48FE"/>
    <w:rsid w:val="004A4956"/>
    <w:rsid w:val="004A49D8"/>
    <w:rsid w:val="004A4B7B"/>
    <w:rsid w:val="004A4D50"/>
    <w:rsid w:val="004A4F61"/>
    <w:rsid w:val="004A4FA5"/>
    <w:rsid w:val="004A5357"/>
    <w:rsid w:val="004A543C"/>
    <w:rsid w:val="004A567B"/>
    <w:rsid w:val="004A5DE8"/>
    <w:rsid w:val="004A5E03"/>
    <w:rsid w:val="004A5F46"/>
    <w:rsid w:val="004A6038"/>
    <w:rsid w:val="004A649F"/>
    <w:rsid w:val="004A67D2"/>
    <w:rsid w:val="004A6D10"/>
    <w:rsid w:val="004A72BF"/>
    <w:rsid w:val="004A7339"/>
    <w:rsid w:val="004A795D"/>
    <w:rsid w:val="004A7994"/>
    <w:rsid w:val="004A7BC8"/>
    <w:rsid w:val="004A7D03"/>
    <w:rsid w:val="004B0567"/>
    <w:rsid w:val="004B064B"/>
    <w:rsid w:val="004B0789"/>
    <w:rsid w:val="004B0A74"/>
    <w:rsid w:val="004B0D8B"/>
    <w:rsid w:val="004B1071"/>
    <w:rsid w:val="004B113C"/>
    <w:rsid w:val="004B116D"/>
    <w:rsid w:val="004B13F7"/>
    <w:rsid w:val="004B142A"/>
    <w:rsid w:val="004B1441"/>
    <w:rsid w:val="004B1496"/>
    <w:rsid w:val="004B17B3"/>
    <w:rsid w:val="004B1E07"/>
    <w:rsid w:val="004B1F79"/>
    <w:rsid w:val="004B21AC"/>
    <w:rsid w:val="004B2215"/>
    <w:rsid w:val="004B2491"/>
    <w:rsid w:val="004B24C0"/>
    <w:rsid w:val="004B262D"/>
    <w:rsid w:val="004B26A0"/>
    <w:rsid w:val="004B28C9"/>
    <w:rsid w:val="004B2B22"/>
    <w:rsid w:val="004B2B5C"/>
    <w:rsid w:val="004B2DD8"/>
    <w:rsid w:val="004B3456"/>
    <w:rsid w:val="004B357E"/>
    <w:rsid w:val="004B363E"/>
    <w:rsid w:val="004B3753"/>
    <w:rsid w:val="004B3838"/>
    <w:rsid w:val="004B3925"/>
    <w:rsid w:val="004B3CF6"/>
    <w:rsid w:val="004B3D70"/>
    <w:rsid w:val="004B420E"/>
    <w:rsid w:val="004B443E"/>
    <w:rsid w:val="004B4492"/>
    <w:rsid w:val="004B48A4"/>
    <w:rsid w:val="004B4AA7"/>
    <w:rsid w:val="004B4D7C"/>
    <w:rsid w:val="004B4DCB"/>
    <w:rsid w:val="004B4FA8"/>
    <w:rsid w:val="004B519B"/>
    <w:rsid w:val="004B59AC"/>
    <w:rsid w:val="004B5B42"/>
    <w:rsid w:val="004B5C78"/>
    <w:rsid w:val="004B5D2B"/>
    <w:rsid w:val="004B5F43"/>
    <w:rsid w:val="004B6089"/>
    <w:rsid w:val="004B6A39"/>
    <w:rsid w:val="004B6A81"/>
    <w:rsid w:val="004B6D3B"/>
    <w:rsid w:val="004B753E"/>
    <w:rsid w:val="004B75AB"/>
    <w:rsid w:val="004B78A6"/>
    <w:rsid w:val="004B794E"/>
    <w:rsid w:val="004B7D87"/>
    <w:rsid w:val="004B7D88"/>
    <w:rsid w:val="004B7EED"/>
    <w:rsid w:val="004C0087"/>
    <w:rsid w:val="004C011C"/>
    <w:rsid w:val="004C0480"/>
    <w:rsid w:val="004C05F9"/>
    <w:rsid w:val="004C06B8"/>
    <w:rsid w:val="004C07CC"/>
    <w:rsid w:val="004C088E"/>
    <w:rsid w:val="004C0981"/>
    <w:rsid w:val="004C0BE5"/>
    <w:rsid w:val="004C14A0"/>
    <w:rsid w:val="004C14D2"/>
    <w:rsid w:val="004C1641"/>
    <w:rsid w:val="004C178C"/>
    <w:rsid w:val="004C17E9"/>
    <w:rsid w:val="004C194D"/>
    <w:rsid w:val="004C1972"/>
    <w:rsid w:val="004C1B27"/>
    <w:rsid w:val="004C1CE3"/>
    <w:rsid w:val="004C2170"/>
    <w:rsid w:val="004C222F"/>
    <w:rsid w:val="004C2489"/>
    <w:rsid w:val="004C2931"/>
    <w:rsid w:val="004C2BB2"/>
    <w:rsid w:val="004C2CDA"/>
    <w:rsid w:val="004C2E97"/>
    <w:rsid w:val="004C3281"/>
    <w:rsid w:val="004C33F7"/>
    <w:rsid w:val="004C340F"/>
    <w:rsid w:val="004C3530"/>
    <w:rsid w:val="004C3702"/>
    <w:rsid w:val="004C3B32"/>
    <w:rsid w:val="004C3B73"/>
    <w:rsid w:val="004C3BFD"/>
    <w:rsid w:val="004C3C00"/>
    <w:rsid w:val="004C3C09"/>
    <w:rsid w:val="004C3D9D"/>
    <w:rsid w:val="004C3E71"/>
    <w:rsid w:val="004C3FCA"/>
    <w:rsid w:val="004C4423"/>
    <w:rsid w:val="004C460C"/>
    <w:rsid w:val="004C4761"/>
    <w:rsid w:val="004C4972"/>
    <w:rsid w:val="004C4C50"/>
    <w:rsid w:val="004C4FA4"/>
    <w:rsid w:val="004C5112"/>
    <w:rsid w:val="004C512C"/>
    <w:rsid w:val="004C5203"/>
    <w:rsid w:val="004C5445"/>
    <w:rsid w:val="004C55F5"/>
    <w:rsid w:val="004C567E"/>
    <w:rsid w:val="004C59CC"/>
    <w:rsid w:val="004C5C9D"/>
    <w:rsid w:val="004C5CC8"/>
    <w:rsid w:val="004C5D43"/>
    <w:rsid w:val="004C5DA4"/>
    <w:rsid w:val="004C5F03"/>
    <w:rsid w:val="004C6065"/>
    <w:rsid w:val="004C6096"/>
    <w:rsid w:val="004C6370"/>
    <w:rsid w:val="004C67B0"/>
    <w:rsid w:val="004C6C6E"/>
    <w:rsid w:val="004C6D8D"/>
    <w:rsid w:val="004C6DAB"/>
    <w:rsid w:val="004C7087"/>
    <w:rsid w:val="004C70F9"/>
    <w:rsid w:val="004C73E6"/>
    <w:rsid w:val="004C7AC5"/>
    <w:rsid w:val="004C7C2D"/>
    <w:rsid w:val="004C7C52"/>
    <w:rsid w:val="004C7CE2"/>
    <w:rsid w:val="004C7E29"/>
    <w:rsid w:val="004C7F35"/>
    <w:rsid w:val="004D002A"/>
    <w:rsid w:val="004D013D"/>
    <w:rsid w:val="004D01EE"/>
    <w:rsid w:val="004D0417"/>
    <w:rsid w:val="004D0634"/>
    <w:rsid w:val="004D0762"/>
    <w:rsid w:val="004D0779"/>
    <w:rsid w:val="004D086A"/>
    <w:rsid w:val="004D0975"/>
    <w:rsid w:val="004D0A8B"/>
    <w:rsid w:val="004D0BEE"/>
    <w:rsid w:val="004D0CC6"/>
    <w:rsid w:val="004D11BE"/>
    <w:rsid w:val="004D1220"/>
    <w:rsid w:val="004D12F1"/>
    <w:rsid w:val="004D1300"/>
    <w:rsid w:val="004D158B"/>
    <w:rsid w:val="004D1881"/>
    <w:rsid w:val="004D1C41"/>
    <w:rsid w:val="004D1FD3"/>
    <w:rsid w:val="004D201C"/>
    <w:rsid w:val="004D21F8"/>
    <w:rsid w:val="004D24E4"/>
    <w:rsid w:val="004D2519"/>
    <w:rsid w:val="004D271D"/>
    <w:rsid w:val="004D2A5C"/>
    <w:rsid w:val="004D2A64"/>
    <w:rsid w:val="004D2D81"/>
    <w:rsid w:val="004D2EDB"/>
    <w:rsid w:val="004D30C9"/>
    <w:rsid w:val="004D3334"/>
    <w:rsid w:val="004D33A5"/>
    <w:rsid w:val="004D381C"/>
    <w:rsid w:val="004D3847"/>
    <w:rsid w:val="004D39D8"/>
    <w:rsid w:val="004D3AC9"/>
    <w:rsid w:val="004D3CD6"/>
    <w:rsid w:val="004D434F"/>
    <w:rsid w:val="004D447C"/>
    <w:rsid w:val="004D4A0E"/>
    <w:rsid w:val="004D4AE6"/>
    <w:rsid w:val="004D4AF1"/>
    <w:rsid w:val="004D4F14"/>
    <w:rsid w:val="004D4F65"/>
    <w:rsid w:val="004D4F6B"/>
    <w:rsid w:val="004D50F1"/>
    <w:rsid w:val="004D51C4"/>
    <w:rsid w:val="004D51CD"/>
    <w:rsid w:val="004D5345"/>
    <w:rsid w:val="004D5414"/>
    <w:rsid w:val="004D542B"/>
    <w:rsid w:val="004D58B1"/>
    <w:rsid w:val="004D58F3"/>
    <w:rsid w:val="004D5F90"/>
    <w:rsid w:val="004D61B9"/>
    <w:rsid w:val="004D6577"/>
    <w:rsid w:val="004D65A2"/>
    <w:rsid w:val="004D6607"/>
    <w:rsid w:val="004D6A3A"/>
    <w:rsid w:val="004D6A95"/>
    <w:rsid w:val="004D6B1F"/>
    <w:rsid w:val="004D6CA3"/>
    <w:rsid w:val="004D6E8D"/>
    <w:rsid w:val="004D6EB0"/>
    <w:rsid w:val="004D6EC4"/>
    <w:rsid w:val="004D6FBF"/>
    <w:rsid w:val="004D7572"/>
    <w:rsid w:val="004D7767"/>
    <w:rsid w:val="004D7954"/>
    <w:rsid w:val="004D7983"/>
    <w:rsid w:val="004D7AE2"/>
    <w:rsid w:val="004D7CEA"/>
    <w:rsid w:val="004D7DA6"/>
    <w:rsid w:val="004D7EDD"/>
    <w:rsid w:val="004DD235"/>
    <w:rsid w:val="004E0071"/>
    <w:rsid w:val="004E0134"/>
    <w:rsid w:val="004E01A0"/>
    <w:rsid w:val="004E0311"/>
    <w:rsid w:val="004E07F6"/>
    <w:rsid w:val="004E088B"/>
    <w:rsid w:val="004E08B0"/>
    <w:rsid w:val="004E0A08"/>
    <w:rsid w:val="004E0DE2"/>
    <w:rsid w:val="004E0E0B"/>
    <w:rsid w:val="004E0F07"/>
    <w:rsid w:val="004E0F95"/>
    <w:rsid w:val="004E11B1"/>
    <w:rsid w:val="004E1317"/>
    <w:rsid w:val="004E13D6"/>
    <w:rsid w:val="004E1665"/>
    <w:rsid w:val="004E17BE"/>
    <w:rsid w:val="004E1A3A"/>
    <w:rsid w:val="004E1AAC"/>
    <w:rsid w:val="004E1F58"/>
    <w:rsid w:val="004E2264"/>
    <w:rsid w:val="004E2270"/>
    <w:rsid w:val="004E22A3"/>
    <w:rsid w:val="004E2352"/>
    <w:rsid w:val="004E26BA"/>
    <w:rsid w:val="004E27D7"/>
    <w:rsid w:val="004E2856"/>
    <w:rsid w:val="004E28E3"/>
    <w:rsid w:val="004E298F"/>
    <w:rsid w:val="004E2BA6"/>
    <w:rsid w:val="004E2BEC"/>
    <w:rsid w:val="004E2D24"/>
    <w:rsid w:val="004E2E37"/>
    <w:rsid w:val="004E3174"/>
    <w:rsid w:val="004E3472"/>
    <w:rsid w:val="004E351E"/>
    <w:rsid w:val="004E388C"/>
    <w:rsid w:val="004E39E4"/>
    <w:rsid w:val="004E3B4F"/>
    <w:rsid w:val="004E3D36"/>
    <w:rsid w:val="004E41C4"/>
    <w:rsid w:val="004E42D1"/>
    <w:rsid w:val="004E444E"/>
    <w:rsid w:val="004E4653"/>
    <w:rsid w:val="004E4A68"/>
    <w:rsid w:val="004E4AB2"/>
    <w:rsid w:val="004E4D4B"/>
    <w:rsid w:val="004E4D5D"/>
    <w:rsid w:val="004E4DE4"/>
    <w:rsid w:val="004E4E25"/>
    <w:rsid w:val="004E4F9D"/>
    <w:rsid w:val="004E5068"/>
    <w:rsid w:val="004E50FB"/>
    <w:rsid w:val="004E51BA"/>
    <w:rsid w:val="004E526D"/>
    <w:rsid w:val="004E52B1"/>
    <w:rsid w:val="004E52D3"/>
    <w:rsid w:val="004E54EA"/>
    <w:rsid w:val="004E5A4B"/>
    <w:rsid w:val="004E5ADC"/>
    <w:rsid w:val="004E5B1C"/>
    <w:rsid w:val="004E5DB1"/>
    <w:rsid w:val="004E6032"/>
    <w:rsid w:val="004E6158"/>
    <w:rsid w:val="004E627B"/>
    <w:rsid w:val="004E63A2"/>
    <w:rsid w:val="004E6600"/>
    <w:rsid w:val="004E6709"/>
    <w:rsid w:val="004E6785"/>
    <w:rsid w:val="004E688F"/>
    <w:rsid w:val="004E6BB1"/>
    <w:rsid w:val="004E6C36"/>
    <w:rsid w:val="004E6C6C"/>
    <w:rsid w:val="004E6F1A"/>
    <w:rsid w:val="004E6F41"/>
    <w:rsid w:val="004E715D"/>
    <w:rsid w:val="004E7176"/>
    <w:rsid w:val="004E7220"/>
    <w:rsid w:val="004E76E9"/>
    <w:rsid w:val="004E77C0"/>
    <w:rsid w:val="004E789B"/>
    <w:rsid w:val="004E78F0"/>
    <w:rsid w:val="004E7BE7"/>
    <w:rsid w:val="004E7BEE"/>
    <w:rsid w:val="004E7C90"/>
    <w:rsid w:val="004E7DB9"/>
    <w:rsid w:val="004E7FEF"/>
    <w:rsid w:val="004F007F"/>
    <w:rsid w:val="004F0265"/>
    <w:rsid w:val="004F0489"/>
    <w:rsid w:val="004F04CB"/>
    <w:rsid w:val="004F0716"/>
    <w:rsid w:val="004F09F3"/>
    <w:rsid w:val="004F0A1F"/>
    <w:rsid w:val="004F0D55"/>
    <w:rsid w:val="004F0D58"/>
    <w:rsid w:val="004F1131"/>
    <w:rsid w:val="004F12C1"/>
    <w:rsid w:val="004F1325"/>
    <w:rsid w:val="004F13EC"/>
    <w:rsid w:val="004F169E"/>
    <w:rsid w:val="004F1705"/>
    <w:rsid w:val="004F1752"/>
    <w:rsid w:val="004F19FB"/>
    <w:rsid w:val="004F1A08"/>
    <w:rsid w:val="004F1B0E"/>
    <w:rsid w:val="004F1BCE"/>
    <w:rsid w:val="004F1C11"/>
    <w:rsid w:val="004F1C37"/>
    <w:rsid w:val="004F1E0A"/>
    <w:rsid w:val="004F1E88"/>
    <w:rsid w:val="004F230F"/>
    <w:rsid w:val="004F2365"/>
    <w:rsid w:val="004F238F"/>
    <w:rsid w:val="004F25B5"/>
    <w:rsid w:val="004F276B"/>
    <w:rsid w:val="004F27E2"/>
    <w:rsid w:val="004F2A62"/>
    <w:rsid w:val="004F2CD5"/>
    <w:rsid w:val="004F2D5B"/>
    <w:rsid w:val="004F2E5D"/>
    <w:rsid w:val="004F2FC4"/>
    <w:rsid w:val="004F3238"/>
    <w:rsid w:val="004F327E"/>
    <w:rsid w:val="004F37E2"/>
    <w:rsid w:val="004F393A"/>
    <w:rsid w:val="004F3CF8"/>
    <w:rsid w:val="004F3DA2"/>
    <w:rsid w:val="004F40F1"/>
    <w:rsid w:val="004F4485"/>
    <w:rsid w:val="004F471A"/>
    <w:rsid w:val="004F4939"/>
    <w:rsid w:val="004F4943"/>
    <w:rsid w:val="004F4ADB"/>
    <w:rsid w:val="004F4B20"/>
    <w:rsid w:val="004F4C01"/>
    <w:rsid w:val="004F4F92"/>
    <w:rsid w:val="004F4FC9"/>
    <w:rsid w:val="004F5041"/>
    <w:rsid w:val="004F5398"/>
    <w:rsid w:val="004F559B"/>
    <w:rsid w:val="004F55C4"/>
    <w:rsid w:val="004F5A0D"/>
    <w:rsid w:val="004F5F5E"/>
    <w:rsid w:val="004F6291"/>
    <w:rsid w:val="004F66CC"/>
    <w:rsid w:val="004F67F0"/>
    <w:rsid w:val="004F69F5"/>
    <w:rsid w:val="004F6AE4"/>
    <w:rsid w:val="004F6DB0"/>
    <w:rsid w:val="004F6EB5"/>
    <w:rsid w:val="004F6EFB"/>
    <w:rsid w:val="004F717F"/>
    <w:rsid w:val="004F79CF"/>
    <w:rsid w:val="004F7A28"/>
    <w:rsid w:val="004F7B0A"/>
    <w:rsid w:val="004F7C88"/>
    <w:rsid w:val="004F7DD1"/>
    <w:rsid w:val="004F7E57"/>
    <w:rsid w:val="004F7FBA"/>
    <w:rsid w:val="00500024"/>
    <w:rsid w:val="005000D9"/>
    <w:rsid w:val="00500102"/>
    <w:rsid w:val="00500158"/>
    <w:rsid w:val="0050029F"/>
    <w:rsid w:val="005003A8"/>
    <w:rsid w:val="005003B9"/>
    <w:rsid w:val="005007F9"/>
    <w:rsid w:val="00500C01"/>
    <w:rsid w:val="00500C9D"/>
    <w:rsid w:val="00500E1B"/>
    <w:rsid w:val="00500F5F"/>
    <w:rsid w:val="00500F8B"/>
    <w:rsid w:val="0050113B"/>
    <w:rsid w:val="00501228"/>
    <w:rsid w:val="00501378"/>
    <w:rsid w:val="005014F3"/>
    <w:rsid w:val="0050150C"/>
    <w:rsid w:val="00501638"/>
    <w:rsid w:val="0050165D"/>
    <w:rsid w:val="00501691"/>
    <w:rsid w:val="005017D7"/>
    <w:rsid w:val="00501A66"/>
    <w:rsid w:val="00501BAC"/>
    <w:rsid w:val="00501D75"/>
    <w:rsid w:val="00501DE7"/>
    <w:rsid w:val="00501E8B"/>
    <w:rsid w:val="00501FD6"/>
    <w:rsid w:val="00502205"/>
    <w:rsid w:val="00502231"/>
    <w:rsid w:val="00502429"/>
    <w:rsid w:val="0050255A"/>
    <w:rsid w:val="005025BF"/>
    <w:rsid w:val="005026E0"/>
    <w:rsid w:val="00502A09"/>
    <w:rsid w:val="00502AB8"/>
    <w:rsid w:val="00502D09"/>
    <w:rsid w:val="00502E49"/>
    <w:rsid w:val="00503410"/>
    <w:rsid w:val="00503417"/>
    <w:rsid w:val="00503452"/>
    <w:rsid w:val="00503482"/>
    <w:rsid w:val="0050351C"/>
    <w:rsid w:val="0050370C"/>
    <w:rsid w:val="00503727"/>
    <w:rsid w:val="00503968"/>
    <w:rsid w:val="00503B57"/>
    <w:rsid w:val="00503CC5"/>
    <w:rsid w:val="00504005"/>
    <w:rsid w:val="005040B3"/>
    <w:rsid w:val="0050431D"/>
    <w:rsid w:val="005043BE"/>
    <w:rsid w:val="00504A54"/>
    <w:rsid w:val="00504D75"/>
    <w:rsid w:val="00504D8C"/>
    <w:rsid w:val="00504E6E"/>
    <w:rsid w:val="00504EBC"/>
    <w:rsid w:val="0050558B"/>
    <w:rsid w:val="00505640"/>
    <w:rsid w:val="0050576C"/>
    <w:rsid w:val="005058B9"/>
    <w:rsid w:val="00505A6F"/>
    <w:rsid w:val="00505AD9"/>
    <w:rsid w:val="00505E13"/>
    <w:rsid w:val="00505EA3"/>
    <w:rsid w:val="00505F20"/>
    <w:rsid w:val="00506342"/>
    <w:rsid w:val="005064FB"/>
    <w:rsid w:val="00506A40"/>
    <w:rsid w:val="00506B6C"/>
    <w:rsid w:val="00506C13"/>
    <w:rsid w:val="00506F81"/>
    <w:rsid w:val="00506FDD"/>
    <w:rsid w:val="00507360"/>
    <w:rsid w:val="0050782D"/>
    <w:rsid w:val="005078C0"/>
    <w:rsid w:val="00507AF6"/>
    <w:rsid w:val="00507D6C"/>
    <w:rsid w:val="00507D76"/>
    <w:rsid w:val="0051004A"/>
    <w:rsid w:val="00510099"/>
    <w:rsid w:val="00510175"/>
    <w:rsid w:val="005101A9"/>
    <w:rsid w:val="005101FD"/>
    <w:rsid w:val="00510381"/>
    <w:rsid w:val="00510897"/>
    <w:rsid w:val="00510954"/>
    <w:rsid w:val="00510A22"/>
    <w:rsid w:val="00510B68"/>
    <w:rsid w:val="00510BEF"/>
    <w:rsid w:val="00510CBA"/>
    <w:rsid w:val="00510CF7"/>
    <w:rsid w:val="00510FC7"/>
    <w:rsid w:val="005113D0"/>
    <w:rsid w:val="00511404"/>
    <w:rsid w:val="005115C8"/>
    <w:rsid w:val="005115EA"/>
    <w:rsid w:val="005117F7"/>
    <w:rsid w:val="00511B22"/>
    <w:rsid w:val="00511CBB"/>
    <w:rsid w:val="00511CF8"/>
    <w:rsid w:val="005122E4"/>
    <w:rsid w:val="00512356"/>
    <w:rsid w:val="005123C1"/>
    <w:rsid w:val="00512430"/>
    <w:rsid w:val="005124D0"/>
    <w:rsid w:val="00512640"/>
    <w:rsid w:val="00512784"/>
    <w:rsid w:val="00512939"/>
    <w:rsid w:val="00512A45"/>
    <w:rsid w:val="00512B09"/>
    <w:rsid w:val="00512BD2"/>
    <w:rsid w:val="005130C4"/>
    <w:rsid w:val="0051333F"/>
    <w:rsid w:val="00513638"/>
    <w:rsid w:val="00513A57"/>
    <w:rsid w:val="00513B93"/>
    <w:rsid w:val="00513B9A"/>
    <w:rsid w:val="00513CD4"/>
    <w:rsid w:val="00513D88"/>
    <w:rsid w:val="00514383"/>
    <w:rsid w:val="005146FE"/>
    <w:rsid w:val="005147CB"/>
    <w:rsid w:val="00514EB9"/>
    <w:rsid w:val="00514F68"/>
    <w:rsid w:val="0051522F"/>
    <w:rsid w:val="005152FD"/>
    <w:rsid w:val="005153B5"/>
    <w:rsid w:val="005153E9"/>
    <w:rsid w:val="00515538"/>
    <w:rsid w:val="005156E9"/>
    <w:rsid w:val="00515A01"/>
    <w:rsid w:val="00515CE6"/>
    <w:rsid w:val="00515E63"/>
    <w:rsid w:val="00515F18"/>
    <w:rsid w:val="00515F5A"/>
    <w:rsid w:val="0051624F"/>
    <w:rsid w:val="00516616"/>
    <w:rsid w:val="0051661E"/>
    <w:rsid w:val="00516777"/>
    <w:rsid w:val="00516835"/>
    <w:rsid w:val="00516853"/>
    <w:rsid w:val="0051685F"/>
    <w:rsid w:val="00516A35"/>
    <w:rsid w:val="00516C40"/>
    <w:rsid w:val="00516C87"/>
    <w:rsid w:val="00516DCE"/>
    <w:rsid w:val="005170C9"/>
    <w:rsid w:val="005172EB"/>
    <w:rsid w:val="00517309"/>
    <w:rsid w:val="00517419"/>
    <w:rsid w:val="005175F3"/>
    <w:rsid w:val="0051792E"/>
    <w:rsid w:val="0051796C"/>
    <w:rsid w:val="00517A0D"/>
    <w:rsid w:val="00517A3A"/>
    <w:rsid w:val="00517A51"/>
    <w:rsid w:val="00517D97"/>
    <w:rsid w:val="00517FFC"/>
    <w:rsid w:val="0052003F"/>
    <w:rsid w:val="00520199"/>
    <w:rsid w:val="005202EC"/>
    <w:rsid w:val="0052039E"/>
    <w:rsid w:val="005207E9"/>
    <w:rsid w:val="0052092F"/>
    <w:rsid w:val="00520995"/>
    <w:rsid w:val="00520A0B"/>
    <w:rsid w:val="00520A80"/>
    <w:rsid w:val="00520B39"/>
    <w:rsid w:val="00520B4C"/>
    <w:rsid w:val="00520C53"/>
    <w:rsid w:val="00520F05"/>
    <w:rsid w:val="005210C8"/>
    <w:rsid w:val="00521110"/>
    <w:rsid w:val="005211E8"/>
    <w:rsid w:val="00521434"/>
    <w:rsid w:val="00521658"/>
    <w:rsid w:val="005216BE"/>
    <w:rsid w:val="0052178F"/>
    <w:rsid w:val="00521DE4"/>
    <w:rsid w:val="00521E81"/>
    <w:rsid w:val="00521EB4"/>
    <w:rsid w:val="00521F55"/>
    <w:rsid w:val="005222FB"/>
    <w:rsid w:val="005224B4"/>
    <w:rsid w:val="00522562"/>
    <w:rsid w:val="00522751"/>
    <w:rsid w:val="00522844"/>
    <w:rsid w:val="00522981"/>
    <w:rsid w:val="00522B8B"/>
    <w:rsid w:val="00522C06"/>
    <w:rsid w:val="00522C70"/>
    <w:rsid w:val="00522E2B"/>
    <w:rsid w:val="00523075"/>
    <w:rsid w:val="00523092"/>
    <w:rsid w:val="005231C9"/>
    <w:rsid w:val="005233C8"/>
    <w:rsid w:val="0052366B"/>
    <w:rsid w:val="00523A74"/>
    <w:rsid w:val="00523DCC"/>
    <w:rsid w:val="00523F6E"/>
    <w:rsid w:val="00524385"/>
    <w:rsid w:val="00524438"/>
    <w:rsid w:val="00524446"/>
    <w:rsid w:val="00524488"/>
    <w:rsid w:val="005245CF"/>
    <w:rsid w:val="00524724"/>
    <w:rsid w:val="00524919"/>
    <w:rsid w:val="00524B31"/>
    <w:rsid w:val="00524CEE"/>
    <w:rsid w:val="00524D1F"/>
    <w:rsid w:val="00524DB1"/>
    <w:rsid w:val="005250BD"/>
    <w:rsid w:val="00525234"/>
    <w:rsid w:val="005254D4"/>
    <w:rsid w:val="0052570E"/>
    <w:rsid w:val="00525C22"/>
    <w:rsid w:val="00525C94"/>
    <w:rsid w:val="00525CCC"/>
    <w:rsid w:val="00525CE1"/>
    <w:rsid w:val="005260EF"/>
    <w:rsid w:val="0052620A"/>
    <w:rsid w:val="00526346"/>
    <w:rsid w:val="005264EE"/>
    <w:rsid w:val="005264FC"/>
    <w:rsid w:val="0052654B"/>
    <w:rsid w:val="005265AE"/>
    <w:rsid w:val="005265EE"/>
    <w:rsid w:val="00526622"/>
    <w:rsid w:val="00526AA8"/>
    <w:rsid w:val="00526DD9"/>
    <w:rsid w:val="00526EAF"/>
    <w:rsid w:val="00526F52"/>
    <w:rsid w:val="00526F5A"/>
    <w:rsid w:val="00526F6A"/>
    <w:rsid w:val="00527314"/>
    <w:rsid w:val="005276B5"/>
    <w:rsid w:val="005276D4"/>
    <w:rsid w:val="00527D30"/>
    <w:rsid w:val="00527D9B"/>
    <w:rsid w:val="00527E6E"/>
    <w:rsid w:val="00530017"/>
    <w:rsid w:val="00530087"/>
    <w:rsid w:val="00530089"/>
    <w:rsid w:val="0053088F"/>
    <w:rsid w:val="00530C21"/>
    <w:rsid w:val="00530C91"/>
    <w:rsid w:val="00530ED4"/>
    <w:rsid w:val="00530EDA"/>
    <w:rsid w:val="00530F4D"/>
    <w:rsid w:val="005310A3"/>
    <w:rsid w:val="0053116C"/>
    <w:rsid w:val="00531203"/>
    <w:rsid w:val="00531230"/>
    <w:rsid w:val="005312F2"/>
    <w:rsid w:val="0053135E"/>
    <w:rsid w:val="0053151B"/>
    <w:rsid w:val="0053171C"/>
    <w:rsid w:val="0053188A"/>
    <w:rsid w:val="005323A3"/>
    <w:rsid w:val="0053253F"/>
    <w:rsid w:val="005329C5"/>
    <w:rsid w:val="00532AF0"/>
    <w:rsid w:val="00532C99"/>
    <w:rsid w:val="00533350"/>
    <w:rsid w:val="005333A2"/>
    <w:rsid w:val="005333BC"/>
    <w:rsid w:val="00533546"/>
    <w:rsid w:val="0053362F"/>
    <w:rsid w:val="00533665"/>
    <w:rsid w:val="0053389E"/>
    <w:rsid w:val="00533A77"/>
    <w:rsid w:val="00533B83"/>
    <w:rsid w:val="00533C87"/>
    <w:rsid w:val="00534076"/>
    <w:rsid w:val="00534110"/>
    <w:rsid w:val="0053420F"/>
    <w:rsid w:val="0053470B"/>
    <w:rsid w:val="00534835"/>
    <w:rsid w:val="00534994"/>
    <w:rsid w:val="005349BA"/>
    <w:rsid w:val="00534C98"/>
    <w:rsid w:val="0053506B"/>
    <w:rsid w:val="005352AC"/>
    <w:rsid w:val="005354C1"/>
    <w:rsid w:val="005354C3"/>
    <w:rsid w:val="00535791"/>
    <w:rsid w:val="005358C3"/>
    <w:rsid w:val="00535BF6"/>
    <w:rsid w:val="00535DDF"/>
    <w:rsid w:val="00535FF6"/>
    <w:rsid w:val="00536556"/>
    <w:rsid w:val="00536626"/>
    <w:rsid w:val="005367EE"/>
    <w:rsid w:val="00536E69"/>
    <w:rsid w:val="00536F01"/>
    <w:rsid w:val="00536FD6"/>
    <w:rsid w:val="00537293"/>
    <w:rsid w:val="00537674"/>
    <w:rsid w:val="00537771"/>
    <w:rsid w:val="00537818"/>
    <w:rsid w:val="00537B46"/>
    <w:rsid w:val="00537E3A"/>
    <w:rsid w:val="0053E198"/>
    <w:rsid w:val="00540176"/>
    <w:rsid w:val="005403E0"/>
    <w:rsid w:val="0054040D"/>
    <w:rsid w:val="00540411"/>
    <w:rsid w:val="005406D7"/>
    <w:rsid w:val="00540748"/>
    <w:rsid w:val="00540885"/>
    <w:rsid w:val="00540896"/>
    <w:rsid w:val="00540919"/>
    <w:rsid w:val="0054095A"/>
    <w:rsid w:val="0054098D"/>
    <w:rsid w:val="005409BB"/>
    <w:rsid w:val="00540AF4"/>
    <w:rsid w:val="00540CDD"/>
    <w:rsid w:val="00540D25"/>
    <w:rsid w:val="00541366"/>
    <w:rsid w:val="0054157C"/>
    <w:rsid w:val="005415D7"/>
    <w:rsid w:val="00541695"/>
    <w:rsid w:val="00541740"/>
    <w:rsid w:val="00541872"/>
    <w:rsid w:val="00541ABB"/>
    <w:rsid w:val="00541BFE"/>
    <w:rsid w:val="00542261"/>
    <w:rsid w:val="005424A6"/>
    <w:rsid w:val="005426C1"/>
    <w:rsid w:val="00542739"/>
    <w:rsid w:val="00542888"/>
    <w:rsid w:val="005428C0"/>
    <w:rsid w:val="00542DAD"/>
    <w:rsid w:val="00542F5E"/>
    <w:rsid w:val="00542F9A"/>
    <w:rsid w:val="005430BD"/>
    <w:rsid w:val="00543389"/>
    <w:rsid w:val="0054386B"/>
    <w:rsid w:val="00543AB1"/>
    <w:rsid w:val="00543ED7"/>
    <w:rsid w:val="00543F37"/>
    <w:rsid w:val="0054425D"/>
    <w:rsid w:val="005445C8"/>
    <w:rsid w:val="005445CA"/>
    <w:rsid w:val="00544647"/>
    <w:rsid w:val="005447AF"/>
    <w:rsid w:val="00544A57"/>
    <w:rsid w:val="00544B4B"/>
    <w:rsid w:val="00544D67"/>
    <w:rsid w:val="00544D83"/>
    <w:rsid w:val="00544DB3"/>
    <w:rsid w:val="005451CF"/>
    <w:rsid w:val="00545270"/>
    <w:rsid w:val="0054529F"/>
    <w:rsid w:val="00545493"/>
    <w:rsid w:val="00545627"/>
    <w:rsid w:val="00545689"/>
    <w:rsid w:val="00545B3E"/>
    <w:rsid w:val="00545C28"/>
    <w:rsid w:val="00545C47"/>
    <w:rsid w:val="00545EB2"/>
    <w:rsid w:val="0054637B"/>
    <w:rsid w:val="0054645E"/>
    <w:rsid w:val="00546608"/>
    <w:rsid w:val="00546623"/>
    <w:rsid w:val="005466B9"/>
    <w:rsid w:val="0054674E"/>
    <w:rsid w:val="00546EF3"/>
    <w:rsid w:val="00547501"/>
    <w:rsid w:val="0054754A"/>
    <w:rsid w:val="00547637"/>
    <w:rsid w:val="00547693"/>
    <w:rsid w:val="005477B2"/>
    <w:rsid w:val="005478E0"/>
    <w:rsid w:val="00547C57"/>
    <w:rsid w:val="00547E06"/>
    <w:rsid w:val="00547E7E"/>
    <w:rsid w:val="00547EB1"/>
    <w:rsid w:val="005506B3"/>
    <w:rsid w:val="00550950"/>
    <w:rsid w:val="00550A8E"/>
    <w:rsid w:val="00550B24"/>
    <w:rsid w:val="00550F69"/>
    <w:rsid w:val="00550FA7"/>
    <w:rsid w:val="00551180"/>
    <w:rsid w:val="005515D3"/>
    <w:rsid w:val="0055167C"/>
    <w:rsid w:val="005517F8"/>
    <w:rsid w:val="00551951"/>
    <w:rsid w:val="00551A5A"/>
    <w:rsid w:val="00551A5B"/>
    <w:rsid w:val="00552156"/>
    <w:rsid w:val="00552348"/>
    <w:rsid w:val="005523B8"/>
    <w:rsid w:val="005525C8"/>
    <w:rsid w:val="00552759"/>
    <w:rsid w:val="005528BB"/>
    <w:rsid w:val="00552AF0"/>
    <w:rsid w:val="00552D49"/>
    <w:rsid w:val="00552DCC"/>
    <w:rsid w:val="00553271"/>
    <w:rsid w:val="005535FC"/>
    <w:rsid w:val="005536EE"/>
    <w:rsid w:val="00553C98"/>
    <w:rsid w:val="005547B6"/>
    <w:rsid w:val="00554804"/>
    <w:rsid w:val="0055480C"/>
    <w:rsid w:val="005548E3"/>
    <w:rsid w:val="005549C6"/>
    <w:rsid w:val="005549C9"/>
    <w:rsid w:val="00554A2D"/>
    <w:rsid w:val="00554AB5"/>
    <w:rsid w:val="00554B25"/>
    <w:rsid w:val="00554B9D"/>
    <w:rsid w:val="00554E26"/>
    <w:rsid w:val="00554F58"/>
    <w:rsid w:val="00555373"/>
    <w:rsid w:val="00555451"/>
    <w:rsid w:val="005554A7"/>
    <w:rsid w:val="005555AB"/>
    <w:rsid w:val="00555779"/>
    <w:rsid w:val="005559E5"/>
    <w:rsid w:val="00555F43"/>
    <w:rsid w:val="00555F74"/>
    <w:rsid w:val="00555FE4"/>
    <w:rsid w:val="005560FE"/>
    <w:rsid w:val="00556356"/>
    <w:rsid w:val="00556415"/>
    <w:rsid w:val="005564B6"/>
    <w:rsid w:val="005565EC"/>
    <w:rsid w:val="00556AE0"/>
    <w:rsid w:val="00556C42"/>
    <w:rsid w:val="00556F3F"/>
    <w:rsid w:val="0055701E"/>
    <w:rsid w:val="00557032"/>
    <w:rsid w:val="005572E3"/>
    <w:rsid w:val="005574B6"/>
    <w:rsid w:val="005576EA"/>
    <w:rsid w:val="00557B5F"/>
    <w:rsid w:val="00557CBD"/>
    <w:rsid w:val="00557CEB"/>
    <w:rsid w:val="00557DD2"/>
    <w:rsid w:val="00557E23"/>
    <w:rsid w:val="00557EF3"/>
    <w:rsid w:val="00557FED"/>
    <w:rsid w:val="0056015C"/>
    <w:rsid w:val="00560474"/>
    <w:rsid w:val="0056056C"/>
    <w:rsid w:val="005605EE"/>
    <w:rsid w:val="00560677"/>
    <w:rsid w:val="00560845"/>
    <w:rsid w:val="005609EF"/>
    <w:rsid w:val="00560A20"/>
    <w:rsid w:val="00560B47"/>
    <w:rsid w:val="00560B82"/>
    <w:rsid w:val="00561029"/>
    <w:rsid w:val="005611C4"/>
    <w:rsid w:val="00561297"/>
    <w:rsid w:val="005612B6"/>
    <w:rsid w:val="005612C6"/>
    <w:rsid w:val="005613CD"/>
    <w:rsid w:val="00561458"/>
    <w:rsid w:val="005617CA"/>
    <w:rsid w:val="00561AED"/>
    <w:rsid w:val="00561B5E"/>
    <w:rsid w:val="00561B72"/>
    <w:rsid w:val="00561F5D"/>
    <w:rsid w:val="005622DF"/>
    <w:rsid w:val="005622E3"/>
    <w:rsid w:val="00562440"/>
    <w:rsid w:val="005624E6"/>
    <w:rsid w:val="00562570"/>
    <w:rsid w:val="005627FE"/>
    <w:rsid w:val="00562863"/>
    <w:rsid w:val="00562992"/>
    <w:rsid w:val="00562B0C"/>
    <w:rsid w:val="00562BC5"/>
    <w:rsid w:val="00563289"/>
    <w:rsid w:val="00563489"/>
    <w:rsid w:val="00563526"/>
    <w:rsid w:val="00563575"/>
    <w:rsid w:val="00563594"/>
    <w:rsid w:val="005636B7"/>
    <w:rsid w:val="005639F7"/>
    <w:rsid w:val="00563A02"/>
    <w:rsid w:val="00563D36"/>
    <w:rsid w:val="00563DBE"/>
    <w:rsid w:val="00563EEC"/>
    <w:rsid w:val="00563F27"/>
    <w:rsid w:val="00564088"/>
    <w:rsid w:val="005640CD"/>
    <w:rsid w:val="0056412D"/>
    <w:rsid w:val="00564139"/>
    <w:rsid w:val="00564196"/>
    <w:rsid w:val="00564238"/>
    <w:rsid w:val="005644EF"/>
    <w:rsid w:val="00564BE6"/>
    <w:rsid w:val="00564C4B"/>
    <w:rsid w:val="00564DCA"/>
    <w:rsid w:val="00564FCB"/>
    <w:rsid w:val="00564FD6"/>
    <w:rsid w:val="005650B4"/>
    <w:rsid w:val="0056535D"/>
    <w:rsid w:val="005654DC"/>
    <w:rsid w:val="005654F1"/>
    <w:rsid w:val="00565A8D"/>
    <w:rsid w:val="00565B80"/>
    <w:rsid w:val="00565C8E"/>
    <w:rsid w:val="00565C97"/>
    <w:rsid w:val="00565EAF"/>
    <w:rsid w:val="00566106"/>
    <w:rsid w:val="00566255"/>
    <w:rsid w:val="00566453"/>
    <w:rsid w:val="00566456"/>
    <w:rsid w:val="005667E4"/>
    <w:rsid w:val="00566BF1"/>
    <w:rsid w:val="00566EC3"/>
    <w:rsid w:val="00566F4D"/>
    <w:rsid w:val="00566FE4"/>
    <w:rsid w:val="00567180"/>
    <w:rsid w:val="00567278"/>
    <w:rsid w:val="00567561"/>
    <w:rsid w:val="0056761B"/>
    <w:rsid w:val="005676CE"/>
    <w:rsid w:val="00567766"/>
    <w:rsid w:val="005679E8"/>
    <w:rsid w:val="00567AEE"/>
    <w:rsid w:val="00567B30"/>
    <w:rsid w:val="00567CAA"/>
    <w:rsid w:val="00567DF0"/>
    <w:rsid w:val="00567EA7"/>
    <w:rsid w:val="00567FD2"/>
    <w:rsid w:val="00567FDA"/>
    <w:rsid w:val="00567FE9"/>
    <w:rsid w:val="005700DE"/>
    <w:rsid w:val="005701CD"/>
    <w:rsid w:val="0057032F"/>
    <w:rsid w:val="005703EE"/>
    <w:rsid w:val="00570636"/>
    <w:rsid w:val="0057076B"/>
    <w:rsid w:val="0057087A"/>
    <w:rsid w:val="00570A43"/>
    <w:rsid w:val="00570EF7"/>
    <w:rsid w:val="00571281"/>
    <w:rsid w:val="005712A4"/>
    <w:rsid w:val="005712E5"/>
    <w:rsid w:val="0057133F"/>
    <w:rsid w:val="00571341"/>
    <w:rsid w:val="00571454"/>
    <w:rsid w:val="005718D0"/>
    <w:rsid w:val="00571CD3"/>
    <w:rsid w:val="00571CE1"/>
    <w:rsid w:val="00571E16"/>
    <w:rsid w:val="00571F64"/>
    <w:rsid w:val="0057280C"/>
    <w:rsid w:val="0057287E"/>
    <w:rsid w:val="00572A09"/>
    <w:rsid w:val="00572D23"/>
    <w:rsid w:val="00572EC7"/>
    <w:rsid w:val="0057301E"/>
    <w:rsid w:val="0057308C"/>
    <w:rsid w:val="00573187"/>
    <w:rsid w:val="005734AE"/>
    <w:rsid w:val="005735E9"/>
    <w:rsid w:val="00573684"/>
    <w:rsid w:val="00573C20"/>
    <w:rsid w:val="00573ECC"/>
    <w:rsid w:val="00573F18"/>
    <w:rsid w:val="0057402F"/>
    <w:rsid w:val="00574213"/>
    <w:rsid w:val="00574272"/>
    <w:rsid w:val="0057455F"/>
    <w:rsid w:val="005749CA"/>
    <w:rsid w:val="005749E8"/>
    <w:rsid w:val="00574D95"/>
    <w:rsid w:val="00574DD3"/>
    <w:rsid w:val="0057511B"/>
    <w:rsid w:val="005751C3"/>
    <w:rsid w:val="005753AC"/>
    <w:rsid w:val="005757C7"/>
    <w:rsid w:val="005758A6"/>
    <w:rsid w:val="00575A1F"/>
    <w:rsid w:val="00575A59"/>
    <w:rsid w:val="00575B84"/>
    <w:rsid w:val="00575F06"/>
    <w:rsid w:val="00575F26"/>
    <w:rsid w:val="00576085"/>
    <w:rsid w:val="005760AC"/>
    <w:rsid w:val="005761CF"/>
    <w:rsid w:val="0057622C"/>
    <w:rsid w:val="00576332"/>
    <w:rsid w:val="0057664E"/>
    <w:rsid w:val="00576763"/>
    <w:rsid w:val="0057685C"/>
    <w:rsid w:val="005768A1"/>
    <w:rsid w:val="00576A24"/>
    <w:rsid w:val="00576B5F"/>
    <w:rsid w:val="00576C66"/>
    <w:rsid w:val="00576F07"/>
    <w:rsid w:val="00576F3A"/>
    <w:rsid w:val="005770B0"/>
    <w:rsid w:val="00577190"/>
    <w:rsid w:val="0057740D"/>
    <w:rsid w:val="005775CD"/>
    <w:rsid w:val="0057767D"/>
    <w:rsid w:val="00577787"/>
    <w:rsid w:val="0057798A"/>
    <w:rsid w:val="00577B58"/>
    <w:rsid w:val="00577CCE"/>
    <w:rsid w:val="00577E75"/>
    <w:rsid w:val="00577F20"/>
    <w:rsid w:val="005802B9"/>
    <w:rsid w:val="0058088B"/>
    <w:rsid w:val="00580A21"/>
    <w:rsid w:val="00580A86"/>
    <w:rsid w:val="00580AB6"/>
    <w:rsid w:val="00580B32"/>
    <w:rsid w:val="00580B4C"/>
    <w:rsid w:val="00580BE5"/>
    <w:rsid w:val="00580CAF"/>
    <w:rsid w:val="00581060"/>
    <w:rsid w:val="005810EB"/>
    <w:rsid w:val="00581352"/>
    <w:rsid w:val="005813F2"/>
    <w:rsid w:val="00581563"/>
    <w:rsid w:val="005817D6"/>
    <w:rsid w:val="00581C58"/>
    <w:rsid w:val="00581CA9"/>
    <w:rsid w:val="00581CB8"/>
    <w:rsid w:val="00581CF4"/>
    <w:rsid w:val="00582096"/>
    <w:rsid w:val="005827C8"/>
    <w:rsid w:val="00582906"/>
    <w:rsid w:val="00582EB5"/>
    <w:rsid w:val="00583477"/>
    <w:rsid w:val="00583594"/>
    <w:rsid w:val="00583795"/>
    <w:rsid w:val="00583901"/>
    <w:rsid w:val="00583ACE"/>
    <w:rsid w:val="00583B1E"/>
    <w:rsid w:val="00583D60"/>
    <w:rsid w:val="00583DA1"/>
    <w:rsid w:val="00583DEE"/>
    <w:rsid w:val="00583FE2"/>
    <w:rsid w:val="005842AB"/>
    <w:rsid w:val="00584B00"/>
    <w:rsid w:val="00584BD3"/>
    <w:rsid w:val="00584FE8"/>
    <w:rsid w:val="00585057"/>
    <w:rsid w:val="00585099"/>
    <w:rsid w:val="005850E1"/>
    <w:rsid w:val="00585158"/>
    <w:rsid w:val="00585263"/>
    <w:rsid w:val="005852BF"/>
    <w:rsid w:val="00585309"/>
    <w:rsid w:val="00585790"/>
    <w:rsid w:val="005859C1"/>
    <w:rsid w:val="00585A13"/>
    <w:rsid w:val="00585A95"/>
    <w:rsid w:val="00585C66"/>
    <w:rsid w:val="00585D84"/>
    <w:rsid w:val="00585F39"/>
    <w:rsid w:val="00585F95"/>
    <w:rsid w:val="00586008"/>
    <w:rsid w:val="00586087"/>
    <w:rsid w:val="0058617C"/>
    <w:rsid w:val="00586382"/>
    <w:rsid w:val="00586444"/>
    <w:rsid w:val="00586468"/>
    <w:rsid w:val="00586526"/>
    <w:rsid w:val="0058663B"/>
    <w:rsid w:val="00586654"/>
    <w:rsid w:val="00586727"/>
    <w:rsid w:val="005868D5"/>
    <w:rsid w:val="00586A60"/>
    <w:rsid w:val="00586AEB"/>
    <w:rsid w:val="00586C0E"/>
    <w:rsid w:val="00586C2E"/>
    <w:rsid w:val="00586D6F"/>
    <w:rsid w:val="00587373"/>
    <w:rsid w:val="005875D3"/>
    <w:rsid w:val="005876DE"/>
    <w:rsid w:val="0058777F"/>
    <w:rsid w:val="005878EA"/>
    <w:rsid w:val="00587944"/>
    <w:rsid w:val="00587A00"/>
    <w:rsid w:val="00587AFB"/>
    <w:rsid w:val="00587B0F"/>
    <w:rsid w:val="00587F0E"/>
    <w:rsid w:val="005900AD"/>
    <w:rsid w:val="00590171"/>
    <w:rsid w:val="005902DE"/>
    <w:rsid w:val="00590766"/>
    <w:rsid w:val="005907AC"/>
    <w:rsid w:val="005908A0"/>
    <w:rsid w:val="005908C5"/>
    <w:rsid w:val="005908D5"/>
    <w:rsid w:val="00590BC4"/>
    <w:rsid w:val="00590C92"/>
    <w:rsid w:val="00590D17"/>
    <w:rsid w:val="00590D30"/>
    <w:rsid w:val="00590F3E"/>
    <w:rsid w:val="00591008"/>
    <w:rsid w:val="00591292"/>
    <w:rsid w:val="005912B5"/>
    <w:rsid w:val="00591402"/>
    <w:rsid w:val="00591679"/>
    <w:rsid w:val="005919BB"/>
    <w:rsid w:val="00591A24"/>
    <w:rsid w:val="00591AC1"/>
    <w:rsid w:val="00591CA7"/>
    <w:rsid w:val="00592077"/>
    <w:rsid w:val="005922E7"/>
    <w:rsid w:val="0059236C"/>
    <w:rsid w:val="005924F4"/>
    <w:rsid w:val="00592625"/>
    <w:rsid w:val="0059264B"/>
    <w:rsid w:val="005927FA"/>
    <w:rsid w:val="005929A6"/>
    <w:rsid w:val="00592A18"/>
    <w:rsid w:val="00592C76"/>
    <w:rsid w:val="00592E4C"/>
    <w:rsid w:val="00592EFF"/>
    <w:rsid w:val="0059307D"/>
    <w:rsid w:val="00593182"/>
    <w:rsid w:val="005931BA"/>
    <w:rsid w:val="00593346"/>
    <w:rsid w:val="005935EB"/>
    <w:rsid w:val="005935EE"/>
    <w:rsid w:val="0059361F"/>
    <w:rsid w:val="00593775"/>
    <w:rsid w:val="005938E9"/>
    <w:rsid w:val="0059394F"/>
    <w:rsid w:val="005939B5"/>
    <w:rsid w:val="00593A9A"/>
    <w:rsid w:val="00593F18"/>
    <w:rsid w:val="00594156"/>
    <w:rsid w:val="00594407"/>
    <w:rsid w:val="0059448F"/>
    <w:rsid w:val="005944D9"/>
    <w:rsid w:val="00594582"/>
    <w:rsid w:val="00594D5A"/>
    <w:rsid w:val="00594FA3"/>
    <w:rsid w:val="0059502B"/>
    <w:rsid w:val="00595590"/>
    <w:rsid w:val="005955FC"/>
    <w:rsid w:val="00595855"/>
    <w:rsid w:val="00595A47"/>
    <w:rsid w:val="00595B1E"/>
    <w:rsid w:val="00595E10"/>
    <w:rsid w:val="005962D5"/>
    <w:rsid w:val="00596465"/>
    <w:rsid w:val="00596487"/>
    <w:rsid w:val="00596505"/>
    <w:rsid w:val="00596611"/>
    <w:rsid w:val="005968AC"/>
    <w:rsid w:val="0059690A"/>
    <w:rsid w:val="00596B02"/>
    <w:rsid w:val="00596B81"/>
    <w:rsid w:val="00596F82"/>
    <w:rsid w:val="00597209"/>
    <w:rsid w:val="0059720C"/>
    <w:rsid w:val="00597266"/>
    <w:rsid w:val="00597351"/>
    <w:rsid w:val="005976A2"/>
    <w:rsid w:val="00597A86"/>
    <w:rsid w:val="005A0310"/>
    <w:rsid w:val="005A0729"/>
    <w:rsid w:val="005A07DC"/>
    <w:rsid w:val="005A0ABB"/>
    <w:rsid w:val="005A0FCE"/>
    <w:rsid w:val="005A105C"/>
    <w:rsid w:val="005A14DA"/>
    <w:rsid w:val="005A16DE"/>
    <w:rsid w:val="005A18D5"/>
    <w:rsid w:val="005A194E"/>
    <w:rsid w:val="005A1B02"/>
    <w:rsid w:val="005A1C59"/>
    <w:rsid w:val="005A1D90"/>
    <w:rsid w:val="005A1EDF"/>
    <w:rsid w:val="005A219D"/>
    <w:rsid w:val="005A22B9"/>
    <w:rsid w:val="005A2338"/>
    <w:rsid w:val="005A23BA"/>
    <w:rsid w:val="005A25C9"/>
    <w:rsid w:val="005A2842"/>
    <w:rsid w:val="005A28DD"/>
    <w:rsid w:val="005A295C"/>
    <w:rsid w:val="005A2A37"/>
    <w:rsid w:val="005A2A63"/>
    <w:rsid w:val="005A2B27"/>
    <w:rsid w:val="005A2BC5"/>
    <w:rsid w:val="005A2C19"/>
    <w:rsid w:val="005A2D74"/>
    <w:rsid w:val="005A32EF"/>
    <w:rsid w:val="005A3363"/>
    <w:rsid w:val="005A363E"/>
    <w:rsid w:val="005A3699"/>
    <w:rsid w:val="005A39A4"/>
    <w:rsid w:val="005A39EE"/>
    <w:rsid w:val="005A3B36"/>
    <w:rsid w:val="005A3B38"/>
    <w:rsid w:val="005A3CE9"/>
    <w:rsid w:val="005A3CFF"/>
    <w:rsid w:val="005A3E82"/>
    <w:rsid w:val="005A407E"/>
    <w:rsid w:val="005A412E"/>
    <w:rsid w:val="005A4288"/>
    <w:rsid w:val="005A4435"/>
    <w:rsid w:val="005A45D4"/>
    <w:rsid w:val="005A4765"/>
    <w:rsid w:val="005A4796"/>
    <w:rsid w:val="005A4838"/>
    <w:rsid w:val="005A487C"/>
    <w:rsid w:val="005A48AE"/>
    <w:rsid w:val="005A4D6D"/>
    <w:rsid w:val="005A4FED"/>
    <w:rsid w:val="005A53C5"/>
    <w:rsid w:val="005A5491"/>
    <w:rsid w:val="005A552C"/>
    <w:rsid w:val="005A5924"/>
    <w:rsid w:val="005A5978"/>
    <w:rsid w:val="005A5D10"/>
    <w:rsid w:val="005A5DEA"/>
    <w:rsid w:val="005A5FD2"/>
    <w:rsid w:val="005A5FE2"/>
    <w:rsid w:val="005A601C"/>
    <w:rsid w:val="005A6055"/>
    <w:rsid w:val="005A605D"/>
    <w:rsid w:val="005A6111"/>
    <w:rsid w:val="005A65F0"/>
    <w:rsid w:val="005A6958"/>
    <w:rsid w:val="005A6971"/>
    <w:rsid w:val="005A6AB3"/>
    <w:rsid w:val="005A6B08"/>
    <w:rsid w:val="005A6B43"/>
    <w:rsid w:val="005A6B76"/>
    <w:rsid w:val="005A6DBF"/>
    <w:rsid w:val="005A6DD9"/>
    <w:rsid w:val="005A6FC8"/>
    <w:rsid w:val="005A73B2"/>
    <w:rsid w:val="005A751C"/>
    <w:rsid w:val="005A75FA"/>
    <w:rsid w:val="005A7725"/>
    <w:rsid w:val="005A7802"/>
    <w:rsid w:val="005A78D1"/>
    <w:rsid w:val="005A7928"/>
    <w:rsid w:val="005A7BA9"/>
    <w:rsid w:val="005A7F54"/>
    <w:rsid w:val="005A9DA0"/>
    <w:rsid w:val="005B0021"/>
    <w:rsid w:val="005B00D6"/>
    <w:rsid w:val="005B0387"/>
    <w:rsid w:val="005B043A"/>
    <w:rsid w:val="005B06BF"/>
    <w:rsid w:val="005B0AEE"/>
    <w:rsid w:val="005B0B05"/>
    <w:rsid w:val="005B0C4F"/>
    <w:rsid w:val="005B0D3E"/>
    <w:rsid w:val="005B0E8F"/>
    <w:rsid w:val="005B0E9C"/>
    <w:rsid w:val="005B0EDC"/>
    <w:rsid w:val="005B12A8"/>
    <w:rsid w:val="005B1551"/>
    <w:rsid w:val="005B17A7"/>
    <w:rsid w:val="005B1875"/>
    <w:rsid w:val="005B1A09"/>
    <w:rsid w:val="005B1C13"/>
    <w:rsid w:val="005B1C58"/>
    <w:rsid w:val="005B1D33"/>
    <w:rsid w:val="005B1E00"/>
    <w:rsid w:val="005B23F6"/>
    <w:rsid w:val="005B24AB"/>
    <w:rsid w:val="005B2555"/>
    <w:rsid w:val="005B2916"/>
    <w:rsid w:val="005B29B9"/>
    <w:rsid w:val="005B2CA5"/>
    <w:rsid w:val="005B3246"/>
    <w:rsid w:val="005B3301"/>
    <w:rsid w:val="005B33B3"/>
    <w:rsid w:val="005B3521"/>
    <w:rsid w:val="005B37B8"/>
    <w:rsid w:val="005B3984"/>
    <w:rsid w:val="005B3A4B"/>
    <w:rsid w:val="005B3C99"/>
    <w:rsid w:val="005B3CEC"/>
    <w:rsid w:val="005B411B"/>
    <w:rsid w:val="005B416D"/>
    <w:rsid w:val="005B41CB"/>
    <w:rsid w:val="005B4380"/>
    <w:rsid w:val="005B43CC"/>
    <w:rsid w:val="005B4574"/>
    <w:rsid w:val="005B45C7"/>
    <w:rsid w:val="005B4980"/>
    <w:rsid w:val="005B4A24"/>
    <w:rsid w:val="005B4E6A"/>
    <w:rsid w:val="005B5096"/>
    <w:rsid w:val="005B51F0"/>
    <w:rsid w:val="005B5236"/>
    <w:rsid w:val="005B5672"/>
    <w:rsid w:val="005B5A63"/>
    <w:rsid w:val="005B5BB1"/>
    <w:rsid w:val="005B5C75"/>
    <w:rsid w:val="005B5F73"/>
    <w:rsid w:val="005B60B7"/>
    <w:rsid w:val="005B6198"/>
    <w:rsid w:val="005B61BC"/>
    <w:rsid w:val="005B635C"/>
    <w:rsid w:val="005B65DA"/>
    <w:rsid w:val="005B6715"/>
    <w:rsid w:val="005B684C"/>
    <w:rsid w:val="005B68D2"/>
    <w:rsid w:val="005B691C"/>
    <w:rsid w:val="005B694C"/>
    <w:rsid w:val="005B697A"/>
    <w:rsid w:val="005B6B5D"/>
    <w:rsid w:val="005B6D45"/>
    <w:rsid w:val="005B6E05"/>
    <w:rsid w:val="005B6E89"/>
    <w:rsid w:val="005B6F93"/>
    <w:rsid w:val="005B7031"/>
    <w:rsid w:val="005B7519"/>
    <w:rsid w:val="005B7601"/>
    <w:rsid w:val="005B7732"/>
    <w:rsid w:val="005B78DD"/>
    <w:rsid w:val="005B7AA6"/>
    <w:rsid w:val="005B7ABD"/>
    <w:rsid w:val="005B7D28"/>
    <w:rsid w:val="005B7DAB"/>
    <w:rsid w:val="005B7FDB"/>
    <w:rsid w:val="005C0179"/>
    <w:rsid w:val="005C0578"/>
    <w:rsid w:val="005C065D"/>
    <w:rsid w:val="005C06E9"/>
    <w:rsid w:val="005C071F"/>
    <w:rsid w:val="005C0762"/>
    <w:rsid w:val="005C09B2"/>
    <w:rsid w:val="005C0B20"/>
    <w:rsid w:val="005C0BB4"/>
    <w:rsid w:val="005C0BC5"/>
    <w:rsid w:val="005C0CE8"/>
    <w:rsid w:val="005C0D25"/>
    <w:rsid w:val="005C0D6A"/>
    <w:rsid w:val="005C0E41"/>
    <w:rsid w:val="005C0F58"/>
    <w:rsid w:val="005C106A"/>
    <w:rsid w:val="005C10FD"/>
    <w:rsid w:val="005C12F7"/>
    <w:rsid w:val="005C13B5"/>
    <w:rsid w:val="005C15C7"/>
    <w:rsid w:val="005C16BE"/>
    <w:rsid w:val="005C1AF7"/>
    <w:rsid w:val="005C2184"/>
    <w:rsid w:val="005C2216"/>
    <w:rsid w:val="005C26AF"/>
    <w:rsid w:val="005C2705"/>
    <w:rsid w:val="005C2735"/>
    <w:rsid w:val="005C299D"/>
    <w:rsid w:val="005C2B5F"/>
    <w:rsid w:val="005C2FCA"/>
    <w:rsid w:val="005C30D8"/>
    <w:rsid w:val="005C30DE"/>
    <w:rsid w:val="005C31C5"/>
    <w:rsid w:val="005C357D"/>
    <w:rsid w:val="005C38B9"/>
    <w:rsid w:val="005C3910"/>
    <w:rsid w:val="005C3958"/>
    <w:rsid w:val="005C3A9C"/>
    <w:rsid w:val="005C3AE8"/>
    <w:rsid w:val="005C3DA8"/>
    <w:rsid w:val="005C4382"/>
    <w:rsid w:val="005C443E"/>
    <w:rsid w:val="005C45B7"/>
    <w:rsid w:val="005C4822"/>
    <w:rsid w:val="005C4887"/>
    <w:rsid w:val="005C4DC2"/>
    <w:rsid w:val="005C4E5E"/>
    <w:rsid w:val="005C5052"/>
    <w:rsid w:val="005C5367"/>
    <w:rsid w:val="005C540E"/>
    <w:rsid w:val="005C541E"/>
    <w:rsid w:val="005C54B2"/>
    <w:rsid w:val="005C5538"/>
    <w:rsid w:val="005C556D"/>
    <w:rsid w:val="005C56B8"/>
    <w:rsid w:val="005C58AA"/>
    <w:rsid w:val="005C5E2A"/>
    <w:rsid w:val="005C5E78"/>
    <w:rsid w:val="005C6091"/>
    <w:rsid w:val="005C609B"/>
    <w:rsid w:val="005C60E7"/>
    <w:rsid w:val="005C633E"/>
    <w:rsid w:val="005C634D"/>
    <w:rsid w:val="005C6647"/>
    <w:rsid w:val="005C66AB"/>
    <w:rsid w:val="005C683E"/>
    <w:rsid w:val="005C68AD"/>
    <w:rsid w:val="005C6B03"/>
    <w:rsid w:val="005C6C43"/>
    <w:rsid w:val="005C6D57"/>
    <w:rsid w:val="005C6E77"/>
    <w:rsid w:val="005C7169"/>
    <w:rsid w:val="005C7310"/>
    <w:rsid w:val="005C748A"/>
    <w:rsid w:val="005C75CB"/>
    <w:rsid w:val="005C77DB"/>
    <w:rsid w:val="005C787E"/>
    <w:rsid w:val="005C7953"/>
    <w:rsid w:val="005D0008"/>
    <w:rsid w:val="005D01D6"/>
    <w:rsid w:val="005D02FC"/>
    <w:rsid w:val="005D0343"/>
    <w:rsid w:val="005D03C0"/>
    <w:rsid w:val="005D0430"/>
    <w:rsid w:val="005D060B"/>
    <w:rsid w:val="005D0720"/>
    <w:rsid w:val="005D07C3"/>
    <w:rsid w:val="005D09DB"/>
    <w:rsid w:val="005D0B6C"/>
    <w:rsid w:val="005D0C96"/>
    <w:rsid w:val="005D0CFA"/>
    <w:rsid w:val="005D1079"/>
    <w:rsid w:val="005D1252"/>
    <w:rsid w:val="005D154C"/>
    <w:rsid w:val="005D159F"/>
    <w:rsid w:val="005D1686"/>
    <w:rsid w:val="005D174E"/>
    <w:rsid w:val="005D1A15"/>
    <w:rsid w:val="005D1A17"/>
    <w:rsid w:val="005D1C8A"/>
    <w:rsid w:val="005D1FD1"/>
    <w:rsid w:val="005D2220"/>
    <w:rsid w:val="005D2528"/>
    <w:rsid w:val="005D2678"/>
    <w:rsid w:val="005D26B7"/>
    <w:rsid w:val="005D270E"/>
    <w:rsid w:val="005D2BD0"/>
    <w:rsid w:val="005D3058"/>
    <w:rsid w:val="005D3062"/>
    <w:rsid w:val="005D3591"/>
    <w:rsid w:val="005D3990"/>
    <w:rsid w:val="005D3BFC"/>
    <w:rsid w:val="005D3D8D"/>
    <w:rsid w:val="005D4154"/>
    <w:rsid w:val="005D4188"/>
    <w:rsid w:val="005D4362"/>
    <w:rsid w:val="005D4368"/>
    <w:rsid w:val="005D4613"/>
    <w:rsid w:val="005D494A"/>
    <w:rsid w:val="005D4B03"/>
    <w:rsid w:val="005D4BE8"/>
    <w:rsid w:val="005D4C1C"/>
    <w:rsid w:val="005D4D7F"/>
    <w:rsid w:val="005D4F6B"/>
    <w:rsid w:val="005D51BE"/>
    <w:rsid w:val="005D5237"/>
    <w:rsid w:val="005D5249"/>
    <w:rsid w:val="005D540C"/>
    <w:rsid w:val="005D5515"/>
    <w:rsid w:val="005D57D8"/>
    <w:rsid w:val="005D5817"/>
    <w:rsid w:val="005D59A0"/>
    <w:rsid w:val="005D5ACA"/>
    <w:rsid w:val="005D5F5D"/>
    <w:rsid w:val="005D6A4A"/>
    <w:rsid w:val="005D6AE3"/>
    <w:rsid w:val="005D6CD4"/>
    <w:rsid w:val="005D6D50"/>
    <w:rsid w:val="005D6F8A"/>
    <w:rsid w:val="005D6FB6"/>
    <w:rsid w:val="005D7751"/>
    <w:rsid w:val="005D77BB"/>
    <w:rsid w:val="005D7A80"/>
    <w:rsid w:val="005D7ACA"/>
    <w:rsid w:val="005D7BA4"/>
    <w:rsid w:val="005D7CA0"/>
    <w:rsid w:val="005D7D88"/>
    <w:rsid w:val="005E02E6"/>
    <w:rsid w:val="005E05E0"/>
    <w:rsid w:val="005E064F"/>
    <w:rsid w:val="005E073A"/>
    <w:rsid w:val="005E0A08"/>
    <w:rsid w:val="005E0E42"/>
    <w:rsid w:val="005E0EB2"/>
    <w:rsid w:val="005E10CA"/>
    <w:rsid w:val="005E1284"/>
    <w:rsid w:val="005E12B4"/>
    <w:rsid w:val="005E13CC"/>
    <w:rsid w:val="005E175D"/>
    <w:rsid w:val="005E18BD"/>
    <w:rsid w:val="005E1938"/>
    <w:rsid w:val="005E1A17"/>
    <w:rsid w:val="005E1A55"/>
    <w:rsid w:val="005E1F98"/>
    <w:rsid w:val="005E1FED"/>
    <w:rsid w:val="005E1FFE"/>
    <w:rsid w:val="005E214B"/>
    <w:rsid w:val="005E215E"/>
    <w:rsid w:val="005E21C9"/>
    <w:rsid w:val="005E2208"/>
    <w:rsid w:val="005E22E1"/>
    <w:rsid w:val="005E2353"/>
    <w:rsid w:val="005E2408"/>
    <w:rsid w:val="005E2562"/>
    <w:rsid w:val="005E26D0"/>
    <w:rsid w:val="005E272A"/>
    <w:rsid w:val="005E29B3"/>
    <w:rsid w:val="005E29F0"/>
    <w:rsid w:val="005E2A51"/>
    <w:rsid w:val="005E2B1E"/>
    <w:rsid w:val="005E2B40"/>
    <w:rsid w:val="005E2C28"/>
    <w:rsid w:val="005E2CE9"/>
    <w:rsid w:val="005E3155"/>
    <w:rsid w:val="005E3880"/>
    <w:rsid w:val="005E3D0C"/>
    <w:rsid w:val="005E3DEC"/>
    <w:rsid w:val="005E3E60"/>
    <w:rsid w:val="005E3FF1"/>
    <w:rsid w:val="005E40E1"/>
    <w:rsid w:val="005E417A"/>
    <w:rsid w:val="005E42BD"/>
    <w:rsid w:val="005E4627"/>
    <w:rsid w:val="005E4C04"/>
    <w:rsid w:val="005E4C55"/>
    <w:rsid w:val="005E4C5B"/>
    <w:rsid w:val="005E5291"/>
    <w:rsid w:val="005E53DA"/>
    <w:rsid w:val="005E5611"/>
    <w:rsid w:val="005E5825"/>
    <w:rsid w:val="005E5A66"/>
    <w:rsid w:val="005E5B0A"/>
    <w:rsid w:val="005E5FFD"/>
    <w:rsid w:val="005E60E5"/>
    <w:rsid w:val="005E6233"/>
    <w:rsid w:val="005E62A5"/>
    <w:rsid w:val="005E63AC"/>
    <w:rsid w:val="005E678D"/>
    <w:rsid w:val="005E67AF"/>
    <w:rsid w:val="005E682A"/>
    <w:rsid w:val="005E6BDE"/>
    <w:rsid w:val="005E70EB"/>
    <w:rsid w:val="005E71DA"/>
    <w:rsid w:val="005E7800"/>
    <w:rsid w:val="005E7932"/>
    <w:rsid w:val="005E793E"/>
    <w:rsid w:val="005E79E9"/>
    <w:rsid w:val="005E7AEB"/>
    <w:rsid w:val="005E7C59"/>
    <w:rsid w:val="005E7D40"/>
    <w:rsid w:val="005E7D52"/>
    <w:rsid w:val="005F03E6"/>
    <w:rsid w:val="005F03FD"/>
    <w:rsid w:val="005F05A4"/>
    <w:rsid w:val="005F067D"/>
    <w:rsid w:val="005F0BF7"/>
    <w:rsid w:val="005F0C6C"/>
    <w:rsid w:val="005F0D82"/>
    <w:rsid w:val="005F0D95"/>
    <w:rsid w:val="005F0E75"/>
    <w:rsid w:val="005F186F"/>
    <w:rsid w:val="005F18C8"/>
    <w:rsid w:val="005F1B7D"/>
    <w:rsid w:val="005F1D05"/>
    <w:rsid w:val="005F1F22"/>
    <w:rsid w:val="005F1F4A"/>
    <w:rsid w:val="005F1F5E"/>
    <w:rsid w:val="005F223A"/>
    <w:rsid w:val="005F238C"/>
    <w:rsid w:val="005F241B"/>
    <w:rsid w:val="005F2583"/>
    <w:rsid w:val="005F2B7E"/>
    <w:rsid w:val="005F2E2C"/>
    <w:rsid w:val="005F2E5D"/>
    <w:rsid w:val="005F3189"/>
    <w:rsid w:val="005F3A62"/>
    <w:rsid w:val="005F3BB0"/>
    <w:rsid w:val="005F3D22"/>
    <w:rsid w:val="005F3E86"/>
    <w:rsid w:val="005F3F88"/>
    <w:rsid w:val="005F409D"/>
    <w:rsid w:val="005F4294"/>
    <w:rsid w:val="005F44AA"/>
    <w:rsid w:val="005F4735"/>
    <w:rsid w:val="005F47A6"/>
    <w:rsid w:val="005F54D5"/>
    <w:rsid w:val="005F5792"/>
    <w:rsid w:val="005F584C"/>
    <w:rsid w:val="005F5C33"/>
    <w:rsid w:val="005F5D3C"/>
    <w:rsid w:val="005F5E6F"/>
    <w:rsid w:val="005F5F44"/>
    <w:rsid w:val="005F5F6B"/>
    <w:rsid w:val="005F6120"/>
    <w:rsid w:val="005F699B"/>
    <w:rsid w:val="005F6C88"/>
    <w:rsid w:val="005F6D98"/>
    <w:rsid w:val="005F6F3A"/>
    <w:rsid w:val="005F7098"/>
    <w:rsid w:val="005F7573"/>
    <w:rsid w:val="005F778C"/>
    <w:rsid w:val="005F78BD"/>
    <w:rsid w:val="005F7C4A"/>
    <w:rsid w:val="005F7C60"/>
    <w:rsid w:val="005F7E91"/>
    <w:rsid w:val="005F7EA9"/>
    <w:rsid w:val="00600143"/>
    <w:rsid w:val="0060037C"/>
    <w:rsid w:val="00600643"/>
    <w:rsid w:val="00600684"/>
    <w:rsid w:val="00600718"/>
    <w:rsid w:val="006007E6"/>
    <w:rsid w:val="006007FF"/>
    <w:rsid w:val="00600A39"/>
    <w:rsid w:val="00600B2E"/>
    <w:rsid w:val="00600B2F"/>
    <w:rsid w:val="00600D2B"/>
    <w:rsid w:val="0060100B"/>
    <w:rsid w:val="006011A5"/>
    <w:rsid w:val="006011E1"/>
    <w:rsid w:val="00601766"/>
    <w:rsid w:val="006018C6"/>
    <w:rsid w:val="00601946"/>
    <w:rsid w:val="0060195E"/>
    <w:rsid w:val="0060195F"/>
    <w:rsid w:val="00601C64"/>
    <w:rsid w:val="00601C9D"/>
    <w:rsid w:val="00601CFC"/>
    <w:rsid w:val="00601DD5"/>
    <w:rsid w:val="006020FF"/>
    <w:rsid w:val="0060214F"/>
    <w:rsid w:val="006021A9"/>
    <w:rsid w:val="00602301"/>
    <w:rsid w:val="006023CB"/>
    <w:rsid w:val="006024E1"/>
    <w:rsid w:val="006028CF"/>
    <w:rsid w:val="00602AE0"/>
    <w:rsid w:val="00602C06"/>
    <w:rsid w:val="00602D8A"/>
    <w:rsid w:val="00602F56"/>
    <w:rsid w:val="00602FDD"/>
    <w:rsid w:val="0060317A"/>
    <w:rsid w:val="00603339"/>
    <w:rsid w:val="00603420"/>
    <w:rsid w:val="0060343B"/>
    <w:rsid w:val="006034C7"/>
    <w:rsid w:val="006035CE"/>
    <w:rsid w:val="0060387F"/>
    <w:rsid w:val="00603CBB"/>
    <w:rsid w:val="00603DA2"/>
    <w:rsid w:val="00603E9D"/>
    <w:rsid w:val="0060452B"/>
    <w:rsid w:val="006047E1"/>
    <w:rsid w:val="00604892"/>
    <w:rsid w:val="006048B8"/>
    <w:rsid w:val="00604959"/>
    <w:rsid w:val="006049AB"/>
    <w:rsid w:val="00604A42"/>
    <w:rsid w:val="00604A7D"/>
    <w:rsid w:val="00604EB1"/>
    <w:rsid w:val="0060506A"/>
    <w:rsid w:val="006051FA"/>
    <w:rsid w:val="00605298"/>
    <w:rsid w:val="0060550B"/>
    <w:rsid w:val="0060566D"/>
    <w:rsid w:val="006056CA"/>
    <w:rsid w:val="0060578B"/>
    <w:rsid w:val="00605980"/>
    <w:rsid w:val="00605AD6"/>
    <w:rsid w:val="00605AF1"/>
    <w:rsid w:val="00605CA8"/>
    <w:rsid w:val="00605CB2"/>
    <w:rsid w:val="00605E27"/>
    <w:rsid w:val="00606001"/>
    <w:rsid w:val="006063B4"/>
    <w:rsid w:val="0060652A"/>
    <w:rsid w:val="00606968"/>
    <w:rsid w:val="00606B0A"/>
    <w:rsid w:val="006075A3"/>
    <w:rsid w:val="0060776D"/>
    <w:rsid w:val="00607953"/>
    <w:rsid w:val="00607973"/>
    <w:rsid w:val="00607CD8"/>
    <w:rsid w:val="00607D5B"/>
    <w:rsid w:val="00607DB8"/>
    <w:rsid w:val="00607DB9"/>
    <w:rsid w:val="00607DC5"/>
    <w:rsid w:val="006108EA"/>
    <w:rsid w:val="006109BB"/>
    <w:rsid w:val="00610A57"/>
    <w:rsid w:val="00610B07"/>
    <w:rsid w:val="00610CA7"/>
    <w:rsid w:val="00610DB2"/>
    <w:rsid w:val="00610E3A"/>
    <w:rsid w:val="00610EA9"/>
    <w:rsid w:val="00611302"/>
    <w:rsid w:val="0061192E"/>
    <w:rsid w:val="00611AB5"/>
    <w:rsid w:val="00611AB9"/>
    <w:rsid w:val="00611F5C"/>
    <w:rsid w:val="00612228"/>
    <w:rsid w:val="00612599"/>
    <w:rsid w:val="00612630"/>
    <w:rsid w:val="00612692"/>
    <w:rsid w:val="006126B7"/>
    <w:rsid w:val="00612D0E"/>
    <w:rsid w:val="00612DF2"/>
    <w:rsid w:val="00612E1C"/>
    <w:rsid w:val="00612FDD"/>
    <w:rsid w:val="006132F1"/>
    <w:rsid w:val="0061332D"/>
    <w:rsid w:val="0061333C"/>
    <w:rsid w:val="006134A0"/>
    <w:rsid w:val="006134A5"/>
    <w:rsid w:val="00613CC2"/>
    <w:rsid w:val="00613CC4"/>
    <w:rsid w:val="00614342"/>
    <w:rsid w:val="0061436A"/>
    <w:rsid w:val="00614D23"/>
    <w:rsid w:val="00614ECA"/>
    <w:rsid w:val="00615189"/>
    <w:rsid w:val="006151F9"/>
    <w:rsid w:val="00615215"/>
    <w:rsid w:val="00615263"/>
    <w:rsid w:val="0061545F"/>
    <w:rsid w:val="00615549"/>
    <w:rsid w:val="0061554F"/>
    <w:rsid w:val="00615597"/>
    <w:rsid w:val="00615648"/>
    <w:rsid w:val="00615660"/>
    <w:rsid w:val="006156C1"/>
    <w:rsid w:val="00615957"/>
    <w:rsid w:val="006159F7"/>
    <w:rsid w:val="00615F5D"/>
    <w:rsid w:val="006162A3"/>
    <w:rsid w:val="006162AF"/>
    <w:rsid w:val="006162B7"/>
    <w:rsid w:val="006162ED"/>
    <w:rsid w:val="0061681D"/>
    <w:rsid w:val="006169F7"/>
    <w:rsid w:val="00616E40"/>
    <w:rsid w:val="00616F20"/>
    <w:rsid w:val="006171D4"/>
    <w:rsid w:val="00617403"/>
    <w:rsid w:val="0061754F"/>
    <w:rsid w:val="0061757A"/>
    <w:rsid w:val="00617601"/>
    <w:rsid w:val="006176B7"/>
    <w:rsid w:val="00617983"/>
    <w:rsid w:val="00617999"/>
    <w:rsid w:val="00617BC3"/>
    <w:rsid w:val="00617D6E"/>
    <w:rsid w:val="00617EF3"/>
    <w:rsid w:val="00620016"/>
    <w:rsid w:val="00620140"/>
    <w:rsid w:val="006201F4"/>
    <w:rsid w:val="0062038D"/>
    <w:rsid w:val="00620567"/>
    <w:rsid w:val="006206BD"/>
    <w:rsid w:val="00620717"/>
    <w:rsid w:val="006207F9"/>
    <w:rsid w:val="0062082C"/>
    <w:rsid w:val="00620BFB"/>
    <w:rsid w:val="00620C41"/>
    <w:rsid w:val="00620DB7"/>
    <w:rsid w:val="00620DBD"/>
    <w:rsid w:val="00620F98"/>
    <w:rsid w:val="00621158"/>
    <w:rsid w:val="0062127D"/>
    <w:rsid w:val="00621360"/>
    <w:rsid w:val="00621361"/>
    <w:rsid w:val="00621379"/>
    <w:rsid w:val="006213D7"/>
    <w:rsid w:val="0062140E"/>
    <w:rsid w:val="00621547"/>
    <w:rsid w:val="006216C8"/>
    <w:rsid w:val="006218FF"/>
    <w:rsid w:val="00621D59"/>
    <w:rsid w:val="00621D8B"/>
    <w:rsid w:val="006221C1"/>
    <w:rsid w:val="0062224C"/>
    <w:rsid w:val="00622477"/>
    <w:rsid w:val="0062252D"/>
    <w:rsid w:val="006228D6"/>
    <w:rsid w:val="006229AF"/>
    <w:rsid w:val="00622D1A"/>
    <w:rsid w:val="00622D26"/>
    <w:rsid w:val="00622D28"/>
    <w:rsid w:val="00623142"/>
    <w:rsid w:val="006237D9"/>
    <w:rsid w:val="00623840"/>
    <w:rsid w:val="00623967"/>
    <w:rsid w:val="00623A16"/>
    <w:rsid w:val="00623EE9"/>
    <w:rsid w:val="00623FB2"/>
    <w:rsid w:val="00624186"/>
    <w:rsid w:val="00624267"/>
    <w:rsid w:val="0062460C"/>
    <w:rsid w:val="0062524E"/>
    <w:rsid w:val="006255E1"/>
    <w:rsid w:val="00625745"/>
    <w:rsid w:val="006257EB"/>
    <w:rsid w:val="00625A7F"/>
    <w:rsid w:val="00625DF2"/>
    <w:rsid w:val="0062600F"/>
    <w:rsid w:val="0062602B"/>
    <w:rsid w:val="00626223"/>
    <w:rsid w:val="0062627F"/>
    <w:rsid w:val="006263B4"/>
    <w:rsid w:val="00626674"/>
    <w:rsid w:val="00626686"/>
    <w:rsid w:val="0062679D"/>
    <w:rsid w:val="006268F9"/>
    <w:rsid w:val="00626A36"/>
    <w:rsid w:val="00626AEA"/>
    <w:rsid w:val="00626B3F"/>
    <w:rsid w:val="00626C21"/>
    <w:rsid w:val="00626C22"/>
    <w:rsid w:val="00626C9D"/>
    <w:rsid w:val="00627075"/>
    <w:rsid w:val="0062707F"/>
    <w:rsid w:val="0062708E"/>
    <w:rsid w:val="00627150"/>
    <w:rsid w:val="00627387"/>
    <w:rsid w:val="00627445"/>
    <w:rsid w:val="00627533"/>
    <w:rsid w:val="0062775B"/>
    <w:rsid w:val="00627791"/>
    <w:rsid w:val="00627B13"/>
    <w:rsid w:val="00627C73"/>
    <w:rsid w:val="0063042B"/>
    <w:rsid w:val="00630442"/>
    <w:rsid w:val="0063045D"/>
    <w:rsid w:val="0063055D"/>
    <w:rsid w:val="0063059D"/>
    <w:rsid w:val="0063072C"/>
    <w:rsid w:val="00630E21"/>
    <w:rsid w:val="00630FF3"/>
    <w:rsid w:val="006311F8"/>
    <w:rsid w:val="00631314"/>
    <w:rsid w:val="0063134C"/>
    <w:rsid w:val="006313E6"/>
    <w:rsid w:val="006314D4"/>
    <w:rsid w:val="006315C2"/>
    <w:rsid w:val="0063180D"/>
    <w:rsid w:val="006318F9"/>
    <w:rsid w:val="00631D1E"/>
    <w:rsid w:val="00631EB1"/>
    <w:rsid w:val="00632336"/>
    <w:rsid w:val="006323B9"/>
    <w:rsid w:val="006324DC"/>
    <w:rsid w:val="00632625"/>
    <w:rsid w:val="006333B8"/>
    <w:rsid w:val="006333D5"/>
    <w:rsid w:val="00633590"/>
    <w:rsid w:val="0063379A"/>
    <w:rsid w:val="00633A10"/>
    <w:rsid w:val="00633AAA"/>
    <w:rsid w:val="00633B23"/>
    <w:rsid w:val="00633D93"/>
    <w:rsid w:val="00633DEA"/>
    <w:rsid w:val="00633E1C"/>
    <w:rsid w:val="00633EDE"/>
    <w:rsid w:val="00633FA0"/>
    <w:rsid w:val="00633FB6"/>
    <w:rsid w:val="006340E6"/>
    <w:rsid w:val="00634220"/>
    <w:rsid w:val="00634376"/>
    <w:rsid w:val="0063449E"/>
    <w:rsid w:val="006344DC"/>
    <w:rsid w:val="006344F1"/>
    <w:rsid w:val="006345DC"/>
    <w:rsid w:val="006345FD"/>
    <w:rsid w:val="00634736"/>
    <w:rsid w:val="006349C8"/>
    <w:rsid w:val="00634A14"/>
    <w:rsid w:val="00634A1C"/>
    <w:rsid w:val="00634CD5"/>
    <w:rsid w:val="00634E73"/>
    <w:rsid w:val="00634E7E"/>
    <w:rsid w:val="00634EDA"/>
    <w:rsid w:val="00634F28"/>
    <w:rsid w:val="00634FE2"/>
    <w:rsid w:val="00635097"/>
    <w:rsid w:val="006351CF"/>
    <w:rsid w:val="006358D4"/>
    <w:rsid w:val="00635943"/>
    <w:rsid w:val="00635A03"/>
    <w:rsid w:val="00635AAD"/>
    <w:rsid w:val="00635BF1"/>
    <w:rsid w:val="00635DF2"/>
    <w:rsid w:val="00636067"/>
    <w:rsid w:val="006360F8"/>
    <w:rsid w:val="00636476"/>
    <w:rsid w:val="006365E1"/>
    <w:rsid w:val="0063680D"/>
    <w:rsid w:val="00636834"/>
    <w:rsid w:val="0063689B"/>
    <w:rsid w:val="00636A6F"/>
    <w:rsid w:val="00636D17"/>
    <w:rsid w:val="00636DE1"/>
    <w:rsid w:val="00636DEB"/>
    <w:rsid w:val="00636F57"/>
    <w:rsid w:val="00636FFF"/>
    <w:rsid w:val="00637032"/>
    <w:rsid w:val="0063738B"/>
    <w:rsid w:val="00637754"/>
    <w:rsid w:val="006379C4"/>
    <w:rsid w:val="00637A19"/>
    <w:rsid w:val="00637CE7"/>
    <w:rsid w:val="00637E8B"/>
    <w:rsid w:val="00637F61"/>
    <w:rsid w:val="006400E5"/>
    <w:rsid w:val="0064024C"/>
    <w:rsid w:val="006403A7"/>
    <w:rsid w:val="0064061F"/>
    <w:rsid w:val="006408DF"/>
    <w:rsid w:val="00640979"/>
    <w:rsid w:val="00640B04"/>
    <w:rsid w:val="00640C83"/>
    <w:rsid w:val="00640C94"/>
    <w:rsid w:val="00641149"/>
    <w:rsid w:val="00641159"/>
    <w:rsid w:val="006411B6"/>
    <w:rsid w:val="006412A7"/>
    <w:rsid w:val="006415F0"/>
    <w:rsid w:val="006417B3"/>
    <w:rsid w:val="00641B5D"/>
    <w:rsid w:val="00641BC2"/>
    <w:rsid w:val="00641C29"/>
    <w:rsid w:val="00641D92"/>
    <w:rsid w:val="0064231C"/>
    <w:rsid w:val="00642354"/>
    <w:rsid w:val="006423C9"/>
    <w:rsid w:val="006424EF"/>
    <w:rsid w:val="00642611"/>
    <w:rsid w:val="0064282B"/>
    <w:rsid w:val="0064285C"/>
    <w:rsid w:val="00642929"/>
    <w:rsid w:val="00642998"/>
    <w:rsid w:val="00643569"/>
    <w:rsid w:val="0064361F"/>
    <w:rsid w:val="00643673"/>
    <w:rsid w:val="0064384E"/>
    <w:rsid w:val="00643ED3"/>
    <w:rsid w:val="00644071"/>
    <w:rsid w:val="006443C3"/>
    <w:rsid w:val="006445DB"/>
    <w:rsid w:val="006446DC"/>
    <w:rsid w:val="00644870"/>
    <w:rsid w:val="00644901"/>
    <w:rsid w:val="00644B84"/>
    <w:rsid w:val="00644C22"/>
    <w:rsid w:val="00644CA9"/>
    <w:rsid w:val="00644F24"/>
    <w:rsid w:val="0064571C"/>
    <w:rsid w:val="0064574D"/>
    <w:rsid w:val="0064584B"/>
    <w:rsid w:val="00645B3C"/>
    <w:rsid w:val="00645BA8"/>
    <w:rsid w:val="00645CD0"/>
    <w:rsid w:val="00645F07"/>
    <w:rsid w:val="00646857"/>
    <w:rsid w:val="00646BB9"/>
    <w:rsid w:val="00647149"/>
    <w:rsid w:val="00647295"/>
    <w:rsid w:val="006472F2"/>
    <w:rsid w:val="006475A8"/>
    <w:rsid w:val="006479B4"/>
    <w:rsid w:val="00647BD9"/>
    <w:rsid w:val="00647CBD"/>
    <w:rsid w:val="00647D5F"/>
    <w:rsid w:val="00647E6E"/>
    <w:rsid w:val="00647E77"/>
    <w:rsid w:val="00647F39"/>
    <w:rsid w:val="0065007E"/>
    <w:rsid w:val="006500A0"/>
    <w:rsid w:val="00650186"/>
    <w:rsid w:val="006501F8"/>
    <w:rsid w:val="00650321"/>
    <w:rsid w:val="0065036F"/>
    <w:rsid w:val="006503CF"/>
    <w:rsid w:val="006503F6"/>
    <w:rsid w:val="006504C3"/>
    <w:rsid w:val="0065051B"/>
    <w:rsid w:val="0065054B"/>
    <w:rsid w:val="00650A5A"/>
    <w:rsid w:val="00650A89"/>
    <w:rsid w:val="00650F08"/>
    <w:rsid w:val="006510AC"/>
    <w:rsid w:val="00651293"/>
    <w:rsid w:val="0065137F"/>
    <w:rsid w:val="006513E1"/>
    <w:rsid w:val="006514C3"/>
    <w:rsid w:val="006516E5"/>
    <w:rsid w:val="0065189D"/>
    <w:rsid w:val="006520E3"/>
    <w:rsid w:val="0065210B"/>
    <w:rsid w:val="006521E4"/>
    <w:rsid w:val="00652334"/>
    <w:rsid w:val="006528B9"/>
    <w:rsid w:val="00652948"/>
    <w:rsid w:val="00652953"/>
    <w:rsid w:val="00652C2B"/>
    <w:rsid w:val="00652DFC"/>
    <w:rsid w:val="00652E39"/>
    <w:rsid w:val="00652E69"/>
    <w:rsid w:val="00653310"/>
    <w:rsid w:val="006535BD"/>
    <w:rsid w:val="006535C8"/>
    <w:rsid w:val="0065365A"/>
    <w:rsid w:val="00653803"/>
    <w:rsid w:val="00653832"/>
    <w:rsid w:val="006538FB"/>
    <w:rsid w:val="00653EFF"/>
    <w:rsid w:val="00653F91"/>
    <w:rsid w:val="006540D0"/>
    <w:rsid w:val="00654104"/>
    <w:rsid w:val="006541C8"/>
    <w:rsid w:val="0065432F"/>
    <w:rsid w:val="00654761"/>
    <w:rsid w:val="0065478B"/>
    <w:rsid w:val="00654A15"/>
    <w:rsid w:val="00654B17"/>
    <w:rsid w:val="00654E17"/>
    <w:rsid w:val="00654ED6"/>
    <w:rsid w:val="006553E2"/>
    <w:rsid w:val="006553FF"/>
    <w:rsid w:val="0065540A"/>
    <w:rsid w:val="00655652"/>
    <w:rsid w:val="006557A2"/>
    <w:rsid w:val="0065598E"/>
    <w:rsid w:val="00655CF0"/>
    <w:rsid w:val="00655EB9"/>
    <w:rsid w:val="00655F22"/>
    <w:rsid w:val="006561F0"/>
    <w:rsid w:val="006562C0"/>
    <w:rsid w:val="0065659F"/>
    <w:rsid w:val="00656652"/>
    <w:rsid w:val="0065677E"/>
    <w:rsid w:val="00656B3D"/>
    <w:rsid w:val="00656BEB"/>
    <w:rsid w:val="00656C6A"/>
    <w:rsid w:val="00656CD3"/>
    <w:rsid w:val="00656F42"/>
    <w:rsid w:val="00656F51"/>
    <w:rsid w:val="00656FA4"/>
    <w:rsid w:val="00657015"/>
    <w:rsid w:val="0065704A"/>
    <w:rsid w:val="00657060"/>
    <w:rsid w:val="00657127"/>
    <w:rsid w:val="006572C2"/>
    <w:rsid w:val="006572CF"/>
    <w:rsid w:val="0065730B"/>
    <w:rsid w:val="006573C1"/>
    <w:rsid w:val="00657856"/>
    <w:rsid w:val="00657B8E"/>
    <w:rsid w:val="00657C7C"/>
    <w:rsid w:val="00657D5A"/>
    <w:rsid w:val="00657E75"/>
    <w:rsid w:val="00657FCE"/>
    <w:rsid w:val="006603E8"/>
    <w:rsid w:val="006604E4"/>
    <w:rsid w:val="00660571"/>
    <w:rsid w:val="0066057A"/>
    <w:rsid w:val="00660A0D"/>
    <w:rsid w:val="00660A4D"/>
    <w:rsid w:val="00660D72"/>
    <w:rsid w:val="00660FCC"/>
    <w:rsid w:val="00661100"/>
    <w:rsid w:val="0066148E"/>
    <w:rsid w:val="0066150B"/>
    <w:rsid w:val="0066162F"/>
    <w:rsid w:val="00661630"/>
    <w:rsid w:val="00661756"/>
    <w:rsid w:val="00661B11"/>
    <w:rsid w:val="00661C5C"/>
    <w:rsid w:val="00661EE3"/>
    <w:rsid w:val="00661F8C"/>
    <w:rsid w:val="006622E1"/>
    <w:rsid w:val="00662751"/>
    <w:rsid w:val="0066294B"/>
    <w:rsid w:val="00662C5F"/>
    <w:rsid w:val="00662EF0"/>
    <w:rsid w:val="00662F40"/>
    <w:rsid w:val="00663029"/>
    <w:rsid w:val="00663373"/>
    <w:rsid w:val="0066338F"/>
    <w:rsid w:val="006636D5"/>
    <w:rsid w:val="006637D2"/>
    <w:rsid w:val="00663960"/>
    <w:rsid w:val="00663ACC"/>
    <w:rsid w:val="00663B20"/>
    <w:rsid w:val="00663C71"/>
    <w:rsid w:val="00663CCC"/>
    <w:rsid w:val="006641D1"/>
    <w:rsid w:val="006641FE"/>
    <w:rsid w:val="0066437A"/>
    <w:rsid w:val="00664405"/>
    <w:rsid w:val="006644B1"/>
    <w:rsid w:val="0066467A"/>
    <w:rsid w:val="006646EA"/>
    <w:rsid w:val="0066495B"/>
    <w:rsid w:val="00664A67"/>
    <w:rsid w:val="00664BFC"/>
    <w:rsid w:val="00664BFE"/>
    <w:rsid w:val="00664C86"/>
    <w:rsid w:val="00664E2B"/>
    <w:rsid w:val="00664E60"/>
    <w:rsid w:val="00664F37"/>
    <w:rsid w:val="00664FCE"/>
    <w:rsid w:val="00665107"/>
    <w:rsid w:val="00665500"/>
    <w:rsid w:val="00665521"/>
    <w:rsid w:val="006657C9"/>
    <w:rsid w:val="00665AAA"/>
    <w:rsid w:val="00665AB1"/>
    <w:rsid w:val="00665B57"/>
    <w:rsid w:val="00665C9E"/>
    <w:rsid w:val="00665F9E"/>
    <w:rsid w:val="00665FB7"/>
    <w:rsid w:val="00665FCB"/>
    <w:rsid w:val="00666185"/>
    <w:rsid w:val="006661A9"/>
    <w:rsid w:val="00666249"/>
    <w:rsid w:val="0066631A"/>
    <w:rsid w:val="00666470"/>
    <w:rsid w:val="00666472"/>
    <w:rsid w:val="0066654F"/>
    <w:rsid w:val="0066683A"/>
    <w:rsid w:val="006668C6"/>
    <w:rsid w:val="00666908"/>
    <w:rsid w:val="00666994"/>
    <w:rsid w:val="00666A57"/>
    <w:rsid w:val="00666B90"/>
    <w:rsid w:val="00666FDD"/>
    <w:rsid w:val="00667080"/>
    <w:rsid w:val="006672DB"/>
    <w:rsid w:val="006674D9"/>
    <w:rsid w:val="00667534"/>
    <w:rsid w:val="00667675"/>
    <w:rsid w:val="006678C6"/>
    <w:rsid w:val="00667D70"/>
    <w:rsid w:val="00667E5D"/>
    <w:rsid w:val="00667EF2"/>
    <w:rsid w:val="0067023F"/>
    <w:rsid w:val="006703AF"/>
    <w:rsid w:val="006703E7"/>
    <w:rsid w:val="00670751"/>
    <w:rsid w:val="00670DBB"/>
    <w:rsid w:val="00670EDA"/>
    <w:rsid w:val="006713F8"/>
    <w:rsid w:val="0067161B"/>
    <w:rsid w:val="00671665"/>
    <w:rsid w:val="00671693"/>
    <w:rsid w:val="006717AC"/>
    <w:rsid w:val="006719F2"/>
    <w:rsid w:val="00671A6C"/>
    <w:rsid w:val="00671B26"/>
    <w:rsid w:val="00671EBD"/>
    <w:rsid w:val="00671F36"/>
    <w:rsid w:val="00671F77"/>
    <w:rsid w:val="0067205F"/>
    <w:rsid w:val="006724DA"/>
    <w:rsid w:val="006725AE"/>
    <w:rsid w:val="006725B7"/>
    <w:rsid w:val="006726D9"/>
    <w:rsid w:val="00672983"/>
    <w:rsid w:val="00672BD0"/>
    <w:rsid w:val="00672CC0"/>
    <w:rsid w:val="00672D6B"/>
    <w:rsid w:val="00672EE5"/>
    <w:rsid w:val="00672FFD"/>
    <w:rsid w:val="0067318E"/>
    <w:rsid w:val="006738BC"/>
    <w:rsid w:val="00673985"/>
    <w:rsid w:val="00673997"/>
    <w:rsid w:val="00673A0F"/>
    <w:rsid w:val="00673A56"/>
    <w:rsid w:val="00673A5E"/>
    <w:rsid w:val="00673AA4"/>
    <w:rsid w:val="00673B0A"/>
    <w:rsid w:val="00673C41"/>
    <w:rsid w:val="00673C8F"/>
    <w:rsid w:val="006740A0"/>
    <w:rsid w:val="00674171"/>
    <w:rsid w:val="0067436B"/>
    <w:rsid w:val="00674390"/>
    <w:rsid w:val="00674591"/>
    <w:rsid w:val="0067468C"/>
    <w:rsid w:val="00674699"/>
    <w:rsid w:val="0067474A"/>
    <w:rsid w:val="00674846"/>
    <w:rsid w:val="0067486D"/>
    <w:rsid w:val="00674C75"/>
    <w:rsid w:val="00674E4B"/>
    <w:rsid w:val="00675050"/>
    <w:rsid w:val="006750F1"/>
    <w:rsid w:val="00675137"/>
    <w:rsid w:val="0067552F"/>
    <w:rsid w:val="0067560C"/>
    <w:rsid w:val="00675660"/>
    <w:rsid w:val="006756D1"/>
    <w:rsid w:val="00675897"/>
    <w:rsid w:val="00675B0E"/>
    <w:rsid w:val="00675EBC"/>
    <w:rsid w:val="00675F42"/>
    <w:rsid w:val="00675F6E"/>
    <w:rsid w:val="00676392"/>
    <w:rsid w:val="006764FF"/>
    <w:rsid w:val="006766EB"/>
    <w:rsid w:val="00676CD1"/>
    <w:rsid w:val="00676E4A"/>
    <w:rsid w:val="00677113"/>
    <w:rsid w:val="00677277"/>
    <w:rsid w:val="006774EA"/>
    <w:rsid w:val="0067794F"/>
    <w:rsid w:val="0067796D"/>
    <w:rsid w:val="00677B69"/>
    <w:rsid w:val="00677C19"/>
    <w:rsid w:val="00677CBA"/>
    <w:rsid w:val="00677D0A"/>
    <w:rsid w:val="00677DCC"/>
    <w:rsid w:val="00677E2F"/>
    <w:rsid w:val="00677F71"/>
    <w:rsid w:val="00677FF1"/>
    <w:rsid w:val="0067D55B"/>
    <w:rsid w:val="00680170"/>
    <w:rsid w:val="00680440"/>
    <w:rsid w:val="00680489"/>
    <w:rsid w:val="00680D17"/>
    <w:rsid w:val="00680ED2"/>
    <w:rsid w:val="006810E5"/>
    <w:rsid w:val="00681176"/>
    <w:rsid w:val="0068127A"/>
    <w:rsid w:val="0068128D"/>
    <w:rsid w:val="006813CC"/>
    <w:rsid w:val="0068146A"/>
    <w:rsid w:val="006816F6"/>
    <w:rsid w:val="00681887"/>
    <w:rsid w:val="00681981"/>
    <w:rsid w:val="00681BA5"/>
    <w:rsid w:val="00681BFB"/>
    <w:rsid w:val="00681CEE"/>
    <w:rsid w:val="00681E0D"/>
    <w:rsid w:val="006824B6"/>
    <w:rsid w:val="006827F8"/>
    <w:rsid w:val="00682B34"/>
    <w:rsid w:val="00682BDA"/>
    <w:rsid w:val="00682C7F"/>
    <w:rsid w:val="00682F5D"/>
    <w:rsid w:val="00683256"/>
    <w:rsid w:val="006832DE"/>
    <w:rsid w:val="0068356C"/>
    <w:rsid w:val="006838B8"/>
    <w:rsid w:val="00683907"/>
    <w:rsid w:val="00683947"/>
    <w:rsid w:val="00683CE4"/>
    <w:rsid w:val="00684132"/>
    <w:rsid w:val="006841DE"/>
    <w:rsid w:val="0068426E"/>
    <w:rsid w:val="00684353"/>
    <w:rsid w:val="00684365"/>
    <w:rsid w:val="0068446D"/>
    <w:rsid w:val="00684529"/>
    <w:rsid w:val="0068453D"/>
    <w:rsid w:val="006846D3"/>
    <w:rsid w:val="00684F1C"/>
    <w:rsid w:val="00684F77"/>
    <w:rsid w:val="00684F7B"/>
    <w:rsid w:val="00684FD3"/>
    <w:rsid w:val="006854DD"/>
    <w:rsid w:val="0068562C"/>
    <w:rsid w:val="00685686"/>
    <w:rsid w:val="0068589B"/>
    <w:rsid w:val="006859CD"/>
    <w:rsid w:val="00685C73"/>
    <w:rsid w:val="00685FAC"/>
    <w:rsid w:val="00686255"/>
    <w:rsid w:val="0068632A"/>
    <w:rsid w:val="006863DC"/>
    <w:rsid w:val="00686453"/>
    <w:rsid w:val="0068657F"/>
    <w:rsid w:val="00686633"/>
    <w:rsid w:val="006867E8"/>
    <w:rsid w:val="00686EDB"/>
    <w:rsid w:val="00686F34"/>
    <w:rsid w:val="00687018"/>
    <w:rsid w:val="00687149"/>
    <w:rsid w:val="0068719A"/>
    <w:rsid w:val="006876EE"/>
    <w:rsid w:val="0068775D"/>
    <w:rsid w:val="0068779A"/>
    <w:rsid w:val="00687858"/>
    <w:rsid w:val="00687A23"/>
    <w:rsid w:val="00687AB0"/>
    <w:rsid w:val="00687B15"/>
    <w:rsid w:val="00687E66"/>
    <w:rsid w:val="00687FEE"/>
    <w:rsid w:val="0069002B"/>
    <w:rsid w:val="00690192"/>
    <w:rsid w:val="0069023A"/>
    <w:rsid w:val="00690279"/>
    <w:rsid w:val="006903EA"/>
    <w:rsid w:val="006903F6"/>
    <w:rsid w:val="0069059C"/>
    <w:rsid w:val="00690635"/>
    <w:rsid w:val="0069069B"/>
    <w:rsid w:val="00690A31"/>
    <w:rsid w:val="00690B1A"/>
    <w:rsid w:val="00690B24"/>
    <w:rsid w:val="00690B74"/>
    <w:rsid w:val="00690C18"/>
    <w:rsid w:val="00690CA6"/>
    <w:rsid w:val="00690D7C"/>
    <w:rsid w:val="00690F36"/>
    <w:rsid w:val="00691019"/>
    <w:rsid w:val="006911B5"/>
    <w:rsid w:val="00691587"/>
    <w:rsid w:val="00691592"/>
    <w:rsid w:val="00691A08"/>
    <w:rsid w:val="00691B60"/>
    <w:rsid w:val="0069223B"/>
    <w:rsid w:val="00692451"/>
    <w:rsid w:val="00692853"/>
    <w:rsid w:val="00692A6E"/>
    <w:rsid w:val="00692C52"/>
    <w:rsid w:val="00692D67"/>
    <w:rsid w:val="00692DBC"/>
    <w:rsid w:val="00692E92"/>
    <w:rsid w:val="00692F8D"/>
    <w:rsid w:val="00692FC8"/>
    <w:rsid w:val="0069300E"/>
    <w:rsid w:val="00693213"/>
    <w:rsid w:val="00693333"/>
    <w:rsid w:val="00693498"/>
    <w:rsid w:val="00693513"/>
    <w:rsid w:val="00693519"/>
    <w:rsid w:val="006936B1"/>
    <w:rsid w:val="00693944"/>
    <w:rsid w:val="00693B1B"/>
    <w:rsid w:val="00693B7A"/>
    <w:rsid w:val="00693D1F"/>
    <w:rsid w:val="00693D61"/>
    <w:rsid w:val="00693E82"/>
    <w:rsid w:val="00694073"/>
    <w:rsid w:val="006943C8"/>
    <w:rsid w:val="00694868"/>
    <w:rsid w:val="0069497C"/>
    <w:rsid w:val="00694BD3"/>
    <w:rsid w:val="00694DD0"/>
    <w:rsid w:val="0069502F"/>
    <w:rsid w:val="0069505B"/>
    <w:rsid w:val="006951F1"/>
    <w:rsid w:val="006952E7"/>
    <w:rsid w:val="00695414"/>
    <w:rsid w:val="006954C4"/>
    <w:rsid w:val="006956A7"/>
    <w:rsid w:val="006958B2"/>
    <w:rsid w:val="0069599D"/>
    <w:rsid w:val="006959EC"/>
    <w:rsid w:val="00695C21"/>
    <w:rsid w:val="00695D2A"/>
    <w:rsid w:val="00695DF3"/>
    <w:rsid w:val="00695E0C"/>
    <w:rsid w:val="006961D6"/>
    <w:rsid w:val="00696240"/>
    <w:rsid w:val="00696496"/>
    <w:rsid w:val="00696511"/>
    <w:rsid w:val="006967C1"/>
    <w:rsid w:val="006969B8"/>
    <w:rsid w:val="00696A30"/>
    <w:rsid w:val="00696B06"/>
    <w:rsid w:val="00696CB5"/>
    <w:rsid w:val="00696CCA"/>
    <w:rsid w:val="00697229"/>
    <w:rsid w:val="006975CD"/>
    <w:rsid w:val="006975E4"/>
    <w:rsid w:val="00697631"/>
    <w:rsid w:val="00697679"/>
    <w:rsid w:val="006979F9"/>
    <w:rsid w:val="00697B74"/>
    <w:rsid w:val="00697C39"/>
    <w:rsid w:val="006A01C7"/>
    <w:rsid w:val="006A01E4"/>
    <w:rsid w:val="006A04CC"/>
    <w:rsid w:val="006A079D"/>
    <w:rsid w:val="006A0D07"/>
    <w:rsid w:val="006A0D8B"/>
    <w:rsid w:val="006A0DF7"/>
    <w:rsid w:val="006A1117"/>
    <w:rsid w:val="006A1316"/>
    <w:rsid w:val="006A14C8"/>
    <w:rsid w:val="006A151A"/>
    <w:rsid w:val="006A1582"/>
    <w:rsid w:val="006A1639"/>
    <w:rsid w:val="006A17DA"/>
    <w:rsid w:val="006A184C"/>
    <w:rsid w:val="006A18FB"/>
    <w:rsid w:val="006A1C6D"/>
    <w:rsid w:val="006A2039"/>
    <w:rsid w:val="006A21FC"/>
    <w:rsid w:val="006A23D6"/>
    <w:rsid w:val="006A2D3A"/>
    <w:rsid w:val="006A2EF1"/>
    <w:rsid w:val="006A2F6E"/>
    <w:rsid w:val="006A3034"/>
    <w:rsid w:val="006A31FC"/>
    <w:rsid w:val="006A3539"/>
    <w:rsid w:val="006A3566"/>
    <w:rsid w:val="006A3A11"/>
    <w:rsid w:val="006A3C3C"/>
    <w:rsid w:val="006A3D12"/>
    <w:rsid w:val="006A3F11"/>
    <w:rsid w:val="006A4159"/>
    <w:rsid w:val="006A4250"/>
    <w:rsid w:val="006A45C5"/>
    <w:rsid w:val="006A4B66"/>
    <w:rsid w:val="006A4B7A"/>
    <w:rsid w:val="006A4FAF"/>
    <w:rsid w:val="006A5234"/>
    <w:rsid w:val="006A5502"/>
    <w:rsid w:val="006A563B"/>
    <w:rsid w:val="006A5A90"/>
    <w:rsid w:val="006A5F7E"/>
    <w:rsid w:val="006A600C"/>
    <w:rsid w:val="006A6301"/>
    <w:rsid w:val="006A637D"/>
    <w:rsid w:val="006A671E"/>
    <w:rsid w:val="006A681D"/>
    <w:rsid w:val="006A6992"/>
    <w:rsid w:val="006A6B2A"/>
    <w:rsid w:val="006A6E39"/>
    <w:rsid w:val="006A7118"/>
    <w:rsid w:val="006A71E3"/>
    <w:rsid w:val="006A73BA"/>
    <w:rsid w:val="006A7477"/>
    <w:rsid w:val="006A75F6"/>
    <w:rsid w:val="006A770D"/>
    <w:rsid w:val="006A7906"/>
    <w:rsid w:val="006A7980"/>
    <w:rsid w:val="006A7FE7"/>
    <w:rsid w:val="006B032D"/>
    <w:rsid w:val="006B0884"/>
    <w:rsid w:val="006B0A1B"/>
    <w:rsid w:val="006B0B1C"/>
    <w:rsid w:val="006B1021"/>
    <w:rsid w:val="006B119F"/>
    <w:rsid w:val="006B166F"/>
    <w:rsid w:val="006B17C8"/>
    <w:rsid w:val="006B18D3"/>
    <w:rsid w:val="006B192B"/>
    <w:rsid w:val="006B1943"/>
    <w:rsid w:val="006B1D11"/>
    <w:rsid w:val="006B2903"/>
    <w:rsid w:val="006B2F65"/>
    <w:rsid w:val="006B33E9"/>
    <w:rsid w:val="006B345F"/>
    <w:rsid w:val="006B35AF"/>
    <w:rsid w:val="006B35CF"/>
    <w:rsid w:val="006B374E"/>
    <w:rsid w:val="006B3773"/>
    <w:rsid w:val="006B39C9"/>
    <w:rsid w:val="006B3C68"/>
    <w:rsid w:val="006B3F8B"/>
    <w:rsid w:val="006B418A"/>
    <w:rsid w:val="006B4DD9"/>
    <w:rsid w:val="006B4EB9"/>
    <w:rsid w:val="006B52AC"/>
    <w:rsid w:val="006B5585"/>
    <w:rsid w:val="006B57E3"/>
    <w:rsid w:val="006B5963"/>
    <w:rsid w:val="006B5A90"/>
    <w:rsid w:val="006B5BF6"/>
    <w:rsid w:val="006B5D47"/>
    <w:rsid w:val="006B5D71"/>
    <w:rsid w:val="006B5DBA"/>
    <w:rsid w:val="006B5F47"/>
    <w:rsid w:val="006B613C"/>
    <w:rsid w:val="006B634C"/>
    <w:rsid w:val="006B638F"/>
    <w:rsid w:val="006B65D1"/>
    <w:rsid w:val="006B67A3"/>
    <w:rsid w:val="006B67FF"/>
    <w:rsid w:val="006B6812"/>
    <w:rsid w:val="006B6872"/>
    <w:rsid w:val="006B6A3B"/>
    <w:rsid w:val="006B6BDF"/>
    <w:rsid w:val="006B6E01"/>
    <w:rsid w:val="006B717D"/>
    <w:rsid w:val="006B729D"/>
    <w:rsid w:val="006B734D"/>
    <w:rsid w:val="006B74B9"/>
    <w:rsid w:val="006B759E"/>
    <w:rsid w:val="006B7640"/>
    <w:rsid w:val="006B7736"/>
    <w:rsid w:val="006B77AC"/>
    <w:rsid w:val="006B7AD7"/>
    <w:rsid w:val="006B7B30"/>
    <w:rsid w:val="006B7C74"/>
    <w:rsid w:val="006B7D4E"/>
    <w:rsid w:val="006B7F08"/>
    <w:rsid w:val="006C0446"/>
    <w:rsid w:val="006C06F7"/>
    <w:rsid w:val="006C082E"/>
    <w:rsid w:val="006C0D20"/>
    <w:rsid w:val="006C0DFF"/>
    <w:rsid w:val="006C0EAC"/>
    <w:rsid w:val="006C0F9F"/>
    <w:rsid w:val="006C0FC7"/>
    <w:rsid w:val="006C11B4"/>
    <w:rsid w:val="006C121D"/>
    <w:rsid w:val="006C1731"/>
    <w:rsid w:val="006C1892"/>
    <w:rsid w:val="006C18CB"/>
    <w:rsid w:val="006C19A0"/>
    <w:rsid w:val="006C1CA3"/>
    <w:rsid w:val="006C1E4A"/>
    <w:rsid w:val="006C1F0C"/>
    <w:rsid w:val="006C1F4D"/>
    <w:rsid w:val="006C1F7C"/>
    <w:rsid w:val="006C1F8F"/>
    <w:rsid w:val="006C2027"/>
    <w:rsid w:val="006C20DE"/>
    <w:rsid w:val="006C217D"/>
    <w:rsid w:val="006C2267"/>
    <w:rsid w:val="006C2354"/>
    <w:rsid w:val="006C23FF"/>
    <w:rsid w:val="006C2630"/>
    <w:rsid w:val="006C28DB"/>
    <w:rsid w:val="006C2925"/>
    <w:rsid w:val="006C2CC8"/>
    <w:rsid w:val="006C2DE8"/>
    <w:rsid w:val="006C2E09"/>
    <w:rsid w:val="006C2E0C"/>
    <w:rsid w:val="006C2E4E"/>
    <w:rsid w:val="006C2F28"/>
    <w:rsid w:val="006C324C"/>
    <w:rsid w:val="006C3373"/>
    <w:rsid w:val="006C36C8"/>
    <w:rsid w:val="006C3963"/>
    <w:rsid w:val="006C3EA7"/>
    <w:rsid w:val="006C3EEF"/>
    <w:rsid w:val="006C3F33"/>
    <w:rsid w:val="006C4057"/>
    <w:rsid w:val="006C411E"/>
    <w:rsid w:val="006C41DE"/>
    <w:rsid w:val="006C43EE"/>
    <w:rsid w:val="006C480E"/>
    <w:rsid w:val="006C4895"/>
    <w:rsid w:val="006C48FF"/>
    <w:rsid w:val="006C4A9D"/>
    <w:rsid w:val="006C4B3C"/>
    <w:rsid w:val="006C4C94"/>
    <w:rsid w:val="006C4E44"/>
    <w:rsid w:val="006C4EEE"/>
    <w:rsid w:val="006C50F8"/>
    <w:rsid w:val="006C522F"/>
    <w:rsid w:val="006C53EE"/>
    <w:rsid w:val="006C5433"/>
    <w:rsid w:val="006C5591"/>
    <w:rsid w:val="006C5921"/>
    <w:rsid w:val="006C5C43"/>
    <w:rsid w:val="006C5D30"/>
    <w:rsid w:val="006C5D3C"/>
    <w:rsid w:val="006C60A8"/>
    <w:rsid w:val="006C62F9"/>
    <w:rsid w:val="006C63A7"/>
    <w:rsid w:val="006C65BE"/>
    <w:rsid w:val="006C65E4"/>
    <w:rsid w:val="006C679F"/>
    <w:rsid w:val="006C6C92"/>
    <w:rsid w:val="006C6CF1"/>
    <w:rsid w:val="006C6E99"/>
    <w:rsid w:val="006C7085"/>
    <w:rsid w:val="006C70EB"/>
    <w:rsid w:val="006C7117"/>
    <w:rsid w:val="006C741E"/>
    <w:rsid w:val="006C781E"/>
    <w:rsid w:val="006C7858"/>
    <w:rsid w:val="006C7A43"/>
    <w:rsid w:val="006C7B2A"/>
    <w:rsid w:val="006C7BDB"/>
    <w:rsid w:val="006C7F08"/>
    <w:rsid w:val="006D030C"/>
    <w:rsid w:val="006D04DB"/>
    <w:rsid w:val="006D0601"/>
    <w:rsid w:val="006D081C"/>
    <w:rsid w:val="006D087A"/>
    <w:rsid w:val="006D087E"/>
    <w:rsid w:val="006D09CF"/>
    <w:rsid w:val="006D09D2"/>
    <w:rsid w:val="006D0A9D"/>
    <w:rsid w:val="006D0B61"/>
    <w:rsid w:val="006D0C6F"/>
    <w:rsid w:val="006D0C7E"/>
    <w:rsid w:val="006D0D17"/>
    <w:rsid w:val="006D102D"/>
    <w:rsid w:val="006D12F0"/>
    <w:rsid w:val="006D14E4"/>
    <w:rsid w:val="006D1788"/>
    <w:rsid w:val="006D18C6"/>
    <w:rsid w:val="006D1B33"/>
    <w:rsid w:val="006D1C00"/>
    <w:rsid w:val="006D1DDE"/>
    <w:rsid w:val="006D1E37"/>
    <w:rsid w:val="006D1EF7"/>
    <w:rsid w:val="006D204C"/>
    <w:rsid w:val="006D2196"/>
    <w:rsid w:val="006D2212"/>
    <w:rsid w:val="006D235D"/>
    <w:rsid w:val="006D23E5"/>
    <w:rsid w:val="006D251D"/>
    <w:rsid w:val="006D2A83"/>
    <w:rsid w:val="006D2B18"/>
    <w:rsid w:val="006D2B6C"/>
    <w:rsid w:val="006D2E06"/>
    <w:rsid w:val="006D2EF2"/>
    <w:rsid w:val="006D2FCC"/>
    <w:rsid w:val="006D2FE2"/>
    <w:rsid w:val="006D333B"/>
    <w:rsid w:val="006D34B7"/>
    <w:rsid w:val="006D3587"/>
    <w:rsid w:val="006D36B4"/>
    <w:rsid w:val="006D3717"/>
    <w:rsid w:val="006D3888"/>
    <w:rsid w:val="006D4311"/>
    <w:rsid w:val="006D431B"/>
    <w:rsid w:val="006D4559"/>
    <w:rsid w:val="006D46C7"/>
    <w:rsid w:val="006D4968"/>
    <w:rsid w:val="006D4A0D"/>
    <w:rsid w:val="006D4AF9"/>
    <w:rsid w:val="006D4BF6"/>
    <w:rsid w:val="006D4EF5"/>
    <w:rsid w:val="006D5262"/>
    <w:rsid w:val="006D587C"/>
    <w:rsid w:val="006D594D"/>
    <w:rsid w:val="006D597B"/>
    <w:rsid w:val="006D59A1"/>
    <w:rsid w:val="006D59E0"/>
    <w:rsid w:val="006D5A98"/>
    <w:rsid w:val="006D5C67"/>
    <w:rsid w:val="006D5C87"/>
    <w:rsid w:val="006D5CC0"/>
    <w:rsid w:val="006D5D5C"/>
    <w:rsid w:val="006D5EA4"/>
    <w:rsid w:val="006D6348"/>
    <w:rsid w:val="006D6463"/>
    <w:rsid w:val="006D65C0"/>
    <w:rsid w:val="006D6EC9"/>
    <w:rsid w:val="006D702B"/>
    <w:rsid w:val="006D7108"/>
    <w:rsid w:val="006D725B"/>
    <w:rsid w:val="006D7495"/>
    <w:rsid w:val="006D7585"/>
    <w:rsid w:val="006D774F"/>
    <w:rsid w:val="006D795C"/>
    <w:rsid w:val="006D79FC"/>
    <w:rsid w:val="006D7ACF"/>
    <w:rsid w:val="006D7C4B"/>
    <w:rsid w:val="006D7EBC"/>
    <w:rsid w:val="006E06CE"/>
    <w:rsid w:val="006E0B72"/>
    <w:rsid w:val="006E0CB7"/>
    <w:rsid w:val="006E12E6"/>
    <w:rsid w:val="006E1430"/>
    <w:rsid w:val="006E17AE"/>
    <w:rsid w:val="006E185C"/>
    <w:rsid w:val="006E1888"/>
    <w:rsid w:val="006E18CB"/>
    <w:rsid w:val="006E19FB"/>
    <w:rsid w:val="006E1A8E"/>
    <w:rsid w:val="006E1B8C"/>
    <w:rsid w:val="006E1FB4"/>
    <w:rsid w:val="006E21CB"/>
    <w:rsid w:val="006E22E3"/>
    <w:rsid w:val="006E23AA"/>
    <w:rsid w:val="006E243A"/>
    <w:rsid w:val="006E2620"/>
    <w:rsid w:val="006E26A8"/>
    <w:rsid w:val="006E2837"/>
    <w:rsid w:val="006E2C1B"/>
    <w:rsid w:val="006E2DFD"/>
    <w:rsid w:val="006E2F1B"/>
    <w:rsid w:val="006E2F88"/>
    <w:rsid w:val="006E34CA"/>
    <w:rsid w:val="006E3532"/>
    <w:rsid w:val="006E3731"/>
    <w:rsid w:val="006E3953"/>
    <w:rsid w:val="006E3EBD"/>
    <w:rsid w:val="006E4370"/>
    <w:rsid w:val="006E44CB"/>
    <w:rsid w:val="006E4503"/>
    <w:rsid w:val="006E49B2"/>
    <w:rsid w:val="006E4D3F"/>
    <w:rsid w:val="006E4E01"/>
    <w:rsid w:val="006E4F0D"/>
    <w:rsid w:val="006E50B3"/>
    <w:rsid w:val="006E5123"/>
    <w:rsid w:val="006E51E7"/>
    <w:rsid w:val="006E5529"/>
    <w:rsid w:val="006E5535"/>
    <w:rsid w:val="006E56AF"/>
    <w:rsid w:val="006E5A69"/>
    <w:rsid w:val="006E5B54"/>
    <w:rsid w:val="006E5B71"/>
    <w:rsid w:val="006E5ECD"/>
    <w:rsid w:val="006E61A8"/>
    <w:rsid w:val="006E6509"/>
    <w:rsid w:val="006E659B"/>
    <w:rsid w:val="006E66A9"/>
    <w:rsid w:val="006E68D7"/>
    <w:rsid w:val="006E6B11"/>
    <w:rsid w:val="006E6B39"/>
    <w:rsid w:val="006E6C4F"/>
    <w:rsid w:val="006E6C53"/>
    <w:rsid w:val="006E717B"/>
    <w:rsid w:val="006E71B7"/>
    <w:rsid w:val="006E7474"/>
    <w:rsid w:val="006E7956"/>
    <w:rsid w:val="006E7B0D"/>
    <w:rsid w:val="006E7B7C"/>
    <w:rsid w:val="006E7F9E"/>
    <w:rsid w:val="006F024C"/>
    <w:rsid w:val="006F0779"/>
    <w:rsid w:val="006F0980"/>
    <w:rsid w:val="006F0CFA"/>
    <w:rsid w:val="006F0E3F"/>
    <w:rsid w:val="006F0E93"/>
    <w:rsid w:val="006F10CA"/>
    <w:rsid w:val="006F118A"/>
    <w:rsid w:val="006F125C"/>
    <w:rsid w:val="006F12DE"/>
    <w:rsid w:val="006F15F8"/>
    <w:rsid w:val="006F1816"/>
    <w:rsid w:val="006F1821"/>
    <w:rsid w:val="006F1B8C"/>
    <w:rsid w:val="006F1EBC"/>
    <w:rsid w:val="006F201B"/>
    <w:rsid w:val="006F201F"/>
    <w:rsid w:val="006F20BE"/>
    <w:rsid w:val="006F2374"/>
    <w:rsid w:val="006F2392"/>
    <w:rsid w:val="006F254E"/>
    <w:rsid w:val="006F273B"/>
    <w:rsid w:val="006F2AC0"/>
    <w:rsid w:val="006F2B3B"/>
    <w:rsid w:val="006F2BE8"/>
    <w:rsid w:val="006F3119"/>
    <w:rsid w:val="006F3199"/>
    <w:rsid w:val="006F31AD"/>
    <w:rsid w:val="006F33EC"/>
    <w:rsid w:val="006F3542"/>
    <w:rsid w:val="006F3566"/>
    <w:rsid w:val="006F35D2"/>
    <w:rsid w:val="006F36EF"/>
    <w:rsid w:val="006F36F7"/>
    <w:rsid w:val="006F37DF"/>
    <w:rsid w:val="006F381C"/>
    <w:rsid w:val="006F3935"/>
    <w:rsid w:val="006F3A98"/>
    <w:rsid w:val="006F3CFC"/>
    <w:rsid w:val="006F4099"/>
    <w:rsid w:val="006F4660"/>
    <w:rsid w:val="006F46C4"/>
    <w:rsid w:val="006F4984"/>
    <w:rsid w:val="006F4A1B"/>
    <w:rsid w:val="006F4E4F"/>
    <w:rsid w:val="006F4FC1"/>
    <w:rsid w:val="006F52F1"/>
    <w:rsid w:val="006F55D8"/>
    <w:rsid w:val="006F5639"/>
    <w:rsid w:val="006F5C47"/>
    <w:rsid w:val="006F5CBB"/>
    <w:rsid w:val="006F5D42"/>
    <w:rsid w:val="006F5EA9"/>
    <w:rsid w:val="006F5F38"/>
    <w:rsid w:val="006F612C"/>
    <w:rsid w:val="006F61CC"/>
    <w:rsid w:val="006F69CB"/>
    <w:rsid w:val="006F6C02"/>
    <w:rsid w:val="006F6D6B"/>
    <w:rsid w:val="006F6DA6"/>
    <w:rsid w:val="006F6DD9"/>
    <w:rsid w:val="006F6E5B"/>
    <w:rsid w:val="006F6E8C"/>
    <w:rsid w:val="006F6F40"/>
    <w:rsid w:val="006F6F52"/>
    <w:rsid w:val="006F6F8B"/>
    <w:rsid w:val="006F719F"/>
    <w:rsid w:val="006F76F1"/>
    <w:rsid w:val="006F789F"/>
    <w:rsid w:val="006F7ABB"/>
    <w:rsid w:val="006F7B9D"/>
    <w:rsid w:val="006F7C18"/>
    <w:rsid w:val="006F7D53"/>
    <w:rsid w:val="006F7F17"/>
    <w:rsid w:val="006F7F75"/>
    <w:rsid w:val="006F7FC2"/>
    <w:rsid w:val="007000C7"/>
    <w:rsid w:val="007001B4"/>
    <w:rsid w:val="00700268"/>
    <w:rsid w:val="00700323"/>
    <w:rsid w:val="0070034A"/>
    <w:rsid w:val="007003AB"/>
    <w:rsid w:val="007003FE"/>
    <w:rsid w:val="00700B18"/>
    <w:rsid w:val="00700C7A"/>
    <w:rsid w:val="00700D6F"/>
    <w:rsid w:val="00700F09"/>
    <w:rsid w:val="00701480"/>
    <w:rsid w:val="00701668"/>
    <w:rsid w:val="00701838"/>
    <w:rsid w:val="00701B44"/>
    <w:rsid w:val="00701B7C"/>
    <w:rsid w:val="00701B8F"/>
    <w:rsid w:val="007020F4"/>
    <w:rsid w:val="00702154"/>
    <w:rsid w:val="007021DE"/>
    <w:rsid w:val="0070220C"/>
    <w:rsid w:val="007022FF"/>
    <w:rsid w:val="00702318"/>
    <w:rsid w:val="00702530"/>
    <w:rsid w:val="00702559"/>
    <w:rsid w:val="0070258F"/>
    <w:rsid w:val="00702603"/>
    <w:rsid w:val="007026E4"/>
    <w:rsid w:val="007027DF"/>
    <w:rsid w:val="007028C3"/>
    <w:rsid w:val="00702926"/>
    <w:rsid w:val="00702FD6"/>
    <w:rsid w:val="0070308F"/>
    <w:rsid w:val="00703162"/>
    <w:rsid w:val="007032D7"/>
    <w:rsid w:val="00703451"/>
    <w:rsid w:val="007034A3"/>
    <w:rsid w:val="0070353A"/>
    <w:rsid w:val="00703BF2"/>
    <w:rsid w:val="00703CB6"/>
    <w:rsid w:val="00703D71"/>
    <w:rsid w:val="00703DBF"/>
    <w:rsid w:val="007042C8"/>
    <w:rsid w:val="00704493"/>
    <w:rsid w:val="00704578"/>
    <w:rsid w:val="0070462B"/>
    <w:rsid w:val="0070465F"/>
    <w:rsid w:val="007047D3"/>
    <w:rsid w:val="00704A39"/>
    <w:rsid w:val="00704A41"/>
    <w:rsid w:val="00704B3A"/>
    <w:rsid w:val="00704B5C"/>
    <w:rsid w:val="00704B9C"/>
    <w:rsid w:val="00704C6D"/>
    <w:rsid w:val="00704F2F"/>
    <w:rsid w:val="00705232"/>
    <w:rsid w:val="007053F2"/>
    <w:rsid w:val="00705531"/>
    <w:rsid w:val="007056CD"/>
    <w:rsid w:val="007056E6"/>
    <w:rsid w:val="0070599E"/>
    <w:rsid w:val="00705AB5"/>
    <w:rsid w:val="00705B45"/>
    <w:rsid w:val="00705D29"/>
    <w:rsid w:val="00705DB6"/>
    <w:rsid w:val="00705DFD"/>
    <w:rsid w:val="00705E05"/>
    <w:rsid w:val="00705F7D"/>
    <w:rsid w:val="007060B2"/>
    <w:rsid w:val="007061B1"/>
    <w:rsid w:val="0070622B"/>
    <w:rsid w:val="0070642F"/>
    <w:rsid w:val="007065DA"/>
    <w:rsid w:val="007065F6"/>
    <w:rsid w:val="007067C2"/>
    <w:rsid w:val="007067E4"/>
    <w:rsid w:val="007067FE"/>
    <w:rsid w:val="00706F0D"/>
    <w:rsid w:val="00707105"/>
    <w:rsid w:val="00707161"/>
    <w:rsid w:val="00707178"/>
    <w:rsid w:val="00707235"/>
    <w:rsid w:val="007073CD"/>
    <w:rsid w:val="00707813"/>
    <w:rsid w:val="007079E4"/>
    <w:rsid w:val="00707BAD"/>
    <w:rsid w:val="00707C5C"/>
    <w:rsid w:val="00707C74"/>
    <w:rsid w:val="00707D56"/>
    <w:rsid w:val="00707DFB"/>
    <w:rsid w:val="00707EC9"/>
    <w:rsid w:val="0071030B"/>
    <w:rsid w:val="007104D5"/>
    <w:rsid w:val="00710654"/>
    <w:rsid w:val="007106E1"/>
    <w:rsid w:val="007108C1"/>
    <w:rsid w:val="00710970"/>
    <w:rsid w:val="00710D48"/>
    <w:rsid w:val="00710DBE"/>
    <w:rsid w:val="00710E5C"/>
    <w:rsid w:val="0071104F"/>
    <w:rsid w:val="00711072"/>
    <w:rsid w:val="00711168"/>
    <w:rsid w:val="007111C1"/>
    <w:rsid w:val="007114F8"/>
    <w:rsid w:val="0071150E"/>
    <w:rsid w:val="00711689"/>
    <w:rsid w:val="00711797"/>
    <w:rsid w:val="007118C0"/>
    <w:rsid w:val="007119C4"/>
    <w:rsid w:val="00711C67"/>
    <w:rsid w:val="00711CAD"/>
    <w:rsid w:val="00711DA0"/>
    <w:rsid w:val="00712093"/>
    <w:rsid w:val="007120C4"/>
    <w:rsid w:val="007120E3"/>
    <w:rsid w:val="00712547"/>
    <w:rsid w:val="007129AA"/>
    <w:rsid w:val="00712F10"/>
    <w:rsid w:val="0071307F"/>
    <w:rsid w:val="0071309D"/>
    <w:rsid w:val="007134CB"/>
    <w:rsid w:val="00713610"/>
    <w:rsid w:val="007137FD"/>
    <w:rsid w:val="0071392E"/>
    <w:rsid w:val="00713ABE"/>
    <w:rsid w:val="00713C38"/>
    <w:rsid w:val="00713D0C"/>
    <w:rsid w:val="00713D89"/>
    <w:rsid w:val="00713DDF"/>
    <w:rsid w:val="00713FC5"/>
    <w:rsid w:val="00714126"/>
    <w:rsid w:val="007141FD"/>
    <w:rsid w:val="00714554"/>
    <w:rsid w:val="007145F0"/>
    <w:rsid w:val="00714878"/>
    <w:rsid w:val="007149DB"/>
    <w:rsid w:val="00714BE0"/>
    <w:rsid w:val="00714DAD"/>
    <w:rsid w:val="007150C8"/>
    <w:rsid w:val="007151BE"/>
    <w:rsid w:val="00715A35"/>
    <w:rsid w:val="00715F06"/>
    <w:rsid w:val="00715F7C"/>
    <w:rsid w:val="00716113"/>
    <w:rsid w:val="0071648C"/>
    <w:rsid w:val="0071672B"/>
    <w:rsid w:val="0071692D"/>
    <w:rsid w:val="00716A83"/>
    <w:rsid w:val="00716D75"/>
    <w:rsid w:val="00716E16"/>
    <w:rsid w:val="007173D7"/>
    <w:rsid w:val="00717464"/>
    <w:rsid w:val="007175F2"/>
    <w:rsid w:val="00717901"/>
    <w:rsid w:val="00717B37"/>
    <w:rsid w:val="00717B96"/>
    <w:rsid w:val="00717C6C"/>
    <w:rsid w:val="00717D01"/>
    <w:rsid w:val="00717D52"/>
    <w:rsid w:val="00717F7E"/>
    <w:rsid w:val="0072007F"/>
    <w:rsid w:val="007204E7"/>
    <w:rsid w:val="007207A6"/>
    <w:rsid w:val="0072081B"/>
    <w:rsid w:val="00720AD4"/>
    <w:rsid w:val="00720BA6"/>
    <w:rsid w:val="00720C09"/>
    <w:rsid w:val="00720D04"/>
    <w:rsid w:val="00720EA7"/>
    <w:rsid w:val="00720EB2"/>
    <w:rsid w:val="0072112A"/>
    <w:rsid w:val="00721146"/>
    <w:rsid w:val="00721323"/>
    <w:rsid w:val="0072154A"/>
    <w:rsid w:val="0072159D"/>
    <w:rsid w:val="0072160B"/>
    <w:rsid w:val="007216E3"/>
    <w:rsid w:val="0072197C"/>
    <w:rsid w:val="00721AB6"/>
    <w:rsid w:val="00721D6E"/>
    <w:rsid w:val="00721D8A"/>
    <w:rsid w:val="0072257E"/>
    <w:rsid w:val="0072294E"/>
    <w:rsid w:val="007229F4"/>
    <w:rsid w:val="00722A0C"/>
    <w:rsid w:val="00722A70"/>
    <w:rsid w:val="00722DAB"/>
    <w:rsid w:val="00722F52"/>
    <w:rsid w:val="00722FD5"/>
    <w:rsid w:val="0072312A"/>
    <w:rsid w:val="00723163"/>
    <w:rsid w:val="007232FC"/>
    <w:rsid w:val="0072384F"/>
    <w:rsid w:val="00723D53"/>
    <w:rsid w:val="00723E24"/>
    <w:rsid w:val="00723F65"/>
    <w:rsid w:val="00723F8F"/>
    <w:rsid w:val="0072410E"/>
    <w:rsid w:val="0072469B"/>
    <w:rsid w:val="007246F8"/>
    <w:rsid w:val="007248BB"/>
    <w:rsid w:val="00724906"/>
    <w:rsid w:val="00724FE0"/>
    <w:rsid w:val="007252C8"/>
    <w:rsid w:val="007253CA"/>
    <w:rsid w:val="0072576B"/>
    <w:rsid w:val="00725799"/>
    <w:rsid w:val="007258D4"/>
    <w:rsid w:val="00725922"/>
    <w:rsid w:val="00725F09"/>
    <w:rsid w:val="007261D0"/>
    <w:rsid w:val="0072659C"/>
    <w:rsid w:val="007269C6"/>
    <w:rsid w:val="00726D51"/>
    <w:rsid w:val="00726FFE"/>
    <w:rsid w:val="00727255"/>
    <w:rsid w:val="00727291"/>
    <w:rsid w:val="007272A7"/>
    <w:rsid w:val="0072748F"/>
    <w:rsid w:val="00727533"/>
    <w:rsid w:val="00727550"/>
    <w:rsid w:val="0072784B"/>
    <w:rsid w:val="0072784C"/>
    <w:rsid w:val="00727B75"/>
    <w:rsid w:val="00727CE3"/>
    <w:rsid w:val="007300BD"/>
    <w:rsid w:val="00730214"/>
    <w:rsid w:val="00730338"/>
    <w:rsid w:val="007306D2"/>
    <w:rsid w:val="00730916"/>
    <w:rsid w:val="00730920"/>
    <w:rsid w:val="00730967"/>
    <w:rsid w:val="00730B87"/>
    <w:rsid w:val="00730C1C"/>
    <w:rsid w:val="00730E47"/>
    <w:rsid w:val="00730F3D"/>
    <w:rsid w:val="00730FC4"/>
    <w:rsid w:val="00731299"/>
    <w:rsid w:val="007313C1"/>
    <w:rsid w:val="0073146D"/>
    <w:rsid w:val="007315C7"/>
    <w:rsid w:val="007316AC"/>
    <w:rsid w:val="00731C17"/>
    <w:rsid w:val="00731CAA"/>
    <w:rsid w:val="00732112"/>
    <w:rsid w:val="00732184"/>
    <w:rsid w:val="00732196"/>
    <w:rsid w:val="007321DF"/>
    <w:rsid w:val="007325A9"/>
    <w:rsid w:val="007325BC"/>
    <w:rsid w:val="00732611"/>
    <w:rsid w:val="0073270B"/>
    <w:rsid w:val="00732787"/>
    <w:rsid w:val="00732ABC"/>
    <w:rsid w:val="00732B9C"/>
    <w:rsid w:val="00732C7B"/>
    <w:rsid w:val="00732D86"/>
    <w:rsid w:val="00733638"/>
    <w:rsid w:val="00733A55"/>
    <w:rsid w:val="00733B37"/>
    <w:rsid w:val="00733D9F"/>
    <w:rsid w:val="00733F64"/>
    <w:rsid w:val="007340E9"/>
    <w:rsid w:val="00734108"/>
    <w:rsid w:val="0073427B"/>
    <w:rsid w:val="007346B1"/>
    <w:rsid w:val="007346D7"/>
    <w:rsid w:val="007347A1"/>
    <w:rsid w:val="007348C4"/>
    <w:rsid w:val="00734958"/>
    <w:rsid w:val="00734AD4"/>
    <w:rsid w:val="00734CCD"/>
    <w:rsid w:val="00734DD9"/>
    <w:rsid w:val="007350F1"/>
    <w:rsid w:val="0073540E"/>
    <w:rsid w:val="00735948"/>
    <w:rsid w:val="00735982"/>
    <w:rsid w:val="00735EA5"/>
    <w:rsid w:val="00735F0D"/>
    <w:rsid w:val="00735F39"/>
    <w:rsid w:val="007361FE"/>
    <w:rsid w:val="0073629C"/>
    <w:rsid w:val="0073637C"/>
    <w:rsid w:val="00736469"/>
    <w:rsid w:val="00736579"/>
    <w:rsid w:val="00736926"/>
    <w:rsid w:val="0073698E"/>
    <w:rsid w:val="00736B45"/>
    <w:rsid w:val="00736D42"/>
    <w:rsid w:val="00736FE0"/>
    <w:rsid w:val="00736FFC"/>
    <w:rsid w:val="00737006"/>
    <w:rsid w:val="007370EB"/>
    <w:rsid w:val="007370FB"/>
    <w:rsid w:val="0073711D"/>
    <w:rsid w:val="0073717D"/>
    <w:rsid w:val="0073737D"/>
    <w:rsid w:val="007373D8"/>
    <w:rsid w:val="00737500"/>
    <w:rsid w:val="007377C3"/>
    <w:rsid w:val="00737943"/>
    <w:rsid w:val="00737CA0"/>
    <w:rsid w:val="00737E39"/>
    <w:rsid w:val="00737E8A"/>
    <w:rsid w:val="00737F4B"/>
    <w:rsid w:val="00740038"/>
    <w:rsid w:val="00740499"/>
    <w:rsid w:val="00740547"/>
    <w:rsid w:val="00740676"/>
    <w:rsid w:val="0074093A"/>
    <w:rsid w:val="00740B0F"/>
    <w:rsid w:val="00740BBD"/>
    <w:rsid w:val="00740D73"/>
    <w:rsid w:val="00740EEC"/>
    <w:rsid w:val="00740F50"/>
    <w:rsid w:val="00741127"/>
    <w:rsid w:val="0074115F"/>
    <w:rsid w:val="0074119B"/>
    <w:rsid w:val="007416D5"/>
    <w:rsid w:val="00741887"/>
    <w:rsid w:val="007418BE"/>
    <w:rsid w:val="00741979"/>
    <w:rsid w:val="00741A43"/>
    <w:rsid w:val="00741C86"/>
    <w:rsid w:val="00741D23"/>
    <w:rsid w:val="00741EED"/>
    <w:rsid w:val="00742030"/>
    <w:rsid w:val="00742248"/>
    <w:rsid w:val="0074248A"/>
    <w:rsid w:val="007428E3"/>
    <w:rsid w:val="0074298A"/>
    <w:rsid w:val="00742A9D"/>
    <w:rsid w:val="00742AD7"/>
    <w:rsid w:val="00742AE8"/>
    <w:rsid w:val="00742AFB"/>
    <w:rsid w:val="00742CFD"/>
    <w:rsid w:val="0074304F"/>
    <w:rsid w:val="007431FA"/>
    <w:rsid w:val="0074341D"/>
    <w:rsid w:val="007438CA"/>
    <w:rsid w:val="007439FA"/>
    <w:rsid w:val="00743A1D"/>
    <w:rsid w:val="00743C23"/>
    <w:rsid w:val="00743CD2"/>
    <w:rsid w:val="00743CEB"/>
    <w:rsid w:val="00743D21"/>
    <w:rsid w:val="00743DE2"/>
    <w:rsid w:val="007443A0"/>
    <w:rsid w:val="007443AC"/>
    <w:rsid w:val="007444F7"/>
    <w:rsid w:val="0074450D"/>
    <w:rsid w:val="0074471B"/>
    <w:rsid w:val="007448DB"/>
    <w:rsid w:val="00744969"/>
    <w:rsid w:val="00744A1D"/>
    <w:rsid w:val="00744A75"/>
    <w:rsid w:val="00744BA1"/>
    <w:rsid w:val="00744BD2"/>
    <w:rsid w:val="00744D10"/>
    <w:rsid w:val="00744D57"/>
    <w:rsid w:val="00744FAE"/>
    <w:rsid w:val="00745021"/>
    <w:rsid w:val="007451C8"/>
    <w:rsid w:val="00745236"/>
    <w:rsid w:val="00745441"/>
    <w:rsid w:val="00745544"/>
    <w:rsid w:val="00745786"/>
    <w:rsid w:val="00745801"/>
    <w:rsid w:val="007459F8"/>
    <w:rsid w:val="00745D3E"/>
    <w:rsid w:val="00745E44"/>
    <w:rsid w:val="00745EF1"/>
    <w:rsid w:val="00745FDC"/>
    <w:rsid w:val="00746038"/>
    <w:rsid w:val="0074626F"/>
    <w:rsid w:val="0074634C"/>
    <w:rsid w:val="007464BD"/>
    <w:rsid w:val="0074666B"/>
    <w:rsid w:val="0074693F"/>
    <w:rsid w:val="00746A2C"/>
    <w:rsid w:val="00746CD2"/>
    <w:rsid w:val="00746E4C"/>
    <w:rsid w:val="007472D8"/>
    <w:rsid w:val="00747606"/>
    <w:rsid w:val="00747751"/>
    <w:rsid w:val="00747814"/>
    <w:rsid w:val="00747846"/>
    <w:rsid w:val="00747C2B"/>
    <w:rsid w:val="007501E6"/>
    <w:rsid w:val="007503D9"/>
    <w:rsid w:val="00750460"/>
    <w:rsid w:val="0075046F"/>
    <w:rsid w:val="0075060B"/>
    <w:rsid w:val="00750901"/>
    <w:rsid w:val="00750937"/>
    <w:rsid w:val="00750A95"/>
    <w:rsid w:val="00750BC2"/>
    <w:rsid w:val="00750C92"/>
    <w:rsid w:val="00750CAE"/>
    <w:rsid w:val="00750EAC"/>
    <w:rsid w:val="0075128C"/>
    <w:rsid w:val="00751368"/>
    <w:rsid w:val="00751606"/>
    <w:rsid w:val="00751678"/>
    <w:rsid w:val="00751AB8"/>
    <w:rsid w:val="00751E41"/>
    <w:rsid w:val="00751E47"/>
    <w:rsid w:val="00752020"/>
    <w:rsid w:val="007521F9"/>
    <w:rsid w:val="0075230F"/>
    <w:rsid w:val="0075232C"/>
    <w:rsid w:val="00752449"/>
    <w:rsid w:val="00752458"/>
    <w:rsid w:val="007527D7"/>
    <w:rsid w:val="00752841"/>
    <w:rsid w:val="00752943"/>
    <w:rsid w:val="0075299E"/>
    <w:rsid w:val="00752AF3"/>
    <w:rsid w:val="00752C95"/>
    <w:rsid w:val="00752D05"/>
    <w:rsid w:val="00752E1E"/>
    <w:rsid w:val="00752E72"/>
    <w:rsid w:val="00752E89"/>
    <w:rsid w:val="00753125"/>
    <w:rsid w:val="0075326B"/>
    <w:rsid w:val="00753360"/>
    <w:rsid w:val="00753370"/>
    <w:rsid w:val="00753574"/>
    <w:rsid w:val="00753628"/>
    <w:rsid w:val="007538B4"/>
    <w:rsid w:val="00753AD5"/>
    <w:rsid w:val="00753B15"/>
    <w:rsid w:val="00753D5C"/>
    <w:rsid w:val="00753D6A"/>
    <w:rsid w:val="00753E17"/>
    <w:rsid w:val="00753F4D"/>
    <w:rsid w:val="00753FD0"/>
    <w:rsid w:val="0075408D"/>
    <w:rsid w:val="0075426D"/>
    <w:rsid w:val="007542DD"/>
    <w:rsid w:val="00754461"/>
    <w:rsid w:val="0075479D"/>
    <w:rsid w:val="00754B4F"/>
    <w:rsid w:val="00754B70"/>
    <w:rsid w:val="00754B71"/>
    <w:rsid w:val="00754C1D"/>
    <w:rsid w:val="00754CFD"/>
    <w:rsid w:val="00754F6E"/>
    <w:rsid w:val="00755051"/>
    <w:rsid w:val="007550BF"/>
    <w:rsid w:val="00755163"/>
    <w:rsid w:val="007555D2"/>
    <w:rsid w:val="007556DC"/>
    <w:rsid w:val="00755834"/>
    <w:rsid w:val="00755975"/>
    <w:rsid w:val="00755977"/>
    <w:rsid w:val="00755AA6"/>
    <w:rsid w:val="00755B34"/>
    <w:rsid w:val="00755B7F"/>
    <w:rsid w:val="00755C79"/>
    <w:rsid w:val="00755DF3"/>
    <w:rsid w:val="00756250"/>
    <w:rsid w:val="00756525"/>
    <w:rsid w:val="0075666B"/>
    <w:rsid w:val="00756A6B"/>
    <w:rsid w:val="00756A76"/>
    <w:rsid w:val="00756B77"/>
    <w:rsid w:val="00756E7D"/>
    <w:rsid w:val="007571BD"/>
    <w:rsid w:val="0075777D"/>
    <w:rsid w:val="00757947"/>
    <w:rsid w:val="00757DC7"/>
    <w:rsid w:val="00760291"/>
    <w:rsid w:val="007604E8"/>
    <w:rsid w:val="0076068D"/>
    <w:rsid w:val="0076070F"/>
    <w:rsid w:val="0076072A"/>
    <w:rsid w:val="00760815"/>
    <w:rsid w:val="00760854"/>
    <w:rsid w:val="00760B0A"/>
    <w:rsid w:val="00761020"/>
    <w:rsid w:val="007610FA"/>
    <w:rsid w:val="007611F7"/>
    <w:rsid w:val="00761221"/>
    <w:rsid w:val="007617EB"/>
    <w:rsid w:val="007621E1"/>
    <w:rsid w:val="00762276"/>
    <w:rsid w:val="00762568"/>
    <w:rsid w:val="00762783"/>
    <w:rsid w:val="00762840"/>
    <w:rsid w:val="00762857"/>
    <w:rsid w:val="00762D26"/>
    <w:rsid w:val="00762D65"/>
    <w:rsid w:val="00762EA9"/>
    <w:rsid w:val="00762F70"/>
    <w:rsid w:val="00762FDC"/>
    <w:rsid w:val="0076309D"/>
    <w:rsid w:val="00763480"/>
    <w:rsid w:val="00763780"/>
    <w:rsid w:val="0076387F"/>
    <w:rsid w:val="007639EE"/>
    <w:rsid w:val="00763EC7"/>
    <w:rsid w:val="00763FA5"/>
    <w:rsid w:val="007644AE"/>
    <w:rsid w:val="007649E9"/>
    <w:rsid w:val="00764B0E"/>
    <w:rsid w:val="00764D10"/>
    <w:rsid w:val="00765230"/>
    <w:rsid w:val="007652B1"/>
    <w:rsid w:val="007652DF"/>
    <w:rsid w:val="007655C1"/>
    <w:rsid w:val="00765817"/>
    <w:rsid w:val="00765942"/>
    <w:rsid w:val="00765955"/>
    <w:rsid w:val="00765BB4"/>
    <w:rsid w:val="00765DBC"/>
    <w:rsid w:val="00765E48"/>
    <w:rsid w:val="00765FE7"/>
    <w:rsid w:val="00766002"/>
    <w:rsid w:val="00766218"/>
    <w:rsid w:val="007662FF"/>
    <w:rsid w:val="00766525"/>
    <w:rsid w:val="007668D2"/>
    <w:rsid w:val="007668D4"/>
    <w:rsid w:val="00766B32"/>
    <w:rsid w:val="00766B6C"/>
    <w:rsid w:val="00766BB2"/>
    <w:rsid w:val="00766C22"/>
    <w:rsid w:val="00766CF4"/>
    <w:rsid w:val="00766E50"/>
    <w:rsid w:val="007670B2"/>
    <w:rsid w:val="007670DF"/>
    <w:rsid w:val="007670F9"/>
    <w:rsid w:val="00767105"/>
    <w:rsid w:val="00767128"/>
    <w:rsid w:val="007671B9"/>
    <w:rsid w:val="00767233"/>
    <w:rsid w:val="0076723F"/>
    <w:rsid w:val="0076725D"/>
    <w:rsid w:val="0076727B"/>
    <w:rsid w:val="007678EE"/>
    <w:rsid w:val="007679FD"/>
    <w:rsid w:val="00767A8C"/>
    <w:rsid w:val="00767D0C"/>
    <w:rsid w:val="00767F74"/>
    <w:rsid w:val="0077009B"/>
    <w:rsid w:val="00770171"/>
    <w:rsid w:val="00770598"/>
    <w:rsid w:val="00770682"/>
    <w:rsid w:val="007708B6"/>
    <w:rsid w:val="0077093F"/>
    <w:rsid w:val="00770AD5"/>
    <w:rsid w:val="00770BDA"/>
    <w:rsid w:val="00770E9B"/>
    <w:rsid w:val="00770ECE"/>
    <w:rsid w:val="00770F22"/>
    <w:rsid w:val="00771015"/>
    <w:rsid w:val="00771071"/>
    <w:rsid w:val="007710F2"/>
    <w:rsid w:val="0077112D"/>
    <w:rsid w:val="00771654"/>
    <w:rsid w:val="0077165B"/>
    <w:rsid w:val="0077166D"/>
    <w:rsid w:val="0077191C"/>
    <w:rsid w:val="00771954"/>
    <w:rsid w:val="00771A1B"/>
    <w:rsid w:val="00771B34"/>
    <w:rsid w:val="00771CCB"/>
    <w:rsid w:val="00771D84"/>
    <w:rsid w:val="00771E05"/>
    <w:rsid w:val="0077200A"/>
    <w:rsid w:val="00772180"/>
    <w:rsid w:val="00772280"/>
    <w:rsid w:val="00772678"/>
    <w:rsid w:val="0077297B"/>
    <w:rsid w:val="0077298B"/>
    <w:rsid w:val="00772ED1"/>
    <w:rsid w:val="007730EB"/>
    <w:rsid w:val="00773249"/>
    <w:rsid w:val="0077352E"/>
    <w:rsid w:val="007736F0"/>
    <w:rsid w:val="00773953"/>
    <w:rsid w:val="00773BA1"/>
    <w:rsid w:val="00773D13"/>
    <w:rsid w:val="00773D5C"/>
    <w:rsid w:val="00773F30"/>
    <w:rsid w:val="007740DD"/>
    <w:rsid w:val="00774239"/>
    <w:rsid w:val="00774302"/>
    <w:rsid w:val="00774567"/>
    <w:rsid w:val="0077463D"/>
    <w:rsid w:val="0077473C"/>
    <w:rsid w:val="00774797"/>
    <w:rsid w:val="007747A9"/>
    <w:rsid w:val="00774BAD"/>
    <w:rsid w:val="00774C37"/>
    <w:rsid w:val="00774F23"/>
    <w:rsid w:val="00774F4D"/>
    <w:rsid w:val="00774FCA"/>
    <w:rsid w:val="007750D9"/>
    <w:rsid w:val="00775175"/>
    <w:rsid w:val="00775227"/>
    <w:rsid w:val="0077549E"/>
    <w:rsid w:val="00775743"/>
    <w:rsid w:val="00775A79"/>
    <w:rsid w:val="00775D73"/>
    <w:rsid w:val="00775DB1"/>
    <w:rsid w:val="00776044"/>
    <w:rsid w:val="00776324"/>
    <w:rsid w:val="0077640A"/>
    <w:rsid w:val="007765B0"/>
    <w:rsid w:val="00776660"/>
    <w:rsid w:val="007767EE"/>
    <w:rsid w:val="00776965"/>
    <w:rsid w:val="00776D50"/>
    <w:rsid w:val="00776D8C"/>
    <w:rsid w:val="00776DA1"/>
    <w:rsid w:val="00776EE4"/>
    <w:rsid w:val="00776FD7"/>
    <w:rsid w:val="00777240"/>
    <w:rsid w:val="00777497"/>
    <w:rsid w:val="007774B2"/>
    <w:rsid w:val="00777508"/>
    <w:rsid w:val="00777555"/>
    <w:rsid w:val="00777755"/>
    <w:rsid w:val="00777893"/>
    <w:rsid w:val="007778F9"/>
    <w:rsid w:val="0077796E"/>
    <w:rsid w:val="00777A57"/>
    <w:rsid w:val="00777A80"/>
    <w:rsid w:val="00777AFA"/>
    <w:rsid w:val="00777B0A"/>
    <w:rsid w:val="00777E9A"/>
    <w:rsid w:val="00777F4A"/>
    <w:rsid w:val="00780225"/>
    <w:rsid w:val="00780288"/>
    <w:rsid w:val="007802C4"/>
    <w:rsid w:val="00780302"/>
    <w:rsid w:val="00780345"/>
    <w:rsid w:val="00780457"/>
    <w:rsid w:val="0078050B"/>
    <w:rsid w:val="00780619"/>
    <w:rsid w:val="00780AE1"/>
    <w:rsid w:val="00781000"/>
    <w:rsid w:val="0078105B"/>
    <w:rsid w:val="00781128"/>
    <w:rsid w:val="00781236"/>
    <w:rsid w:val="007812A7"/>
    <w:rsid w:val="00781461"/>
    <w:rsid w:val="007814F6"/>
    <w:rsid w:val="00781520"/>
    <w:rsid w:val="0078158C"/>
    <w:rsid w:val="007815F8"/>
    <w:rsid w:val="007816F7"/>
    <w:rsid w:val="007819F5"/>
    <w:rsid w:val="00781AAD"/>
    <w:rsid w:val="00781ABA"/>
    <w:rsid w:val="00781CEC"/>
    <w:rsid w:val="00781DE2"/>
    <w:rsid w:val="00781E2B"/>
    <w:rsid w:val="0078226B"/>
    <w:rsid w:val="007823A9"/>
    <w:rsid w:val="007824E8"/>
    <w:rsid w:val="0078271C"/>
    <w:rsid w:val="00782A1E"/>
    <w:rsid w:val="00782B7B"/>
    <w:rsid w:val="00783043"/>
    <w:rsid w:val="00783414"/>
    <w:rsid w:val="007834B1"/>
    <w:rsid w:val="007836CD"/>
    <w:rsid w:val="007837A7"/>
    <w:rsid w:val="00783A04"/>
    <w:rsid w:val="00783AA8"/>
    <w:rsid w:val="00783D20"/>
    <w:rsid w:val="00784098"/>
    <w:rsid w:val="00784540"/>
    <w:rsid w:val="00784649"/>
    <w:rsid w:val="00784847"/>
    <w:rsid w:val="00784A83"/>
    <w:rsid w:val="00784B56"/>
    <w:rsid w:val="00784B69"/>
    <w:rsid w:val="00784D08"/>
    <w:rsid w:val="00784E50"/>
    <w:rsid w:val="007857F8"/>
    <w:rsid w:val="00785835"/>
    <w:rsid w:val="0078590E"/>
    <w:rsid w:val="00785AB1"/>
    <w:rsid w:val="00785B36"/>
    <w:rsid w:val="00785BB0"/>
    <w:rsid w:val="00785C8F"/>
    <w:rsid w:val="00785DDE"/>
    <w:rsid w:val="00785F02"/>
    <w:rsid w:val="007864F0"/>
    <w:rsid w:val="007867A5"/>
    <w:rsid w:val="00786ACC"/>
    <w:rsid w:val="00786B08"/>
    <w:rsid w:val="00786C7A"/>
    <w:rsid w:val="00786CA3"/>
    <w:rsid w:val="00786E3C"/>
    <w:rsid w:val="00786E99"/>
    <w:rsid w:val="00786FBA"/>
    <w:rsid w:val="007871E2"/>
    <w:rsid w:val="00787293"/>
    <w:rsid w:val="007874FD"/>
    <w:rsid w:val="007875F6"/>
    <w:rsid w:val="00787697"/>
    <w:rsid w:val="007878CF"/>
    <w:rsid w:val="00787998"/>
    <w:rsid w:val="007879EB"/>
    <w:rsid w:val="00787C83"/>
    <w:rsid w:val="0078FEB4"/>
    <w:rsid w:val="007901E5"/>
    <w:rsid w:val="00790326"/>
    <w:rsid w:val="00790458"/>
    <w:rsid w:val="0079052C"/>
    <w:rsid w:val="0079059A"/>
    <w:rsid w:val="007906B1"/>
    <w:rsid w:val="007908D9"/>
    <w:rsid w:val="00790A8E"/>
    <w:rsid w:val="00790B50"/>
    <w:rsid w:val="00790FBA"/>
    <w:rsid w:val="0079162E"/>
    <w:rsid w:val="00791950"/>
    <w:rsid w:val="007919B3"/>
    <w:rsid w:val="00791A9A"/>
    <w:rsid w:val="00791AD1"/>
    <w:rsid w:val="00791F41"/>
    <w:rsid w:val="00791FD3"/>
    <w:rsid w:val="007920D2"/>
    <w:rsid w:val="007921F3"/>
    <w:rsid w:val="007924C3"/>
    <w:rsid w:val="007927BF"/>
    <w:rsid w:val="00792D38"/>
    <w:rsid w:val="00792E55"/>
    <w:rsid w:val="00792EA0"/>
    <w:rsid w:val="00793016"/>
    <w:rsid w:val="00793049"/>
    <w:rsid w:val="00793314"/>
    <w:rsid w:val="007934B0"/>
    <w:rsid w:val="0079350C"/>
    <w:rsid w:val="00793654"/>
    <w:rsid w:val="007938A9"/>
    <w:rsid w:val="00793997"/>
    <w:rsid w:val="00793B25"/>
    <w:rsid w:val="00793C07"/>
    <w:rsid w:val="00793C08"/>
    <w:rsid w:val="00793C0F"/>
    <w:rsid w:val="00793DB9"/>
    <w:rsid w:val="00793E14"/>
    <w:rsid w:val="00793F9C"/>
    <w:rsid w:val="0079401E"/>
    <w:rsid w:val="0079409C"/>
    <w:rsid w:val="00794364"/>
    <w:rsid w:val="0079453A"/>
    <w:rsid w:val="0079456E"/>
    <w:rsid w:val="00794748"/>
    <w:rsid w:val="00794A21"/>
    <w:rsid w:val="0079511D"/>
    <w:rsid w:val="007951E6"/>
    <w:rsid w:val="0079553A"/>
    <w:rsid w:val="00795AEC"/>
    <w:rsid w:val="00795AFC"/>
    <w:rsid w:val="00795DD3"/>
    <w:rsid w:val="00795F18"/>
    <w:rsid w:val="007960CC"/>
    <w:rsid w:val="00796602"/>
    <w:rsid w:val="0079677F"/>
    <w:rsid w:val="00796971"/>
    <w:rsid w:val="00796BDB"/>
    <w:rsid w:val="00796CAE"/>
    <w:rsid w:val="00796E01"/>
    <w:rsid w:val="00797004"/>
    <w:rsid w:val="0079708B"/>
    <w:rsid w:val="007970F5"/>
    <w:rsid w:val="00797154"/>
    <w:rsid w:val="007971F8"/>
    <w:rsid w:val="00797818"/>
    <w:rsid w:val="0079795A"/>
    <w:rsid w:val="0079796E"/>
    <w:rsid w:val="00797A3F"/>
    <w:rsid w:val="00797FD4"/>
    <w:rsid w:val="007A022B"/>
    <w:rsid w:val="007A048E"/>
    <w:rsid w:val="007A0689"/>
    <w:rsid w:val="007A06E9"/>
    <w:rsid w:val="007A09BF"/>
    <w:rsid w:val="007A0A48"/>
    <w:rsid w:val="007A0C63"/>
    <w:rsid w:val="007A0DC7"/>
    <w:rsid w:val="007A0DCB"/>
    <w:rsid w:val="007A13F3"/>
    <w:rsid w:val="007A156F"/>
    <w:rsid w:val="007A19F8"/>
    <w:rsid w:val="007A1B5F"/>
    <w:rsid w:val="007A1E45"/>
    <w:rsid w:val="007A2430"/>
    <w:rsid w:val="007A2523"/>
    <w:rsid w:val="007A25A0"/>
    <w:rsid w:val="007A25C5"/>
    <w:rsid w:val="007A2681"/>
    <w:rsid w:val="007A2704"/>
    <w:rsid w:val="007A2781"/>
    <w:rsid w:val="007A2B7B"/>
    <w:rsid w:val="007A2C75"/>
    <w:rsid w:val="007A2EF6"/>
    <w:rsid w:val="007A30D3"/>
    <w:rsid w:val="007A311D"/>
    <w:rsid w:val="007A3167"/>
    <w:rsid w:val="007A3206"/>
    <w:rsid w:val="007A33D3"/>
    <w:rsid w:val="007A3CEE"/>
    <w:rsid w:val="007A4200"/>
    <w:rsid w:val="007A429B"/>
    <w:rsid w:val="007A4424"/>
    <w:rsid w:val="007A451E"/>
    <w:rsid w:val="007A46E3"/>
    <w:rsid w:val="007A4A2E"/>
    <w:rsid w:val="007A4D75"/>
    <w:rsid w:val="007A4DDD"/>
    <w:rsid w:val="007A4F73"/>
    <w:rsid w:val="007A5086"/>
    <w:rsid w:val="007A5406"/>
    <w:rsid w:val="007A5C97"/>
    <w:rsid w:val="007A5F75"/>
    <w:rsid w:val="007A606B"/>
    <w:rsid w:val="007A6440"/>
    <w:rsid w:val="007A66F4"/>
    <w:rsid w:val="007A6726"/>
    <w:rsid w:val="007A6814"/>
    <w:rsid w:val="007A6AE3"/>
    <w:rsid w:val="007A6B72"/>
    <w:rsid w:val="007A6D3F"/>
    <w:rsid w:val="007A7031"/>
    <w:rsid w:val="007A7104"/>
    <w:rsid w:val="007A716B"/>
    <w:rsid w:val="007A71BC"/>
    <w:rsid w:val="007A71DD"/>
    <w:rsid w:val="007A71E9"/>
    <w:rsid w:val="007A7442"/>
    <w:rsid w:val="007A7831"/>
    <w:rsid w:val="007A786F"/>
    <w:rsid w:val="007A78E6"/>
    <w:rsid w:val="007A79C9"/>
    <w:rsid w:val="007A79FD"/>
    <w:rsid w:val="007A7B15"/>
    <w:rsid w:val="007A7B41"/>
    <w:rsid w:val="007A7C99"/>
    <w:rsid w:val="007A7C9E"/>
    <w:rsid w:val="007A7E64"/>
    <w:rsid w:val="007A7F33"/>
    <w:rsid w:val="007A7F7B"/>
    <w:rsid w:val="007B0174"/>
    <w:rsid w:val="007B0197"/>
    <w:rsid w:val="007B04C1"/>
    <w:rsid w:val="007B0592"/>
    <w:rsid w:val="007B0679"/>
    <w:rsid w:val="007B0722"/>
    <w:rsid w:val="007B07C0"/>
    <w:rsid w:val="007B0A95"/>
    <w:rsid w:val="007B0DB9"/>
    <w:rsid w:val="007B106B"/>
    <w:rsid w:val="007B111F"/>
    <w:rsid w:val="007B11CE"/>
    <w:rsid w:val="007B1496"/>
    <w:rsid w:val="007B1497"/>
    <w:rsid w:val="007B1520"/>
    <w:rsid w:val="007B1526"/>
    <w:rsid w:val="007B15F7"/>
    <w:rsid w:val="007B1A30"/>
    <w:rsid w:val="007B1D10"/>
    <w:rsid w:val="007B1F03"/>
    <w:rsid w:val="007B1F63"/>
    <w:rsid w:val="007B1FAC"/>
    <w:rsid w:val="007B2611"/>
    <w:rsid w:val="007B2634"/>
    <w:rsid w:val="007B2910"/>
    <w:rsid w:val="007B29DD"/>
    <w:rsid w:val="007B2AAC"/>
    <w:rsid w:val="007B2AD2"/>
    <w:rsid w:val="007B2BA0"/>
    <w:rsid w:val="007B2C9A"/>
    <w:rsid w:val="007B2CF7"/>
    <w:rsid w:val="007B2FA0"/>
    <w:rsid w:val="007B361B"/>
    <w:rsid w:val="007B368F"/>
    <w:rsid w:val="007B375F"/>
    <w:rsid w:val="007B3C4B"/>
    <w:rsid w:val="007B3DA0"/>
    <w:rsid w:val="007B3FC3"/>
    <w:rsid w:val="007B4035"/>
    <w:rsid w:val="007B4102"/>
    <w:rsid w:val="007B421B"/>
    <w:rsid w:val="007B44CB"/>
    <w:rsid w:val="007B4501"/>
    <w:rsid w:val="007B45BE"/>
    <w:rsid w:val="007B47C7"/>
    <w:rsid w:val="007B4985"/>
    <w:rsid w:val="007B49C3"/>
    <w:rsid w:val="007B4DC0"/>
    <w:rsid w:val="007B4E01"/>
    <w:rsid w:val="007B5025"/>
    <w:rsid w:val="007B51DE"/>
    <w:rsid w:val="007B55ED"/>
    <w:rsid w:val="007B562E"/>
    <w:rsid w:val="007B5745"/>
    <w:rsid w:val="007B5AC1"/>
    <w:rsid w:val="007B5C36"/>
    <w:rsid w:val="007B5C94"/>
    <w:rsid w:val="007B5DC5"/>
    <w:rsid w:val="007B5DF1"/>
    <w:rsid w:val="007B5E93"/>
    <w:rsid w:val="007B6127"/>
    <w:rsid w:val="007B612B"/>
    <w:rsid w:val="007B6256"/>
    <w:rsid w:val="007B65ED"/>
    <w:rsid w:val="007B6665"/>
    <w:rsid w:val="007B66D1"/>
    <w:rsid w:val="007B6D09"/>
    <w:rsid w:val="007B6E8F"/>
    <w:rsid w:val="007B735A"/>
    <w:rsid w:val="007B7836"/>
    <w:rsid w:val="007B78D5"/>
    <w:rsid w:val="007B7985"/>
    <w:rsid w:val="007B7B1E"/>
    <w:rsid w:val="007B7E4C"/>
    <w:rsid w:val="007B7E76"/>
    <w:rsid w:val="007B7E80"/>
    <w:rsid w:val="007B7F9B"/>
    <w:rsid w:val="007C010C"/>
    <w:rsid w:val="007C01C1"/>
    <w:rsid w:val="007C0559"/>
    <w:rsid w:val="007C0A83"/>
    <w:rsid w:val="007C0C5B"/>
    <w:rsid w:val="007C0F37"/>
    <w:rsid w:val="007C154B"/>
    <w:rsid w:val="007C1B10"/>
    <w:rsid w:val="007C1CA4"/>
    <w:rsid w:val="007C1EAD"/>
    <w:rsid w:val="007C210B"/>
    <w:rsid w:val="007C228B"/>
    <w:rsid w:val="007C2352"/>
    <w:rsid w:val="007C2414"/>
    <w:rsid w:val="007C25B9"/>
    <w:rsid w:val="007C26AE"/>
    <w:rsid w:val="007C2790"/>
    <w:rsid w:val="007C2B5D"/>
    <w:rsid w:val="007C2B90"/>
    <w:rsid w:val="007C2C6B"/>
    <w:rsid w:val="007C2D6A"/>
    <w:rsid w:val="007C2E3C"/>
    <w:rsid w:val="007C2FA6"/>
    <w:rsid w:val="007C3187"/>
    <w:rsid w:val="007C33FD"/>
    <w:rsid w:val="007C34D0"/>
    <w:rsid w:val="007C3530"/>
    <w:rsid w:val="007C36F7"/>
    <w:rsid w:val="007C374D"/>
    <w:rsid w:val="007C3D6C"/>
    <w:rsid w:val="007C3DB2"/>
    <w:rsid w:val="007C3ECA"/>
    <w:rsid w:val="007C3ED7"/>
    <w:rsid w:val="007C4333"/>
    <w:rsid w:val="007C437C"/>
    <w:rsid w:val="007C43CB"/>
    <w:rsid w:val="007C454D"/>
    <w:rsid w:val="007C476E"/>
    <w:rsid w:val="007C489D"/>
    <w:rsid w:val="007C4989"/>
    <w:rsid w:val="007C49C0"/>
    <w:rsid w:val="007C4A65"/>
    <w:rsid w:val="007C4DDF"/>
    <w:rsid w:val="007C4EF4"/>
    <w:rsid w:val="007C4FC7"/>
    <w:rsid w:val="007C5078"/>
    <w:rsid w:val="007C513C"/>
    <w:rsid w:val="007C51C8"/>
    <w:rsid w:val="007C5219"/>
    <w:rsid w:val="007C5257"/>
    <w:rsid w:val="007C54E2"/>
    <w:rsid w:val="007C555D"/>
    <w:rsid w:val="007C594C"/>
    <w:rsid w:val="007C5A85"/>
    <w:rsid w:val="007C5E59"/>
    <w:rsid w:val="007C657B"/>
    <w:rsid w:val="007C65B6"/>
    <w:rsid w:val="007C65F6"/>
    <w:rsid w:val="007C6705"/>
    <w:rsid w:val="007C6AA4"/>
    <w:rsid w:val="007C6D29"/>
    <w:rsid w:val="007C7176"/>
    <w:rsid w:val="007C7724"/>
    <w:rsid w:val="007C782E"/>
    <w:rsid w:val="007C7862"/>
    <w:rsid w:val="007C7971"/>
    <w:rsid w:val="007C7B32"/>
    <w:rsid w:val="007C7B42"/>
    <w:rsid w:val="007C7B89"/>
    <w:rsid w:val="007C7C0A"/>
    <w:rsid w:val="007C7C67"/>
    <w:rsid w:val="007C7EB5"/>
    <w:rsid w:val="007C7F01"/>
    <w:rsid w:val="007D0191"/>
    <w:rsid w:val="007D019F"/>
    <w:rsid w:val="007D0203"/>
    <w:rsid w:val="007D022C"/>
    <w:rsid w:val="007D042E"/>
    <w:rsid w:val="007D0445"/>
    <w:rsid w:val="007D0456"/>
    <w:rsid w:val="007D04CC"/>
    <w:rsid w:val="007D0779"/>
    <w:rsid w:val="007D0BC9"/>
    <w:rsid w:val="007D0BFC"/>
    <w:rsid w:val="007D0C25"/>
    <w:rsid w:val="007D0F13"/>
    <w:rsid w:val="007D10C8"/>
    <w:rsid w:val="007D155C"/>
    <w:rsid w:val="007D15E6"/>
    <w:rsid w:val="007D163E"/>
    <w:rsid w:val="007D176A"/>
    <w:rsid w:val="007D1908"/>
    <w:rsid w:val="007D1CB4"/>
    <w:rsid w:val="007D1D97"/>
    <w:rsid w:val="007D1F40"/>
    <w:rsid w:val="007D2081"/>
    <w:rsid w:val="007D213B"/>
    <w:rsid w:val="007D21D7"/>
    <w:rsid w:val="007D252C"/>
    <w:rsid w:val="007D260D"/>
    <w:rsid w:val="007D273A"/>
    <w:rsid w:val="007D2A73"/>
    <w:rsid w:val="007D2BD5"/>
    <w:rsid w:val="007D2C85"/>
    <w:rsid w:val="007D2F7B"/>
    <w:rsid w:val="007D30D4"/>
    <w:rsid w:val="007D348F"/>
    <w:rsid w:val="007D37EC"/>
    <w:rsid w:val="007D3806"/>
    <w:rsid w:val="007D396C"/>
    <w:rsid w:val="007D3A33"/>
    <w:rsid w:val="007D3B9A"/>
    <w:rsid w:val="007D4162"/>
    <w:rsid w:val="007D41C3"/>
    <w:rsid w:val="007D4317"/>
    <w:rsid w:val="007D434F"/>
    <w:rsid w:val="007D466E"/>
    <w:rsid w:val="007D4994"/>
    <w:rsid w:val="007D49E8"/>
    <w:rsid w:val="007D4CA8"/>
    <w:rsid w:val="007D4E5C"/>
    <w:rsid w:val="007D4FD6"/>
    <w:rsid w:val="007D501C"/>
    <w:rsid w:val="007D504D"/>
    <w:rsid w:val="007D51A6"/>
    <w:rsid w:val="007D54B3"/>
    <w:rsid w:val="007D556E"/>
    <w:rsid w:val="007D56B7"/>
    <w:rsid w:val="007D5B76"/>
    <w:rsid w:val="007D5BC0"/>
    <w:rsid w:val="007D5C7B"/>
    <w:rsid w:val="007D5FE3"/>
    <w:rsid w:val="007D60FF"/>
    <w:rsid w:val="007D63C6"/>
    <w:rsid w:val="007D65AF"/>
    <w:rsid w:val="007D660D"/>
    <w:rsid w:val="007D687D"/>
    <w:rsid w:val="007D69B6"/>
    <w:rsid w:val="007D69DB"/>
    <w:rsid w:val="007D6ADB"/>
    <w:rsid w:val="007D6B29"/>
    <w:rsid w:val="007D6C9D"/>
    <w:rsid w:val="007D7194"/>
    <w:rsid w:val="007D71E7"/>
    <w:rsid w:val="007D7377"/>
    <w:rsid w:val="007D7513"/>
    <w:rsid w:val="007D7639"/>
    <w:rsid w:val="007D7745"/>
    <w:rsid w:val="007D7815"/>
    <w:rsid w:val="007D78BE"/>
    <w:rsid w:val="007D7961"/>
    <w:rsid w:val="007D79A6"/>
    <w:rsid w:val="007D7CE8"/>
    <w:rsid w:val="007D7FEA"/>
    <w:rsid w:val="007E0010"/>
    <w:rsid w:val="007E026D"/>
    <w:rsid w:val="007E098D"/>
    <w:rsid w:val="007E0D3E"/>
    <w:rsid w:val="007E0D5B"/>
    <w:rsid w:val="007E0F1E"/>
    <w:rsid w:val="007E100F"/>
    <w:rsid w:val="007E1177"/>
    <w:rsid w:val="007E11D3"/>
    <w:rsid w:val="007E159D"/>
    <w:rsid w:val="007E167C"/>
    <w:rsid w:val="007E16C0"/>
    <w:rsid w:val="007E19EE"/>
    <w:rsid w:val="007E1B70"/>
    <w:rsid w:val="007E1C84"/>
    <w:rsid w:val="007E1E3B"/>
    <w:rsid w:val="007E1F4A"/>
    <w:rsid w:val="007E217F"/>
    <w:rsid w:val="007E21BB"/>
    <w:rsid w:val="007E250D"/>
    <w:rsid w:val="007E259C"/>
    <w:rsid w:val="007E2A12"/>
    <w:rsid w:val="007E2BC2"/>
    <w:rsid w:val="007E2CD1"/>
    <w:rsid w:val="007E2D5A"/>
    <w:rsid w:val="007E2DD0"/>
    <w:rsid w:val="007E2E42"/>
    <w:rsid w:val="007E2F09"/>
    <w:rsid w:val="007E3358"/>
    <w:rsid w:val="007E36EC"/>
    <w:rsid w:val="007E3A43"/>
    <w:rsid w:val="007E3D7A"/>
    <w:rsid w:val="007E3DDA"/>
    <w:rsid w:val="007E41E8"/>
    <w:rsid w:val="007E41FC"/>
    <w:rsid w:val="007E4477"/>
    <w:rsid w:val="007E4630"/>
    <w:rsid w:val="007E4AD5"/>
    <w:rsid w:val="007E4F22"/>
    <w:rsid w:val="007E4FC5"/>
    <w:rsid w:val="007E5289"/>
    <w:rsid w:val="007E5474"/>
    <w:rsid w:val="007E548C"/>
    <w:rsid w:val="007E54CB"/>
    <w:rsid w:val="007E5653"/>
    <w:rsid w:val="007E56B9"/>
    <w:rsid w:val="007E5984"/>
    <w:rsid w:val="007E59AA"/>
    <w:rsid w:val="007E5AB9"/>
    <w:rsid w:val="007E5B3E"/>
    <w:rsid w:val="007E5EC6"/>
    <w:rsid w:val="007E64B6"/>
    <w:rsid w:val="007E64EA"/>
    <w:rsid w:val="007E68B8"/>
    <w:rsid w:val="007E6ADB"/>
    <w:rsid w:val="007E6B2F"/>
    <w:rsid w:val="007E6B7E"/>
    <w:rsid w:val="007E6D66"/>
    <w:rsid w:val="007E6E10"/>
    <w:rsid w:val="007E6E12"/>
    <w:rsid w:val="007E701D"/>
    <w:rsid w:val="007E705A"/>
    <w:rsid w:val="007E70A3"/>
    <w:rsid w:val="007E72C5"/>
    <w:rsid w:val="007E7435"/>
    <w:rsid w:val="007E74CC"/>
    <w:rsid w:val="007E74EC"/>
    <w:rsid w:val="007E7596"/>
    <w:rsid w:val="007E75E8"/>
    <w:rsid w:val="007E76E8"/>
    <w:rsid w:val="007E7A80"/>
    <w:rsid w:val="007E7C9B"/>
    <w:rsid w:val="007F006B"/>
    <w:rsid w:val="007F00F3"/>
    <w:rsid w:val="007F0171"/>
    <w:rsid w:val="007F017E"/>
    <w:rsid w:val="007F01AC"/>
    <w:rsid w:val="007F0227"/>
    <w:rsid w:val="007F07FA"/>
    <w:rsid w:val="007F0A66"/>
    <w:rsid w:val="007F0D16"/>
    <w:rsid w:val="007F0E5B"/>
    <w:rsid w:val="007F1187"/>
    <w:rsid w:val="007F1253"/>
    <w:rsid w:val="007F15F8"/>
    <w:rsid w:val="007F165C"/>
    <w:rsid w:val="007F18CE"/>
    <w:rsid w:val="007F19D3"/>
    <w:rsid w:val="007F1CD7"/>
    <w:rsid w:val="007F1D2E"/>
    <w:rsid w:val="007F1E47"/>
    <w:rsid w:val="007F21FE"/>
    <w:rsid w:val="007F22CB"/>
    <w:rsid w:val="007F2332"/>
    <w:rsid w:val="007F23C3"/>
    <w:rsid w:val="007F246B"/>
    <w:rsid w:val="007F2650"/>
    <w:rsid w:val="007F2864"/>
    <w:rsid w:val="007F2A9B"/>
    <w:rsid w:val="007F3032"/>
    <w:rsid w:val="007F30BB"/>
    <w:rsid w:val="007F32CB"/>
    <w:rsid w:val="007F33CE"/>
    <w:rsid w:val="007F3962"/>
    <w:rsid w:val="007F3A59"/>
    <w:rsid w:val="007F3B95"/>
    <w:rsid w:val="007F3BEE"/>
    <w:rsid w:val="007F3C08"/>
    <w:rsid w:val="007F3D57"/>
    <w:rsid w:val="007F3D7E"/>
    <w:rsid w:val="007F3E07"/>
    <w:rsid w:val="007F3EA3"/>
    <w:rsid w:val="007F3F5C"/>
    <w:rsid w:val="007F4163"/>
    <w:rsid w:val="007F4A08"/>
    <w:rsid w:val="007F4A48"/>
    <w:rsid w:val="007F4A9F"/>
    <w:rsid w:val="007F4B6C"/>
    <w:rsid w:val="007F4BDD"/>
    <w:rsid w:val="007F4CAB"/>
    <w:rsid w:val="007F531F"/>
    <w:rsid w:val="007F559D"/>
    <w:rsid w:val="007F5736"/>
    <w:rsid w:val="007F586B"/>
    <w:rsid w:val="007F5928"/>
    <w:rsid w:val="007F5A73"/>
    <w:rsid w:val="007F5AB3"/>
    <w:rsid w:val="007F5EDA"/>
    <w:rsid w:val="007F62D9"/>
    <w:rsid w:val="007F6426"/>
    <w:rsid w:val="007F6490"/>
    <w:rsid w:val="007F64C3"/>
    <w:rsid w:val="007F673F"/>
    <w:rsid w:val="007F67F7"/>
    <w:rsid w:val="007F69FE"/>
    <w:rsid w:val="007F6A54"/>
    <w:rsid w:val="007F6DA2"/>
    <w:rsid w:val="007F6EF7"/>
    <w:rsid w:val="007F7256"/>
    <w:rsid w:val="007F72D7"/>
    <w:rsid w:val="007F74FF"/>
    <w:rsid w:val="007F7513"/>
    <w:rsid w:val="007F79C0"/>
    <w:rsid w:val="007F7CF8"/>
    <w:rsid w:val="007F7F11"/>
    <w:rsid w:val="007F7F4C"/>
    <w:rsid w:val="00800268"/>
    <w:rsid w:val="008006E3"/>
    <w:rsid w:val="00800762"/>
    <w:rsid w:val="008007B1"/>
    <w:rsid w:val="00800883"/>
    <w:rsid w:val="00800ACC"/>
    <w:rsid w:val="00800EF7"/>
    <w:rsid w:val="0080104B"/>
    <w:rsid w:val="0080113B"/>
    <w:rsid w:val="00801222"/>
    <w:rsid w:val="008014BA"/>
    <w:rsid w:val="00801642"/>
    <w:rsid w:val="00801879"/>
    <w:rsid w:val="0080188B"/>
    <w:rsid w:val="0080190F"/>
    <w:rsid w:val="0080198A"/>
    <w:rsid w:val="008019E4"/>
    <w:rsid w:val="00801AB5"/>
    <w:rsid w:val="00801BB7"/>
    <w:rsid w:val="00801C48"/>
    <w:rsid w:val="00801F22"/>
    <w:rsid w:val="008021AD"/>
    <w:rsid w:val="008021B9"/>
    <w:rsid w:val="00802306"/>
    <w:rsid w:val="00802503"/>
    <w:rsid w:val="008026A6"/>
    <w:rsid w:val="00802A10"/>
    <w:rsid w:val="00802C78"/>
    <w:rsid w:val="00802C84"/>
    <w:rsid w:val="00802F54"/>
    <w:rsid w:val="008031AA"/>
    <w:rsid w:val="00803203"/>
    <w:rsid w:val="008033B9"/>
    <w:rsid w:val="008033C5"/>
    <w:rsid w:val="008033D1"/>
    <w:rsid w:val="00803443"/>
    <w:rsid w:val="00803508"/>
    <w:rsid w:val="00803517"/>
    <w:rsid w:val="0080351E"/>
    <w:rsid w:val="00803784"/>
    <w:rsid w:val="008038D0"/>
    <w:rsid w:val="0080393D"/>
    <w:rsid w:val="008039F3"/>
    <w:rsid w:val="00803EB6"/>
    <w:rsid w:val="00803EC4"/>
    <w:rsid w:val="0080406C"/>
    <w:rsid w:val="008040B0"/>
    <w:rsid w:val="008041A3"/>
    <w:rsid w:val="00804362"/>
    <w:rsid w:val="008044A0"/>
    <w:rsid w:val="00804964"/>
    <w:rsid w:val="00804BBF"/>
    <w:rsid w:val="00804CC0"/>
    <w:rsid w:val="00804DFE"/>
    <w:rsid w:val="00804EE4"/>
    <w:rsid w:val="00804EF6"/>
    <w:rsid w:val="00805722"/>
    <w:rsid w:val="008058AB"/>
    <w:rsid w:val="00805A90"/>
    <w:rsid w:val="00805C5C"/>
    <w:rsid w:val="00805FA3"/>
    <w:rsid w:val="00806198"/>
    <w:rsid w:val="00806327"/>
    <w:rsid w:val="008063C2"/>
    <w:rsid w:val="00806464"/>
    <w:rsid w:val="0080647F"/>
    <w:rsid w:val="00806558"/>
    <w:rsid w:val="00806D0E"/>
    <w:rsid w:val="00806DDB"/>
    <w:rsid w:val="00806E99"/>
    <w:rsid w:val="008071DD"/>
    <w:rsid w:val="00807215"/>
    <w:rsid w:val="00807338"/>
    <w:rsid w:val="0080733C"/>
    <w:rsid w:val="008073ED"/>
    <w:rsid w:val="0080762A"/>
    <w:rsid w:val="0080775C"/>
    <w:rsid w:val="00807928"/>
    <w:rsid w:val="0080793F"/>
    <w:rsid w:val="00807CD5"/>
    <w:rsid w:val="00810065"/>
    <w:rsid w:val="0081033D"/>
    <w:rsid w:val="008108E5"/>
    <w:rsid w:val="00810982"/>
    <w:rsid w:val="00810AD6"/>
    <w:rsid w:val="00810D15"/>
    <w:rsid w:val="00810F0C"/>
    <w:rsid w:val="00810F2B"/>
    <w:rsid w:val="0081158D"/>
    <w:rsid w:val="008115FE"/>
    <w:rsid w:val="008116BF"/>
    <w:rsid w:val="0081184F"/>
    <w:rsid w:val="008119A1"/>
    <w:rsid w:val="00811F9C"/>
    <w:rsid w:val="00811FFB"/>
    <w:rsid w:val="00812054"/>
    <w:rsid w:val="008120F3"/>
    <w:rsid w:val="00812283"/>
    <w:rsid w:val="008124C8"/>
    <w:rsid w:val="00812D1C"/>
    <w:rsid w:val="00812D33"/>
    <w:rsid w:val="00812DC8"/>
    <w:rsid w:val="00812EE8"/>
    <w:rsid w:val="0081310A"/>
    <w:rsid w:val="0081311A"/>
    <w:rsid w:val="0081346D"/>
    <w:rsid w:val="0081356E"/>
    <w:rsid w:val="00813C6A"/>
    <w:rsid w:val="00813EFB"/>
    <w:rsid w:val="008140BD"/>
    <w:rsid w:val="0081413C"/>
    <w:rsid w:val="0081417A"/>
    <w:rsid w:val="008142D8"/>
    <w:rsid w:val="0081449E"/>
    <w:rsid w:val="00814825"/>
    <w:rsid w:val="00814EBC"/>
    <w:rsid w:val="00814F5F"/>
    <w:rsid w:val="0081500F"/>
    <w:rsid w:val="00815288"/>
    <w:rsid w:val="00815354"/>
    <w:rsid w:val="00815404"/>
    <w:rsid w:val="00815733"/>
    <w:rsid w:val="008158A0"/>
    <w:rsid w:val="00815D5E"/>
    <w:rsid w:val="00815F07"/>
    <w:rsid w:val="00815F3E"/>
    <w:rsid w:val="0081601C"/>
    <w:rsid w:val="008162D0"/>
    <w:rsid w:val="0081695F"/>
    <w:rsid w:val="00816AF7"/>
    <w:rsid w:val="00816BA9"/>
    <w:rsid w:val="00816EC8"/>
    <w:rsid w:val="00816F41"/>
    <w:rsid w:val="00816F4A"/>
    <w:rsid w:val="0081762C"/>
    <w:rsid w:val="0081789B"/>
    <w:rsid w:val="008179E6"/>
    <w:rsid w:val="00817AA9"/>
    <w:rsid w:val="00817AD6"/>
    <w:rsid w:val="00817D73"/>
    <w:rsid w:val="00817E21"/>
    <w:rsid w:val="00817EE0"/>
    <w:rsid w:val="00820013"/>
    <w:rsid w:val="008200E1"/>
    <w:rsid w:val="00820402"/>
    <w:rsid w:val="008206C9"/>
    <w:rsid w:val="008207F0"/>
    <w:rsid w:val="008208A4"/>
    <w:rsid w:val="0082093F"/>
    <w:rsid w:val="00820B05"/>
    <w:rsid w:val="00820B6D"/>
    <w:rsid w:val="00820DAA"/>
    <w:rsid w:val="00820DAD"/>
    <w:rsid w:val="008210AE"/>
    <w:rsid w:val="008210B2"/>
    <w:rsid w:val="008212F0"/>
    <w:rsid w:val="00821465"/>
    <w:rsid w:val="008215B9"/>
    <w:rsid w:val="008215E5"/>
    <w:rsid w:val="008216C3"/>
    <w:rsid w:val="00821823"/>
    <w:rsid w:val="00821837"/>
    <w:rsid w:val="008219E2"/>
    <w:rsid w:val="00821D1B"/>
    <w:rsid w:val="00821D84"/>
    <w:rsid w:val="00821FDC"/>
    <w:rsid w:val="00822069"/>
    <w:rsid w:val="0082223F"/>
    <w:rsid w:val="00822248"/>
    <w:rsid w:val="00822394"/>
    <w:rsid w:val="00822865"/>
    <w:rsid w:val="00822C03"/>
    <w:rsid w:val="00822C95"/>
    <w:rsid w:val="00822CC6"/>
    <w:rsid w:val="00822CD1"/>
    <w:rsid w:val="0082322B"/>
    <w:rsid w:val="00823256"/>
    <w:rsid w:val="00823500"/>
    <w:rsid w:val="0082356B"/>
    <w:rsid w:val="00823574"/>
    <w:rsid w:val="0082394A"/>
    <w:rsid w:val="0082397F"/>
    <w:rsid w:val="008239FE"/>
    <w:rsid w:val="0082401D"/>
    <w:rsid w:val="008241F4"/>
    <w:rsid w:val="00824325"/>
    <w:rsid w:val="0082487D"/>
    <w:rsid w:val="00824E90"/>
    <w:rsid w:val="008250C8"/>
    <w:rsid w:val="008251D5"/>
    <w:rsid w:val="00825351"/>
    <w:rsid w:val="0082544F"/>
    <w:rsid w:val="00825756"/>
    <w:rsid w:val="008258B9"/>
    <w:rsid w:val="0082594D"/>
    <w:rsid w:val="008259B0"/>
    <w:rsid w:val="008259F4"/>
    <w:rsid w:val="00825DBD"/>
    <w:rsid w:val="00825EA1"/>
    <w:rsid w:val="00825F7B"/>
    <w:rsid w:val="00825FD2"/>
    <w:rsid w:val="00826282"/>
    <w:rsid w:val="008262B2"/>
    <w:rsid w:val="0082641A"/>
    <w:rsid w:val="008267D5"/>
    <w:rsid w:val="00826812"/>
    <w:rsid w:val="008268DE"/>
    <w:rsid w:val="00826E9B"/>
    <w:rsid w:val="00826F07"/>
    <w:rsid w:val="00826FBB"/>
    <w:rsid w:val="008272AD"/>
    <w:rsid w:val="00827470"/>
    <w:rsid w:val="008274E9"/>
    <w:rsid w:val="0082752B"/>
    <w:rsid w:val="0082797E"/>
    <w:rsid w:val="008279A0"/>
    <w:rsid w:val="00827A39"/>
    <w:rsid w:val="00827A61"/>
    <w:rsid w:val="00827A96"/>
    <w:rsid w:val="00827AB9"/>
    <w:rsid w:val="00827C1C"/>
    <w:rsid w:val="00827DB2"/>
    <w:rsid w:val="00827F1A"/>
    <w:rsid w:val="008301FE"/>
    <w:rsid w:val="00830215"/>
    <w:rsid w:val="008302C7"/>
    <w:rsid w:val="008304B5"/>
    <w:rsid w:val="00830548"/>
    <w:rsid w:val="00830832"/>
    <w:rsid w:val="0083086A"/>
    <w:rsid w:val="008308C8"/>
    <w:rsid w:val="00830A20"/>
    <w:rsid w:val="00830A3B"/>
    <w:rsid w:val="00830AE7"/>
    <w:rsid w:val="00830CE8"/>
    <w:rsid w:val="00830E35"/>
    <w:rsid w:val="00831025"/>
    <w:rsid w:val="0083126B"/>
    <w:rsid w:val="0083129C"/>
    <w:rsid w:val="0083131E"/>
    <w:rsid w:val="00831565"/>
    <w:rsid w:val="00831671"/>
    <w:rsid w:val="008316EE"/>
    <w:rsid w:val="008317C8"/>
    <w:rsid w:val="0083183E"/>
    <w:rsid w:val="00831B54"/>
    <w:rsid w:val="00831B90"/>
    <w:rsid w:val="00831DCC"/>
    <w:rsid w:val="00831E8F"/>
    <w:rsid w:val="008320EC"/>
    <w:rsid w:val="00832138"/>
    <w:rsid w:val="008321D2"/>
    <w:rsid w:val="00832490"/>
    <w:rsid w:val="008324AF"/>
    <w:rsid w:val="008329FA"/>
    <w:rsid w:val="00832A2D"/>
    <w:rsid w:val="00832AFA"/>
    <w:rsid w:val="00832B9F"/>
    <w:rsid w:val="00832DFD"/>
    <w:rsid w:val="00832FF8"/>
    <w:rsid w:val="00833382"/>
    <w:rsid w:val="008333D8"/>
    <w:rsid w:val="0083362D"/>
    <w:rsid w:val="00833643"/>
    <w:rsid w:val="008336C5"/>
    <w:rsid w:val="00833867"/>
    <w:rsid w:val="00833E81"/>
    <w:rsid w:val="00833F8C"/>
    <w:rsid w:val="008344E8"/>
    <w:rsid w:val="00834510"/>
    <w:rsid w:val="008345AB"/>
    <w:rsid w:val="00834725"/>
    <w:rsid w:val="00834779"/>
    <w:rsid w:val="0083485D"/>
    <w:rsid w:val="008348B2"/>
    <w:rsid w:val="008348D3"/>
    <w:rsid w:val="00834AC7"/>
    <w:rsid w:val="00834E78"/>
    <w:rsid w:val="00834F87"/>
    <w:rsid w:val="00835163"/>
    <w:rsid w:val="00835366"/>
    <w:rsid w:val="0083550F"/>
    <w:rsid w:val="00835534"/>
    <w:rsid w:val="0083585A"/>
    <w:rsid w:val="0083589A"/>
    <w:rsid w:val="008358CE"/>
    <w:rsid w:val="00835A52"/>
    <w:rsid w:val="00835AA2"/>
    <w:rsid w:val="00835AEA"/>
    <w:rsid w:val="00835D8C"/>
    <w:rsid w:val="00835FC7"/>
    <w:rsid w:val="008361F3"/>
    <w:rsid w:val="0083659D"/>
    <w:rsid w:val="00836A34"/>
    <w:rsid w:val="00836A6F"/>
    <w:rsid w:val="00836A7E"/>
    <w:rsid w:val="00836ED8"/>
    <w:rsid w:val="008370E4"/>
    <w:rsid w:val="008374B3"/>
    <w:rsid w:val="00837514"/>
    <w:rsid w:val="0083754B"/>
    <w:rsid w:val="0083755D"/>
    <w:rsid w:val="00837656"/>
    <w:rsid w:val="00837793"/>
    <w:rsid w:val="008378DD"/>
    <w:rsid w:val="008378F1"/>
    <w:rsid w:val="00837950"/>
    <w:rsid w:val="00837F25"/>
    <w:rsid w:val="008402F3"/>
    <w:rsid w:val="00840322"/>
    <w:rsid w:val="008404AD"/>
    <w:rsid w:val="0084070F"/>
    <w:rsid w:val="00840808"/>
    <w:rsid w:val="008409DE"/>
    <w:rsid w:val="00841023"/>
    <w:rsid w:val="00841043"/>
    <w:rsid w:val="00841066"/>
    <w:rsid w:val="0084123D"/>
    <w:rsid w:val="0084155C"/>
    <w:rsid w:val="0084179A"/>
    <w:rsid w:val="00841964"/>
    <w:rsid w:val="00841966"/>
    <w:rsid w:val="00841BF1"/>
    <w:rsid w:val="00841D23"/>
    <w:rsid w:val="00841D46"/>
    <w:rsid w:val="00841F03"/>
    <w:rsid w:val="00841F63"/>
    <w:rsid w:val="00842124"/>
    <w:rsid w:val="0084237B"/>
    <w:rsid w:val="00842418"/>
    <w:rsid w:val="00842629"/>
    <w:rsid w:val="008427CA"/>
    <w:rsid w:val="008428B9"/>
    <w:rsid w:val="008429DA"/>
    <w:rsid w:val="00842A1B"/>
    <w:rsid w:val="00842A54"/>
    <w:rsid w:val="00842DDE"/>
    <w:rsid w:val="00843112"/>
    <w:rsid w:val="0084320A"/>
    <w:rsid w:val="0084367A"/>
    <w:rsid w:val="0084369F"/>
    <w:rsid w:val="008436A9"/>
    <w:rsid w:val="00843731"/>
    <w:rsid w:val="008438B0"/>
    <w:rsid w:val="00843A0F"/>
    <w:rsid w:val="00843B99"/>
    <w:rsid w:val="00843E1B"/>
    <w:rsid w:val="00843E32"/>
    <w:rsid w:val="008440EB"/>
    <w:rsid w:val="008441BB"/>
    <w:rsid w:val="0084423E"/>
    <w:rsid w:val="00844356"/>
    <w:rsid w:val="0084460F"/>
    <w:rsid w:val="008448F9"/>
    <w:rsid w:val="00844E49"/>
    <w:rsid w:val="00844E99"/>
    <w:rsid w:val="00844F50"/>
    <w:rsid w:val="00845247"/>
    <w:rsid w:val="00845641"/>
    <w:rsid w:val="008456A9"/>
    <w:rsid w:val="008457E6"/>
    <w:rsid w:val="00845D24"/>
    <w:rsid w:val="008460C5"/>
    <w:rsid w:val="00846262"/>
    <w:rsid w:val="008462F2"/>
    <w:rsid w:val="00846584"/>
    <w:rsid w:val="00846746"/>
    <w:rsid w:val="008468B0"/>
    <w:rsid w:val="008468FA"/>
    <w:rsid w:val="00846982"/>
    <w:rsid w:val="00846A98"/>
    <w:rsid w:val="00846ADD"/>
    <w:rsid w:val="00846B17"/>
    <w:rsid w:val="00846B89"/>
    <w:rsid w:val="00846D43"/>
    <w:rsid w:val="00846D4C"/>
    <w:rsid w:val="00846FE7"/>
    <w:rsid w:val="008471E6"/>
    <w:rsid w:val="0084726C"/>
    <w:rsid w:val="008474B3"/>
    <w:rsid w:val="008479FC"/>
    <w:rsid w:val="008500BA"/>
    <w:rsid w:val="00850165"/>
    <w:rsid w:val="008503CE"/>
    <w:rsid w:val="00850861"/>
    <w:rsid w:val="00850956"/>
    <w:rsid w:val="00850CEB"/>
    <w:rsid w:val="00850DAE"/>
    <w:rsid w:val="00850ED4"/>
    <w:rsid w:val="00850FCD"/>
    <w:rsid w:val="008510A7"/>
    <w:rsid w:val="00851195"/>
    <w:rsid w:val="008511AC"/>
    <w:rsid w:val="00851632"/>
    <w:rsid w:val="008517DE"/>
    <w:rsid w:val="00851945"/>
    <w:rsid w:val="0085196E"/>
    <w:rsid w:val="00851B11"/>
    <w:rsid w:val="00851B7D"/>
    <w:rsid w:val="00851C56"/>
    <w:rsid w:val="00851C7B"/>
    <w:rsid w:val="00851E7F"/>
    <w:rsid w:val="00851FBF"/>
    <w:rsid w:val="0085201F"/>
    <w:rsid w:val="008520CA"/>
    <w:rsid w:val="0085219A"/>
    <w:rsid w:val="00852429"/>
    <w:rsid w:val="008529C9"/>
    <w:rsid w:val="00852C3A"/>
    <w:rsid w:val="00852D0B"/>
    <w:rsid w:val="00852DB9"/>
    <w:rsid w:val="00852F5F"/>
    <w:rsid w:val="008531BD"/>
    <w:rsid w:val="008532B3"/>
    <w:rsid w:val="00853585"/>
    <w:rsid w:val="008536F2"/>
    <w:rsid w:val="0085378B"/>
    <w:rsid w:val="008538D1"/>
    <w:rsid w:val="00853A9E"/>
    <w:rsid w:val="00853BDB"/>
    <w:rsid w:val="00853EB5"/>
    <w:rsid w:val="00853F54"/>
    <w:rsid w:val="0085416C"/>
    <w:rsid w:val="008543DF"/>
    <w:rsid w:val="0085472C"/>
    <w:rsid w:val="008548F4"/>
    <w:rsid w:val="008549E7"/>
    <w:rsid w:val="00854A75"/>
    <w:rsid w:val="00854A82"/>
    <w:rsid w:val="00854BC0"/>
    <w:rsid w:val="00854C66"/>
    <w:rsid w:val="00854DE1"/>
    <w:rsid w:val="00854E71"/>
    <w:rsid w:val="008555D9"/>
    <w:rsid w:val="0085583B"/>
    <w:rsid w:val="008558A4"/>
    <w:rsid w:val="00855C40"/>
    <w:rsid w:val="00855EAA"/>
    <w:rsid w:val="00855ED7"/>
    <w:rsid w:val="0085608C"/>
    <w:rsid w:val="008560C1"/>
    <w:rsid w:val="00856189"/>
    <w:rsid w:val="00856247"/>
    <w:rsid w:val="00856270"/>
    <w:rsid w:val="008563F9"/>
    <w:rsid w:val="0085654E"/>
    <w:rsid w:val="0085661E"/>
    <w:rsid w:val="00856714"/>
    <w:rsid w:val="00856769"/>
    <w:rsid w:val="00856776"/>
    <w:rsid w:val="008569B4"/>
    <w:rsid w:val="00856A33"/>
    <w:rsid w:val="00856BA2"/>
    <w:rsid w:val="00856BD9"/>
    <w:rsid w:val="00856CAE"/>
    <w:rsid w:val="00856D50"/>
    <w:rsid w:val="008570ED"/>
    <w:rsid w:val="00857151"/>
    <w:rsid w:val="0085728D"/>
    <w:rsid w:val="008574C7"/>
    <w:rsid w:val="00857548"/>
    <w:rsid w:val="008579DE"/>
    <w:rsid w:val="00857B02"/>
    <w:rsid w:val="00857C21"/>
    <w:rsid w:val="00857D6A"/>
    <w:rsid w:val="00857E8A"/>
    <w:rsid w:val="00857EB3"/>
    <w:rsid w:val="00860333"/>
    <w:rsid w:val="008603F7"/>
    <w:rsid w:val="0086070E"/>
    <w:rsid w:val="00860B7B"/>
    <w:rsid w:val="00860F30"/>
    <w:rsid w:val="0086102E"/>
    <w:rsid w:val="00861596"/>
    <w:rsid w:val="008616B4"/>
    <w:rsid w:val="0086180A"/>
    <w:rsid w:val="008618BB"/>
    <w:rsid w:val="008618F2"/>
    <w:rsid w:val="00861C02"/>
    <w:rsid w:val="00861E90"/>
    <w:rsid w:val="00861F7E"/>
    <w:rsid w:val="00862149"/>
    <w:rsid w:val="00862385"/>
    <w:rsid w:val="00862638"/>
    <w:rsid w:val="00862707"/>
    <w:rsid w:val="008629D4"/>
    <w:rsid w:val="00862D74"/>
    <w:rsid w:val="00862DB9"/>
    <w:rsid w:val="00862F77"/>
    <w:rsid w:val="008630B9"/>
    <w:rsid w:val="008631BF"/>
    <w:rsid w:val="00863367"/>
    <w:rsid w:val="0086338F"/>
    <w:rsid w:val="008633B0"/>
    <w:rsid w:val="0086357E"/>
    <w:rsid w:val="00863590"/>
    <w:rsid w:val="0086359A"/>
    <w:rsid w:val="0086360C"/>
    <w:rsid w:val="00863C69"/>
    <w:rsid w:val="00863DF6"/>
    <w:rsid w:val="00863E21"/>
    <w:rsid w:val="008642A8"/>
    <w:rsid w:val="00864566"/>
    <w:rsid w:val="0086496C"/>
    <w:rsid w:val="00864A74"/>
    <w:rsid w:val="00864B0A"/>
    <w:rsid w:val="00864B18"/>
    <w:rsid w:val="00864C5E"/>
    <w:rsid w:val="00864DEA"/>
    <w:rsid w:val="00864DFE"/>
    <w:rsid w:val="008651AF"/>
    <w:rsid w:val="008652B3"/>
    <w:rsid w:val="00865337"/>
    <w:rsid w:val="0086542E"/>
    <w:rsid w:val="00865499"/>
    <w:rsid w:val="00865625"/>
    <w:rsid w:val="00865987"/>
    <w:rsid w:val="00865B87"/>
    <w:rsid w:val="00865CFB"/>
    <w:rsid w:val="00865FC0"/>
    <w:rsid w:val="008660C7"/>
    <w:rsid w:val="00866116"/>
    <w:rsid w:val="008666C3"/>
    <w:rsid w:val="008667F6"/>
    <w:rsid w:val="00866A55"/>
    <w:rsid w:val="00866DB4"/>
    <w:rsid w:val="00866EA5"/>
    <w:rsid w:val="00866F5E"/>
    <w:rsid w:val="00867099"/>
    <w:rsid w:val="00867510"/>
    <w:rsid w:val="0086754F"/>
    <w:rsid w:val="00867708"/>
    <w:rsid w:val="0086770B"/>
    <w:rsid w:val="00867D8E"/>
    <w:rsid w:val="00867E15"/>
    <w:rsid w:val="00870062"/>
    <w:rsid w:val="008701CE"/>
    <w:rsid w:val="00870215"/>
    <w:rsid w:val="00870455"/>
    <w:rsid w:val="0087046A"/>
    <w:rsid w:val="0087060B"/>
    <w:rsid w:val="00870975"/>
    <w:rsid w:val="00870ADC"/>
    <w:rsid w:val="00870B02"/>
    <w:rsid w:val="00870B66"/>
    <w:rsid w:val="00870E37"/>
    <w:rsid w:val="00870F4B"/>
    <w:rsid w:val="00870F94"/>
    <w:rsid w:val="008710F2"/>
    <w:rsid w:val="00871392"/>
    <w:rsid w:val="00871506"/>
    <w:rsid w:val="0087187F"/>
    <w:rsid w:val="00871AAF"/>
    <w:rsid w:val="00871B92"/>
    <w:rsid w:val="00871C1D"/>
    <w:rsid w:val="00871D6B"/>
    <w:rsid w:val="00871D8B"/>
    <w:rsid w:val="00871DFB"/>
    <w:rsid w:val="0087203B"/>
    <w:rsid w:val="008721B0"/>
    <w:rsid w:val="008726A4"/>
    <w:rsid w:val="00872726"/>
    <w:rsid w:val="0087286E"/>
    <w:rsid w:val="008728A7"/>
    <w:rsid w:val="008729BA"/>
    <w:rsid w:val="00872B08"/>
    <w:rsid w:val="00872C0C"/>
    <w:rsid w:val="00872C1C"/>
    <w:rsid w:val="00872C58"/>
    <w:rsid w:val="00872D7F"/>
    <w:rsid w:val="00872F41"/>
    <w:rsid w:val="0087307E"/>
    <w:rsid w:val="0087328A"/>
    <w:rsid w:val="00873402"/>
    <w:rsid w:val="00873440"/>
    <w:rsid w:val="008735A6"/>
    <w:rsid w:val="00873696"/>
    <w:rsid w:val="008737F6"/>
    <w:rsid w:val="008738A3"/>
    <w:rsid w:val="008738CC"/>
    <w:rsid w:val="00873BA1"/>
    <w:rsid w:val="00873CCC"/>
    <w:rsid w:val="00874049"/>
    <w:rsid w:val="00874200"/>
    <w:rsid w:val="00874233"/>
    <w:rsid w:val="008743CD"/>
    <w:rsid w:val="00874744"/>
    <w:rsid w:val="00874BB8"/>
    <w:rsid w:val="00875057"/>
    <w:rsid w:val="0087548E"/>
    <w:rsid w:val="008756F7"/>
    <w:rsid w:val="00875755"/>
    <w:rsid w:val="00875A59"/>
    <w:rsid w:val="00875B69"/>
    <w:rsid w:val="00875E47"/>
    <w:rsid w:val="00875E74"/>
    <w:rsid w:val="00875EDD"/>
    <w:rsid w:val="00875F3C"/>
    <w:rsid w:val="00876393"/>
    <w:rsid w:val="008764BF"/>
    <w:rsid w:val="00876665"/>
    <w:rsid w:val="0087698F"/>
    <w:rsid w:val="00876C38"/>
    <w:rsid w:val="00876D10"/>
    <w:rsid w:val="00877039"/>
    <w:rsid w:val="0087711E"/>
    <w:rsid w:val="00877287"/>
    <w:rsid w:val="008773EF"/>
    <w:rsid w:val="008776DC"/>
    <w:rsid w:val="0087778F"/>
    <w:rsid w:val="00877B8C"/>
    <w:rsid w:val="00877BED"/>
    <w:rsid w:val="00877CBF"/>
    <w:rsid w:val="00877DF7"/>
    <w:rsid w:val="00877FAD"/>
    <w:rsid w:val="0088015C"/>
    <w:rsid w:val="00880561"/>
    <w:rsid w:val="00880911"/>
    <w:rsid w:val="00880937"/>
    <w:rsid w:val="00880938"/>
    <w:rsid w:val="00881005"/>
    <w:rsid w:val="0088100C"/>
    <w:rsid w:val="00881016"/>
    <w:rsid w:val="0088101A"/>
    <w:rsid w:val="00881181"/>
    <w:rsid w:val="008811E3"/>
    <w:rsid w:val="008813EC"/>
    <w:rsid w:val="00881410"/>
    <w:rsid w:val="0088156C"/>
    <w:rsid w:val="0088164D"/>
    <w:rsid w:val="008817CB"/>
    <w:rsid w:val="0088197E"/>
    <w:rsid w:val="00881E0B"/>
    <w:rsid w:val="00881E71"/>
    <w:rsid w:val="00881F02"/>
    <w:rsid w:val="00881F63"/>
    <w:rsid w:val="0088227D"/>
    <w:rsid w:val="00882315"/>
    <w:rsid w:val="00882360"/>
    <w:rsid w:val="0088236F"/>
    <w:rsid w:val="008825C9"/>
    <w:rsid w:val="00882A3D"/>
    <w:rsid w:val="00882B63"/>
    <w:rsid w:val="0088310C"/>
    <w:rsid w:val="008836A0"/>
    <w:rsid w:val="00883714"/>
    <w:rsid w:val="0088375A"/>
    <w:rsid w:val="008839A7"/>
    <w:rsid w:val="00883AA7"/>
    <w:rsid w:val="00883FAE"/>
    <w:rsid w:val="0088447C"/>
    <w:rsid w:val="0088453A"/>
    <w:rsid w:val="008849A2"/>
    <w:rsid w:val="00884B0E"/>
    <w:rsid w:val="00884C72"/>
    <w:rsid w:val="00884C86"/>
    <w:rsid w:val="00884D8F"/>
    <w:rsid w:val="00884F69"/>
    <w:rsid w:val="00885067"/>
    <w:rsid w:val="008850F6"/>
    <w:rsid w:val="0088514B"/>
    <w:rsid w:val="008851CC"/>
    <w:rsid w:val="008852B7"/>
    <w:rsid w:val="008855E6"/>
    <w:rsid w:val="008856EF"/>
    <w:rsid w:val="00885803"/>
    <w:rsid w:val="0088581F"/>
    <w:rsid w:val="008858D6"/>
    <w:rsid w:val="008859EF"/>
    <w:rsid w:val="00885DD8"/>
    <w:rsid w:val="00885EA3"/>
    <w:rsid w:val="00886097"/>
    <w:rsid w:val="00886201"/>
    <w:rsid w:val="008863E3"/>
    <w:rsid w:val="008865C7"/>
    <w:rsid w:val="00886612"/>
    <w:rsid w:val="008868BF"/>
    <w:rsid w:val="00886C61"/>
    <w:rsid w:val="00886CAF"/>
    <w:rsid w:val="00886E52"/>
    <w:rsid w:val="00886EC3"/>
    <w:rsid w:val="00886EC9"/>
    <w:rsid w:val="00886F0E"/>
    <w:rsid w:val="00886F90"/>
    <w:rsid w:val="0088724D"/>
    <w:rsid w:val="00887504"/>
    <w:rsid w:val="00887550"/>
    <w:rsid w:val="00887928"/>
    <w:rsid w:val="008879A9"/>
    <w:rsid w:val="00887A04"/>
    <w:rsid w:val="0089014D"/>
    <w:rsid w:val="00890178"/>
    <w:rsid w:val="0089019C"/>
    <w:rsid w:val="00890316"/>
    <w:rsid w:val="00890446"/>
    <w:rsid w:val="008904FB"/>
    <w:rsid w:val="00890828"/>
    <w:rsid w:val="00890883"/>
    <w:rsid w:val="0089092D"/>
    <w:rsid w:val="00890951"/>
    <w:rsid w:val="00890C5F"/>
    <w:rsid w:val="00890F69"/>
    <w:rsid w:val="00891000"/>
    <w:rsid w:val="0089102C"/>
    <w:rsid w:val="0089110B"/>
    <w:rsid w:val="0089116D"/>
    <w:rsid w:val="008912FA"/>
    <w:rsid w:val="0089139A"/>
    <w:rsid w:val="00891798"/>
    <w:rsid w:val="00891861"/>
    <w:rsid w:val="008918AA"/>
    <w:rsid w:val="0089192C"/>
    <w:rsid w:val="00891B5B"/>
    <w:rsid w:val="00891B87"/>
    <w:rsid w:val="00891D20"/>
    <w:rsid w:val="00891D56"/>
    <w:rsid w:val="00891F7B"/>
    <w:rsid w:val="00891FD7"/>
    <w:rsid w:val="008922EA"/>
    <w:rsid w:val="00892357"/>
    <w:rsid w:val="008924F8"/>
    <w:rsid w:val="0089260C"/>
    <w:rsid w:val="0089273E"/>
    <w:rsid w:val="0089289F"/>
    <w:rsid w:val="00892921"/>
    <w:rsid w:val="00892A5E"/>
    <w:rsid w:val="00892B40"/>
    <w:rsid w:val="00892CD6"/>
    <w:rsid w:val="00892E39"/>
    <w:rsid w:val="00892EF3"/>
    <w:rsid w:val="0089321F"/>
    <w:rsid w:val="00893224"/>
    <w:rsid w:val="00893362"/>
    <w:rsid w:val="00893558"/>
    <w:rsid w:val="008935AE"/>
    <w:rsid w:val="008936FF"/>
    <w:rsid w:val="0089377F"/>
    <w:rsid w:val="00893930"/>
    <w:rsid w:val="00893C0A"/>
    <w:rsid w:val="00893EE2"/>
    <w:rsid w:val="00893F05"/>
    <w:rsid w:val="0089401F"/>
    <w:rsid w:val="00894239"/>
    <w:rsid w:val="00894466"/>
    <w:rsid w:val="008946EC"/>
    <w:rsid w:val="00894753"/>
    <w:rsid w:val="00894843"/>
    <w:rsid w:val="0089488B"/>
    <w:rsid w:val="008948CF"/>
    <w:rsid w:val="00894B30"/>
    <w:rsid w:val="00894B45"/>
    <w:rsid w:val="00894BF0"/>
    <w:rsid w:val="00894D18"/>
    <w:rsid w:val="00894DF5"/>
    <w:rsid w:val="00894F2F"/>
    <w:rsid w:val="0089502A"/>
    <w:rsid w:val="00895B1E"/>
    <w:rsid w:val="00895EB1"/>
    <w:rsid w:val="00896115"/>
    <w:rsid w:val="0089618D"/>
    <w:rsid w:val="008967F6"/>
    <w:rsid w:val="0089687E"/>
    <w:rsid w:val="008969A8"/>
    <w:rsid w:val="008969BF"/>
    <w:rsid w:val="00896AF0"/>
    <w:rsid w:val="00896BCC"/>
    <w:rsid w:val="00896E3D"/>
    <w:rsid w:val="00897120"/>
    <w:rsid w:val="0089721A"/>
    <w:rsid w:val="00897310"/>
    <w:rsid w:val="0089742E"/>
    <w:rsid w:val="00897739"/>
    <w:rsid w:val="00897801"/>
    <w:rsid w:val="00897953"/>
    <w:rsid w:val="00897B59"/>
    <w:rsid w:val="00897D6B"/>
    <w:rsid w:val="008A0148"/>
    <w:rsid w:val="008A0187"/>
    <w:rsid w:val="008A0A52"/>
    <w:rsid w:val="008A0CA6"/>
    <w:rsid w:val="008A0DC9"/>
    <w:rsid w:val="008A1063"/>
    <w:rsid w:val="008A10B9"/>
    <w:rsid w:val="008A113C"/>
    <w:rsid w:val="008A116E"/>
    <w:rsid w:val="008A11D8"/>
    <w:rsid w:val="008A136B"/>
    <w:rsid w:val="008A1458"/>
    <w:rsid w:val="008A1600"/>
    <w:rsid w:val="008A1E34"/>
    <w:rsid w:val="008A2021"/>
    <w:rsid w:val="008A21A6"/>
    <w:rsid w:val="008A23B8"/>
    <w:rsid w:val="008A24F6"/>
    <w:rsid w:val="008A263E"/>
    <w:rsid w:val="008A26B1"/>
    <w:rsid w:val="008A2AF3"/>
    <w:rsid w:val="008A2CBF"/>
    <w:rsid w:val="008A2FC4"/>
    <w:rsid w:val="008A326F"/>
    <w:rsid w:val="008A34F0"/>
    <w:rsid w:val="008A3789"/>
    <w:rsid w:val="008A3C56"/>
    <w:rsid w:val="008A3CCE"/>
    <w:rsid w:val="008A41E1"/>
    <w:rsid w:val="008A4264"/>
    <w:rsid w:val="008A4341"/>
    <w:rsid w:val="008A4348"/>
    <w:rsid w:val="008A4575"/>
    <w:rsid w:val="008A45C3"/>
    <w:rsid w:val="008A46A8"/>
    <w:rsid w:val="008A47B8"/>
    <w:rsid w:val="008A47FA"/>
    <w:rsid w:val="008A48F4"/>
    <w:rsid w:val="008A4984"/>
    <w:rsid w:val="008A4B9F"/>
    <w:rsid w:val="008A4C3A"/>
    <w:rsid w:val="008A4D2E"/>
    <w:rsid w:val="008A4E7F"/>
    <w:rsid w:val="008A4FF6"/>
    <w:rsid w:val="008A5032"/>
    <w:rsid w:val="008A50F7"/>
    <w:rsid w:val="008A52EF"/>
    <w:rsid w:val="008A5342"/>
    <w:rsid w:val="008A534C"/>
    <w:rsid w:val="008A5474"/>
    <w:rsid w:val="008A5543"/>
    <w:rsid w:val="008A55F0"/>
    <w:rsid w:val="008A57F8"/>
    <w:rsid w:val="008A5894"/>
    <w:rsid w:val="008A5916"/>
    <w:rsid w:val="008A5A7E"/>
    <w:rsid w:val="008A5A9F"/>
    <w:rsid w:val="008A5B0A"/>
    <w:rsid w:val="008A5B28"/>
    <w:rsid w:val="008A5C15"/>
    <w:rsid w:val="008A5EF8"/>
    <w:rsid w:val="008A6237"/>
    <w:rsid w:val="008A6410"/>
    <w:rsid w:val="008A678B"/>
    <w:rsid w:val="008A67C2"/>
    <w:rsid w:val="008A697F"/>
    <w:rsid w:val="008A6B84"/>
    <w:rsid w:val="008A6C18"/>
    <w:rsid w:val="008A6DDB"/>
    <w:rsid w:val="008A6E9E"/>
    <w:rsid w:val="008A73CF"/>
    <w:rsid w:val="008A73F8"/>
    <w:rsid w:val="008A760E"/>
    <w:rsid w:val="008A78BD"/>
    <w:rsid w:val="008A7A81"/>
    <w:rsid w:val="008A7B16"/>
    <w:rsid w:val="008A7B1B"/>
    <w:rsid w:val="008A7C1B"/>
    <w:rsid w:val="008A7D18"/>
    <w:rsid w:val="008A7FF9"/>
    <w:rsid w:val="008AADCD"/>
    <w:rsid w:val="008B029C"/>
    <w:rsid w:val="008B0316"/>
    <w:rsid w:val="008B0635"/>
    <w:rsid w:val="008B080B"/>
    <w:rsid w:val="008B08DE"/>
    <w:rsid w:val="008B0ADE"/>
    <w:rsid w:val="008B0B08"/>
    <w:rsid w:val="008B0B39"/>
    <w:rsid w:val="008B0FC3"/>
    <w:rsid w:val="008B10F0"/>
    <w:rsid w:val="008B1462"/>
    <w:rsid w:val="008B14AB"/>
    <w:rsid w:val="008B150B"/>
    <w:rsid w:val="008B1670"/>
    <w:rsid w:val="008B1798"/>
    <w:rsid w:val="008B1818"/>
    <w:rsid w:val="008B182C"/>
    <w:rsid w:val="008B1D19"/>
    <w:rsid w:val="008B1E88"/>
    <w:rsid w:val="008B2000"/>
    <w:rsid w:val="008B20B8"/>
    <w:rsid w:val="008B2129"/>
    <w:rsid w:val="008B2251"/>
    <w:rsid w:val="008B225C"/>
    <w:rsid w:val="008B23E2"/>
    <w:rsid w:val="008B24E2"/>
    <w:rsid w:val="008B2615"/>
    <w:rsid w:val="008B2860"/>
    <w:rsid w:val="008B2A89"/>
    <w:rsid w:val="008B2B77"/>
    <w:rsid w:val="008B2CF1"/>
    <w:rsid w:val="008B2D09"/>
    <w:rsid w:val="008B2EAC"/>
    <w:rsid w:val="008B3058"/>
    <w:rsid w:val="008B3167"/>
    <w:rsid w:val="008B35C6"/>
    <w:rsid w:val="008B3650"/>
    <w:rsid w:val="008B36E0"/>
    <w:rsid w:val="008B382B"/>
    <w:rsid w:val="008B3968"/>
    <w:rsid w:val="008B39B4"/>
    <w:rsid w:val="008B3BE3"/>
    <w:rsid w:val="008B3C8A"/>
    <w:rsid w:val="008B3E38"/>
    <w:rsid w:val="008B3E5A"/>
    <w:rsid w:val="008B43CC"/>
    <w:rsid w:val="008B451D"/>
    <w:rsid w:val="008B4542"/>
    <w:rsid w:val="008B4834"/>
    <w:rsid w:val="008B48B7"/>
    <w:rsid w:val="008B48D1"/>
    <w:rsid w:val="008B4E1F"/>
    <w:rsid w:val="008B4E9E"/>
    <w:rsid w:val="008B4F2A"/>
    <w:rsid w:val="008B50FE"/>
    <w:rsid w:val="008B5139"/>
    <w:rsid w:val="008B5253"/>
    <w:rsid w:val="008B54AF"/>
    <w:rsid w:val="008B5AC1"/>
    <w:rsid w:val="008B5B6C"/>
    <w:rsid w:val="008B5BC3"/>
    <w:rsid w:val="008B5C3B"/>
    <w:rsid w:val="008B5C4D"/>
    <w:rsid w:val="008B5D3A"/>
    <w:rsid w:val="008B5D57"/>
    <w:rsid w:val="008B5D84"/>
    <w:rsid w:val="008B5EBE"/>
    <w:rsid w:val="008B5F73"/>
    <w:rsid w:val="008B60B7"/>
    <w:rsid w:val="008B6222"/>
    <w:rsid w:val="008B669C"/>
    <w:rsid w:val="008B67A1"/>
    <w:rsid w:val="008B713B"/>
    <w:rsid w:val="008B758C"/>
    <w:rsid w:val="008B7616"/>
    <w:rsid w:val="008B7907"/>
    <w:rsid w:val="008B7AD9"/>
    <w:rsid w:val="008C003A"/>
    <w:rsid w:val="008C0147"/>
    <w:rsid w:val="008C01DB"/>
    <w:rsid w:val="008C01E5"/>
    <w:rsid w:val="008C048A"/>
    <w:rsid w:val="008C0576"/>
    <w:rsid w:val="008C076A"/>
    <w:rsid w:val="008C0861"/>
    <w:rsid w:val="008C09B4"/>
    <w:rsid w:val="008C0B43"/>
    <w:rsid w:val="008C0CB6"/>
    <w:rsid w:val="008C0DD7"/>
    <w:rsid w:val="008C0F3A"/>
    <w:rsid w:val="008C0F5E"/>
    <w:rsid w:val="008C1003"/>
    <w:rsid w:val="008C10E9"/>
    <w:rsid w:val="008C1240"/>
    <w:rsid w:val="008C1346"/>
    <w:rsid w:val="008C1423"/>
    <w:rsid w:val="008C15DA"/>
    <w:rsid w:val="008C15F0"/>
    <w:rsid w:val="008C16BE"/>
    <w:rsid w:val="008C1723"/>
    <w:rsid w:val="008C1879"/>
    <w:rsid w:val="008C1896"/>
    <w:rsid w:val="008C1919"/>
    <w:rsid w:val="008C1A79"/>
    <w:rsid w:val="008C1AA9"/>
    <w:rsid w:val="008C1B56"/>
    <w:rsid w:val="008C1BD2"/>
    <w:rsid w:val="008C20D2"/>
    <w:rsid w:val="008C222D"/>
    <w:rsid w:val="008C2678"/>
    <w:rsid w:val="008C278A"/>
    <w:rsid w:val="008C29A3"/>
    <w:rsid w:val="008C2D76"/>
    <w:rsid w:val="008C2E11"/>
    <w:rsid w:val="008C2EBB"/>
    <w:rsid w:val="008C2F46"/>
    <w:rsid w:val="008C33A1"/>
    <w:rsid w:val="008C34F5"/>
    <w:rsid w:val="008C365A"/>
    <w:rsid w:val="008C365B"/>
    <w:rsid w:val="008C3953"/>
    <w:rsid w:val="008C3973"/>
    <w:rsid w:val="008C3A44"/>
    <w:rsid w:val="008C3BA5"/>
    <w:rsid w:val="008C4229"/>
    <w:rsid w:val="008C4373"/>
    <w:rsid w:val="008C4425"/>
    <w:rsid w:val="008C473A"/>
    <w:rsid w:val="008C4795"/>
    <w:rsid w:val="008C4B06"/>
    <w:rsid w:val="008C4B92"/>
    <w:rsid w:val="008C4C2E"/>
    <w:rsid w:val="008C4C5C"/>
    <w:rsid w:val="008C4F16"/>
    <w:rsid w:val="008C4FD9"/>
    <w:rsid w:val="008C51E4"/>
    <w:rsid w:val="008C534E"/>
    <w:rsid w:val="008C58CA"/>
    <w:rsid w:val="008C5B5A"/>
    <w:rsid w:val="008C5B5C"/>
    <w:rsid w:val="008C5CB2"/>
    <w:rsid w:val="008C5DCF"/>
    <w:rsid w:val="008C5E1C"/>
    <w:rsid w:val="008C62BB"/>
    <w:rsid w:val="008C63D3"/>
    <w:rsid w:val="008C67E0"/>
    <w:rsid w:val="008C67EF"/>
    <w:rsid w:val="008C6E88"/>
    <w:rsid w:val="008C6EF2"/>
    <w:rsid w:val="008C70B0"/>
    <w:rsid w:val="008C71A0"/>
    <w:rsid w:val="008C72C0"/>
    <w:rsid w:val="008C735A"/>
    <w:rsid w:val="008C7391"/>
    <w:rsid w:val="008C75C9"/>
    <w:rsid w:val="008C76AE"/>
    <w:rsid w:val="008C76CC"/>
    <w:rsid w:val="008C774F"/>
    <w:rsid w:val="008C7758"/>
    <w:rsid w:val="008C7A96"/>
    <w:rsid w:val="008C7D7E"/>
    <w:rsid w:val="008C7E52"/>
    <w:rsid w:val="008C7F41"/>
    <w:rsid w:val="008D002A"/>
    <w:rsid w:val="008D026B"/>
    <w:rsid w:val="008D0310"/>
    <w:rsid w:val="008D045F"/>
    <w:rsid w:val="008D046E"/>
    <w:rsid w:val="008D04B3"/>
    <w:rsid w:val="008D05A5"/>
    <w:rsid w:val="008D0705"/>
    <w:rsid w:val="008D08CA"/>
    <w:rsid w:val="008D08D7"/>
    <w:rsid w:val="008D091D"/>
    <w:rsid w:val="008D0A6C"/>
    <w:rsid w:val="008D0BDD"/>
    <w:rsid w:val="008D0C7C"/>
    <w:rsid w:val="008D0CCD"/>
    <w:rsid w:val="008D0FAE"/>
    <w:rsid w:val="008D10B9"/>
    <w:rsid w:val="008D111C"/>
    <w:rsid w:val="008D118C"/>
    <w:rsid w:val="008D11CD"/>
    <w:rsid w:val="008D129E"/>
    <w:rsid w:val="008D16A4"/>
    <w:rsid w:val="008D16B5"/>
    <w:rsid w:val="008D16FC"/>
    <w:rsid w:val="008D17F5"/>
    <w:rsid w:val="008D191E"/>
    <w:rsid w:val="008D1A58"/>
    <w:rsid w:val="008D1EA8"/>
    <w:rsid w:val="008D1F7C"/>
    <w:rsid w:val="008D1FEF"/>
    <w:rsid w:val="008D2110"/>
    <w:rsid w:val="008D23E2"/>
    <w:rsid w:val="008D2581"/>
    <w:rsid w:val="008D278F"/>
    <w:rsid w:val="008D298A"/>
    <w:rsid w:val="008D29B0"/>
    <w:rsid w:val="008D2E41"/>
    <w:rsid w:val="008D2E60"/>
    <w:rsid w:val="008D2F0B"/>
    <w:rsid w:val="008D30C5"/>
    <w:rsid w:val="008D3128"/>
    <w:rsid w:val="008D3497"/>
    <w:rsid w:val="008D3C4C"/>
    <w:rsid w:val="008D3C4E"/>
    <w:rsid w:val="008D3D6F"/>
    <w:rsid w:val="008D40AE"/>
    <w:rsid w:val="008D4192"/>
    <w:rsid w:val="008D425D"/>
    <w:rsid w:val="008D445D"/>
    <w:rsid w:val="008D4492"/>
    <w:rsid w:val="008D44D2"/>
    <w:rsid w:val="008D44DC"/>
    <w:rsid w:val="008D4684"/>
    <w:rsid w:val="008D46CA"/>
    <w:rsid w:val="008D47BC"/>
    <w:rsid w:val="008D4923"/>
    <w:rsid w:val="008D49F8"/>
    <w:rsid w:val="008D4AD2"/>
    <w:rsid w:val="008D4BD4"/>
    <w:rsid w:val="008D5073"/>
    <w:rsid w:val="008D50C8"/>
    <w:rsid w:val="008D52B7"/>
    <w:rsid w:val="008D59B5"/>
    <w:rsid w:val="008D5A1A"/>
    <w:rsid w:val="008D5BB4"/>
    <w:rsid w:val="008D5BD4"/>
    <w:rsid w:val="008D5DA8"/>
    <w:rsid w:val="008D6086"/>
    <w:rsid w:val="008D6121"/>
    <w:rsid w:val="008D6232"/>
    <w:rsid w:val="008D633D"/>
    <w:rsid w:val="008D639F"/>
    <w:rsid w:val="008D6618"/>
    <w:rsid w:val="008D6831"/>
    <w:rsid w:val="008D68A0"/>
    <w:rsid w:val="008D69CC"/>
    <w:rsid w:val="008D6A31"/>
    <w:rsid w:val="008D6C17"/>
    <w:rsid w:val="008D6C92"/>
    <w:rsid w:val="008D6E70"/>
    <w:rsid w:val="008D6F0A"/>
    <w:rsid w:val="008D70A4"/>
    <w:rsid w:val="008D70AF"/>
    <w:rsid w:val="008D711F"/>
    <w:rsid w:val="008D7278"/>
    <w:rsid w:val="008D7297"/>
    <w:rsid w:val="008D75A2"/>
    <w:rsid w:val="008D75C2"/>
    <w:rsid w:val="008D7742"/>
    <w:rsid w:val="008D7A79"/>
    <w:rsid w:val="008D7B67"/>
    <w:rsid w:val="008D7BAF"/>
    <w:rsid w:val="008D7C13"/>
    <w:rsid w:val="008D7D10"/>
    <w:rsid w:val="008D7E2E"/>
    <w:rsid w:val="008E0071"/>
    <w:rsid w:val="008E018F"/>
    <w:rsid w:val="008E0405"/>
    <w:rsid w:val="008E0574"/>
    <w:rsid w:val="008E0919"/>
    <w:rsid w:val="008E0A1B"/>
    <w:rsid w:val="008E0A90"/>
    <w:rsid w:val="008E0B4E"/>
    <w:rsid w:val="008E0D8E"/>
    <w:rsid w:val="008E1760"/>
    <w:rsid w:val="008E183A"/>
    <w:rsid w:val="008E1964"/>
    <w:rsid w:val="008E1A8E"/>
    <w:rsid w:val="008E1AD3"/>
    <w:rsid w:val="008E1B45"/>
    <w:rsid w:val="008E1CF8"/>
    <w:rsid w:val="008E1E03"/>
    <w:rsid w:val="008E1F79"/>
    <w:rsid w:val="008E2458"/>
    <w:rsid w:val="008E2619"/>
    <w:rsid w:val="008E2811"/>
    <w:rsid w:val="008E2893"/>
    <w:rsid w:val="008E2A33"/>
    <w:rsid w:val="008E2A42"/>
    <w:rsid w:val="008E2BFD"/>
    <w:rsid w:val="008E2D7D"/>
    <w:rsid w:val="008E2FBA"/>
    <w:rsid w:val="008E3003"/>
    <w:rsid w:val="008E30F5"/>
    <w:rsid w:val="008E3237"/>
    <w:rsid w:val="008E324A"/>
    <w:rsid w:val="008E346C"/>
    <w:rsid w:val="008E37D1"/>
    <w:rsid w:val="008E39B2"/>
    <w:rsid w:val="008E3A09"/>
    <w:rsid w:val="008E3B7E"/>
    <w:rsid w:val="008E4095"/>
    <w:rsid w:val="008E416C"/>
    <w:rsid w:val="008E42DD"/>
    <w:rsid w:val="008E43A9"/>
    <w:rsid w:val="008E461E"/>
    <w:rsid w:val="008E471A"/>
    <w:rsid w:val="008E4778"/>
    <w:rsid w:val="008E4996"/>
    <w:rsid w:val="008E4A07"/>
    <w:rsid w:val="008E4A73"/>
    <w:rsid w:val="008E4C35"/>
    <w:rsid w:val="008E4C47"/>
    <w:rsid w:val="008E4FD5"/>
    <w:rsid w:val="008E50AE"/>
    <w:rsid w:val="008E5190"/>
    <w:rsid w:val="008E52D3"/>
    <w:rsid w:val="008E539B"/>
    <w:rsid w:val="008E5710"/>
    <w:rsid w:val="008E58D3"/>
    <w:rsid w:val="008E5B7B"/>
    <w:rsid w:val="008E5C1A"/>
    <w:rsid w:val="008E5CC9"/>
    <w:rsid w:val="008E6102"/>
    <w:rsid w:val="008E62D8"/>
    <w:rsid w:val="008E63E8"/>
    <w:rsid w:val="008E6544"/>
    <w:rsid w:val="008E662F"/>
    <w:rsid w:val="008E679B"/>
    <w:rsid w:val="008E6915"/>
    <w:rsid w:val="008E6D44"/>
    <w:rsid w:val="008E6E9C"/>
    <w:rsid w:val="008E6F84"/>
    <w:rsid w:val="008E7158"/>
    <w:rsid w:val="008E7302"/>
    <w:rsid w:val="008E7385"/>
    <w:rsid w:val="008E7552"/>
    <w:rsid w:val="008E7800"/>
    <w:rsid w:val="008E7A2F"/>
    <w:rsid w:val="008E7B58"/>
    <w:rsid w:val="008E7C11"/>
    <w:rsid w:val="008E7D84"/>
    <w:rsid w:val="008E7FE7"/>
    <w:rsid w:val="008F0004"/>
    <w:rsid w:val="008F0093"/>
    <w:rsid w:val="008F014F"/>
    <w:rsid w:val="008F031B"/>
    <w:rsid w:val="008F03A6"/>
    <w:rsid w:val="008F0531"/>
    <w:rsid w:val="008F0642"/>
    <w:rsid w:val="008F0667"/>
    <w:rsid w:val="008F078C"/>
    <w:rsid w:val="008F097F"/>
    <w:rsid w:val="008F09E8"/>
    <w:rsid w:val="008F0BC6"/>
    <w:rsid w:val="008F0C8A"/>
    <w:rsid w:val="008F0CE9"/>
    <w:rsid w:val="008F0DB2"/>
    <w:rsid w:val="008F0F7B"/>
    <w:rsid w:val="008F1009"/>
    <w:rsid w:val="008F1219"/>
    <w:rsid w:val="008F14BC"/>
    <w:rsid w:val="008F14D3"/>
    <w:rsid w:val="008F170E"/>
    <w:rsid w:val="008F1758"/>
    <w:rsid w:val="008F1C71"/>
    <w:rsid w:val="008F1DD1"/>
    <w:rsid w:val="008F21F8"/>
    <w:rsid w:val="008F2200"/>
    <w:rsid w:val="008F242F"/>
    <w:rsid w:val="008F2597"/>
    <w:rsid w:val="008F25C5"/>
    <w:rsid w:val="008F263D"/>
    <w:rsid w:val="008F26A5"/>
    <w:rsid w:val="008F28BB"/>
    <w:rsid w:val="008F29F8"/>
    <w:rsid w:val="008F2A42"/>
    <w:rsid w:val="008F2C14"/>
    <w:rsid w:val="008F2C40"/>
    <w:rsid w:val="008F2ECC"/>
    <w:rsid w:val="008F2EE5"/>
    <w:rsid w:val="008F3126"/>
    <w:rsid w:val="008F3267"/>
    <w:rsid w:val="008F3514"/>
    <w:rsid w:val="008F3549"/>
    <w:rsid w:val="008F377A"/>
    <w:rsid w:val="008F395A"/>
    <w:rsid w:val="008F3C14"/>
    <w:rsid w:val="008F3CA5"/>
    <w:rsid w:val="008F3D31"/>
    <w:rsid w:val="008F416C"/>
    <w:rsid w:val="008F4245"/>
    <w:rsid w:val="008F42CD"/>
    <w:rsid w:val="008F4308"/>
    <w:rsid w:val="008F4651"/>
    <w:rsid w:val="008F4B5E"/>
    <w:rsid w:val="008F4E84"/>
    <w:rsid w:val="008F4EBC"/>
    <w:rsid w:val="008F5130"/>
    <w:rsid w:val="008F5336"/>
    <w:rsid w:val="008F5464"/>
    <w:rsid w:val="008F54B3"/>
    <w:rsid w:val="008F57A9"/>
    <w:rsid w:val="008F57F5"/>
    <w:rsid w:val="008F58BE"/>
    <w:rsid w:val="008F59B0"/>
    <w:rsid w:val="008F5A2F"/>
    <w:rsid w:val="008F5AC9"/>
    <w:rsid w:val="008F5B3A"/>
    <w:rsid w:val="008F5C4D"/>
    <w:rsid w:val="008F5D35"/>
    <w:rsid w:val="008F5D8C"/>
    <w:rsid w:val="008F5DA8"/>
    <w:rsid w:val="008F5DEE"/>
    <w:rsid w:val="008F5ED1"/>
    <w:rsid w:val="008F61FE"/>
    <w:rsid w:val="008F6579"/>
    <w:rsid w:val="008F69E9"/>
    <w:rsid w:val="008F6B0C"/>
    <w:rsid w:val="008F6D18"/>
    <w:rsid w:val="008F6D58"/>
    <w:rsid w:val="008F6EC9"/>
    <w:rsid w:val="008F7142"/>
    <w:rsid w:val="008F7256"/>
    <w:rsid w:val="008F72B1"/>
    <w:rsid w:val="008F77FE"/>
    <w:rsid w:val="008F78BE"/>
    <w:rsid w:val="008F7AE7"/>
    <w:rsid w:val="00900342"/>
    <w:rsid w:val="009003FB"/>
    <w:rsid w:val="00900441"/>
    <w:rsid w:val="00900504"/>
    <w:rsid w:val="0090071D"/>
    <w:rsid w:val="00900775"/>
    <w:rsid w:val="0090080C"/>
    <w:rsid w:val="00900BE2"/>
    <w:rsid w:val="00900F5B"/>
    <w:rsid w:val="00900FBF"/>
    <w:rsid w:val="00900FE7"/>
    <w:rsid w:val="00901089"/>
    <w:rsid w:val="009010E7"/>
    <w:rsid w:val="0090111D"/>
    <w:rsid w:val="009013F8"/>
    <w:rsid w:val="00901679"/>
    <w:rsid w:val="00901750"/>
    <w:rsid w:val="009018B4"/>
    <w:rsid w:val="009018EA"/>
    <w:rsid w:val="00901C00"/>
    <w:rsid w:val="00901C64"/>
    <w:rsid w:val="00901D2D"/>
    <w:rsid w:val="00901F12"/>
    <w:rsid w:val="009020E5"/>
    <w:rsid w:val="0090234A"/>
    <w:rsid w:val="00902362"/>
    <w:rsid w:val="0090280E"/>
    <w:rsid w:val="00902A84"/>
    <w:rsid w:val="00902B97"/>
    <w:rsid w:val="00902FA7"/>
    <w:rsid w:val="00902FC5"/>
    <w:rsid w:val="0090337D"/>
    <w:rsid w:val="00903530"/>
    <w:rsid w:val="009035B5"/>
    <w:rsid w:val="00903783"/>
    <w:rsid w:val="00903967"/>
    <w:rsid w:val="009039D9"/>
    <w:rsid w:val="00903B70"/>
    <w:rsid w:val="00903C3D"/>
    <w:rsid w:val="00903DDE"/>
    <w:rsid w:val="0090405F"/>
    <w:rsid w:val="00904188"/>
    <w:rsid w:val="0090422C"/>
    <w:rsid w:val="0090437A"/>
    <w:rsid w:val="009043F2"/>
    <w:rsid w:val="0090464F"/>
    <w:rsid w:val="00904711"/>
    <w:rsid w:val="00905133"/>
    <w:rsid w:val="009053C2"/>
    <w:rsid w:val="00905448"/>
    <w:rsid w:val="0090564B"/>
    <w:rsid w:val="00905778"/>
    <w:rsid w:val="009058B2"/>
    <w:rsid w:val="00905A7C"/>
    <w:rsid w:val="00905AEF"/>
    <w:rsid w:val="00905C22"/>
    <w:rsid w:val="00905D36"/>
    <w:rsid w:val="00905DFB"/>
    <w:rsid w:val="00906005"/>
    <w:rsid w:val="0090641A"/>
    <w:rsid w:val="009064E9"/>
    <w:rsid w:val="00906540"/>
    <w:rsid w:val="00906605"/>
    <w:rsid w:val="009066B5"/>
    <w:rsid w:val="00906866"/>
    <w:rsid w:val="00906CB2"/>
    <w:rsid w:val="00906E8B"/>
    <w:rsid w:val="0090708D"/>
    <w:rsid w:val="009070CA"/>
    <w:rsid w:val="009072FC"/>
    <w:rsid w:val="009074FA"/>
    <w:rsid w:val="00907738"/>
    <w:rsid w:val="00907AA0"/>
    <w:rsid w:val="00907AE3"/>
    <w:rsid w:val="00907B1E"/>
    <w:rsid w:val="00907DFD"/>
    <w:rsid w:val="009100BF"/>
    <w:rsid w:val="00910101"/>
    <w:rsid w:val="00910534"/>
    <w:rsid w:val="00910808"/>
    <w:rsid w:val="00910AE9"/>
    <w:rsid w:val="00910B43"/>
    <w:rsid w:val="00910B9B"/>
    <w:rsid w:val="00910F3A"/>
    <w:rsid w:val="00910F89"/>
    <w:rsid w:val="0091131E"/>
    <w:rsid w:val="009114F7"/>
    <w:rsid w:val="00911862"/>
    <w:rsid w:val="00911871"/>
    <w:rsid w:val="009118B1"/>
    <w:rsid w:val="00911A04"/>
    <w:rsid w:val="00911A12"/>
    <w:rsid w:val="00911AF1"/>
    <w:rsid w:val="00911E2C"/>
    <w:rsid w:val="00911E79"/>
    <w:rsid w:val="00912042"/>
    <w:rsid w:val="00912069"/>
    <w:rsid w:val="0091235C"/>
    <w:rsid w:val="009123A4"/>
    <w:rsid w:val="00912586"/>
    <w:rsid w:val="009125E7"/>
    <w:rsid w:val="00912727"/>
    <w:rsid w:val="00912AAB"/>
    <w:rsid w:val="00912B6E"/>
    <w:rsid w:val="00912B88"/>
    <w:rsid w:val="00912D82"/>
    <w:rsid w:val="00913116"/>
    <w:rsid w:val="0091314B"/>
    <w:rsid w:val="00913287"/>
    <w:rsid w:val="009134CB"/>
    <w:rsid w:val="009135AE"/>
    <w:rsid w:val="0091376B"/>
    <w:rsid w:val="0091398B"/>
    <w:rsid w:val="00913C82"/>
    <w:rsid w:val="00913CAC"/>
    <w:rsid w:val="00913D12"/>
    <w:rsid w:val="009141FB"/>
    <w:rsid w:val="00914237"/>
    <w:rsid w:val="0091423E"/>
    <w:rsid w:val="0091466D"/>
    <w:rsid w:val="0091479A"/>
    <w:rsid w:val="00914803"/>
    <w:rsid w:val="009149DB"/>
    <w:rsid w:val="00914AB7"/>
    <w:rsid w:val="00914ABB"/>
    <w:rsid w:val="00914AF7"/>
    <w:rsid w:val="00914B05"/>
    <w:rsid w:val="00914D1B"/>
    <w:rsid w:val="00914F92"/>
    <w:rsid w:val="00914F9B"/>
    <w:rsid w:val="00915335"/>
    <w:rsid w:val="0091538D"/>
    <w:rsid w:val="009153BE"/>
    <w:rsid w:val="009154D0"/>
    <w:rsid w:val="009155F7"/>
    <w:rsid w:val="009156BC"/>
    <w:rsid w:val="0091573B"/>
    <w:rsid w:val="0091575F"/>
    <w:rsid w:val="00915822"/>
    <w:rsid w:val="009159E7"/>
    <w:rsid w:val="00915A4D"/>
    <w:rsid w:val="00915CC7"/>
    <w:rsid w:val="00915DE8"/>
    <w:rsid w:val="00915ED5"/>
    <w:rsid w:val="00915FD9"/>
    <w:rsid w:val="0091611B"/>
    <w:rsid w:val="0091619E"/>
    <w:rsid w:val="00916280"/>
    <w:rsid w:val="00916BAF"/>
    <w:rsid w:val="00916C6D"/>
    <w:rsid w:val="00916C7E"/>
    <w:rsid w:val="00916D0B"/>
    <w:rsid w:val="00916DC5"/>
    <w:rsid w:val="00916DDD"/>
    <w:rsid w:val="00916FE2"/>
    <w:rsid w:val="009170F8"/>
    <w:rsid w:val="00917441"/>
    <w:rsid w:val="009177DD"/>
    <w:rsid w:val="00917A2B"/>
    <w:rsid w:val="00917BC3"/>
    <w:rsid w:val="00920264"/>
    <w:rsid w:val="00920451"/>
    <w:rsid w:val="0092046D"/>
    <w:rsid w:val="00920773"/>
    <w:rsid w:val="00920781"/>
    <w:rsid w:val="0092091F"/>
    <w:rsid w:val="00920A8F"/>
    <w:rsid w:val="00920FC6"/>
    <w:rsid w:val="0092113E"/>
    <w:rsid w:val="00921140"/>
    <w:rsid w:val="00921196"/>
    <w:rsid w:val="00921EDE"/>
    <w:rsid w:val="009220C9"/>
    <w:rsid w:val="00922128"/>
    <w:rsid w:val="00922129"/>
    <w:rsid w:val="009221A1"/>
    <w:rsid w:val="009222C3"/>
    <w:rsid w:val="009223CB"/>
    <w:rsid w:val="00922837"/>
    <w:rsid w:val="0092284A"/>
    <w:rsid w:val="00922893"/>
    <w:rsid w:val="00922A45"/>
    <w:rsid w:val="00922A66"/>
    <w:rsid w:val="00922ED8"/>
    <w:rsid w:val="0092341F"/>
    <w:rsid w:val="00923729"/>
    <w:rsid w:val="0092380C"/>
    <w:rsid w:val="00923814"/>
    <w:rsid w:val="0092387A"/>
    <w:rsid w:val="00923B0E"/>
    <w:rsid w:val="00923BA9"/>
    <w:rsid w:val="00923C4E"/>
    <w:rsid w:val="00923FFB"/>
    <w:rsid w:val="00924010"/>
    <w:rsid w:val="00924116"/>
    <w:rsid w:val="00924504"/>
    <w:rsid w:val="00924648"/>
    <w:rsid w:val="009248D6"/>
    <w:rsid w:val="00924A09"/>
    <w:rsid w:val="00924E62"/>
    <w:rsid w:val="00925216"/>
    <w:rsid w:val="009254FF"/>
    <w:rsid w:val="009258B5"/>
    <w:rsid w:val="009258DC"/>
    <w:rsid w:val="00925B3A"/>
    <w:rsid w:val="00925B9B"/>
    <w:rsid w:val="00925C26"/>
    <w:rsid w:val="00925C67"/>
    <w:rsid w:val="00925D68"/>
    <w:rsid w:val="00925E84"/>
    <w:rsid w:val="00925EAA"/>
    <w:rsid w:val="00925ED5"/>
    <w:rsid w:val="00925F64"/>
    <w:rsid w:val="00926028"/>
    <w:rsid w:val="00926447"/>
    <w:rsid w:val="009266A7"/>
    <w:rsid w:val="0092698A"/>
    <w:rsid w:val="00926CA2"/>
    <w:rsid w:val="00926D4E"/>
    <w:rsid w:val="00926E58"/>
    <w:rsid w:val="009271B4"/>
    <w:rsid w:val="009274B4"/>
    <w:rsid w:val="00927502"/>
    <w:rsid w:val="0092758E"/>
    <w:rsid w:val="009275C4"/>
    <w:rsid w:val="00927719"/>
    <w:rsid w:val="0092791E"/>
    <w:rsid w:val="009279FA"/>
    <w:rsid w:val="00927D2B"/>
    <w:rsid w:val="00927ED8"/>
    <w:rsid w:val="00927EEC"/>
    <w:rsid w:val="00927F19"/>
    <w:rsid w:val="00927F69"/>
    <w:rsid w:val="0093023E"/>
    <w:rsid w:val="00930243"/>
    <w:rsid w:val="0093031A"/>
    <w:rsid w:val="0093031B"/>
    <w:rsid w:val="00930689"/>
    <w:rsid w:val="00930958"/>
    <w:rsid w:val="00930ACE"/>
    <w:rsid w:val="00930C77"/>
    <w:rsid w:val="00930CE0"/>
    <w:rsid w:val="00930E18"/>
    <w:rsid w:val="00930E67"/>
    <w:rsid w:val="00930F2B"/>
    <w:rsid w:val="00931003"/>
    <w:rsid w:val="00931091"/>
    <w:rsid w:val="009313F0"/>
    <w:rsid w:val="009315CD"/>
    <w:rsid w:val="00931747"/>
    <w:rsid w:val="009318DB"/>
    <w:rsid w:val="00931A07"/>
    <w:rsid w:val="00931B71"/>
    <w:rsid w:val="00931BFC"/>
    <w:rsid w:val="00931D41"/>
    <w:rsid w:val="00931FC3"/>
    <w:rsid w:val="00932113"/>
    <w:rsid w:val="009321C4"/>
    <w:rsid w:val="00932232"/>
    <w:rsid w:val="00932279"/>
    <w:rsid w:val="009322D5"/>
    <w:rsid w:val="00932491"/>
    <w:rsid w:val="009324AD"/>
    <w:rsid w:val="009326E0"/>
    <w:rsid w:val="00932AB5"/>
    <w:rsid w:val="00932C33"/>
    <w:rsid w:val="00932C86"/>
    <w:rsid w:val="00932C9E"/>
    <w:rsid w:val="00932CDC"/>
    <w:rsid w:val="00932FA1"/>
    <w:rsid w:val="00933329"/>
    <w:rsid w:val="0093339D"/>
    <w:rsid w:val="00933437"/>
    <w:rsid w:val="0093363F"/>
    <w:rsid w:val="0093374C"/>
    <w:rsid w:val="00933993"/>
    <w:rsid w:val="009339C7"/>
    <w:rsid w:val="00933A22"/>
    <w:rsid w:val="00933EC5"/>
    <w:rsid w:val="00933F75"/>
    <w:rsid w:val="00933FC8"/>
    <w:rsid w:val="0093439D"/>
    <w:rsid w:val="00934439"/>
    <w:rsid w:val="00934462"/>
    <w:rsid w:val="009346D2"/>
    <w:rsid w:val="0093474F"/>
    <w:rsid w:val="00934829"/>
    <w:rsid w:val="00934842"/>
    <w:rsid w:val="00934D4F"/>
    <w:rsid w:val="00934FE6"/>
    <w:rsid w:val="00935239"/>
    <w:rsid w:val="0093533E"/>
    <w:rsid w:val="00935485"/>
    <w:rsid w:val="0093557E"/>
    <w:rsid w:val="00935587"/>
    <w:rsid w:val="009356C5"/>
    <w:rsid w:val="009357B3"/>
    <w:rsid w:val="00935923"/>
    <w:rsid w:val="00935D6A"/>
    <w:rsid w:val="00935F14"/>
    <w:rsid w:val="009362A4"/>
    <w:rsid w:val="00936332"/>
    <w:rsid w:val="00936650"/>
    <w:rsid w:val="009367D2"/>
    <w:rsid w:val="00936B43"/>
    <w:rsid w:val="00937411"/>
    <w:rsid w:val="009376E2"/>
    <w:rsid w:val="0093791F"/>
    <w:rsid w:val="00937A51"/>
    <w:rsid w:val="00937D85"/>
    <w:rsid w:val="00937FA6"/>
    <w:rsid w:val="00937FB6"/>
    <w:rsid w:val="00940606"/>
    <w:rsid w:val="00940750"/>
    <w:rsid w:val="00940BC6"/>
    <w:rsid w:val="00940C88"/>
    <w:rsid w:val="00940D62"/>
    <w:rsid w:val="00940EE1"/>
    <w:rsid w:val="00940FCC"/>
    <w:rsid w:val="00941112"/>
    <w:rsid w:val="00941184"/>
    <w:rsid w:val="009411A5"/>
    <w:rsid w:val="009412DB"/>
    <w:rsid w:val="00941308"/>
    <w:rsid w:val="009414D2"/>
    <w:rsid w:val="00941ABD"/>
    <w:rsid w:val="00941F26"/>
    <w:rsid w:val="0094218B"/>
    <w:rsid w:val="009421D2"/>
    <w:rsid w:val="00942293"/>
    <w:rsid w:val="0094270E"/>
    <w:rsid w:val="0094296E"/>
    <w:rsid w:val="00942977"/>
    <w:rsid w:val="00942ACB"/>
    <w:rsid w:val="00942D21"/>
    <w:rsid w:val="00942D4A"/>
    <w:rsid w:val="00942DC6"/>
    <w:rsid w:val="00942E6C"/>
    <w:rsid w:val="009430E4"/>
    <w:rsid w:val="0094314C"/>
    <w:rsid w:val="009434AF"/>
    <w:rsid w:val="0094393B"/>
    <w:rsid w:val="00943A82"/>
    <w:rsid w:val="00943F88"/>
    <w:rsid w:val="009442E3"/>
    <w:rsid w:val="009444AC"/>
    <w:rsid w:val="00944540"/>
    <w:rsid w:val="0094455A"/>
    <w:rsid w:val="009445DD"/>
    <w:rsid w:val="00944D80"/>
    <w:rsid w:val="00944EE0"/>
    <w:rsid w:val="00944FDC"/>
    <w:rsid w:val="00945392"/>
    <w:rsid w:val="009453EE"/>
    <w:rsid w:val="0094540F"/>
    <w:rsid w:val="0094598E"/>
    <w:rsid w:val="00945D4C"/>
    <w:rsid w:val="00945E4D"/>
    <w:rsid w:val="00946263"/>
    <w:rsid w:val="009462CD"/>
    <w:rsid w:val="0094633C"/>
    <w:rsid w:val="00946358"/>
    <w:rsid w:val="009466D1"/>
    <w:rsid w:val="00946A4B"/>
    <w:rsid w:val="00946A96"/>
    <w:rsid w:val="00946A9A"/>
    <w:rsid w:val="00946CE4"/>
    <w:rsid w:val="00946D87"/>
    <w:rsid w:val="00946F20"/>
    <w:rsid w:val="0094721B"/>
    <w:rsid w:val="00947294"/>
    <w:rsid w:val="009472E9"/>
    <w:rsid w:val="0094736B"/>
    <w:rsid w:val="009476FA"/>
    <w:rsid w:val="009477A4"/>
    <w:rsid w:val="0094790B"/>
    <w:rsid w:val="00950271"/>
    <w:rsid w:val="009505F7"/>
    <w:rsid w:val="00950B4D"/>
    <w:rsid w:val="00950BD1"/>
    <w:rsid w:val="00950C61"/>
    <w:rsid w:val="00950EC9"/>
    <w:rsid w:val="0095118C"/>
    <w:rsid w:val="00951345"/>
    <w:rsid w:val="00951638"/>
    <w:rsid w:val="009516B5"/>
    <w:rsid w:val="0095173E"/>
    <w:rsid w:val="009518D6"/>
    <w:rsid w:val="009519F6"/>
    <w:rsid w:val="00951B6C"/>
    <w:rsid w:val="00951B6F"/>
    <w:rsid w:val="00951C7D"/>
    <w:rsid w:val="00951C95"/>
    <w:rsid w:val="00951E78"/>
    <w:rsid w:val="00951F28"/>
    <w:rsid w:val="00951F35"/>
    <w:rsid w:val="00951F83"/>
    <w:rsid w:val="00952058"/>
    <w:rsid w:val="009520BE"/>
    <w:rsid w:val="00952190"/>
    <w:rsid w:val="009525DA"/>
    <w:rsid w:val="00952657"/>
    <w:rsid w:val="00952D1D"/>
    <w:rsid w:val="0095306D"/>
    <w:rsid w:val="009536D9"/>
    <w:rsid w:val="00953772"/>
    <w:rsid w:val="00953E4B"/>
    <w:rsid w:val="00953F83"/>
    <w:rsid w:val="0095422E"/>
    <w:rsid w:val="0095444C"/>
    <w:rsid w:val="009545F7"/>
    <w:rsid w:val="009546B2"/>
    <w:rsid w:val="00954A6C"/>
    <w:rsid w:val="00954ABA"/>
    <w:rsid w:val="00954DD7"/>
    <w:rsid w:val="00954E18"/>
    <w:rsid w:val="00954E1B"/>
    <w:rsid w:val="00954E83"/>
    <w:rsid w:val="00954F8E"/>
    <w:rsid w:val="009550D1"/>
    <w:rsid w:val="00955476"/>
    <w:rsid w:val="00955675"/>
    <w:rsid w:val="00955985"/>
    <w:rsid w:val="00955D7D"/>
    <w:rsid w:val="00955F72"/>
    <w:rsid w:val="009563B2"/>
    <w:rsid w:val="00956501"/>
    <w:rsid w:val="009567C2"/>
    <w:rsid w:val="00956832"/>
    <w:rsid w:val="00956877"/>
    <w:rsid w:val="009569A3"/>
    <w:rsid w:val="00956F35"/>
    <w:rsid w:val="00957023"/>
    <w:rsid w:val="00957242"/>
    <w:rsid w:val="00957496"/>
    <w:rsid w:val="009574F0"/>
    <w:rsid w:val="009575B1"/>
    <w:rsid w:val="009577FC"/>
    <w:rsid w:val="009578DD"/>
    <w:rsid w:val="00957BEF"/>
    <w:rsid w:val="00957C5F"/>
    <w:rsid w:val="00957D8A"/>
    <w:rsid w:val="00960367"/>
    <w:rsid w:val="009606A4"/>
    <w:rsid w:val="009608F1"/>
    <w:rsid w:val="00960ADF"/>
    <w:rsid w:val="00960AF5"/>
    <w:rsid w:val="00960B1A"/>
    <w:rsid w:val="00960EBB"/>
    <w:rsid w:val="00960F29"/>
    <w:rsid w:val="0096111E"/>
    <w:rsid w:val="00961122"/>
    <w:rsid w:val="00961525"/>
    <w:rsid w:val="009615C4"/>
    <w:rsid w:val="00961967"/>
    <w:rsid w:val="0096199C"/>
    <w:rsid w:val="00961C01"/>
    <w:rsid w:val="00961D20"/>
    <w:rsid w:val="009621F1"/>
    <w:rsid w:val="009626F6"/>
    <w:rsid w:val="00962D4C"/>
    <w:rsid w:val="00962E0B"/>
    <w:rsid w:val="00962FD3"/>
    <w:rsid w:val="00963355"/>
    <w:rsid w:val="0096348E"/>
    <w:rsid w:val="009637B0"/>
    <w:rsid w:val="00963AAE"/>
    <w:rsid w:val="00963CE1"/>
    <w:rsid w:val="009640B3"/>
    <w:rsid w:val="0096439A"/>
    <w:rsid w:val="00964567"/>
    <w:rsid w:val="00964C06"/>
    <w:rsid w:val="00964D91"/>
    <w:rsid w:val="00964E8E"/>
    <w:rsid w:val="0096523A"/>
    <w:rsid w:val="00965288"/>
    <w:rsid w:val="0096543A"/>
    <w:rsid w:val="00965618"/>
    <w:rsid w:val="0096581C"/>
    <w:rsid w:val="00966341"/>
    <w:rsid w:val="009663A5"/>
    <w:rsid w:val="0096653C"/>
    <w:rsid w:val="009666AB"/>
    <w:rsid w:val="00966C83"/>
    <w:rsid w:val="00966DFA"/>
    <w:rsid w:val="00966F33"/>
    <w:rsid w:val="00966FCA"/>
    <w:rsid w:val="00967087"/>
    <w:rsid w:val="009671EE"/>
    <w:rsid w:val="009672F0"/>
    <w:rsid w:val="009672FB"/>
    <w:rsid w:val="00967362"/>
    <w:rsid w:val="009673B6"/>
    <w:rsid w:val="0096756E"/>
    <w:rsid w:val="00967586"/>
    <w:rsid w:val="009676E8"/>
    <w:rsid w:val="009678A4"/>
    <w:rsid w:val="00967975"/>
    <w:rsid w:val="00967CD4"/>
    <w:rsid w:val="00967EBC"/>
    <w:rsid w:val="00967F00"/>
    <w:rsid w:val="009702DF"/>
    <w:rsid w:val="00970495"/>
    <w:rsid w:val="0097060F"/>
    <w:rsid w:val="00970749"/>
    <w:rsid w:val="009708A9"/>
    <w:rsid w:val="009708D7"/>
    <w:rsid w:val="0097091A"/>
    <w:rsid w:val="00970DBA"/>
    <w:rsid w:val="00970F4E"/>
    <w:rsid w:val="00971141"/>
    <w:rsid w:val="009712E1"/>
    <w:rsid w:val="0097157A"/>
    <w:rsid w:val="009715A5"/>
    <w:rsid w:val="00971672"/>
    <w:rsid w:val="009716E3"/>
    <w:rsid w:val="009717E2"/>
    <w:rsid w:val="009717F6"/>
    <w:rsid w:val="0097199E"/>
    <w:rsid w:val="00971ABD"/>
    <w:rsid w:val="00971D9D"/>
    <w:rsid w:val="00971DB9"/>
    <w:rsid w:val="00971DD0"/>
    <w:rsid w:val="00972103"/>
    <w:rsid w:val="0097247A"/>
    <w:rsid w:val="0097260D"/>
    <w:rsid w:val="0097277C"/>
    <w:rsid w:val="009727EA"/>
    <w:rsid w:val="0097284F"/>
    <w:rsid w:val="009728F0"/>
    <w:rsid w:val="009728FC"/>
    <w:rsid w:val="00972A7A"/>
    <w:rsid w:val="00972AFB"/>
    <w:rsid w:val="00973052"/>
    <w:rsid w:val="0097314A"/>
    <w:rsid w:val="009733A6"/>
    <w:rsid w:val="009735D4"/>
    <w:rsid w:val="009736A4"/>
    <w:rsid w:val="00973B32"/>
    <w:rsid w:val="00973B7F"/>
    <w:rsid w:val="00973C08"/>
    <w:rsid w:val="00973D2D"/>
    <w:rsid w:val="00973EF0"/>
    <w:rsid w:val="00974191"/>
    <w:rsid w:val="0097419E"/>
    <w:rsid w:val="009743A4"/>
    <w:rsid w:val="009743D3"/>
    <w:rsid w:val="00974421"/>
    <w:rsid w:val="00974529"/>
    <w:rsid w:val="009748BA"/>
    <w:rsid w:val="00974A8E"/>
    <w:rsid w:val="00974B0D"/>
    <w:rsid w:val="00974C44"/>
    <w:rsid w:val="00974F6B"/>
    <w:rsid w:val="00974F83"/>
    <w:rsid w:val="00974FF7"/>
    <w:rsid w:val="00974FF9"/>
    <w:rsid w:val="009752AE"/>
    <w:rsid w:val="00975326"/>
    <w:rsid w:val="009758F9"/>
    <w:rsid w:val="00975A49"/>
    <w:rsid w:val="00975D7F"/>
    <w:rsid w:val="00975D88"/>
    <w:rsid w:val="00975FF4"/>
    <w:rsid w:val="00976639"/>
    <w:rsid w:val="00976741"/>
    <w:rsid w:val="009769CB"/>
    <w:rsid w:val="00976B0D"/>
    <w:rsid w:val="00976C39"/>
    <w:rsid w:val="00976D42"/>
    <w:rsid w:val="00976D83"/>
    <w:rsid w:val="009770C9"/>
    <w:rsid w:val="0097720E"/>
    <w:rsid w:val="0097745E"/>
    <w:rsid w:val="00977592"/>
    <w:rsid w:val="00977E55"/>
    <w:rsid w:val="00980688"/>
    <w:rsid w:val="009806ED"/>
    <w:rsid w:val="00980DF5"/>
    <w:rsid w:val="009810AE"/>
    <w:rsid w:val="00981212"/>
    <w:rsid w:val="00981353"/>
    <w:rsid w:val="0098188E"/>
    <w:rsid w:val="009819F3"/>
    <w:rsid w:val="00981ACA"/>
    <w:rsid w:val="00981C50"/>
    <w:rsid w:val="00981DC0"/>
    <w:rsid w:val="00981F96"/>
    <w:rsid w:val="00982082"/>
    <w:rsid w:val="009820CD"/>
    <w:rsid w:val="009820DD"/>
    <w:rsid w:val="0098210F"/>
    <w:rsid w:val="00982129"/>
    <w:rsid w:val="0098222E"/>
    <w:rsid w:val="009826B1"/>
    <w:rsid w:val="00982765"/>
    <w:rsid w:val="009828BF"/>
    <w:rsid w:val="0098291E"/>
    <w:rsid w:val="00982ABB"/>
    <w:rsid w:val="00983234"/>
    <w:rsid w:val="00983271"/>
    <w:rsid w:val="009833A1"/>
    <w:rsid w:val="00983437"/>
    <w:rsid w:val="00983482"/>
    <w:rsid w:val="00983661"/>
    <w:rsid w:val="00983697"/>
    <w:rsid w:val="00983A30"/>
    <w:rsid w:val="00983AD0"/>
    <w:rsid w:val="00983DD4"/>
    <w:rsid w:val="00984023"/>
    <w:rsid w:val="0098426B"/>
    <w:rsid w:val="009844A2"/>
    <w:rsid w:val="0098464C"/>
    <w:rsid w:val="009847F9"/>
    <w:rsid w:val="009849AE"/>
    <w:rsid w:val="00984A77"/>
    <w:rsid w:val="00984D20"/>
    <w:rsid w:val="00984EA2"/>
    <w:rsid w:val="009854A6"/>
    <w:rsid w:val="009856AF"/>
    <w:rsid w:val="009857DD"/>
    <w:rsid w:val="0098588C"/>
    <w:rsid w:val="00985C13"/>
    <w:rsid w:val="00985EDA"/>
    <w:rsid w:val="00985F3B"/>
    <w:rsid w:val="0098635F"/>
    <w:rsid w:val="00986741"/>
    <w:rsid w:val="00986768"/>
    <w:rsid w:val="00986775"/>
    <w:rsid w:val="00986D7E"/>
    <w:rsid w:val="00986E62"/>
    <w:rsid w:val="00986F20"/>
    <w:rsid w:val="0098714B"/>
    <w:rsid w:val="009872E0"/>
    <w:rsid w:val="009873E1"/>
    <w:rsid w:val="009874BD"/>
    <w:rsid w:val="009875A6"/>
    <w:rsid w:val="009875D6"/>
    <w:rsid w:val="00987627"/>
    <w:rsid w:val="0098780B"/>
    <w:rsid w:val="00987BB1"/>
    <w:rsid w:val="00987C50"/>
    <w:rsid w:val="00987C6F"/>
    <w:rsid w:val="00987D68"/>
    <w:rsid w:val="00987D76"/>
    <w:rsid w:val="0099010B"/>
    <w:rsid w:val="009903DA"/>
    <w:rsid w:val="009903EA"/>
    <w:rsid w:val="00990450"/>
    <w:rsid w:val="0099061B"/>
    <w:rsid w:val="0099081C"/>
    <w:rsid w:val="009908E6"/>
    <w:rsid w:val="00990AD1"/>
    <w:rsid w:val="00990D0F"/>
    <w:rsid w:val="00991009"/>
    <w:rsid w:val="00991138"/>
    <w:rsid w:val="00991264"/>
    <w:rsid w:val="009913B3"/>
    <w:rsid w:val="009914F8"/>
    <w:rsid w:val="009917F9"/>
    <w:rsid w:val="00991831"/>
    <w:rsid w:val="009919B7"/>
    <w:rsid w:val="00991B15"/>
    <w:rsid w:val="00991DA7"/>
    <w:rsid w:val="00991DD3"/>
    <w:rsid w:val="00991FA0"/>
    <w:rsid w:val="00992038"/>
    <w:rsid w:val="0099212E"/>
    <w:rsid w:val="00992258"/>
    <w:rsid w:val="009923E6"/>
    <w:rsid w:val="009924F3"/>
    <w:rsid w:val="0099257E"/>
    <w:rsid w:val="00992583"/>
    <w:rsid w:val="00992774"/>
    <w:rsid w:val="009927B1"/>
    <w:rsid w:val="0099287F"/>
    <w:rsid w:val="00992D68"/>
    <w:rsid w:val="00993148"/>
    <w:rsid w:val="00993C31"/>
    <w:rsid w:val="00993E74"/>
    <w:rsid w:val="00993F2A"/>
    <w:rsid w:val="00993FE7"/>
    <w:rsid w:val="0099408E"/>
    <w:rsid w:val="00994145"/>
    <w:rsid w:val="00994160"/>
    <w:rsid w:val="009942C2"/>
    <w:rsid w:val="00994797"/>
    <w:rsid w:val="009948EC"/>
    <w:rsid w:val="00994C79"/>
    <w:rsid w:val="00994CD4"/>
    <w:rsid w:val="00994CFB"/>
    <w:rsid w:val="00994E9A"/>
    <w:rsid w:val="00994ED4"/>
    <w:rsid w:val="00994F41"/>
    <w:rsid w:val="0099501B"/>
    <w:rsid w:val="00995244"/>
    <w:rsid w:val="009953E9"/>
    <w:rsid w:val="00995519"/>
    <w:rsid w:val="00995614"/>
    <w:rsid w:val="00995697"/>
    <w:rsid w:val="00995DA6"/>
    <w:rsid w:val="00995EA4"/>
    <w:rsid w:val="00995F04"/>
    <w:rsid w:val="009960AB"/>
    <w:rsid w:val="0099611F"/>
    <w:rsid w:val="009961D7"/>
    <w:rsid w:val="0099621C"/>
    <w:rsid w:val="009965F5"/>
    <w:rsid w:val="00996802"/>
    <w:rsid w:val="009969CD"/>
    <w:rsid w:val="00996AA0"/>
    <w:rsid w:val="00996CCA"/>
    <w:rsid w:val="00996F22"/>
    <w:rsid w:val="00996F46"/>
    <w:rsid w:val="00996F64"/>
    <w:rsid w:val="0099708B"/>
    <w:rsid w:val="00997358"/>
    <w:rsid w:val="00997586"/>
    <w:rsid w:val="009975B3"/>
    <w:rsid w:val="009975D2"/>
    <w:rsid w:val="009975E9"/>
    <w:rsid w:val="00997740"/>
    <w:rsid w:val="0099784F"/>
    <w:rsid w:val="00997C8E"/>
    <w:rsid w:val="00997DD5"/>
    <w:rsid w:val="00997E83"/>
    <w:rsid w:val="00997F3E"/>
    <w:rsid w:val="00997F9A"/>
    <w:rsid w:val="009A0384"/>
    <w:rsid w:val="009A043A"/>
    <w:rsid w:val="009A05DD"/>
    <w:rsid w:val="009A067B"/>
    <w:rsid w:val="009A0B98"/>
    <w:rsid w:val="009A0CB9"/>
    <w:rsid w:val="009A0FE5"/>
    <w:rsid w:val="009A125F"/>
    <w:rsid w:val="009A12F3"/>
    <w:rsid w:val="009A1375"/>
    <w:rsid w:val="009A139C"/>
    <w:rsid w:val="009A173E"/>
    <w:rsid w:val="009A1777"/>
    <w:rsid w:val="009A1812"/>
    <w:rsid w:val="009A1A5F"/>
    <w:rsid w:val="009A1B6B"/>
    <w:rsid w:val="009A1F68"/>
    <w:rsid w:val="009A20FB"/>
    <w:rsid w:val="009A21B3"/>
    <w:rsid w:val="009A22B7"/>
    <w:rsid w:val="009A2412"/>
    <w:rsid w:val="009A2437"/>
    <w:rsid w:val="009A269E"/>
    <w:rsid w:val="009A26A0"/>
    <w:rsid w:val="009A271F"/>
    <w:rsid w:val="009A275D"/>
    <w:rsid w:val="009A27E5"/>
    <w:rsid w:val="009A2C20"/>
    <w:rsid w:val="009A2C72"/>
    <w:rsid w:val="009A2E4B"/>
    <w:rsid w:val="009A3087"/>
    <w:rsid w:val="009A31BC"/>
    <w:rsid w:val="009A3525"/>
    <w:rsid w:val="009A366E"/>
    <w:rsid w:val="009A37CC"/>
    <w:rsid w:val="009A3B53"/>
    <w:rsid w:val="009A4083"/>
    <w:rsid w:val="009A40E4"/>
    <w:rsid w:val="009A4207"/>
    <w:rsid w:val="009A4311"/>
    <w:rsid w:val="009A43D1"/>
    <w:rsid w:val="009A4568"/>
    <w:rsid w:val="009A47A8"/>
    <w:rsid w:val="009A48D8"/>
    <w:rsid w:val="009A4F03"/>
    <w:rsid w:val="009A4F64"/>
    <w:rsid w:val="009A519E"/>
    <w:rsid w:val="009A52B1"/>
    <w:rsid w:val="009A5459"/>
    <w:rsid w:val="009A5479"/>
    <w:rsid w:val="009A559D"/>
    <w:rsid w:val="009A55B8"/>
    <w:rsid w:val="009A565C"/>
    <w:rsid w:val="009A58E2"/>
    <w:rsid w:val="009A5CF3"/>
    <w:rsid w:val="009A5FDC"/>
    <w:rsid w:val="009A63FB"/>
    <w:rsid w:val="009A64CA"/>
    <w:rsid w:val="009A64E4"/>
    <w:rsid w:val="009A6814"/>
    <w:rsid w:val="009A685A"/>
    <w:rsid w:val="009A68A2"/>
    <w:rsid w:val="009A69CC"/>
    <w:rsid w:val="009A6B71"/>
    <w:rsid w:val="009A6CF6"/>
    <w:rsid w:val="009A6D31"/>
    <w:rsid w:val="009A73B5"/>
    <w:rsid w:val="009A7607"/>
    <w:rsid w:val="009A78DA"/>
    <w:rsid w:val="009A78F2"/>
    <w:rsid w:val="009A7915"/>
    <w:rsid w:val="009A7AF7"/>
    <w:rsid w:val="009B008A"/>
    <w:rsid w:val="009B01B8"/>
    <w:rsid w:val="009B082D"/>
    <w:rsid w:val="009B08EF"/>
    <w:rsid w:val="009B093D"/>
    <w:rsid w:val="009B09FE"/>
    <w:rsid w:val="009B0B9D"/>
    <w:rsid w:val="009B0D89"/>
    <w:rsid w:val="009B0FA0"/>
    <w:rsid w:val="009B10F6"/>
    <w:rsid w:val="009B1278"/>
    <w:rsid w:val="009B1353"/>
    <w:rsid w:val="009B1482"/>
    <w:rsid w:val="009B157F"/>
    <w:rsid w:val="009B1810"/>
    <w:rsid w:val="009B1845"/>
    <w:rsid w:val="009B1872"/>
    <w:rsid w:val="009B1954"/>
    <w:rsid w:val="009B1C6A"/>
    <w:rsid w:val="009B1E3C"/>
    <w:rsid w:val="009B1E9D"/>
    <w:rsid w:val="009B1F1C"/>
    <w:rsid w:val="009B205C"/>
    <w:rsid w:val="009B254C"/>
    <w:rsid w:val="009B27BC"/>
    <w:rsid w:val="009B291D"/>
    <w:rsid w:val="009B2986"/>
    <w:rsid w:val="009B2AB6"/>
    <w:rsid w:val="009B2B30"/>
    <w:rsid w:val="009B3191"/>
    <w:rsid w:val="009B337C"/>
    <w:rsid w:val="009B3723"/>
    <w:rsid w:val="009B37A5"/>
    <w:rsid w:val="009B3904"/>
    <w:rsid w:val="009B39C9"/>
    <w:rsid w:val="009B3B2F"/>
    <w:rsid w:val="009B3B7E"/>
    <w:rsid w:val="009B3C6B"/>
    <w:rsid w:val="009B3D53"/>
    <w:rsid w:val="009B3D72"/>
    <w:rsid w:val="009B3E00"/>
    <w:rsid w:val="009B3E80"/>
    <w:rsid w:val="009B3F41"/>
    <w:rsid w:val="009B3F55"/>
    <w:rsid w:val="009B4019"/>
    <w:rsid w:val="009B4088"/>
    <w:rsid w:val="009B457C"/>
    <w:rsid w:val="009B4857"/>
    <w:rsid w:val="009B4947"/>
    <w:rsid w:val="009B497A"/>
    <w:rsid w:val="009B5017"/>
    <w:rsid w:val="009B50A7"/>
    <w:rsid w:val="009B5195"/>
    <w:rsid w:val="009B5239"/>
    <w:rsid w:val="009B52FA"/>
    <w:rsid w:val="009B5777"/>
    <w:rsid w:val="009B57A3"/>
    <w:rsid w:val="009B5815"/>
    <w:rsid w:val="009B5E35"/>
    <w:rsid w:val="009B5F3E"/>
    <w:rsid w:val="009B644E"/>
    <w:rsid w:val="009B661C"/>
    <w:rsid w:val="009B6693"/>
    <w:rsid w:val="009B6BB1"/>
    <w:rsid w:val="009B6C2E"/>
    <w:rsid w:val="009B6E21"/>
    <w:rsid w:val="009B6E78"/>
    <w:rsid w:val="009B6ECA"/>
    <w:rsid w:val="009B7001"/>
    <w:rsid w:val="009B719B"/>
    <w:rsid w:val="009B729A"/>
    <w:rsid w:val="009B72E6"/>
    <w:rsid w:val="009B749F"/>
    <w:rsid w:val="009B7584"/>
    <w:rsid w:val="009B77D5"/>
    <w:rsid w:val="009B7AF5"/>
    <w:rsid w:val="009B7C73"/>
    <w:rsid w:val="009B7D46"/>
    <w:rsid w:val="009B7E48"/>
    <w:rsid w:val="009B7F95"/>
    <w:rsid w:val="009C0117"/>
    <w:rsid w:val="009C02F2"/>
    <w:rsid w:val="009C0631"/>
    <w:rsid w:val="009C0834"/>
    <w:rsid w:val="009C0879"/>
    <w:rsid w:val="009C09FB"/>
    <w:rsid w:val="009C0A87"/>
    <w:rsid w:val="009C0BC1"/>
    <w:rsid w:val="009C0C1A"/>
    <w:rsid w:val="009C0CA3"/>
    <w:rsid w:val="009C0DF0"/>
    <w:rsid w:val="009C109C"/>
    <w:rsid w:val="009C11AA"/>
    <w:rsid w:val="009C122A"/>
    <w:rsid w:val="009C1542"/>
    <w:rsid w:val="009C15B4"/>
    <w:rsid w:val="009C17BD"/>
    <w:rsid w:val="009C17C5"/>
    <w:rsid w:val="009C19A2"/>
    <w:rsid w:val="009C19DC"/>
    <w:rsid w:val="009C1ABC"/>
    <w:rsid w:val="009C1C17"/>
    <w:rsid w:val="009C1CDA"/>
    <w:rsid w:val="009C1E79"/>
    <w:rsid w:val="009C2253"/>
    <w:rsid w:val="009C2452"/>
    <w:rsid w:val="009C24CF"/>
    <w:rsid w:val="009C2726"/>
    <w:rsid w:val="009C27E0"/>
    <w:rsid w:val="009C28DC"/>
    <w:rsid w:val="009C29AC"/>
    <w:rsid w:val="009C29EC"/>
    <w:rsid w:val="009C29F7"/>
    <w:rsid w:val="009C2C8D"/>
    <w:rsid w:val="009C2D85"/>
    <w:rsid w:val="009C30AF"/>
    <w:rsid w:val="009C3281"/>
    <w:rsid w:val="009C3381"/>
    <w:rsid w:val="009C372C"/>
    <w:rsid w:val="009C39D0"/>
    <w:rsid w:val="009C3A69"/>
    <w:rsid w:val="009C3EA3"/>
    <w:rsid w:val="009C3F80"/>
    <w:rsid w:val="009C401D"/>
    <w:rsid w:val="009C42C4"/>
    <w:rsid w:val="009C4422"/>
    <w:rsid w:val="009C47A1"/>
    <w:rsid w:val="009C4951"/>
    <w:rsid w:val="009C49AE"/>
    <w:rsid w:val="009C4B72"/>
    <w:rsid w:val="009C4CB3"/>
    <w:rsid w:val="009C50DA"/>
    <w:rsid w:val="009C5289"/>
    <w:rsid w:val="009C536C"/>
    <w:rsid w:val="009C5469"/>
    <w:rsid w:val="009C578D"/>
    <w:rsid w:val="009C5B72"/>
    <w:rsid w:val="009C5C16"/>
    <w:rsid w:val="009C5D7C"/>
    <w:rsid w:val="009C5DDB"/>
    <w:rsid w:val="009C5E6C"/>
    <w:rsid w:val="009C5FAD"/>
    <w:rsid w:val="009C5FF2"/>
    <w:rsid w:val="009C61DC"/>
    <w:rsid w:val="009C6584"/>
    <w:rsid w:val="009C6641"/>
    <w:rsid w:val="009C67DE"/>
    <w:rsid w:val="009C6806"/>
    <w:rsid w:val="009C68F6"/>
    <w:rsid w:val="009C68FB"/>
    <w:rsid w:val="009C6902"/>
    <w:rsid w:val="009C6A13"/>
    <w:rsid w:val="009C6A6B"/>
    <w:rsid w:val="009C6ADC"/>
    <w:rsid w:val="009C6B0A"/>
    <w:rsid w:val="009C6BF1"/>
    <w:rsid w:val="009C6CC6"/>
    <w:rsid w:val="009C6D8C"/>
    <w:rsid w:val="009C6F78"/>
    <w:rsid w:val="009C714C"/>
    <w:rsid w:val="009C715D"/>
    <w:rsid w:val="009C71C3"/>
    <w:rsid w:val="009C723B"/>
    <w:rsid w:val="009C7347"/>
    <w:rsid w:val="009C7440"/>
    <w:rsid w:val="009C7460"/>
    <w:rsid w:val="009C7668"/>
    <w:rsid w:val="009C7964"/>
    <w:rsid w:val="009C7A35"/>
    <w:rsid w:val="009C7A5C"/>
    <w:rsid w:val="009C7D0F"/>
    <w:rsid w:val="009C7DC0"/>
    <w:rsid w:val="009C7DF0"/>
    <w:rsid w:val="009C7E31"/>
    <w:rsid w:val="009C7E62"/>
    <w:rsid w:val="009C7F34"/>
    <w:rsid w:val="009D00E5"/>
    <w:rsid w:val="009D0274"/>
    <w:rsid w:val="009D061D"/>
    <w:rsid w:val="009D07D2"/>
    <w:rsid w:val="009D07E5"/>
    <w:rsid w:val="009D090E"/>
    <w:rsid w:val="009D0911"/>
    <w:rsid w:val="009D0AD1"/>
    <w:rsid w:val="009D0FCC"/>
    <w:rsid w:val="009D11AA"/>
    <w:rsid w:val="009D1214"/>
    <w:rsid w:val="009D128E"/>
    <w:rsid w:val="009D138C"/>
    <w:rsid w:val="009D14A7"/>
    <w:rsid w:val="009D1587"/>
    <w:rsid w:val="009D1879"/>
    <w:rsid w:val="009D18DE"/>
    <w:rsid w:val="009D1946"/>
    <w:rsid w:val="009D1B7B"/>
    <w:rsid w:val="009D1B9F"/>
    <w:rsid w:val="009D1BFD"/>
    <w:rsid w:val="009D2060"/>
    <w:rsid w:val="009D2095"/>
    <w:rsid w:val="009D2384"/>
    <w:rsid w:val="009D2466"/>
    <w:rsid w:val="009D2628"/>
    <w:rsid w:val="009D2645"/>
    <w:rsid w:val="009D2852"/>
    <w:rsid w:val="009D2B59"/>
    <w:rsid w:val="009D2C74"/>
    <w:rsid w:val="009D2D02"/>
    <w:rsid w:val="009D2D93"/>
    <w:rsid w:val="009D30A3"/>
    <w:rsid w:val="009D35D5"/>
    <w:rsid w:val="009D3679"/>
    <w:rsid w:val="009D397E"/>
    <w:rsid w:val="009D3A12"/>
    <w:rsid w:val="009D3B7C"/>
    <w:rsid w:val="009D3C35"/>
    <w:rsid w:val="009D3DE7"/>
    <w:rsid w:val="009D3F82"/>
    <w:rsid w:val="009D3FC7"/>
    <w:rsid w:val="009D4553"/>
    <w:rsid w:val="009D46FF"/>
    <w:rsid w:val="009D48B9"/>
    <w:rsid w:val="009D4ACC"/>
    <w:rsid w:val="009D509C"/>
    <w:rsid w:val="009D525E"/>
    <w:rsid w:val="009D5271"/>
    <w:rsid w:val="009D54D4"/>
    <w:rsid w:val="009D55C2"/>
    <w:rsid w:val="009D58AE"/>
    <w:rsid w:val="009D5ADF"/>
    <w:rsid w:val="009D5B5C"/>
    <w:rsid w:val="009D5E60"/>
    <w:rsid w:val="009D5E9B"/>
    <w:rsid w:val="009D60FD"/>
    <w:rsid w:val="009D61BD"/>
    <w:rsid w:val="009D63C0"/>
    <w:rsid w:val="009D670A"/>
    <w:rsid w:val="009D6C0F"/>
    <w:rsid w:val="009D6CD1"/>
    <w:rsid w:val="009D6D0E"/>
    <w:rsid w:val="009D7354"/>
    <w:rsid w:val="009D744A"/>
    <w:rsid w:val="009D74FA"/>
    <w:rsid w:val="009D7575"/>
    <w:rsid w:val="009D7A70"/>
    <w:rsid w:val="009D7FF1"/>
    <w:rsid w:val="009E0264"/>
    <w:rsid w:val="009E0354"/>
    <w:rsid w:val="009E039B"/>
    <w:rsid w:val="009E041B"/>
    <w:rsid w:val="009E0432"/>
    <w:rsid w:val="009E0606"/>
    <w:rsid w:val="009E0641"/>
    <w:rsid w:val="009E0FFF"/>
    <w:rsid w:val="009E1413"/>
    <w:rsid w:val="009E142B"/>
    <w:rsid w:val="009E17E0"/>
    <w:rsid w:val="009E18F1"/>
    <w:rsid w:val="009E1D51"/>
    <w:rsid w:val="009E1F0E"/>
    <w:rsid w:val="009E2303"/>
    <w:rsid w:val="009E2612"/>
    <w:rsid w:val="009E282E"/>
    <w:rsid w:val="009E2889"/>
    <w:rsid w:val="009E2A3A"/>
    <w:rsid w:val="009E2B25"/>
    <w:rsid w:val="009E2B8E"/>
    <w:rsid w:val="009E2BB0"/>
    <w:rsid w:val="009E2DFA"/>
    <w:rsid w:val="009E2FCE"/>
    <w:rsid w:val="009E302E"/>
    <w:rsid w:val="009E3064"/>
    <w:rsid w:val="009E3067"/>
    <w:rsid w:val="009E3172"/>
    <w:rsid w:val="009E340E"/>
    <w:rsid w:val="009E3557"/>
    <w:rsid w:val="009E372F"/>
    <w:rsid w:val="009E386D"/>
    <w:rsid w:val="009E3958"/>
    <w:rsid w:val="009E3A27"/>
    <w:rsid w:val="009E3C74"/>
    <w:rsid w:val="009E3F20"/>
    <w:rsid w:val="009E3F50"/>
    <w:rsid w:val="009E40D9"/>
    <w:rsid w:val="009E413A"/>
    <w:rsid w:val="009E41E1"/>
    <w:rsid w:val="009E4272"/>
    <w:rsid w:val="009E454E"/>
    <w:rsid w:val="009E45B7"/>
    <w:rsid w:val="009E4652"/>
    <w:rsid w:val="009E469C"/>
    <w:rsid w:val="009E4A7F"/>
    <w:rsid w:val="009E4C26"/>
    <w:rsid w:val="009E4FDA"/>
    <w:rsid w:val="009E502B"/>
    <w:rsid w:val="009E57EA"/>
    <w:rsid w:val="009E59E9"/>
    <w:rsid w:val="009E5A8E"/>
    <w:rsid w:val="009E5C11"/>
    <w:rsid w:val="009E5D17"/>
    <w:rsid w:val="009E5D78"/>
    <w:rsid w:val="009E5ECF"/>
    <w:rsid w:val="009E600D"/>
    <w:rsid w:val="009E6493"/>
    <w:rsid w:val="009E65CB"/>
    <w:rsid w:val="009E66F3"/>
    <w:rsid w:val="009E695A"/>
    <w:rsid w:val="009E6971"/>
    <w:rsid w:val="009E6AFB"/>
    <w:rsid w:val="009E6BC5"/>
    <w:rsid w:val="009E7059"/>
    <w:rsid w:val="009E71D3"/>
    <w:rsid w:val="009E73F2"/>
    <w:rsid w:val="009E7639"/>
    <w:rsid w:val="009E7640"/>
    <w:rsid w:val="009E764C"/>
    <w:rsid w:val="009E784B"/>
    <w:rsid w:val="009E7AC3"/>
    <w:rsid w:val="009E7AFB"/>
    <w:rsid w:val="009E7DC5"/>
    <w:rsid w:val="009E7F0C"/>
    <w:rsid w:val="009E7FC1"/>
    <w:rsid w:val="009F039F"/>
    <w:rsid w:val="009F042F"/>
    <w:rsid w:val="009F0639"/>
    <w:rsid w:val="009F09C7"/>
    <w:rsid w:val="009F09DC"/>
    <w:rsid w:val="009F0A6F"/>
    <w:rsid w:val="009F0B07"/>
    <w:rsid w:val="009F0D5B"/>
    <w:rsid w:val="009F0F12"/>
    <w:rsid w:val="009F0F1F"/>
    <w:rsid w:val="009F0FE6"/>
    <w:rsid w:val="009F1158"/>
    <w:rsid w:val="009F12CF"/>
    <w:rsid w:val="009F134A"/>
    <w:rsid w:val="009F1355"/>
    <w:rsid w:val="009F1404"/>
    <w:rsid w:val="009F14D2"/>
    <w:rsid w:val="009F1566"/>
    <w:rsid w:val="009F1697"/>
    <w:rsid w:val="009F174E"/>
    <w:rsid w:val="009F1769"/>
    <w:rsid w:val="009F17ED"/>
    <w:rsid w:val="009F1A8D"/>
    <w:rsid w:val="009F1C42"/>
    <w:rsid w:val="009F1CCE"/>
    <w:rsid w:val="009F1D0D"/>
    <w:rsid w:val="009F20B5"/>
    <w:rsid w:val="009F22FD"/>
    <w:rsid w:val="009F23E6"/>
    <w:rsid w:val="009F2685"/>
    <w:rsid w:val="009F2788"/>
    <w:rsid w:val="009F2CFB"/>
    <w:rsid w:val="009F2F76"/>
    <w:rsid w:val="009F32E4"/>
    <w:rsid w:val="009F3925"/>
    <w:rsid w:val="009F3B72"/>
    <w:rsid w:val="009F3DD4"/>
    <w:rsid w:val="009F3EEF"/>
    <w:rsid w:val="009F41D7"/>
    <w:rsid w:val="009F43E0"/>
    <w:rsid w:val="009F4472"/>
    <w:rsid w:val="009F4545"/>
    <w:rsid w:val="009F4620"/>
    <w:rsid w:val="009F476D"/>
    <w:rsid w:val="009F4780"/>
    <w:rsid w:val="009F484F"/>
    <w:rsid w:val="009F487F"/>
    <w:rsid w:val="009F4887"/>
    <w:rsid w:val="009F4900"/>
    <w:rsid w:val="009F4950"/>
    <w:rsid w:val="009F4D54"/>
    <w:rsid w:val="009F4DA3"/>
    <w:rsid w:val="009F5119"/>
    <w:rsid w:val="009F51CB"/>
    <w:rsid w:val="009F5238"/>
    <w:rsid w:val="009F55BD"/>
    <w:rsid w:val="009F561D"/>
    <w:rsid w:val="009F5970"/>
    <w:rsid w:val="009F5AA8"/>
    <w:rsid w:val="009F5AD0"/>
    <w:rsid w:val="009F5B54"/>
    <w:rsid w:val="009F5ED3"/>
    <w:rsid w:val="009F5F71"/>
    <w:rsid w:val="009F620F"/>
    <w:rsid w:val="009F6276"/>
    <w:rsid w:val="009F66E3"/>
    <w:rsid w:val="009F694B"/>
    <w:rsid w:val="009F6BC7"/>
    <w:rsid w:val="009F6E0E"/>
    <w:rsid w:val="009F6E3D"/>
    <w:rsid w:val="009F71ED"/>
    <w:rsid w:val="009F7310"/>
    <w:rsid w:val="009F731F"/>
    <w:rsid w:val="009F7502"/>
    <w:rsid w:val="009F77DD"/>
    <w:rsid w:val="009F7E69"/>
    <w:rsid w:val="009F7FF7"/>
    <w:rsid w:val="00A00155"/>
    <w:rsid w:val="00A0018E"/>
    <w:rsid w:val="00A00244"/>
    <w:rsid w:val="00A0039A"/>
    <w:rsid w:val="00A0050A"/>
    <w:rsid w:val="00A005DD"/>
    <w:rsid w:val="00A00652"/>
    <w:rsid w:val="00A006D6"/>
    <w:rsid w:val="00A00B52"/>
    <w:rsid w:val="00A0105C"/>
    <w:rsid w:val="00A012FD"/>
    <w:rsid w:val="00A0151A"/>
    <w:rsid w:val="00A0165D"/>
    <w:rsid w:val="00A01C95"/>
    <w:rsid w:val="00A01E8A"/>
    <w:rsid w:val="00A01F13"/>
    <w:rsid w:val="00A01FA8"/>
    <w:rsid w:val="00A02012"/>
    <w:rsid w:val="00A020DF"/>
    <w:rsid w:val="00A0218A"/>
    <w:rsid w:val="00A022E5"/>
    <w:rsid w:val="00A024E0"/>
    <w:rsid w:val="00A02581"/>
    <w:rsid w:val="00A0266B"/>
    <w:rsid w:val="00A02845"/>
    <w:rsid w:val="00A02920"/>
    <w:rsid w:val="00A02AD5"/>
    <w:rsid w:val="00A02E20"/>
    <w:rsid w:val="00A02F44"/>
    <w:rsid w:val="00A02FC8"/>
    <w:rsid w:val="00A031B3"/>
    <w:rsid w:val="00A03262"/>
    <w:rsid w:val="00A032B9"/>
    <w:rsid w:val="00A032DE"/>
    <w:rsid w:val="00A03468"/>
    <w:rsid w:val="00A0362D"/>
    <w:rsid w:val="00A03816"/>
    <w:rsid w:val="00A03A7A"/>
    <w:rsid w:val="00A03AFD"/>
    <w:rsid w:val="00A03C47"/>
    <w:rsid w:val="00A03D1A"/>
    <w:rsid w:val="00A03D8C"/>
    <w:rsid w:val="00A03F20"/>
    <w:rsid w:val="00A03F57"/>
    <w:rsid w:val="00A04037"/>
    <w:rsid w:val="00A040FD"/>
    <w:rsid w:val="00A04134"/>
    <w:rsid w:val="00A041A0"/>
    <w:rsid w:val="00A04413"/>
    <w:rsid w:val="00A04422"/>
    <w:rsid w:val="00A044BA"/>
    <w:rsid w:val="00A04617"/>
    <w:rsid w:val="00A04854"/>
    <w:rsid w:val="00A04872"/>
    <w:rsid w:val="00A04950"/>
    <w:rsid w:val="00A04976"/>
    <w:rsid w:val="00A04A66"/>
    <w:rsid w:val="00A04B9E"/>
    <w:rsid w:val="00A04D4E"/>
    <w:rsid w:val="00A04D65"/>
    <w:rsid w:val="00A05138"/>
    <w:rsid w:val="00A055AE"/>
    <w:rsid w:val="00A055F6"/>
    <w:rsid w:val="00A059A7"/>
    <w:rsid w:val="00A05BA7"/>
    <w:rsid w:val="00A05BCA"/>
    <w:rsid w:val="00A05E13"/>
    <w:rsid w:val="00A05F9D"/>
    <w:rsid w:val="00A06000"/>
    <w:rsid w:val="00A0604F"/>
    <w:rsid w:val="00A060A6"/>
    <w:rsid w:val="00A06370"/>
    <w:rsid w:val="00A063C9"/>
    <w:rsid w:val="00A063D9"/>
    <w:rsid w:val="00A0646C"/>
    <w:rsid w:val="00A064CD"/>
    <w:rsid w:val="00A06512"/>
    <w:rsid w:val="00A066C7"/>
    <w:rsid w:val="00A0673A"/>
    <w:rsid w:val="00A0677F"/>
    <w:rsid w:val="00A069FC"/>
    <w:rsid w:val="00A06E1D"/>
    <w:rsid w:val="00A06E24"/>
    <w:rsid w:val="00A072D5"/>
    <w:rsid w:val="00A0765A"/>
    <w:rsid w:val="00A0782E"/>
    <w:rsid w:val="00A079C9"/>
    <w:rsid w:val="00A07D40"/>
    <w:rsid w:val="00A07F76"/>
    <w:rsid w:val="00A10332"/>
    <w:rsid w:val="00A10828"/>
    <w:rsid w:val="00A10A9A"/>
    <w:rsid w:val="00A10BF9"/>
    <w:rsid w:val="00A11288"/>
    <w:rsid w:val="00A112D1"/>
    <w:rsid w:val="00A11686"/>
    <w:rsid w:val="00A119AC"/>
    <w:rsid w:val="00A11C29"/>
    <w:rsid w:val="00A11CA4"/>
    <w:rsid w:val="00A11E3D"/>
    <w:rsid w:val="00A11EAC"/>
    <w:rsid w:val="00A11FC2"/>
    <w:rsid w:val="00A121CB"/>
    <w:rsid w:val="00A12231"/>
    <w:rsid w:val="00A122F0"/>
    <w:rsid w:val="00A12303"/>
    <w:rsid w:val="00A127FB"/>
    <w:rsid w:val="00A12F10"/>
    <w:rsid w:val="00A1317D"/>
    <w:rsid w:val="00A13367"/>
    <w:rsid w:val="00A13447"/>
    <w:rsid w:val="00A135A8"/>
    <w:rsid w:val="00A13694"/>
    <w:rsid w:val="00A13856"/>
    <w:rsid w:val="00A138E7"/>
    <w:rsid w:val="00A1399D"/>
    <w:rsid w:val="00A13AC8"/>
    <w:rsid w:val="00A13C99"/>
    <w:rsid w:val="00A13D42"/>
    <w:rsid w:val="00A13DF3"/>
    <w:rsid w:val="00A14281"/>
    <w:rsid w:val="00A143BC"/>
    <w:rsid w:val="00A145F4"/>
    <w:rsid w:val="00A146A4"/>
    <w:rsid w:val="00A14869"/>
    <w:rsid w:val="00A14A75"/>
    <w:rsid w:val="00A14B5B"/>
    <w:rsid w:val="00A14F22"/>
    <w:rsid w:val="00A150CD"/>
    <w:rsid w:val="00A150D5"/>
    <w:rsid w:val="00A150DC"/>
    <w:rsid w:val="00A1545F"/>
    <w:rsid w:val="00A155EE"/>
    <w:rsid w:val="00A1564C"/>
    <w:rsid w:val="00A1572B"/>
    <w:rsid w:val="00A157B9"/>
    <w:rsid w:val="00A159D5"/>
    <w:rsid w:val="00A15B32"/>
    <w:rsid w:val="00A15CC5"/>
    <w:rsid w:val="00A15D11"/>
    <w:rsid w:val="00A1618B"/>
    <w:rsid w:val="00A163B5"/>
    <w:rsid w:val="00A16432"/>
    <w:rsid w:val="00A16AB8"/>
    <w:rsid w:val="00A16F37"/>
    <w:rsid w:val="00A16F8F"/>
    <w:rsid w:val="00A16FD2"/>
    <w:rsid w:val="00A1731C"/>
    <w:rsid w:val="00A17449"/>
    <w:rsid w:val="00A1759C"/>
    <w:rsid w:val="00A17798"/>
    <w:rsid w:val="00A17996"/>
    <w:rsid w:val="00A17B36"/>
    <w:rsid w:val="00A17D0C"/>
    <w:rsid w:val="00A17DEC"/>
    <w:rsid w:val="00A2003F"/>
    <w:rsid w:val="00A20057"/>
    <w:rsid w:val="00A20158"/>
    <w:rsid w:val="00A201E3"/>
    <w:rsid w:val="00A201EF"/>
    <w:rsid w:val="00A2035D"/>
    <w:rsid w:val="00A20596"/>
    <w:rsid w:val="00A206E6"/>
    <w:rsid w:val="00A20876"/>
    <w:rsid w:val="00A208CA"/>
    <w:rsid w:val="00A209D1"/>
    <w:rsid w:val="00A20B35"/>
    <w:rsid w:val="00A20B89"/>
    <w:rsid w:val="00A20BFA"/>
    <w:rsid w:val="00A20CB6"/>
    <w:rsid w:val="00A20CCC"/>
    <w:rsid w:val="00A20CF4"/>
    <w:rsid w:val="00A20F07"/>
    <w:rsid w:val="00A20F2D"/>
    <w:rsid w:val="00A21065"/>
    <w:rsid w:val="00A2133A"/>
    <w:rsid w:val="00A21518"/>
    <w:rsid w:val="00A216A3"/>
    <w:rsid w:val="00A21A12"/>
    <w:rsid w:val="00A21C7C"/>
    <w:rsid w:val="00A21E22"/>
    <w:rsid w:val="00A21E7A"/>
    <w:rsid w:val="00A21F61"/>
    <w:rsid w:val="00A22130"/>
    <w:rsid w:val="00A221DF"/>
    <w:rsid w:val="00A22384"/>
    <w:rsid w:val="00A22417"/>
    <w:rsid w:val="00A224C6"/>
    <w:rsid w:val="00A224FA"/>
    <w:rsid w:val="00A2251D"/>
    <w:rsid w:val="00A22520"/>
    <w:rsid w:val="00A228FC"/>
    <w:rsid w:val="00A22A93"/>
    <w:rsid w:val="00A22AD8"/>
    <w:rsid w:val="00A22ADE"/>
    <w:rsid w:val="00A22C38"/>
    <w:rsid w:val="00A22C6C"/>
    <w:rsid w:val="00A22E32"/>
    <w:rsid w:val="00A22EBA"/>
    <w:rsid w:val="00A231BD"/>
    <w:rsid w:val="00A236B7"/>
    <w:rsid w:val="00A2371B"/>
    <w:rsid w:val="00A23A54"/>
    <w:rsid w:val="00A23AA0"/>
    <w:rsid w:val="00A23DA2"/>
    <w:rsid w:val="00A23F3E"/>
    <w:rsid w:val="00A23FB6"/>
    <w:rsid w:val="00A23FB7"/>
    <w:rsid w:val="00A24227"/>
    <w:rsid w:val="00A242F8"/>
    <w:rsid w:val="00A24390"/>
    <w:rsid w:val="00A243F5"/>
    <w:rsid w:val="00A2450C"/>
    <w:rsid w:val="00A246B6"/>
    <w:rsid w:val="00A2472B"/>
    <w:rsid w:val="00A247AE"/>
    <w:rsid w:val="00A248BF"/>
    <w:rsid w:val="00A248E0"/>
    <w:rsid w:val="00A24B9C"/>
    <w:rsid w:val="00A24EAC"/>
    <w:rsid w:val="00A250AB"/>
    <w:rsid w:val="00A25165"/>
    <w:rsid w:val="00A254B9"/>
    <w:rsid w:val="00A25589"/>
    <w:rsid w:val="00A25A2D"/>
    <w:rsid w:val="00A25C00"/>
    <w:rsid w:val="00A25C75"/>
    <w:rsid w:val="00A25F51"/>
    <w:rsid w:val="00A26044"/>
    <w:rsid w:val="00A262D8"/>
    <w:rsid w:val="00A265E7"/>
    <w:rsid w:val="00A266D4"/>
    <w:rsid w:val="00A2699D"/>
    <w:rsid w:val="00A26A4F"/>
    <w:rsid w:val="00A26A55"/>
    <w:rsid w:val="00A26ADF"/>
    <w:rsid w:val="00A26B29"/>
    <w:rsid w:val="00A26B6A"/>
    <w:rsid w:val="00A26E13"/>
    <w:rsid w:val="00A26E3C"/>
    <w:rsid w:val="00A26F89"/>
    <w:rsid w:val="00A27407"/>
    <w:rsid w:val="00A27414"/>
    <w:rsid w:val="00A2751A"/>
    <w:rsid w:val="00A27700"/>
    <w:rsid w:val="00A27CDA"/>
    <w:rsid w:val="00A27D43"/>
    <w:rsid w:val="00A27DD3"/>
    <w:rsid w:val="00A27DE8"/>
    <w:rsid w:val="00A27E7E"/>
    <w:rsid w:val="00A27E96"/>
    <w:rsid w:val="00A27EDA"/>
    <w:rsid w:val="00A3010A"/>
    <w:rsid w:val="00A302A1"/>
    <w:rsid w:val="00A305B3"/>
    <w:rsid w:val="00A30901"/>
    <w:rsid w:val="00A30B6C"/>
    <w:rsid w:val="00A30BC5"/>
    <w:rsid w:val="00A30BE1"/>
    <w:rsid w:val="00A30C1D"/>
    <w:rsid w:val="00A30D2B"/>
    <w:rsid w:val="00A31279"/>
    <w:rsid w:val="00A3150C"/>
    <w:rsid w:val="00A316D1"/>
    <w:rsid w:val="00A316E0"/>
    <w:rsid w:val="00A31B18"/>
    <w:rsid w:val="00A31C1F"/>
    <w:rsid w:val="00A31CFB"/>
    <w:rsid w:val="00A31F61"/>
    <w:rsid w:val="00A32015"/>
    <w:rsid w:val="00A320CD"/>
    <w:rsid w:val="00A3210B"/>
    <w:rsid w:val="00A32377"/>
    <w:rsid w:val="00A32469"/>
    <w:rsid w:val="00A324FE"/>
    <w:rsid w:val="00A326B2"/>
    <w:rsid w:val="00A32B7D"/>
    <w:rsid w:val="00A32ED8"/>
    <w:rsid w:val="00A32F7B"/>
    <w:rsid w:val="00A3338F"/>
    <w:rsid w:val="00A338E7"/>
    <w:rsid w:val="00A33B82"/>
    <w:rsid w:val="00A33BA7"/>
    <w:rsid w:val="00A33BC4"/>
    <w:rsid w:val="00A33D91"/>
    <w:rsid w:val="00A33E48"/>
    <w:rsid w:val="00A33FC4"/>
    <w:rsid w:val="00A3401C"/>
    <w:rsid w:val="00A34045"/>
    <w:rsid w:val="00A340B2"/>
    <w:rsid w:val="00A34343"/>
    <w:rsid w:val="00A34410"/>
    <w:rsid w:val="00A345AB"/>
    <w:rsid w:val="00A345F6"/>
    <w:rsid w:val="00A346F4"/>
    <w:rsid w:val="00A348FF"/>
    <w:rsid w:val="00A34AA2"/>
    <w:rsid w:val="00A34ABC"/>
    <w:rsid w:val="00A34B47"/>
    <w:rsid w:val="00A34B6F"/>
    <w:rsid w:val="00A34BFB"/>
    <w:rsid w:val="00A34C90"/>
    <w:rsid w:val="00A34FEE"/>
    <w:rsid w:val="00A35226"/>
    <w:rsid w:val="00A35987"/>
    <w:rsid w:val="00A35B7E"/>
    <w:rsid w:val="00A35CD3"/>
    <w:rsid w:val="00A35D04"/>
    <w:rsid w:val="00A36024"/>
    <w:rsid w:val="00A36227"/>
    <w:rsid w:val="00A362E8"/>
    <w:rsid w:val="00A3636B"/>
    <w:rsid w:val="00A363C0"/>
    <w:rsid w:val="00A36481"/>
    <w:rsid w:val="00A36619"/>
    <w:rsid w:val="00A367DD"/>
    <w:rsid w:val="00A36806"/>
    <w:rsid w:val="00A36822"/>
    <w:rsid w:val="00A36970"/>
    <w:rsid w:val="00A36B41"/>
    <w:rsid w:val="00A36C70"/>
    <w:rsid w:val="00A36F9A"/>
    <w:rsid w:val="00A372C2"/>
    <w:rsid w:val="00A37352"/>
    <w:rsid w:val="00A37513"/>
    <w:rsid w:val="00A375C1"/>
    <w:rsid w:val="00A37664"/>
    <w:rsid w:val="00A37CD9"/>
    <w:rsid w:val="00A37CFF"/>
    <w:rsid w:val="00A37D20"/>
    <w:rsid w:val="00A37ED3"/>
    <w:rsid w:val="00A400E3"/>
    <w:rsid w:val="00A401E9"/>
    <w:rsid w:val="00A403AA"/>
    <w:rsid w:val="00A40408"/>
    <w:rsid w:val="00A405B6"/>
    <w:rsid w:val="00A40638"/>
    <w:rsid w:val="00A40AB1"/>
    <w:rsid w:val="00A40D46"/>
    <w:rsid w:val="00A40F36"/>
    <w:rsid w:val="00A4107A"/>
    <w:rsid w:val="00A410A1"/>
    <w:rsid w:val="00A41198"/>
    <w:rsid w:val="00A4119E"/>
    <w:rsid w:val="00A4128C"/>
    <w:rsid w:val="00A413A2"/>
    <w:rsid w:val="00A414AA"/>
    <w:rsid w:val="00A41528"/>
    <w:rsid w:val="00A416E1"/>
    <w:rsid w:val="00A4174E"/>
    <w:rsid w:val="00A41AB6"/>
    <w:rsid w:val="00A41ADB"/>
    <w:rsid w:val="00A41C14"/>
    <w:rsid w:val="00A41C84"/>
    <w:rsid w:val="00A41CF6"/>
    <w:rsid w:val="00A41F10"/>
    <w:rsid w:val="00A4230E"/>
    <w:rsid w:val="00A4236D"/>
    <w:rsid w:val="00A4240B"/>
    <w:rsid w:val="00A424BF"/>
    <w:rsid w:val="00A425EB"/>
    <w:rsid w:val="00A42CEA"/>
    <w:rsid w:val="00A42DC3"/>
    <w:rsid w:val="00A42E69"/>
    <w:rsid w:val="00A42EDC"/>
    <w:rsid w:val="00A42F0A"/>
    <w:rsid w:val="00A43015"/>
    <w:rsid w:val="00A43039"/>
    <w:rsid w:val="00A43051"/>
    <w:rsid w:val="00A43098"/>
    <w:rsid w:val="00A430D6"/>
    <w:rsid w:val="00A430E2"/>
    <w:rsid w:val="00A434CF"/>
    <w:rsid w:val="00A43A76"/>
    <w:rsid w:val="00A43B9F"/>
    <w:rsid w:val="00A447C1"/>
    <w:rsid w:val="00A448F2"/>
    <w:rsid w:val="00A44A52"/>
    <w:rsid w:val="00A44A73"/>
    <w:rsid w:val="00A44A77"/>
    <w:rsid w:val="00A44A82"/>
    <w:rsid w:val="00A44D27"/>
    <w:rsid w:val="00A44E02"/>
    <w:rsid w:val="00A45060"/>
    <w:rsid w:val="00A4507C"/>
    <w:rsid w:val="00A4509E"/>
    <w:rsid w:val="00A454DC"/>
    <w:rsid w:val="00A45907"/>
    <w:rsid w:val="00A45947"/>
    <w:rsid w:val="00A45E1A"/>
    <w:rsid w:val="00A45F29"/>
    <w:rsid w:val="00A45F64"/>
    <w:rsid w:val="00A45FE2"/>
    <w:rsid w:val="00A46153"/>
    <w:rsid w:val="00A46270"/>
    <w:rsid w:val="00A4634F"/>
    <w:rsid w:val="00A463C1"/>
    <w:rsid w:val="00A463C3"/>
    <w:rsid w:val="00A465E8"/>
    <w:rsid w:val="00A46929"/>
    <w:rsid w:val="00A46D0E"/>
    <w:rsid w:val="00A46ED4"/>
    <w:rsid w:val="00A46F00"/>
    <w:rsid w:val="00A46F98"/>
    <w:rsid w:val="00A4704F"/>
    <w:rsid w:val="00A473B4"/>
    <w:rsid w:val="00A478E7"/>
    <w:rsid w:val="00A478E9"/>
    <w:rsid w:val="00A47927"/>
    <w:rsid w:val="00A47C8C"/>
    <w:rsid w:val="00A47CFF"/>
    <w:rsid w:val="00A47FA2"/>
    <w:rsid w:val="00A50249"/>
    <w:rsid w:val="00A50385"/>
    <w:rsid w:val="00A503E5"/>
    <w:rsid w:val="00A50497"/>
    <w:rsid w:val="00A50528"/>
    <w:rsid w:val="00A5060E"/>
    <w:rsid w:val="00A50659"/>
    <w:rsid w:val="00A506D2"/>
    <w:rsid w:val="00A507DE"/>
    <w:rsid w:val="00A50817"/>
    <w:rsid w:val="00A50BE2"/>
    <w:rsid w:val="00A50C3C"/>
    <w:rsid w:val="00A50C5C"/>
    <w:rsid w:val="00A50E2E"/>
    <w:rsid w:val="00A50E66"/>
    <w:rsid w:val="00A511F4"/>
    <w:rsid w:val="00A51321"/>
    <w:rsid w:val="00A51363"/>
    <w:rsid w:val="00A513DC"/>
    <w:rsid w:val="00A5144B"/>
    <w:rsid w:val="00A51624"/>
    <w:rsid w:val="00A51665"/>
    <w:rsid w:val="00A5166B"/>
    <w:rsid w:val="00A516AB"/>
    <w:rsid w:val="00A51BC3"/>
    <w:rsid w:val="00A51C1C"/>
    <w:rsid w:val="00A51F50"/>
    <w:rsid w:val="00A520DD"/>
    <w:rsid w:val="00A52248"/>
    <w:rsid w:val="00A52336"/>
    <w:rsid w:val="00A525D1"/>
    <w:rsid w:val="00A526F8"/>
    <w:rsid w:val="00A52755"/>
    <w:rsid w:val="00A52781"/>
    <w:rsid w:val="00A52799"/>
    <w:rsid w:val="00A52AD5"/>
    <w:rsid w:val="00A52B54"/>
    <w:rsid w:val="00A533E4"/>
    <w:rsid w:val="00A533FE"/>
    <w:rsid w:val="00A534FA"/>
    <w:rsid w:val="00A53782"/>
    <w:rsid w:val="00A537E6"/>
    <w:rsid w:val="00A538CF"/>
    <w:rsid w:val="00A53B71"/>
    <w:rsid w:val="00A53C3F"/>
    <w:rsid w:val="00A53D94"/>
    <w:rsid w:val="00A53DAA"/>
    <w:rsid w:val="00A53E31"/>
    <w:rsid w:val="00A53EE5"/>
    <w:rsid w:val="00A53F93"/>
    <w:rsid w:val="00A544B2"/>
    <w:rsid w:val="00A54618"/>
    <w:rsid w:val="00A54655"/>
    <w:rsid w:val="00A54827"/>
    <w:rsid w:val="00A54B1A"/>
    <w:rsid w:val="00A54B84"/>
    <w:rsid w:val="00A54CCD"/>
    <w:rsid w:val="00A54D4C"/>
    <w:rsid w:val="00A54DB8"/>
    <w:rsid w:val="00A54DD8"/>
    <w:rsid w:val="00A54DFA"/>
    <w:rsid w:val="00A55200"/>
    <w:rsid w:val="00A55348"/>
    <w:rsid w:val="00A554FC"/>
    <w:rsid w:val="00A555AC"/>
    <w:rsid w:val="00A555FD"/>
    <w:rsid w:val="00A557B6"/>
    <w:rsid w:val="00A557C3"/>
    <w:rsid w:val="00A55881"/>
    <w:rsid w:val="00A55901"/>
    <w:rsid w:val="00A5596A"/>
    <w:rsid w:val="00A55A43"/>
    <w:rsid w:val="00A55A9C"/>
    <w:rsid w:val="00A55CC5"/>
    <w:rsid w:val="00A56168"/>
    <w:rsid w:val="00A5617B"/>
    <w:rsid w:val="00A561D7"/>
    <w:rsid w:val="00A562A8"/>
    <w:rsid w:val="00A562C7"/>
    <w:rsid w:val="00A562CB"/>
    <w:rsid w:val="00A565C5"/>
    <w:rsid w:val="00A5666A"/>
    <w:rsid w:val="00A566BC"/>
    <w:rsid w:val="00A5672C"/>
    <w:rsid w:val="00A567E7"/>
    <w:rsid w:val="00A568E0"/>
    <w:rsid w:val="00A56E83"/>
    <w:rsid w:val="00A56F77"/>
    <w:rsid w:val="00A56FBE"/>
    <w:rsid w:val="00A56FD5"/>
    <w:rsid w:val="00A5703F"/>
    <w:rsid w:val="00A57253"/>
    <w:rsid w:val="00A5754A"/>
    <w:rsid w:val="00A5757D"/>
    <w:rsid w:val="00A578DF"/>
    <w:rsid w:val="00A579C8"/>
    <w:rsid w:val="00A57D9D"/>
    <w:rsid w:val="00A57DCA"/>
    <w:rsid w:val="00A6014F"/>
    <w:rsid w:val="00A6042E"/>
    <w:rsid w:val="00A604C5"/>
    <w:rsid w:val="00A605E2"/>
    <w:rsid w:val="00A6067F"/>
    <w:rsid w:val="00A606F4"/>
    <w:rsid w:val="00A60935"/>
    <w:rsid w:val="00A609F3"/>
    <w:rsid w:val="00A60CEC"/>
    <w:rsid w:val="00A61138"/>
    <w:rsid w:val="00A614BE"/>
    <w:rsid w:val="00A61CCD"/>
    <w:rsid w:val="00A61F62"/>
    <w:rsid w:val="00A61FDD"/>
    <w:rsid w:val="00A62053"/>
    <w:rsid w:val="00A620C4"/>
    <w:rsid w:val="00A620FD"/>
    <w:rsid w:val="00A62295"/>
    <w:rsid w:val="00A62340"/>
    <w:rsid w:val="00A62560"/>
    <w:rsid w:val="00A629AC"/>
    <w:rsid w:val="00A62C12"/>
    <w:rsid w:val="00A62C4F"/>
    <w:rsid w:val="00A62D50"/>
    <w:rsid w:val="00A62D94"/>
    <w:rsid w:val="00A62E43"/>
    <w:rsid w:val="00A62F54"/>
    <w:rsid w:val="00A63378"/>
    <w:rsid w:val="00A63407"/>
    <w:rsid w:val="00A63436"/>
    <w:rsid w:val="00A63527"/>
    <w:rsid w:val="00A63706"/>
    <w:rsid w:val="00A638D5"/>
    <w:rsid w:val="00A63B26"/>
    <w:rsid w:val="00A63C3D"/>
    <w:rsid w:val="00A63D3E"/>
    <w:rsid w:val="00A63D5D"/>
    <w:rsid w:val="00A63F9C"/>
    <w:rsid w:val="00A64329"/>
    <w:rsid w:val="00A645EA"/>
    <w:rsid w:val="00A64601"/>
    <w:rsid w:val="00A6487A"/>
    <w:rsid w:val="00A648D7"/>
    <w:rsid w:val="00A64ACA"/>
    <w:rsid w:val="00A650E7"/>
    <w:rsid w:val="00A651DD"/>
    <w:rsid w:val="00A653C2"/>
    <w:rsid w:val="00A655FD"/>
    <w:rsid w:val="00A6588D"/>
    <w:rsid w:val="00A6594B"/>
    <w:rsid w:val="00A65999"/>
    <w:rsid w:val="00A65C6F"/>
    <w:rsid w:val="00A65CE9"/>
    <w:rsid w:val="00A65E4F"/>
    <w:rsid w:val="00A66014"/>
    <w:rsid w:val="00A661C0"/>
    <w:rsid w:val="00A663C9"/>
    <w:rsid w:val="00A663F8"/>
    <w:rsid w:val="00A6681F"/>
    <w:rsid w:val="00A668EB"/>
    <w:rsid w:val="00A66950"/>
    <w:rsid w:val="00A6697A"/>
    <w:rsid w:val="00A669B7"/>
    <w:rsid w:val="00A66A9C"/>
    <w:rsid w:val="00A66D64"/>
    <w:rsid w:val="00A670BE"/>
    <w:rsid w:val="00A670E8"/>
    <w:rsid w:val="00A67282"/>
    <w:rsid w:val="00A67347"/>
    <w:rsid w:val="00A6737E"/>
    <w:rsid w:val="00A67622"/>
    <w:rsid w:val="00A6768C"/>
    <w:rsid w:val="00A676C6"/>
    <w:rsid w:val="00A67946"/>
    <w:rsid w:val="00A67953"/>
    <w:rsid w:val="00A6799B"/>
    <w:rsid w:val="00A67A88"/>
    <w:rsid w:val="00A67CAC"/>
    <w:rsid w:val="00A67D61"/>
    <w:rsid w:val="00A7047C"/>
    <w:rsid w:val="00A709A9"/>
    <w:rsid w:val="00A70BE8"/>
    <w:rsid w:val="00A70CF4"/>
    <w:rsid w:val="00A70DC9"/>
    <w:rsid w:val="00A70DD1"/>
    <w:rsid w:val="00A71126"/>
    <w:rsid w:val="00A7156B"/>
    <w:rsid w:val="00A71A5A"/>
    <w:rsid w:val="00A71AAD"/>
    <w:rsid w:val="00A71B3B"/>
    <w:rsid w:val="00A71B4B"/>
    <w:rsid w:val="00A71D37"/>
    <w:rsid w:val="00A71D6A"/>
    <w:rsid w:val="00A71DDA"/>
    <w:rsid w:val="00A71F74"/>
    <w:rsid w:val="00A71FA5"/>
    <w:rsid w:val="00A7200E"/>
    <w:rsid w:val="00A72061"/>
    <w:rsid w:val="00A723CA"/>
    <w:rsid w:val="00A725F7"/>
    <w:rsid w:val="00A72D53"/>
    <w:rsid w:val="00A72F01"/>
    <w:rsid w:val="00A72FB3"/>
    <w:rsid w:val="00A7310B"/>
    <w:rsid w:val="00A73410"/>
    <w:rsid w:val="00A734E3"/>
    <w:rsid w:val="00A734ED"/>
    <w:rsid w:val="00A7350B"/>
    <w:rsid w:val="00A735B2"/>
    <w:rsid w:val="00A73942"/>
    <w:rsid w:val="00A739E8"/>
    <w:rsid w:val="00A73B3B"/>
    <w:rsid w:val="00A74177"/>
    <w:rsid w:val="00A745DE"/>
    <w:rsid w:val="00A7462C"/>
    <w:rsid w:val="00A74F35"/>
    <w:rsid w:val="00A7516D"/>
    <w:rsid w:val="00A7531E"/>
    <w:rsid w:val="00A756C2"/>
    <w:rsid w:val="00A756E4"/>
    <w:rsid w:val="00A7578B"/>
    <w:rsid w:val="00A757AD"/>
    <w:rsid w:val="00A757D9"/>
    <w:rsid w:val="00A758C8"/>
    <w:rsid w:val="00A75AD0"/>
    <w:rsid w:val="00A761C0"/>
    <w:rsid w:val="00A7631A"/>
    <w:rsid w:val="00A76652"/>
    <w:rsid w:val="00A766C0"/>
    <w:rsid w:val="00A76841"/>
    <w:rsid w:val="00A76980"/>
    <w:rsid w:val="00A76B61"/>
    <w:rsid w:val="00A76E12"/>
    <w:rsid w:val="00A76FB0"/>
    <w:rsid w:val="00A76FF0"/>
    <w:rsid w:val="00A77124"/>
    <w:rsid w:val="00A77146"/>
    <w:rsid w:val="00A772AB"/>
    <w:rsid w:val="00A774F7"/>
    <w:rsid w:val="00A7756D"/>
    <w:rsid w:val="00A777D2"/>
    <w:rsid w:val="00A779F6"/>
    <w:rsid w:val="00A77EA4"/>
    <w:rsid w:val="00A77F92"/>
    <w:rsid w:val="00A80432"/>
    <w:rsid w:val="00A80458"/>
    <w:rsid w:val="00A805E0"/>
    <w:rsid w:val="00A80695"/>
    <w:rsid w:val="00A80792"/>
    <w:rsid w:val="00A80A83"/>
    <w:rsid w:val="00A80AA6"/>
    <w:rsid w:val="00A80D03"/>
    <w:rsid w:val="00A80DE5"/>
    <w:rsid w:val="00A80EC5"/>
    <w:rsid w:val="00A81050"/>
    <w:rsid w:val="00A81168"/>
    <w:rsid w:val="00A81194"/>
    <w:rsid w:val="00A8145A"/>
    <w:rsid w:val="00A81471"/>
    <w:rsid w:val="00A8150D"/>
    <w:rsid w:val="00A81840"/>
    <w:rsid w:val="00A818A7"/>
    <w:rsid w:val="00A81976"/>
    <w:rsid w:val="00A81A23"/>
    <w:rsid w:val="00A81D81"/>
    <w:rsid w:val="00A81F1D"/>
    <w:rsid w:val="00A821BC"/>
    <w:rsid w:val="00A82595"/>
    <w:rsid w:val="00A82833"/>
    <w:rsid w:val="00A82852"/>
    <w:rsid w:val="00A8289C"/>
    <w:rsid w:val="00A82B49"/>
    <w:rsid w:val="00A82BA8"/>
    <w:rsid w:val="00A82CA8"/>
    <w:rsid w:val="00A82DCC"/>
    <w:rsid w:val="00A82DCD"/>
    <w:rsid w:val="00A82EED"/>
    <w:rsid w:val="00A82FED"/>
    <w:rsid w:val="00A830B9"/>
    <w:rsid w:val="00A835AD"/>
    <w:rsid w:val="00A835F2"/>
    <w:rsid w:val="00A835F7"/>
    <w:rsid w:val="00A8370E"/>
    <w:rsid w:val="00A83A40"/>
    <w:rsid w:val="00A84056"/>
    <w:rsid w:val="00A84493"/>
    <w:rsid w:val="00A845E7"/>
    <w:rsid w:val="00A847FB"/>
    <w:rsid w:val="00A84841"/>
    <w:rsid w:val="00A8488D"/>
    <w:rsid w:val="00A8489A"/>
    <w:rsid w:val="00A84EEF"/>
    <w:rsid w:val="00A852A1"/>
    <w:rsid w:val="00A856BF"/>
    <w:rsid w:val="00A85844"/>
    <w:rsid w:val="00A85A22"/>
    <w:rsid w:val="00A85A35"/>
    <w:rsid w:val="00A85D55"/>
    <w:rsid w:val="00A860DB"/>
    <w:rsid w:val="00A861BD"/>
    <w:rsid w:val="00A86285"/>
    <w:rsid w:val="00A86323"/>
    <w:rsid w:val="00A86537"/>
    <w:rsid w:val="00A86540"/>
    <w:rsid w:val="00A86885"/>
    <w:rsid w:val="00A869E0"/>
    <w:rsid w:val="00A86B76"/>
    <w:rsid w:val="00A86B9B"/>
    <w:rsid w:val="00A86FD8"/>
    <w:rsid w:val="00A8724F"/>
    <w:rsid w:val="00A872C1"/>
    <w:rsid w:val="00A8743F"/>
    <w:rsid w:val="00A87627"/>
    <w:rsid w:val="00A87636"/>
    <w:rsid w:val="00A87B00"/>
    <w:rsid w:val="00A8F42D"/>
    <w:rsid w:val="00A9006C"/>
    <w:rsid w:val="00A90124"/>
    <w:rsid w:val="00A9014F"/>
    <w:rsid w:val="00A90159"/>
    <w:rsid w:val="00A90322"/>
    <w:rsid w:val="00A9085F"/>
    <w:rsid w:val="00A90A93"/>
    <w:rsid w:val="00A90B6B"/>
    <w:rsid w:val="00A90B79"/>
    <w:rsid w:val="00A90C18"/>
    <w:rsid w:val="00A90E51"/>
    <w:rsid w:val="00A90EFA"/>
    <w:rsid w:val="00A90F60"/>
    <w:rsid w:val="00A90FE9"/>
    <w:rsid w:val="00A9117C"/>
    <w:rsid w:val="00A911BE"/>
    <w:rsid w:val="00A912D9"/>
    <w:rsid w:val="00A9132C"/>
    <w:rsid w:val="00A91451"/>
    <w:rsid w:val="00A91471"/>
    <w:rsid w:val="00A91563"/>
    <w:rsid w:val="00A9185F"/>
    <w:rsid w:val="00A91863"/>
    <w:rsid w:val="00A91902"/>
    <w:rsid w:val="00A91C1F"/>
    <w:rsid w:val="00A91C74"/>
    <w:rsid w:val="00A91D7C"/>
    <w:rsid w:val="00A91EA2"/>
    <w:rsid w:val="00A91F2E"/>
    <w:rsid w:val="00A9201B"/>
    <w:rsid w:val="00A92100"/>
    <w:rsid w:val="00A92275"/>
    <w:rsid w:val="00A92775"/>
    <w:rsid w:val="00A927A2"/>
    <w:rsid w:val="00A928A4"/>
    <w:rsid w:val="00A92AFB"/>
    <w:rsid w:val="00A92B4D"/>
    <w:rsid w:val="00A92C41"/>
    <w:rsid w:val="00A92C45"/>
    <w:rsid w:val="00A9300A"/>
    <w:rsid w:val="00A931B0"/>
    <w:rsid w:val="00A93306"/>
    <w:rsid w:val="00A934AA"/>
    <w:rsid w:val="00A93554"/>
    <w:rsid w:val="00A935C0"/>
    <w:rsid w:val="00A93870"/>
    <w:rsid w:val="00A93921"/>
    <w:rsid w:val="00A93925"/>
    <w:rsid w:val="00A93A23"/>
    <w:rsid w:val="00A93AD4"/>
    <w:rsid w:val="00A93DA7"/>
    <w:rsid w:val="00A93F82"/>
    <w:rsid w:val="00A93FD1"/>
    <w:rsid w:val="00A9400C"/>
    <w:rsid w:val="00A940D2"/>
    <w:rsid w:val="00A94182"/>
    <w:rsid w:val="00A941BC"/>
    <w:rsid w:val="00A9430F"/>
    <w:rsid w:val="00A94330"/>
    <w:rsid w:val="00A94358"/>
    <w:rsid w:val="00A944C5"/>
    <w:rsid w:val="00A94634"/>
    <w:rsid w:val="00A94D21"/>
    <w:rsid w:val="00A9507F"/>
    <w:rsid w:val="00A950EE"/>
    <w:rsid w:val="00A9533B"/>
    <w:rsid w:val="00A95660"/>
    <w:rsid w:val="00A9574C"/>
    <w:rsid w:val="00A957C5"/>
    <w:rsid w:val="00A95831"/>
    <w:rsid w:val="00A9584F"/>
    <w:rsid w:val="00A95A82"/>
    <w:rsid w:val="00A95BDD"/>
    <w:rsid w:val="00A95E0A"/>
    <w:rsid w:val="00A95F4D"/>
    <w:rsid w:val="00A96099"/>
    <w:rsid w:val="00A960C2"/>
    <w:rsid w:val="00A960E3"/>
    <w:rsid w:val="00A961E4"/>
    <w:rsid w:val="00A96978"/>
    <w:rsid w:val="00A96BA8"/>
    <w:rsid w:val="00A96CF4"/>
    <w:rsid w:val="00A96E0C"/>
    <w:rsid w:val="00A96E33"/>
    <w:rsid w:val="00A970E5"/>
    <w:rsid w:val="00A97355"/>
    <w:rsid w:val="00A975EA"/>
    <w:rsid w:val="00A97710"/>
    <w:rsid w:val="00A97818"/>
    <w:rsid w:val="00A97927"/>
    <w:rsid w:val="00A97BA8"/>
    <w:rsid w:val="00A97DC2"/>
    <w:rsid w:val="00A97E35"/>
    <w:rsid w:val="00A97EDA"/>
    <w:rsid w:val="00A97F24"/>
    <w:rsid w:val="00A97F86"/>
    <w:rsid w:val="00AA0130"/>
    <w:rsid w:val="00AA0169"/>
    <w:rsid w:val="00AA0643"/>
    <w:rsid w:val="00AA081D"/>
    <w:rsid w:val="00AA09A0"/>
    <w:rsid w:val="00AA0B6E"/>
    <w:rsid w:val="00AA0E78"/>
    <w:rsid w:val="00AA0EAE"/>
    <w:rsid w:val="00AA1090"/>
    <w:rsid w:val="00AA12B8"/>
    <w:rsid w:val="00AA151C"/>
    <w:rsid w:val="00AA1538"/>
    <w:rsid w:val="00AA15EE"/>
    <w:rsid w:val="00AA18F4"/>
    <w:rsid w:val="00AA19F3"/>
    <w:rsid w:val="00AA1BF2"/>
    <w:rsid w:val="00AA1CAE"/>
    <w:rsid w:val="00AA1DD4"/>
    <w:rsid w:val="00AA1E06"/>
    <w:rsid w:val="00AA1EAB"/>
    <w:rsid w:val="00AA1EF4"/>
    <w:rsid w:val="00AA2245"/>
    <w:rsid w:val="00AA2400"/>
    <w:rsid w:val="00AA266B"/>
    <w:rsid w:val="00AA28DE"/>
    <w:rsid w:val="00AA3355"/>
    <w:rsid w:val="00AA37CE"/>
    <w:rsid w:val="00AA386D"/>
    <w:rsid w:val="00AA38AF"/>
    <w:rsid w:val="00AA39F5"/>
    <w:rsid w:val="00AA3C57"/>
    <w:rsid w:val="00AA3CAA"/>
    <w:rsid w:val="00AA3F1F"/>
    <w:rsid w:val="00AA42ED"/>
    <w:rsid w:val="00AA44AB"/>
    <w:rsid w:val="00AA4886"/>
    <w:rsid w:val="00AA4D73"/>
    <w:rsid w:val="00AA4E10"/>
    <w:rsid w:val="00AA51F8"/>
    <w:rsid w:val="00AA5461"/>
    <w:rsid w:val="00AA5783"/>
    <w:rsid w:val="00AA57B6"/>
    <w:rsid w:val="00AA57DF"/>
    <w:rsid w:val="00AA5A4C"/>
    <w:rsid w:val="00AA62B6"/>
    <w:rsid w:val="00AA6537"/>
    <w:rsid w:val="00AA6768"/>
    <w:rsid w:val="00AA67D3"/>
    <w:rsid w:val="00AA68F3"/>
    <w:rsid w:val="00AA6A0C"/>
    <w:rsid w:val="00AA6B21"/>
    <w:rsid w:val="00AA6B56"/>
    <w:rsid w:val="00AA6C77"/>
    <w:rsid w:val="00AA6C7E"/>
    <w:rsid w:val="00AA6E21"/>
    <w:rsid w:val="00AA6E55"/>
    <w:rsid w:val="00AA711B"/>
    <w:rsid w:val="00AA73DC"/>
    <w:rsid w:val="00AA745E"/>
    <w:rsid w:val="00AA7688"/>
    <w:rsid w:val="00AA76A7"/>
    <w:rsid w:val="00AA7762"/>
    <w:rsid w:val="00AA7891"/>
    <w:rsid w:val="00AA7B61"/>
    <w:rsid w:val="00AA7BFB"/>
    <w:rsid w:val="00AA7D55"/>
    <w:rsid w:val="00AB02A1"/>
    <w:rsid w:val="00AB0403"/>
    <w:rsid w:val="00AB041C"/>
    <w:rsid w:val="00AB04A3"/>
    <w:rsid w:val="00AB04BD"/>
    <w:rsid w:val="00AB0912"/>
    <w:rsid w:val="00AB0B28"/>
    <w:rsid w:val="00AB126C"/>
    <w:rsid w:val="00AB1372"/>
    <w:rsid w:val="00AB13E5"/>
    <w:rsid w:val="00AB1415"/>
    <w:rsid w:val="00AB15C4"/>
    <w:rsid w:val="00AB15D6"/>
    <w:rsid w:val="00AB1708"/>
    <w:rsid w:val="00AB171E"/>
    <w:rsid w:val="00AB18CE"/>
    <w:rsid w:val="00AB1A69"/>
    <w:rsid w:val="00AB1D7C"/>
    <w:rsid w:val="00AB1D90"/>
    <w:rsid w:val="00AB1F9C"/>
    <w:rsid w:val="00AB2470"/>
    <w:rsid w:val="00AB253A"/>
    <w:rsid w:val="00AB27D5"/>
    <w:rsid w:val="00AB281E"/>
    <w:rsid w:val="00AB297B"/>
    <w:rsid w:val="00AB2FD2"/>
    <w:rsid w:val="00AB338E"/>
    <w:rsid w:val="00AB33A9"/>
    <w:rsid w:val="00AB3477"/>
    <w:rsid w:val="00AB3590"/>
    <w:rsid w:val="00AB35C4"/>
    <w:rsid w:val="00AB3644"/>
    <w:rsid w:val="00AB37F7"/>
    <w:rsid w:val="00AB380C"/>
    <w:rsid w:val="00AB3A1D"/>
    <w:rsid w:val="00AB3A26"/>
    <w:rsid w:val="00AB3B3E"/>
    <w:rsid w:val="00AB3B54"/>
    <w:rsid w:val="00AB3E2C"/>
    <w:rsid w:val="00AB42FB"/>
    <w:rsid w:val="00AB4406"/>
    <w:rsid w:val="00AB4483"/>
    <w:rsid w:val="00AB481C"/>
    <w:rsid w:val="00AB4941"/>
    <w:rsid w:val="00AB4B36"/>
    <w:rsid w:val="00AB4C97"/>
    <w:rsid w:val="00AB4DAF"/>
    <w:rsid w:val="00AB4DF3"/>
    <w:rsid w:val="00AB4E3E"/>
    <w:rsid w:val="00AB4E60"/>
    <w:rsid w:val="00AB4FE8"/>
    <w:rsid w:val="00AB5060"/>
    <w:rsid w:val="00AB52AC"/>
    <w:rsid w:val="00AB5314"/>
    <w:rsid w:val="00AB5354"/>
    <w:rsid w:val="00AB539F"/>
    <w:rsid w:val="00AB58DA"/>
    <w:rsid w:val="00AB59E2"/>
    <w:rsid w:val="00AB5C73"/>
    <w:rsid w:val="00AB6056"/>
    <w:rsid w:val="00AB60D9"/>
    <w:rsid w:val="00AB611A"/>
    <w:rsid w:val="00AB623F"/>
    <w:rsid w:val="00AB64A0"/>
    <w:rsid w:val="00AB655C"/>
    <w:rsid w:val="00AB6593"/>
    <w:rsid w:val="00AB6595"/>
    <w:rsid w:val="00AB6603"/>
    <w:rsid w:val="00AB6A3E"/>
    <w:rsid w:val="00AB6C82"/>
    <w:rsid w:val="00AB6D62"/>
    <w:rsid w:val="00AB6DC6"/>
    <w:rsid w:val="00AB6DF8"/>
    <w:rsid w:val="00AB6E07"/>
    <w:rsid w:val="00AB704D"/>
    <w:rsid w:val="00AB71EA"/>
    <w:rsid w:val="00AB72A7"/>
    <w:rsid w:val="00AB72C5"/>
    <w:rsid w:val="00AB72D7"/>
    <w:rsid w:val="00AB7317"/>
    <w:rsid w:val="00AB743D"/>
    <w:rsid w:val="00AB7519"/>
    <w:rsid w:val="00AB7787"/>
    <w:rsid w:val="00AB78B9"/>
    <w:rsid w:val="00AB793A"/>
    <w:rsid w:val="00AB7951"/>
    <w:rsid w:val="00AB7EAA"/>
    <w:rsid w:val="00AC00D0"/>
    <w:rsid w:val="00AC0388"/>
    <w:rsid w:val="00AC07F9"/>
    <w:rsid w:val="00AC088C"/>
    <w:rsid w:val="00AC0946"/>
    <w:rsid w:val="00AC0993"/>
    <w:rsid w:val="00AC0AFD"/>
    <w:rsid w:val="00AC0B01"/>
    <w:rsid w:val="00AC0DD3"/>
    <w:rsid w:val="00AC0DDA"/>
    <w:rsid w:val="00AC0FF4"/>
    <w:rsid w:val="00AC1155"/>
    <w:rsid w:val="00AC1195"/>
    <w:rsid w:val="00AC12D0"/>
    <w:rsid w:val="00AC1304"/>
    <w:rsid w:val="00AC1335"/>
    <w:rsid w:val="00AC135C"/>
    <w:rsid w:val="00AC13AE"/>
    <w:rsid w:val="00AC1858"/>
    <w:rsid w:val="00AC1923"/>
    <w:rsid w:val="00AC1A9E"/>
    <w:rsid w:val="00AC1B43"/>
    <w:rsid w:val="00AC1DBD"/>
    <w:rsid w:val="00AC1EEA"/>
    <w:rsid w:val="00AC2020"/>
    <w:rsid w:val="00AC21BA"/>
    <w:rsid w:val="00AC2590"/>
    <w:rsid w:val="00AC2666"/>
    <w:rsid w:val="00AC2A0C"/>
    <w:rsid w:val="00AC2B16"/>
    <w:rsid w:val="00AC2B54"/>
    <w:rsid w:val="00AC2CAC"/>
    <w:rsid w:val="00AC2E45"/>
    <w:rsid w:val="00AC2EE2"/>
    <w:rsid w:val="00AC33C6"/>
    <w:rsid w:val="00AC34F1"/>
    <w:rsid w:val="00AC35E1"/>
    <w:rsid w:val="00AC366D"/>
    <w:rsid w:val="00AC37B5"/>
    <w:rsid w:val="00AC3B55"/>
    <w:rsid w:val="00AC3C2C"/>
    <w:rsid w:val="00AC3C48"/>
    <w:rsid w:val="00AC3CBA"/>
    <w:rsid w:val="00AC3F29"/>
    <w:rsid w:val="00AC3F30"/>
    <w:rsid w:val="00AC3FBE"/>
    <w:rsid w:val="00AC4107"/>
    <w:rsid w:val="00AC41B3"/>
    <w:rsid w:val="00AC454F"/>
    <w:rsid w:val="00AC45AB"/>
    <w:rsid w:val="00AC45F3"/>
    <w:rsid w:val="00AC4BE2"/>
    <w:rsid w:val="00AC4DB4"/>
    <w:rsid w:val="00AC519F"/>
    <w:rsid w:val="00AC5393"/>
    <w:rsid w:val="00AC55FE"/>
    <w:rsid w:val="00AC562E"/>
    <w:rsid w:val="00AC5676"/>
    <w:rsid w:val="00AC5746"/>
    <w:rsid w:val="00AC580F"/>
    <w:rsid w:val="00AC640D"/>
    <w:rsid w:val="00AC6512"/>
    <w:rsid w:val="00AC653E"/>
    <w:rsid w:val="00AC6648"/>
    <w:rsid w:val="00AC6705"/>
    <w:rsid w:val="00AC6729"/>
    <w:rsid w:val="00AC67E5"/>
    <w:rsid w:val="00AC68CC"/>
    <w:rsid w:val="00AC6B0E"/>
    <w:rsid w:val="00AC6B4C"/>
    <w:rsid w:val="00AC6C64"/>
    <w:rsid w:val="00AC6CEC"/>
    <w:rsid w:val="00AC6FC2"/>
    <w:rsid w:val="00AC7272"/>
    <w:rsid w:val="00AC7287"/>
    <w:rsid w:val="00AC7352"/>
    <w:rsid w:val="00AC738B"/>
    <w:rsid w:val="00AC743C"/>
    <w:rsid w:val="00AC767D"/>
    <w:rsid w:val="00AC770D"/>
    <w:rsid w:val="00AC77DC"/>
    <w:rsid w:val="00AC7968"/>
    <w:rsid w:val="00AC7BB3"/>
    <w:rsid w:val="00AC7C1A"/>
    <w:rsid w:val="00AC7C9D"/>
    <w:rsid w:val="00AC7D6C"/>
    <w:rsid w:val="00AC7D7B"/>
    <w:rsid w:val="00AC7DEA"/>
    <w:rsid w:val="00AC7FED"/>
    <w:rsid w:val="00AD0288"/>
    <w:rsid w:val="00AD04F8"/>
    <w:rsid w:val="00AD0653"/>
    <w:rsid w:val="00AD0674"/>
    <w:rsid w:val="00AD06A3"/>
    <w:rsid w:val="00AD06C6"/>
    <w:rsid w:val="00AD0715"/>
    <w:rsid w:val="00AD073C"/>
    <w:rsid w:val="00AD0C45"/>
    <w:rsid w:val="00AD1095"/>
    <w:rsid w:val="00AD12F1"/>
    <w:rsid w:val="00AD16DD"/>
    <w:rsid w:val="00AD174A"/>
    <w:rsid w:val="00AD1AE2"/>
    <w:rsid w:val="00AD1CEA"/>
    <w:rsid w:val="00AD20D0"/>
    <w:rsid w:val="00AD21B0"/>
    <w:rsid w:val="00AD2270"/>
    <w:rsid w:val="00AD23BA"/>
    <w:rsid w:val="00AD2643"/>
    <w:rsid w:val="00AD29B0"/>
    <w:rsid w:val="00AD2B8D"/>
    <w:rsid w:val="00AD2CD0"/>
    <w:rsid w:val="00AD2CF4"/>
    <w:rsid w:val="00AD2CF8"/>
    <w:rsid w:val="00AD2D3C"/>
    <w:rsid w:val="00AD3250"/>
    <w:rsid w:val="00AD326E"/>
    <w:rsid w:val="00AD333A"/>
    <w:rsid w:val="00AD3713"/>
    <w:rsid w:val="00AD38D7"/>
    <w:rsid w:val="00AD3B33"/>
    <w:rsid w:val="00AD3B6E"/>
    <w:rsid w:val="00AD3B91"/>
    <w:rsid w:val="00AD3BBA"/>
    <w:rsid w:val="00AD4101"/>
    <w:rsid w:val="00AD453C"/>
    <w:rsid w:val="00AD45A1"/>
    <w:rsid w:val="00AD45E6"/>
    <w:rsid w:val="00AD4C39"/>
    <w:rsid w:val="00AD4E08"/>
    <w:rsid w:val="00AD4E84"/>
    <w:rsid w:val="00AD508E"/>
    <w:rsid w:val="00AD547E"/>
    <w:rsid w:val="00AD5547"/>
    <w:rsid w:val="00AD5835"/>
    <w:rsid w:val="00AD5A7C"/>
    <w:rsid w:val="00AD5C56"/>
    <w:rsid w:val="00AD5EC5"/>
    <w:rsid w:val="00AD5EE1"/>
    <w:rsid w:val="00AD6074"/>
    <w:rsid w:val="00AD6158"/>
    <w:rsid w:val="00AD61CC"/>
    <w:rsid w:val="00AD63BF"/>
    <w:rsid w:val="00AD6C7F"/>
    <w:rsid w:val="00AD7028"/>
    <w:rsid w:val="00AD72D0"/>
    <w:rsid w:val="00AD7436"/>
    <w:rsid w:val="00AD74F1"/>
    <w:rsid w:val="00AD7919"/>
    <w:rsid w:val="00AD7A09"/>
    <w:rsid w:val="00AD7B74"/>
    <w:rsid w:val="00AD7CB1"/>
    <w:rsid w:val="00AE0105"/>
    <w:rsid w:val="00AE0121"/>
    <w:rsid w:val="00AE0238"/>
    <w:rsid w:val="00AE0455"/>
    <w:rsid w:val="00AE0543"/>
    <w:rsid w:val="00AE063B"/>
    <w:rsid w:val="00AE06C3"/>
    <w:rsid w:val="00AE09C4"/>
    <w:rsid w:val="00AE0AA9"/>
    <w:rsid w:val="00AE0EF5"/>
    <w:rsid w:val="00AE1048"/>
    <w:rsid w:val="00AE1117"/>
    <w:rsid w:val="00AE13CF"/>
    <w:rsid w:val="00AE1718"/>
    <w:rsid w:val="00AE17F2"/>
    <w:rsid w:val="00AE1D70"/>
    <w:rsid w:val="00AE1DE2"/>
    <w:rsid w:val="00AE216E"/>
    <w:rsid w:val="00AE29AA"/>
    <w:rsid w:val="00AE2A60"/>
    <w:rsid w:val="00AE2CFC"/>
    <w:rsid w:val="00AE2DB6"/>
    <w:rsid w:val="00AE2EF9"/>
    <w:rsid w:val="00AE2F1F"/>
    <w:rsid w:val="00AE2FBD"/>
    <w:rsid w:val="00AE300C"/>
    <w:rsid w:val="00AE3515"/>
    <w:rsid w:val="00AE3612"/>
    <w:rsid w:val="00AE3904"/>
    <w:rsid w:val="00AE3B54"/>
    <w:rsid w:val="00AE3BA7"/>
    <w:rsid w:val="00AE3C0F"/>
    <w:rsid w:val="00AE3E44"/>
    <w:rsid w:val="00AE3E6D"/>
    <w:rsid w:val="00AE3EC0"/>
    <w:rsid w:val="00AE3F7A"/>
    <w:rsid w:val="00AE4129"/>
    <w:rsid w:val="00AE41E9"/>
    <w:rsid w:val="00AE41FA"/>
    <w:rsid w:val="00AE47FC"/>
    <w:rsid w:val="00AE48D3"/>
    <w:rsid w:val="00AE4B19"/>
    <w:rsid w:val="00AE4B1E"/>
    <w:rsid w:val="00AE4C28"/>
    <w:rsid w:val="00AE4C7C"/>
    <w:rsid w:val="00AE4E7F"/>
    <w:rsid w:val="00AE4F21"/>
    <w:rsid w:val="00AE5007"/>
    <w:rsid w:val="00AE51DD"/>
    <w:rsid w:val="00AE51EC"/>
    <w:rsid w:val="00AE521F"/>
    <w:rsid w:val="00AE52A3"/>
    <w:rsid w:val="00AE530E"/>
    <w:rsid w:val="00AE537D"/>
    <w:rsid w:val="00AE54E2"/>
    <w:rsid w:val="00AE5664"/>
    <w:rsid w:val="00AE5D65"/>
    <w:rsid w:val="00AE5F6F"/>
    <w:rsid w:val="00AE5FB4"/>
    <w:rsid w:val="00AE6020"/>
    <w:rsid w:val="00AE6424"/>
    <w:rsid w:val="00AE6696"/>
    <w:rsid w:val="00AE669B"/>
    <w:rsid w:val="00AE66E2"/>
    <w:rsid w:val="00AE69F2"/>
    <w:rsid w:val="00AE6B3A"/>
    <w:rsid w:val="00AE6DFD"/>
    <w:rsid w:val="00AE6EAC"/>
    <w:rsid w:val="00AE769B"/>
    <w:rsid w:val="00AE7ABE"/>
    <w:rsid w:val="00AE7D3A"/>
    <w:rsid w:val="00AE7E02"/>
    <w:rsid w:val="00AE7FA5"/>
    <w:rsid w:val="00AF0062"/>
    <w:rsid w:val="00AF00AB"/>
    <w:rsid w:val="00AF013D"/>
    <w:rsid w:val="00AF024F"/>
    <w:rsid w:val="00AF03EF"/>
    <w:rsid w:val="00AF0437"/>
    <w:rsid w:val="00AF0665"/>
    <w:rsid w:val="00AF0706"/>
    <w:rsid w:val="00AF0B9A"/>
    <w:rsid w:val="00AF0C7C"/>
    <w:rsid w:val="00AF0FFC"/>
    <w:rsid w:val="00AF1215"/>
    <w:rsid w:val="00AF1435"/>
    <w:rsid w:val="00AF1442"/>
    <w:rsid w:val="00AF144B"/>
    <w:rsid w:val="00AF16ED"/>
    <w:rsid w:val="00AF19BE"/>
    <w:rsid w:val="00AF19E5"/>
    <w:rsid w:val="00AF1A2C"/>
    <w:rsid w:val="00AF1C0A"/>
    <w:rsid w:val="00AF1CF5"/>
    <w:rsid w:val="00AF1E03"/>
    <w:rsid w:val="00AF2091"/>
    <w:rsid w:val="00AF2151"/>
    <w:rsid w:val="00AF233C"/>
    <w:rsid w:val="00AF246F"/>
    <w:rsid w:val="00AF247C"/>
    <w:rsid w:val="00AF2529"/>
    <w:rsid w:val="00AF259D"/>
    <w:rsid w:val="00AF2C64"/>
    <w:rsid w:val="00AF2EFA"/>
    <w:rsid w:val="00AF2F5E"/>
    <w:rsid w:val="00AF310A"/>
    <w:rsid w:val="00AF3265"/>
    <w:rsid w:val="00AF39EB"/>
    <w:rsid w:val="00AF3D8C"/>
    <w:rsid w:val="00AF4211"/>
    <w:rsid w:val="00AF443A"/>
    <w:rsid w:val="00AF44C1"/>
    <w:rsid w:val="00AF455A"/>
    <w:rsid w:val="00AF45CB"/>
    <w:rsid w:val="00AF482D"/>
    <w:rsid w:val="00AF48BB"/>
    <w:rsid w:val="00AF4F5D"/>
    <w:rsid w:val="00AF50E1"/>
    <w:rsid w:val="00AF5148"/>
    <w:rsid w:val="00AF51A2"/>
    <w:rsid w:val="00AF5479"/>
    <w:rsid w:val="00AF5C2D"/>
    <w:rsid w:val="00AF5C56"/>
    <w:rsid w:val="00AF5CA7"/>
    <w:rsid w:val="00AF5DBA"/>
    <w:rsid w:val="00AF5E3E"/>
    <w:rsid w:val="00AF5EB6"/>
    <w:rsid w:val="00AF67D2"/>
    <w:rsid w:val="00AF686C"/>
    <w:rsid w:val="00AF6970"/>
    <w:rsid w:val="00AF6BB9"/>
    <w:rsid w:val="00AF6BE9"/>
    <w:rsid w:val="00AF6E9C"/>
    <w:rsid w:val="00AF6EF2"/>
    <w:rsid w:val="00AF7166"/>
    <w:rsid w:val="00AF7828"/>
    <w:rsid w:val="00AF78AB"/>
    <w:rsid w:val="00AF7AB6"/>
    <w:rsid w:val="00AF7D94"/>
    <w:rsid w:val="00B00049"/>
    <w:rsid w:val="00B000AB"/>
    <w:rsid w:val="00B001A8"/>
    <w:rsid w:val="00B0031A"/>
    <w:rsid w:val="00B00566"/>
    <w:rsid w:val="00B006D7"/>
    <w:rsid w:val="00B0097B"/>
    <w:rsid w:val="00B00B7B"/>
    <w:rsid w:val="00B00BD0"/>
    <w:rsid w:val="00B00C0E"/>
    <w:rsid w:val="00B00EE8"/>
    <w:rsid w:val="00B00F84"/>
    <w:rsid w:val="00B0101B"/>
    <w:rsid w:val="00B0113F"/>
    <w:rsid w:val="00B01571"/>
    <w:rsid w:val="00B01C18"/>
    <w:rsid w:val="00B01D88"/>
    <w:rsid w:val="00B01DBE"/>
    <w:rsid w:val="00B01E42"/>
    <w:rsid w:val="00B01EE0"/>
    <w:rsid w:val="00B01F2A"/>
    <w:rsid w:val="00B0207B"/>
    <w:rsid w:val="00B02098"/>
    <w:rsid w:val="00B02212"/>
    <w:rsid w:val="00B0244B"/>
    <w:rsid w:val="00B02685"/>
    <w:rsid w:val="00B026B2"/>
    <w:rsid w:val="00B02C4E"/>
    <w:rsid w:val="00B02C6F"/>
    <w:rsid w:val="00B02F49"/>
    <w:rsid w:val="00B02FE1"/>
    <w:rsid w:val="00B02FF0"/>
    <w:rsid w:val="00B03235"/>
    <w:rsid w:val="00B0354C"/>
    <w:rsid w:val="00B036C5"/>
    <w:rsid w:val="00B03792"/>
    <w:rsid w:val="00B03B78"/>
    <w:rsid w:val="00B03CDB"/>
    <w:rsid w:val="00B03DC1"/>
    <w:rsid w:val="00B03E34"/>
    <w:rsid w:val="00B03EE9"/>
    <w:rsid w:val="00B03FEE"/>
    <w:rsid w:val="00B040D6"/>
    <w:rsid w:val="00B041BE"/>
    <w:rsid w:val="00B043A5"/>
    <w:rsid w:val="00B0449D"/>
    <w:rsid w:val="00B04567"/>
    <w:rsid w:val="00B04730"/>
    <w:rsid w:val="00B047EC"/>
    <w:rsid w:val="00B04813"/>
    <w:rsid w:val="00B0483A"/>
    <w:rsid w:val="00B04A6B"/>
    <w:rsid w:val="00B04B30"/>
    <w:rsid w:val="00B04D40"/>
    <w:rsid w:val="00B04DE7"/>
    <w:rsid w:val="00B04E58"/>
    <w:rsid w:val="00B04EC7"/>
    <w:rsid w:val="00B0520D"/>
    <w:rsid w:val="00B058AA"/>
    <w:rsid w:val="00B05BEA"/>
    <w:rsid w:val="00B05C69"/>
    <w:rsid w:val="00B05E20"/>
    <w:rsid w:val="00B05F4A"/>
    <w:rsid w:val="00B06063"/>
    <w:rsid w:val="00B060D6"/>
    <w:rsid w:val="00B06727"/>
    <w:rsid w:val="00B0679E"/>
    <w:rsid w:val="00B06B08"/>
    <w:rsid w:val="00B06B32"/>
    <w:rsid w:val="00B06C55"/>
    <w:rsid w:val="00B0710E"/>
    <w:rsid w:val="00B0727A"/>
    <w:rsid w:val="00B072B3"/>
    <w:rsid w:val="00B075A5"/>
    <w:rsid w:val="00B078A7"/>
    <w:rsid w:val="00B07945"/>
    <w:rsid w:val="00B07960"/>
    <w:rsid w:val="00B100C2"/>
    <w:rsid w:val="00B1030D"/>
    <w:rsid w:val="00B1044E"/>
    <w:rsid w:val="00B10652"/>
    <w:rsid w:val="00B10793"/>
    <w:rsid w:val="00B10FAF"/>
    <w:rsid w:val="00B1113B"/>
    <w:rsid w:val="00B11212"/>
    <w:rsid w:val="00B11263"/>
    <w:rsid w:val="00B11279"/>
    <w:rsid w:val="00B114CB"/>
    <w:rsid w:val="00B11737"/>
    <w:rsid w:val="00B117A0"/>
    <w:rsid w:val="00B119C3"/>
    <w:rsid w:val="00B11A6F"/>
    <w:rsid w:val="00B11BE8"/>
    <w:rsid w:val="00B11E3F"/>
    <w:rsid w:val="00B12199"/>
    <w:rsid w:val="00B1220B"/>
    <w:rsid w:val="00B12224"/>
    <w:rsid w:val="00B12251"/>
    <w:rsid w:val="00B12308"/>
    <w:rsid w:val="00B12436"/>
    <w:rsid w:val="00B1266F"/>
    <w:rsid w:val="00B12CAD"/>
    <w:rsid w:val="00B13195"/>
    <w:rsid w:val="00B13563"/>
    <w:rsid w:val="00B135A8"/>
    <w:rsid w:val="00B1363E"/>
    <w:rsid w:val="00B138E6"/>
    <w:rsid w:val="00B13A62"/>
    <w:rsid w:val="00B13AD7"/>
    <w:rsid w:val="00B13B10"/>
    <w:rsid w:val="00B13E65"/>
    <w:rsid w:val="00B13F62"/>
    <w:rsid w:val="00B14090"/>
    <w:rsid w:val="00B14112"/>
    <w:rsid w:val="00B143D9"/>
    <w:rsid w:val="00B1461A"/>
    <w:rsid w:val="00B1477F"/>
    <w:rsid w:val="00B147DC"/>
    <w:rsid w:val="00B14A1E"/>
    <w:rsid w:val="00B14C0A"/>
    <w:rsid w:val="00B14DD8"/>
    <w:rsid w:val="00B15676"/>
    <w:rsid w:val="00B1572A"/>
    <w:rsid w:val="00B15982"/>
    <w:rsid w:val="00B15AD3"/>
    <w:rsid w:val="00B15BF4"/>
    <w:rsid w:val="00B15EF6"/>
    <w:rsid w:val="00B15F55"/>
    <w:rsid w:val="00B16344"/>
    <w:rsid w:val="00B16600"/>
    <w:rsid w:val="00B167CE"/>
    <w:rsid w:val="00B168B4"/>
    <w:rsid w:val="00B16BF8"/>
    <w:rsid w:val="00B16E64"/>
    <w:rsid w:val="00B171FF"/>
    <w:rsid w:val="00B1726F"/>
    <w:rsid w:val="00B173AF"/>
    <w:rsid w:val="00B175A8"/>
    <w:rsid w:val="00B1766A"/>
    <w:rsid w:val="00B179D5"/>
    <w:rsid w:val="00B17AF3"/>
    <w:rsid w:val="00B17B31"/>
    <w:rsid w:val="00B17C6C"/>
    <w:rsid w:val="00B17C7C"/>
    <w:rsid w:val="00B17CA8"/>
    <w:rsid w:val="00B17EDC"/>
    <w:rsid w:val="00B201D8"/>
    <w:rsid w:val="00B20291"/>
    <w:rsid w:val="00B2032D"/>
    <w:rsid w:val="00B203B6"/>
    <w:rsid w:val="00B2076B"/>
    <w:rsid w:val="00B207F8"/>
    <w:rsid w:val="00B20D00"/>
    <w:rsid w:val="00B20F16"/>
    <w:rsid w:val="00B20F9D"/>
    <w:rsid w:val="00B20FAB"/>
    <w:rsid w:val="00B212A8"/>
    <w:rsid w:val="00B212D3"/>
    <w:rsid w:val="00B2133B"/>
    <w:rsid w:val="00B21386"/>
    <w:rsid w:val="00B21394"/>
    <w:rsid w:val="00B213E3"/>
    <w:rsid w:val="00B2147D"/>
    <w:rsid w:val="00B217C1"/>
    <w:rsid w:val="00B218B9"/>
    <w:rsid w:val="00B2198E"/>
    <w:rsid w:val="00B219BD"/>
    <w:rsid w:val="00B2208B"/>
    <w:rsid w:val="00B220CB"/>
    <w:rsid w:val="00B22356"/>
    <w:rsid w:val="00B223EF"/>
    <w:rsid w:val="00B2253F"/>
    <w:rsid w:val="00B22692"/>
    <w:rsid w:val="00B22718"/>
    <w:rsid w:val="00B22960"/>
    <w:rsid w:val="00B22F5B"/>
    <w:rsid w:val="00B23196"/>
    <w:rsid w:val="00B231EF"/>
    <w:rsid w:val="00B23293"/>
    <w:rsid w:val="00B2329B"/>
    <w:rsid w:val="00B2330D"/>
    <w:rsid w:val="00B2340D"/>
    <w:rsid w:val="00B23491"/>
    <w:rsid w:val="00B23616"/>
    <w:rsid w:val="00B23783"/>
    <w:rsid w:val="00B23986"/>
    <w:rsid w:val="00B23A5A"/>
    <w:rsid w:val="00B23CA8"/>
    <w:rsid w:val="00B24788"/>
    <w:rsid w:val="00B24864"/>
    <w:rsid w:val="00B24920"/>
    <w:rsid w:val="00B252CC"/>
    <w:rsid w:val="00B2548A"/>
    <w:rsid w:val="00B2560D"/>
    <w:rsid w:val="00B25772"/>
    <w:rsid w:val="00B25868"/>
    <w:rsid w:val="00B2587A"/>
    <w:rsid w:val="00B258E4"/>
    <w:rsid w:val="00B25933"/>
    <w:rsid w:val="00B25AD6"/>
    <w:rsid w:val="00B25C19"/>
    <w:rsid w:val="00B25CF4"/>
    <w:rsid w:val="00B26227"/>
    <w:rsid w:val="00B2669E"/>
    <w:rsid w:val="00B26702"/>
    <w:rsid w:val="00B267C5"/>
    <w:rsid w:val="00B267CC"/>
    <w:rsid w:val="00B268C6"/>
    <w:rsid w:val="00B26917"/>
    <w:rsid w:val="00B26B60"/>
    <w:rsid w:val="00B26C62"/>
    <w:rsid w:val="00B26CF9"/>
    <w:rsid w:val="00B270E1"/>
    <w:rsid w:val="00B270F8"/>
    <w:rsid w:val="00B27195"/>
    <w:rsid w:val="00B275AA"/>
    <w:rsid w:val="00B2761B"/>
    <w:rsid w:val="00B277C8"/>
    <w:rsid w:val="00B2782B"/>
    <w:rsid w:val="00B27865"/>
    <w:rsid w:val="00B2787D"/>
    <w:rsid w:val="00B2795B"/>
    <w:rsid w:val="00B27BAA"/>
    <w:rsid w:val="00B27E25"/>
    <w:rsid w:val="00B27F03"/>
    <w:rsid w:val="00B27F7A"/>
    <w:rsid w:val="00B27FB0"/>
    <w:rsid w:val="00B30138"/>
    <w:rsid w:val="00B301AD"/>
    <w:rsid w:val="00B30396"/>
    <w:rsid w:val="00B30613"/>
    <w:rsid w:val="00B308BF"/>
    <w:rsid w:val="00B30905"/>
    <w:rsid w:val="00B3096C"/>
    <w:rsid w:val="00B30999"/>
    <w:rsid w:val="00B30E35"/>
    <w:rsid w:val="00B30F22"/>
    <w:rsid w:val="00B3122B"/>
    <w:rsid w:val="00B313D5"/>
    <w:rsid w:val="00B3140E"/>
    <w:rsid w:val="00B31428"/>
    <w:rsid w:val="00B31672"/>
    <w:rsid w:val="00B31862"/>
    <w:rsid w:val="00B31904"/>
    <w:rsid w:val="00B319E7"/>
    <w:rsid w:val="00B31A15"/>
    <w:rsid w:val="00B31B55"/>
    <w:rsid w:val="00B31B8E"/>
    <w:rsid w:val="00B31BC8"/>
    <w:rsid w:val="00B31C85"/>
    <w:rsid w:val="00B31CAA"/>
    <w:rsid w:val="00B31D43"/>
    <w:rsid w:val="00B31E85"/>
    <w:rsid w:val="00B32236"/>
    <w:rsid w:val="00B32263"/>
    <w:rsid w:val="00B32372"/>
    <w:rsid w:val="00B32435"/>
    <w:rsid w:val="00B3248E"/>
    <w:rsid w:val="00B324B0"/>
    <w:rsid w:val="00B3256B"/>
    <w:rsid w:val="00B32657"/>
    <w:rsid w:val="00B326C7"/>
    <w:rsid w:val="00B32D54"/>
    <w:rsid w:val="00B32D90"/>
    <w:rsid w:val="00B32D97"/>
    <w:rsid w:val="00B32DDC"/>
    <w:rsid w:val="00B32E14"/>
    <w:rsid w:val="00B3306C"/>
    <w:rsid w:val="00B331D7"/>
    <w:rsid w:val="00B333DB"/>
    <w:rsid w:val="00B333FD"/>
    <w:rsid w:val="00B336F0"/>
    <w:rsid w:val="00B337CD"/>
    <w:rsid w:val="00B339D4"/>
    <w:rsid w:val="00B33B45"/>
    <w:rsid w:val="00B34069"/>
    <w:rsid w:val="00B3416A"/>
    <w:rsid w:val="00B34300"/>
    <w:rsid w:val="00B34588"/>
    <w:rsid w:val="00B34757"/>
    <w:rsid w:val="00B34928"/>
    <w:rsid w:val="00B34A40"/>
    <w:rsid w:val="00B34B77"/>
    <w:rsid w:val="00B3538A"/>
    <w:rsid w:val="00B353EA"/>
    <w:rsid w:val="00B354D0"/>
    <w:rsid w:val="00B3566A"/>
    <w:rsid w:val="00B357BA"/>
    <w:rsid w:val="00B359F8"/>
    <w:rsid w:val="00B35A13"/>
    <w:rsid w:val="00B35B90"/>
    <w:rsid w:val="00B35BC2"/>
    <w:rsid w:val="00B35E5B"/>
    <w:rsid w:val="00B3655A"/>
    <w:rsid w:val="00B365E6"/>
    <w:rsid w:val="00B367C0"/>
    <w:rsid w:val="00B369F4"/>
    <w:rsid w:val="00B36AD7"/>
    <w:rsid w:val="00B36D69"/>
    <w:rsid w:val="00B3725B"/>
    <w:rsid w:val="00B37595"/>
    <w:rsid w:val="00B3768C"/>
    <w:rsid w:val="00B37757"/>
    <w:rsid w:val="00B37A07"/>
    <w:rsid w:val="00B37CB2"/>
    <w:rsid w:val="00B40057"/>
    <w:rsid w:val="00B40265"/>
    <w:rsid w:val="00B4034D"/>
    <w:rsid w:val="00B4069B"/>
    <w:rsid w:val="00B4087E"/>
    <w:rsid w:val="00B40CAE"/>
    <w:rsid w:val="00B40DD6"/>
    <w:rsid w:val="00B40F31"/>
    <w:rsid w:val="00B41016"/>
    <w:rsid w:val="00B411D6"/>
    <w:rsid w:val="00B412C3"/>
    <w:rsid w:val="00B41A78"/>
    <w:rsid w:val="00B41B8A"/>
    <w:rsid w:val="00B422BA"/>
    <w:rsid w:val="00B423AF"/>
    <w:rsid w:val="00B42479"/>
    <w:rsid w:val="00B426DF"/>
    <w:rsid w:val="00B427D0"/>
    <w:rsid w:val="00B428AF"/>
    <w:rsid w:val="00B4293F"/>
    <w:rsid w:val="00B42A92"/>
    <w:rsid w:val="00B42E0F"/>
    <w:rsid w:val="00B42F56"/>
    <w:rsid w:val="00B4311F"/>
    <w:rsid w:val="00B43165"/>
    <w:rsid w:val="00B4318F"/>
    <w:rsid w:val="00B4330D"/>
    <w:rsid w:val="00B4347A"/>
    <w:rsid w:val="00B4350F"/>
    <w:rsid w:val="00B4362D"/>
    <w:rsid w:val="00B43749"/>
    <w:rsid w:val="00B4381F"/>
    <w:rsid w:val="00B43948"/>
    <w:rsid w:val="00B43A09"/>
    <w:rsid w:val="00B43A69"/>
    <w:rsid w:val="00B43BF1"/>
    <w:rsid w:val="00B43E3B"/>
    <w:rsid w:val="00B43EEF"/>
    <w:rsid w:val="00B43FA8"/>
    <w:rsid w:val="00B441FC"/>
    <w:rsid w:val="00B44410"/>
    <w:rsid w:val="00B444BF"/>
    <w:rsid w:val="00B445FD"/>
    <w:rsid w:val="00B44605"/>
    <w:rsid w:val="00B44747"/>
    <w:rsid w:val="00B447C3"/>
    <w:rsid w:val="00B447E5"/>
    <w:rsid w:val="00B44965"/>
    <w:rsid w:val="00B449E8"/>
    <w:rsid w:val="00B44A6D"/>
    <w:rsid w:val="00B44B58"/>
    <w:rsid w:val="00B44CAF"/>
    <w:rsid w:val="00B456B5"/>
    <w:rsid w:val="00B4573B"/>
    <w:rsid w:val="00B457B6"/>
    <w:rsid w:val="00B457DD"/>
    <w:rsid w:val="00B4580A"/>
    <w:rsid w:val="00B45A58"/>
    <w:rsid w:val="00B45BB7"/>
    <w:rsid w:val="00B4637D"/>
    <w:rsid w:val="00B46436"/>
    <w:rsid w:val="00B4658C"/>
    <w:rsid w:val="00B46717"/>
    <w:rsid w:val="00B4682E"/>
    <w:rsid w:val="00B46844"/>
    <w:rsid w:val="00B469B0"/>
    <w:rsid w:val="00B469E5"/>
    <w:rsid w:val="00B46BED"/>
    <w:rsid w:val="00B46C74"/>
    <w:rsid w:val="00B46CB5"/>
    <w:rsid w:val="00B4712A"/>
    <w:rsid w:val="00B4726B"/>
    <w:rsid w:val="00B4733E"/>
    <w:rsid w:val="00B47439"/>
    <w:rsid w:val="00B474AB"/>
    <w:rsid w:val="00B475BE"/>
    <w:rsid w:val="00B47743"/>
    <w:rsid w:val="00B47BE0"/>
    <w:rsid w:val="00B47C63"/>
    <w:rsid w:val="00B47C96"/>
    <w:rsid w:val="00B47F37"/>
    <w:rsid w:val="00B50147"/>
    <w:rsid w:val="00B5036E"/>
    <w:rsid w:val="00B5037B"/>
    <w:rsid w:val="00B5041F"/>
    <w:rsid w:val="00B5048C"/>
    <w:rsid w:val="00B504BC"/>
    <w:rsid w:val="00B5065A"/>
    <w:rsid w:val="00B50703"/>
    <w:rsid w:val="00B50C5E"/>
    <w:rsid w:val="00B50E51"/>
    <w:rsid w:val="00B50FB7"/>
    <w:rsid w:val="00B51037"/>
    <w:rsid w:val="00B511E4"/>
    <w:rsid w:val="00B5122F"/>
    <w:rsid w:val="00B51293"/>
    <w:rsid w:val="00B5164F"/>
    <w:rsid w:val="00B517F6"/>
    <w:rsid w:val="00B5186C"/>
    <w:rsid w:val="00B518D8"/>
    <w:rsid w:val="00B5195D"/>
    <w:rsid w:val="00B51FAA"/>
    <w:rsid w:val="00B5240D"/>
    <w:rsid w:val="00B5257F"/>
    <w:rsid w:val="00B52586"/>
    <w:rsid w:val="00B52C71"/>
    <w:rsid w:val="00B52C74"/>
    <w:rsid w:val="00B52C77"/>
    <w:rsid w:val="00B5306A"/>
    <w:rsid w:val="00B531FC"/>
    <w:rsid w:val="00B53390"/>
    <w:rsid w:val="00B5347B"/>
    <w:rsid w:val="00B53A76"/>
    <w:rsid w:val="00B53E70"/>
    <w:rsid w:val="00B53ED6"/>
    <w:rsid w:val="00B544B6"/>
    <w:rsid w:val="00B5474E"/>
    <w:rsid w:val="00B54B0E"/>
    <w:rsid w:val="00B54E07"/>
    <w:rsid w:val="00B54FFD"/>
    <w:rsid w:val="00B55027"/>
    <w:rsid w:val="00B55067"/>
    <w:rsid w:val="00B55432"/>
    <w:rsid w:val="00B55457"/>
    <w:rsid w:val="00B55473"/>
    <w:rsid w:val="00B555EE"/>
    <w:rsid w:val="00B5564E"/>
    <w:rsid w:val="00B5573B"/>
    <w:rsid w:val="00B55764"/>
    <w:rsid w:val="00B55832"/>
    <w:rsid w:val="00B55A67"/>
    <w:rsid w:val="00B55AA8"/>
    <w:rsid w:val="00B55CC3"/>
    <w:rsid w:val="00B55D10"/>
    <w:rsid w:val="00B56188"/>
    <w:rsid w:val="00B5690C"/>
    <w:rsid w:val="00B56A25"/>
    <w:rsid w:val="00B56A54"/>
    <w:rsid w:val="00B56BEE"/>
    <w:rsid w:val="00B56F76"/>
    <w:rsid w:val="00B573DA"/>
    <w:rsid w:val="00B576A6"/>
    <w:rsid w:val="00B5774F"/>
    <w:rsid w:val="00B57A56"/>
    <w:rsid w:val="00B57AB9"/>
    <w:rsid w:val="00B57C0D"/>
    <w:rsid w:val="00B57CA0"/>
    <w:rsid w:val="00B57D01"/>
    <w:rsid w:val="00B57D79"/>
    <w:rsid w:val="00B57E6D"/>
    <w:rsid w:val="00B6000B"/>
    <w:rsid w:val="00B6020A"/>
    <w:rsid w:val="00B60268"/>
    <w:rsid w:val="00B60339"/>
    <w:rsid w:val="00B60382"/>
    <w:rsid w:val="00B6044B"/>
    <w:rsid w:val="00B60650"/>
    <w:rsid w:val="00B606CA"/>
    <w:rsid w:val="00B60771"/>
    <w:rsid w:val="00B60780"/>
    <w:rsid w:val="00B60906"/>
    <w:rsid w:val="00B60983"/>
    <w:rsid w:val="00B60C5B"/>
    <w:rsid w:val="00B61203"/>
    <w:rsid w:val="00B6132F"/>
    <w:rsid w:val="00B61371"/>
    <w:rsid w:val="00B61715"/>
    <w:rsid w:val="00B6176E"/>
    <w:rsid w:val="00B61BE1"/>
    <w:rsid w:val="00B61DDF"/>
    <w:rsid w:val="00B61E19"/>
    <w:rsid w:val="00B61E3B"/>
    <w:rsid w:val="00B6202B"/>
    <w:rsid w:val="00B62388"/>
    <w:rsid w:val="00B6284F"/>
    <w:rsid w:val="00B62980"/>
    <w:rsid w:val="00B62C5F"/>
    <w:rsid w:val="00B62CE9"/>
    <w:rsid w:val="00B62E35"/>
    <w:rsid w:val="00B62F0B"/>
    <w:rsid w:val="00B62FE4"/>
    <w:rsid w:val="00B631AF"/>
    <w:rsid w:val="00B632E3"/>
    <w:rsid w:val="00B63310"/>
    <w:rsid w:val="00B6344F"/>
    <w:rsid w:val="00B634FE"/>
    <w:rsid w:val="00B6368E"/>
    <w:rsid w:val="00B63982"/>
    <w:rsid w:val="00B63DF3"/>
    <w:rsid w:val="00B6441E"/>
    <w:rsid w:val="00B6481D"/>
    <w:rsid w:val="00B6494C"/>
    <w:rsid w:val="00B64A9C"/>
    <w:rsid w:val="00B64F60"/>
    <w:rsid w:val="00B64F73"/>
    <w:rsid w:val="00B6547F"/>
    <w:rsid w:val="00B655A4"/>
    <w:rsid w:val="00B65661"/>
    <w:rsid w:val="00B65887"/>
    <w:rsid w:val="00B65CA9"/>
    <w:rsid w:val="00B66092"/>
    <w:rsid w:val="00B6612E"/>
    <w:rsid w:val="00B66629"/>
    <w:rsid w:val="00B66AA4"/>
    <w:rsid w:val="00B66BF1"/>
    <w:rsid w:val="00B66C25"/>
    <w:rsid w:val="00B66CC2"/>
    <w:rsid w:val="00B66DC5"/>
    <w:rsid w:val="00B67153"/>
    <w:rsid w:val="00B673A0"/>
    <w:rsid w:val="00B6771C"/>
    <w:rsid w:val="00B67F76"/>
    <w:rsid w:val="00B67FF5"/>
    <w:rsid w:val="00B700ED"/>
    <w:rsid w:val="00B70169"/>
    <w:rsid w:val="00B70262"/>
    <w:rsid w:val="00B7026A"/>
    <w:rsid w:val="00B702EB"/>
    <w:rsid w:val="00B70687"/>
    <w:rsid w:val="00B70791"/>
    <w:rsid w:val="00B70962"/>
    <w:rsid w:val="00B70C25"/>
    <w:rsid w:val="00B70F49"/>
    <w:rsid w:val="00B70FF9"/>
    <w:rsid w:val="00B7101B"/>
    <w:rsid w:val="00B71063"/>
    <w:rsid w:val="00B7106D"/>
    <w:rsid w:val="00B710F3"/>
    <w:rsid w:val="00B71495"/>
    <w:rsid w:val="00B717E5"/>
    <w:rsid w:val="00B71B9A"/>
    <w:rsid w:val="00B71C60"/>
    <w:rsid w:val="00B71F58"/>
    <w:rsid w:val="00B72258"/>
    <w:rsid w:val="00B72285"/>
    <w:rsid w:val="00B72570"/>
    <w:rsid w:val="00B7267E"/>
    <w:rsid w:val="00B7285A"/>
    <w:rsid w:val="00B728E2"/>
    <w:rsid w:val="00B72B2F"/>
    <w:rsid w:val="00B72CBC"/>
    <w:rsid w:val="00B72F22"/>
    <w:rsid w:val="00B730AD"/>
    <w:rsid w:val="00B7332A"/>
    <w:rsid w:val="00B7335E"/>
    <w:rsid w:val="00B735B5"/>
    <w:rsid w:val="00B736C6"/>
    <w:rsid w:val="00B73708"/>
    <w:rsid w:val="00B739F3"/>
    <w:rsid w:val="00B73CBD"/>
    <w:rsid w:val="00B73FEC"/>
    <w:rsid w:val="00B74009"/>
    <w:rsid w:val="00B740F3"/>
    <w:rsid w:val="00B742B1"/>
    <w:rsid w:val="00B74419"/>
    <w:rsid w:val="00B7445E"/>
    <w:rsid w:val="00B744C1"/>
    <w:rsid w:val="00B74CDD"/>
    <w:rsid w:val="00B74D3B"/>
    <w:rsid w:val="00B74F94"/>
    <w:rsid w:val="00B75221"/>
    <w:rsid w:val="00B752ED"/>
    <w:rsid w:val="00B7542E"/>
    <w:rsid w:val="00B75551"/>
    <w:rsid w:val="00B75584"/>
    <w:rsid w:val="00B757FE"/>
    <w:rsid w:val="00B75CD5"/>
    <w:rsid w:val="00B75EF0"/>
    <w:rsid w:val="00B764F4"/>
    <w:rsid w:val="00B76510"/>
    <w:rsid w:val="00B768E2"/>
    <w:rsid w:val="00B768EE"/>
    <w:rsid w:val="00B76A12"/>
    <w:rsid w:val="00B76B27"/>
    <w:rsid w:val="00B76C48"/>
    <w:rsid w:val="00B76D90"/>
    <w:rsid w:val="00B76F75"/>
    <w:rsid w:val="00B77040"/>
    <w:rsid w:val="00B770B5"/>
    <w:rsid w:val="00B7716A"/>
    <w:rsid w:val="00B7720A"/>
    <w:rsid w:val="00B77270"/>
    <w:rsid w:val="00B77963"/>
    <w:rsid w:val="00B779AD"/>
    <w:rsid w:val="00B77A12"/>
    <w:rsid w:val="00B77A5E"/>
    <w:rsid w:val="00B77BEB"/>
    <w:rsid w:val="00B77C1D"/>
    <w:rsid w:val="00B77EB4"/>
    <w:rsid w:val="00B77ED8"/>
    <w:rsid w:val="00B80189"/>
    <w:rsid w:val="00B804BC"/>
    <w:rsid w:val="00B808B0"/>
    <w:rsid w:val="00B808C3"/>
    <w:rsid w:val="00B80A33"/>
    <w:rsid w:val="00B80C5B"/>
    <w:rsid w:val="00B80D63"/>
    <w:rsid w:val="00B80DA3"/>
    <w:rsid w:val="00B80E7E"/>
    <w:rsid w:val="00B80F8A"/>
    <w:rsid w:val="00B80F8F"/>
    <w:rsid w:val="00B81169"/>
    <w:rsid w:val="00B8166A"/>
    <w:rsid w:val="00B81CC4"/>
    <w:rsid w:val="00B81E3A"/>
    <w:rsid w:val="00B81E4C"/>
    <w:rsid w:val="00B82268"/>
    <w:rsid w:val="00B8232D"/>
    <w:rsid w:val="00B82609"/>
    <w:rsid w:val="00B82816"/>
    <w:rsid w:val="00B82961"/>
    <w:rsid w:val="00B82A01"/>
    <w:rsid w:val="00B82D7F"/>
    <w:rsid w:val="00B82E0E"/>
    <w:rsid w:val="00B82F46"/>
    <w:rsid w:val="00B82FB3"/>
    <w:rsid w:val="00B83200"/>
    <w:rsid w:val="00B83242"/>
    <w:rsid w:val="00B832C7"/>
    <w:rsid w:val="00B83426"/>
    <w:rsid w:val="00B83997"/>
    <w:rsid w:val="00B83B41"/>
    <w:rsid w:val="00B83C67"/>
    <w:rsid w:val="00B83EEF"/>
    <w:rsid w:val="00B8447D"/>
    <w:rsid w:val="00B846B7"/>
    <w:rsid w:val="00B847D7"/>
    <w:rsid w:val="00B84909"/>
    <w:rsid w:val="00B84AD1"/>
    <w:rsid w:val="00B84B16"/>
    <w:rsid w:val="00B84CA1"/>
    <w:rsid w:val="00B84D01"/>
    <w:rsid w:val="00B84D3E"/>
    <w:rsid w:val="00B85064"/>
    <w:rsid w:val="00B8511C"/>
    <w:rsid w:val="00B851F4"/>
    <w:rsid w:val="00B853BB"/>
    <w:rsid w:val="00B85901"/>
    <w:rsid w:val="00B85A91"/>
    <w:rsid w:val="00B85D1F"/>
    <w:rsid w:val="00B86000"/>
    <w:rsid w:val="00B86282"/>
    <w:rsid w:val="00B8643B"/>
    <w:rsid w:val="00B86497"/>
    <w:rsid w:val="00B86684"/>
    <w:rsid w:val="00B86825"/>
    <w:rsid w:val="00B86891"/>
    <w:rsid w:val="00B86A92"/>
    <w:rsid w:val="00B86D2A"/>
    <w:rsid w:val="00B86D39"/>
    <w:rsid w:val="00B86D9E"/>
    <w:rsid w:val="00B86E2F"/>
    <w:rsid w:val="00B87167"/>
    <w:rsid w:val="00B87330"/>
    <w:rsid w:val="00B873D1"/>
    <w:rsid w:val="00B8765B"/>
    <w:rsid w:val="00B876E7"/>
    <w:rsid w:val="00B8782B"/>
    <w:rsid w:val="00B87C8B"/>
    <w:rsid w:val="00B87D5E"/>
    <w:rsid w:val="00B900A6"/>
    <w:rsid w:val="00B900BE"/>
    <w:rsid w:val="00B900DA"/>
    <w:rsid w:val="00B902BB"/>
    <w:rsid w:val="00B90554"/>
    <w:rsid w:val="00B9060C"/>
    <w:rsid w:val="00B90622"/>
    <w:rsid w:val="00B90756"/>
    <w:rsid w:val="00B9079B"/>
    <w:rsid w:val="00B907D5"/>
    <w:rsid w:val="00B90864"/>
    <w:rsid w:val="00B90AF7"/>
    <w:rsid w:val="00B90BE9"/>
    <w:rsid w:val="00B90E2F"/>
    <w:rsid w:val="00B90E5B"/>
    <w:rsid w:val="00B90F2B"/>
    <w:rsid w:val="00B90F93"/>
    <w:rsid w:val="00B910DB"/>
    <w:rsid w:val="00B9132C"/>
    <w:rsid w:val="00B91394"/>
    <w:rsid w:val="00B913BA"/>
    <w:rsid w:val="00B91601"/>
    <w:rsid w:val="00B9172B"/>
    <w:rsid w:val="00B9198A"/>
    <w:rsid w:val="00B91CC4"/>
    <w:rsid w:val="00B91DA8"/>
    <w:rsid w:val="00B91F20"/>
    <w:rsid w:val="00B92054"/>
    <w:rsid w:val="00B9226D"/>
    <w:rsid w:val="00B923B9"/>
    <w:rsid w:val="00B92435"/>
    <w:rsid w:val="00B92584"/>
    <w:rsid w:val="00B9296C"/>
    <w:rsid w:val="00B929F6"/>
    <w:rsid w:val="00B92D58"/>
    <w:rsid w:val="00B9300A"/>
    <w:rsid w:val="00B93112"/>
    <w:rsid w:val="00B9315A"/>
    <w:rsid w:val="00B93549"/>
    <w:rsid w:val="00B935B2"/>
    <w:rsid w:val="00B93B6B"/>
    <w:rsid w:val="00B93C43"/>
    <w:rsid w:val="00B93CCE"/>
    <w:rsid w:val="00B93DB3"/>
    <w:rsid w:val="00B940C2"/>
    <w:rsid w:val="00B94132"/>
    <w:rsid w:val="00B941BD"/>
    <w:rsid w:val="00B941CD"/>
    <w:rsid w:val="00B941E8"/>
    <w:rsid w:val="00B94297"/>
    <w:rsid w:val="00B943EF"/>
    <w:rsid w:val="00B94425"/>
    <w:rsid w:val="00B94467"/>
    <w:rsid w:val="00B946F7"/>
    <w:rsid w:val="00B94705"/>
    <w:rsid w:val="00B94713"/>
    <w:rsid w:val="00B94C33"/>
    <w:rsid w:val="00B94F2F"/>
    <w:rsid w:val="00B94F76"/>
    <w:rsid w:val="00B952AA"/>
    <w:rsid w:val="00B955C6"/>
    <w:rsid w:val="00B9566F"/>
    <w:rsid w:val="00B961E3"/>
    <w:rsid w:val="00B96424"/>
    <w:rsid w:val="00B964D4"/>
    <w:rsid w:val="00B96579"/>
    <w:rsid w:val="00B96A19"/>
    <w:rsid w:val="00B96F1D"/>
    <w:rsid w:val="00B96F1E"/>
    <w:rsid w:val="00B97091"/>
    <w:rsid w:val="00B970E9"/>
    <w:rsid w:val="00B971AB"/>
    <w:rsid w:val="00B977C3"/>
    <w:rsid w:val="00B97966"/>
    <w:rsid w:val="00B97AAE"/>
    <w:rsid w:val="00B97BC6"/>
    <w:rsid w:val="00B97D38"/>
    <w:rsid w:val="00B97DCC"/>
    <w:rsid w:val="00BA0794"/>
    <w:rsid w:val="00BA082B"/>
    <w:rsid w:val="00BA0A38"/>
    <w:rsid w:val="00BA0A5E"/>
    <w:rsid w:val="00BA0BB2"/>
    <w:rsid w:val="00BA0C45"/>
    <w:rsid w:val="00BA0DF9"/>
    <w:rsid w:val="00BA0F59"/>
    <w:rsid w:val="00BA0FE9"/>
    <w:rsid w:val="00BA1016"/>
    <w:rsid w:val="00BA1294"/>
    <w:rsid w:val="00BA1322"/>
    <w:rsid w:val="00BA1359"/>
    <w:rsid w:val="00BA13B9"/>
    <w:rsid w:val="00BA1639"/>
    <w:rsid w:val="00BA16B5"/>
    <w:rsid w:val="00BA1B4C"/>
    <w:rsid w:val="00BA1C4F"/>
    <w:rsid w:val="00BA1D7D"/>
    <w:rsid w:val="00BA229A"/>
    <w:rsid w:val="00BA22DF"/>
    <w:rsid w:val="00BA23B7"/>
    <w:rsid w:val="00BA2725"/>
    <w:rsid w:val="00BA30AB"/>
    <w:rsid w:val="00BA3175"/>
    <w:rsid w:val="00BA320E"/>
    <w:rsid w:val="00BA32B2"/>
    <w:rsid w:val="00BA32C0"/>
    <w:rsid w:val="00BA344F"/>
    <w:rsid w:val="00BA39D3"/>
    <w:rsid w:val="00BA3B11"/>
    <w:rsid w:val="00BA3E07"/>
    <w:rsid w:val="00BA451F"/>
    <w:rsid w:val="00BA468D"/>
    <w:rsid w:val="00BA46B2"/>
    <w:rsid w:val="00BA473E"/>
    <w:rsid w:val="00BA4990"/>
    <w:rsid w:val="00BA4AB4"/>
    <w:rsid w:val="00BA4BB1"/>
    <w:rsid w:val="00BA4C94"/>
    <w:rsid w:val="00BA4DC6"/>
    <w:rsid w:val="00BA4F20"/>
    <w:rsid w:val="00BA4FE6"/>
    <w:rsid w:val="00BA5233"/>
    <w:rsid w:val="00BA5462"/>
    <w:rsid w:val="00BA568A"/>
    <w:rsid w:val="00BA5742"/>
    <w:rsid w:val="00BA57C3"/>
    <w:rsid w:val="00BA5C1B"/>
    <w:rsid w:val="00BA5CA2"/>
    <w:rsid w:val="00BA5D9D"/>
    <w:rsid w:val="00BA6042"/>
    <w:rsid w:val="00BA638E"/>
    <w:rsid w:val="00BA639A"/>
    <w:rsid w:val="00BA695B"/>
    <w:rsid w:val="00BA69CC"/>
    <w:rsid w:val="00BA6A16"/>
    <w:rsid w:val="00BA6CE5"/>
    <w:rsid w:val="00BA6F09"/>
    <w:rsid w:val="00BA70B7"/>
    <w:rsid w:val="00BA7267"/>
    <w:rsid w:val="00BA77A5"/>
    <w:rsid w:val="00BA77C0"/>
    <w:rsid w:val="00BA77E5"/>
    <w:rsid w:val="00BA7A63"/>
    <w:rsid w:val="00BA7A8C"/>
    <w:rsid w:val="00BA7E2F"/>
    <w:rsid w:val="00BA7F01"/>
    <w:rsid w:val="00BA7FC4"/>
    <w:rsid w:val="00BA7FEE"/>
    <w:rsid w:val="00BAF7CD"/>
    <w:rsid w:val="00BB0749"/>
    <w:rsid w:val="00BB079C"/>
    <w:rsid w:val="00BB082F"/>
    <w:rsid w:val="00BB08A7"/>
    <w:rsid w:val="00BB0DF9"/>
    <w:rsid w:val="00BB0DFB"/>
    <w:rsid w:val="00BB0F33"/>
    <w:rsid w:val="00BB1194"/>
    <w:rsid w:val="00BB1276"/>
    <w:rsid w:val="00BB138A"/>
    <w:rsid w:val="00BB1503"/>
    <w:rsid w:val="00BB18A8"/>
    <w:rsid w:val="00BB1A4C"/>
    <w:rsid w:val="00BB1BA2"/>
    <w:rsid w:val="00BB1CA5"/>
    <w:rsid w:val="00BB1DC6"/>
    <w:rsid w:val="00BB1DDE"/>
    <w:rsid w:val="00BB2190"/>
    <w:rsid w:val="00BB2206"/>
    <w:rsid w:val="00BB242D"/>
    <w:rsid w:val="00BB2512"/>
    <w:rsid w:val="00BB2691"/>
    <w:rsid w:val="00BB26B3"/>
    <w:rsid w:val="00BB272F"/>
    <w:rsid w:val="00BB2780"/>
    <w:rsid w:val="00BB27FA"/>
    <w:rsid w:val="00BB2802"/>
    <w:rsid w:val="00BB2915"/>
    <w:rsid w:val="00BB296C"/>
    <w:rsid w:val="00BB29C4"/>
    <w:rsid w:val="00BB37B5"/>
    <w:rsid w:val="00BB394E"/>
    <w:rsid w:val="00BB39C8"/>
    <w:rsid w:val="00BB3C09"/>
    <w:rsid w:val="00BB3D72"/>
    <w:rsid w:val="00BB4138"/>
    <w:rsid w:val="00BB4253"/>
    <w:rsid w:val="00BB42F1"/>
    <w:rsid w:val="00BB4594"/>
    <w:rsid w:val="00BB4808"/>
    <w:rsid w:val="00BB4929"/>
    <w:rsid w:val="00BB4940"/>
    <w:rsid w:val="00BB4C7D"/>
    <w:rsid w:val="00BB4D84"/>
    <w:rsid w:val="00BB4E85"/>
    <w:rsid w:val="00BB507A"/>
    <w:rsid w:val="00BB5304"/>
    <w:rsid w:val="00BB536C"/>
    <w:rsid w:val="00BB549D"/>
    <w:rsid w:val="00BB54F8"/>
    <w:rsid w:val="00BB5505"/>
    <w:rsid w:val="00BB55F6"/>
    <w:rsid w:val="00BB56C8"/>
    <w:rsid w:val="00BB5C69"/>
    <w:rsid w:val="00BB5DE1"/>
    <w:rsid w:val="00BB5E21"/>
    <w:rsid w:val="00BB5EE4"/>
    <w:rsid w:val="00BB6065"/>
    <w:rsid w:val="00BB60E8"/>
    <w:rsid w:val="00BB6158"/>
    <w:rsid w:val="00BB64E9"/>
    <w:rsid w:val="00BB650A"/>
    <w:rsid w:val="00BB6556"/>
    <w:rsid w:val="00BB6617"/>
    <w:rsid w:val="00BB67A3"/>
    <w:rsid w:val="00BB6835"/>
    <w:rsid w:val="00BB68D0"/>
    <w:rsid w:val="00BB68DB"/>
    <w:rsid w:val="00BB6BAA"/>
    <w:rsid w:val="00BB6C04"/>
    <w:rsid w:val="00BB6C40"/>
    <w:rsid w:val="00BB6E0F"/>
    <w:rsid w:val="00BB6FCC"/>
    <w:rsid w:val="00BB719A"/>
    <w:rsid w:val="00BB75F9"/>
    <w:rsid w:val="00BB76B5"/>
    <w:rsid w:val="00BB76C0"/>
    <w:rsid w:val="00BB7A36"/>
    <w:rsid w:val="00BB7B20"/>
    <w:rsid w:val="00BB7FED"/>
    <w:rsid w:val="00BBFAA0"/>
    <w:rsid w:val="00BC041E"/>
    <w:rsid w:val="00BC0782"/>
    <w:rsid w:val="00BC0790"/>
    <w:rsid w:val="00BC082A"/>
    <w:rsid w:val="00BC0BB1"/>
    <w:rsid w:val="00BC0D11"/>
    <w:rsid w:val="00BC0DBA"/>
    <w:rsid w:val="00BC0E6C"/>
    <w:rsid w:val="00BC103C"/>
    <w:rsid w:val="00BC12E0"/>
    <w:rsid w:val="00BC131B"/>
    <w:rsid w:val="00BC1566"/>
    <w:rsid w:val="00BC1599"/>
    <w:rsid w:val="00BC197F"/>
    <w:rsid w:val="00BC19A2"/>
    <w:rsid w:val="00BC1A3F"/>
    <w:rsid w:val="00BC1A86"/>
    <w:rsid w:val="00BC1AC4"/>
    <w:rsid w:val="00BC1CE7"/>
    <w:rsid w:val="00BC1E4C"/>
    <w:rsid w:val="00BC1EA8"/>
    <w:rsid w:val="00BC241F"/>
    <w:rsid w:val="00BC242A"/>
    <w:rsid w:val="00BC25CA"/>
    <w:rsid w:val="00BC2A86"/>
    <w:rsid w:val="00BC2DE7"/>
    <w:rsid w:val="00BC2E67"/>
    <w:rsid w:val="00BC303E"/>
    <w:rsid w:val="00BC304D"/>
    <w:rsid w:val="00BC30FB"/>
    <w:rsid w:val="00BC32D8"/>
    <w:rsid w:val="00BC3313"/>
    <w:rsid w:val="00BC333A"/>
    <w:rsid w:val="00BC36EB"/>
    <w:rsid w:val="00BC39B7"/>
    <w:rsid w:val="00BC39F5"/>
    <w:rsid w:val="00BC3C36"/>
    <w:rsid w:val="00BC3D1C"/>
    <w:rsid w:val="00BC3E32"/>
    <w:rsid w:val="00BC3FD0"/>
    <w:rsid w:val="00BC413E"/>
    <w:rsid w:val="00BC4637"/>
    <w:rsid w:val="00BC4734"/>
    <w:rsid w:val="00BC4749"/>
    <w:rsid w:val="00BC4918"/>
    <w:rsid w:val="00BC498C"/>
    <w:rsid w:val="00BC4A75"/>
    <w:rsid w:val="00BC4B9C"/>
    <w:rsid w:val="00BC4BB4"/>
    <w:rsid w:val="00BC4C2A"/>
    <w:rsid w:val="00BC4F01"/>
    <w:rsid w:val="00BC5208"/>
    <w:rsid w:val="00BC5369"/>
    <w:rsid w:val="00BC54BF"/>
    <w:rsid w:val="00BC55FD"/>
    <w:rsid w:val="00BC569E"/>
    <w:rsid w:val="00BC56C8"/>
    <w:rsid w:val="00BC5AAE"/>
    <w:rsid w:val="00BC5C84"/>
    <w:rsid w:val="00BC5CD0"/>
    <w:rsid w:val="00BC5D78"/>
    <w:rsid w:val="00BC5EB9"/>
    <w:rsid w:val="00BC5F81"/>
    <w:rsid w:val="00BC6017"/>
    <w:rsid w:val="00BC6290"/>
    <w:rsid w:val="00BC65A5"/>
    <w:rsid w:val="00BC6776"/>
    <w:rsid w:val="00BC6DF2"/>
    <w:rsid w:val="00BC70B8"/>
    <w:rsid w:val="00BC70F4"/>
    <w:rsid w:val="00BC7166"/>
    <w:rsid w:val="00BC71DB"/>
    <w:rsid w:val="00BC724B"/>
    <w:rsid w:val="00BC7512"/>
    <w:rsid w:val="00BC7AFE"/>
    <w:rsid w:val="00BC7B49"/>
    <w:rsid w:val="00BC7B56"/>
    <w:rsid w:val="00BC7EDD"/>
    <w:rsid w:val="00BD0087"/>
    <w:rsid w:val="00BD00A2"/>
    <w:rsid w:val="00BD0805"/>
    <w:rsid w:val="00BD0817"/>
    <w:rsid w:val="00BD082B"/>
    <w:rsid w:val="00BD0B25"/>
    <w:rsid w:val="00BD0D00"/>
    <w:rsid w:val="00BD0EEC"/>
    <w:rsid w:val="00BD0F05"/>
    <w:rsid w:val="00BD1189"/>
    <w:rsid w:val="00BD13B4"/>
    <w:rsid w:val="00BD175D"/>
    <w:rsid w:val="00BD17A0"/>
    <w:rsid w:val="00BD1D70"/>
    <w:rsid w:val="00BD1E6A"/>
    <w:rsid w:val="00BD1EB1"/>
    <w:rsid w:val="00BD1EBE"/>
    <w:rsid w:val="00BD1F0C"/>
    <w:rsid w:val="00BD20B6"/>
    <w:rsid w:val="00BD2267"/>
    <w:rsid w:val="00BD22D6"/>
    <w:rsid w:val="00BD2788"/>
    <w:rsid w:val="00BD2A71"/>
    <w:rsid w:val="00BD2C8E"/>
    <w:rsid w:val="00BD2D68"/>
    <w:rsid w:val="00BD2DDF"/>
    <w:rsid w:val="00BD2E19"/>
    <w:rsid w:val="00BD2F32"/>
    <w:rsid w:val="00BD32CA"/>
    <w:rsid w:val="00BD3335"/>
    <w:rsid w:val="00BD33E7"/>
    <w:rsid w:val="00BD346C"/>
    <w:rsid w:val="00BD3512"/>
    <w:rsid w:val="00BD356B"/>
    <w:rsid w:val="00BD36DB"/>
    <w:rsid w:val="00BD3703"/>
    <w:rsid w:val="00BD377C"/>
    <w:rsid w:val="00BD393D"/>
    <w:rsid w:val="00BD3972"/>
    <w:rsid w:val="00BD3B9F"/>
    <w:rsid w:val="00BD3D58"/>
    <w:rsid w:val="00BD40AD"/>
    <w:rsid w:val="00BD4113"/>
    <w:rsid w:val="00BD4233"/>
    <w:rsid w:val="00BD4270"/>
    <w:rsid w:val="00BD4284"/>
    <w:rsid w:val="00BD4417"/>
    <w:rsid w:val="00BD46DF"/>
    <w:rsid w:val="00BD482C"/>
    <w:rsid w:val="00BD4911"/>
    <w:rsid w:val="00BD4990"/>
    <w:rsid w:val="00BD4BB7"/>
    <w:rsid w:val="00BD4E2B"/>
    <w:rsid w:val="00BD4EB2"/>
    <w:rsid w:val="00BD5040"/>
    <w:rsid w:val="00BD513B"/>
    <w:rsid w:val="00BD52BD"/>
    <w:rsid w:val="00BD55B6"/>
    <w:rsid w:val="00BD57C9"/>
    <w:rsid w:val="00BD58E2"/>
    <w:rsid w:val="00BD5A59"/>
    <w:rsid w:val="00BD5C80"/>
    <w:rsid w:val="00BD5CD7"/>
    <w:rsid w:val="00BD5CF2"/>
    <w:rsid w:val="00BD5D77"/>
    <w:rsid w:val="00BD5E44"/>
    <w:rsid w:val="00BD6040"/>
    <w:rsid w:val="00BD63F0"/>
    <w:rsid w:val="00BD6411"/>
    <w:rsid w:val="00BD64D7"/>
    <w:rsid w:val="00BD680C"/>
    <w:rsid w:val="00BD6834"/>
    <w:rsid w:val="00BD6BA5"/>
    <w:rsid w:val="00BD6C40"/>
    <w:rsid w:val="00BD6EA6"/>
    <w:rsid w:val="00BD70A7"/>
    <w:rsid w:val="00BD72B9"/>
    <w:rsid w:val="00BD78F6"/>
    <w:rsid w:val="00BE0271"/>
    <w:rsid w:val="00BE0425"/>
    <w:rsid w:val="00BE06F2"/>
    <w:rsid w:val="00BE0923"/>
    <w:rsid w:val="00BE0D68"/>
    <w:rsid w:val="00BE0E69"/>
    <w:rsid w:val="00BE10A7"/>
    <w:rsid w:val="00BE11DB"/>
    <w:rsid w:val="00BE13AD"/>
    <w:rsid w:val="00BE16A4"/>
    <w:rsid w:val="00BE18A6"/>
    <w:rsid w:val="00BE18E6"/>
    <w:rsid w:val="00BE1979"/>
    <w:rsid w:val="00BE1D5F"/>
    <w:rsid w:val="00BE1E28"/>
    <w:rsid w:val="00BE1F1F"/>
    <w:rsid w:val="00BE2134"/>
    <w:rsid w:val="00BE222D"/>
    <w:rsid w:val="00BE24B6"/>
    <w:rsid w:val="00BE269F"/>
    <w:rsid w:val="00BE26DF"/>
    <w:rsid w:val="00BE281F"/>
    <w:rsid w:val="00BE2C36"/>
    <w:rsid w:val="00BE2F00"/>
    <w:rsid w:val="00BE2F5A"/>
    <w:rsid w:val="00BE30EF"/>
    <w:rsid w:val="00BE3216"/>
    <w:rsid w:val="00BE3268"/>
    <w:rsid w:val="00BE3414"/>
    <w:rsid w:val="00BE35CF"/>
    <w:rsid w:val="00BE363C"/>
    <w:rsid w:val="00BE368D"/>
    <w:rsid w:val="00BE37F7"/>
    <w:rsid w:val="00BE3AE1"/>
    <w:rsid w:val="00BE3BB9"/>
    <w:rsid w:val="00BE3BDB"/>
    <w:rsid w:val="00BE3CBB"/>
    <w:rsid w:val="00BE3F0E"/>
    <w:rsid w:val="00BE4513"/>
    <w:rsid w:val="00BE4650"/>
    <w:rsid w:val="00BE484A"/>
    <w:rsid w:val="00BE4886"/>
    <w:rsid w:val="00BE48F7"/>
    <w:rsid w:val="00BE4AA3"/>
    <w:rsid w:val="00BE4CBF"/>
    <w:rsid w:val="00BE4D2B"/>
    <w:rsid w:val="00BE4DC4"/>
    <w:rsid w:val="00BE4EB7"/>
    <w:rsid w:val="00BE4F05"/>
    <w:rsid w:val="00BE4FDE"/>
    <w:rsid w:val="00BE5383"/>
    <w:rsid w:val="00BE544A"/>
    <w:rsid w:val="00BE54C2"/>
    <w:rsid w:val="00BE5742"/>
    <w:rsid w:val="00BE59F7"/>
    <w:rsid w:val="00BE5B2E"/>
    <w:rsid w:val="00BE5BAF"/>
    <w:rsid w:val="00BE5CD7"/>
    <w:rsid w:val="00BE5F88"/>
    <w:rsid w:val="00BE60B9"/>
    <w:rsid w:val="00BE6333"/>
    <w:rsid w:val="00BE6415"/>
    <w:rsid w:val="00BE64BF"/>
    <w:rsid w:val="00BE6514"/>
    <w:rsid w:val="00BE67CA"/>
    <w:rsid w:val="00BE6855"/>
    <w:rsid w:val="00BE68DB"/>
    <w:rsid w:val="00BE6EBF"/>
    <w:rsid w:val="00BE6F0C"/>
    <w:rsid w:val="00BE7170"/>
    <w:rsid w:val="00BE71AD"/>
    <w:rsid w:val="00BE7277"/>
    <w:rsid w:val="00BE72C6"/>
    <w:rsid w:val="00BE7313"/>
    <w:rsid w:val="00BE733C"/>
    <w:rsid w:val="00BE7367"/>
    <w:rsid w:val="00BE746E"/>
    <w:rsid w:val="00BE74CC"/>
    <w:rsid w:val="00BE74DC"/>
    <w:rsid w:val="00BE7762"/>
    <w:rsid w:val="00BE79E1"/>
    <w:rsid w:val="00BE7A9B"/>
    <w:rsid w:val="00BE7B24"/>
    <w:rsid w:val="00BE7B9E"/>
    <w:rsid w:val="00BF00C1"/>
    <w:rsid w:val="00BF0184"/>
    <w:rsid w:val="00BF01D9"/>
    <w:rsid w:val="00BF01F5"/>
    <w:rsid w:val="00BF042B"/>
    <w:rsid w:val="00BF0714"/>
    <w:rsid w:val="00BF0880"/>
    <w:rsid w:val="00BF0C12"/>
    <w:rsid w:val="00BF0CB0"/>
    <w:rsid w:val="00BF0E77"/>
    <w:rsid w:val="00BF0FB5"/>
    <w:rsid w:val="00BF13A5"/>
    <w:rsid w:val="00BF1733"/>
    <w:rsid w:val="00BF1AB2"/>
    <w:rsid w:val="00BF1ABD"/>
    <w:rsid w:val="00BF1BE4"/>
    <w:rsid w:val="00BF1EDC"/>
    <w:rsid w:val="00BF2258"/>
    <w:rsid w:val="00BF2294"/>
    <w:rsid w:val="00BF2672"/>
    <w:rsid w:val="00BF28B9"/>
    <w:rsid w:val="00BF2AE3"/>
    <w:rsid w:val="00BF2B81"/>
    <w:rsid w:val="00BF2C47"/>
    <w:rsid w:val="00BF2C62"/>
    <w:rsid w:val="00BF2F0B"/>
    <w:rsid w:val="00BF3072"/>
    <w:rsid w:val="00BF3137"/>
    <w:rsid w:val="00BF321E"/>
    <w:rsid w:val="00BF3263"/>
    <w:rsid w:val="00BF3334"/>
    <w:rsid w:val="00BF33A4"/>
    <w:rsid w:val="00BF3785"/>
    <w:rsid w:val="00BF380E"/>
    <w:rsid w:val="00BF38CA"/>
    <w:rsid w:val="00BF3DE9"/>
    <w:rsid w:val="00BF3E63"/>
    <w:rsid w:val="00BF4246"/>
    <w:rsid w:val="00BF47B1"/>
    <w:rsid w:val="00BF4CE8"/>
    <w:rsid w:val="00BF4D9B"/>
    <w:rsid w:val="00BF5294"/>
    <w:rsid w:val="00BF52B4"/>
    <w:rsid w:val="00BF53C7"/>
    <w:rsid w:val="00BF55B5"/>
    <w:rsid w:val="00BF5697"/>
    <w:rsid w:val="00BF582F"/>
    <w:rsid w:val="00BF5982"/>
    <w:rsid w:val="00BF5F30"/>
    <w:rsid w:val="00BF5F87"/>
    <w:rsid w:val="00BF5FC1"/>
    <w:rsid w:val="00BF61D4"/>
    <w:rsid w:val="00BF620D"/>
    <w:rsid w:val="00BF6426"/>
    <w:rsid w:val="00BF6647"/>
    <w:rsid w:val="00BF6655"/>
    <w:rsid w:val="00BF6A7C"/>
    <w:rsid w:val="00BF6B67"/>
    <w:rsid w:val="00BF6F80"/>
    <w:rsid w:val="00BF6FB0"/>
    <w:rsid w:val="00BF705D"/>
    <w:rsid w:val="00BF727E"/>
    <w:rsid w:val="00BF729E"/>
    <w:rsid w:val="00BF7436"/>
    <w:rsid w:val="00BF747D"/>
    <w:rsid w:val="00BF75BB"/>
    <w:rsid w:val="00BF787E"/>
    <w:rsid w:val="00BF7F34"/>
    <w:rsid w:val="00BF7F9C"/>
    <w:rsid w:val="00C00064"/>
    <w:rsid w:val="00C00095"/>
    <w:rsid w:val="00C00196"/>
    <w:rsid w:val="00C002FC"/>
    <w:rsid w:val="00C00441"/>
    <w:rsid w:val="00C0071F"/>
    <w:rsid w:val="00C0088A"/>
    <w:rsid w:val="00C00A5E"/>
    <w:rsid w:val="00C00DA0"/>
    <w:rsid w:val="00C00FE5"/>
    <w:rsid w:val="00C01857"/>
    <w:rsid w:val="00C01901"/>
    <w:rsid w:val="00C019AB"/>
    <w:rsid w:val="00C01F5F"/>
    <w:rsid w:val="00C0220D"/>
    <w:rsid w:val="00C0226A"/>
    <w:rsid w:val="00C0251D"/>
    <w:rsid w:val="00C025D5"/>
    <w:rsid w:val="00C02772"/>
    <w:rsid w:val="00C02776"/>
    <w:rsid w:val="00C02AB3"/>
    <w:rsid w:val="00C02BDE"/>
    <w:rsid w:val="00C02C75"/>
    <w:rsid w:val="00C032E5"/>
    <w:rsid w:val="00C03851"/>
    <w:rsid w:val="00C03C6E"/>
    <w:rsid w:val="00C03D74"/>
    <w:rsid w:val="00C03E9F"/>
    <w:rsid w:val="00C03EB1"/>
    <w:rsid w:val="00C042DB"/>
    <w:rsid w:val="00C04662"/>
    <w:rsid w:val="00C04A0C"/>
    <w:rsid w:val="00C04B12"/>
    <w:rsid w:val="00C04CB5"/>
    <w:rsid w:val="00C0527F"/>
    <w:rsid w:val="00C05437"/>
    <w:rsid w:val="00C05748"/>
    <w:rsid w:val="00C0594D"/>
    <w:rsid w:val="00C05B8E"/>
    <w:rsid w:val="00C05C61"/>
    <w:rsid w:val="00C05FBF"/>
    <w:rsid w:val="00C06092"/>
    <w:rsid w:val="00C061B6"/>
    <w:rsid w:val="00C061C7"/>
    <w:rsid w:val="00C06388"/>
    <w:rsid w:val="00C064A6"/>
    <w:rsid w:val="00C0668F"/>
    <w:rsid w:val="00C06964"/>
    <w:rsid w:val="00C069C8"/>
    <w:rsid w:val="00C06BD4"/>
    <w:rsid w:val="00C06F11"/>
    <w:rsid w:val="00C0700B"/>
    <w:rsid w:val="00C070E9"/>
    <w:rsid w:val="00C071FA"/>
    <w:rsid w:val="00C07484"/>
    <w:rsid w:val="00C07560"/>
    <w:rsid w:val="00C07670"/>
    <w:rsid w:val="00C07ACE"/>
    <w:rsid w:val="00C07B24"/>
    <w:rsid w:val="00C07C31"/>
    <w:rsid w:val="00C07DF2"/>
    <w:rsid w:val="00C07F3D"/>
    <w:rsid w:val="00C1002F"/>
    <w:rsid w:val="00C10440"/>
    <w:rsid w:val="00C10455"/>
    <w:rsid w:val="00C1053B"/>
    <w:rsid w:val="00C105B2"/>
    <w:rsid w:val="00C10611"/>
    <w:rsid w:val="00C107B2"/>
    <w:rsid w:val="00C10B31"/>
    <w:rsid w:val="00C10C91"/>
    <w:rsid w:val="00C10D2B"/>
    <w:rsid w:val="00C10DA3"/>
    <w:rsid w:val="00C10E5E"/>
    <w:rsid w:val="00C113C0"/>
    <w:rsid w:val="00C115FD"/>
    <w:rsid w:val="00C1163A"/>
    <w:rsid w:val="00C1179D"/>
    <w:rsid w:val="00C11894"/>
    <w:rsid w:val="00C118D6"/>
    <w:rsid w:val="00C11BC1"/>
    <w:rsid w:val="00C11F37"/>
    <w:rsid w:val="00C12036"/>
    <w:rsid w:val="00C1207B"/>
    <w:rsid w:val="00C121E6"/>
    <w:rsid w:val="00C125F9"/>
    <w:rsid w:val="00C12678"/>
    <w:rsid w:val="00C12705"/>
    <w:rsid w:val="00C12B05"/>
    <w:rsid w:val="00C12D57"/>
    <w:rsid w:val="00C12EC8"/>
    <w:rsid w:val="00C130DB"/>
    <w:rsid w:val="00C1324D"/>
    <w:rsid w:val="00C1357E"/>
    <w:rsid w:val="00C135B9"/>
    <w:rsid w:val="00C139CC"/>
    <w:rsid w:val="00C13D1F"/>
    <w:rsid w:val="00C13D6B"/>
    <w:rsid w:val="00C144E8"/>
    <w:rsid w:val="00C146E1"/>
    <w:rsid w:val="00C14872"/>
    <w:rsid w:val="00C148D6"/>
    <w:rsid w:val="00C14BD2"/>
    <w:rsid w:val="00C14FE0"/>
    <w:rsid w:val="00C15032"/>
    <w:rsid w:val="00C150EC"/>
    <w:rsid w:val="00C1525E"/>
    <w:rsid w:val="00C153DD"/>
    <w:rsid w:val="00C1547D"/>
    <w:rsid w:val="00C15532"/>
    <w:rsid w:val="00C155CD"/>
    <w:rsid w:val="00C1576C"/>
    <w:rsid w:val="00C15A1D"/>
    <w:rsid w:val="00C15B41"/>
    <w:rsid w:val="00C15BD7"/>
    <w:rsid w:val="00C15D10"/>
    <w:rsid w:val="00C15D29"/>
    <w:rsid w:val="00C15D47"/>
    <w:rsid w:val="00C15D8D"/>
    <w:rsid w:val="00C15DD9"/>
    <w:rsid w:val="00C15E13"/>
    <w:rsid w:val="00C160AA"/>
    <w:rsid w:val="00C162CC"/>
    <w:rsid w:val="00C162D2"/>
    <w:rsid w:val="00C1638A"/>
    <w:rsid w:val="00C16670"/>
    <w:rsid w:val="00C1682D"/>
    <w:rsid w:val="00C16845"/>
    <w:rsid w:val="00C1691E"/>
    <w:rsid w:val="00C169A8"/>
    <w:rsid w:val="00C169F0"/>
    <w:rsid w:val="00C16B4A"/>
    <w:rsid w:val="00C16CB8"/>
    <w:rsid w:val="00C16F18"/>
    <w:rsid w:val="00C16F62"/>
    <w:rsid w:val="00C170D9"/>
    <w:rsid w:val="00C17107"/>
    <w:rsid w:val="00C1734D"/>
    <w:rsid w:val="00C17355"/>
    <w:rsid w:val="00C1751A"/>
    <w:rsid w:val="00C17713"/>
    <w:rsid w:val="00C177CF"/>
    <w:rsid w:val="00C17BA7"/>
    <w:rsid w:val="00C17EF9"/>
    <w:rsid w:val="00C17F4B"/>
    <w:rsid w:val="00C201C4"/>
    <w:rsid w:val="00C202DE"/>
    <w:rsid w:val="00C2034C"/>
    <w:rsid w:val="00C20574"/>
    <w:rsid w:val="00C205C1"/>
    <w:rsid w:val="00C205E0"/>
    <w:rsid w:val="00C2068B"/>
    <w:rsid w:val="00C2074A"/>
    <w:rsid w:val="00C20861"/>
    <w:rsid w:val="00C208D5"/>
    <w:rsid w:val="00C2098C"/>
    <w:rsid w:val="00C20A1A"/>
    <w:rsid w:val="00C20B39"/>
    <w:rsid w:val="00C20D46"/>
    <w:rsid w:val="00C20DAB"/>
    <w:rsid w:val="00C20E0E"/>
    <w:rsid w:val="00C20E86"/>
    <w:rsid w:val="00C210B6"/>
    <w:rsid w:val="00C2122D"/>
    <w:rsid w:val="00C212A5"/>
    <w:rsid w:val="00C215C9"/>
    <w:rsid w:val="00C21732"/>
    <w:rsid w:val="00C2176D"/>
    <w:rsid w:val="00C21895"/>
    <w:rsid w:val="00C21A2B"/>
    <w:rsid w:val="00C21AAF"/>
    <w:rsid w:val="00C21F9F"/>
    <w:rsid w:val="00C22058"/>
    <w:rsid w:val="00C220DE"/>
    <w:rsid w:val="00C2221F"/>
    <w:rsid w:val="00C2229A"/>
    <w:rsid w:val="00C2238D"/>
    <w:rsid w:val="00C22427"/>
    <w:rsid w:val="00C22444"/>
    <w:rsid w:val="00C2250E"/>
    <w:rsid w:val="00C22899"/>
    <w:rsid w:val="00C22B61"/>
    <w:rsid w:val="00C22E7E"/>
    <w:rsid w:val="00C22F4A"/>
    <w:rsid w:val="00C23405"/>
    <w:rsid w:val="00C23481"/>
    <w:rsid w:val="00C234B5"/>
    <w:rsid w:val="00C235BE"/>
    <w:rsid w:val="00C239BA"/>
    <w:rsid w:val="00C23A88"/>
    <w:rsid w:val="00C23DA9"/>
    <w:rsid w:val="00C23F72"/>
    <w:rsid w:val="00C242F9"/>
    <w:rsid w:val="00C24356"/>
    <w:rsid w:val="00C245DB"/>
    <w:rsid w:val="00C247D5"/>
    <w:rsid w:val="00C24829"/>
    <w:rsid w:val="00C2498A"/>
    <w:rsid w:val="00C24B5F"/>
    <w:rsid w:val="00C24D3F"/>
    <w:rsid w:val="00C24D4A"/>
    <w:rsid w:val="00C24E42"/>
    <w:rsid w:val="00C24F25"/>
    <w:rsid w:val="00C25063"/>
    <w:rsid w:val="00C250A9"/>
    <w:rsid w:val="00C250FA"/>
    <w:rsid w:val="00C254C1"/>
    <w:rsid w:val="00C2596E"/>
    <w:rsid w:val="00C25D5E"/>
    <w:rsid w:val="00C25E35"/>
    <w:rsid w:val="00C25EE6"/>
    <w:rsid w:val="00C26032"/>
    <w:rsid w:val="00C26079"/>
    <w:rsid w:val="00C2617C"/>
    <w:rsid w:val="00C261F2"/>
    <w:rsid w:val="00C26256"/>
    <w:rsid w:val="00C264AF"/>
    <w:rsid w:val="00C2662E"/>
    <w:rsid w:val="00C26B21"/>
    <w:rsid w:val="00C26CFC"/>
    <w:rsid w:val="00C26DA1"/>
    <w:rsid w:val="00C27075"/>
    <w:rsid w:val="00C27089"/>
    <w:rsid w:val="00C2722A"/>
    <w:rsid w:val="00C27274"/>
    <w:rsid w:val="00C27354"/>
    <w:rsid w:val="00C276A5"/>
    <w:rsid w:val="00C277FF"/>
    <w:rsid w:val="00C27A49"/>
    <w:rsid w:val="00C27BD2"/>
    <w:rsid w:val="00C27D04"/>
    <w:rsid w:val="00C27DDE"/>
    <w:rsid w:val="00C27DF8"/>
    <w:rsid w:val="00C27E0B"/>
    <w:rsid w:val="00C27E0F"/>
    <w:rsid w:val="00C27EE8"/>
    <w:rsid w:val="00C30190"/>
    <w:rsid w:val="00C30317"/>
    <w:rsid w:val="00C30416"/>
    <w:rsid w:val="00C30537"/>
    <w:rsid w:val="00C30565"/>
    <w:rsid w:val="00C307ED"/>
    <w:rsid w:val="00C30B11"/>
    <w:rsid w:val="00C30B2A"/>
    <w:rsid w:val="00C30CDA"/>
    <w:rsid w:val="00C30D59"/>
    <w:rsid w:val="00C30DC7"/>
    <w:rsid w:val="00C30E57"/>
    <w:rsid w:val="00C30FD3"/>
    <w:rsid w:val="00C3146A"/>
    <w:rsid w:val="00C315FC"/>
    <w:rsid w:val="00C31788"/>
    <w:rsid w:val="00C31920"/>
    <w:rsid w:val="00C31A39"/>
    <w:rsid w:val="00C31A3C"/>
    <w:rsid w:val="00C31B51"/>
    <w:rsid w:val="00C31C4C"/>
    <w:rsid w:val="00C31E12"/>
    <w:rsid w:val="00C31E32"/>
    <w:rsid w:val="00C32135"/>
    <w:rsid w:val="00C3271C"/>
    <w:rsid w:val="00C32953"/>
    <w:rsid w:val="00C32A41"/>
    <w:rsid w:val="00C32AA1"/>
    <w:rsid w:val="00C32DDB"/>
    <w:rsid w:val="00C32EA3"/>
    <w:rsid w:val="00C33108"/>
    <w:rsid w:val="00C3344A"/>
    <w:rsid w:val="00C334D6"/>
    <w:rsid w:val="00C334DE"/>
    <w:rsid w:val="00C33527"/>
    <w:rsid w:val="00C335BA"/>
    <w:rsid w:val="00C337BD"/>
    <w:rsid w:val="00C33DA8"/>
    <w:rsid w:val="00C34296"/>
    <w:rsid w:val="00C345F2"/>
    <w:rsid w:val="00C346AB"/>
    <w:rsid w:val="00C34A06"/>
    <w:rsid w:val="00C34A6F"/>
    <w:rsid w:val="00C34AA0"/>
    <w:rsid w:val="00C34C51"/>
    <w:rsid w:val="00C34D07"/>
    <w:rsid w:val="00C34E4C"/>
    <w:rsid w:val="00C34FAB"/>
    <w:rsid w:val="00C34FFE"/>
    <w:rsid w:val="00C3514D"/>
    <w:rsid w:val="00C35404"/>
    <w:rsid w:val="00C35544"/>
    <w:rsid w:val="00C356E1"/>
    <w:rsid w:val="00C35918"/>
    <w:rsid w:val="00C35926"/>
    <w:rsid w:val="00C360E5"/>
    <w:rsid w:val="00C362BF"/>
    <w:rsid w:val="00C362CE"/>
    <w:rsid w:val="00C3642F"/>
    <w:rsid w:val="00C3657C"/>
    <w:rsid w:val="00C36964"/>
    <w:rsid w:val="00C36B1E"/>
    <w:rsid w:val="00C36BC2"/>
    <w:rsid w:val="00C36D35"/>
    <w:rsid w:val="00C36F11"/>
    <w:rsid w:val="00C37021"/>
    <w:rsid w:val="00C37177"/>
    <w:rsid w:val="00C371BF"/>
    <w:rsid w:val="00C372FB"/>
    <w:rsid w:val="00C37335"/>
    <w:rsid w:val="00C3746B"/>
    <w:rsid w:val="00C377A9"/>
    <w:rsid w:val="00C37B51"/>
    <w:rsid w:val="00C37BFF"/>
    <w:rsid w:val="00C37C38"/>
    <w:rsid w:val="00C37D14"/>
    <w:rsid w:val="00C37D1B"/>
    <w:rsid w:val="00C401A4"/>
    <w:rsid w:val="00C403DC"/>
    <w:rsid w:val="00C404A1"/>
    <w:rsid w:val="00C404E1"/>
    <w:rsid w:val="00C40BA5"/>
    <w:rsid w:val="00C40D34"/>
    <w:rsid w:val="00C40EF2"/>
    <w:rsid w:val="00C40F43"/>
    <w:rsid w:val="00C40FAA"/>
    <w:rsid w:val="00C4128D"/>
    <w:rsid w:val="00C41377"/>
    <w:rsid w:val="00C413DE"/>
    <w:rsid w:val="00C4173C"/>
    <w:rsid w:val="00C417B2"/>
    <w:rsid w:val="00C41BF7"/>
    <w:rsid w:val="00C41CCD"/>
    <w:rsid w:val="00C41D4F"/>
    <w:rsid w:val="00C41E0F"/>
    <w:rsid w:val="00C41E9F"/>
    <w:rsid w:val="00C41F28"/>
    <w:rsid w:val="00C42049"/>
    <w:rsid w:val="00C420C5"/>
    <w:rsid w:val="00C42147"/>
    <w:rsid w:val="00C42884"/>
    <w:rsid w:val="00C42D9A"/>
    <w:rsid w:val="00C42DE9"/>
    <w:rsid w:val="00C42E4A"/>
    <w:rsid w:val="00C42EE2"/>
    <w:rsid w:val="00C42FF6"/>
    <w:rsid w:val="00C430BE"/>
    <w:rsid w:val="00C434C4"/>
    <w:rsid w:val="00C437EC"/>
    <w:rsid w:val="00C43866"/>
    <w:rsid w:val="00C4388A"/>
    <w:rsid w:val="00C4395D"/>
    <w:rsid w:val="00C442D7"/>
    <w:rsid w:val="00C443CD"/>
    <w:rsid w:val="00C443CF"/>
    <w:rsid w:val="00C44541"/>
    <w:rsid w:val="00C44577"/>
    <w:rsid w:val="00C44657"/>
    <w:rsid w:val="00C446CD"/>
    <w:rsid w:val="00C4482F"/>
    <w:rsid w:val="00C44AC6"/>
    <w:rsid w:val="00C44C28"/>
    <w:rsid w:val="00C44C40"/>
    <w:rsid w:val="00C44EDC"/>
    <w:rsid w:val="00C45023"/>
    <w:rsid w:val="00C451CD"/>
    <w:rsid w:val="00C45212"/>
    <w:rsid w:val="00C455B2"/>
    <w:rsid w:val="00C457BE"/>
    <w:rsid w:val="00C4582D"/>
    <w:rsid w:val="00C45950"/>
    <w:rsid w:val="00C45BAF"/>
    <w:rsid w:val="00C45C67"/>
    <w:rsid w:val="00C45D2E"/>
    <w:rsid w:val="00C45D9A"/>
    <w:rsid w:val="00C45D9D"/>
    <w:rsid w:val="00C45E3C"/>
    <w:rsid w:val="00C45EB6"/>
    <w:rsid w:val="00C46124"/>
    <w:rsid w:val="00C4665E"/>
    <w:rsid w:val="00C46815"/>
    <w:rsid w:val="00C46AB8"/>
    <w:rsid w:val="00C46CEB"/>
    <w:rsid w:val="00C46F1E"/>
    <w:rsid w:val="00C46F52"/>
    <w:rsid w:val="00C4700E"/>
    <w:rsid w:val="00C471F0"/>
    <w:rsid w:val="00C4723C"/>
    <w:rsid w:val="00C4727A"/>
    <w:rsid w:val="00C47422"/>
    <w:rsid w:val="00C47B78"/>
    <w:rsid w:val="00C47C20"/>
    <w:rsid w:val="00C47CAE"/>
    <w:rsid w:val="00C47DE6"/>
    <w:rsid w:val="00C47E7E"/>
    <w:rsid w:val="00C5019E"/>
    <w:rsid w:val="00C50318"/>
    <w:rsid w:val="00C50321"/>
    <w:rsid w:val="00C50436"/>
    <w:rsid w:val="00C50785"/>
    <w:rsid w:val="00C50B4F"/>
    <w:rsid w:val="00C50C0A"/>
    <w:rsid w:val="00C50C6C"/>
    <w:rsid w:val="00C50CBC"/>
    <w:rsid w:val="00C50D85"/>
    <w:rsid w:val="00C51AC5"/>
    <w:rsid w:val="00C51BC3"/>
    <w:rsid w:val="00C52030"/>
    <w:rsid w:val="00C5233C"/>
    <w:rsid w:val="00C525BF"/>
    <w:rsid w:val="00C5273D"/>
    <w:rsid w:val="00C52E61"/>
    <w:rsid w:val="00C530B1"/>
    <w:rsid w:val="00C5341D"/>
    <w:rsid w:val="00C534E8"/>
    <w:rsid w:val="00C53A36"/>
    <w:rsid w:val="00C53C55"/>
    <w:rsid w:val="00C540E1"/>
    <w:rsid w:val="00C5426B"/>
    <w:rsid w:val="00C542EB"/>
    <w:rsid w:val="00C543DF"/>
    <w:rsid w:val="00C545FF"/>
    <w:rsid w:val="00C54DFE"/>
    <w:rsid w:val="00C54F1A"/>
    <w:rsid w:val="00C54F39"/>
    <w:rsid w:val="00C558D9"/>
    <w:rsid w:val="00C55AF2"/>
    <w:rsid w:val="00C55D4D"/>
    <w:rsid w:val="00C55DBB"/>
    <w:rsid w:val="00C561AF"/>
    <w:rsid w:val="00C5639B"/>
    <w:rsid w:val="00C563EC"/>
    <w:rsid w:val="00C56507"/>
    <w:rsid w:val="00C56636"/>
    <w:rsid w:val="00C56677"/>
    <w:rsid w:val="00C56B17"/>
    <w:rsid w:val="00C56E32"/>
    <w:rsid w:val="00C56EB1"/>
    <w:rsid w:val="00C56F3F"/>
    <w:rsid w:val="00C57209"/>
    <w:rsid w:val="00C57324"/>
    <w:rsid w:val="00C57419"/>
    <w:rsid w:val="00C57446"/>
    <w:rsid w:val="00C57482"/>
    <w:rsid w:val="00C57504"/>
    <w:rsid w:val="00C57723"/>
    <w:rsid w:val="00C5783E"/>
    <w:rsid w:val="00C5788B"/>
    <w:rsid w:val="00C579C4"/>
    <w:rsid w:val="00C57D84"/>
    <w:rsid w:val="00C57FB2"/>
    <w:rsid w:val="00C57FC2"/>
    <w:rsid w:val="00C60153"/>
    <w:rsid w:val="00C6045A"/>
    <w:rsid w:val="00C60553"/>
    <w:rsid w:val="00C60649"/>
    <w:rsid w:val="00C6079F"/>
    <w:rsid w:val="00C6083A"/>
    <w:rsid w:val="00C609C3"/>
    <w:rsid w:val="00C60B18"/>
    <w:rsid w:val="00C60D1A"/>
    <w:rsid w:val="00C60F3A"/>
    <w:rsid w:val="00C61088"/>
    <w:rsid w:val="00C6116D"/>
    <w:rsid w:val="00C611A2"/>
    <w:rsid w:val="00C611B3"/>
    <w:rsid w:val="00C6128A"/>
    <w:rsid w:val="00C6162E"/>
    <w:rsid w:val="00C6174E"/>
    <w:rsid w:val="00C6178B"/>
    <w:rsid w:val="00C617E5"/>
    <w:rsid w:val="00C618D3"/>
    <w:rsid w:val="00C619C3"/>
    <w:rsid w:val="00C61F3F"/>
    <w:rsid w:val="00C62135"/>
    <w:rsid w:val="00C6255F"/>
    <w:rsid w:val="00C625DD"/>
    <w:rsid w:val="00C62744"/>
    <w:rsid w:val="00C62949"/>
    <w:rsid w:val="00C629A4"/>
    <w:rsid w:val="00C62B7E"/>
    <w:rsid w:val="00C62DDA"/>
    <w:rsid w:val="00C62EBE"/>
    <w:rsid w:val="00C632C1"/>
    <w:rsid w:val="00C6367F"/>
    <w:rsid w:val="00C63AAA"/>
    <w:rsid w:val="00C63C7A"/>
    <w:rsid w:val="00C63DBD"/>
    <w:rsid w:val="00C63E7D"/>
    <w:rsid w:val="00C63EAA"/>
    <w:rsid w:val="00C6419F"/>
    <w:rsid w:val="00C646A2"/>
    <w:rsid w:val="00C64836"/>
    <w:rsid w:val="00C64940"/>
    <w:rsid w:val="00C649E6"/>
    <w:rsid w:val="00C64AA0"/>
    <w:rsid w:val="00C64E09"/>
    <w:rsid w:val="00C64EAA"/>
    <w:rsid w:val="00C653D8"/>
    <w:rsid w:val="00C65561"/>
    <w:rsid w:val="00C655F0"/>
    <w:rsid w:val="00C659D4"/>
    <w:rsid w:val="00C65E2E"/>
    <w:rsid w:val="00C65E82"/>
    <w:rsid w:val="00C65EF0"/>
    <w:rsid w:val="00C65FCB"/>
    <w:rsid w:val="00C6607C"/>
    <w:rsid w:val="00C66308"/>
    <w:rsid w:val="00C6641A"/>
    <w:rsid w:val="00C66438"/>
    <w:rsid w:val="00C666A6"/>
    <w:rsid w:val="00C66AFC"/>
    <w:rsid w:val="00C66C05"/>
    <w:rsid w:val="00C66DDE"/>
    <w:rsid w:val="00C671BA"/>
    <w:rsid w:val="00C67264"/>
    <w:rsid w:val="00C67524"/>
    <w:rsid w:val="00C67630"/>
    <w:rsid w:val="00C677FB"/>
    <w:rsid w:val="00C67890"/>
    <w:rsid w:val="00C67BD5"/>
    <w:rsid w:val="00C67E95"/>
    <w:rsid w:val="00C67FCB"/>
    <w:rsid w:val="00C700B6"/>
    <w:rsid w:val="00C70110"/>
    <w:rsid w:val="00C70254"/>
    <w:rsid w:val="00C703C7"/>
    <w:rsid w:val="00C7040C"/>
    <w:rsid w:val="00C70838"/>
    <w:rsid w:val="00C70BAB"/>
    <w:rsid w:val="00C70E39"/>
    <w:rsid w:val="00C70F9C"/>
    <w:rsid w:val="00C7102E"/>
    <w:rsid w:val="00C7137D"/>
    <w:rsid w:val="00C713E8"/>
    <w:rsid w:val="00C714A2"/>
    <w:rsid w:val="00C718A6"/>
    <w:rsid w:val="00C71944"/>
    <w:rsid w:val="00C71948"/>
    <w:rsid w:val="00C71C8F"/>
    <w:rsid w:val="00C71D76"/>
    <w:rsid w:val="00C71FC4"/>
    <w:rsid w:val="00C72176"/>
    <w:rsid w:val="00C7223B"/>
    <w:rsid w:val="00C722C4"/>
    <w:rsid w:val="00C72800"/>
    <w:rsid w:val="00C72B7A"/>
    <w:rsid w:val="00C72C13"/>
    <w:rsid w:val="00C72E71"/>
    <w:rsid w:val="00C7312D"/>
    <w:rsid w:val="00C7330C"/>
    <w:rsid w:val="00C73365"/>
    <w:rsid w:val="00C73387"/>
    <w:rsid w:val="00C7349E"/>
    <w:rsid w:val="00C73574"/>
    <w:rsid w:val="00C73ACE"/>
    <w:rsid w:val="00C73B1B"/>
    <w:rsid w:val="00C73B5F"/>
    <w:rsid w:val="00C7403E"/>
    <w:rsid w:val="00C740A6"/>
    <w:rsid w:val="00C742EA"/>
    <w:rsid w:val="00C745CD"/>
    <w:rsid w:val="00C7460F"/>
    <w:rsid w:val="00C7470C"/>
    <w:rsid w:val="00C74B7B"/>
    <w:rsid w:val="00C74EAA"/>
    <w:rsid w:val="00C75082"/>
    <w:rsid w:val="00C75264"/>
    <w:rsid w:val="00C7532F"/>
    <w:rsid w:val="00C75337"/>
    <w:rsid w:val="00C75599"/>
    <w:rsid w:val="00C759AD"/>
    <w:rsid w:val="00C75C81"/>
    <w:rsid w:val="00C75E48"/>
    <w:rsid w:val="00C75E71"/>
    <w:rsid w:val="00C75FBA"/>
    <w:rsid w:val="00C760E0"/>
    <w:rsid w:val="00C7629D"/>
    <w:rsid w:val="00C762EF"/>
    <w:rsid w:val="00C76631"/>
    <w:rsid w:val="00C7666D"/>
    <w:rsid w:val="00C7688F"/>
    <w:rsid w:val="00C76C2A"/>
    <w:rsid w:val="00C76D73"/>
    <w:rsid w:val="00C76DF4"/>
    <w:rsid w:val="00C76EDB"/>
    <w:rsid w:val="00C770E6"/>
    <w:rsid w:val="00C7710D"/>
    <w:rsid w:val="00C7715A"/>
    <w:rsid w:val="00C7742D"/>
    <w:rsid w:val="00C7762D"/>
    <w:rsid w:val="00C7798D"/>
    <w:rsid w:val="00C77A67"/>
    <w:rsid w:val="00C77B4A"/>
    <w:rsid w:val="00C77BB1"/>
    <w:rsid w:val="00C77C1B"/>
    <w:rsid w:val="00C77D4B"/>
    <w:rsid w:val="00C77DF3"/>
    <w:rsid w:val="00C77E7D"/>
    <w:rsid w:val="00C803C8"/>
    <w:rsid w:val="00C804A3"/>
    <w:rsid w:val="00C80608"/>
    <w:rsid w:val="00C80697"/>
    <w:rsid w:val="00C80AB2"/>
    <w:rsid w:val="00C80BA5"/>
    <w:rsid w:val="00C80CB3"/>
    <w:rsid w:val="00C80F41"/>
    <w:rsid w:val="00C81033"/>
    <w:rsid w:val="00C8122A"/>
    <w:rsid w:val="00C813DC"/>
    <w:rsid w:val="00C8154F"/>
    <w:rsid w:val="00C815A1"/>
    <w:rsid w:val="00C817E2"/>
    <w:rsid w:val="00C81900"/>
    <w:rsid w:val="00C8190C"/>
    <w:rsid w:val="00C81A25"/>
    <w:rsid w:val="00C81A62"/>
    <w:rsid w:val="00C82029"/>
    <w:rsid w:val="00C8211B"/>
    <w:rsid w:val="00C8253B"/>
    <w:rsid w:val="00C8278D"/>
    <w:rsid w:val="00C829F2"/>
    <w:rsid w:val="00C82CAF"/>
    <w:rsid w:val="00C82CC2"/>
    <w:rsid w:val="00C82DF8"/>
    <w:rsid w:val="00C82F6C"/>
    <w:rsid w:val="00C83192"/>
    <w:rsid w:val="00C83326"/>
    <w:rsid w:val="00C833DF"/>
    <w:rsid w:val="00C836CA"/>
    <w:rsid w:val="00C837A2"/>
    <w:rsid w:val="00C8387B"/>
    <w:rsid w:val="00C83F52"/>
    <w:rsid w:val="00C84148"/>
    <w:rsid w:val="00C84183"/>
    <w:rsid w:val="00C84A11"/>
    <w:rsid w:val="00C84C53"/>
    <w:rsid w:val="00C84CF3"/>
    <w:rsid w:val="00C84DEF"/>
    <w:rsid w:val="00C84E8D"/>
    <w:rsid w:val="00C8528E"/>
    <w:rsid w:val="00C854F8"/>
    <w:rsid w:val="00C856C4"/>
    <w:rsid w:val="00C85720"/>
    <w:rsid w:val="00C8579A"/>
    <w:rsid w:val="00C8588F"/>
    <w:rsid w:val="00C85EE3"/>
    <w:rsid w:val="00C86144"/>
    <w:rsid w:val="00C865E1"/>
    <w:rsid w:val="00C868B2"/>
    <w:rsid w:val="00C86A03"/>
    <w:rsid w:val="00C86A55"/>
    <w:rsid w:val="00C86D2D"/>
    <w:rsid w:val="00C86E1C"/>
    <w:rsid w:val="00C87156"/>
    <w:rsid w:val="00C873AA"/>
    <w:rsid w:val="00C87408"/>
    <w:rsid w:val="00C8753E"/>
    <w:rsid w:val="00C875FC"/>
    <w:rsid w:val="00C878A7"/>
    <w:rsid w:val="00C87A86"/>
    <w:rsid w:val="00C87B52"/>
    <w:rsid w:val="00C87C15"/>
    <w:rsid w:val="00C87F5E"/>
    <w:rsid w:val="00C87FB5"/>
    <w:rsid w:val="00C9002C"/>
    <w:rsid w:val="00C900FA"/>
    <w:rsid w:val="00C90128"/>
    <w:rsid w:val="00C90387"/>
    <w:rsid w:val="00C9055B"/>
    <w:rsid w:val="00C90690"/>
    <w:rsid w:val="00C90771"/>
    <w:rsid w:val="00C907E4"/>
    <w:rsid w:val="00C90B66"/>
    <w:rsid w:val="00C90D3C"/>
    <w:rsid w:val="00C90D4B"/>
    <w:rsid w:val="00C91057"/>
    <w:rsid w:val="00C917E7"/>
    <w:rsid w:val="00C918DC"/>
    <w:rsid w:val="00C919AC"/>
    <w:rsid w:val="00C91A07"/>
    <w:rsid w:val="00C91B87"/>
    <w:rsid w:val="00C91DE1"/>
    <w:rsid w:val="00C91E7F"/>
    <w:rsid w:val="00C92087"/>
    <w:rsid w:val="00C92199"/>
    <w:rsid w:val="00C92447"/>
    <w:rsid w:val="00C925E2"/>
    <w:rsid w:val="00C92952"/>
    <w:rsid w:val="00C92ADB"/>
    <w:rsid w:val="00C92C3E"/>
    <w:rsid w:val="00C93017"/>
    <w:rsid w:val="00C93182"/>
    <w:rsid w:val="00C9319F"/>
    <w:rsid w:val="00C93453"/>
    <w:rsid w:val="00C936AB"/>
    <w:rsid w:val="00C93FFC"/>
    <w:rsid w:val="00C943FC"/>
    <w:rsid w:val="00C9457F"/>
    <w:rsid w:val="00C947BD"/>
    <w:rsid w:val="00C9495B"/>
    <w:rsid w:val="00C94A18"/>
    <w:rsid w:val="00C94E1C"/>
    <w:rsid w:val="00C94F4A"/>
    <w:rsid w:val="00C9526D"/>
    <w:rsid w:val="00C95411"/>
    <w:rsid w:val="00C9556C"/>
    <w:rsid w:val="00C95694"/>
    <w:rsid w:val="00C95A0F"/>
    <w:rsid w:val="00C96056"/>
    <w:rsid w:val="00C9632C"/>
    <w:rsid w:val="00C9644D"/>
    <w:rsid w:val="00C96483"/>
    <w:rsid w:val="00C96645"/>
    <w:rsid w:val="00C966D0"/>
    <w:rsid w:val="00C969B6"/>
    <w:rsid w:val="00C96B85"/>
    <w:rsid w:val="00C96D26"/>
    <w:rsid w:val="00C970C8"/>
    <w:rsid w:val="00C970CF"/>
    <w:rsid w:val="00C970F3"/>
    <w:rsid w:val="00C97210"/>
    <w:rsid w:val="00C97376"/>
    <w:rsid w:val="00C9737F"/>
    <w:rsid w:val="00C974A0"/>
    <w:rsid w:val="00C97A2A"/>
    <w:rsid w:val="00C97A5D"/>
    <w:rsid w:val="00C97C62"/>
    <w:rsid w:val="00C97CF2"/>
    <w:rsid w:val="00C97D16"/>
    <w:rsid w:val="00C97D67"/>
    <w:rsid w:val="00CA02DD"/>
    <w:rsid w:val="00CA0334"/>
    <w:rsid w:val="00CA06E3"/>
    <w:rsid w:val="00CA089D"/>
    <w:rsid w:val="00CA09A6"/>
    <w:rsid w:val="00CA09FE"/>
    <w:rsid w:val="00CA0A15"/>
    <w:rsid w:val="00CA0B2D"/>
    <w:rsid w:val="00CA0D24"/>
    <w:rsid w:val="00CA0DFF"/>
    <w:rsid w:val="00CA1125"/>
    <w:rsid w:val="00CA119C"/>
    <w:rsid w:val="00CA1221"/>
    <w:rsid w:val="00CA1557"/>
    <w:rsid w:val="00CA1722"/>
    <w:rsid w:val="00CA1A4F"/>
    <w:rsid w:val="00CA1B7A"/>
    <w:rsid w:val="00CA1E7C"/>
    <w:rsid w:val="00CA20CA"/>
    <w:rsid w:val="00CA2133"/>
    <w:rsid w:val="00CA251F"/>
    <w:rsid w:val="00CA267A"/>
    <w:rsid w:val="00CA2785"/>
    <w:rsid w:val="00CA2812"/>
    <w:rsid w:val="00CA2A90"/>
    <w:rsid w:val="00CA2D34"/>
    <w:rsid w:val="00CA2ED5"/>
    <w:rsid w:val="00CA30BF"/>
    <w:rsid w:val="00CA3161"/>
    <w:rsid w:val="00CA325D"/>
    <w:rsid w:val="00CA3515"/>
    <w:rsid w:val="00CA3554"/>
    <w:rsid w:val="00CA3555"/>
    <w:rsid w:val="00CA3867"/>
    <w:rsid w:val="00CA39D0"/>
    <w:rsid w:val="00CA3A77"/>
    <w:rsid w:val="00CA3DC1"/>
    <w:rsid w:val="00CA3F1F"/>
    <w:rsid w:val="00CA4139"/>
    <w:rsid w:val="00CA43C4"/>
    <w:rsid w:val="00CA44DD"/>
    <w:rsid w:val="00CA4772"/>
    <w:rsid w:val="00CA483B"/>
    <w:rsid w:val="00CA48D1"/>
    <w:rsid w:val="00CA4941"/>
    <w:rsid w:val="00CA4C03"/>
    <w:rsid w:val="00CA52F3"/>
    <w:rsid w:val="00CA5370"/>
    <w:rsid w:val="00CA5455"/>
    <w:rsid w:val="00CA55EA"/>
    <w:rsid w:val="00CA575A"/>
    <w:rsid w:val="00CA5775"/>
    <w:rsid w:val="00CA58EE"/>
    <w:rsid w:val="00CA59C3"/>
    <w:rsid w:val="00CA5B5B"/>
    <w:rsid w:val="00CA5D6A"/>
    <w:rsid w:val="00CA5E3B"/>
    <w:rsid w:val="00CA5E56"/>
    <w:rsid w:val="00CA6225"/>
    <w:rsid w:val="00CA638E"/>
    <w:rsid w:val="00CA63AA"/>
    <w:rsid w:val="00CA6781"/>
    <w:rsid w:val="00CA6CEF"/>
    <w:rsid w:val="00CA6F53"/>
    <w:rsid w:val="00CA6FC1"/>
    <w:rsid w:val="00CA7014"/>
    <w:rsid w:val="00CA7146"/>
    <w:rsid w:val="00CA720A"/>
    <w:rsid w:val="00CA7284"/>
    <w:rsid w:val="00CA7647"/>
    <w:rsid w:val="00CA770C"/>
    <w:rsid w:val="00CA776C"/>
    <w:rsid w:val="00CA7836"/>
    <w:rsid w:val="00CA7AE1"/>
    <w:rsid w:val="00CA7BA9"/>
    <w:rsid w:val="00CA7DBE"/>
    <w:rsid w:val="00CB02F9"/>
    <w:rsid w:val="00CB091F"/>
    <w:rsid w:val="00CB0CCC"/>
    <w:rsid w:val="00CB0E14"/>
    <w:rsid w:val="00CB13BF"/>
    <w:rsid w:val="00CB14EE"/>
    <w:rsid w:val="00CB16A8"/>
    <w:rsid w:val="00CB16C9"/>
    <w:rsid w:val="00CB1716"/>
    <w:rsid w:val="00CB17CE"/>
    <w:rsid w:val="00CB17CF"/>
    <w:rsid w:val="00CB185F"/>
    <w:rsid w:val="00CB18AE"/>
    <w:rsid w:val="00CB1985"/>
    <w:rsid w:val="00CB2115"/>
    <w:rsid w:val="00CB228A"/>
    <w:rsid w:val="00CB2294"/>
    <w:rsid w:val="00CB22C6"/>
    <w:rsid w:val="00CB22CB"/>
    <w:rsid w:val="00CB22E6"/>
    <w:rsid w:val="00CB246D"/>
    <w:rsid w:val="00CB27BC"/>
    <w:rsid w:val="00CB27D4"/>
    <w:rsid w:val="00CB2810"/>
    <w:rsid w:val="00CB2DAA"/>
    <w:rsid w:val="00CB2E29"/>
    <w:rsid w:val="00CB2FD4"/>
    <w:rsid w:val="00CB3138"/>
    <w:rsid w:val="00CB337D"/>
    <w:rsid w:val="00CB36C7"/>
    <w:rsid w:val="00CB3832"/>
    <w:rsid w:val="00CB3C09"/>
    <w:rsid w:val="00CB3C8E"/>
    <w:rsid w:val="00CB420E"/>
    <w:rsid w:val="00CB45C5"/>
    <w:rsid w:val="00CB491C"/>
    <w:rsid w:val="00CB4AC5"/>
    <w:rsid w:val="00CB4C2E"/>
    <w:rsid w:val="00CB4CA2"/>
    <w:rsid w:val="00CB4DDD"/>
    <w:rsid w:val="00CB4E99"/>
    <w:rsid w:val="00CB4F64"/>
    <w:rsid w:val="00CB4FEB"/>
    <w:rsid w:val="00CB525A"/>
    <w:rsid w:val="00CB52E7"/>
    <w:rsid w:val="00CB5430"/>
    <w:rsid w:val="00CB55E8"/>
    <w:rsid w:val="00CB5684"/>
    <w:rsid w:val="00CB584C"/>
    <w:rsid w:val="00CB58C8"/>
    <w:rsid w:val="00CB5ACE"/>
    <w:rsid w:val="00CB5D2A"/>
    <w:rsid w:val="00CB5DD2"/>
    <w:rsid w:val="00CB61D8"/>
    <w:rsid w:val="00CB624C"/>
    <w:rsid w:val="00CB655B"/>
    <w:rsid w:val="00CB670F"/>
    <w:rsid w:val="00CB6829"/>
    <w:rsid w:val="00CB6A27"/>
    <w:rsid w:val="00CB6D26"/>
    <w:rsid w:val="00CB6E89"/>
    <w:rsid w:val="00CB6F7A"/>
    <w:rsid w:val="00CB7180"/>
    <w:rsid w:val="00CB730C"/>
    <w:rsid w:val="00CB734D"/>
    <w:rsid w:val="00CB762B"/>
    <w:rsid w:val="00CB7756"/>
    <w:rsid w:val="00CB7837"/>
    <w:rsid w:val="00CB7CDB"/>
    <w:rsid w:val="00CC00D2"/>
    <w:rsid w:val="00CC028C"/>
    <w:rsid w:val="00CC0448"/>
    <w:rsid w:val="00CC048D"/>
    <w:rsid w:val="00CC07C8"/>
    <w:rsid w:val="00CC0977"/>
    <w:rsid w:val="00CC0A9B"/>
    <w:rsid w:val="00CC0C76"/>
    <w:rsid w:val="00CC11CF"/>
    <w:rsid w:val="00CC12CD"/>
    <w:rsid w:val="00CC1524"/>
    <w:rsid w:val="00CC163F"/>
    <w:rsid w:val="00CC188B"/>
    <w:rsid w:val="00CC257B"/>
    <w:rsid w:val="00CC26C8"/>
    <w:rsid w:val="00CC2749"/>
    <w:rsid w:val="00CC274B"/>
    <w:rsid w:val="00CC278D"/>
    <w:rsid w:val="00CC2C27"/>
    <w:rsid w:val="00CC2D0F"/>
    <w:rsid w:val="00CC2E77"/>
    <w:rsid w:val="00CC32A6"/>
    <w:rsid w:val="00CC3911"/>
    <w:rsid w:val="00CC3AF1"/>
    <w:rsid w:val="00CC3F92"/>
    <w:rsid w:val="00CC406C"/>
    <w:rsid w:val="00CC4265"/>
    <w:rsid w:val="00CC4425"/>
    <w:rsid w:val="00CC4525"/>
    <w:rsid w:val="00CC453A"/>
    <w:rsid w:val="00CC461C"/>
    <w:rsid w:val="00CC49F9"/>
    <w:rsid w:val="00CC4B39"/>
    <w:rsid w:val="00CC4CB4"/>
    <w:rsid w:val="00CC4D59"/>
    <w:rsid w:val="00CC503C"/>
    <w:rsid w:val="00CC51DA"/>
    <w:rsid w:val="00CC53B2"/>
    <w:rsid w:val="00CC572B"/>
    <w:rsid w:val="00CC57A0"/>
    <w:rsid w:val="00CC58F0"/>
    <w:rsid w:val="00CC5AB6"/>
    <w:rsid w:val="00CC5E3E"/>
    <w:rsid w:val="00CC615E"/>
    <w:rsid w:val="00CC62F9"/>
    <w:rsid w:val="00CC6711"/>
    <w:rsid w:val="00CC674D"/>
    <w:rsid w:val="00CC6B48"/>
    <w:rsid w:val="00CC6BAC"/>
    <w:rsid w:val="00CC6D9F"/>
    <w:rsid w:val="00CC70BC"/>
    <w:rsid w:val="00CC71B3"/>
    <w:rsid w:val="00CC72A5"/>
    <w:rsid w:val="00CC73D2"/>
    <w:rsid w:val="00CC7508"/>
    <w:rsid w:val="00CC78DE"/>
    <w:rsid w:val="00CC7B26"/>
    <w:rsid w:val="00CC7C12"/>
    <w:rsid w:val="00CC7C85"/>
    <w:rsid w:val="00CC7E7B"/>
    <w:rsid w:val="00CC7F48"/>
    <w:rsid w:val="00CD0251"/>
    <w:rsid w:val="00CD03F3"/>
    <w:rsid w:val="00CD0540"/>
    <w:rsid w:val="00CD0711"/>
    <w:rsid w:val="00CD085C"/>
    <w:rsid w:val="00CD090D"/>
    <w:rsid w:val="00CD09DB"/>
    <w:rsid w:val="00CD09DC"/>
    <w:rsid w:val="00CD0B1C"/>
    <w:rsid w:val="00CD0DE0"/>
    <w:rsid w:val="00CD0EE0"/>
    <w:rsid w:val="00CD0F90"/>
    <w:rsid w:val="00CD109D"/>
    <w:rsid w:val="00CD15FE"/>
    <w:rsid w:val="00CD1613"/>
    <w:rsid w:val="00CD16E9"/>
    <w:rsid w:val="00CD1937"/>
    <w:rsid w:val="00CD193D"/>
    <w:rsid w:val="00CD1A32"/>
    <w:rsid w:val="00CD1AD9"/>
    <w:rsid w:val="00CD1ADB"/>
    <w:rsid w:val="00CD1CD7"/>
    <w:rsid w:val="00CD1D98"/>
    <w:rsid w:val="00CD1DBB"/>
    <w:rsid w:val="00CD1ECC"/>
    <w:rsid w:val="00CD1F18"/>
    <w:rsid w:val="00CD1F94"/>
    <w:rsid w:val="00CD21B6"/>
    <w:rsid w:val="00CD2318"/>
    <w:rsid w:val="00CD242B"/>
    <w:rsid w:val="00CD245F"/>
    <w:rsid w:val="00CD24C0"/>
    <w:rsid w:val="00CD250E"/>
    <w:rsid w:val="00CD2831"/>
    <w:rsid w:val="00CD28F4"/>
    <w:rsid w:val="00CD2A92"/>
    <w:rsid w:val="00CD2AF2"/>
    <w:rsid w:val="00CD2B50"/>
    <w:rsid w:val="00CD2CA0"/>
    <w:rsid w:val="00CD2E33"/>
    <w:rsid w:val="00CD2EC5"/>
    <w:rsid w:val="00CD2FAD"/>
    <w:rsid w:val="00CD3077"/>
    <w:rsid w:val="00CD30E2"/>
    <w:rsid w:val="00CD3162"/>
    <w:rsid w:val="00CD31F0"/>
    <w:rsid w:val="00CD35AC"/>
    <w:rsid w:val="00CD35B5"/>
    <w:rsid w:val="00CD3676"/>
    <w:rsid w:val="00CD36BD"/>
    <w:rsid w:val="00CD3868"/>
    <w:rsid w:val="00CD387B"/>
    <w:rsid w:val="00CD3A2E"/>
    <w:rsid w:val="00CD3D4F"/>
    <w:rsid w:val="00CD3E76"/>
    <w:rsid w:val="00CD3FF3"/>
    <w:rsid w:val="00CD4159"/>
    <w:rsid w:val="00CD41DC"/>
    <w:rsid w:val="00CD428D"/>
    <w:rsid w:val="00CD4329"/>
    <w:rsid w:val="00CD4338"/>
    <w:rsid w:val="00CD45A4"/>
    <w:rsid w:val="00CD4741"/>
    <w:rsid w:val="00CD4994"/>
    <w:rsid w:val="00CD49BC"/>
    <w:rsid w:val="00CD4D39"/>
    <w:rsid w:val="00CD4EB9"/>
    <w:rsid w:val="00CD4F8B"/>
    <w:rsid w:val="00CD4FC0"/>
    <w:rsid w:val="00CD501B"/>
    <w:rsid w:val="00CD50BA"/>
    <w:rsid w:val="00CD53DA"/>
    <w:rsid w:val="00CD5697"/>
    <w:rsid w:val="00CD58D7"/>
    <w:rsid w:val="00CD5A49"/>
    <w:rsid w:val="00CD5C21"/>
    <w:rsid w:val="00CD5E1E"/>
    <w:rsid w:val="00CD617D"/>
    <w:rsid w:val="00CD624A"/>
    <w:rsid w:val="00CD62A2"/>
    <w:rsid w:val="00CD6513"/>
    <w:rsid w:val="00CD664B"/>
    <w:rsid w:val="00CD6687"/>
    <w:rsid w:val="00CD6878"/>
    <w:rsid w:val="00CD6A1E"/>
    <w:rsid w:val="00CD6F0A"/>
    <w:rsid w:val="00CD79D2"/>
    <w:rsid w:val="00CD7E62"/>
    <w:rsid w:val="00CE03E3"/>
    <w:rsid w:val="00CE048A"/>
    <w:rsid w:val="00CE07AE"/>
    <w:rsid w:val="00CE0A03"/>
    <w:rsid w:val="00CE0A6B"/>
    <w:rsid w:val="00CE0B99"/>
    <w:rsid w:val="00CE0E4E"/>
    <w:rsid w:val="00CE0F03"/>
    <w:rsid w:val="00CE1033"/>
    <w:rsid w:val="00CE10F9"/>
    <w:rsid w:val="00CE11A6"/>
    <w:rsid w:val="00CE12A2"/>
    <w:rsid w:val="00CE13EE"/>
    <w:rsid w:val="00CE160F"/>
    <w:rsid w:val="00CE161E"/>
    <w:rsid w:val="00CE19B2"/>
    <w:rsid w:val="00CE19CA"/>
    <w:rsid w:val="00CE1A38"/>
    <w:rsid w:val="00CE1D6B"/>
    <w:rsid w:val="00CE1E91"/>
    <w:rsid w:val="00CE1F46"/>
    <w:rsid w:val="00CE2055"/>
    <w:rsid w:val="00CE2140"/>
    <w:rsid w:val="00CE2572"/>
    <w:rsid w:val="00CE2692"/>
    <w:rsid w:val="00CE2726"/>
    <w:rsid w:val="00CE294E"/>
    <w:rsid w:val="00CE2A7C"/>
    <w:rsid w:val="00CE2B9C"/>
    <w:rsid w:val="00CE2D13"/>
    <w:rsid w:val="00CE2D6B"/>
    <w:rsid w:val="00CE2FE3"/>
    <w:rsid w:val="00CE3041"/>
    <w:rsid w:val="00CE316A"/>
    <w:rsid w:val="00CE3321"/>
    <w:rsid w:val="00CE33C2"/>
    <w:rsid w:val="00CE34D9"/>
    <w:rsid w:val="00CE3560"/>
    <w:rsid w:val="00CE368B"/>
    <w:rsid w:val="00CE3696"/>
    <w:rsid w:val="00CE40DE"/>
    <w:rsid w:val="00CE4424"/>
    <w:rsid w:val="00CE4578"/>
    <w:rsid w:val="00CE486C"/>
    <w:rsid w:val="00CE4912"/>
    <w:rsid w:val="00CE4A60"/>
    <w:rsid w:val="00CE4B6F"/>
    <w:rsid w:val="00CE4BAB"/>
    <w:rsid w:val="00CE4C3A"/>
    <w:rsid w:val="00CE4C47"/>
    <w:rsid w:val="00CE52F1"/>
    <w:rsid w:val="00CE530A"/>
    <w:rsid w:val="00CE550F"/>
    <w:rsid w:val="00CE5560"/>
    <w:rsid w:val="00CE5A51"/>
    <w:rsid w:val="00CE5AAC"/>
    <w:rsid w:val="00CE5CB3"/>
    <w:rsid w:val="00CE5CE9"/>
    <w:rsid w:val="00CE5D8B"/>
    <w:rsid w:val="00CE5FFE"/>
    <w:rsid w:val="00CE604D"/>
    <w:rsid w:val="00CE64AC"/>
    <w:rsid w:val="00CE64B1"/>
    <w:rsid w:val="00CE6805"/>
    <w:rsid w:val="00CE682C"/>
    <w:rsid w:val="00CE69CB"/>
    <w:rsid w:val="00CE6A12"/>
    <w:rsid w:val="00CE6CA2"/>
    <w:rsid w:val="00CE6DDA"/>
    <w:rsid w:val="00CE7097"/>
    <w:rsid w:val="00CE7238"/>
    <w:rsid w:val="00CE72C0"/>
    <w:rsid w:val="00CE7635"/>
    <w:rsid w:val="00CE76D1"/>
    <w:rsid w:val="00CE7832"/>
    <w:rsid w:val="00CE7846"/>
    <w:rsid w:val="00CE787F"/>
    <w:rsid w:val="00CE7CA9"/>
    <w:rsid w:val="00CF00E4"/>
    <w:rsid w:val="00CF0552"/>
    <w:rsid w:val="00CF05BB"/>
    <w:rsid w:val="00CF0837"/>
    <w:rsid w:val="00CF0975"/>
    <w:rsid w:val="00CF09A4"/>
    <w:rsid w:val="00CF0B45"/>
    <w:rsid w:val="00CF1107"/>
    <w:rsid w:val="00CF113D"/>
    <w:rsid w:val="00CF12A4"/>
    <w:rsid w:val="00CF12D0"/>
    <w:rsid w:val="00CF13EB"/>
    <w:rsid w:val="00CF1467"/>
    <w:rsid w:val="00CF15B2"/>
    <w:rsid w:val="00CF162F"/>
    <w:rsid w:val="00CF164D"/>
    <w:rsid w:val="00CF1695"/>
    <w:rsid w:val="00CF186A"/>
    <w:rsid w:val="00CF19BD"/>
    <w:rsid w:val="00CF1CB1"/>
    <w:rsid w:val="00CF1EBE"/>
    <w:rsid w:val="00CF21B9"/>
    <w:rsid w:val="00CF2329"/>
    <w:rsid w:val="00CF239E"/>
    <w:rsid w:val="00CF2462"/>
    <w:rsid w:val="00CF26A8"/>
    <w:rsid w:val="00CF27FC"/>
    <w:rsid w:val="00CF2AB7"/>
    <w:rsid w:val="00CF2D8B"/>
    <w:rsid w:val="00CF2E06"/>
    <w:rsid w:val="00CF2EA7"/>
    <w:rsid w:val="00CF3181"/>
    <w:rsid w:val="00CF3285"/>
    <w:rsid w:val="00CF3507"/>
    <w:rsid w:val="00CF35D9"/>
    <w:rsid w:val="00CF3979"/>
    <w:rsid w:val="00CF3B15"/>
    <w:rsid w:val="00CF3BA3"/>
    <w:rsid w:val="00CF3D37"/>
    <w:rsid w:val="00CF3D85"/>
    <w:rsid w:val="00CF43A2"/>
    <w:rsid w:val="00CF43D4"/>
    <w:rsid w:val="00CF4406"/>
    <w:rsid w:val="00CF49B9"/>
    <w:rsid w:val="00CF49C8"/>
    <w:rsid w:val="00CF49F2"/>
    <w:rsid w:val="00CF4B53"/>
    <w:rsid w:val="00CF4F3D"/>
    <w:rsid w:val="00CF50EB"/>
    <w:rsid w:val="00CF5405"/>
    <w:rsid w:val="00CF5676"/>
    <w:rsid w:val="00CF59BA"/>
    <w:rsid w:val="00CF59D5"/>
    <w:rsid w:val="00CF5CD9"/>
    <w:rsid w:val="00CF5D4A"/>
    <w:rsid w:val="00CF5DD5"/>
    <w:rsid w:val="00CF5E59"/>
    <w:rsid w:val="00CF603E"/>
    <w:rsid w:val="00CF6094"/>
    <w:rsid w:val="00CF6179"/>
    <w:rsid w:val="00CF6627"/>
    <w:rsid w:val="00CF6855"/>
    <w:rsid w:val="00CF6916"/>
    <w:rsid w:val="00CF696E"/>
    <w:rsid w:val="00CF6A07"/>
    <w:rsid w:val="00CF6B3F"/>
    <w:rsid w:val="00CF6DAB"/>
    <w:rsid w:val="00CF6EE7"/>
    <w:rsid w:val="00CF71B5"/>
    <w:rsid w:val="00CF71F4"/>
    <w:rsid w:val="00CF7514"/>
    <w:rsid w:val="00CF75AF"/>
    <w:rsid w:val="00CF77E0"/>
    <w:rsid w:val="00CF78FA"/>
    <w:rsid w:val="00CF7B9A"/>
    <w:rsid w:val="00CF7C19"/>
    <w:rsid w:val="00CF7C25"/>
    <w:rsid w:val="00CF7C9A"/>
    <w:rsid w:val="00CF7D76"/>
    <w:rsid w:val="00CF7E0A"/>
    <w:rsid w:val="00D006B0"/>
    <w:rsid w:val="00D007CF"/>
    <w:rsid w:val="00D0090D"/>
    <w:rsid w:val="00D00A3B"/>
    <w:rsid w:val="00D00DE3"/>
    <w:rsid w:val="00D00EFF"/>
    <w:rsid w:val="00D00F3E"/>
    <w:rsid w:val="00D00FB2"/>
    <w:rsid w:val="00D00FFA"/>
    <w:rsid w:val="00D01080"/>
    <w:rsid w:val="00D0112C"/>
    <w:rsid w:val="00D01148"/>
    <w:rsid w:val="00D011BB"/>
    <w:rsid w:val="00D0188F"/>
    <w:rsid w:val="00D01ABC"/>
    <w:rsid w:val="00D01C48"/>
    <w:rsid w:val="00D02778"/>
    <w:rsid w:val="00D0295F"/>
    <w:rsid w:val="00D02A27"/>
    <w:rsid w:val="00D02C4C"/>
    <w:rsid w:val="00D02D5E"/>
    <w:rsid w:val="00D02E35"/>
    <w:rsid w:val="00D03062"/>
    <w:rsid w:val="00D03442"/>
    <w:rsid w:val="00D0390D"/>
    <w:rsid w:val="00D039EA"/>
    <w:rsid w:val="00D03EA3"/>
    <w:rsid w:val="00D040FE"/>
    <w:rsid w:val="00D0414D"/>
    <w:rsid w:val="00D043E8"/>
    <w:rsid w:val="00D04449"/>
    <w:rsid w:val="00D044D6"/>
    <w:rsid w:val="00D045DC"/>
    <w:rsid w:val="00D0470C"/>
    <w:rsid w:val="00D04717"/>
    <w:rsid w:val="00D047B0"/>
    <w:rsid w:val="00D047B8"/>
    <w:rsid w:val="00D04879"/>
    <w:rsid w:val="00D048AB"/>
    <w:rsid w:val="00D0499C"/>
    <w:rsid w:val="00D04BED"/>
    <w:rsid w:val="00D04E99"/>
    <w:rsid w:val="00D04F9A"/>
    <w:rsid w:val="00D0515E"/>
    <w:rsid w:val="00D051CA"/>
    <w:rsid w:val="00D055B0"/>
    <w:rsid w:val="00D055CE"/>
    <w:rsid w:val="00D057D8"/>
    <w:rsid w:val="00D05860"/>
    <w:rsid w:val="00D0596D"/>
    <w:rsid w:val="00D059DF"/>
    <w:rsid w:val="00D05CFF"/>
    <w:rsid w:val="00D05E4E"/>
    <w:rsid w:val="00D061D2"/>
    <w:rsid w:val="00D06406"/>
    <w:rsid w:val="00D0642E"/>
    <w:rsid w:val="00D066C7"/>
    <w:rsid w:val="00D06B03"/>
    <w:rsid w:val="00D06B5C"/>
    <w:rsid w:val="00D06F0D"/>
    <w:rsid w:val="00D0703C"/>
    <w:rsid w:val="00D0722E"/>
    <w:rsid w:val="00D07488"/>
    <w:rsid w:val="00D074A4"/>
    <w:rsid w:val="00D074AA"/>
    <w:rsid w:val="00D07644"/>
    <w:rsid w:val="00D079EE"/>
    <w:rsid w:val="00D07A65"/>
    <w:rsid w:val="00D07CA6"/>
    <w:rsid w:val="00D07E23"/>
    <w:rsid w:val="00D1023C"/>
    <w:rsid w:val="00D10391"/>
    <w:rsid w:val="00D10432"/>
    <w:rsid w:val="00D10A4E"/>
    <w:rsid w:val="00D10AD0"/>
    <w:rsid w:val="00D10B32"/>
    <w:rsid w:val="00D10D7F"/>
    <w:rsid w:val="00D11312"/>
    <w:rsid w:val="00D11449"/>
    <w:rsid w:val="00D11512"/>
    <w:rsid w:val="00D115A3"/>
    <w:rsid w:val="00D115F5"/>
    <w:rsid w:val="00D11651"/>
    <w:rsid w:val="00D1174B"/>
    <w:rsid w:val="00D11CB9"/>
    <w:rsid w:val="00D12038"/>
    <w:rsid w:val="00D121FF"/>
    <w:rsid w:val="00D12237"/>
    <w:rsid w:val="00D12302"/>
    <w:rsid w:val="00D1230B"/>
    <w:rsid w:val="00D12911"/>
    <w:rsid w:val="00D1294B"/>
    <w:rsid w:val="00D12D5B"/>
    <w:rsid w:val="00D13025"/>
    <w:rsid w:val="00D1313F"/>
    <w:rsid w:val="00D132B2"/>
    <w:rsid w:val="00D13365"/>
    <w:rsid w:val="00D13448"/>
    <w:rsid w:val="00D13706"/>
    <w:rsid w:val="00D138E3"/>
    <w:rsid w:val="00D13C2C"/>
    <w:rsid w:val="00D13C4D"/>
    <w:rsid w:val="00D14101"/>
    <w:rsid w:val="00D1444E"/>
    <w:rsid w:val="00D14666"/>
    <w:rsid w:val="00D14712"/>
    <w:rsid w:val="00D1476C"/>
    <w:rsid w:val="00D148C2"/>
    <w:rsid w:val="00D14950"/>
    <w:rsid w:val="00D14B66"/>
    <w:rsid w:val="00D14BB9"/>
    <w:rsid w:val="00D14EA7"/>
    <w:rsid w:val="00D1509F"/>
    <w:rsid w:val="00D1521D"/>
    <w:rsid w:val="00D15304"/>
    <w:rsid w:val="00D154A7"/>
    <w:rsid w:val="00D1558D"/>
    <w:rsid w:val="00D15D32"/>
    <w:rsid w:val="00D15DBA"/>
    <w:rsid w:val="00D15E84"/>
    <w:rsid w:val="00D15F61"/>
    <w:rsid w:val="00D15FDF"/>
    <w:rsid w:val="00D162EB"/>
    <w:rsid w:val="00D16384"/>
    <w:rsid w:val="00D1640E"/>
    <w:rsid w:val="00D164DD"/>
    <w:rsid w:val="00D1657F"/>
    <w:rsid w:val="00D165F6"/>
    <w:rsid w:val="00D16A0A"/>
    <w:rsid w:val="00D16AFA"/>
    <w:rsid w:val="00D16EA3"/>
    <w:rsid w:val="00D16F31"/>
    <w:rsid w:val="00D17345"/>
    <w:rsid w:val="00D17967"/>
    <w:rsid w:val="00D1796F"/>
    <w:rsid w:val="00D17C34"/>
    <w:rsid w:val="00D201F2"/>
    <w:rsid w:val="00D2037B"/>
    <w:rsid w:val="00D20593"/>
    <w:rsid w:val="00D205F5"/>
    <w:rsid w:val="00D20626"/>
    <w:rsid w:val="00D2062B"/>
    <w:rsid w:val="00D20674"/>
    <w:rsid w:val="00D2095B"/>
    <w:rsid w:val="00D209D7"/>
    <w:rsid w:val="00D20A03"/>
    <w:rsid w:val="00D20B17"/>
    <w:rsid w:val="00D20BAB"/>
    <w:rsid w:val="00D20BE7"/>
    <w:rsid w:val="00D20E1B"/>
    <w:rsid w:val="00D2152A"/>
    <w:rsid w:val="00D215E6"/>
    <w:rsid w:val="00D217E8"/>
    <w:rsid w:val="00D21A03"/>
    <w:rsid w:val="00D21A63"/>
    <w:rsid w:val="00D21D5C"/>
    <w:rsid w:val="00D2200E"/>
    <w:rsid w:val="00D220A5"/>
    <w:rsid w:val="00D2216D"/>
    <w:rsid w:val="00D22890"/>
    <w:rsid w:val="00D22964"/>
    <w:rsid w:val="00D22B9F"/>
    <w:rsid w:val="00D22C37"/>
    <w:rsid w:val="00D22CF5"/>
    <w:rsid w:val="00D230F7"/>
    <w:rsid w:val="00D2345C"/>
    <w:rsid w:val="00D2350F"/>
    <w:rsid w:val="00D237AC"/>
    <w:rsid w:val="00D23991"/>
    <w:rsid w:val="00D239BB"/>
    <w:rsid w:val="00D23A1D"/>
    <w:rsid w:val="00D23B26"/>
    <w:rsid w:val="00D23BB7"/>
    <w:rsid w:val="00D23E4E"/>
    <w:rsid w:val="00D240B2"/>
    <w:rsid w:val="00D242CC"/>
    <w:rsid w:val="00D24424"/>
    <w:rsid w:val="00D246D3"/>
    <w:rsid w:val="00D24896"/>
    <w:rsid w:val="00D24934"/>
    <w:rsid w:val="00D24B81"/>
    <w:rsid w:val="00D24EFA"/>
    <w:rsid w:val="00D24F49"/>
    <w:rsid w:val="00D24FDF"/>
    <w:rsid w:val="00D251E1"/>
    <w:rsid w:val="00D2532E"/>
    <w:rsid w:val="00D25398"/>
    <w:rsid w:val="00D254C2"/>
    <w:rsid w:val="00D25556"/>
    <w:rsid w:val="00D25628"/>
    <w:rsid w:val="00D2565A"/>
    <w:rsid w:val="00D25814"/>
    <w:rsid w:val="00D258F0"/>
    <w:rsid w:val="00D25AA8"/>
    <w:rsid w:val="00D26025"/>
    <w:rsid w:val="00D26321"/>
    <w:rsid w:val="00D26506"/>
    <w:rsid w:val="00D265CD"/>
    <w:rsid w:val="00D265FE"/>
    <w:rsid w:val="00D26806"/>
    <w:rsid w:val="00D26997"/>
    <w:rsid w:val="00D26BEA"/>
    <w:rsid w:val="00D26C4C"/>
    <w:rsid w:val="00D26CC5"/>
    <w:rsid w:val="00D26D15"/>
    <w:rsid w:val="00D26D98"/>
    <w:rsid w:val="00D26EEF"/>
    <w:rsid w:val="00D27024"/>
    <w:rsid w:val="00D277A1"/>
    <w:rsid w:val="00D277D5"/>
    <w:rsid w:val="00D277EB"/>
    <w:rsid w:val="00D27A2F"/>
    <w:rsid w:val="00D27D92"/>
    <w:rsid w:val="00D27E2B"/>
    <w:rsid w:val="00D30603"/>
    <w:rsid w:val="00D306D4"/>
    <w:rsid w:val="00D30AFD"/>
    <w:rsid w:val="00D3122C"/>
    <w:rsid w:val="00D31572"/>
    <w:rsid w:val="00D3161E"/>
    <w:rsid w:val="00D31726"/>
    <w:rsid w:val="00D31B7E"/>
    <w:rsid w:val="00D31C6A"/>
    <w:rsid w:val="00D32017"/>
    <w:rsid w:val="00D32080"/>
    <w:rsid w:val="00D32229"/>
    <w:rsid w:val="00D322A1"/>
    <w:rsid w:val="00D322AA"/>
    <w:rsid w:val="00D3232D"/>
    <w:rsid w:val="00D32470"/>
    <w:rsid w:val="00D32869"/>
    <w:rsid w:val="00D32903"/>
    <w:rsid w:val="00D3292D"/>
    <w:rsid w:val="00D32C07"/>
    <w:rsid w:val="00D32C4A"/>
    <w:rsid w:val="00D32D2B"/>
    <w:rsid w:val="00D3321C"/>
    <w:rsid w:val="00D33242"/>
    <w:rsid w:val="00D335AB"/>
    <w:rsid w:val="00D3382F"/>
    <w:rsid w:val="00D33ABF"/>
    <w:rsid w:val="00D33E54"/>
    <w:rsid w:val="00D33F4F"/>
    <w:rsid w:val="00D33F82"/>
    <w:rsid w:val="00D34041"/>
    <w:rsid w:val="00D34047"/>
    <w:rsid w:val="00D340FF"/>
    <w:rsid w:val="00D34343"/>
    <w:rsid w:val="00D34490"/>
    <w:rsid w:val="00D346AF"/>
    <w:rsid w:val="00D34731"/>
    <w:rsid w:val="00D34A7D"/>
    <w:rsid w:val="00D34E01"/>
    <w:rsid w:val="00D35280"/>
    <w:rsid w:val="00D35313"/>
    <w:rsid w:val="00D3557F"/>
    <w:rsid w:val="00D35591"/>
    <w:rsid w:val="00D35AE8"/>
    <w:rsid w:val="00D35B8B"/>
    <w:rsid w:val="00D35ED0"/>
    <w:rsid w:val="00D3602F"/>
    <w:rsid w:val="00D362A5"/>
    <w:rsid w:val="00D36304"/>
    <w:rsid w:val="00D36477"/>
    <w:rsid w:val="00D367CA"/>
    <w:rsid w:val="00D36A9E"/>
    <w:rsid w:val="00D36BC6"/>
    <w:rsid w:val="00D36CDD"/>
    <w:rsid w:val="00D36CF5"/>
    <w:rsid w:val="00D36F8B"/>
    <w:rsid w:val="00D3702C"/>
    <w:rsid w:val="00D37191"/>
    <w:rsid w:val="00D3735F"/>
    <w:rsid w:val="00D37617"/>
    <w:rsid w:val="00D37B00"/>
    <w:rsid w:val="00D37BBE"/>
    <w:rsid w:val="00D37C3D"/>
    <w:rsid w:val="00D37C59"/>
    <w:rsid w:val="00D37F42"/>
    <w:rsid w:val="00D40110"/>
    <w:rsid w:val="00D401A0"/>
    <w:rsid w:val="00D40292"/>
    <w:rsid w:val="00D4031A"/>
    <w:rsid w:val="00D403A3"/>
    <w:rsid w:val="00D40584"/>
    <w:rsid w:val="00D405CC"/>
    <w:rsid w:val="00D40640"/>
    <w:rsid w:val="00D40C3D"/>
    <w:rsid w:val="00D40E9B"/>
    <w:rsid w:val="00D40F4F"/>
    <w:rsid w:val="00D40FED"/>
    <w:rsid w:val="00D410DD"/>
    <w:rsid w:val="00D41148"/>
    <w:rsid w:val="00D4149F"/>
    <w:rsid w:val="00D4173C"/>
    <w:rsid w:val="00D41892"/>
    <w:rsid w:val="00D418C5"/>
    <w:rsid w:val="00D41CFB"/>
    <w:rsid w:val="00D42157"/>
    <w:rsid w:val="00D42283"/>
    <w:rsid w:val="00D42491"/>
    <w:rsid w:val="00D4258D"/>
    <w:rsid w:val="00D4264F"/>
    <w:rsid w:val="00D42A9B"/>
    <w:rsid w:val="00D42B32"/>
    <w:rsid w:val="00D42BBE"/>
    <w:rsid w:val="00D42DA4"/>
    <w:rsid w:val="00D42DFA"/>
    <w:rsid w:val="00D42E9C"/>
    <w:rsid w:val="00D43056"/>
    <w:rsid w:val="00D43138"/>
    <w:rsid w:val="00D43399"/>
    <w:rsid w:val="00D436BF"/>
    <w:rsid w:val="00D43C3B"/>
    <w:rsid w:val="00D43CB9"/>
    <w:rsid w:val="00D43F0F"/>
    <w:rsid w:val="00D44023"/>
    <w:rsid w:val="00D441AD"/>
    <w:rsid w:val="00D441F1"/>
    <w:rsid w:val="00D44216"/>
    <w:rsid w:val="00D4450F"/>
    <w:rsid w:val="00D4485B"/>
    <w:rsid w:val="00D44AD7"/>
    <w:rsid w:val="00D44AD9"/>
    <w:rsid w:val="00D44C17"/>
    <w:rsid w:val="00D44C9C"/>
    <w:rsid w:val="00D4506C"/>
    <w:rsid w:val="00D45455"/>
    <w:rsid w:val="00D45549"/>
    <w:rsid w:val="00D45710"/>
    <w:rsid w:val="00D4599B"/>
    <w:rsid w:val="00D45A11"/>
    <w:rsid w:val="00D45A4C"/>
    <w:rsid w:val="00D45A98"/>
    <w:rsid w:val="00D45AAE"/>
    <w:rsid w:val="00D45C83"/>
    <w:rsid w:val="00D45D5C"/>
    <w:rsid w:val="00D4613A"/>
    <w:rsid w:val="00D461B8"/>
    <w:rsid w:val="00D461BE"/>
    <w:rsid w:val="00D46303"/>
    <w:rsid w:val="00D46371"/>
    <w:rsid w:val="00D463A6"/>
    <w:rsid w:val="00D465A7"/>
    <w:rsid w:val="00D4672F"/>
    <w:rsid w:val="00D46ABD"/>
    <w:rsid w:val="00D46EAC"/>
    <w:rsid w:val="00D46EF3"/>
    <w:rsid w:val="00D46FB3"/>
    <w:rsid w:val="00D47228"/>
    <w:rsid w:val="00D4737A"/>
    <w:rsid w:val="00D473DB"/>
    <w:rsid w:val="00D47733"/>
    <w:rsid w:val="00D47848"/>
    <w:rsid w:val="00D478FE"/>
    <w:rsid w:val="00D47CD4"/>
    <w:rsid w:val="00D47E6B"/>
    <w:rsid w:val="00D502D8"/>
    <w:rsid w:val="00D5031C"/>
    <w:rsid w:val="00D50329"/>
    <w:rsid w:val="00D5032B"/>
    <w:rsid w:val="00D5063E"/>
    <w:rsid w:val="00D506D6"/>
    <w:rsid w:val="00D5116D"/>
    <w:rsid w:val="00D512DC"/>
    <w:rsid w:val="00D51482"/>
    <w:rsid w:val="00D515CF"/>
    <w:rsid w:val="00D51D2A"/>
    <w:rsid w:val="00D51DA6"/>
    <w:rsid w:val="00D52057"/>
    <w:rsid w:val="00D521C7"/>
    <w:rsid w:val="00D52323"/>
    <w:rsid w:val="00D524A5"/>
    <w:rsid w:val="00D525D8"/>
    <w:rsid w:val="00D526E2"/>
    <w:rsid w:val="00D52804"/>
    <w:rsid w:val="00D5282D"/>
    <w:rsid w:val="00D52A95"/>
    <w:rsid w:val="00D52AC0"/>
    <w:rsid w:val="00D52C55"/>
    <w:rsid w:val="00D52D6F"/>
    <w:rsid w:val="00D52F66"/>
    <w:rsid w:val="00D530A1"/>
    <w:rsid w:val="00D5312E"/>
    <w:rsid w:val="00D532C0"/>
    <w:rsid w:val="00D532F1"/>
    <w:rsid w:val="00D533F1"/>
    <w:rsid w:val="00D53413"/>
    <w:rsid w:val="00D5387D"/>
    <w:rsid w:val="00D53BE1"/>
    <w:rsid w:val="00D53D8E"/>
    <w:rsid w:val="00D542F3"/>
    <w:rsid w:val="00D54315"/>
    <w:rsid w:val="00D54469"/>
    <w:rsid w:val="00D544B1"/>
    <w:rsid w:val="00D5486A"/>
    <w:rsid w:val="00D549E2"/>
    <w:rsid w:val="00D54C4B"/>
    <w:rsid w:val="00D54C9D"/>
    <w:rsid w:val="00D54E9A"/>
    <w:rsid w:val="00D54F6A"/>
    <w:rsid w:val="00D54FF6"/>
    <w:rsid w:val="00D5548E"/>
    <w:rsid w:val="00D5555F"/>
    <w:rsid w:val="00D555C8"/>
    <w:rsid w:val="00D555E7"/>
    <w:rsid w:val="00D555F0"/>
    <w:rsid w:val="00D55610"/>
    <w:rsid w:val="00D5570E"/>
    <w:rsid w:val="00D55A62"/>
    <w:rsid w:val="00D55D8C"/>
    <w:rsid w:val="00D55F1E"/>
    <w:rsid w:val="00D55FA7"/>
    <w:rsid w:val="00D561CD"/>
    <w:rsid w:val="00D56414"/>
    <w:rsid w:val="00D56448"/>
    <w:rsid w:val="00D5644C"/>
    <w:rsid w:val="00D56511"/>
    <w:rsid w:val="00D56659"/>
    <w:rsid w:val="00D566B0"/>
    <w:rsid w:val="00D5684D"/>
    <w:rsid w:val="00D5685C"/>
    <w:rsid w:val="00D5686E"/>
    <w:rsid w:val="00D56B00"/>
    <w:rsid w:val="00D56F39"/>
    <w:rsid w:val="00D572E3"/>
    <w:rsid w:val="00D57335"/>
    <w:rsid w:val="00D574BE"/>
    <w:rsid w:val="00D574E5"/>
    <w:rsid w:val="00D574EB"/>
    <w:rsid w:val="00D57BAB"/>
    <w:rsid w:val="00D57D8F"/>
    <w:rsid w:val="00D57EDE"/>
    <w:rsid w:val="00D60011"/>
    <w:rsid w:val="00D60233"/>
    <w:rsid w:val="00D602D2"/>
    <w:rsid w:val="00D603DD"/>
    <w:rsid w:val="00D604D1"/>
    <w:rsid w:val="00D60655"/>
    <w:rsid w:val="00D60665"/>
    <w:rsid w:val="00D60774"/>
    <w:rsid w:val="00D6095E"/>
    <w:rsid w:val="00D6099E"/>
    <w:rsid w:val="00D60D2F"/>
    <w:rsid w:val="00D60E08"/>
    <w:rsid w:val="00D60E6F"/>
    <w:rsid w:val="00D60E7C"/>
    <w:rsid w:val="00D61196"/>
    <w:rsid w:val="00D612FB"/>
    <w:rsid w:val="00D613B2"/>
    <w:rsid w:val="00D613ED"/>
    <w:rsid w:val="00D61524"/>
    <w:rsid w:val="00D6168C"/>
    <w:rsid w:val="00D61752"/>
    <w:rsid w:val="00D61A1E"/>
    <w:rsid w:val="00D61BCD"/>
    <w:rsid w:val="00D61E3D"/>
    <w:rsid w:val="00D61E4B"/>
    <w:rsid w:val="00D6202D"/>
    <w:rsid w:val="00D620EC"/>
    <w:rsid w:val="00D62262"/>
    <w:rsid w:val="00D625A6"/>
    <w:rsid w:val="00D6264F"/>
    <w:rsid w:val="00D6270E"/>
    <w:rsid w:val="00D62772"/>
    <w:rsid w:val="00D6279D"/>
    <w:rsid w:val="00D627E0"/>
    <w:rsid w:val="00D62C30"/>
    <w:rsid w:val="00D62E39"/>
    <w:rsid w:val="00D63029"/>
    <w:rsid w:val="00D63273"/>
    <w:rsid w:val="00D632DD"/>
    <w:rsid w:val="00D63334"/>
    <w:rsid w:val="00D633C0"/>
    <w:rsid w:val="00D63661"/>
    <w:rsid w:val="00D636BF"/>
    <w:rsid w:val="00D63916"/>
    <w:rsid w:val="00D63D81"/>
    <w:rsid w:val="00D63E50"/>
    <w:rsid w:val="00D63F01"/>
    <w:rsid w:val="00D64185"/>
    <w:rsid w:val="00D641D3"/>
    <w:rsid w:val="00D64219"/>
    <w:rsid w:val="00D642A2"/>
    <w:rsid w:val="00D645A0"/>
    <w:rsid w:val="00D64732"/>
    <w:rsid w:val="00D647AD"/>
    <w:rsid w:val="00D64C49"/>
    <w:rsid w:val="00D64C54"/>
    <w:rsid w:val="00D6507B"/>
    <w:rsid w:val="00D6520F"/>
    <w:rsid w:val="00D6522A"/>
    <w:rsid w:val="00D6554A"/>
    <w:rsid w:val="00D6579F"/>
    <w:rsid w:val="00D65821"/>
    <w:rsid w:val="00D65CA0"/>
    <w:rsid w:val="00D66069"/>
    <w:rsid w:val="00D661DA"/>
    <w:rsid w:val="00D66241"/>
    <w:rsid w:val="00D66265"/>
    <w:rsid w:val="00D66516"/>
    <w:rsid w:val="00D667D2"/>
    <w:rsid w:val="00D66845"/>
    <w:rsid w:val="00D66AC4"/>
    <w:rsid w:val="00D66B7B"/>
    <w:rsid w:val="00D67125"/>
    <w:rsid w:val="00D67349"/>
    <w:rsid w:val="00D673F7"/>
    <w:rsid w:val="00D6763D"/>
    <w:rsid w:val="00D676A8"/>
    <w:rsid w:val="00D6774B"/>
    <w:rsid w:val="00D67810"/>
    <w:rsid w:val="00D67AAC"/>
    <w:rsid w:val="00D67B05"/>
    <w:rsid w:val="00D67E4B"/>
    <w:rsid w:val="00D704E8"/>
    <w:rsid w:val="00D705DD"/>
    <w:rsid w:val="00D70685"/>
    <w:rsid w:val="00D707F9"/>
    <w:rsid w:val="00D70812"/>
    <w:rsid w:val="00D70CA6"/>
    <w:rsid w:val="00D70FD2"/>
    <w:rsid w:val="00D710A7"/>
    <w:rsid w:val="00D712A9"/>
    <w:rsid w:val="00D714A2"/>
    <w:rsid w:val="00D715A4"/>
    <w:rsid w:val="00D7189D"/>
    <w:rsid w:val="00D71C8E"/>
    <w:rsid w:val="00D71CB9"/>
    <w:rsid w:val="00D71DA6"/>
    <w:rsid w:val="00D71F31"/>
    <w:rsid w:val="00D7204D"/>
    <w:rsid w:val="00D722F5"/>
    <w:rsid w:val="00D723C7"/>
    <w:rsid w:val="00D72520"/>
    <w:rsid w:val="00D727FE"/>
    <w:rsid w:val="00D7296D"/>
    <w:rsid w:val="00D72A80"/>
    <w:rsid w:val="00D72A93"/>
    <w:rsid w:val="00D72E69"/>
    <w:rsid w:val="00D72F68"/>
    <w:rsid w:val="00D732FD"/>
    <w:rsid w:val="00D73431"/>
    <w:rsid w:val="00D73576"/>
    <w:rsid w:val="00D7379B"/>
    <w:rsid w:val="00D73933"/>
    <w:rsid w:val="00D73BB4"/>
    <w:rsid w:val="00D73DFD"/>
    <w:rsid w:val="00D73E4A"/>
    <w:rsid w:val="00D73FB0"/>
    <w:rsid w:val="00D7401A"/>
    <w:rsid w:val="00D744D6"/>
    <w:rsid w:val="00D74A81"/>
    <w:rsid w:val="00D74A93"/>
    <w:rsid w:val="00D74BFB"/>
    <w:rsid w:val="00D75160"/>
    <w:rsid w:val="00D759BB"/>
    <w:rsid w:val="00D75AB0"/>
    <w:rsid w:val="00D75B39"/>
    <w:rsid w:val="00D75B61"/>
    <w:rsid w:val="00D75BE7"/>
    <w:rsid w:val="00D75D12"/>
    <w:rsid w:val="00D762C6"/>
    <w:rsid w:val="00D7656C"/>
    <w:rsid w:val="00D7664C"/>
    <w:rsid w:val="00D76839"/>
    <w:rsid w:val="00D76948"/>
    <w:rsid w:val="00D76A7E"/>
    <w:rsid w:val="00D76B8C"/>
    <w:rsid w:val="00D76BE6"/>
    <w:rsid w:val="00D76BF6"/>
    <w:rsid w:val="00D76C9E"/>
    <w:rsid w:val="00D76D36"/>
    <w:rsid w:val="00D76E3E"/>
    <w:rsid w:val="00D76E77"/>
    <w:rsid w:val="00D76EB5"/>
    <w:rsid w:val="00D76F3C"/>
    <w:rsid w:val="00D770F8"/>
    <w:rsid w:val="00D771EE"/>
    <w:rsid w:val="00D772F1"/>
    <w:rsid w:val="00D77676"/>
    <w:rsid w:val="00D776BA"/>
    <w:rsid w:val="00D77A65"/>
    <w:rsid w:val="00D77B4C"/>
    <w:rsid w:val="00D77B6A"/>
    <w:rsid w:val="00D77BEC"/>
    <w:rsid w:val="00D77FF4"/>
    <w:rsid w:val="00D801D2"/>
    <w:rsid w:val="00D80224"/>
    <w:rsid w:val="00D80308"/>
    <w:rsid w:val="00D803A8"/>
    <w:rsid w:val="00D807E6"/>
    <w:rsid w:val="00D8086C"/>
    <w:rsid w:val="00D8087F"/>
    <w:rsid w:val="00D80A8D"/>
    <w:rsid w:val="00D80D2C"/>
    <w:rsid w:val="00D8100B"/>
    <w:rsid w:val="00D81069"/>
    <w:rsid w:val="00D81140"/>
    <w:rsid w:val="00D815D5"/>
    <w:rsid w:val="00D8160A"/>
    <w:rsid w:val="00D81887"/>
    <w:rsid w:val="00D8194B"/>
    <w:rsid w:val="00D81A06"/>
    <w:rsid w:val="00D81B78"/>
    <w:rsid w:val="00D81BC2"/>
    <w:rsid w:val="00D81CE4"/>
    <w:rsid w:val="00D820EA"/>
    <w:rsid w:val="00D82183"/>
    <w:rsid w:val="00D8221F"/>
    <w:rsid w:val="00D822A3"/>
    <w:rsid w:val="00D822F9"/>
    <w:rsid w:val="00D82623"/>
    <w:rsid w:val="00D826D9"/>
    <w:rsid w:val="00D827D3"/>
    <w:rsid w:val="00D8291D"/>
    <w:rsid w:val="00D82B0D"/>
    <w:rsid w:val="00D82BFF"/>
    <w:rsid w:val="00D82FEE"/>
    <w:rsid w:val="00D83155"/>
    <w:rsid w:val="00D832F8"/>
    <w:rsid w:val="00D835B3"/>
    <w:rsid w:val="00D8389D"/>
    <w:rsid w:val="00D83AE7"/>
    <w:rsid w:val="00D83B68"/>
    <w:rsid w:val="00D83C12"/>
    <w:rsid w:val="00D83C21"/>
    <w:rsid w:val="00D83C3D"/>
    <w:rsid w:val="00D83C82"/>
    <w:rsid w:val="00D83CEE"/>
    <w:rsid w:val="00D83E67"/>
    <w:rsid w:val="00D841E6"/>
    <w:rsid w:val="00D841F9"/>
    <w:rsid w:val="00D8422A"/>
    <w:rsid w:val="00D84415"/>
    <w:rsid w:val="00D844A2"/>
    <w:rsid w:val="00D84523"/>
    <w:rsid w:val="00D84734"/>
    <w:rsid w:val="00D849D1"/>
    <w:rsid w:val="00D84A52"/>
    <w:rsid w:val="00D84BC1"/>
    <w:rsid w:val="00D84CFB"/>
    <w:rsid w:val="00D84D41"/>
    <w:rsid w:val="00D84E2E"/>
    <w:rsid w:val="00D84EAD"/>
    <w:rsid w:val="00D84F7C"/>
    <w:rsid w:val="00D85041"/>
    <w:rsid w:val="00D850E5"/>
    <w:rsid w:val="00D850F9"/>
    <w:rsid w:val="00D85346"/>
    <w:rsid w:val="00D857BC"/>
    <w:rsid w:val="00D85B09"/>
    <w:rsid w:val="00D85C0C"/>
    <w:rsid w:val="00D85D6F"/>
    <w:rsid w:val="00D85E5C"/>
    <w:rsid w:val="00D85F3E"/>
    <w:rsid w:val="00D86074"/>
    <w:rsid w:val="00D86776"/>
    <w:rsid w:val="00D86779"/>
    <w:rsid w:val="00D86A4C"/>
    <w:rsid w:val="00D86B24"/>
    <w:rsid w:val="00D86BDE"/>
    <w:rsid w:val="00D86ED8"/>
    <w:rsid w:val="00D8707E"/>
    <w:rsid w:val="00D87579"/>
    <w:rsid w:val="00D876AE"/>
    <w:rsid w:val="00D8782C"/>
    <w:rsid w:val="00D878D7"/>
    <w:rsid w:val="00D903E9"/>
    <w:rsid w:val="00D903FF"/>
    <w:rsid w:val="00D905CF"/>
    <w:rsid w:val="00D9083F"/>
    <w:rsid w:val="00D908FB"/>
    <w:rsid w:val="00D90C81"/>
    <w:rsid w:val="00D90F34"/>
    <w:rsid w:val="00D916BD"/>
    <w:rsid w:val="00D917B5"/>
    <w:rsid w:val="00D91903"/>
    <w:rsid w:val="00D91956"/>
    <w:rsid w:val="00D91BE7"/>
    <w:rsid w:val="00D91DA7"/>
    <w:rsid w:val="00D91F2C"/>
    <w:rsid w:val="00D9251F"/>
    <w:rsid w:val="00D9270F"/>
    <w:rsid w:val="00D93131"/>
    <w:rsid w:val="00D934EB"/>
    <w:rsid w:val="00D93657"/>
    <w:rsid w:val="00D937B0"/>
    <w:rsid w:val="00D93AED"/>
    <w:rsid w:val="00D93D82"/>
    <w:rsid w:val="00D9427B"/>
    <w:rsid w:val="00D942A8"/>
    <w:rsid w:val="00D94445"/>
    <w:rsid w:val="00D94910"/>
    <w:rsid w:val="00D94A93"/>
    <w:rsid w:val="00D94B50"/>
    <w:rsid w:val="00D94F6E"/>
    <w:rsid w:val="00D952D6"/>
    <w:rsid w:val="00D95470"/>
    <w:rsid w:val="00D955DC"/>
    <w:rsid w:val="00D95A05"/>
    <w:rsid w:val="00D95B9D"/>
    <w:rsid w:val="00D95BFA"/>
    <w:rsid w:val="00D95C77"/>
    <w:rsid w:val="00D95CE5"/>
    <w:rsid w:val="00D95D37"/>
    <w:rsid w:val="00D95DB8"/>
    <w:rsid w:val="00D96023"/>
    <w:rsid w:val="00D96104"/>
    <w:rsid w:val="00D96254"/>
    <w:rsid w:val="00D962BE"/>
    <w:rsid w:val="00D9658E"/>
    <w:rsid w:val="00D96A01"/>
    <w:rsid w:val="00D96BBD"/>
    <w:rsid w:val="00D96C83"/>
    <w:rsid w:val="00D97086"/>
    <w:rsid w:val="00D970CE"/>
    <w:rsid w:val="00D9712F"/>
    <w:rsid w:val="00D97205"/>
    <w:rsid w:val="00D9731B"/>
    <w:rsid w:val="00D9760A"/>
    <w:rsid w:val="00D976DA"/>
    <w:rsid w:val="00D978FC"/>
    <w:rsid w:val="00D97A00"/>
    <w:rsid w:val="00D97ADB"/>
    <w:rsid w:val="00D97D0F"/>
    <w:rsid w:val="00D97DE9"/>
    <w:rsid w:val="00D97E95"/>
    <w:rsid w:val="00D97FD3"/>
    <w:rsid w:val="00DA0067"/>
    <w:rsid w:val="00DA0499"/>
    <w:rsid w:val="00DA05F2"/>
    <w:rsid w:val="00DA067A"/>
    <w:rsid w:val="00DA06A9"/>
    <w:rsid w:val="00DA081A"/>
    <w:rsid w:val="00DA09E7"/>
    <w:rsid w:val="00DA0AC3"/>
    <w:rsid w:val="00DA0BF1"/>
    <w:rsid w:val="00DA0C1D"/>
    <w:rsid w:val="00DA0E0E"/>
    <w:rsid w:val="00DA0F7E"/>
    <w:rsid w:val="00DA1241"/>
    <w:rsid w:val="00DA12D3"/>
    <w:rsid w:val="00DA1340"/>
    <w:rsid w:val="00DA1487"/>
    <w:rsid w:val="00DA14BF"/>
    <w:rsid w:val="00DA1732"/>
    <w:rsid w:val="00DA1A86"/>
    <w:rsid w:val="00DA1B5E"/>
    <w:rsid w:val="00DA1DB4"/>
    <w:rsid w:val="00DA20F4"/>
    <w:rsid w:val="00DA221A"/>
    <w:rsid w:val="00DA2359"/>
    <w:rsid w:val="00DA2575"/>
    <w:rsid w:val="00DA27A2"/>
    <w:rsid w:val="00DA2A5D"/>
    <w:rsid w:val="00DA2C62"/>
    <w:rsid w:val="00DA2C70"/>
    <w:rsid w:val="00DA2C8B"/>
    <w:rsid w:val="00DA2D43"/>
    <w:rsid w:val="00DA2DB5"/>
    <w:rsid w:val="00DA32D5"/>
    <w:rsid w:val="00DA3481"/>
    <w:rsid w:val="00DA357C"/>
    <w:rsid w:val="00DA3585"/>
    <w:rsid w:val="00DA3791"/>
    <w:rsid w:val="00DA37DA"/>
    <w:rsid w:val="00DA389D"/>
    <w:rsid w:val="00DA397A"/>
    <w:rsid w:val="00DA3E93"/>
    <w:rsid w:val="00DA414F"/>
    <w:rsid w:val="00DA43EB"/>
    <w:rsid w:val="00DA4410"/>
    <w:rsid w:val="00DA4A20"/>
    <w:rsid w:val="00DA4AB4"/>
    <w:rsid w:val="00DA4C1D"/>
    <w:rsid w:val="00DA4E8C"/>
    <w:rsid w:val="00DA4FCF"/>
    <w:rsid w:val="00DA525B"/>
    <w:rsid w:val="00DA52DE"/>
    <w:rsid w:val="00DA54A2"/>
    <w:rsid w:val="00DA559D"/>
    <w:rsid w:val="00DA58E0"/>
    <w:rsid w:val="00DA5B4E"/>
    <w:rsid w:val="00DA5BC5"/>
    <w:rsid w:val="00DA5C30"/>
    <w:rsid w:val="00DA5D10"/>
    <w:rsid w:val="00DA5E9F"/>
    <w:rsid w:val="00DA5F9A"/>
    <w:rsid w:val="00DA60B9"/>
    <w:rsid w:val="00DA628D"/>
    <w:rsid w:val="00DA6397"/>
    <w:rsid w:val="00DA63F6"/>
    <w:rsid w:val="00DA6437"/>
    <w:rsid w:val="00DA65C2"/>
    <w:rsid w:val="00DA68E9"/>
    <w:rsid w:val="00DA6D7D"/>
    <w:rsid w:val="00DA70D9"/>
    <w:rsid w:val="00DA7115"/>
    <w:rsid w:val="00DA7580"/>
    <w:rsid w:val="00DA76B7"/>
    <w:rsid w:val="00DA78F7"/>
    <w:rsid w:val="00DA7A8B"/>
    <w:rsid w:val="00DA7F1B"/>
    <w:rsid w:val="00DA7F28"/>
    <w:rsid w:val="00DA7FF5"/>
    <w:rsid w:val="00DB020D"/>
    <w:rsid w:val="00DB03B0"/>
    <w:rsid w:val="00DB0400"/>
    <w:rsid w:val="00DB0954"/>
    <w:rsid w:val="00DB09BF"/>
    <w:rsid w:val="00DB09F3"/>
    <w:rsid w:val="00DB0C86"/>
    <w:rsid w:val="00DB0E89"/>
    <w:rsid w:val="00DB0E9D"/>
    <w:rsid w:val="00DB0F55"/>
    <w:rsid w:val="00DB1092"/>
    <w:rsid w:val="00DB119E"/>
    <w:rsid w:val="00DB13F5"/>
    <w:rsid w:val="00DB1410"/>
    <w:rsid w:val="00DB1714"/>
    <w:rsid w:val="00DB17C0"/>
    <w:rsid w:val="00DB1810"/>
    <w:rsid w:val="00DB18DB"/>
    <w:rsid w:val="00DB1916"/>
    <w:rsid w:val="00DB1A03"/>
    <w:rsid w:val="00DB1BB9"/>
    <w:rsid w:val="00DB1BED"/>
    <w:rsid w:val="00DB1F99"/>
    <w:rsid w:val="00DB1FF6"/>
    <w:rsid w:val="00DB21F2"/>
    <w:rsid w:val="00DB26A9"/>
    <w:rsid w:val="00DB26E4"/>
    <w:rsid w:val="00DB2755"/>
    <w:rsid w:val="00DB28BC"/>
    <w:rsid w:val="00DB2B9D"/>
    <w:rsid w:val="00DB2BF7"/>
    <w:rsid w:val="00DB2C88"/>
    <w:rsid w:val="00DB2F00"/>
    <w:rsid w:val="00DB3258"/>
    <w:rsid w:val="00DB3656"/>
    <w:rsid w:val="00DB394C"/>
    <w:rsid w:val="00DB3DDE"/>
    <w:rsid w:val="00DB3EC9"/>
    <w:rsid w:val="00DB3F9F"/>
    <w:rsid w:val="00DB3FDA"/>
    <w:rsid w:val="00DB404B"/>
    <w:rsid w:val="00DB4195"/>
    <w:rsid w:val="00DB44D2"/>
    <w:rsid w:val="00DB4627"/>
    <w:rsid w:val="00DB4642"/>
    <w:rsid w:val="00DB46AB"/>
    <w:rsid w:val="00DB471D"/>
    <w:rsid w:val="00DB47D0"/>
    <w:rsid w:val="00DB4921"/>
    <w:rsid w:val="00DB498E"/>
    <w:rsid w:val="00DB4D00"/>
    <w:rsid w:val="00DB4D69"/>
    <w:rsid w:val="00DB4DF7"/>
    <w:rsid w:val="00DB518F"/>
    <w:rsid w:val="00DB5501"/>
    <w:rsid w:val="00DB55F1"/>
    <w:rsid w:val="00DB5832"/>
    <w:rsid w:val="00DB5AD1"/>
    <w:rsid w:val="00DB5CA1"/>
    <w:rsid w:val="00DB5F21"/>
    <w:rsid w:val="00DB5FD6"/>
    <w:rsid w:val="00DB5FF0"/>
    <w:rsid w:val="00DB6035"/>
    <w:rsid w:val="00DB60F4"/>
    <w:rsid w:val="00DB6183"/>
    <w:rsid w:val="00DB6432"/>
    <w:rsid w:val="00DB6470"/>
    <w:rsid w:val="00DB652A"/>
    <w:rsid w:val="00DB65EB"/>
    <w:rsid w:val="00DB6665"/>
    <w:rsid w:val="00DB6784"/>
    <w:rsid w:val="00DB6902"/>
    <w:rsid w:val="00DB6907"/>
    <w:rsid w:val="00DB6B33"/>
    <w:rsid w:val="00DB6B80"/>
    <w:rsid w:val="00DB6BE3"/>
    <w:rsid w:val="00DB6C35"/>
    <w:rsid w:val="00DB6CB4"/>
    <w:rsid w:val="00DB6CC3"/>
    <w:rsid w:val="00DB6D14"/>
    <w:rsid w:val="00DB6E7A"/>
    <w:rsid w:val="00DB7056"/>
    <w:rsid w:val="00DB720C"/>
    <w:rsid w:val="00DB7571"/>
    <w:rsid w:val="00DB758B"/>
    <w:rsid w:val="00DB76A3"/>
    <w:rsid w:val="00DB7898"/>
    <w:rsid w:val="00DB7BC5"/>
    <w:rsid w:val="00DB7D3D"/>
    <w:rsid w:val="00DB7D5B"/>
    <w:rsid w:val="00DB7DBC"/>
    <w:rsid w:val="00DB7E6C"/>
    <w:rsid w:val="00DC0093"/>
    <w:rsid w:val="00DC0232"/>
    <w:rsid w:val="00DC028B"/>
    <w:rsid w:val="00DC0623"/>
    <w:rsid w:val="00DC091F"/>
    <w:rsid w:val="00DC0CEA"/>
    <w:rsid w:val="00DC0D0A"/>
    <w:rsid w:val="00DC0D89"/>
    <w:rsid w:val="00DC1164"/>
    <w:rsid w:val="00DC1274"/>
    <w:rsid w:val="00DC1694"/>
    <w:rsid w:val="00DC19D8"/>
    <w:rsid w:val="00DC1A2B"/>
    <w:rsid w:val="00DC1AC2"/>
    <w:rsid w:val="00DC1AF9"/>
    <w:rsid w:val="00DC1C03"/>
    <w:rsid w:val="00DC1D92"/>
    <w:rsid w:val="00DC212A"/>
    <w:rsid w:val="00DC219A"/>
    <w:rsid w:val="00DC225D"/>
    <w:rsid w:val="00DC2300"/>
    <w:rsid w:val="00DC258C"/>
    <w:rsid w:val="00DC25BA"/>
    <w:rsid w:val="00DC25D1"/>
    <w:rsid w:val="00DC2865"/>
    <w:rsid w:val="00DC298F"/>
    <w:rsid w:val="00DC2A0A"/>
    <w:rsid w:val="00DC2ADE"/>
    <w:rsid w:val="00DC2C76"/>
    <w:rsid w:val="00DC2CEF"/>
    <w:rsid w:val="00DC2CF6"/>
    <w:rsid w:val="00DC2D43"/>
    <w:rsid w:val="00DC3044"/>
    <w:rsid w:val="00DC3152"/>
    <w:rsid w:val="00DC336A"/>
    <w:rsid w:val="00DC3463"/>
    <w:rsid w:val="00DC36BD"/>
    <w:rsid w:val="00DC37F1"/>
    <w:rsid w:val="00DC392B"/>
    <w:rsid w:val="00DC39E8"/>
    <w:rsid w:val="00DC409D"/>
    <w:rsid w:val="00DC40EB"/>
    <w:rsid w:val="00DC4222"/>
    <w:rsid w:val="00DC447A"/>
    <w:rsid w:val="00DC4899"/>
    <w:rsid w:val="00DC4A76"/>
    <w:rsid w:val="00DC4B17"/>
    <w:rsid w:val="00DC4FAB"/>
    <w:rsid w:val="00DC5675"/>
    <w:rsid w:val="00DC56BA"/>
    <w:rsid w:val="00DC59B5"/>
    <w:rsid w:val="00DC5A68"/>
    <w:rsid w:val="00DC5A85"/>
    <w:rsid w:val="00DC5B8B"/>
    <w:rsid w:val="00DC5CCB"/>
    <w:rsid w:val="00DC5D01"/>
    <w:rsid w:val="00DC5E05"/>
    <w:rsid w:val="00DC5E57"/>
    <w:rsid w:val="00DC5F93"/>
    <w:rsid w:val="00DC6106"/>
    <w:rsid w:val="00DC6253"/>
    <w:rsid w:val="00DC68F3"/>
    <w:rsid w:val="00DC6961"/>
    <w:rsid w:val="00DC6B61"/>
    <w:rsid w:val="00DC6EBA"/>
    <w:rsid w:val="00DC74F5"/>
    <w:rsid w:val="00DC75F3"/>
    <w:rsid w:val="00DC7828"/>
    <w:rsid w:val="00DC7996"/>
    <w:rsid w:val="00DC7AD2"/>
    <w:rsid w:val="00DC7B78"/>
    <w:rsid w:val="00DC7BD4"/>
    <w:rsid w:val="00DC7C84"/>
    <w:rsid w:val="00DC7DA8"/>
    <w:rsid w:val="00DC7E04"/>
    <w:rsid w:val="00DC7E75"/>
    <w:rsid w:val="00DC7F62"/>
    <w:rsid w:val="00DD01E6"/>
    <w:rsid w:val="00DD03A7"/>
    <w:rsid w:val="00DD040C"/>
    <w:rsid w:val="00DD0470"/>
    <w:rsid w:val="00DD0623"/>
    <w:rsid w:val="00DD077A"/>
    <w:rsid w:val="00DD0C5B"/>
    <w:rsid w:val="00DD0CA7"/>
    <w:rsid w:val="00DD0DF2"/>
    <w:rsid w:val="00DD0ECC"/>
    <w:rsid w:val="00DD0F7C"/>
    <w:rsid w:val="00DD11C3"/>
    <w:rsid w:val="00DD1214"/>
    <w:rsid w:val="00DD123C"/>
    <w:rsid w:val="00DD1637"/>
    <w:rsid w:val="00DD16FE"/>
    <w:rsid w:val="00DD19A4"/>
    <w:rsid w:val="00DD1BD1"/>
    <w:rsid w:val="00DD1E49"/>
    <w:rsid w:val="00DD2124"/>
    <w:rsid w:val="00DD24AB"/>
    <w:rsid w:val="00DD24BB"/>
    <w:rsid w:val="00DD2DF7"/>
    <w:rsid w:val="00DD2F25"/>
    <w:rsid w:val="00DD30A5"/>
    <w:rsid w:val="00DD314A"/>
    <w:rsid w:val="00DD321B"/>
    <w:rsid w:val="00DD3754"/>
    <w:rsid w:val="00DD38BB"/>
    <w:rsid w:val="00DD38FA"/>
    <w:rsid w:val="00DD3AD5"/>
    <w:rsid w:val="00DD3D11"/>
    <w:rsid w:val="00DD4661"/>
    <w:rsid w:val="00DD4666"/>
    <w:rsid w:val="00DD4D5A"/>
    <w:rsid w:val="00DD4DA1"/>
    <w:rsid w:val="00DD520B"/>
    <w:rsid w:val="00DD5312"/>
    <w:rsid w:val="00DD540B"/>
    <w:rsid w:val="00DD5596"/>
    <w:rsid w:val="00DD57A2"/>
    <w:rsid w:val="00DD57C2"/>
    <w:rsid w:val="00DD5931"/>
    <w:rsid w:val="00DD5BB4"/>
    <w:rsid w:val="00DD5EA1"/>
    <w:rsid w:val="00DD61D0"/>
    <w:rsid w:val="00DD6672"/>
    <w:rsid w:val="00DD6712"/>
    <w:rsid w:val="00DD6868"/>
    <w:rsid w:val="00DD68AB"/>
    <w:rsid w:val="00DD6966"/>
    <w:rsid w:val="00DD6AF6"/>
    <w:rsid w:val="00DD71EA"/>
    <w:rsid w:val="00DD75DE"/>
    <w:rsid w:val="00DD7676"/>
    <w:rsid w:val="00DD7746"/>
    <w:rsid w:val="00DD7864"/>
    <w:rsid w:val="00DD79DA"/>
    <w:rsid w:val="00DD7BDC"/>
    <w:rsid w:val="00DE0266"/>
    <w:rsid w:val="00DE036E"/>
    <w:rsid w:val="00DE0509"/>
    <w:rsid w:val="00DE0783"/>
    <w:rsid w:val="00DE07AB"/>
    <w:rsid w:val="00DE0893"/>
    <w:rsid w:val="00DE08DB"/>
    <w:rsid w:val="00DE0AA3"/>
    <w:rsid w:val="00DE0AB8"/>
    <w:rsid w:val="00DE0AF9"/>
    <w:rsid w:val="00DE0BA8"/>
    <w:rsid w:val="00DE0BC8"/>
    <w:rsid w:val="00DE0C51"/>
    <w:rsid w:val="00DE0DCC"/>
    <w:rsid w:val="00DE0EFB"/>
    <w:rsid w:val="00DE0FCD"/>
    <w:rsid w:val="00DE121A"/>
    <w:rsid w:val="00DE1344"/>
    <w:rsid w:val="00DE139B"/>
    <w:rsid w:val="00DE141A"/>
    <w:rsid w:val="00DE1554"/>
    <w:rsid w:val="00DE1562"/>
    <w:rsid w:val="00DE168A"/>
    <w:rsid w:val="00DE1C40"/>
    <w:rsid w:val="00DE1E2E"/>
    <w:rsid w:val="00DE2067"/>
    <w:rsid w:val="00DE2259"/>
    <w:rsid w:val="00DE26B1"/>
    <w:rsid w:val="00DE280B"/>
    <w:rsid w:val="00DE2ADE"/>
    <w:rsid w:val="00DE2F78"/>
    <w:rsid w:val="00DE31E7"/>
    <w:rsid w:val="00DE31FB"/>
    <w:rsid w:val="00DE33E3"/>
    <w:rsid w:val="00DE36CE"/>
    <w:rsid w:val="00DE3A40"/>
    <w:rsid w:val="00DE3E8E"/>
    <w:rsid w:val="00DE3FA6"/>
    <w:rsid w:val="00DE3FB5"/>
    <w:rsid w:val="00DE400D"/>
    <w:rsid w:val="00DE418E"/>
    <w:rsid w:val="00DE4821"/>
    <w:rsid w:val="00DE49EC"/>
    <w:rsid w:val="00DE4B68"/>
    <w:rsid w:val="00DE4C31"/>
    <w:rsid w:val="00DE4C3D"/>
    <w:rsid w:val="00DE4D83"/>
    <w:rsid w:val="00DE55F9"/>
    <w:rsid w:val="00DE5740"/>
    <w:rsid w:val="00DE57D0"/>
    <w:rsid w:val="00DE57F1"/>
    <w:rsid w:val="00DE5C8C"/>
    <w:rsid w:val="00DE5E5D"/>
    <w:rsid w:val="00DE61AE"/>
    <w:rsid w:val="00DE628C"/>
    <w:rsid w:val="00DE6343"/>
    <w:rsid w:val="00DE6530"/>
    <w:rsid w:val="00DE691A"/>
    <w:rsid w:val="00DE6926"/>
    <w:rsid w:val="00DE6A2B"/>
    <w:rsid w:val="00DE6A44"/>
    <w:rsid w:val="00DE6C21"/>
    <w:rsid w:val="00DE6CF3"/>
    <w:rsid w:val="00DE6E6B"/>
    <w:rsid w:val="00DE7138"/>
    <w:rsid w:val="00DE7529"/>
    <w:rsid w:val="00DE76D0"/>
    <w:rsid w:val="00DE771B"/>
    <w:rsid w:val="00DE7A1D"/>
    <w:rsid w:val="00DE7ACE"/>
    <w:rsid w:val="00DE7B07"/>
    <w:rsid w:val="00DE7D09"/>
    <w:rsid w:val="00DF0186"/>
    <w:rsid w:val="00DF0203"/>
    <w:rsid w:val="00DF0373"/>
    <w:rsid w:val="00DF0398"/>
    <w:rsid w:val="00DF03EF"/>
    <w:rsid w:val="00DF04BE"/>
    <w:rsid w:val="00DF04F1"/>
    <w:rsid w:val="00DF09B4"/>
    <w:rsid w:val="00DF11C5"/>
    <w:rsid w:val="00DF11CF"/>
    <w:rsid w:val="00DF1613"/>
    <w:rsid w:val="00DF176D"/>
    <w:rsid w:val="00DF17C8"/>
    <w:rsid w:val="00DF1A4C"/>
    <w:rsid w:val="00DF216D"/>
    <w:rsid w:val="00DF229C"/>
    <w:rsid w:val="00DF29C8"/>
    <w:rsid w:val="00DF29DA"/>
    <w:rsid w:val="00DF29E0"/>
    <w:rsid w:val="00DF2AFE"/>
    <w:rsid w:val="00DF2D25"/>
    <w:rsid w:val="00DF2DEC"/>
    <w:rsid w:val="00DF2F3E"/>
    <w:rsid w:val="00DF2FF5"/>
    <w:rsid w:val="00DF3067"/>
    <w:rsid w:val="00DF31B5"/>
    <w:rsid w:val="00DF3254"/>
    <w:rsid w:val="00DF3614"/>
    <w:rsid w:val="00DF36DD"/>
    <w:rsid w:val="00DF38AC"/>
    <w:rsid w:val="00DF3F23"/>
    <w:rsid w:val="00DF4179"/>
    <w:rsid w:val="00DF41C9"/>
    <w:rsid w:val="00DF443A"/>
    <w:rsid w:val="00DF4440"/>
    <w:rsid w:val="00DF4703"/>
    <w:rsid w:val="00DF4705"/>
    <w:rsid w:val="00DF47A4"/>
    <w:rsid w:val="00DF4D0D"/>
    <w:rsid w:val="00DF4D21"/>
    <w:rsid w:val="00DF4F55"/>
    <w:rsid w:val="00DF4FC0"/>
    <w:rsid w:val="00DF55A6"/>
    <w:rsid w:val="00DF55BC"/>
    <w:rsid w:val="00DF5684"/>
    <w:rsid w:val="00DF585D"/>
    <w:rsid w:val="00DF59E0"/>
    <w:rsid w:val="00DF5F94"/>
    <w:rsid w:val="00DF604E"/>
    <w:rsid w:val="00DF633A"/>
    <w:rsid w:val="00DF6434"/>
    <w:rsid w:val="00DF653A"/>
    <w:rsid w:val="00DF669F"/>
    <w:rsid w:val="00DF696A"/>
    <w:rsid w:val="00DF69CF"/>
    <w:rsid w:val="00DF6B58"/>
    <w:rsid w:val="00DF6BD0"/>
    <w:rsid w:val="00DF6CF3"/>
    <w:rsid w:val="00DF6F0E"/>
    <w:rsid w:val="00DF7044"/>
    <w:rsid w:val="00DF711E"/>
    <w:rsid w:val="00DF716E"/>
    <w:rsid w:val="00DF755B"/>
    <w:rsid w:val="00DF757E"/>
    <w:rsid w:val="00DF75BC"/>
    <w:rsid w:val="00DF763A"/>
    <w:rsid w:val="00DF79A2"/>
    <w:rsid w:val="00DF7C6F"/>
    <w:rsid w:val="00DF7E4D"/>
    <w:rsid w:val="00DF7F21"/>
    <w:rsid w:val="00E001D1"/>
    <w:rsid w:val="00E0028B"/>
    <w:rsid w:val="00E0046C"/>
    <w:rsid w:val="00E00627"/>
    <w:rsid w:val="00E006AF"/>
    <w:rsid w:val="00E007B0"/>
    <w:rsid w:val="00E00864"/>
    <w:rsid w:val="00E00965"/>
    <w:rsid w:val="00E009D5"/>
    <w:rsid w:val="00E009ED"/>
    <w:rsid w:val="00E00AF3"/>
    <w:rsid w:val="00E00C2B"/>
    <w:rsid w:val="00E00E14"/>
    <w:rsid w:val="00E010DF"/>
    <w:rsid w:val="00E0179D"/>
    <w:rsid w:val="00E017A3"/>
    <w:rsid w:val="00E01803"/>
    <w:rsid w:val="00E0188F"/>
    <w:rsid w:val="00E01A9A"/>
    <w:rsid w:val="00E01AD3"/>
    <w:rsid w:val="00E01AEC"/>
    <w:rsid w:val="00E01AF0"/>
    <w:rsid w:val="00E01C1A"/>
    <w:rsid w:val="00E01C34"/>
    <w:rsid w:val="00E01DEE"/>
    <w:rsid w:val="00E01DFE"/>
    <w:rsid w:val="00E01F58"/>
    <w:rsid w:val="00E0204C"/>
    <w:rsid w:val="00E020BE"/>
    <w:rsid w:val="00E02468"/>
    <w:rsid w:val="00E026C9"/>
    <w:rsid w:val="00E027FC"/>
    <w:rsid w:val="00E0293A"/>
    <w:rsid w:val="00E0295C"/>
    <w:rsid w:val="00E02B90"/>
    <w:rsid w:val="00E02D2F"/>
    <w:rsid w:val="00E030A2"/>
    <w:rsid w:val="00E032FF"/>
    <w:rsid w:val="00E033FA"/>
    <w:rsid w:val="00E03721"/>
    <w:rsid w:val="00E03876"/>
    <w:rsid w:val="00E03C78"/>
    <w:rsid w:val="00E03C95"/>
    <w:rsid w:val="00E03D3F"/>
    <w:rsid w:val="00E03ED2"/>
    <w:rsid w:val="00E03FD1"/>
    <w:rsid w:val="00E040C2"/>
    <w:rsid w:val="00E04140"/>
    <w:rsid w:val="00E041F4"/>
    <w:rsid w:val="00E0458C"/>
    <w:rsid w:val="00E04671"/>
    <w:rsid w:val="00E046D1"/>
    <w:rsid w:val="00E046E8"/>
    <w:rsid w:val="00E04859"/>
    <w:rsid w:val="00E04A84"/>
    <w:rsid w:val="00E04B2F"/>
    <w:rsid w:val="00E04C48"/>
    <w:rsid w:val="00E056C5"/>
    <w:rsid w:val="00E0574F"/>
    <w:rsid w:val="00E05A51"/>
    <w:rsid w:val="00E05C0B"/>
    <w:rsid w:val="00E05CEC"/>
    <w:rsid w:val="00E061CF"/>
    <w:rsid w:val="00E06218"/>
    <w:rsid w:val="00E0625A"/>
    <w:rsid w:val="00E06393"/>
    <w:rsid w:val="00E06541"/>
    <w:rsid w:val="00E069BC"/>
    <w:rsid w:val="00E06B28"/>
    <w:rsid w:val="00E06C1D"/>
    <w:rsid w:val="00E06C38"/>
    <w:rsid w:val="00E06C43"/>
    <w:rsid w:val="00E06D76"/>
    <w:rsid w:val="00E06E6C"/>
    <w:rsid w:val="00E06EE3"/>
    <w:rsid w:val="00E06EE6"/>
    <w:rsid w:val="00E06F48"/>
    <w:rsid w:val="00E06F8B"/>
    <w:rsid w:val="00E06FD7"/>
    <w:rsid w:val="00E07244"/>
    <w:rsid w:val="00E0727B"/>
    <w:rsid w:val="00E072ED"/>
    <w:rsid w:val="00E074F3"/>
    <w:rsid w:val="00E0753E"/>
    <w:rsid w:val="00E075B0"/>
    <w:rsid w:val="00E077E0"/>
    <w:rsid w:val="00E078C8"/>
    <w:rsid w:val="00E07A75"/>
    <w:rsid w:val="00E07D41"/>
    <w:rsid w:val="00E07EE4"/>
    <w:rsid w:val="00E10036"/>
    <w:rsid w:val="00E101D4"/>
    <w:rsid w:val="00E101D5"/>
    <w:rsid w:val="00E1056B"/>
    <w:rsid w:val="00E1078D"/>
    <w:rsid w:val="00E107E2"/>
    <w:rsid w:val="00E10998"/>
    <w:rsid w:val="00E109C5"/>
    <w:rsid w:val="00E10C85"/>
    <w:rsid w:val="00E10D07"/>
    <w:rsid w:val="00E10D23"/>
    <w:rsid w:val="00E112EE"/>
    <w:rsid w:val="00E1130E"/>
    <w:rsid w:val="00E114A0"/>
    <w:rsid w:val="00E11843"/>
    <w:rsid w:val="00E11A01"/>
    <w:rsid w:val="00E11B7B"/>
    <w:rsid w:val="00E11DCA"/>
    <w:rsid w:val="00E11DF5"/>
    <w:rsid w:val="00E12440"/>
    <w:rsid w:val="00E12805"/>
    <w:rsid w:val="00E12B95"/>
    <w:rsid w:val="00E12E4F"/>
    <w:rsid w:val="00E13132"/>
    <w:rsid w:val="00E13463"/>
    <w:rsid w:val="00E1346D"/>
    <w:rsid w:val="00E1356C"/>
    <w:rsid w:val="00E135EF"/>
    <w:rsid w:val="00E137B3"/>
    <w:rsid w:val="00E137DA"/>
    <w:rsid w:val="00E139BF"/>
    <w:rsid w:val="00E13A8E"/>
    <w:rsid w:val="00E13C09"/>
    <w:rsid w:val="00E13D24"/>
    <w:rsid w:val="00E13D56"/>
    <w:rsid w:val="00E14000"/>
    <w:rsid w:val="00E14225"/>
    <w:rsid w:val="00E14457"/>
    <w:rsid w:val="00E144D8"/>
    <w:rsid w:val="00E14853"/>
    <w:rsid w:val="00E148E8"/>
    <w:rsid w:val="00E14949"/>
    <w:rsid w:val="00E14DE9"/>
    <w:rsid w:val="00E14DFE"/>
    <w:rsid w:val="00E14EE4"/>
    <w:rsid w:val="00E1501F"/>
    <w:rsid w:val="00E15187"/>
    <w:rsid w:val="00E1523B"/>
    <w:rsid w:val="00E1531F"/>
    <w:rsid w:val="00E156A1"/>
    <w:rsid w:val="00E156E9"/>
    <w:rsid w:val="00E15727"/>
    <w:rsid w:val="00E157B7"/>
    <w:rsid w:val="00E15BDA"/>
    <w:rsid w:val="00E15C94"/>
    <w:rsid w:val="00E15FD0"/>
    <w:rsid w:val="00E16013"/>
    <w:rsid w:val="00E16694"/>
    <w:rsid w:val="00E168C8"/>
    <w:rsid w:val="00E16A56"/>
    <w:rsid w:val="00E16BC2"/>
    <w:rsid w:val="00E16CF1"/>
    <w:rsid w:val="00E16DF7"/>
    <w:rsid w:val="00E170C7"/>
    <w:rsid w:val="00E17319"/>
    <w:rsid w:val="00E173E4"/>
    <w:rsid w:val="00E1756F"/>
    <w:rsid w:val="00E175DD"/>
    <w:rsid w:val="00E177E4"/>
    <w:rsid w:val="00E178AC"/>
    <w:rsid w:val="00E17B58"/>
    <w:rsid w:val="00E17BE8"/>
    <w:rsid w:val="00E17C3A"/>
    <w:rsid w:val="00E17C87"/>
    <w:rsid w:val="00E17CB2"/>
    <w:rsid w:val="00E200E3"/>
    <w:rsid w:val="00E20105"/>
    <w:rsid w:val="00E20140"/>
    <w:rsid w:val="00E20246"/>
    <w:rsid w:val="00E202A8"/>
    <w:rsid w:val="00E205F6"/>
    <w:rsid w:val="00E206AE"/>
    <w:rsid w:val="00E20977"/>
    <w:rsid w:val="00E209C0"/>
    <w:rsid w:val="00E20A18"/>
    <w:rsid w:val="00E20A77"/>
    <w:rsid w:val="00E20A94"/>
    <w:rsid w:val="00E20AD2"/>
    <w:rsid w:val="00E20BDF"/>
    <w:rsid w:val="00E20CA1"/>
    <w:rsid w:val="00E20DBB"/>
    <w:rsid w:val="00E20DC0"/>
    <w:rsid w:val="00E20ED0"/>
    <w:rsid w:val="00E20F14"/>
    <w:rsid w:val="00E211F5"/>
    <w:rsid w:val="00E212EC"/>
    <w:rsid w:val="00E21350"/>
    <w:rsid w:val="00E214D6"/>
    <w:rsid w:val="00E21659"/>
    <w:rsid w:val="00E21773"/>
    <w:rsid w:val="00E2192F"/>
    <w:rsid w:val="00E21978"/>
    <w:rsid w:val="00E21999"/>
    <w:rsid w:val="00E21A15"/>
    <w:rsid w:val="00E21E88"/>
    <w:rsid w:val="00E21E96"/>
    <w:rsid w:val="00E21F5B"/>
    <w:rsid w:val="00E21F75"/>
    <w:rsid w:val="00E220AE"/>
    <w:rsid w:val="00E22185"/>
    <w:rsid w:val="00E222E0"/>
    <w:rsid w:val="00E222F3"/>
    <w:rsid w:val="00E2243D"/>
    <w:rsid w:val="00E2261F"/>
    <w:rsid w:val="00E2283C"/>
    <w:rsid w:val="00E22A7D"/>
    <w:rsid w:val="00E22ECE"/>
    <w:rsid w:val="00E22F16"/>
    <w:rsid w:val="00E22F19"/>
    <w:rsid w:val="00E22F35"/>
    <w:rsid w:val="00E22F74"/>
    <w:rsid w:val="00E22F7E"/>
    <w:rsid w:val="00E22FF5"/>
    <w:rsid w:val="00E2319D"/>
    <w:rsid w:val="00E231B0"/>
    <w:rsid w:val="00E23530"/>
    <w:rsid w:val="00E23537"/>
    <w:rsid w:val="00E2355B"/>
    <w:rsid w:val="00E237ED"/>
    <w:rsid w:val="00E23830"/>
    <w:rsid w:val="00E23A59"/>
    <w:rsid w:val="00E2428B"/>
    <w:rsid w:val="00E24370"/>
    <w:rsid w:val="00E243B7"/>
    <w:rsid w:val="00E24527"/>
    <w:rsid w:val="00E2452E"/>
    <w:rsid w:val="00E24610"/>
    <w:rsid w:val="00E2486F"/>
    <w:rsid w:val="00E2489C"/>
    <w:rsid w:val="00E24971"/>
    <w:rsid w:val="00E249D0"/>
    <w:rsid w:val="00E24D1D"/>
    <w:rsid w:val="00E24D33"/>
    <w:rsid w:val="00E250D5"/>
    <w:rsid w:val="00E250E7"/>
    <w:rsid w:val="00E252E7"/>
    <w:rsid w:val="00E255EB"/>
    <w:rsid w:val="00E25643"/>
    <w:rsid w:val="00E2588C"/>
    <w:rsid w:val="00E258D7"/>
    <w:rsid w:val="00E261CE"/>
    <w:rsid w:val="00E261F5"/>
    <w:rsid w:val="00E264A1"/>
    <w:rsid w:val="00E2670C"/>
    <w:rsid w:val="00E26724"/>
    <w:rsid w:val="00E267AB"/>
    <w:rsid w:val="00E26891"/>
    <w:rsid w:val="00E269AA"/>
    <w:rsid w:val="00E26C28"/>
    <w:rsid w:val="00E2727D"/>
    <w:rsid w:val="00E272E5"/>
    <w:rsid w:val="00E27311"/>
    <w:rsid w:val="00E27412"/>
    <w:rsid w:val="00E27697"/>
    <w:rsid w:val="00E27AD7"/>
    <w:rsid w:val="00E27B12"/>
    <w:rsid w:val="00E27B4A"/>
    <w:rsid w:val="00E27C25"/>
    <w:rsid w:val="00E27DE8"/>
    <w:rsid w:val="00E27E63"/>
    <w:rsid w:val="00E3004E"/>
    <w:rsid w:val="00E300B0"/>
    <w:rsid w:val="00E300DA"/>
    <w:rsid w:val="00E3029A"/>
    <w:rsid w:val="00E30436"/>
    <w:rsid w:val="00E309E1"/>
    <w:rsid w:val="00E30BC4"/>
    <w:rsid w:val="00E30C5D"/>
    <w:rsid w:val="00E30EBE"/>
    <w:rsid w:val="00E30F4D"/>
    <w:rsid w:val="00E31034"/>
    <w:rsid w:val="00E3119C"/>
    <w:rsid w:val="00E312A9"/>
    <w:rsid w:val="00E31319"/>
    <w:rsid w:val="00E31356"/>
    <w:rsid w:val="00E31485"/>
    <w:rsid w:val="00E316D4"/>
    <w:rsid w:val="00E31F75"/>
    <w:rsid w:val="00E320F7"/>
    <w:rsid w:val="00E321B6"/>
    <w:rsid w:val="00E3221B"/>
    <w:rsid w:val="00E324D2"/>
    <w:rsid w:val="00E32777"/>
    <w:rsid w:val="00E3288B"/>
    <w:rsid w:val="00E329BD"/>
    <w:rsid w:val="00E32B03"/>
    <w:rsid w:val="00E32CAE"/>
    <w:rsid w:val="00E32DD4"/>
    <w:rsid w:val="00E3319C"/>
    <w:rsid w:val="00E332F6"/>
    <w:rsid w:val="00E333FB"/>
    <w:rsid w:val="00E335D9"/>
    <w:rsid w:val="00E336EB"/>
    <w:rsid w:val="00E33A55"/>
    <w:rsid w:val="00E33B67"/>
    <w:rsid w:val="00E33DEE"/>
    <w:rsid w:val="00E33E1E"/>
    <w:rsid w:val="00E33E4C"/>
    <w:rsid w:val="00E33EE0"/>
    <w:rsid w:val="00E34223"/>
    <w:rsid w:val="00E3426F"/>
    <w:rsid w:val="00E343B1"/>
    <w:rsid w:val="00E34641"/>
    <w:rsid w:val="00E34849"/>
    <w:rsid w:val="00E34A77"/>
    <w:rsid w:val="00E34AFE"/>
    <w:rsid w:val="00E34D58"/>
    <w:rsid w:val="00E34E25"/>
    <w:rsid w:val="00E3522F"/>
    <w:rsid w:val="00E3540E"/>
    <w:rsid w:val="00E35448"/>
    <w:rsid w:val="00E354EC"/>
    <w:rsid w:val="00E35968"/>
    <w:rsid w:val="00E35C4B"/>
    <w:rsid w:val="00E35C66"/>
    <w:rsid w:val="00E35D60"/>
    <w:rsid w:val="00E35DC3"/>
    <w:rsid w:val="00E36049"/>
    <w:rsid w:val="00E3606D"/>
    <w:rsid w:val="00E360C3"/>
    <w:rsid w:val="00E367DE"/>
    <w:rsid w:val="00E368BE"/>
    <w:rsid w:val="00E368DF"/>
    <w:rsid w:val="00E3694F"/>
    <w:rsid w:val="00E37005"/>
    <w:rsid w:val="00E37262"/>
    <w:rsid w:val="00E372E5"/>
    <w:rsid w:val="00E373A3"/>
    <w:rsid w:val="00E37585"/>
    <w:rsid w:val="00E3769C"/>
    <w:rsid w:val="00E37946"/>
    <w:rsid w:val="00E40044"/>
    <w:rsid w:val="00E4015D"/>
    <w:rsid w:val="00E403FF"/>
    <w:rsid w:val="00E40862"/>
    <w:rsid w:val="00E40952"/>
    <w:rsid w:val="00E40AD6"/>
    <w:rsid w:val="00E40B09"/>
    <w:rsid w:val="00E40E9E"/>
    <w:rsid w:val="00E4108D"/>
    <w:rsid w:val="00E410EE"/>
    <w:rsid w:val="00E4114D"/>
    <w:rsid w:val="00E41190"/>
    <w:rsid w:val="00E41248"/>
    <w:rsid w:val="00E414BC"/>
    <w:rsid w:val="00E414C3"/>
    <w:rsid w:val="00E415F3"/>
    <w:rsid w:val="00E416FB"/>
    <w:rsid w:val="00E4172B"/>
    <w:rsid w:val="00E417CA"/>
    <w:rsid w:val="00E4183E"/>
    <w:rsid w:val="00E41CD2"/>
    <w:rsid w:val="00E41FBD"/>
    <w:rsid w:val="00E42280"/>
    <w:rsid w:val="00E42298"/>
    <w:rsid w:val="00E42391"/>
    <w:rsid w:val="00E42743"/>
    <w:rsid w:val="00E42757"/>
    <w:rsid w:val="00E42926"/>
    <w:rsid w:val="00E4299C"/>
    <w:rsid w:val="00E42CC8"/>
    <w:rsid w:val="00E42DC7"/>
    <w:rsid w:val="00E42F10"/>
    <w:rsid w:val="00E43257"/>
    <w:rsid w:val="00E43359"/>
    <w:rsid w:val="00E436C1"/>
    <w:rsid w:val="00E43791"/>
    <w:rsid w:val="00E43CA3"/>
    <w:rsid w:val="00E43D7C"/>
    <w:rsid w:val="00E43E46"/>
    <w:rsid w:val="00E43FEE"/>
    <w:rsid w:val="00E4405E"/>
    <w:rsid w:val="00E44319"/>
    <w:rsid w:val="00E44601"/>
    <w:rsid w:val="00E446D7"/>
    <w:rsid w:val="00E446F5"/>
    <w:rsid w:val="00E44784"/>
    <w:rsid w:val="00E44813"/>
    <w:rsid w:val="00E448FC"/>
    <w:rsid w:val="00E44923"/>
    <w:rsid w:val="00E449FB"/>
    <w:rsid w:val="00E44D6C"/>
    <w:rsid w:val="00E45120"/>
    <w:rsid w:val="00E454B6"/>
    <w:rsid w:val="00E45709"/>
    <w:rsid w:val="00E457A7"/>
    <w:rsid w:val="00E45806"/>
    <w:rsid w:val="00E45907"/>
    <w:rsid w:val="00E45989"/>
    <w:rsid w:val="00E45ACB"/>
    <w:rsid w:val="00E45C65"/>
    <w:rsid w:val="00E46288"/>
    <w:rsid w:val="00E46350"/>
    <w:rsid w:val="00E46379"/>
    <w:rsid w:val="00E4640A"/>
    <w:rsid w:val="00E4651F"/>
    <w:rsid w:val="00E465E9"/>
    <w:rsid w:val="00E4667A"/>
    <w:rsid w:val="00E467C6"/>
    <w:rsid w:val="00E467F2"/>
    <w:rsid w:val="00E4693E"/>
    <w:rsid w:val="00E46A08"/>
    <w:rsid w:val="00E46AFB"/>
    <w:rsid w:val="00E46C28"/>
    <w:rsid w:val="00E47263"/>
    <w:rsid w:val="00E47289"/>
    <w:rsid w:val="00E4730A"/>
    <w:rsid w:val="00E473C2"/>
    <w:rsid w:val="00E47786"/>
    <w:rsid w:val="00E4787A"/>
    <w:rsid w:val="00E47A9B"/>
    <w:rsid w:val="00E47D4D"/>
    <w:rsid w:val="00E47DBE"/>
    <w:rsid w:val="00E5019A"/>
    <w:rsid w:val="00E5022C"/>
    <w:rsid w:val="00E502E5"/>
    <w:rsid w:val="00E50466"/>
    <w:rsid w:val="00E50624"/>
    <w:rsid w:val="00E50999"/>
    <w:rsid w:val="00E50A08"/>
    <w:rsid w:val="00E50A4E"/>
    <w:rsid w:val="00E51077"/>
    <w:rsid w:val="00E5153D"/>
    <w:rsid w:val="00E51556"/>
    <w:rsid w:val="00E5155A"/>
    <w:rsid w:val="00E515CB"/>
    <w:rsid w:val="00E51874"/>
    <w:rsid w:val="00E51F6C"/>
    <w:rsid w:val="00E520ED"/>
    <w:rsid w:val="00E52133"/>
    <w:rsid w:val="00E523DB"/>
    <w:rsid w:val="00E52512"/>
    <w:rsid w:val="00E5257F"/>
    <w:rsid w:val="00E52783"/>
    <w:rsid w:val="00E527FE"/>
    <w:rsid w:val="00E528F0"/>
    <w:rsid w:val="00E52BFB"/>
    <w:rsid w:val="00E52C92"/>
    <w:rsid w:val="00E52DD6"/>
    <w:rsid w:val="00E52DEE"/>
    <w:rsid w:val="00E53159"/>
    <w:rsid w:val="00E533F5"/>
    <w:rsid w:val="00E53412"/>
    <w:rsid w:val="00E534D4"/>
    <w:rsid w:val="00E53728"/>
    <w:rsid w:val="00E538B4"/>
    <w:rsid w:val="00E53A0C"/>
    <w:rsid w:val="00E53F0D"/>
    <w:rsid w:val="00E5424A"/>
    <w:rsid w:val="00E543BF"/>
    <w:rsid w:val="00E543E9"/>
    <w:rsid w:val="00E545E5"/>
    <w:rsid w:val="00E547AA"/>
    <w:rsid w:val="00E547C8"/>
    <w:rsid w:val="00E549CF"/>
    <w:rsid w:val="00E549E9"/>
    <w:rsid w:val="00E54A8C"/>
    <w:rsid w:val="00E54C37"/>
    <w:rsid w:val="00E54D0B"/>
    <w:rsid w:val="00E55029"/>
    <w:rsid w:val="00E5508A"/>
    <w:rsid w:val="00E550E0"/>
    <w:rsid w:val="00E550E3"/>
    <w:rsid w:val="00E55160"/>
    <w:rsid w:val="00E551C6"/>
    <w:rsid w:val="00E552A1"/>
    <w:rsid w:val="00E55347"/>
    <w:rsid w:val="00E5543B"/>
    <w:rsid w:val="00E55557"/>
    <w:rsid w:val="00E5563C"/>
    <w:rsid w:val="00E5585B"/>
    <w:rsid w:val="00E558D0"/>
    <w:rsid w:val="00E55BEC"/>
    <w:rsid w:val="00E55C2A"/>
    <w:rsid w:val="00E55EC8"/>
    <w:rsid w:val="00E55EF0"/>
    <w:rsid w:val="00E55F04"/>
    <w:rsid w:val="00E55F73"/>
    <w:rsid w:val="00E566D5"/>
    <w:rsid w:val="00E56AAB"/>
    <w:rsid w:val="00E56ABF"/>
    <w:rsid w:val="00E56CDB"/>
    <w:rsid w:val="00E5709F"/>
    <w:rsid w:val="00E5767B"/>
    <w:rsid w:val="00E579A5"/>
    <w:rsid w:val="00E57A9C"/>
    <w:rsid w:val="00E57B0C"/>
    <w:rsid w:val="00E57B20"/>
    <w:rsid w:val="00E57CE6"/>
    <w:rsid w:val="00E57F0C"/>
    <w:rsid w:val="00E57F72"/>
    <w:rsid w:val="00E60153"/>
    <w:rsid w:val="00E60154"/>
    <w:rsid w:val="00E603EF"/>
    <w:rsid w:val="00E60412"/>
    <w:rsid w:val="00E6078C"/>
    <w:rsid w:val="00E608C8"/>
    <w:rsid w:val="00E60D1B"/>
    <w:rsid w:val="00E60D88"/>
    <w:rsid w:val="00E61207"/>
    <w:rsid w:val="00E61337"/>
    <w:rsid w:val="00E614AC"/>
    <w:rsid w:val="00E6152E"/>
    <w:rsid w:val="00E6183B"/>
    <w:rsid w:val="00E61855"/>
    <w:rsid w:val="00E618C5"/>
    <w:rsid w:val="00E61975"/>
    <w:rsid w:val="00E619E6"/>
    <w:rsid w:val="00E61FBB"/>
    <w:rsid w:val="00E62134"/>
    <w:rsid w:val="00E62215"/>
    <w:rsid w:val="00E62559"/>
    <w:rsid w:val="00E625F7"/>
    <w:rsid w:val="00E626B4"/>
    <w:rsid w:val="00E62745"/>
    <w:rsid w:val="00E62781"/>
    <w:rsid w:val="00E62944"/>
    <w:rsid w:val="00E62A19"/>
    <w:rsid w:val="00E62F3E"/>
    <w:rsid w:val="00E630B7"/>
    <w:rsid w:val="00E6337B"/>
    <w:rsid w:val="00E634BF"/>
    <w:rsid w:val="00E63691"/>
    <w:rsid w:val="00E63729"/>
    <w:rsid w:val="00E6377B"/>
    <w:rsid w:val="00E637DB"/>
    <w:rsid w:val="00E63972"/>
    <w:rsid w:val="00E63CA4"/>
    <w:rsid w:val="00E63D08"/>
    <w:rsid w:val="00E63E87"/>
    <w:rsid w:val="00E63E8B"/>
    <w:rsid w:val="00E63ED4"/>
    <w:rsid w:val="00E64426"/>
    <w:rsid w:val="00E64A87"/>
    <w:rsid w:val="00E64ABB"/>
    <w:rsid w:val="00E64AFC"/>
    <w:rsid w:val="00E64C8C"/>
    <w:rsid w:val="00E64CD1"/>
    <w:rsid w:val="00E64E5A"/>
    <w:rsid w:val="00E64F55"/>
    <w:rsid w:val="00E65159"/>
    <w:rsid w:val="00E6515D"/>
    <w:rsid w:val="00E65370"/>
    <w:rsid w:val="00E6566F"/>
    <w:rsid w:val="00E658C8"/>
    <w:rsid w:val="00E65B40"/>
    <w:rsid w:val="00E65B5B"/>
    <w:rsid w:val="00E65B85"/>
    <w:rsid w:val="00E65DD1"/>
    <w:rsid w:val="00E65E45"/>
    <w:rsid w:val="00E66015"/>
    <w:rsid w:val="00E660A9"/>
    <w:rsid w:val="00E66393"/>
    <w:rsid w:val="00E664D1"/>
    <w:rsid w:val="00E665DC"/>
    <w:rsid w:val="00E665DE"/>
    <w:rsid w:val="00E66604"/>
    <w:rsid w:val="00E6680B"/>
    <w:rsid w:val="00E66825"/>
    <w:rsid w:val="00E66B4A"/>
    <w:rsid w:val="00E66B69"/>
    <w:rsid w:val="00E66BAA"/>
    <w:rsid w:val="00E66DF8"/>
    <w:rsid w:val="00E67074"/>
    <w:rsid w:val="00E6707E"/>
    <w:rsid w:val="00E674AC"/>
    <w:rsid w:val="00E67561"/>
    <w:rsid w:val="00E67581"/>
    <w:rsid w:val="00E67646"/>
    <w:rsid w:val="00E677AD"/>
    <w:rsid w:val="00E67D6A"/>
    <w:rsid w:val="00E67FA9"/>
    <w:rsid w:val="00E67FD0"/>
    <w:rsid w:val="00E70121"/>
    <w:rsid w:val="00E7038D"/>
    <w:rsid w:val="00E7049E"/>
    <w:rsid w:val="00E705A4"/>
    <w:rsid w:val="00E7093C"/>
    <w:rsid w:val="00E70B4A"/>
    <w:rsid w:val="00E70B54"/>
    <w:rsid w:val="00E70D96"/>
    <w:rsid w:val="00E711D9"/>
    <w:rsid w:val="00E712D3"/>
    <w:rsid w:val="00E71327"/>
    <w:rsid w:val="00E71471"/>
    <w:rsid w:val="00E7150F"/>
    <w:rsid w:val="00E7152A"/>
    <w:rsid w:val="00E71A16"/>
    <w:rsid w:val="00E71A92"/>
    <w:rsid w:val="00E71B89"/>
    <w:rsid w:val="00E71D03"/>
    <w:rsid w:val="00E71D1F"/>
    <w:rsid w:val="00E71FEA"/>
    <w:rsid w:val="00E72500"/>
    <w:rsid w:val="00E72651"/>
    <w:rsid w:val="00E726DE"/>
    <w:rsid w:val="00E7289D"/>
    <w:rsid w:val="00E7293C"/>
    <w:rsid w:val="00E72A6B"/>
    <w:rsid w:val="00E72BF5"/>
    <w:rsid w:val="00E72CC3"/>
    <w:rsid w:val="00E72DBE"/>
    <w:rsid w:val="00E731D7"/>
    <w:rsid w:val="00E731DD"/>
    <w:rsid w:val="00E7337B"/>
    <w:rsid w:val="00E73574"/>
    <w:rsid w:val="00E73586"/>
    <w:rsid w:val="00E735F4"/>
    <w:rsid w:val="00E738B9"/>
    <w:rsid w:val="00E73F32"/>
    <w:rsid w:val="00E73F5A"/>
    <w:rsid w:val="00E73F80"/>
    <w:rsid w:val="00E73F97"/>
    <w:rsid w:val="00E73FAC"/>
    <w:rsid w:val="00E74112"/>
    <w:rsid w:val="00E742E2"/>
    <w:rsid w:val="00E74373"/>
    <w:rsid w:val="00E74482"/>
    <w:rsid w:val="00E747C7"/>
    <w:rsid w:val="00E74A21"/>
    <w:rsid w:val="00E74C06"/>
    <w:rsid w:val="00E74ED4"/>
    <w:rsid w:val="00E750EF"/>
    <w:rsid w:val="00E752BA"/>
    <w:rsid w:val="00E752DD"/>
    <w:rsid w:val="00E7532E"/>
    <w:rsid w:val="00E75414"/>
    <w:rsid w:val="00E757FA"/>
    <w:rsid w:val="00E759A2"/>
    <w:rsid w:val="00E75B6F"/>
    <w:rsid w:val="00E75D50"/>
    <w:rsid w:val="00E75E09"/>
    <w:rsid w:val="00E75E23"/>
    <w:rsid w:val="00E75EA0"/>
    <w:rsid w:val="00E760E7"/>
    <w:rsid w:val="00E76122"/>
    <w:rsid w:val="00E761A4"/>
    <w:rsid w:val="00E76312"/>
    <w:rsid w:val="00E765DD"/>
    <w:rsid w:val="00E76734"/>
    <w:rsid w:val="00E76A78"/>
    <w:rsid w:val="00E7701C"/>
    <w:rsid w:val="00E77214"/>
    <w:rsid w:val="00E77289"/>
    <w:rsid w:val="00E77428"/>
    <w:rsid w:val="00E77551"/>
    <w:rsid w:val="00E775C9"/>
    <w:rsid w:val="00E77799"/>
    <w:rsid w:val="00E777C8"/>
    <w:rsid w:val="00E777ED"/>
    <w:rsid w:val="00E77A53"/>
    <w:rsid w:val="00E77B0F"/>
    <w:rsid w:val="00E77B30"/>
    <w:rsid w:val="00E77B3E"/>
    <w:rsid w:val="00E77B79"/>
    <w:rsid w:val="00E77C40"/>
    <w:rsid w:val="00E77D5D"/>
    <w:rsid w:val="00E80009"/>
    <w:rsid w:val="00E800A5"/>
    <w:rsid w:val="00E8015F"/>
    <w:rsid w:val="00E80613"/>
    <w:rsid w:val="00E806B4"/>
    <w:rsid w:val="00E807AA"/>
    <w:rsid w:val="00E80832"/>
    <w:rsid w:val="00E80A3D"/>
    <w:rsid w:val="00E80FDD"/>
    <w:rsid w:val="00E8117B"/>
    <w:rsid w:val="00E811CB"/>
    <w:rsid w:val="00E8129B"/>
    <w:rsid w:val="00E8134D"/>
    <w:rsid w:val="00E813BF"/>
    <w:rsid w:val="00E81C46"/>
    <w:rsid w:val="00E81F62"/>
    <w:rsid w:val="00E81FF3"/>
    <w:rsid w:val="00E824F1"/>
    <w:rsid w:val="00E826A8"/>
    <w:rsid w:val="00E8276E"/>
    <w:rsid w:val="00E82794"/>
    <w:rsid w:val="00E8296D"/>
    <w:rsid w:val="00E829AF"/>
    <w:rsid w:val="00E82B7D"/>
    <w:rsid w:val="00E82D76"/>
    <w:rsid w:val="00E82EE5"/>
    <w:rsid w:val="00E830D3"/>
    <w:rsid w:val="00E83210"/>
    <w:rsid w:val="00E83249"/>
    <w:rsid w:val="00E8325B"/>
    <w:rsid w:val="00E834C7"/>
    <w:rsid w:val="00E83568"/>
    <w:rsid w:val="00E8356A"/>
    <w:rsid w:val="00E8384A"/>
    <w:rsid w:val="00E8392D"/>
    <w:rsid w:val="00E843B4"/>
    <w:rsid w:val="00E84856"/>
    <w:rsid w:val="00E84B0F"/>
    <w:rsid w:val="00E84DF7"/>
    <w:rsid w:val="00E84F2B"/>
    <w:rsid w:val="00E850E0"/>
    <w:rsid w:val="00E8511C"/>
    <w:rsid w:val="00E85143"/>
    <w:rsid w:val="00E8552D"/>
    <w:rsid w:val="00E85539"/>
    <w:rsid w:val="00E85927"/>
    <w:rsid w:val="00E85952"/>
    <w:rsid w:val="00E85A23"/>
    <w:rsid w:val="00E85AFA"/>
    <w:rsid w:val="00E86218"/>
    <w:rsid w:val="00E86495"/>
    <w:rsid w:val="00E86652"/>
    <w:rsid w:val="00E86678"/>
    <w:rsid w:val="00E86703"/>
    <w:rsid w:val="00E86753"/>
    <w:rsid w:val="00E86845"/>
    <w:rsid w:val="00E8695B"/>
    <w:rsid w:val="00E86B7B"/>
    <w:rsid w:val="00E873B1"/>
    <w:rsid w:val="00E8741C"/>
    <w:rsid w:val="00E87617"/>
    <w:rsid w:val="00E876B6"/>
    <w:rsid w:val="00E87943"/>
    <w:rsid w:val="00E8795D"/>
    <w:rsid w:val="00E87CB3"/>
    <w:rsid w:val="00E87E03"/>
    <w:rsid w:val="00E87F02"/>
    <w:rsid w:val="00E87F93"/>
    <w:rsid w:val="00E90645"/>
    <w:rsid w:val="00E90787"/>
    <w:rsid w:val="00E90835"/>
    <w:rsid w:val="00E90937"/>
    <w:rsid w:val="00E9096C"/>
    <w:rsid w:val="00E909B3"/>
    <w:rsid w:val="00E90A28"/>
    <w:rsid w:val="00E90BF0"/>
    <w:rsid w:val="00E90D32"/>
    <w:rsid w:val="00E90E6C"/>
    <w:rsid w:val="00E90E8E"/>
    <w:rsid w:val="00E910FF"/>
    <w:rsid w:val="00E911AB"/>
    <w:rsid w:val="00E91411"/>
    <w:rsid w:val="00E915AC"/>
    <w:rsid w:val="00E91DB4"/>
    <w:rsid w:val="00E920A9"/>
    <w:rsid w:val="00E920D7"/>
    <w:rsid w:val="00E92361"/>
    <w:rsid w:val="00E926CC"/>
    <w:rsid w:val="00E92832"/>
    <w:rsid w:val="00E92BA1"/>
    <w:rsid w:val="00E92D4F"/>
    <w:rsid w:val="00E92EC6"/>
    <w:rsid w:val="00E92EFC"/>
    <w:rsid w:val="00E931F4"/>
    <w:rsid w:val="00E93484"/>
    <w:rsid w:val="00E93553"/>
    <w:rsid w:val="00E9364F"/>
    <w:rsid w:val="00E9386E"/>
    <w:rsid w:val="00E93A2D"/>
    <w:rsid w:val="00E93B93"/>
    <w:rsid w:val="00E93BDC"/>
    <w:rsid w:val="00E93C83"/>
    <w:rsid w:val="00E93DB5"/>
    <w:rsid w:val="00E942B0"/>
    <w:rsid w:val="00E947B6"/>
    <w:rsid w:val="00E949B1"/>
    <w:rsid w:val="00E94ABD"/>
    <w:rsid w:val="00E94B15"/>
    <w:rsid w:val="00E94CC3"/>
    <w:rsid w:val="00E94CD6"/>
    <w:rsid w:val="00E94E1B"/>
    <w:rsid w:val="00E94F2A"/>
    <w:rsid w:val="00E9505A"/>
    <w:rsid w:val="00E95260"/>
    <w:rsid w:val="00E952B9"/>
    <w:rsid w:val="00E952C5"/>
    <w:rsid w:val="00E9569C"/>
    <w:rsid w:val="00E959E1"/>
    <w:rsid w:val="00E95A27"/>
    <w:rsid w:val="00E95DA1"/>
    <w:rsid w:val="00E96022"/>
    <w:rsid w:val="00E96230"/>
    <w:rsid w:val="00E962B4"/>
    <w:rsid w:val="00E96383"/>
    <w:rsid w:val="00E96526"/>
    <w:rsid w:val="00E965D2"/>
    <w:rsid w:val="00E9660F"/>
    <w:rsid w:val="00E966A4"/>
    <w:rsid w:val="00E96701"/>
    <w:rsid w:val="00E967CF"/>
    <w:rsid w:val="00E96B1A"/>
    <w:rsid w:val="00E96E0F"/>
    <w:rsid w:val="00E9724F"/>
    <w:rsid w:val="00E973B8"/>
    <w:rsid w:val="00E97414"/>
    <w:rsid w:val="00E976C2"/>
    <w:rsid w:val="00E977C0"/>
    <w:rsid w:val="00E9798F"/>
    <w:rsid w:val="00E97C64"/>
    <w:rsid w:val="00E97F27"/>
    <w:rsid w:val="00E97FE2"/>
    <w:rsid w:val="00EA0029"/>
    <w:rsid w:val="00EA01E2"/>
    <w:rsid w:val="00EA02C1"/>
    <w:rsid w:val="00EA04ED"/>
    <w:rsid w:val="00EA0631"/>
    <w:rsid w:val="00EA06F4"/>
    <w:rsid w:val="00EA0AC9"/>
    <w:rsid w:val="00EA0C61"/>
    <w:rsid w:val="00EA0F77"/>
    <w:rsid w:val="00EA1036"/>
    <w:rsid w:val="00EA11E5"/>
    <w:rsid w:val="00EA14C6"/>
    <w:rsid w:val="00EA1557"/>
    <w:rsid w:val="00EA1881"/>
    <w:rsid w:val="00EA1897"/>
    <w:rsid w:val="00EA1B96"/>
    <w:rsid w:val="00EA1C80"/>
    <w:rsid w:val="00EA1CE2"/>
    <w:rsid w:val="00EA1E36"/>
    <w:rsid w:val="00EA1F1A"/>
    <w:rsid w:val="00EA1F43"/>
    <w:rsid w:val="00EA236B"/>
    <w:rsid w:val="00EA27E4"/>
    <w:rsid w:val="00EA28B7"/>
    <w:rsid w:val="00EA2A51"/>
    <w:rsid w:val="00EA2ABD"/>
    <w:rsid w:val="00EA2B8F"/>
    <w:rsid w:val="00EA2FC9"/>
    <w:rsid w:val="00EA308C"/>
    <w:rsid w:val="00EA342E"/>
    <w:rsid w:val="00EA3712"/>
    <w:rsid w:val="00EA3870"/>
    <w:rsid w:val="00EA3ABB"/>
    <w:rsid w:val="00EA3C35"/>
    <w:rsid w:val="00EA3DA7"/>
    <w:rsid w:val="00EA3EB9"/>
    <w:rsid w:val="00EA3F83"/>
    <w:rsid w:val="00EA3FFB"/>
    <w:rsid w:val="00EA46A5"/>
    <w:rsid w:val="00EA4725"/>
    <w:rsid w:val="00EA4829"/>
    <w:rsid w:val="00EA4EDE"/>
    <w:rsid w:val="00EA5024"/>
    <w:rsid w:val="00EA5113"/>
    <w:rsid w:val="00EA54E7"/>
    <w:rsid w:val="00EA557A"/>
    <w:rsid w:val="00EA580C"/>
    <w:rsid w:val="00EA5871"/>
    <w:rsid w:val="00EA58E4"/>
    <w:rsid w:val="00EA592C"/>
    <w:rsid w:val="00EA5A19"/>
    <w:rsid w:val="00EA5A9F"/>
    <w:rsid w:val="00EA5BD4"/>
    <w:rsid w:val="00EA5E9F"/>
    <w:rsid w:val="00EA5FED"/>
    <w:rsid w:val="00EA60FC"/>
    <w:rsid w:val="00EA6387"/>
    <w:rsid w:val="00EA63D8"/>
    <w:rsid w:val="00EA63F1"/>
    <w:rsid w:val="00EA653C"/>
    <w:rsid w:val="00EA656A"/>
    <w:rsid w:val="00EA6A45"/>
    <w:rsid w:val="00EA6A55"/>
    <w:rsid w:val="00EA6A6A"/>
    <w:rsid w:val="00EA6ABD"/>
    <w:rsid w:val="00EA6C15"/>
    <w:rsid w:val="00EA6C6E"/>
    <w:rsid w:val="00EA6D28"/>
    <w:rsid w:val="00EA6D3C"/>
    <w:rsid w:val="00EA6FCC"/>
    <w:rsid w:val="00EA75A1"/>
    <w:rsid w:val="00EA783A"/>
    <w:rsid w:val="00EA7937"/>
    <w:rsid w:val="00EA7939"/>
    <w:rsid w:val="00EA7AF8"/>
    <w:rsid w:val="00EA7B59"/>
    <w:rsid w:val="00EA7C25"/>
    <w:rsid w:val="00EA7F74"/>
    <w:rsid w:val="00EB012F"/>
    <w:rsid w:val="00EB0213"/>
    <w:rsid w:val="00EB036B"/>
    <w:rsid w:val="00EB0394"/>
    <w:rsid w:val="00EB0535"/>
    <w:rsid w:val="00EB059D"/>
    <w:rsid w:val="00EB098C"/>
    <w:rsid w:val="00EB0A20"/>
    <w:rsid w:val="00EB0A87"/>
    <w:rsid w:val="00EB0B88"/>
    <w:rsid w:val="00EB0C55"/>
    <w:rsid w:val="00EB0E8F"/>
    <w:rsid w:val="00EB0EB0"/>
    <w:rsid w:val="00EB0EC4"/>
    <w:rsid w:val="00EB1712"/>
    <w:rsid w:val="00EB1B10"/>
    <w:rsid w:val="00EB1C20"/>
    <w:rsid w:val="00EB1C73"/>
    <w:rsid w:val="00EB1F63"/>
    <w:rsid w:val="00EB2397"/>
    <w:rsid w:val="00EB23D2"/>
    <w:rsid w:val="00EB24F1"/>
    <w:rsid w:val="00EB2545"/>
    <w:rsid w:val="00EB27D6"/>
    <w:rsid w:val="00EB2955"/>
    <w:rsid w:val="00EB29CA"/>
    <w:rsid w:val="00EB2EFA"/>
    <w:rsid w:val="00EB3283"/>
    <w:rsid w:val="00EB3697"/>
    <w:rsid w:val="00EB381C"/>
    <w:rsid w:val="00EB393C"/>
    <w:rsid w:val="00EB395D"/>
    <w:rsid w:val="00EB4066"/>
    <w:rsid w:val="00EB410E"/>
    <w:rsid w:val="00EB41CD"/>
    <w:rsid w:val="00EB4246"/>
    <w:rsid w:val="00EB42C1"/>
    <w:rsid w:val="00EB4418"/>
    <w:rsid w:val="00EB4449"/>
    <w:rsid w:val="00EB4450"/>
    <w:rsid w:val="00EB4DAC"/>
    <w:rsid w:val="00EB51C8"/>
    <w:rsid w:val="00EB52AF"/>
    <w:rsid w:val="00EB54AD"/>
    <w:rsid w:val="00EB56AC"/>
    <w:rsid w:val="00EB584F"/>
    <w:rsid w:val="00EB586A"/>
    <w:rsid w:val="00EB5A08"/>
    <w:rsid w:val="00EB5F75"/>
    <w:rsid w:val="00EB6084"/>
    <w:rsid w:val="00EB60EC"/>
    <w:rsid w:val="00EB645F"/>
    <w:rsid w:val="00EB6603"/>
    <w:rsid w:val="00EB67FA"/>
    <w:rsid w:val="00EB6B25"/>
    <w:rsid w:val="00EB6B27"/>
    <w:rsid w:val="00EB6C28"/>
    <w:rsid w:val="00EB6E85"/>
    <w:rsid w:val="00EB6F68"/>
    <w:rsid w:val="00EB7021"/>
    <w:rsid w:val="00EB727C"/>
    <w:rsid w:val="00EB740A"/>
    <w:rsid w:val="00EB7413"/>
    <w:rsid w:val="00EB77C6"/>
    <w:rsid w:val="00EB793A"/>
    <w:rsid w:val="00EB7ACB"/>
    <w:rsid w:val="00EB7B01"/>
    <w:rsid w:val="00EB7CFA"/>
    <w:rsid w:val="00EB7E52"/>
    <w:rsid w:val="00EB7F0F"/>
    <w:rsid w:val="00EC0042"/>
    <w:rsid w:val="00EC009E"/>
    <w:rsid w:val="00EC0199"/>
    <w:rsid w:val="00EC01A6"/>
    <w:rsid w:val="00EC02C4"/>
    <w:rsid w:val="00EC04B0"/>
    <w:rsid w:val="00EC05BE"/>
    <w:rsid w:val="00EC07FA"/>
    <w:rsid w:val="00EC085F"/>
    <w:rsid w:val="00EC0938"/>
    <w:rsid w:val="00EC0A62"/>
    <w:rsid w:val="00EC0C3D"/>
    <w:rsid w:val="00EC0DD4"/>
    <w:rsid w:val="00EC0E98"/>
    <w:rsid w:val="00EC0F6C"/>
    <w:rsid w:val="00EC0F78"/>
    <w:rsid w:val="00EC14CE"/>
    <w:rsid w:val="00EC1869"/>
    <w:rsid w:val="00EC186F"/>
    <w:rsid w:val="00EC19AD"/>
    <w:rsid w:val="00EC1A88"/>
    <w:rsid w:val="00EC1AA2"/>
    <w:rsid w:val="00EC1B40"/>
    <w:rsid w:val="00EC1E45"/>
    <w:rsid w:val="00EC23CF"/>
    <w:rsid w:val="00EC29B6"/>
    <w:rsid w:val="00EC2DF8"/>
    <w:rsid w:val="00EC2EF9"/>
    <w:rsid w:val="00EC2F9D"/>
    <w:rsid w:val="00EC306F"/>
    <w:rsid w:val="00EC320C"/>
    <w:rsid w:val="00EC334C"/>
    <w:rsid w:val="00EC33F1"/>
    <w:rsid w:val="00EC34C1"/>
    <w:rsid w:val="00EC3932"/>
    <w:rsid w:val="00EC3973"/>
    <w:rsid w:val="00EC3B5D"/>
    <w:rsid w:val="00EC3B91"/>
    <w:rsid w:val="00EC3BFD"/>
    <w:rsid w:val="00EC3F60"/>
    <w:rsid w:val="00EC3FA9"/>
    <w:rsid w:val="00EC4031"/>
    <w:rsid w:val="00EC4138"/>
    <w:rsid w:val="00EC463C"/>
    <w:rsid w:val="00EC4742"/>
    <w:rsid w:val="00EC4DF5"/>
    <w:rsid w:val="00EC4FF9"/>
    <w:rsid w:val="00EC506F"/>
    <w:rsid w:val="00EC5174"/>
    <w:rsid w:val="00EC5213"/>
    <w:rsid w:val="00EC5784"/>
    <w:rsid w:val="00EC5923"/>
    <w:rsid w:val="00EC5D7E"/>
    <w:rsid w:val="00EC5FDC"/>
    <w:rsid w:val="00EC6024"/>
    <w:rsid w:val="00EC6060"/>
    <w:rsid w:val="00EC6243"/>
    <w:rsid w:val="00EC6259"/>
    <w:rsid w:val="00EC63AF"/>
    <w:rsid w:val="00EC63E0"/>
    <w:rsid w:val="00EC6437"/>
    <w:rsid w:val="00EC648C"/>
    <w:rsid w:val="00EC649B"/>
    <w:rsid w:val="00EC6618"/>
    <w:rsid w:val="00EC661C"/>
    <w:rsid w:val="00EC684F"/>
    <w:rsid w:val="00EC6902"/>
    <w:rsid w:val="00EC694A"/>
    <w:rsid w:val="00EC6BE1"/>
    <w:rsid w:val="00EC6D33"/>
    <w:rsid w:val="00EC6E24"/>
    <w:rsid w:val="00EC6EAF"/>
    <w:rsid w:val="00EC6F9E"/>
    <w:rsid w:val="00EC70C7"/>
    <w:rsid w:val="00EC7515"/>
    <w:rsid w:val="00EC7717"/>
    <w:rsid w:val="00EC7A92"/>
    <w:rsid w:val="00EC7AAE"/>
    <w:rsid w:val="00EC7BBD"/>
    <w:rsid w:val="00EC7C8B"/>
    <w:rsid w:val="00ED023B"/>
    <w:rsid w:val="00ED03F7"/>
    <w:rsid w:val="00ED065A"/>
    <w:rsid w:val="00ED0840"/>
    <w:rsid w:val="00ED0D8C"/>
    <w:rsid w:val="00ED10BA"/>
    <w:rsid w:val="00ED10CB"/>
    <w:rsid w:val="00ED1151"/>
    <w:rsid w:val="00ED12C0"/>
    <w:rsid w:val="00ED130C"/>
    <w:rsid w:val="00ED1335"/>
    <w:rsid w:val="00ED1361"/>
    <w:rsid w:val="00ED140E"/>
    <w:rsid w:val="00ED17D6"/>
    <w:rsid w:val="00ED194E"/>
    <w:rsid w:val="00ED1A07"/>
    <w:rsid w:val="00ED21CD"/>
    <w:rsid w:val="00ED2519"/>
    <w:rsid w:val="00ED2737"/>
    <w:rsid w:val="00ED2A72"/>
    <w:rsid w:val="00ED2C3C"/>
    <w:rsid w:val="00ED2EF2"/>
    <w:rsid w:val="00ED2F52"/>
    <w:rsid w:val="00ED2FA7"/>
    <w:rsid w:val="00ED3083"/>
    <w:rsid w:val="00ED31BF"/>
    <w:rsid w:val="00ED31EE"/>
    <w:rsid w:val="00ED348D"/>
    <w:rsid w:val="00ED35D2"/>
    <w:rsid w:val="00ED392F"/>
    <w:rsid w:val="00ED3C65"/>
    <w:rsid w:val="00ED3E93"/>
    <w:rsid w:val="00ED3FB7"/>
    <w:rsid w:val="00ED41CF"/>
    <w:rsid w:val="00ED44C9"/>
    <w:rsid w:val="00ED44F1"/>
    <w:rsid w:val="00ED4512"/>
    <w:rsid w:val="00ED45E8"/>
    <w:rsid w:val="00ED4713"/>
    <w:rsid w:val="00ED4792"/>
    <w:rsid w:val="00ED47BB"/>
    <w:rsid w:val="00ED4A4A"/>
    <w:rsid w:val="00ED4B7B"/>
    <w:rsid w:val="00ED4DC4"/>
    <w:rsid w:val="00ED5006"/>
    <w:rsid w:val="00ED50B8"/>
    <w:rsid w:val="00ED50DF"/>
    <w:rsid w:val="00ED51A9"/>
    <w:rsid w:val="00ED522E"/>
    <w:rsid w:val="00ED54DC"/>
    <w:rsid w:val="00ED5848"/>
    <w:rsid w:val="00ED5ABF"/>
    <w:rsid w:val="00ED5B86"/>
    <w:rsid w:val="00ED5BF9"/>
    <w:rsid w:val="00ED5C3C"/>
    <w:rsid w:val="00ED5D9B"/>
    <w:rsid w:val="00ED6A3A"/>
    <w:rsid w:val="00ED6AD8"/>
    <w:rsid w:val="00ED705C"/>
    <w:rsid w:val="00ED7170"/>
    <w:rsid w:val="00ED74C5"/>
    <w:rsid w:val="00ED7659"/>
    <w:rsid w:val="00ED7733"/>
    <w:rsid w:val="00ED7849"/>
    <w:rsid w:val="00ED79C4"/>
    <w:rsid w:val="00ED7ABB"/>
    <w:rsid w:val="00ED7B26"/>
    <w:rsid w:val="00ED7EDF"/>
    <w:rsid w:val="00ED7F73"/>
    <w:rsid w:val="00EE00F7"/>
    <w:rsid w:val="00EE03D6"/>
    <w:rsid w:val="00EE05D5"/>
    <w:rsid w:val="00EE0630"/>
    <w:rsid w:val="00EE077E"/>
    <w:rsid w:val="00EE0841"/>
    <w:rsid w:val="00EE092B"/>
    <w:rsid w:val="00EE09D5"/>
    <w:rsid w:val="00EE0B10"/>
    <w:rsid w:val="00EE0C27"/>
    <w:rsid w:val="00EE0C7E"/>
    <w:rsid w:val="00EE1088"/>
    <w:rsid w:val="00EE1349"/>
    <w:rsid w:val="00EE1986"/>
    <w:rsid w:val="00EE19BD"/>
    <w:rsid w:val="00EE1ABE"/>
    <w:rsid w:val="00EE1BB3"/>
    <w:rsid w:val="00EE1C10"/>
    <w:rsid w:val="00EE1EE3"/>
    <w:rsid w:val="00EE20E3"/>
    <w:rsid w:val="00EE22B5"/>
    <w:rsid w:val="00EE25B2"/>
    <w:rsid w:val="00EE26F0"/>
    <w:rsid w:val="00EE27F7"/>
    <w:rsid w:val="00EE282A"/>
    <w:rsid w:val="00EE28F6"/>
    <w:rsid w:val="00EE2D78"/>
    <w:rsid w:val="00EE2E70"/>
    <w:rsid w:val="00EE3070"/>
    <w:rsid w:val="00EE310C"/>
    <w:rsid w:val="00EE3548"/>
    <w:rsid w:val="00EE37E3"/>
    <w:rsid w:val="00EE3C7F"/>
    <w:rsid w:val="00EE3CA4"/>
    <w:rsid w:val="00EE3EBD"/>
    <w:rsid w:val="00EE429D"/>
    <w:rsid w:val="00EE45CA"/>
    <w:rsid w:val="00EE45CD"/>
    <w:rsid w:val="00EE45ED"/>
    <w:rsid w:val="00EE45F4"/>
    <w:rsid w:val="00EE48CC"/>
    <w:rsid w:val="00EE4A02"/>
    <w:rsid w:val="00EE4ADD"/>
    <w:rsid w:val="00EE4B58"/>
    <w:rsid w:val="00EE4D0A"/>
    <w:rsid w:val="00EE50B0"/>
    <w:rsid w:val="00EE52E4"/>
    <w:rsid w:val="00EE532C"/>
    <w:rsid w:val="00EE53C2"/>
    <w:rsid w:val="00EE5697"/>
    <w:rsid w:val="00EE5757"/>
    <w:rsid w:val="00EE584D"/>
    <w:rsid w:val="00EE58EB"/>
    <w:rsid w:val="00EE5DF0"/>
    <w:rsid w:val="00EE6051"/>
    <w:rsid w:val="00EE648F"/>
    <w:rsid w:val="00EE65A1"/>
    <w:rsid w:val="00EE6938"/>
    <w:rsid w:val="00EE6986"/>
    <w:rsid w:val="00EE6D66"/>
    <w:rsid w:val="00EE6D69"/>
    <w:rsid w:val="00EE6F28"/>
    <w:rsid w:val="00EE70D4"/>
    <w:rsid w:val="00EE744A"/>
    <w:rsid w:val="00EE75D1"/>
    <w:rsid w:val="00EE762E"/>
    <w:rsid w:val="00EE782F"/>
    <w:rsid w:val="00EE7A46"/>
    <w:rsid w:val="00EE7BBD"/>
    <w:rsid w:val="00EE7D51"/>
    <w:rsid w:val="00EE7EDF"/>
    <w:rsid w:val="00EE7EF4"/>
    <w:rsid w:val="00EF02D6"/>
    <w:rsid w:val="00EF0339"/>
    <w:rsid w:val="00EF063E"/>
    <w:rsid w:val="00EF0725"/>
    <w:rsid w:val="00EF0807"/>
    <w:rsid w:val="00EF0AED"/>
    <w:rsid w:val="00EF0AF3"/>
    <w:rsid w:val="00EF0AF4"/>
    <w:rsid w:val="00EF0BAB"/>
    <w:rsid w:val="00EF116C"/>
    <w:rsid w:val="00EF1182"/>
    <w:rsid w:val="00EF128B"/>
    <w:rsid w:val="00EF1330"/>
    <w:rsid w:val="00EF1534"/>
    <w:rsid w:val="00EF18E8"/>
    <w:rsid w:val="00EF1C2A"/>
    <w:rsid w:val="00EF1D1E"/>
    <w:rsid w:val="00EF1F18"/>
    <w:rsid w:val="00EF23E0"/>
    <w:rsid w:val="00EF2564"/>
    <w:rsid w:val="00EF29E7"/>
    <w:rsid w:val="00EF2A2E"/>
    <w:rsid w:val="00EF2A62"/>
    <w:rsid w:val="00EF2AB7"/>
    <w:rsid w:val="00EF2B72"/>
    <w:rsid w:val="00EF2F60"/>
    <w:rsid w:val="00EF32BE"/>
    <w:rsid w:val="00EF34B4"/>
    <w:rsid w:val="00EF36DB"/>
    <w:rsid w:val="00EF36EE"/>
    <w:rsid w:val="00EF388A"/>
    <w:rsid w:val="00EF38A2"/>
    <w:rsid w:val="00EF3B0D"/>
    <w:rsid w:val="00EF3BF5"/>
    <w:rsid w:val="00EF3D9F"/>
    <w:rsid w:val="00EF3E85"/>
    <w:rsid w:val="00EF3EB5"/>
    <w:rsid w:val="00EF4376"/>
    <w:rsid w:val="00EF44FB"/>
    <w:rsid w:val="00EF466B"/>
    <w:rsid w:val="00EF4A35"/>
    <w:rsid w:val="00EF4A63"/>
    <w:rsid w:val="00EF4BEA"/>
    <w:rsid w:val="00EF4D75"/>
    <w:rsid w:val="00EF4F48"/>
    <w:rsid w:val="00EF515E"/>
    <w:rsid w:val="00EF5249"/>
    <w:rsid w:val="00EF532E"/>
    <w:rsid w:val="00EF54E5"/>
    <w:rsid w:val="00EF5552"/>
    <w:rsid w:val="00EF5858"/>
    <w:rsid w:val="00EF5872"/>
    <w:rsid w:val="00EF59B7"/>
    <w:rsid w:val="00EF5AB7"/>
    <w:rsid w:val="00EF5BD8"/>
    <w:rsid w:val="00EF5C21"/>
    <w:rsid w:val="00EF61F2"/>
    <w:rsid w:val="00EF66A2"/>
    <w:rsid w:val="00EF672D"/>
    <w:rsid w:val="00EF6BC1"/>
    <w:rsid w:val="00EF7061"/>
    <w:rsid w:val="00EF7182"/>
    <w:rsid w:val="00EF72D1"/>
    <w:rsid w:val="00EF733C"/>
    <w:rsid w:val="00EF7476"/>
    <w:rsid w:val="00EF7624"/>
    <w:rsid w:val="00EF76B8"/>
    <w:rsid w:val="00EF78B1"/>
    <w:rsid w:val="00EF7985"/>
    <w:rsid w:val="00EF7A5C"/>
    <w:rsid w:val="00EF7B97"/>
    <w:rsid w:val="00EF7BAB"/>
    <w:rsid w:val="00EF7CF3"/>
    <w:rsid w:val="00EF7E73"/>
    <w:rsid w:val="00EF7F64"/>
    <w:rsid w:val="00F00338"/>
    <w:rsid w:val="00F0040C"/>
    <w:rsid w:val="00F0040F"/>
    <w:rsid w:val="00F00423"/>
    <w:rsid w:val="00F00800"/>
    <w:rsid w:val="00F00890"/>
    <w:rsid w:val="00F00A35"/>
    <w:rsid w:val="00F00A38"/>
    <w:rsid w:val="00F00BC4"/>
    <w:rsid w:val="00F00CDC"/>
    <w:rsid w:val="00F00F1F"/>
    <w:rsid w:val="00F013EA"/>
    <w:rsid w:val="00F0170B"/>
    <w:rsid w:val="00F0197E"/>
    <w:rsid w:val="00F01982"/>
    <w:rsid w:val="00F0214F"/>
    <w:rsid w:val="00F02176"/>
    <w:rsid w:val="00F02243"/>
    <w:rsid w:val="00F02332"/>
    <w:rsid w:val="00F0258D"/>
    <w:rsid w:val="00F02611"/>
    <w:rsid w:val="00F02884"/>
    <w:rsid w:val="00F02D56"/>
    <w:rsid w:val="00F02E65"/>
    <w:rsid w:val="00F02EAA"/>
    <w:rsid w:val="00F03079"/>
    <w:rsid w:val="00F03405"/>
    <w:rsid w:val="00F0351E"/>
    <w:rsid w:val="00F035C5"/>
    <w:rsid w:val="00F036F9"/>
    <w:rsid w:val="00F037E3"/>
    <w:rsid w:val="00F03CA8"/>
    <w:rsid w:val="00F03E58"/>
    <w:rsid w:val="00F03E61"/>
    <w:rsid w:val="00F03F21"/>
    <w:rsid w:val="00F0429F"/>
    <w:rsid w:val="00F0436F"/>
    <w:rsid w:val="00F04419"/>
    <w:rsid w:val="00F04469"/>
    <w:rsid w:val="00F04512"/>
    <w:rsid w:val="00F04628"/>
    <w:rsid w:val="00F04882"/>
    <w:rsid w:val="00F04901"/>
    <w:rsid w:val="00F04A02"/>
    <w:rsid w:val="00F04ABC"/>
    <w:rsid w:val="00F04B0C"/>
    <w:rsid w:val="00F04CD9"/>
    <w:rsid w:val="00F04FC0"/>
    <w:rsid w:val="00F0553E"/>
    <w:rsid w:val="00F05798"/>
    <w:rsid w:val="00F059A6"/>
    <w:rsid w:val="00F060D7"/>
    <w:rsid w:val="00F0622F"/>
    <w:rsid w:val="00F06336"/>
    <w:rsid w:val="00F06345"/>
    <w:rsid w:val="00F0637E"/>
    <w:rsid w:val="00F066D2"/>
    <w:rsid w:val="00F06747"/>
    <w:rsid w:val="00F06ADC"/>
    <w:rsid w:val="00F06C52"/>
    <w:rsid w:val="00F06CC5"/>
    <w:rsid w:val="00F06D93"/>
    <w:rsid w:val="00F06F19"/>
    <w:rsid w:val="00F06F63"/>
    <w:rsid w:val="00F07201"/>
    <w:rsid w:val="00F079E9"/>
    <w:rsid w:val="00F07A27"/>
    <w:rsid w:val="00F07B6B"/>
    <w:rsid w:val="00F07D12"/>
    <w:rsid w:val="00F07E87"/>
    <w:rsid w:val="00F10083"/>
    <w:rsid w:val="00F10110"/>
    <w:rsid w:val="00F10552"/>
    <w:rsid w:val="00F10612"/>
    <w:rsid w:val="00F107CE"/>
    <w:rsid w:val="00F108EC"/>
    <w:rsid w:val="00F10D59"/>
    <w:rsid w:val="00F10DA6"/>
    <w:rsid w:val="00F10E63"/>
    <w:rsid w:val="00F10F26"/>
    <w:rsid w:val="00F1170C"/>
    <w:rsid w:val="00F1181D"/>
    <w:rsid w:val="00F11B66"/>
    <w:rsid w:val="00F11C1E"/>
    <w:rsid w:val="00F11CC2"/>
    <w:rsid w:val="00F11EAB"/>
    <w:rsid w:val="00F11FDB"/>
    <w:rsid w:val="00F1204F"/>
    <w:rsid w:val="00F12086"/>
    <w:rsid w:val="00F120E8"/>
    <w:rsid w:val="00F12194"/>
    <w:rsid w:val="00F12988"/>
    <w:rsid w:val="00F12BAD"/>
    <w:rsid w:val="00F12CEB"/>
    <w:rsid w:val="00F12E3D"/>
    <w:rsid w:val="00F12E57"/>
    <w:rsid w:val="00F13149"/>
    <w:rsid w:val="00F133B2"/>
    <w:rsid w:val="00F1353C"/>
    <w:rsid w:val="00F138C6"/>
    <w:rsid w:val="00F138C7"/>
    <w:rsid w:val="00F13971"/>
    <w:rsid w:val="00F139FA"/>
    <w:rsid w:val="00F13A3A"/>
    <w:rsid w:val="00F13B29"/>
    <w:rsid w:val="00F13B59"/>
    <w:rsid w:val="00F13C99"/>
    <w:rsid w:val="00F13E17"/>
    <w:rsid w:val="00F13E3E"/>
    <w:rsid w:val="00F14015"/>
    <w:rsid w:val="00F14016"/>
    <w:rsid w:val="00F14037"/>
    <w:rsid w:val="00F141B9"/>
    <w:rsid w:val="00F14279"/>
    <w:rsid w:val="00F1457D"/>
    <w:rsid w:val="00F14739"/>
    <w:rsid w:val="00F14814"/>
    <w:rsid w:val="00F14908"/>
    <w:rsid w:val="00F14910"/>
    <w:rsid w:val="00F14A56"/>
    <w:rsid w:val="00F14A6D"/>
    <w:rsid w:val="00F14E64"/>
    <w:rsid w:val="00F1506C"/>
    <w:rsid w:val="00F153F3"/>
    <w:rsid w:val="00F1547D"/>
    <w:rsid w:val="00F1554B"/>
    <w:rsid w:val="00F15584"/>
    <w:rsid w:val="00F15AD5"/>
    <w:rsid w:val="00F15C97"/>
    <w:rsid w:val="00F15D55"/>
    <w:rsid w:val="00F15F37"/>
    <w:rsid w:val="00F15FC0"/>
    <w:rsid w:val="00F1618D"/>
    <w:rsid w:val="00F1640C"/>
    <w:rsid w:val="00F1684D"/>
    <w:rsid w:val="00F16985"/>
    <w:rsid w:val="00F16A31"/>
    <w:rsid w:val="00F16F56"/>
    <w:rsid w:val="00F170D5"/>
    <w:rsid w:val="00F170D6"/>
    <w:rsid w:val="00F17167"/>
    <w:rsid w:val="00F17239"/>
    <w:rsid w:val="00F174D2"/>
    <w:rsid w:val="00F1753A"/>
    <w:rsid w:val="00F176C1"/>
    <w:rsid w:val="00F177C6"/>
    <w:rsid w:val="00F1788C"/>
    <w:rsid w:val="00F17AA5"/>
    <w:rsid w:val="00F17C34"/>
    <w:rsid w:val="00F17E04"/>
    <w:rsid w:val="00F17FEA"/>
    <w:rsid w:val="00F20305"/>
    <w:rsid w:val="00F2034C"/>
    <w:rsid w:val="00F20384"/>
    <w:rsid w:val="00F203BC"/>
    <w:rsid w:val="00F20489"/>
    <w:rsid w:val="00F205F6"/>
    <w:rsid w:val="00F206A7"/>
    <w:rsid w:val="00F207E5"/>
    <w:rsid w:val="00F20985"/>
    <w:rsid w:val="00F209A5"/>
    <w:rsid w:val="00F20AE1"/>
    <w:rsid w:val="00F20B63"/>
    <w:rsid w:val="00F20E3A"/>
    <w:rsid w:val="00F20F7A"/>
    <w:rsid w:val="00F20FAB"/>
    <w:rsid w:val="00F20FDF"/>
    <w:rsid w:val="00F2144F"/>
    <w:rsid w:val="00F217F4"/>
    <w:rsid w:val="00F218BD"/>
    <w:rsid w:val="00F21ABC"/>
    <w:rsid w:val="00F222D6"/>
    <w:rsid w:val="00F22645"/>
    <w:rsid w:val="00F22A4C"/>
    <w:rsid w:val="00F22CAD"/>
    <w:rsid w:val="00F22D46"/>
    <w:rsid w:val="00F22D9E"/>
    <w:rsid w:val="00F22E28"/>
    <w:rsid w:val="00F22FA4"/>
    <w:rsid w:val="00F2312B"/>
    <w:rsid w:val="00F2332A"/>
    <w:rsid w:val="00F23605"/>
    <w:rsid w:val="00F23671"/>
    <w:rsid w:val="00F23C08"/>
    <w:rsid w:val="00F23D78"/>
    <w:rsid w:val="00F23EA0"/>
    <w:rsid w:val="00F24362"/>
    <w:rsid w:val="00F24571"/>
    <w:rsid w:val="00F247E4"/>
    <w:rsid w:val="00F24ACE"/>
    <w:rsid w:val="00F24B4F"/>
    <w:rsid w:val="00F25205"/>
    <w:rsid w:val="00F257DE"/>
    <w:rsid w:val="00F25D04"/>
    <w:rsid w:val="00F25DF6"/>
    <w:rsid w:val="00F26136"/>
    <w:rsid w:val="00F2638F"/>
    <w:rsid w:val="00F2643B"/>
    <w:rsid w:val="00F264A0"/>
    <w:rsid w:val="00F266B5"/>
    <w:rsid w:val="00F26736"/>
    <w:rsid w:val="00F267C5"/>
    <w:rsid w:val="00F26972"/>
    <w:rsid w:val="00F26B49"/>
    <w:rsid w:val="00F26C8F"/>
    <w:rsid w:val="00F26ED9"/>
    <w:rsid w:val="00F26EED"/>
    <w:rsid w:val="00F26FA1"/>
    <w:rsid w:val="00F26FCF"/>
    <w:rsid w:val="00F270B8"/>
    <w:rsid w:val="00F27232"/>
    <w:rsid w:val="00F272C0"/>
    <w:rsid w:val="00F272F4"/>
    <w:rsid w:val="00F27352"/>
    <w:rsid w:val="00F2741B"/>
    <w:rsid w:val="00F274D3"/>
    <w:rsid w:val="00F27670"/>
    <w:rsid w:val="00F27771"/>
    <w:rsid w:val="00F27777"/>
    <w:rsid w:val="00F27B8F"/>
    <w:rsid w:val="00F27ECE"/>
    <w:rsid w:val="00F3001B"/>
    <w:rsid w:val="00F30171"/>
    <w:rsid w:val="00F30311"/>
    <w:rsid w:val="00F30354"/>
    <w:rsid w:val="00F30674"/>
    <w:rsid w:val="00F30753"/>
    <w:rsid w:val="00F3096F"/>
    <w:rsid w:val="00F30A48"/>
    <w:rsid w:val="00F30C7F"/>
    <w:rsid w:val="00F30D86"/>
    <w:rsid w:val="00F30DA3"/>
    <w:rsid w:val="00F30F5F"/>
    <w:rsid w:val="00F31222"/>
    <w:rsid w:val="00F313FA"/>
    <w:rsid w:val="00F31437"/>
    <w:rsid w:val="00F315E9"/>
    <w:rsid w:val="00F3161A"/>
    <w:rsid w:val="00F31821"/>
    <w:rsid w:val="00F31929"/>
    <w:rsid w:val="00F31C66"/>
    <w:rsid w:val="00F31D23"/>
    <w:rsid w:val="00F31E3D"/>
    <w:rsid w:val="00F31F9D"/>
    <w:rsid w:val="00F320D1"/>
    <w:rsid w:val="00F32292"/>
    <w:rsid w:val="00F32346"/>
    <w:rsid w:val="00F3244B"/>
    <w:rsid w:val="00F32523"/>
    <w:rsid w:val="00F3276D"/>
    <w:rsid w:val="00F327E6"/>
    <w:rsid w:val="00F3280D"/>
    <w:rsid w:val="00F32A49"/>
    <w:rsid w:val="00F32CD6"/>
    <w:rsid w:val="00F33015"/>
    <w:rsid w:val="00F330F8"/>
    <w:rsid w:val="00F33136"/>
    <w:rsid w:val="00F3319B"/>
    <w:rsid w:val="00F33306"/>
    <w:rsid w:val="00F33339"/>
    <w:rsid w:val="00F33600"/>
    <w:rsid w:val="00F33756"/>
    <w:rsid w:val="00F338BF"/>
    <w:rsid w:val="00F3396B"/>
    <w:rsid w:val="00F33A43"/>
    <w:rsid w:val="00F33BB2"/>
    <w:rsid w:val="00F34278"/>
    <w:rsid w:val="00F342B5"/>
    <w:rsid w:val="00F343F8"/>
    <w:rsid w:val="00F34610"/>
    <w:rsid w:val="00F346D7"/>
    <w:rsid w:val="00F346E9"/>
    <w:rsid w:val="00F34953"/>
    <w:rsid w:val="00F34AE4"/>
    <w:rsid w:val="00F34D19"/>
    <w:rsid w:val="00F34DF5"/>
    <w:rsid w:val="00F34EE7"/>
    <w:rsid w:val="00F35106"/>
    <w:rsid w:val="00F35137"/>
    <w:rsid w:val="00F35384"/>
    <w:rsid w:val="00F35691"/>
    <w:rsid w:val="00F356DD"/>
    <w:rsid w:val="00F3580B"/>
    <w:rsid w:val="00F35C62"/>
    <w:rsid w:val="00F35CC2"/>
    <w:rsid w:val="00F35D8E"/>
    <w:rsid w:val="00F35DF8"/>
    <w:rsid w:val="00F35E6E"/>
    <w:rsid w:val="00F35F41"/>
    <w:rsid w:val="00F3603A"/>
    <w:rsid w:val="00F360DF"/>
    <w:rsid w:val="00F3634B"/>
    <w:rsid w:val="00F3650D"/>
    <w:rsid w:val="00F3661B"/>
    <w:rsid w:val="00F36659"/>
    <w:rsid w:val="00F3699E"/>
    <w:rsid w:val="00F36B26"/>
    <w:rsid w:val="00F36B2F"/>
    <w:rsid w:val="00F36F48"/>
    <w:rsid w:val="00F37190"/>
    <w:rsid w:val="00F37239"/>
    <w:rsid w:val="00F37284"/>
    <w:rsid w:val="00F37366"/>
    <w:rsid w:val="00F37555"/>
    <w:rsid w:val="00F37846"/>
    <w:rsid w:val="00F378BB"/>
    <w:rsid w:val="00F37B5D"/>
    <w:rsid w:val="00F37B80"/>
    <w:rsid w:val="00F37F31"/>
    <w:rsid w:val="00F40325"/>
    <w:rsid w:val="00F404A2"/>
    <w:rsid w:val="00F40712"/>
    <w:rsid w:val="00F4098B"/>
    <w:rsid w:val="00F40A18"/>
    <w:rsid w:val="00F40C49"/>
    <w:rsid w:val="00F40E11"/>
    <w:rsid w:val="00F40ECD"/>
    <w:rsid w:val="00F4144B"/>
    <w:rsid w:val="00F41585"/>
    <w:rsid w:val="00F41814"/>
    <w:rsid w:val="00F418C9"/>
    <w:rsid w:val="00F418EB"/>
    <w:rsid w:val="00F41F1E"/>
    <w:rsid w:val="00F4201D"/>
    <w:rsid w:val="00F4237C"/>
    <w:rsid w:val="00F42452"/>
    <w:rsid w:val="00F4260F"/>
    <w:rsid w:val="00F4282A"/>
    <w:rsid w:val="00F42B3E"/>
    <w:rsid w:val="00F42B66"/>
    <w:rsid w:val="00F42E57"/>
    <w:rsid w:val="00F42EFA"/>
    <w:rsid w:val="00F43168"/>
    <w:rsid w:val="00F43194"/>
    <w:rsid w:val="00F43577"/>
    <w:rsid w:val="00F436DA"/>
    <w:rsid w:val="00F437BB"/>
    <w:rsid w:val="00F438A5"/>
    <w:rsid w:val="00F43BCB"/>
    <w:rsid w:val="00F43C06"/>
    <w:rsid w:val="00F43D10"/>
    <w:rsid w:val="00F43DC0"/>
    <w:rsid w:val="00F43ECC"/>
    <w:rsid w:val="00F43F1A"/>
    <w:rsid w:val="00F4415A"/>
    <w:rsid w:val="00F44382"/>
    <w:rsid w:val="00F4465F"/>
    <w:rsid w:val="00F44708"/>
    <w:rsid w:val="00F44AD1"/>
    <w:rsid w:val="00F44BA4"/>
    <w:rsid w:val="00F44CBA"/>
    <w:rsid w:val="00F44CED"/>
    <w:rsid w:val="00F4519F"/>
    <w:rsid w:val="00F4537C"/>
    <w:rsid w:val="00F45527"/>
    <w:rsid w:val="00F4563E"/>
    <w:rsid w:val="00F45E49"/>
    <w:rsid w:val="00F46330"/>
    <w:rsid w:val="00F4640B"/>
    <w:rsid w:val="00F464AA"/>
    <w:rsid w:val="00F464AF"/>
    <w:rsid w:val="00F466B8"/>
    <w:rsid w:val="00F469A4"/>
    <w:rsid w:val="00F469AA"/>
    <w:rsid w:val="00F46AAE"/>
    <w:rsid w:val="00F46B72"/>
    <w:rsid w:val="00F46C55"/>
    <w:rsid w:val="00F46D3B"/>
    <w:rsid w:val="00F4702D"/>
    <w:rsid w:val="00F47426"/>
    <w:rsid w:val="00F474BB"/>
    <w:rsid w:val="00F4757B"/>
    <w:rsid w:val="00F47729"/>
    <w:rsid w:val="00F4790D"/>
    <w:rsid w:val="00F47B38"/>
    <w:rsid w:val="00F47B6B"/>
    <w:rsid w:val="00F47C74"/>
    <w:rsid w:val="00F47D7F"/>
    <w:rsid w:val="00F50665"/>
    <w:rsid w:val="00F507F6"/>
    <w:rsid w:val="00F50AB1"/>
    <w:rsid w:val="00F50AE4"/>
    <w:rsid w:val="00F50C5B"/>
    <w:rsid w:val="00F50CF3"/>
    <w:rsid w:val="00F50FD1"/>
    <w:rsid w:val="00F51034"/>
    <w:rsid w:val="00F51185"/>
    <w:rsid w:val="00F51390"/>
    <w:rsid w:val="00F5172C"/>
    <w:rsid w:val="00F51759"/>
    <w:rsid w:val="00F51A6A"/>
    <w:rsid w:val="00F51ACD"/>
    <w:rsid w:val="00F51B34"/>
    <w:rsid w:val="00F51BC3"/>
    <w:rsid w:val="00F51CE6"/>
    <w:rsid w:val="00F51DE8"/>
    <w:rsid w:val="00F51EDD"/>
    <w:rsid w:val="00F520CD"/>
    <w:rsid w:val="00F523DC"/>
    <w:rsid w:val="00F52592"/>
    <w:rsid w:val="00F525D4"/>
    <w:rsid w:val="00F52634"/>
    <w:rsid w:val="00F527F0"/>
    <w:rsid w:val="00F5282E"/>
    <w:rsid w:val="00F528CF"/>
    <w:rsid w:val="00F529C1"/>
    <w:rsid w:val="00F52B47"/>
    <w:rsid w:val="00F52CB3"/>
    <w:rsid w:val="00F52E91"/>
    <w:rsid w:val="00F53088"/>
    <w:rsid w:val="00F53138"/>
    <w:rsid w:val="00F532EA"/>
    <w:rsid w:val="00F53489"/>
    <w:rsid w:val="00F53935"/>
    <w:rsid w:val="00F539ED"/>
    <w:rsid w:val="00F53ABE"/>
    <w:rsid w:val="00F53B55"/>
    <w:rsid w:val="00F53B5B"/>
    <w:rsid w:val="00F53D95"/>
    <w:rsid w:val="00F53F26"/>
    <w:rsid w:val="00F540F2"/>
    <w:rsid w:val="00F542D5"/>
    <w:rsid w:val="00F5467B"/>
    <w:rsid w:val="00F54992"/>
    <w:rsid w:val="00F54A59"/>
    <w:rsid w:val="00F54AC4"/>
    <w:rsid w:val="00F54F4C"/>
    <w:rsid w:val="00F54F9B"/>
    <w:rsid w:val="00F54FA7"/>
    <w:rsid w:val="00F54FE8"/>
    <w:rsid w:val="00F555BA"/>
    <w:rsid w:val="00F55629"/>
    <w:rsid w:val="00F5582C"/>
    <w:rsid w:val="00F558CE"/>
    <w:rsid w:val="00F55C8C"/>
    <w:rsid w:val="00F5601C"/>
    <w:rsid w:val="00F564BB"/>
    <w:rsid w:val="00F568F8"/>
    <w:rsid w:val="00F5698B"/>
    <w:rsid w:val="00F56A13"/>
    <w:rsid w:val="00F56B70"/>
    <w:rsid w:val="00F56D11"/>
    <w:rsid w:val="00F572BD"/>
    <w:rsid w:val="00F574CD"/>
    <w:rsid w:val="00F5756B"/>
    <w:rsid w:val="00F57AD0"/>
    <w:rsid w:val="00F57E29"/>
    <w:rsid w:val="00F57E45"/>
    <w:rsid w:val="00F57EC3"/>
    <w:rsid w:val="00F57FA7"/>
    <w:rsid w:val="00F60369"/>
    <w:rsid w:val="00F60586"/>
    <w:rsid w:val="00F60821"/>
    <w:rsid w:val="00F60867"/>
    <w:rsid w:val="00F609C9"/>
    <w:rsid w:val="00F60A43"/>
    <w:rsid w:val="00F60B80"/>
    <w:rsid w:val="00F60BA8"/>
    <w:rsid w:val="00F60BCC"/>
    <w:rsid w:val="00F60C9D"/>
    <w:rsid w:val="00F60EAF"/>
    <w:rsid w:val="00F61273"/>
    <w:rsid w:val="00F614C7"/>
    <w:rsid w:val="00F614C8"/>
    <w:rsid w:val="00F61557"/>
    <w:rsid w:val="00F61663"/>
    <w:rsid w:val="00F616C6"/>
    <w:rsid w:val="00F616E4"/>
    <w:rsid w:val="00F6178A"/>
    <w:rsid w:val="00F61D08"/>
    <w:rsid w:val="00F61E6D"/>
    <w:rsid w:val="00F61E77"/>
    <w:rsid w:val="00F61F0F"/>
    <w:rsid w:val="00F61F41"/>
    <w:rsid w:val="00F620D9"/>
    <w:rsid w:val="00F620F9"/>
    <w:rsid w:val="00F6246E"/>
    <w:rsid w:val="00F624EA"/>
    <w:rsid w:val="00F62637"/>
    <w:rsid w:val="00F6271F"/>
    <w:rsid w:val="00F62831"/>
    <w:rsid w:val="00F628B6"/>
    <w:rsid w:val="00F62A08"/>
    <w:rsid w:val="00F62A72"/>
    <w:rsid w:val="00F62BFE"/>
    <w:rsid w:val="00F62C64"/>
    <w:rsid w:val="00F62EDB"/>
    <w:rsid w:val="00F633F7"/>
    <w:rsid w:val="00F634DB"/>
    <w:rsid w:val="00F634DD"/>
    <w:rsid w:val="00F6375B"/>
    <w:rsid w:val="00F6376B"/>
    <w:rsid w:val="00F63B4A"/>
    <w:rsid w:val="00F64231"/>
    <w:rsid w:val="00F64290"/>
    <w:rsid w:val="00F643BE"/>
    <w:rsid w:val="00F64589"/>
    <w:rsid w:val="00F6458F"/>
    <w:rsid w:val="00F647D4"/>
    <w:rsid w:val="00F6488E"/>
    <w:rsid w:val="00F64932"/>
    <w:rsid w:val="00F64938"/>
    <w:rsid w:val="00F64CFC"/>
    <w:rsid w:val="00F64EDB"/>
    <w:rsid w:val="00F651B5"/>
    <w:rsid w:val="00F651D5"/>
    <w:rsid w:val="00F65279"/>
    <w:rsid w:val="00F65523"/>
    <w:rsid w:val="00F6577B"/>
    <w:rsid w:val="00F6592F"/>
    <w:rsid w:val="00F659B1"/>
    <w:rsid w:val="00F65BDA"/>
    <w:rsid w:val="00F65BE8"/>
    <w:rsid w:val="00F65F02"/>
    <w:rsid w:val="00F6613C"/>
    <w:rsid w:val="00F661C3"/>
    <w:rsid w:val="00F661E9"/>
    <w:rsid w:val="00F66225"/>
    <w:rsid w:val="00F66361"/>
    <w:rsid w:val="00F66367"/>
    <w:rsid w:val="00F66491"/>
    <w:rsid w:val="00F664E5"/>
    <w:rsid w:val="00F664ED"/>
    <w:rsid w:val="00F666E2"/>
    <w:rsid w:val="00F66755"/>
    <w:rsid w:val="00F667A2"/>
    <w:rsid w:val="00F6686F"/>
    <w:rsid w:val="00F66932"/>
    <w:rsid w:val="00F66CB6"/>
    <w:rsid w:val="00F66D64"/>
    <w:rsid w:val="00F66F69"/>
    <w:rsid w:val="00F66FE3"/>
    <w:rsid w:val="00F6706E"/>
    <w:rsid w:val="00F67119"/>
    <w:rsid w:val="00F672FA"/>
    <w:rsid w:val="00F67409"/>
    <w:rsid w:val="00F67C88"/>
    <w:rsid w:val="00F67D27"/>
    <w:rsid w:val="00F70044"/>
    <w:rsid w:val="00F70260"/>
    <w:rsid w:val="00F7049D"/>
    <w:rsid w:val="00F70869"/>
    <w:rsid w:val="00F70D7E"/>
    <w:rsid w:val="00F70F88"/>
    <w:rsid w:val="00F711D4"/>
    <w:rsid w:val="00F711F3"/>
    <w:rsid w:val="00F71370"/>
    <w:rsid w:val="00F7154D"/>
    <w:rsid w:val="00F71559"/>
    <w:rsid w:val="00F718EC"/>
    <w:rsid w:val="00F719F2"/>
    <w:rsid w:val="00F71B62"/>
    <w:rsid w:val="00F71B97"/>
    <w:rsid w:val="00F71D8E"/>
    <w:rsid w:val="00F71E99"/>
    <w:rsid w:val="00F7223B"/>
    <w:rsid w:val="00F722EA"/>
    <w:rsid w:val="00F72353"/>
    <w:rsid w:val="00F72388"/>
    <w:rsid w:val="00F72466"/>
    <w:rsid w:val="00F72499"/>
    <w:rsid w:val="00F724F0"/>
    <w:rsid w:val="00F72BCB"/>
    <w:rsid w:val="00F72D12"/>
    <w:rsid w:val="00F72E7E"/>
    <w:rsid w:val="00F72E91"/>
    <w:rsid w:val="00F72EF3"/>
    <w:rsid w:val="00F72F06"/>
    <w:rsid w:val="00F72F3E"/>
    <w:rsid w:val="00F73026"/>
    <w:rsid w:val="00F73182"/>
    <w:rsid w:val="00F734BC"/>
    <w:rsid w:val="00F7353C"/>
    <w:rsid w:val="00F7382C"/>
    <w:rsid w:val="00F7393F"/>
    <w:rsid w:val="00F73A97"/>
    <w:rsid w:val="00F7419E"/>
    <w:rsid w:val="00F7473D"/>
    <w:rsid w:val="00F74887"/>
    <w:rsid w:val="00F74987"/>
    <w:rsid w:val="00F74EA8"/>
    <w:rsid w:val="00F75094"/>
    <w:rsid w:val="00F75242"/>
    <w:rsid w:val="00F7531C"/>
    <w:rsid w:val="00F754CC"/>
    <w:rsid w:val="00F75617"/>
    <w:rsid w:val="00F7572C"/>
    <w:rsid w:val="00F7588F"/>
    <w:rsid w:val="00F758F6"/>
    <w:rsid w:val="00F759B4"/>
    <w:rsid w:val="00F759F5"/>
    <w:rsid w:val="00F75BA4"/>
    <w:rsid w:val="00F75C21"/>
    <w:rsid w:val="00F75DDB"/>
    <w:rsid w:val="00F75E15"/>
    <w:rsid w:val="00F76231"/>
    <w:rsid w:val="00F763B2"/>
    <w:rsid w:val="00F763DB"/>
    <w:rsid w:val="00F764D0"/>
    <w:rsid w:val="00F76645"/>
    <w:rsid w:val="00F76693"/>
    <w:rsid w:val="00F76741"/>
    <w:rsid w:val="00F767E4"/>
    <w:rsid w:val="00F76961"/>
    <w:rsid w:val="00F76D0A"/>
    <w:rsid w:val="00F77197"/>
    <w:rsid w:val="00F771AA"/>
    <w:rsid w:val="00F77636"/>
    <w:rsid w:val="00F777F9"/>
    <w:rsid w:val="00F77A81"/>
    <w:rsid w:val="00F801DE"/>
    <w:rsid w:val="00F80655"/>
    <w:rsid w:val="00F8068E"/>
    <w:rsid w:val="00F8079C"/>
    <w:rsid w:val="00F808C4"/>
    <w:rsid w:val="00F80ECE"/>
    <w:rsid w:val="00F80F43"/>
    <w:rsid w:val="00F81033"/>
    <w:rsid w:val="00F81335"/>
    <w:rsid w:val="00F814C8"/>
    <w:rsid w:val="00F8175E"/>
    <w:rsid w:val="00F817D8"/>
    <w:rsid w:val="00F8192D"/>
    <w:rsid w:val="00F81A25"/>
    <w:rsid w:val="00F81D30"/>
    <w:rsid w:val="00F81EF7"/>
    <w:rsid w:val="00F81FA4"/>
    <w:rsid w:val="00F824CA"/>
    <w:rsid w:val="00F828C8"/>
    <w:rsid w:val="00F829AB"/>
    <w:rsid w:val="00F82B05"/>
    <w:rsid w:val="00F82B9E"/>
    <w:rsid w:val="00F82F40"/>
    <w:rsid w:val="00F8310D"/>
    <w:rsid w:val="00F83222"/>
    <w:rsid w:val="00F8328C"/>
    <w:rsid w:val="00F833CA"/>
    <w:rsid w:val="00F8341F"/>
    <w:rsid w:val="00F834FB"/>
    <w:rsid w:val="00F8359F"/>
    <w:rsid w:val="00F835A3"/>
    <w:rsid w:val="00F835D7"/>
    <w:rsid w:val="00F83A1D"/>
    <w:rsid w:val="00F84319"/>
    <w:rsid w:val="00F8481A"/>
    <w:rsid w:val="00F84859"/>
    <w:rsid w:val="00F84EB6"/>
    <w:rsid w:val="00F8526E"/>
    <w:rsid w:val="00F8552E"/>
    <w:rsid w:val="00F858A5"/>
    <w:rsid w:val="00F8590B"/>
    <w:rsid w:val="00F8590E"/>
    <w:rsid w:val="00F85BC0"/>
    <w:rsid w:val="00F861E9"/>
    <w:rsid w:val="00F86236"/>
    <w:rsid w:val="00F862B9"/>
    <w:rsid w:val="00F8648E"/>
    <w:rsid w:val="00F86506"/>
    <w:rsid w:val="00F8677E"/>
    <w:rsid w:val="00F867A7"/>
    <w:rsid w:val="00F86818"/>
    <w:rsid w:val="00F86829"/>
    <w:rsid w:val="00F8686E"/>
    <w:rsid w:val="00F8695C"/>
    <w:rsid w:val="00F86981"/>
    <w:rsid w:val="00F86A3F"/>
    <w:rsid w:val="00F86F3E"/>
    <w:rsid w:val="00F86FFE"/>
    <w:rsid w:val="00F8715C"/>
    <w:rsid w:val="00F871D5"/>
    <w:rsid w:val="00F87262"/>
    <w:rsid w:val="00F8731E"/>
    <w:rsid w:val="00F873F2"/>
    <w:rsid w:val="00F87514"/>
    <w:rsid w:val="00F8762C"/>
    <w:rsid w:val="00F878C1"/>
    <w:rsid w:val="00F87A43"/>
    <w:rsid w:val="00F87A9D"/>
    <w:rsid w:val="00F87AC8"/>
    <w:rsid w:val="00F87C05"/>
    <w:rsid w:val="00F87CD8"/>
    <w:rsid w:val="00F900E9"/>
    <w:rsid w:val="00F90502"/>
    <w:rsid w:val="00F90711"/>
    <w:rsid w:val="00F90723"/>
    <w:rsid w:val="00F90759"/>
    <w:rsid w:val="00F90765"/>
    <w:rsid w:val="00F90B59"/>
    <w:rsid w:val="00F91069"/>
    <w:rsid w:val="00F91357"/>
    <w:rsid w:val="00F915A6"/>
    <w:rsid w:val="00F915EF"/>
    <w:rsid w:val="00F916AC"/>
    <w:rsid w:val="00F9184A"/>
    <w:rsid w:val="00F91927"/>
    <w:rsid w:val="00F919B2"/>
    <w:rsid w:val="00F91A51"/>
    <w:rsid w:val="00F91B9F"/>
    <w:rsid w:val="00F91BB6"/>
    <w:rsid w:val="00F91CA6"/>
    <w:rsid w:val="00F91F14"/>
    <w:rsid w:val="00F91F4A"/>
    <w:rsid w:val="00F920E2"/>
    <w:rsid w:val="00F92188"/>
    <w:rsid w:val="00F9286B"/>
    <w:rsid w:val="00F92993"/>
    <w:rsid w:val="00F92A1F"/>
    <w:rsid w:val="00F92B72"/>
    <w:rsid w:val="00F92DEF"/>
    <w:rsid w:val="00F92E60"/>
    <w:rsid w:val="00F92E9D"/>
    <w:rsid w:val="00F92FB0"/>
    <w:rsid w:val="00F9357F"/>
    <w:rsid w:val="00F935F0"/>
    <w:rsid w:val="00F9363A"/>
    <w:rsid w:val="00F937EE"/>
    <w:rsid w:val="00F93B4E"/>
    <w:rsid w:val="00F93B57"/>
    <w:rsid w:val="00F93C9E"/>
    <w:rsid w:val="00F93E78"/>
    <w:rsid w:val="00F93FA1"/>
    <w:rsid w:val="00F946F3"/>
    <w:rsid w:val="00F94731"/>
    <w:rsid w:val="00F94833"/>
    <w:rsid w:val="00F949C0"/>
    <w:rsid w:val="00F94A83"/>
    <w:rsid w:val="00F94DB8"/>
    <w:rsid w:val="00F94F21"/>
    <w:rsid w:val="00F95410"/>
    <w:rsid w:val="00F95460"/>
    <w:rsid w:val="00F95591"/>
    <w:rsid w:val="00F959A3"/>
    <w:rsid w:val="00F95C82"/>
    <w:rsid w:val="00F95D69"/>
    <w:rsid w:val="00F95DE6"/>
    <w:rsid w:val="00F95F4D"/>
    <w:rsid w:val="00F96129"/>
    <w:rsid w:val="00F9622B"/>
    <w:rsid w:val="00F9631C"/>
    <w:rsid w:val="00F9654E"/>
    <w:rsid w:val="00F96656"/>
    <w:rsid w:val="00F96843"/>
    <w:rsid w:val="00F96878"/>
    <w:rsid w:val="00F9695C"/>
    <w:rsid w:val="00F969F2"/>
    <w:rsid w:val="00F96AFE"/>
    <w:rsid w:val="00F96ED6"/>
    <w:rsid w:val="00F971AA"/>
    <w:rsid w:val="00F97666"/>
    <w:rsid w:val="00F977FD"/>
    <w:rsid w:val="00F97818"/>
    <w:rsid w:val="00F97AC1"/>
    <w:rsid w:val="00F97AD6"/>
    <w:rsid w:val="00FA0111"/>
    <w:rsid w:val="00FA01BB"/>
    <w:rsid w:val="00FA01EA"/>
    <w:rsid w:val="00FA026B"/>
    <w:rsid w:val="00FA0276"/>
    <w:rsid w:val="00FA08B6"/>
    <w:rsid w:val="00FA0919"/>
    <w:rsid w:val="00FA0933"/>
    <w:rsid w:val="00FA0CC7"/>
    <w:rsid w:val="00FA0E34"/>
    <w:rsid w:val="00FA0EA7"/>
    <w:rsid w:val="00FA1090"/>
    <w:rsid w:val="00FA1146"/>
    <w:rsid w:val="00FA1551"/>
    <w:rsid w:val="00FA15B7"/>
    <w:rsid w:val="00FA1A35"/>
    <w:rsid w:val="00FA1A5C"/>
    <w:rsid w:val="00FA1B44"/>
    <w:rsid w:val="00FA1BE6"/>
    <w:rsid w:val="00FA1CD1"/>
    <w:rsid w:val="00FA1D65"/>
    <w:rsid w:val="00FA1DA2"/>
    <w:rsid w:val="00FA1E52"/>
    <w:rsid w:val="00FA257E"/>
    <w:rsid w:val="00FA2C3F"/>
    <w:rsid w:val="00FA2E5C"/>
    <w:rsid w:val="00FA2F1A"/>
    <w:rsid w:val="00FA30A3"/>
    <w:rsid w:val="00FA32ED"/>
    <w:rsid w:val="00FA344B"/>
    <w:rsid w:val="00FA34A6"/>
    <w:rsid w:val="00FA3847"/>
    <w:rsid w:val="00FA38D1"/>
    <w:rsid w:val="00FA398D"/>
    <w:rsid w:val="00FA3A77"/>
    <w:rsid w:val="00FA3AE0"/>
    <w:rsid w:val="00FA3B05"/>
    <w:rsid w:val="00FA3CA4"/>
    <w:rsid w:val="00FA3CAE"/>
    <w:rsid w:val="00FA4000"/>
    <w:rsid w:val="00FA4195"/>
    <w:rsid w:val="00FA4889"/>
    <w:rsid w:val="00FA4BED"/>
    <w:rsid w:val="00FA4DB8"/>
    <w:rsid w:val="00FA4FDD"/>
    <w:rsid w:val="00FA5712"/>
    <w:rsid w:val="00FA5811"/>
    <w:rsid w:val="00FA58C0"/>
    <w:rsid w:val="00FA5C67"/>
    <w:rsid w:val="00FA5E63"/>
    <w:rsid w:val="00FA5F21"/>
    <w:rsid w:val="00FA6040"/>
    <w:rsid w:val="00FA615F"/>
    <w:rsid w:val="00FA631C"/>
    <w:rsid w:val="00FA6325"/>
    <w:rsid w:val="00FA6367"/>
    <w:rsid w:val="00FA639D"/>
    <w:rsid w:val="00FA63A9"/>
    <w:rsid w:val="00FA63CE"/>
    <w:rsid w:val="00FA64B7"/>
    <w:rsid w:val="00FA663C"/>
    <w:rsid w:val="00FA6742"/>
    <w:rsid w:val="00FA685E"/>
    <w:rsid w:val="00FA68F4"/>
    <w:rsid w:val="00FA6917"/>
    <w:rsid w:val="00FA6A9E"/>
    <w:rsid w:val="00FA6B5A"/>
    <w:rsid w:val="00FA6C35"/>
    <w:rsid w:val="00FA6D9F"/>
    <w:rsid w:val="00FA6F43"/>
    <w:rsid w:val="00FA708B"/>
    <w:rsid w:val="00FA70D1"/>
    <w:rsid w:val="00FA7159"/>
    <w:rsid w:val="00FA7207"/>
    <w:rsid w:val="00FA7829"/>
    <w:rsid w:val="00FA7BA2"/>
    <w:rsid w:val="00FA7BF2"/>
    <w:rsid w:val="00FA7F6E"/>
    <w:rsid w:val="00FB024C"/>
    <w:rsid w:val="00FB028C"/>
    <w:rsid w:val="00FB02D1"/>
    <w:rsid w:val="00FB03FC"/>
    <w:rsid w:val="00FB0447"/>
    <w:rsid w:val="00FB05C1"/>
    <w:rsid w:val="00FB0677"/>
    <w:rsid w:val="00FB08C8"/>
    <w:rsid w:val="00FB098B"/>
    <w:rsid w:val="00FB0A57"/>
    <w:rsid w:val="00FB0A6E"/>
    <w:rsid w:val="00FB0AEC"/>
    <w:rsid w:val="00FB0DB0"/>
    <w:rsid w:val="00FB0E23"/>
    <w:rsid w:val="00FB0F05"/>
    <w:rsid w:val="00FB0F23"/>
    <w:rsid w:val="00FB0FA0"/>
    <w:rsid w:val="00FB10FF"/>
    <w:rsid w:val="00FB1489"/>
    <w:rsid w:val="00FB1570"/>
    <w:rsid w:val="00FB16E1"/>
    <w:rsid w:val="00FB173D"/>
    <w:rsid w:val="00FB1828"/>
    <w:rsid w:val="00FB1833"/>
    <w:rsid w:val="00FB1853"/>
    <w:rsid w:val="00FB1A8A"/>
    <w:rsid w:val="00FB1BC1"/>
    <w:rsid w:val="00FB1EBD"/>
    <w:rsid w:val="00FB2023"/>
    <w:rsid w:val="00FB27E4"/>
    <w:rsid w:val="00FB2D5E"/>
    <w:rsid w:val="00FB2D8F"/>
    <w:rsid w:val="00FB2E8C"/>
    <w:rsid w:val="00FB30FD"/>
    <w:rsid w:val="00FB3157"/>
    <w:rsid w:val="00FB347B"/>
    <w:rsid w:val="00FB349C"/>
    <w:rsid w:val="00FB35A6"/>
    <w:rsid w:val="00FB38A1"/>
    <w:rsid w:val="00FB38B3"/>
    <w:rsid w:val="00FB3B78"/>
    <w:rsid w:val="00FB3B99"/>
    <w:rsid w:val="00FB3BE2"/>
    <w:rsid w:val="00FB3D6E"/>
    <w:rsid w:val="00FB3EB8"/>
    <w:rsid w:val="00FB3F9F"/>
    <w:rsid w:val="00FB409E"/>
    <w:rsid w:val="00FB4213"/>
    <w:rsid w:val="00FB42CD"/>
    <w:rsid w:val="00FB43B4"/>
    <w:rsid w:val="00FB474B"/>
    <w:rsid w:val="00FB4908"/>
    <w:rsid w:val="00FB4A24"/>
    <w:rsid w:val="00FB4B5D"/>
    <w:rsid w:val="00FB4DF4"/>
    <w:rsid w:val="00FB4E06"/>
    <w:rsid w:val="00FB4E3A"/>
    <w:rsid w:val="00FB5233"/>
    <w:rsid w:val="00FB52AD"/>
    <w:rsid w:val="00FB5518"/>
    <w:rsid w:val="00FB58A8"/>
    <w:rsid w:val="00FB5FCB"/>
    <w:rsid w:val="00FB60E2"/>
    <w:rsid w:val="00FB60F0"/>
    <w:rsid w:val="00FB6181"/>
    <w:rsid w:val="00FB61D3"/>
    <w:rsid w:val="00FB62CD"/>
    <w:rsid w:val="00FB6306"/>
    <w:rsid w:val="00FB6628"/>
    <w:rsid w:val="00FB6BA0"/>
    <w:rsid w:val="00FB6DD4"/>
    <w:rsid w:val="00FB6FE4"/>
    <w:rsid w:val="00FB7071"/>
    <w:rsid w:val="00FB70C0"/>
    <w:rsid w:val="00FB70D0"/>
    <w:rsid w:val="00FB71C5"/>
    <w:rsid w:val="00FB7865"/>
    <w:rsid w:val="00FB796D"/>
    <w:rsid w:val="00FB7BDE"/>
    <w:rsid w:val="00FB7C44"/>
    <w:rsid w:val="00FB7D90"/>
    <w:rsid w:val="00FB7DC5"/>
    <w:rsid w:val="00FB7DEB"/>
    <w:rsid w:val="00FB7DF4"/>
    <w:rsid w:val="00FB7E0D"/>
    <w:rsid w:val="00FB7F1E"/>
    <w:rsid w:val="00FC032C"/>
    <w:rsid w:val="00FC0376"/>
    <w:rsid w:val="00FC03EA"/>
    <w:rsid w:val="00FC042B"/>
    <w:rsid w:val="00FC0520"/>
    <w:rsid w:val="00FC09CB"/>
    <w:rsid w:val="00FC0A75"/>
    <w:rsid w:val="00FC0F68"/>
    <w:rsid w:val="00FC1350"/>
    <w:rsid w:val="00FC1A70"/>
    <w:rsid w:val="00FC1AAD"/>
    <w:rsid w:val="00FC1B18"/>
    <w:rsid w:val="00FC1B30"/>
    <w:rsid w:val="00FC1B92"/>
    <w:rsid w:val="00FC225B"/>
    <w:rsid w:val="00FC2915"/>
    <w:rsid w:val="00FC291B"/>
    <w:rsid w:val="00FC2A4A"/>
    <w:rsid w:val="00FC2A59"/>
    <w:rsid w:val="00FC2AD7"/>
    <w:rsid w:val="00FC2D61"/>
    <w:rsid w:val="00FC2F50"/>
    <w:rsid w:val="00FC3188"/>
    <w:rsid w:val="00FC31B8"/>
    <w:rsid w:val="00FC31F5"/>
    <w:rsid w:val="00FC32DC"/>
    <w:rsid w:val="00FC332B"/>
    <w:rsid w:val="00FC33B9"/>
    <w:rsid w:val="00FC3453"/>
    <w:rsid w:val="00FC34FF"/>
    <w:rsid w:val="00FC4165"/>
    <w:rsid w:val="00FC4680"/>
    <w:rsid w:val="00FC473E"/>
    <w:rsid w:val="00FC4787"/>
    <w:rsid w:val="00FC47F2"/>
    <w:rsid w:val="00FC4D29"/>
    <w:rsid w:val="00FC5080"/>
    <w:rsid w:val="00FC51A4"/>
    <w:rsid w:val="00FC52C8"/>
    <w:rsid w:val="00FC5347"/>
    <w:rsid w:val="00FC5768"/>
    <w:rsid w:val="00FC58CF"/>
    <w:rsid w:val="00FC5C80"/>
    <w:rsid w:val="00FC60E6"/>
    <w:rsid w:val="00FC6223"/>
    <w:rsid w:val="00FC62AF"/>
    <w:rsid w:val="00FC62D3"/>
    <w:rsid w:val="00FC6766"/>
    <w:rsid w:val="00FC6991"/>
    <w:rsid w:val="00FC6B18"/>
    <w:rsid w:val="00FC6E4F"/>
    <w:rsid w:val="00FC73FF"/>
    <w:rsid w:val="00FC74B3"/>
    <w:rsid w:val="00FC75D9"/>
    <w:rsid w:val="00FC7943"/>
    <w:rsid w:val="00FC7C22"/>
    <w:rsid w:val="00FD0009"/>
    <w:rsid w:val="00FD03D8"/>
    <w:rsid w:val="00FD0586"/>
    <w:rsid w:val="00FD0754"/>
    <w:rsid w:val="00FD0BD7"/>
    <w:rsid w:val="00FD0CC5"/>
    <w:rsid w:val="00FD0E84"/>
    <w:rsid w:val="00FD1020"/>
    <w:rsid w:val="00FD12A2"/>
    <w:rsid w:val="00FD12F4"/>
    <w:rsid w:val="00FD1477"/>
    <w:rsid w:val="00FD1653"/>
    <w:rsid w:val="00FD16B3"/>
    <w:rsid w:val="00FD1788"/>
    <w:rsid w:val="00FD17B1"/>
    <w:rsid w:val="00FD1AB6"/>
    <w:rsid w:val="00FD1C47"/>
    <w:rsid w:val="00FD1CA1"/>
    <w:rsid w:val="00FD1D78"/>
    <w:rsid w:val="00FD1D85"/>
    <w:rsid w:val="00FD1DC0"/>
    <w:rsid w:val="00FD1EA4"/>
    <w:rsid w:val="00FD20C3"/>
    <w:rsid w:val="00FD20EB"/>
    <w:rsid w:val="00FD21D8"/>
    <w:rsid w:val="00FD22D4"/>
    <w:rsid w:val="00FD24A1"/>
    <w:rsid w:val="00FD264D"/>
    <w:rsid w:val="00FD2A7B"/>
    <w:rsid w:val="00FD2C1A"/>
    <w:rsid w:val="00FD2C7F"/>
    <w:rsid w:val="00FD2CA8"/>
    <w:rsid w:val="00FD2CC0"/>
    <w:rsid w:val="00FD2DCC"/>
    <w:rsid w:val="00FD2ED9"/>
    <w:rsid w:val="00FD2FF9"/>
    <w:rsid w:val="00FD316B"/>
    <w:rsid w:val="00FD342F"/>
    <w:rsid w:val="00FD37B3"/>
    <w:rsid w:val="00FD39D9"/>
    <w:rsid w:val="00FD3B81"/>
    <w:rsid w:val="00FD3E17"/>
    <w:rsid w:val="00FD4075"/>
    <w:rsid w:val="00FD40DF"/>
    <w:rsid w:val="00FD41D2"/>
    <w:rsid w:val="00FD446E"/>
    <w:rsid w:val="00FD46CD"/>
    <w:rsid w:val="00FD48D5"/>
    <w:rsid w:val="00FD498A"/>
    <w:rsid w:val="00FD49DD"/>
    <w:rsid w:val="00FD4B9D"/>
    <w:rsid w:val="00FD4E87"/>
    <w:rsid w:val="00FD4E92"/>
    <w:rsid w:val="00FD51CC"/>
    <w:rsid w:val="00FD5292"/>
    <w:rsid w:val="00FD52F3"/>
    <w:rsid w:val="00FD583F"/>
    <w:rsid w:val="00FD5A52"/>
    <w:rsid w:val="00FD5B4B"/>
    <w:rsid w:val="00FD5E28"/>
    <w:rsid w:val="00FD5F0D"/>
    <w:rsid w:val="00FD5F13"/>
    <w:rsid w:val="00FD5F75"/>
    <w:rsid w:val="00FD61F0"/>
    <w:rsid w:val="00FD6387"/>
    <w:rsid w:val="00FD63BB"/>
    <w:rsid w:val="00FD643C"/>
    <w:rsid w:val="00FD667A"/>
    <w:rsid w:val="00FD6683"/>
    <w:rsid w:val="00FD68D5"/>
    <w:rsid w:val="00FD6AAC"/>
    <w:rsid w:val="00FD6B75"/>
    <w:rsid w:val="00FD73BD"/>
    <w:rsid w:val="00FD750F"/>
    <w:rsid w:val="00FD76B2"/>
    <w:rsid w:val="00FD78DA"/>
    <w:rsid w:val="00FD7CB2"/>
    <w:rsid w:val="00FD7CEF"/>
    <w:rsid w:val="00FD7D5E"/>
    <w:rsid w:val="00FD7E17"/>
    <w:rsid w:val="00FD7E85"/>
    <w:rsid w:val="00FE0064"/>
    <w:rsid w:val="00FE01DA"/>
    <w:rsid w:val="00FE0238"/>
    <w:rsid w:val="00FE0262"/>
    <w:rsid w:val="00FE0264"/>
    <w:rsid w:val="00FE03A0"/>
    <w:rsid w:val="00FE064A"/>
    <w:rsid w:val="00FE0664"/>
    <w:rsid w:val="00FE07C0"/>
    <w:rsid w:val="00FE085A"/>
    <w:rsid w:val="00FE095A"/>
    <w:rsid w:val="00FE09B9"/>
    <w:rsid w:val="00FE0FD5"/>
    <w:rsid w:val="00FE0FF2"/>
    <w:rsid w:val="00FE116C"/>
    <w:rsid w:val="00FE1206"/>
    <w:rsid w:val="00FE1213"/>
    <w:rsid w:val="00FE1347"/>
    <w:rsid w:val="00FE19E1"/>
    <w:rsid w:val="00FE1C59"/>
    <w:rsid w:val="00FE1CED"/>
    <w:rsid w:val="00FE1D6D"/>
    <w:rsid w:val="00FE1DAA"/>
    <w:rsid w:val="00FE1DC9"/>
    <w:rsid w:val="00FE2054"/>
    <w:rsid w:val="00FE2065"/>
    <w:rsid w:val="00FE225B"/>
    <w:rsid w:val="00FE24B0"/>
    <w:rsid w:val="00FE24C1"/>
    <w:rsid w:val="00FE24E8"/>
    <w:rsid w:val="00FE2662"/>
    <w:rsid w:val="00FE2787"/>
    <w:rsid w:val="00FE280D"/>
    <w:rsid w:val="00FE295B"/>
    <w:rsid w:val="00FE2B00"/>
    <w:rsid w:val="00FE2B28"/>
    <w:rsid w:val="00FE2D0D"/>
    <w:rsid w:val="00FE2EA4"/>
    <w:rsid w:val="00FE33A1"/>
    <w:rsid w:val="00FE3594"/>
    <w:rsid w:val="00FE39A8"/>
    <w:rsid w:val="00FE3E2E"/>
    <w:rsid w:val="00FE4012"/>
    <w:rsid w:val="00FE403B"/>
    <w:rsid w:val="00FE44B3"/>
    <w:rsid w:val="00FE4759"/>
    <w:rsid w:val="00FE4966"/>
    <w:rsid w:val="00FE49EE"/>
    <w:rsid w:val="00FE4A1A"/>
    <w:rsid w:val="00FE4AE7"/>
    <w:rsid w:val="00FE4DB3"/>
    <w:rsid w:val="00FE4EC8"/>
    <w:rsid w:val="00FE4F9F"/>
    <w:rsid w:val="00FE5277"/>
    <w:rsid w:val="00FE532E"/>
    <w:rsid w:val="00FE544E"/>
    <w:rsid w:val="00FE55EE"/>
    <w:rsid w:val="00FE5600"/>
    <w:rsid w:val="00FE56D5"/>
    <w:rsid w:val="00FE5857"/>
    <w:rsid w:val="00FE58F5"/>
    <w:rsid w:val="00FE598A"/>
    <w:rsid w:val="00FE5A39"/>
    <w:rsid w:val="00FE5D53"/>
    <w:rsid w:val="00FE5D65"/>
    <w:rsid w:val="00FE5E7A"/>
    <w:rsid w:val="00FE60C8"/>
    <w:rsid w:val="00FE61CC"/>
    <w:rsid w:val="00FE61EE"/>
    <w:rsid w:val="00FE62FB"/>
    <w:rsid w:val="00FE6359"/>
    <w:rsid w:val="00FE63C8"/>
    <w:rsid w:val="00FE6429"/>
    <w:rsid w:val="00FE682D"/>
    <w:rsid w:val="00FE68CF"/>
    <w:rsid w:val="00FE6A2C"/>
    <w:rsid w:val="00FE6AAC"/>
    <w:rsid w:val="00FE6CE3"/>
    <w:rsid w:val="00FE6D13"/>
    <w:rsid w:val="00FE6DFF"/>
    <w:rsid w:val="00FE6E6E"/>
    <w:rsid w:val="00FE6F98"/>
    <w:rsid w:val="00FE7258"/>
    <w:rsid w:val="00FE7343"/>
    <w:rsid w:val="00FE7376"/>
    <w:rsid w:val="00FE7491"/>
    <w:rsid w:val="00FE7649"/>
    <w:rsid w:val="00FE7928"/>
    <w:rsid w:val="00FE799C"/>
    <w:rsid w:val="00FE7A66"/>
    <w:rsid w:val="00FE7B91"/>
    <w:rsid w:val="00FE7C53"/>
    <w:rsid w:val="00FE7FA6"/>
    <w:rsid w:val="00FF00DA"/>
    <w:rsid w:val="00FF03AB"/>
    <w:rsid w:val="00FF041E"/>
    <w:rsid w:val="00FF04B6"/>
    <w:rsid w:val="00FF05BA"/>
    <w:rsid w:val="00FF07E1"/>
    <w:rsid w:val="00FF0967"/>
    <w:rsid w:val="00FF0E75"/>
    <w:rsid w:val="00FF0EA7"/>
    <w:rsid w:val="00FF0F27"/>
    <w:rsid w:val="00FF10C0"/>
    <w:rsid w:val="00FF10ED"/>
    <w:rsid w:val="00FF1182"/>
    <w:rsid w:val="00FF11B3"/>
    <w:rsid w:val="00FF132C"/>
    <w:rsid w:val="00FF13C5"/>
    <w:rsid w:val="00FF1963"/>
    <w:rsid w:val="00FF1BA1"/>
    <w:rsid w:val="00FF1D28"/>
    <w:rsid w:val="00FF2029"/>
    <w:rsid w:val="00FF2111"/>
    <w:rsid w:val="00FF26A4"/>
    <w:rsid w:val="00FF26C8"/>
    <w:rsid w:val="00FF26EC"/>
    <w:rsid w:val="00FF2851"/>
    <w:rsid w:val="00FF2C0F"/>
    <w:rsid w:val="00FF2ECE"/>
    <w:rsid w:val="00FF327C"/>
    <w:rsid w:val="00FF32F9"/>
    <w:rsid w:val="00FF3300"/>
    <w:rsid w:val="00FF34E5"/>
    <w:rsid w:val="00FF3970"/>
    <w:rsid w:val="00FF3AC6"/>
    <w:rsid w:val="00FF3ADA"/>
    <w:rsid w:val="00FF3D5C"/>
    <w:rsid w:val="00FF3DB2"/>
    <w:rsid w:val="00FF3DCB"/>
    <w:rsid w:val="00FF41BF"/>
    <w:rsid w:val="00FF41D9"/>
    <w:rsid w:val="00FF42BA"/>
    <w:rsid w:val="00FF43CD"/>
    <w:rsid w:val="00FF444C"/>
    <w:rsid w:val="00FF4763"/>
    <w:rsid w:val="00FF47A7"/>
    <w:rsid w:val="00FF4A49"/>
    <w:rsid w:val="00FF4B4C"/>
    <w:rsid w:val="00FF4C56"/>
    <w:rsid w:val="00FF4F05"/>
    <w:rsid w:val="00FF4F23"/>
    <w:rsid w:val="00FF4FC9"/>
    <w:rsid w:val="00FF5360"/>
    <w:rsid w:val="00FF5485"/>
    <w:rsid w:val="00FF54EC"/>
    <w:rsid w:val="00FF5659"/>
    <w:rsid w:val="00FF56A6"/>
    <w:rsid w:val="00FF5951"/>
    <w:rsid w:val="00FF5AA5"/>
    <w:rsid w:val="00FF6100"/>
    <w:rsid w:val="00FF624B"/>
    <w:rsid w:val="00FF6282"/>
    <w:rsid w:val="00FF66D9"/>
    <w:rsid w:val="00FF673B"/>
    <w:rsid w:val="00FF68CF"/>
    <w:rsid w:val="00FF6D29"/>
    <w:rsid w:val="00FF6FAA"/>
    <w:rsid w:val="00FF7002"/>
    <w:rsid w:val="00FF71D5"/>
    <w:rsid w:val="00FF728F"/>
    <w:rsid w:val="00FF7639"/>
    <w:rsid w:val="00FF7654"/>
    <w:rsid w:val="00FF78D9"/>
    <w:rsid w:val="00FF7910"/>
    <w:rsid w:val="00FF792D"/>
    <w:rsid w:val="00FF796A"/>
    <w:rsid w:val="00FF7A39"/>
    <w:rsid w:val="00FF7B84"/>
    <w:rsid w:val="00FF7CA3"/>
    <w:rsid w:val="00FF7DEC"/>
    <w:rsid w:val="01085861"/>
    <w:rsid w:val="010E2231"/>
    <w:rsid w:val="010E67E2"/>
    <w:rsid w:val="0117DABC"/>
    <w:rsid w:val="0129AEA0"/>
    <w:rsid w:val="0137A93C"/>
    <w:rsid w:val="013DC21B"/>
    <w:rsid w:val="01534889"/>
    <w:rsid w:val="015D30C0"/>
    <w:rsid w:val="016B4C63"/>
    <w:rsid w:val="0171F50C"/>
    <w:rsid w:val="017A1FE6"/>
    <w:rsid w:val="01828821"/>
    <w:rsid w:val="018C97E4"/>
    <w:rsid w:val="0191AEC7"/>
    <w:rsid w:val="0192F295"/>
    <w:rsid w:val="01A5EA07"/>
    <w:rsid w:val="01A9AF43"/>
    <w:rsid w:val="01AEC80E"/>
    <w:rsid w:val="01B88C5A"/>
    <w:rsid w:val="01BB56C7"/>
    <w:rsid w:val="01C2CCF4"/>
    <w:rsid w:val="01CD053B"/>
    <w:rsid w:val="01D06E7D"/>
    <w:rsid w:val="01DD9EE6"/>
    <w:rsid w:val="01DDE53C"/>
    <w:rsid w:val="01EB4524"/>
    <w:rsid w:val="01F5ECAB"/>
    <w:rsid w:val="020DD53C"/>
    <w:rsid w:val="02344404"/>
    <w:rsid w:val="023D655E"/>
    <w:rsid w:val="02548B05"/>
    <w:rsid w:val="025D959C"/>
    <w:rsid w:val="0267476F"/>
    <w:rsid w:val="02688075"/>
    <w:rsid w:val="026E6A01"/>
    <w:rsid w:val="02753410"/>
    <w:rsid w:val="0276D70E"/>
    <w:rsid w:val="02799211"/>
    <w:rsid w:val="02CF2D94"/>
    <w:rsid w:val="02D30746"/>
    <w:rsid w:val="02F2EAEB"/>
    <w:rsid w:val="030A9282"/>
    <w:rsid w:val="03239D69"/>
    <w:rsid w:val="0323CC35"/>
    <w:rsid w:val="032A204E"/>
    <w:rsid w:val="0331ACD5"/>
    <w:rsid w:val="033B4D52"/>
    <w:rsid w:val="03400AF7"/>
    <w:rsid w:val="03661CD4"/>
    <w:rsid w:val="037EAD33"/>
    <w:rsid w:val="03803831"/>
    <w:rsid w:val="0380F5CC"/>
    <w:rsid w:val="0389C33B"/>
    <w:rsid w:val="039945E1"/>
    <w:rsid w:val="03B44660"/>
    <w:rsid w:val="03BD5B95"/>
    <w:rsid w:val="03D6D6C0"/>
    <w:rsid w:val="03EC16D8"/>
    <w:rsid w:val="03FFB622"/>
    <w:rsid w:val="040496C5"/>
    <w:rsid w:val="040BDA9D"/>
    <w:rsid w:val="042F260B"/>
    <w:rsid w:val="042FEE79"/>
    <w:rsid w:val="0443ACA9"/>
    <w:rsid w:val="04461B6D"/>
    <w:rsid w:val="044B532A"/>
    <w:rsid w:val="044E4544"/>
    <w:rsid w:val="0450DF97"/>
    <w:rsid w:val="0462D144"/>
    <w:rsid w:val="04637775"/>
    <w:rsid w:val="0463A859"/>
    <w:rsid w:val="047DF8A2"/>
    <w:rsid w:val="04872461"/>
    <w:rsid w:val="048A604D"/>
    <w:rsid w:val="04A29603"/>
    <w:rsid w:val="04A8B24E"/>
    <w:rsid w:val="04B45D80"/>
    <w:rsid w:val="04B51550"/>
    <w:rsid w:val="04B67C93"/>
    <w:rsid w:val="04B9E64C"/>
    <w:rsid w:val="04BF878B"/>
    <w:rsid w:val="04BFB84F"/>
    <w:rsid w:val="04CE7946"/>
    <w:rsid w:val="04DAB5D0"/>
    <w:rsid w:val="04F27348"/>
    <w:rsid w:val="050BBD7E"/>
    <w:rsid w:val="05196FF0"/>
    <w:rsid w:val="051EA6AD"/>
    <w:rsid w:val="0535AD38"/>
    <w:rsid w:val="054B885E"/>
    <w:rsid w:val="05506A0D"/>
    <w:rsid w:val="055216DB"/>
    <w:rsid w:val="055E5BF2"/>
    <w:rsid w:val="056637A6"/>
    <w:rsid w:val="0572954F"/>
    <w:rsid w:val="05762254"/>
    <w:rsid w:val="0586B4B7"/>
    <w:rsid w:val="0587BE1C"/>
    <w:rsid w:val="058ADFFD"/>
    <w:rsid w:val="058FA6F5"/>
    <w:rsid w:val="059A30F4"/>
    <w:rsid w:val="05B3CE53"/>
    <w:rsid w:val="05BC1E4A"/>
    <w:rsid w:val="05C3E573"/>
    <w:rsid w:val="05C4234F"/>
    <w:rsid w:val="05C6D173"/>
    <w:rsid w:val="05C995AF"/>
    <w:rsid w:val="05DEC8B1"/>
    <w:rsid w:val="05E6DCDF"/>
    <w:rsid w:val="06058432"/>
    <w:rsid w:val="0616E7B6"/>
    <w:rsid w:val="0620B4AB"/>
    <w:rsid w:val="0621B125"/>
    <w:rsid w:val="06368AA0"/>
    <w:rsid w:val="063D9113"/>
    <w:rsid w:val="06422CE8"/>
    <w:rsid w:val="0643E252"/>
    <w:rsid w:val="06500458"/>
    <w:rsid w:val="067B4B35"/>
    <w:rsid w:val="068BC109"/>
    <w:rsid w:val="06A34A1D"/>
    <w:rsid w:val="06B284BB"/>
    <w:rsid w:val="06BE2D0E"/>
    <w:rsid w:val="06C49723"/>
    <w:rsid w:val="06D2EFD3"/>
    <w:rsid w:val="06E1F616"/>
    <w:rsid w:val="06EA42E8"/>
    <w:rsid w:val="06ED4F82"/>
    <w:rsid w:val="06F0FC13"/>
    <w:rsid w:val="070D373F"/>
    <w:rsid w:val="072519D7"/>
    <w:rsid w:val="0738ACD2"/>
    <w:rsid w:val="073A5668"/>
    <w:rsid w:val="07408C6F"/>
    <w:rsid w:val="0748486E"/>
    <w:rsid w:val="078EC370"/>
    <w:rsid w:val="0797C00E"/>
    <w:rsid w:val="07A01116"/>
    <w:rsid w:val="07B34EE8"/>
    <w:rsid w:val="07C3FE1F"/>
    <w:rsid w:val="07D71A63"/>
    <w:rsid w:val="07D997B7"/>
    <w:rsid w:val="07E4B28B"/>
    <w:rsid w:val="07FB86E2"/>
    <w:rsid w:val="08355345"/>
    <w:rsid w:val="083BEEBD"/>
    <w:rsid w:val="084ADC1A"/>
    <w:rsid w:val="08556605"/>
    <w:rsid w:val="085D2880"/>
    <w:rsid w:val="0871D8E5"/>
    <w:rsid w:val="0888444A"/>
    <w:rsid w:val="088B5F38"/>
    <w:rsid w:val="0892B664"/>
    <w:rsid w:val="0899E387"/>
    <w:rsid w:val="08BA7EB3"/>
    <w:rsid w:val="08E098C6"/>
    <w:rsid w:val="08E0B9C1"/>
    <w:rsid w:val="08F0DE83"/>
    <w:rsid w:val="08FD6CEA"/>
    <w:rsid w:val="090C49A0"/>
    <w:rsid w:val="090CFC76"/>
    <w:rsid w:val="092B9EC0"/>
    <w:rsid w:val="092FA870"/>
    <w:rsid w:val="09317867"/>
    <w:rsid w:val="09380D26"/>
    <w:rsid w:val="09467F84"/>
    <w:rsid w:val="09569ACD"/>
    <w:rsid w:val="09593FE2"/>
    <w:rsid w:val="095DD6A8"/>
    <w:rsid w:val="09701588"/>
    <w:rsid w:val="097FCD19"/>
    <w:rsid w:val="0983B608"/>
    <w:rsid w:val="098A56E5"/>
    <w:rsid w:val="0999FEEC"/>
    <w:rsid w:val="09A63468"/>
    <w:rsid w:val="09ABF88E"/>
    <w:rsid w:val="09B2687C"/>
    <w:rsid w:val="09C4CF2A"/>
    <w:rsid w:val="09E90715"/>
    <w:rsid w:val="09E9E5B8"/>
    <w:rsid w:val="09F44A5F"/>
    <w:rsid w:val="0A000F7C"/>
    <w:rsid w:val="0A0081B8"/>
    <w:rsid w:val="0A022EAE"/>
    <w:rsid w:val="0A02C6D5"/>
    <w:rsid w:val="0A06BCB2"/>
    <w:rsid w:val="0A0BA149"/>
    <w:rsid w:val="0A272A05"/>
    <w:rsid w:val="0A2FEE03"/>
    <w:rsid w:val="0A419AD1"/>
    <w:rsid w:val="0A4A50BB"/>
    <w:rsid w:val="0A51E5A4"/>
    <w:rsid w:val="0A51F788"/>
    <w:rsid w:val="0A5639A0"/>
    <w:rsid w:val="0A631AE2"/>
    <w:rsid w:val="0A6F09BC"/>
    <w:rsid w:val="0AAB5EEF"/>
    <w:rsid w:val="0ABB08B4"/>
    <w:rsid w:val="0ABCB448"/>
    <w:rsid w:val="0AC43D8B"/>
    <w:rsid w:val="0ADA2145"/>
    <w:rsid w:val="0AE5887C"/>
    <w:rsid w:val="0AEE5D66"/>
    <w:rsid w:val="0B095461"/>
    <w:rsid w:val="0B19A7FA"/>
    <w:rsid w:val="0B1A91E4"/>
    <w:rsid w:val="0B2A3777"/>
    <w:rsid w:val="0B5E06AB"/>
    <w:rsid w:val="0B63487E"/>
    <w:rsid w:val="0B6B08D7"/>
    <w:rsid w:val="0B71442A"/>
    <w:rsid w:val="0B7321F9"/>
    <w:rsid w:val="0B77A2F3"/>
    <w:rsid w:val="0B7CD5A5"/>
    <w:rsid w:val="0B87B9E7"/>
    <w:rsid w:val="0B8F1564"/>
    <w:rsid w:val="0B8F4ECC"/>
    <w:rsid w:val="0B9457FD"/>
    <w:rsid w:val="0B9A13F5"/>
    <w:rsid w:val="0BA11CA2"/>
    <w:rsid w:val="0BA646C6"/>
    <w:rsid w:val="0BB246F1"/>
    <w:rsid w:val="0BBC0F7B"/>
    <w:rsid w:val="0BDA6136"/>
    <w:rsid w:val="0BDCEF6B"/>
    <w:rsid w:val="0BDEF924"/>
    <w:rsid w:val="0BECC10F"/>
    <w:rsid w:val="0BF025BC"/>
    <w:rsid w:val="0BF80F25"/>
    <w:rsid w:val="0BF9EF01"/>
    <w:rsid w:val="0C0C4EBC"/>
    <w:rsid w:val="0C17C1B7"/>
    <w:rsid w:val="0C1C03D9"/>
    <w:rsid w:val="0C2C5400"/>
    <w:rsid w:val="0C361512"/>
    <w:rsid w:val="0C55886D"/>
    <w:rsid w:val="0C5F45CF"/>
    <w:rsid w:val="0C6C76E0"/>
    <w:rsid w:val="0C7DEEE2"/>
    <w:rsid w:val="0C8356F8"/>
    <w:rsid w:val="0C869E27"/>
    <w:rsid w:val="0C8FB796"/>
    <w:rsid w:val="0C93E4EE"/>
    <w:rsid w:val="0C96E42A"/>
    <w:rsid w:val="0C9A4AF1"/>
    <w:rsid w:val="0CAA1ACB"/>
    <w:rsid w:val="0CD4A651"/>
    <w:rsid w:val="0CD65DF6"/>
    <w:rsid w:val="0CFE256C"/>
    <w:rsid w:val="0D0134D6"/>
    <w:rsid w:val="0D122CA1"/>
    <w:rsid w:val="0D217226"/>
    <w:rsid w:val="0D2AE2D9"/>
    <w:rsid w:val="0D2BEB21"/>
    <w:rsid w:val="0D379D9C"/>
    <w:rsid w:val="0D3D3B83"/>
    <w:rsid w:val="0D4E40D0"/>
    <w:rsid w:val="0D5A9B08"/>
    <w:rsid w:val="0D75E426"/>
    <w:rsid w:val="0D9EB9DE"/>
    <w:rsid w:val="0DA67801"/>
    <w:rsid w:val="0DAD61D9"/>
    <w:rsid w:val="0DC25E82"/>
    <w:rsid w:val="0DCBFDB3"/>
    <w:rsid w:val="0DCE7D55"/>
    <w:rsid w:val="0DFADCA7"/>
    <w:rsid w:val="0E164020"/>
    <w:rsid w:val="0E203D11"/>
    <w:rsid w:val="0E239BA4"/>
    <w:rsid w:val="0E341349"/>
    <w:rsid w:val="0E348F51"/>
    <w:rsid w:val="0E3F3CD2"/>
    <w:rsid w:val="0E47050B"/>
    <w:rsid w:val="0E55AB02"/>
    <w:rsid w:val="0E56157B"/>
    <w:rsid w:val="0E667D39"/>
    <w:rsid w:val="0E6A1290"/>
    <w:rsid w:val="0E833712"/>
    <w:rsid w:val="0E839CD5"/>
    <w:rsid w:val="0E87F1EE"/>
    <w:rsid w:val="0E8D2DE8"/>
    <w:rsid w:val="0E92C9E3"/>
    <w:rsid w:val="0E9992DE"/>
    <w:rsid w:val="0EC810B0"/>
    <w:rsid w:val="0ECBF137"/>
    <w:rsid w:val="0ED677F7"/>
    <w:rsid w:val="0EDFE05E"/>
    <w:rsid w:val="0EEB21D5"/>
    <w:rsid w:val="0EEEA652"/>
    <w:rsid w:val="0EFEE50A"/>
    <w:rsid w:val="0F0357F6"/>
    <w:rsid w:val="0F0F484F"/>
    <w:rsid w:val="0F4E567B"/>
    <w:rsid w:val="0F513427"/>
    <w:rsid w:val="0F58B7DE"/>
    <w:rsid w:val="0F612BA7"/>
    <w:rsid w:val="0F685A2A"/>
    <w:rsid w:val="0F6FBB27"/>
    <w:rsid w:val="0F7F0E51"/>
    <w:rsid w:val="0F95CEE1"/>
    <w:rsid w:val="0F974A5F"/>
    <w:rsid w:val="0F9FA9A6"/>
    <w:rsid w:val="0FC50C6F"/>
    <w:rsid w:val="0FD8A5D1"/>
    <w:rsid w:val="0FE5CCAE"/>
    <w:rsid w:val="0FE7BB70"/>
    <w:rsid w:val="1007CEB0"/>
    <w:rsid w:val="1023FBE6"/>
    <w:rsid w:val="10247248"/>
    <w:rsid w:val="10260982"/>
    <w:rsid w:val="102BC50B"/>
    <w:rsid w:val="103B9FB2"/>
    <w:rsid w:val="10541700"/>
    <w:rsid w:val="105CF71D"/>
    <w:rsid w:val="10644D59"/>
    <w:rsid w:val="1068D9B8"/>
    <w:rsid w:val="106B2F08"/>
    <w:rsid w:val="1075445E"/>
    <w:rsid w:val="10952D8A"/>
    <w:rsid w:val="1096AE1A"/>
    <w:rsid w:val="10971189"/>
    <w:rsid w:val="10A30104"/>
    <w:rsid w:val="10A3019E"/>
    <w:rsid w:val="10C11F9A"/>
    <w:rsid w:val="10C125A7"/>
    <w:rsid w:val="110E480B"/>
    <w:rsid w:val="1113054E"/>
    <w:rsid w:val="11133004"/>
    <w:rsid w:val="11156BD1"/>
    <w:rsid w:val="113A6B13"/>
    <w:rsid w:val="113E6CBB"/>
    <w:rsid w:val="11480F92"/>
    <w:rsid w:val="11587FC8"/>
    <w:rsid w:val="117274AE"/>
    <w:rsid w:val="1180D63C"/>
    <w:rsid w:val="1190813B"/>
    <w:rsid w:val="119B652D"/>
    <w:rsid w:val="119CDEE0"/>
    <w:rsid w:val="11ABF966"/>
    <w:rsid w:val="11AE7CE2"/>
    <w:rsid w:val="11B4811D"/>
    <w:rsid w:val="11D95BE3"/>
    <w:rsid w:val="11EBD989"/>
    <w:rsid w:val="11F4AD87"/>
    <w:rsid w:val="12083FA2"/>
    <w:rsid w:val="1210E594"/>
    <w:rsid w:val="1221A4A1"/>
    <w:rsid w:val="123DAED6"/>
    <w:rsid w:val="12405EFC"/>
    <w:rsid w:val="124372A6"/>
    <w:rsid w:val="1245316F"/>
    <w:rsid w:val="124D4665"/>
    <w:rsid w:val="124FF6DF"/>
    <w:rsid w:val="1257B3AE"/>
    <w:rsid w:val="126E5B3F"/>
    <w:rsid w:val="1271CE6B"/>
    <w:rsid w:val="12743C25"/>
    <w:rsid w:val="1292C0B9"/>
    <w:rsid w:val="129826AA"/>
    <w:rsid w:val="12A0ED83"/>
    <w:rsid w:val="12A7690F"/>
    <w:rsid w:val="12AAA25B"/>
    <w:rsid w:val="12B6777E"/>
    <w:rsid w:val="12C009A7"/>
    <w:rsid w:val="12C48176"/>
    <w:rsid w:val="12C8C3B5"/>
    <w:rsid w:val="12F15182"/>
    <w:rsid w:val="130C0F9F"/>
    <w:rsid w:val="1322A99E"/>
    <w:rsid w:val="1334F206"/>
    <w:rsid w:val="13453795"/>
    <w:rsid w:val="135FF242"/>
    <w:rsid w:val="1373D7FF"/>
    <w:rsid w:val="13757BFA"/>
    <w:rsid w:val="137DB98D"/>
    <w:rsid w:val="1387FED5"/>
    <w:rsid w:val="138A29D7"/>
    <w:rsid w:val="138CC7C6"/>
    <w:rsid w:val="1390694E"/>
    <w:rsid w:val="1396A216"/>
    <w:rsid w:val="1396B261"/>
    <w:rsid w:val="13A31A2B"/>
    <w:rsid w:val="13A5224F"/>
    <w:rsid w:val="13B1785D"/>
    <w:rsid w:val="13C852C3"/>
    <w:rsid w:val="13C860AE"/>
    <w:rsid w:val="13D6E666"/>
    <w:rsid w:val="13E03705"/>
    <w:rsid w:val="13E0FABA"/>
    <w:rsid w:val="13E253A1"/>
    <w:rsid w:val="13F8931D"/>
    <w:rsid w:val="1410F69C"/>
    <w:rsid w:val="1430C2C7"/>
    <w:rsid w:val="14346757"/>
    <w:rsid w:val="14511C4B"/>
    <w:rsid w:val="145C2702"/>
    <w:rsid w:val="14732EEF"/>
    <w:rsid w:val="147934AB"/>
    <w:rsid w:val="14847B66"/>
    <w:rsid w:val="14A81A63"/>
    <w:rsid w:val="14B34676"/>
    <w:rsid w:val="14B7FAA3"/>
    <w:rsid w:val="14B888D6"/>
    <w:rsid w:val="14BAEB88"/>
    <w:rsid w:val="14C7B595"/>
    <w:rsid w:val="14D40D75"/>
    <w:rsid w:val="14D8C050"/>
    <w:rsid w:val="14F80180"/>
    <w:rsid w:val="14F95A51"/>
    <w:rsid w:val="152E0926"/>
    <w:rsid w:val="153184EB"/>
    <w:rsid w:val="1547005B"/>
    <w:rsid w:val="15570512"/>
    <w:rsid w:val="155975EA"/>
    <w:rsid w:val="155F2677"/>
    <w:rsid w:val="1567E1B8"/>
    <w:rsid w:val="158CF2B4"/>
    <w:rsid w:val="159C547D"/>
    <w:rsid w:val="15B04056"/>
    <w:rsid w:val="15B89249"/>
    <w:rsid w:val="15BABAA0"/>
    <w:rsid w:val="15C18D61"/>
    <w:rsid w:val="15EA46AF"/>
    <w:rsid w:val="15EBDFB9"/>
    <w:rsid w:val="15EBE660"/>
    <w:rsid w:val="15EC1488"/>
    <w:rsid w:val="15EE6AEA"/>
    <w:rsid w:val="15F66F66"/>
    <w:rsid w:val="1614231A"/>
    <w:rsid w:val="161E7B77"/>
    <w:rsid w:val="1620A52A"/>
    <w:rsid w:val="162640DE"/>
    <w:rsid w:val="16362367"/>
    <w:rsid w:val="16380694"/>
    <w:rsid w:val="16382472"/>
    <w:rsid w:val="163FBA50"/>
    <w:rsid w:val="16523281"/>
    <w:rsid w:val="16579F24"/>
    <w:rsid w:val="1669CCFA"/>
    <w:rsid w:val="166D4EDD"/>
    <w:rsid w:val="167D28EE"/>
    <w:rsid w:val="1683500C"/>
    <w:rsid w:val="1691B6CF"/>
    <w:rsid w:val="1692EF6C"/>
    <w:rsid w:val="169340B3"/>
    <w:rsid w:val="16A6BB8B"/>
    <w:rsid w:val="16AFDB6F"/>
    <w:rsid w:val="16B6815E"/>
    <w:rsid w:val="16C64F63"/>
    <w:rsid w:val="16D6FFAC"/>
    <w:rsid w:val="16E052DE"/>
    <w:rsid w:val="1709A626"/>
    <w:rsid w:val="170C21F8"/>
    <w:rsid w:val="1717229A"/>
    <w:rsid w:val="1726B5D1"/>
    <w:rsid w:val="17373889"/>
    <w:rsid w:val="174095F5"/>
    <w:rsid w:val="1749EAE3"/>
    <w:rsid w:val="175B3409"/>
    <w:rsid w:val="17625E5C"/>
    <w:rsid w:val="176B0CD0"/>
    <w:rsid w:val="1784CDB2"/>
    <w:rsid w:val="1791A84F"/>
    <w:rsid w:val="179ED0C2"/>
    <w:rsid w:val="17AB237B"/>
    <w:rsid w:val="17DA6406"/>
    <w:rsid w:val="17E4B0AD"/>
    <w:rsid w:val="17E9E59F"/>
    <w:rsid w:val="17FCBDC3"/>
    <w:rsid w:val="1804187E"/>
    <w:rsid w:val="181A1A5C"/>
    <w:rsid w:val="18223AD8"/>
    <w:rsid w:val="1835D06B"/>
    <w:rsid w:val="18565AD8"/>
    <w:rsid w:val="1860ADE6"/>
    <w:rsid w:val="1869C76D"/>
    <w:rsid w:val="187CAD52"/>
    <w:rsid w:val="1882A8C9"/>
    <w:rsid w:val="188AFD87"/>
    <w:rsid w:val="189C7E51"/>
    <w:rsid w:val="189CA7F2"/>
    <w:rsid w:val="18A2BBD5"/>
    <w:rsid w:val="18AC2FE0"/>
    <w:rsid w:val="18B40736"/>
    <w:rsid w:val="18B5CD9E"/>
    <w:rsid w:val="18B7A1D0"/>
    <w:rsid w:val="18E14F78"/>
    <w:rsid w:val="18E52B3D"/>
    <w:rsid w:val="18EB29EC"/>
    <w:rsid w:val="190C3E32"/>
    <w:rsid w:val="1910FB85"/>
    <w:rsid w:val="191CF3B7"/>
    <w:rsid w:val="19460C8F"/>
    <w:rsid w:val="194AF0CF"/>
    <w:rsid w:val="195B50EF"/>
    <w:rsid w:val="19604754"/>
    <w:rsid w:val="199309F1"/>
    <w:rsid w:val="19A32442"/>
    <w:rsid w:val="19C473FD"/>
    <w:rsid w:val="19C524B6"/>
    <w:rsid w:val="19DDE326"/>
    <w:rsid w:val="19DEA7C4"/>
    <w:rsid w:val="19E513F5"/>
    <w:rsid w:val="19EC7FF1"/>
    <w:rsid w:val="19F26F69"/>
    <w:rsid w:val="1A16A679"/>
    <w:rsid w:val="1A22200D"/>
    <w:rsid w:val="1A326EF8"/>
    <w:rsid w:val="1A3CFB51"/>
    <w:rsid w:val="1A512CD1"/>
    <w:rsid w:val="1A587DB2"/>
    <w:rsid w:val="1A5EBEF6"/>
    <w:rsid w:val="1A6719DE"/>
    <w:rsid w:val="1A86FA4D"/>
    <w:rsid w:val="1AAEC810"/>
    <w:rsid w:val="1AB9D04D"/>
    <w:rsid w:val="1AC8D7FB"/>
    <w:rsid w:val="1B244A16"/>
    <w:rsid w:val="1B283114"/>
    <w:rsid w:val="1B39EA36"/>
    <w:rsid w:val="1B412420"/>
    <w:rsid w:val="1B4CB605"/>
    <w:rsid w:val="1B587262"/>
    <w:rsid w:val="1B77E3F9"/>
    <w:rsid w:val="1B84881F"/>
    <w:rsid w:val="1BAB8A48"/>
    <w:rsid w:val="1BAE2C10"/>
    <w:rsid w:val="1BB7244F"/>
    <w:rsid w:val="1BBF91B6"/>
    <w:rsid w:val="1BD9A96C"/>
    <w:rsid w:val="1BDCC7AD"/>
    <w:rsid w:val="1BE78B3F"/>
    <w:rsid w:val="1BF45190"/>
    <w:rsid w:val="1BF9C9E5"/>
    <w:rsid w:val="1BFC243F"/>
    <w:rsid w:val="1C292E70"/>
    <w:rsid w:val="1C55D3DD"/>
    <w:rsid w:val="1C5845E5"/>
    <w:rsid w:val="1C5CDD0C"/>
    <w:rsid w:val="1C70103F"/>
    <w:rsid w:val="1C702E28"/>
    <w:rsid w:val="1C757135"/>
    <w:rsid w:val="1C7BC13C"/>
    <w:rsid w:val="1C80D920"/>
    <w:rsid w:val="1C8805F9"/>
    <w:rsid w:val="1C88C6A6"/>
    <w:rsid w:val="1C90772F"/>
    <w:rsid w:val="1CA66F32"/>
    <w:rsid w:val="1CAD1A08"/>
    <w:rsid w:val="1CB62513"/>
    <w:rsid w:val="1CC55619"/>
    <w:rsid w:val="1CE0C09B"/>
    <w:rsid w:val="1CF96AE7"/>
    <w:rsid w:val="1CF9D85E"/>
    <w:rsid w:val="1CFFBC5F"/>
    <w:rsid w:val="1D0D708D"/>
    <w:rsid w:val="1D1DDE2D"/>
    <w:rsid w:val="1D3169F9"/>
    <w:rsid w:val="1D3A53BE"/>
    <w:rsid w:val="1D44FE6E"/>
    <w:rsid w:val="1D5A5F7E"/>
    <w:rsid w:val="1D673A59"/>
    <w:rsid w:val="1D685D6F"/>
    <w:rsid w:val="1D749C13"/>
    <w:rsid w:val="1DADD5D1"/>
    <w:rsid w:val="1DD9C990"/>
    <w:rsid w:val="1DE797DC"/>
    <w:rsid w:val="1DE8AB7C"/>
    <w:rsid w:val="1DFA4252"/>
    <w:rsid w:val="1E019A41"/>
    <w:rsid w:val="1E06BE9C"/>
    <w:rsid w:val="1E169CC7"/>
    <w:rsid w:val="1E19385F"/>
    <w:rsid w:val="1E1DB211"/>
    <w:rsid w:val="1E24832F"/>
    <w:rsid w:val="1E294D60"/>
    <w:rsid w:val="1E4E4549"/>
    <w:rsid w:val="1E4E54E8"/>
    <w:rsid w:val="1E663815"/>
    <w:rsid w:val="1E681203"/>
    <w:rsid w:val="1E6F4B44"/>
    <w:rsid w:val="1E707B31"/>
    <w:rsid w:val="1E7BD48B"/>
    <w:rsid w:val="1EA61A9E"/>
    <w:rsid w:val="1EAE2D07"/>
    <w:rsid w:val="1EAF8941"/>
    <w:rsid w:val="1EBAE5FF"/>
    <w:rsid w:val="1EEDE3FE"/>
    <w:rsid w:val="1F2011A6"/>
    <w:rsid w:val="1F25BAD3"/>
    <w:rsid w:val="1F265D58"/>
    <w:rsid w:val="1F34DC70"/>
    <w:rsid w:val="1F413177"/>
    <w:rsid w:val="1F41F29F"/>
    <w:rsid w:val="1F4886C7"/>
    <w:rsid w:val="1F4C0747"/>
    <w:rsid w:val="1F5AEA73"/>
    <w:rsid w:val="1F5EC0C5"/>
    <w:rsid w:val="1F62CA60"/>
    <w:rsid w:val="1F63B01E"/>
    <w:rsid w:val="1F668D27"/>
    <w:rsid w:val="1F679503"/>
    <w:rsid w:val="1F8BB880"/>
    <w:rsid w:val="1F9A6EE0"/>
    <w:rsid w:val="1FAB1256"/>
    <w:rsid w:val="1FD70551"/>
    <w:rsid w:val="1FDAA2A1"/>
    <w:rsid w:val="1FE04C73"/>
    <w:rsid w:val="1FF0FC44"/>
    <w:rsid w:val="1FF207FC"/>
    <w:rsid w:val="1FFF7B54"/>
    <w:rsid w:val="201E606F"/>
    <w:rsid w:val="2025FC9C"/>
    <w:rsid w:val="202886BA"/>
    <w:rsid w:val="203EFCCF"/>
    <w:rsid w:val="20409E8E"/>
    <w:rsid w:val="2041043F"/>
    <w:rsid w:val="205AA76F"/>
    <w:rsid w:val="205AE61C"/>
    <w:rsid w:val="205B56ED"/>
    <w:rsid w:val="205F2BB3"/>
    <w:rsid w:val="2064E51A"/>
    <w:rsid w:val="2068E2E8"/>
    <w:rsid w:val="206B4670"/>
    <w:rsid w:val="206C3F25"/>
    <w:rsid w:val="2073A73B"/>
    <w:rsid w:val="20A89329"/>
    <w:rsid w:val="20AC36F1"/>
    <w:rsid w:val="20AFC948"/>
    <w:rsid w:val="20B0577A"/>
    <w:rsid w:val="20B8F4CD"/>
    <w:rsid w:val="20CB86B7"/>
    <w:rsid w:val="20D41D30"/>
    <w:rsid w:val="20E32E1B"/>
    <w:rsid w:val="20F4512E"/>
    <w:rsid w:val="20FB3725"/>
    <w:rsid w:val="210A0AEB"/>
    <w:rsid w:val="2112C4D4"/>
    <w:rsid w:val="213D41E2"/>
    <w:rsid w:val="213F9BCB"/>
    <w:rsid w:val="2171CE0C"/>
    <w:rsid w:val="21747778"/>
    <w:rsid w:val="2175E708"/>
    <w:rsid w:val="21ACE7C1"/>
    <w:rsid w:val="21BCF288"/>
    <w:rsid w:val="21C329F4"/>
    <w:rsid w:val="21D2A4E2"/>
    <w:rsid w:val="21D35F22"/>
    <w:rsid w:val="21D7F29E"/>
    <w:rsid w:val="21D8A8E8"/>
    <w:rsid w:val="21ECCB5A"/>
    <w:rsid w:val="21F07161"/>
    <w:rsid w:val="22188C2B"/>
    <w:rsid w:val="221DCAC6"/>
    <w:rsid w:val="2229CBB4"/>
    <w:rsid w:val="222DBAD4"/>
    <w:rsid w:val="2232C4D2"/>
    <w:rsid w:val="2234F2E4"/>
    <w:rsid w:val="223F57FC"/>
    <w:rsid w:val="224D8095"/>
    <w:rsid w:val="2255FEBD"/>
    <w:rsid w:val="225C3F67"/>
    <w:rsid w:val="22624523"/>
    <w:rsid w:val="22688DA3"/>
    <w:rsid w:val="22708FD5"/>
    <w:rsid w:val="22771D92"/>
    <w:rsid w:val="227F0A06"/>
    <w:rsid w:val="228805E6"/>
    <w:rsid w:val="229C32E2"/>
    <w:rsid w:val="22A4FEE9"/>
    <w:rsid w:val="22BD445D"/>
    <w:rsid w:val="22CCD200"/>
    <w:rsid w:val="22DC1195"/>
    <w:rsid w:val="22DE8D92"/>
    <w:rsid w:val="22FD8F3A"/>
    <w:rsid w:val="22FDE495"/>
    <w:rsid w:val="23017265"/>
    <w:rsid w:val="23106FD1"/>
    <w:rsid w:val="231CB30D"/>
    <w:rsid w:val="23378D97"/>
    <w:rsid w:val="23378F94"/>
    <w:rsid w:val="233A9BFD"/>
    <w:rsid w:val="233C7571"/>
    <w:rsid w:val="23447BDE"/>
    <w:rsid w:val="2346CAC7"/>
    <w:rsid w:val="23491808"/>
    <w:rsid w:val="2357DB4B"/>
    <w:rsid w:val="235C5F49"/>
    <w:rsid w:val="237443BB"/>
    <w:rsid w:val="2379EC09"/>
    <w:rsid w:val="237DDC5C"/>
    <w:rsid w:val="237F7F4F"/>
    <w:rsid w:val="239264E6"/>
    <w:rsid w:val="239AFA94"/>
    <w:rsid w:val="23A5B858"/>
    <w:rsid w:val="23B13E00"/>
    <w:rsid w:val="23C22754"/>
    <w:rsid w:val="23CC8BED"/>
    <w:rsid w:val="23CFB3FF"/>
    <w:rsid w:val="23E9614A"/>
    <w:rsid w:val="23ED2201"/>
    <w:rsid w:val="23EE004C"/>
    <w:rsid w:val="23F4C342"/>
    <w:rsid w:val="241416B3"/>
    <w:rsid w:val="2420A2A3"/>
    <w:rsid w:val="242414DE"/>
    <w:rsid w:val="24320055"/>
    <w:rsid w:val="2433D2B9"/>
    <w:rsid w:val="243C3E9E"/>
    <w:rsid w:val="2441CC9E"/>
    <w:rsid w:val="244E62AB"/>
    <w:rsid w:val="2450BABC"/>
    <w:rsid w:val="246C6F09"/>
    <w:rsid w:val="24791FD7"/>
    <w:rsid w:val="2492AB15"/>
    <w:rsid w:val="2495FE1A"/>
    <w:rsid w:val="2497C877"/>
    <w:rsid w:val="24A780C9"/>
    <w:rsid w:val="24ACE7C4"/>
    <w:rsid w:val="24ADF07D"/>
    <w:rsid w:val="24BDCE91"/>
    <w:rsid w:val="24BFE31E"/>
    <w:rsid w:val="24CC16FA"/>
    <w:rsid w:val="24CC95AA"/>
    <w:rsid w:val="24DB93D0"/>
    <w:rsid w:val="251D7477"/>
    <w:rsid w:val="2523F753"/>
    <w:rsid w:val="2538353E"/>
    <w:rsid w:val="2538E8FA"/>
    <w:rsid w:val="254C7F85"/>
    <w:rsid w:val="255146A9"/>
    <w:rsid w:val="255978E3"/>
    <w:rsid w:val="255D1B3D"/>
    <w:rsid w:val="25613E1E"/>
    <w:rsid w:val="2565E543"/>
    <w:rsid w:val="25665495"/>
    <w:rsid w:val="257994B2"/>
    <w:rsid w:val="257A7E98"/>
    <w:rsid w:val="257AC73B"/>
    <w:rsid w:val="257B29AF"/>
    <w:rsid w:val="259647EA"/>
    <w:rsid w:val="259A54FB"/>
    <w:rsid w:val="259C8813"/>
    <w:rsid w:val="259E2E99"/>
    <w:rsid w:val="25C273C2"/>
    <w:rsid w:val="25D5EAFB"/>
    <w:rsid w:val="25D6F795"/>
    <w:rsid w:val="25D8BA54"/>
    <w:rsid w:val="25DC9443"/>
    <w:rsid w:val="25EE4333"/>
    <w:rsid w:val="25EECE67"/>
    <w:rsid w:val="25F3469B"/>
    <w:rsid w:val="25F8D30E"/>
    <w:rsid w:val="26073DF2"/>
    <w:rsid w:val="262B6F01"/>
    <w:rsid w:val="262CA9B1"/>
    <w:rsid w:val="2640BECA"/>
    <w:rsid w:val="26418EAC"/>
    <w:rsid w:val="265F8703"/>
    <w:rsid w:val="2660B32A"/>
    <w:rsid w:val="266A681B"/>
    <w:rsid w:val="267C09DB"/>
    <w:rsid w:val="26987CBD"/>
    <w:rsid w:val="269EC168"/>
    <w:rsid w:val="26A38A0E"/>
    <w:rsid w:val="26B6B6BF"/>
    <w:rsid w:val="26B9D5D1"/>
    <w:rsid w:val="26BAD92B"/>
    <w:rsid w:val="26BEBFBC"/>
    <w:rsid w:val="26D86F16"/>
    <w:rsid w:val="26E178DF"/>
    <w:rsid w:val="26E86322"/>
    <w:rsid w:val="26EA1DE7"/>
    <w:rsid w:val="26EACDBC"/>
    <w:rsid w:val="26F8EA1A"/>
    <w:rsid w:val="27039F41"/>
    <w:rsid w:val="2710F7A1"/>
    <w:rsid w:val="271A0416"/>
    <w:rsid w:val="27469F90"/>
    <w:rsid w:val="275E8DFF"/>
    <w:rsid w:val="2769236C"/>
    <w:rsid w:val="276DB0A5"/>
    <w:rsid w:val="2779AA82"/>
    <w:rsid w:val="278EF6DA"/>
    <w:rsid w:val="279F1D40"/>
    <w:rsid w:val="27B79834"/>
    <w:rsid w:val="27B98E04"/>
    <w:rsid w:val="27BFF22E"/>
    <w:rsid w:val="27C17F12"/>
    <w:rsid w:val="27C77905"/>
    <w:rsid w:val="27D9DA6A"/>
    <w:rsid w:val="27E8948E"/>
    <w:rsid w:val="27F26AA3"/>
    <w:rsid w:val="27F2FA9A"/>
    <w:rsid w:val="27F46231"/>
    <w:rsid w:val="280380EF"/>
    <w:rsid w:val="2806708F"/>
    <w:rsid w:val="280795BD"/>
    <w:rsid w:val="280AD1F9"/>
    <w:rsid w:val="28198C10"/>
    <w:rsid w:val="281D25E2"/>
    <w:rsid w:val="282B6BDE"/>
    <w:rsid w:val="28362583"/>
    <w:rsid w:val="2836BBF4"/>
    <w:rsid w:val="28460E78"/>
    <w:rsid w:val="2848B310"/>
    <w:rsid w:val="287001EB"/>
    <w:rsid w:val="28734F33"/>
    <w:rsid w:val="2875F80C"/>
    <w:rsid w:val="2885EB09"/>
    <w:rsid w:val="28B8FC5B"/>
    <w:rsid w:val="28FA34B3"/>
    <w:rsid w:val="28FA4D59"/>
    <w:rsid w:val="2908A009"/>
    <w:rsid w:val="29095308"/>
    <w:rsid w:val="293E4B04"/>
    <w:rsid w:val="294BCACE"/>
    <w:rsid w:val="294C89A3"/>
    <w:rsid w:val="295127DB"/>
    <w:rsid w:val="295F11F8"/>
    <w:rsid w:val="29637B6B"/>
    <w:rsid w:val="29777B74"/>
    <w:rsid w:val="29821913"/>
    <w:rsid w:val="2982D197"/>
    <w:rsid w:val="299C914D"/>
    <w:rsid w:val="29AB05DE"/>
    <w:rsid w:val="29AE2684"/>
    <w:rsid w:val="29BFB31D"/>
    <w:rsid w:val="29E7EE2B"/>
    <w:rsid w:val="29EF3CD8"/>
    <w:rsid w:val="29F62724"/>
    <w:rsid w:val="2A18E516"/>
    <w:rsid w:val="2A4032DE"/>
    <w:rsid w:val="2A411A83"/>
    <w:rsid w:val="2A42685F"/>
    <w:rsid w:val="2A481ED3"/>
    <w:rsid w:val="2A4D61AA"/>
    <w:rsid w:val="2A5A6D91"/>
    <w:rsid w:val="2A5A7993"/>
    <w:rsid w:val="2A621BD6"/>
    <w:rsid w:val="2A8F466F"/>
    <w:rsid w:val="2A9571AE"/>
    <w:rsid w:val="2A9D4BCD"/>
    <w:rsid w:val="2AA7E49B"/>
    <w:rsid w:val="2AA7F516"/>
    <w:rsid w:val="2AC51D3F"/>
    <w:rsid w:val="2ACA30E7"/>
    <w:rsid w:val="2AD22B99"/>
    <w:rsid w:val="2AE57E55"/>
    <w:rsid w:val="2AF67F34"/>
    <w:rsid w:val="2AFD6C04"/>
    <w:rsid w:val="2B10B086"/>
    <w:rsid w:val="2B18F8E9"/>
    <w:rsid w:val="2B2773BB"/>
    <w:rsid w:val="2B280BB2"/>
    <w:rsid w:val="2B2BFD1D"/>
    <w:rsid w:val="2B336A5E"/>
    <w:rsid w:val="2B5C726E"/>
    <w:rsid w:val="2B6FE9FA"/>
    <w:rsid w:val="2B7029C3"/>
    <w:rsid w:val="2B7A702D"/>
    <w:rsid w:val="2B80207E"/>
    <w:rsid w:val="2B856161"/>
    <w:rsid w:val="2B91D568"/>
    <w:rsid w:val="2BA57198"/>
    <w:rsid w:val="2BAC9199"/>
    <w:rsid w:val="2BBC111E"/>
    <w:rsid w:val="2BBE5415"/>
    <w:rsid w:val="2BC317C4"/>
    <w:rsid w:val="2BC7D34E"/>
    <w:rsid w:val="2BC9D5EE"/>
    <w:rsid w:val="2BEEEF7C"/>
    <w:rsid w:val="2C263924"/>
    <w:rsid w:val="2C2C6CD4"/>
    <w:rsid w:val="2C332068"/>
    <w:rsid w:val="2C363A40"/>
    <w:rsid w:val="2C40268A"/>
    <w:rsid w:val="2C4C261A"/>
    <w:rsid w:val="2C60FE21"/>
    <w:rsid w:val="2C6991CA"/>
    <w:rsid w:val="2C8D4BB1"/>
    <w:rsid w:val="2C9776C8"/>
    <w:rsid w:val="2CA28DB9"/>
    <w:rsid w:val="2CAA91CA"/>
    <w:rsid w:val="2CAACFA0"/>
    <w:rsid w:val="2CB51813"/>
    <w:rsid w:val="2CB6403E"/>
    <w:rsid w:val="2CC20571"/>
    <w:rsid w:val="2CC7118D"/>
    <w:rsid w:val="2CDC08DB"/>
    <w:rsid w:val="2CEBE15B"/>
    <w:rsid w:val="2CED431C"/>
    <w:rsid w:val="2CF318EC"/>
    <w:rsid w:val="2D040705"/>
    <w:rsid w:val="2D099E01"/>
    <w:rsid w:val="2D0E941D"/>
    <w:rsid w:val="2D1B3D1A"/>
    <w:rsid w:val="2D24CC7E"/>
    <w:rsid w:val="2D28EBBF"/>
    <w:rsid w:val="2D32212E"/>
    <w:rsid w:val="2D37E73E"/>
    <w:rsid w:val="2D408001"/>
    <w:rsid w:val="2D636FD9"/>
    <w:rsid w:val="2D68E450"/>
    <w:rsid w:val="2D77D340"/>
    <w:rsid w:val="2D7D33CC"/>
    <w:rsid w:val="2D807A97"/>
    <w:rsid w:val="2D8C3692"/>
    <w:rsid w:val="2D9F4854"/>
    <w:rsid w:val="2DBCCACC"/>
    <w:rsid w:val="2DC26F6E"/>
    <w:rsid w:val="2DC7CF67"/>
    <w:rsid w:val="2DD0F48A"/>
    <w:rsid w:val="2DDC3021"/>
    <w:rsid w:val="2DDEE4FD"/>
    <w:rsid w:val="2DE8B2C7"/>
    <w:rsid w:val="2E033EC2"/>
    <w:rsid w:val="2E081498"/>
    <w:rsid w:val="2E0AEEC4"/>
    <w:rsid w:val="2E0C3AE9"/>
    <w:rsid w:val="2E1C9D43"/>
    <w:rsid w:val="2E213562"/>
    <w:rsid w:val="2E28B15C"/>
    <w:rsid w:val="2E2FFFBC"/>
    <w:rsid w:val="2E3259B4"/>
    <w:rsid w:val="2E394FC9"/>
    <w:rsid w:val="2E4FF25E"/>
    <w:rsid w:val="2E535348"/>
    <w:rsid w:val="2E57B29E"/>
    <w:rsid w:val="2E672E24"/>
    <w:rsid w:val="2E86830B"/>
    <w:rsid w:val="2E89145A"/>
    <w:rsid w:val="2E963112"/>
    <w:rsid w:val="2E96BE3E"/>
    <w:rsid w:val="2E9B00C3"/>
    <w:rsid w:val="2E9F4807"/>
    <w:rsid w:val="2EA81DBD"/>
    <w:rsid w:val="2EA86524"/>
    <w:rsid w:val="2EB6E00D"/>
    <w:rsid w:val="2ECD07B9"/>
    <w:rsid w:val="2ED210B2"/>
    <w:rsid w:val="2ED3F73D"/>
    <w:rsid w:val="2EDB2847"/>
    <w:rsid w:val="2EF75E9C"/>
    <w:rsid w:val="2EFDDDCF"/>
    <w:rsid w:val="2F08B5F3"/>
    <w:rsid w:val="2F0A8C4F"/>
    <w:rsid w:val="2F1A4584"/>
    <w:rsid w:val="2F2AFD16"/>
    <w:rsid w:val="2F2C1B3A"/>
    <w:rsid w:val="2F2DD903"/>
    <w:rsid w:val="2F2E9281"/>
    <w:rsid w:val="2F3A1B64"/>
    <w:rsid w:val="2F68FEC6"/>
    <w:rsid w:val="2F6B0C81"/>
    <w:rsid w:val="2F6BC42C"/>
    <w:rsid w:val="2F7701FF"/>
    <w:rsid w:val="2F86D45F"/>
    <w:rsid w:val="2F9C2183"/>
    <w:rsid w:val="2FA0E35B"/>
    <w:rsid w:val="2FA69915"/>
    <w:rsid w:val="2FAD49A4"/>
    <w:rsid w:val="2FBD72FA"/>
    <w:rsid w:val="2FC54810"/>
    <w:rsid w:val="2FCBD01D"/>
    <w:rsid w:val="2FD5AD92"/>
    <w:rsid w:val="2FDB37FB"/>
    <w:rsid w:val="2FE3BFE7"/>
    <w:rsid w:val="2FE4757D"/>
    <w:rsid w:val="301C50DB"/>
    <w:rsid w:val="30240BA3"/>
    <w:rsid w:val="30244244"/>
    <w:rsid w:val="30425323"/>
    <w:rsid w:val="304B29D0"/>
    <w:rsid w:val="3054356C"/>
    <w:rsid w:val="3056A591"/>
    <w:rsid w:val="30635A65"/>
    <w:rsid w:val="306FCF97"/>
    <w:rsid w:val="30739740"/>
    <w:rsid w:val="3078A017"/>
    <w:rsid w:val="3079321D"/>
    <w:rsid w:val="307E03AC"/>
    <w:rsid w:val="3080FFC2"/>
    <w:rsid w:val="3082F17A"/>
    <w:rsid w:val="3086F7AA"/>
    <w:rsid w:val="30A0BC5A"/>
    <w:rsid w:val="30AD0C41"/>
    <w:rsid w:val="30D3F1BF"/>
    <w:rsid w:val="30FB715B"/>
    <w:rsid w:val="311A268A"/>
    <w:rsid w:val="311F35F5"/>
    <w:rsid w:val="31246A43"/>
    <w:rsid w:val="31277550"/>
    <w:rsid w:val="313E2907"/>
    <w:rsid w:val="314DCDE9"/>
    <w:rsid w:val="314E20BD"/>
    <w:rsid w:val="314E7F13"/>
    <w:rsid w:val="3175DA3E"/>
    <w:rsid w:val="318B2B2C"/>
    <w:rsid w:val="31916A21"/>
    <w:rsid w:val="31932CC5"/>
    <w:rsid w:val="31933FAC"/>
    <w:rsid w:val="31A6DBBB"/>
    <w:rsid w:val="31D5CD89"/>
    <w:rsid w:val="31E03590"/>
    <w:rsid w:val="31F2AD1D"/>
    <w:rsid w:val="31F36A24"/>
    <w:rsid w:val="320539B9"/>
    <w:rsid w:val="3205AA9C"/>
    <w:rsid w:val="3209A0E9"/>
    <w:rsid w:val="32176F7E"/>
    <w:rsid w:val="321E1510"/>
    <w:rsid w:val="322534F2"/>
    <w:rsid w:val="32474E47"/>
    <w:rsid w:val="32579BFB"/>
    <w:rsid w:val="3259BD38"/>
    <w:rsid w:val="325E3100"/>
    <w:rsid w:val="32867AB8"/>
    <w:rsid w:val="32A73E2F"/>
    <w:rsid w:val="32AF2181"/>
    <w:rsid w:val="32C70FBC"/>
    <w:rsid w:val="32DABD24"/>
    <w:rsid w:val="32E8FF60"/>
    <w:rsid w:val="32F1E47F"/>
    <w:rsid w:val="32F797C6"/>
    <w:rsid w:val="32FA3EF9"/>
    <w:rsid w:val="3316726E"/>
    <w:rsid w:val="33218947"/>
    <w:rsid w:val="33305B55"/>
    <w:rsid w:val="33384665"/>
    <w:rsid w:val="333DB419"/>
    <w:rsid w:val="3346F47F"/>
    <w:rsid w:val="33493570"/>
    <w:rsid w:val="335F98CA"/>
    <w:rsid w:val="336351F4"/>
    <w:rsid w:val="33A165D0"/>
    <w:rsid w:val="33A87C4B"/>
    <w:rsid w:val="33AD818A"/>
    <w:rsid w:val="33B3D219"/>
    <w:rsid w:val="33CE807C"/>
    <w:rsid w:val="33D35F1E"/>
    <w:rsid w:val="33E77F93"/>
    <w:rsid w:val="33EFF4EE"/>
    <w:rsid w:val="33F5F607"/>
    <w:rsid w:val="33F9A1B5"/>
    <w:rsid w:val="33FB40FA"/>
    <w:rsid w:val="33FE811F"/>
    <w:rsid w:val="3411F8C1"/>
    <w:rsid w:val="3420D9DD"/>
    <w:rsid w:val="342937CA"/>
    <w:rsid w:val="342CFEC5"/>
    <w:rsid w:val="34324AE9"/>
    <w:rsid w:val="3432AFF0"/>
    <w:rsid w:val="343569B9"/>
    <w:rsid w:val="3435CB69"/>
    <w:rsid w:val="3436E098"/>
    <w:rsid w:val="34377084"/>
    <w:rsid w:val="343C5E6F"/>
    <w:rsid w:val="34437E54"/>
    <w:rsid w:val="344F6BDB"/>
    <w:rsid w:val="345DA03D"/>
    <w:rsid w:val="348213C3"/>
    <w:rsid w:val="34831EF8"/>
    <w:rsid w:val="3487C4B3"/>
    <w:rsid w:val="349690C0"/>
    <w:rsid w:val="34A69221"/>
    <w:rsid w:val="34BADC2C"/>
    <w:rsid w:val="34C3B190"/>
    <w:rsid w:val="34CCC308"/>
    <w:rsid w:val="34CEAB74"/>
    <w:rsid w:val="34D0DB86"/>
    <w:rsid w:val="34F0FD06"/>
    <w:rsid w:val="34F983F1"/>
    <w:rsid w:val="3501EB29"/>
    <w:rsid w:val="350EA2D4"/>
    <w:rsid w:val="351A70A0"/>
    <w:rsid w:val="351E9AF3"/>
    <w:rsid w:val="352A3027"/>
    <w:rsid w:val="3546CAAB"/>
    <w:rsid w:val="3548555F"/>
    <w:rsid w:val="3551911F"/>
    <w:rsid w:val="3573DBD3"/>
    <w:rsid w:val="3579E5D3"/>
    <w:rsid w:val="359B548C"/>
    <w:rsid w:val="359F01A9"/>
    <w:rsid w:val="35AA7E8C"/>
    <w:rsid w:val="35AB5BF6"/>
    <w:rsid w:val="35C1E5CA"/>
    <w:rsid w:val="35C407AD"/>
    <w:rsid w:val="35D2F851"/>
    <w:rsid w:val="35DF2B21"/>
    <w:rsid w:val="35E0C6AD"/>
    <w:rsid w:val="35FB3304"/>
    <w:rsid w:val="35FEE16A"/>
    <w:rsid w:val="3604E473"/>
    <w:rsid w:val="3606E8A8"/>
    <w:rsid w:val="360FAC87"/>
    <w:rsid w:val="361B284A"/>
    <w:rsid w:val="3648AA77"/>
    <w:rsid w:val="3649B08B"/>
    <w:rsid w:val="36538F29"/>
    <w:rsid w:val="3674F933"/>
    <w:rsid w:val="36782780"/>
    <w:rsid w:val="3685E5EE"/>
    <w:rsid w:val="36AF71E9"/>
    <w:rsid w:val="36B57D8D"/>
    <w:rsid w:val="36CA7E55"/>
    <w:rsid w:val="36D64CC8"/>
    <w:rsid w:val="36D9785C"/>
    <w:rsid w:val="36E355BF"/>
    <w:rsid w:val="36EC3067"/>
    <w:rsid w:val="371105DE"/>
    <w:rsid w:val="3712BF77"/>
    <w:rsid w:val="3715299F"/>
    <w:rsid w:val="372C527B"/>
    <w:rsid w:val="373282A8"/>
    <w:rsid w:val="37398FA9"/>
    <w:rsid w:val="374BA83A"/>
    <w:rsid w:val="376232D7"/>
    <w:rsid w:val="376A76CA"/>
    <w:rsid w:val="377A4516"/>
    <w:rsid w:val="3784DCB4"/>
    <w:rsid w:val="37871E0C"/>
    <w:rsid w:val="37899CC8"/>
    <w:rsid w:val="3795C107"/>
    <w:rsid w:val="37B12862"/>
    <w:rsid w:val="37CD2E3F"/>
    <w:rsid w:val="37CF3197"/>
    <w:rsid w:val="37DDD7D0"/>
    <w:rsid w:val="37E219AF"/>
    <w:rsid w:val="37E83DC5"/>
    <w:rsid w:val="37E83E41"/>
    <w:rsid w:val="37ED0ACC"/>
    <w:rsid w:val="37F84D60"/>
    <w:rsid w:val="380CC184"/>
    <w:rsid w:val="381CF484"/>
    <w:rsid w:val="3820A9C6"/>
    <w:rsid w:val="3824C9F9"/>
    <w:rsid w:val="38258368"/>
    <w:rsid w:val="382632E1"/>
    <w:rsid w:val="3845839B"/>
    <w:rsid w:val="3849EF23"/>
    <w:rsid w:val="3857AB23"/>
    <w:rsid w:val="38688B72"/>
    <w:rsid w:val="3868CC90"/>
    <w:rsid w:val="386A5AFD"/>
    <w:rsid w:val="3881754B"/>
    <w:rsid w:val="3894EF37"/>
    <w:rsid w:val="38A63070"/>
    <w:rsid w:val="38BA0408"/>
    <w:rsid w:val="38CC1A53"/>
    <w:rsid w:val="38CC30F7"/>
    <w:rsid w:val="38D5600A"/>
    <w:rsid w:val="38D65C91"/>
    <w:rsid w:val="38DE79CF"/>
    <w:rsid w:val="390111C2"/>
    <w:rsid w:val="3903EC88"/>
    <w:rsid w:val="390F95EF"/>
    <w:rsid w:val="3916CA67"/>
    <w:rsid w:val="3938B0F5"/>
    <w:rsid w:val="394AD18B"/>
    <w:rsid w:val="395AAC65"/>
    <w:rsid w:val="3969DC1E"/>
    <w:rsid w:val="397057F0"/>
    <w:rsid w:val="39794B2F"/>
    <w:rsid w:val="399B4E86"/>
    <w:rsid w:val="399EF39B"/>
    <w:rsid w:val="399F5943"/>
    <w:rsid w:val="39ABC616"/>
    <w:rsid w:val="39AD98D7"/>
    <w:rsid w:val="39B126C3"/>
    <w:rsid w:val="39B40F1F"/>
    <w:rsid w:val="39B635CB"/>
    <w:rsid w:val="39BEEE8A"/>
    <w:rsid w:val="39C4626E"/>
    <w:rsid w:val="39D6DB6F"/>
    <w:rsid w:val="39D81860"/>
    <w:rsid w:val="39D97395"/>
    <w:rsid w:val="39EC86BA"/>
    <w:rsid w:val="39F767CF"/>
    <w:rsid w:val="3A01363A"/>
    <w:rsid w:val="3A0C8C4E"/>
    <w:rsid w:val="3A148EEB"/>
    <w:rsid w:val="3A157BDC"/>
    <w:rsid w:val="3A1B1FB1"/>
    <w:rsid w:val="3A1EF1E0"/>
    <w:rsid w:val="3A21B215"/>
    <w:rsid w:val="3A2E9DC8"/>
    <w:rsid w:val="3A429F44"/>
    <w:rsid w:val="3A4589E5"/>
    <w:rsid w:val="3A467DAD"/>
    <w:rsid w:val="3A6296BE"/>
    <w:rsid w:val="3A63EA3B"/>
    <w:rsid w:val="3A686AAF"/>
    <w:rsid w:val="3A88DEAD"/>
    <w:rsid w:val="3A8DA92F"/>
    <w:rsid w:val="3A9F4E21"/>
    <w:rsid w:val="3AA08B56"/>
    <w:rsid w:val="3AAEB2E7"/>
    <w:rsid w:val="3AB7EABE"/>
    <w:rsid w:val="3AB88A8E"/>
    <w:rsid w:val="3B0296CD"/>
    <w:rsid w:val="3B0B5EAC"/>
    <w:rsid w:val="3B0C1FEE"/>
    <w:rsid w:val="3B152FB2"/>
    <w:rsid w:val="3B18F3A9"/>
    <w:rsid w:val="3B238325"/>
    <w:rsid w:val="3B25DD55"/>
    <w:rsid w:val="3B28B545"/>
    <w:rsid w:val="3B2C7E83"/>
    <w:rsid w:val="3B2DA192"/>
    <w:rsid w:val="3B31CCD6"/>
    <w:rsid w:val="3B32AF04"/>
    <w:rsid w:val="3B42741F"/>
    <w:rsid w:val="3B6E2C62"/>
    <w:rsid w:val="3B82532B"/>
    <w:rsid w:val="3B88C340"/>
    <w:rsid w:val="3BB72351"/>
    <w:rsid w:val="3BB79A5F"/>
    <w:rsid w:val="3BBD5CCD"/>
    <w:rsid w:val="3BC15372"/>
    <w:rsid w:val="3BCB63D0"/>
    <w:rsid w:val="3BD15EA6"/>
    <w:rsid w:val="3BD5AB67"/>
    <w:rsid w:val="3BD76482"/>
    <w:rsid w:val="3BE1E3E5"/>
    <w:rsid w:val="3BE74B08"/>
    <w:rsid w:val="3BF0ACA2"/>
    <w:rsid w:val="3BF2A97A"/>
    <w:rsid w:val="3C02E555"/>
    <w:rsid w:val="3C0AFAF9"/>
    <w:rsid w:val="3C230302"/>
    <w:rsid w:val="3C286D7D"/>
    <w:rsid w:val="3C2D4447"/>
    <w:rsid w:val="3C434E9C"/>
    <w:rsid w:val="3C57ADA7"/>
    <w:rsid w:val="3C64960D"/>
    <w:rsid w:val="3C6930BC"/>
    <w:rsid w:val="3C698DC9"/>
    <w:rsid w:val="3C792DF5"/>
    <w:rsid w:val="3C859F2C"/>
    <w:rsid w:val="3C9DA144"/>
    <w:rsid w:val="3CA0A6D7"/>
    <w:rsid w:val="3CAB03A0"/>
    <w:rsid w:val="3CAD66F6"/>
    <w:rsid w:val="3CB216A5"/>
    <w:rsid w:val="3CB4DA8F"/>
    <w:rsid w:val="3CB9B820"/>
    <w:rsid w:val="3CBCD5CC"/>
    <w:rsid w:val="3CC35857"/>
    <w:rsid w:val="3CC71FF6"/>
    <w:rsid w:val="3CC84669"/>
    <w:rsid w:val="3CCEC892"/>
    <w:rsid w:val="3CE9579F"/>
    <w:rsid w:val="3CE9BBA1"/>
    <w:rsid w:val="3CFFBB85"/>
    <w:rsid w:val="3D0B07CF"/>
    <w:rsid w:val="3D2346E8"/>
    <w:rsid w:val="3D26452A"/>
    <w:rsid w:val="3D2E9579"/>
    <w:rsid w:val="3D30221F"/>
    <w:rsid w:val="3D323F5B"/>
    <w:rsid w:val="3D3B6069"/>
    <w:rsid w:val="3D4251DC"/>
    <w:rsid w:val="3D5EC801"/>
    <w:rsid w:val="3D5EF141"/>
    <w:rsid w:val="3D6DF4D2"/>
    <w:rsid w:val="3D74EDF1"/>
    <w:rsid w:val="3D75297D"/>
    <w:rsid w:val="3D7878C3"/>
    <w:rsid w:val="3D7A524F"/>
    <w:rsid w:val="3D80B73E"/>
    <w:rsid w:val="3D83FFE4"/>
    <w:rsid w:val="3D8935F5"/>
    <w:rsid w:val="3D8AE40E"/>
    <w:rsid w:val="3D9790CC"/>
    <w:rsid w:val="3D9E0A33"/>
    <w:rsid w:val="3DA15626"/>
    <w:rsid w:val="3DAB30F9"/>
    <w:rsid w:val="3DC24CEB"/>
    <w:rsid w:val="3DE8B7BE"/>
    <w:rsid w:val="3DF4F1E5"/>
    <w:rsid w:val="3E0F14E4"/>
    <w:rsid w:val="3E166941"/>
    <w:rsid w:val="3E188650"/>
    <w:rsid w:val="3E1CC4BB"/>
    <w:rsid w:val="3E4EF67D"/>
    <w:rsid w:val="3E7F7D8C"/>
    <w:rsid w:val="3E86CA7C"/>
    <w:rsid w:val="3E88867A"/>
    <w:rsid w:val="3E9A093A"/>
    <w:rsid w:val="3E9A1F7B"/>
    <w:rsid w:val="3E9ECC0C"/>
    <w:rsid w:val="3ECCFD17"/>
    <w:rsid w:val="3ED983DB"/>
    <w:rsid w:val="3EDD54FC"/>
    <w:rsid w:val="3EE4D59E"/>
    <w:rsid w:val="3EF0AF16"/>
    <w:rsid w:val="3F24CE5D"/>
    <w:rsid w:val="3F2A3476"/>
    <w:rsid w:val="3F2DA86C"/>
    <w:rsid w:val="3F351D8B"/>
    <w:rsid w:val="3F3CF39F"/>
    <w:rsid w:val="3F51C424"/>
    <w:rsid w:val="3F5C04EA"/>
    <w:rsid w:val="3F621424"/>
    <w:rsid w:val="3F6DE380"/>
    <w:rsid w:val="3F700769"/>
    <w:rsid w:val="3F7795A4"/>
    <w:rsid w:val="3F8D9B13"/>
    <w:rsid w:val="3FB36C3F"/>
    <w:rsid w:val="3FE3A6F2"/>
    <w:rsid w:val="400E5AEA"/>
    <w:rsid w:val="4011091B"/>
    <w:rsid w:val="401D9099"/>
    <w:rsid w:val="4021374B"/>
    <w:rsid w:val="40346DDC"/>
    <w:rsid w:val="4037ADA9"/>
    <w:rsid w:val="4054CE03"/>
    <w:rsid w:val="40607D46"/>
    <w:rsid w:val="406F6353"/>
    <w:rsid w:val="40923DB5"/>
    <w:rsid w:val="40A4941F"/>
    <w:rsid w:val="40B9583F"/>
    <w:rsid w:val="40BBC123"/>
    <w:rsid w:val="40C75D03"/>
    <w:rsid w:val="40CB73DD"/>
    <w:rsid w:val="40D747CE"/>
    <w:rsid w:val="40E581B1"/>
    <w:rsid w:val="40E9D3AC"/>
    <w:rsid w:val="40EE91A6"/>
    <w:rsid w:val="40EECBDA"/>
    <w:rsid w:val="40F82031"/>
    <w:rsid w:val="41095800"/>
    <w:rsid w:val="413120A9"/>
    <w:rsid w:val="413A4BDE"/>
    <w:rsid w:val="413FE02D"/>
    <w:rsid w:val="415397C0"/>
    <w:rsid w:val="41564D41"/>
    <w:rsid w:val="4179AF94"/>
    <w:rsid w:val="4180CFC8"/>
    <w:rsid w:val="4184B65B"/>
    <w:rsid w:val="41886296"/>
    <w:rsid w:val="419CFDA0"/>
    <w:rsid w:val="41B89040"/>
    <w:rsid w:val="41BD24E3"/>
    <w:rsid w:val="41C928A0"/>
    <w:rsid w:val="41CFA055"/>
    <w:rsid w:val="41DD904A"/>
    <w:rsid w:val="41DDA072"/>
    <w:rsid w:val="41E5EF59"/>
    <w:rsid w:val="41EE8ED1"/>
    <w:rsid w:val="420B31C5"/>
    <w:rsid w:val="420C9152"/>
    <w:rsid w:val="420D951D"/>
    <w:rsid w:val="421F77E9"/>
    <w:rsid w:val="4222EA9C"/>
    <w:rsid w:val="423027B7"/>
    <w:rsid w:val="423E6EAC"/>
    <w:rsid w:val="4268B0F6"/>
    <w:rsid w:val="42700696"/>
    <w:rsid w:val="4275DB09"/>
    <w:rsid w:val="4276633A"/>
    <w:rsid w:val="42776132"/>
    <w:rsid w:val="427E79F9"/>
    <w:rsid w:val="42897932"/>
    <w:rsid w:val="42977231"/>
    <w:rsid w:val="429E74B7"/>
    <w:rsid w:val="42A67BA4"/>
    <w:rsid w:val="42AF60D7"/>
    <w:rsid w:val="42DAF9AC"/>
    <w:rsid w:val="42DB8FFE"/>
    <w:rsid w:val="42DEE486"/>
    <w:rsid w:val="42EA1810"/>
    <w:rsid w:val="42EC5858"/>
    <w:rsid w:val="42EE3407"/>
    <w:rsid w:val="42FD1E77"/>
    <w:rsid w:val="43031D58"/>
    <w:rsid w:val="430335BA"/>
    <w:rsid w:val="4314EEC0"/>
    <w:rsid w:val="431D1983"/>
    <w:rsid w:val="432FFB4D"/>
    <w:rsid w:val="437E5E33"/>
    <w:rsid w:val="438A2DED"/>
    <w:rsid w:val="43943FCD"/>
    <w:rsid w:val="439549C0"/>
    <w:rsid w:val="43B4D63E"/>
    <w:rsid w:val="43C6A8CB"/>
    <w:rsid w:val="43CA0C1F"/>
    <w:rsid w:val="43CA97BB"/>
    <w:rsid w:val="43D167A4"/>
    <w:rsid w:val="43E1646A"/>
    <w:rsid w:val="43EEB85A"/>
    <w:rsid w:val="44044D65"/>
    <w:rsid w:val="440C4631"/>
    <w:rsid w:val="4411970F"/>
    <w:rsid w:val="44232701"/>
    <w:rsid w:val="4441E3DA"/>
    <w:rsid w:val="4467DD8A"/>
    <w:rsid w:val="44873A70"/>
    <w:rsid w:val="4494C121"/>
    <w:rsid w:val="44983192"/>
    <w:rsid w:val="449966EF"/>
    <w:rsid w:val="449D49E2"/>
    <w:rsid w:val="44B71C5F"/>
    <w:rsid w:val="44C68D7F"/>
    <w:rsid w:val="44E31296"/>
    <w:rsid w:val="44E71BA1"/>
    <w:rsid w:val="44F2AD47"/>
    <w:rsid w:val="44F61AB7"/>
    <w:rsid w:val="44F67221"/>
    <w:rsid w:val="44F82C62"/>
    <w:rsid w:val="4503CAF5"/>
    <w:rsid w:val="4524A1C3"/>
    <w:rsid w:val="45455AD4"/>
    <w:rsid w:val="454B41C7"/>
    <w:rsid w:val="4557E935"/>
    <w:rsid w:val="455B3963"/>
    <w:rsid w:val="45619C23"/>
    <w:rsid w:val="4562B79E"/>
    <w:rsid w:val="4568B3A0"/>
    <w:rsid w:val="456A5909"/>
    <w:rsid w:val="4570EF50"/>
    <w:rsid w:val="4576FDB9"/>
    <w:rsid w:val="45884B30"/>
    <w:rsid w:val="4592176F"/>
    <w:rsid w:val="45947330"/>
    <w:rsid w:val="4598A030"/>
    <w:rsid w:val="45A051B8"/>
    <w:rsid w:val="45A3A65C"/>
    <w:rsid w:val="45BAA3AA"/>
    <w:rsid w:val="45C59F8B"/>
    <w:rsid w:val="45CB0F58"/>
    <w:rsid w:val="45D3498D"/>
    <w:rsid w:val="45D88EC2"/>
    <w:rsid w:val="45FCCAEA"/>
    <w:rsid w:val="45FD3943"/>
    <w:rsid w:val="4607011B"/>
    <w:rsid w:val="460E4246"/>
    <w:rsid w:val="46125970"/>
    <w:rsid w:val="46252D03"/>
    <w:rsid w:val="46426C05"/>
    <w:rsid w:val="4644728B"/>
    <w:rsid w:val="464F56C3"/>
    <w:rsid w:val="4659F037"/>
    <w:rsid w:val="46650EB1"/>
    <w:rsid w:val="46666A0C"/>
    <w:rsid w:val="46823F22"/>
    <w:rsid w:val="4688BA64"/>
    <w:rsid w:val="468FF21F"/>
    <w:rsid w:val="46996C31"/>
    <w:rsid w:val="469A66E4"/>
    <w:rsid w:val="46A73513"/>
    <w:rsid w:val="46AF3EBA"/>
    <w:rsid w:val="46D0A97A"/>
    <w:rsid w:val="46E42ADB"/>
    <w:rsid w:val="46F8B9AF"/>
    <w:rsid w:val="471ED9A0"/>
    <w:rsid w:val="47325A36"/>
    <w:rsid w:val="47353D2B"/>
    <w:rsid w:val="4738C10D"/>
    <w:rsid w:val="473ECA71"/>
    <w:rsid w:val="47414E5E"/>
    <w:rsid w:val="4747A9F9"/>
    <w:rsid w:val="474D125E"/>
    <w:rsid w:val="4750EEB3"/>
    <w:rsid w:val="477A3798"/>
    <w:rsid w:val="477CB915"/>
    <w:rsid w:val="47826A56"/>
    <w:rsid w:val="4789004C"/>
    <w:rsid w:val="47A72758"/>
    <w:rsid w:val="47B4AFF1"/>
    <w:rsid w:val="47B7E737"/>
    <w:rsid w:val="47C49CAE"/>
    <w:rsid w:val="47C94120"/>
    <w:rsid w:val="47D1E4E9"/>
    <w:rsid w:val="47D3C9DB"/>
    <w:rsid w:val="47F03F7C"/>
    <w:rsid w:val="47F412E5"/>
    <w:rsid w:val="47F79BE8"/>
    <w:rsid w:val="47F947A8"/>
    <w:rsid w:val="4801B33F"/>
    <w:rsid w:val="48082763"/>
    <w:rsid w:val="480D3EB1"/>
    <w:rsid w:val="48226083"/>
    <w:rsid w:val="482B0EC9"/>
    <w:rsid w:val="482B90FD"/>
    <w:rsid w:val="483D19BC"/>
    <w:rsid w:val="483DF1B2"/>
    <w:rsid w:val="483F7E76"/>
    <w:rsid w:val="4843F584"/>
    <w:rsid w:val="487E580D"/>
    <w:rsid w:val="4882D1AE"/>
    <w:rsid w:val="488D0C50"/>
    <w:rsid w:val="48934296"/>
    <w:rsid w:val="4897FC9F"/>
    <w:rsid w:val="48A76AAC"/>
    <w:rsid w:val="48B2D35B"/>
    <w:rsid w:val="48CD0312"/>
    <w:rsid w:val="48D3C925"/>
    <w:rsid w:val="48D4112B"/>
    <w:rsid w:val="48D5D8B2"/>
    <w:rsid w:val="48E1120A"/>
    <w:rsid w:val="48E430C9"/>
    <w:rsid w:val="48EBCB56"/>
    <w:rsid w:val="48FC1CB1"/>
    <w:rsid w:val="48FDEC0E"/>
    <w:rsid w:val="49055F1A"/>
    <w:rsid w:val="490D9548"/>
    <w:rsid w:val="491025D4"/>
    <w:rsid w:val="491434B8"/>
    <w:rsid w:val="491B16AC"/>
    <w:rsid w:val="494E164C"/>
    <w:rsid w:val="494EDB17"/>
    <w:rsid w:val="494FA8C6"/>
    <w:rsid w:val="4952F531"/>
    <w:rsid w:val="49686D58"/>
    <w:rsid w:val="49695FB8"/>
    <w:rsid w:val="49776741"/>
    <w:rsid w:val="498E1F4B"/>
    <w:rsid w:val="4993A4B3"/>
    <w:rsid w:val="4996A7E8"/>
    <w:rsid w:val="499BD2FB"/>
    <w:rsid w:val="49A4543B"/>
    <w:rsid w:val="49BE3819"/>
    <w:rsid w:val="49BE9F43"/>
    <w:rsid w:val="49D0CF45"/>
    <w:rsid w:val="49D12A9F"/>
    <w:rsid w:val="49D6312D"/>
    <w:rsid w:val="49DFC5E5"/>
    <w:rsid w:val="49EC1844"/>
    <w:rsid w:val="49FB332E"/>
    <w:rsid w:val="4A012C21"/>
    <w:rsid w:val="4A0C1A09"/>
    <w:rsid w:val="4A100951"/>
    <w:rsid w:val="4A240949"/>
    <w:rsid w:val="4A2AFC3F"/>
    <w:rsid w:val="4A2C3DB2"/>
    <w:rsid w:val="4A389EC5"/>
    <w:rsid w:val="4A4CE879"/>
    <w:rsid w:val="4A5D52E6"/>
    <w:rsid w:val="4A605CDA"/>
    <w:rsid w:val="4A7781EE"/>
    <w:rsid w:val="4A87A4C8"/>
    <w:rsid w:val="4AAB90E8"/>
    <w:rsid w:val="4AAE7980"/>
    <w:rsid w:val="4ABE2C02"/>
    <w:rsid w:val="4ABFA7FA"/>
    <w:rsid w:val="4ACD32F0"/>
    <w:rsid w:val="4AD7427F"/>
    <w:rsid w:val="4AF9A21F"/>
    <w:rsid w:val="4B164FF0"/>
    <w:rsid w:val="4B24264D"/>
    <w:rsid w:val="4B2D3965"/>
    <w:rsid w:val="4B349838"/>
    <w:rsid w:val="4B3B0132"/>
    <w:rsid w:val="4B3BC16B"/>
    <w:rsid w:val="4B4168C5"/>
    <w:rsid w:val="4B61F853"/>
    <w:rsid w:val="4B7F87B0"/>
    <w:rsid w:val="4B936627"/>
    <w:rsid w:val="4BB16A22"/>
    <w:rsid w:val="4BB617E7"/>
    <w:rsid w:val="4BB7A716"/>
    <w:rsid w:val="4BC3D420"/>
    <w:rsid w:val="4BC80E13"/>
    <w:rsid w:val="4BDB010E"/>
    <w:rsid w:val="4BE1C24F"/>
    <w:rsid w:val="4BE3B4BD"/>
    <w:rsid w:val="4BEA91F0"/>
    <w:rsid w:val="4C1661AB"/>
    <w:rsid w:val="4C180B21"/>
    <w:rsid w:val="4C195418"/>
    <w:rsid w:val="4C2E7D15"/>
    <w:rsid w:val="4C2FD96E"/>
    <w:rsid w:val="4C37CB53"/>
    <w:rsid w:val="4C6B7727"/>
    <w:rsid w:val="4C77C3F0"/>
    <w:rsid w:val="4C78041B"/>
    <w:rsid w:val="4C8BDE2C"/>
    <w:rsid w:val="4C8D8690"/>
    <w:rsid w:val="4C974CDB"/>
    <w:rsid w:val="4CA7FC34"/>
    <w:rsid w:val="4CAAE967"/>
    <w:rsid w:val="4CB2BD1D"/>
    <w:rsid w:val="4CB4E5F8"/>
    <w:rsid w:val="4CCEAD14"/>
    <w:rsid w:val="4CEC0E91"/>
    <w:rsid w:val="4CED3180"/>
    <w:rsid w:val="4CF5FCFE"/>
    <w:rsid w:val="4D233E06"/>
    <w:rsid w:val="4D3168ED"/>
    <w:rsid w:val="4D3234E3"/>
    <w:rsid w:val="4D3F7F28"/>
    <w:rsid w:val="4D48D2E5"/>
    <w:rsid w:val="4D491D09"/>
    <w:rsid w:val="4D5E3C81"/>
    <w:rsid w:val="4D60C057"/>
    <w:rsid w:val="4D63DCFF"/>
    <w:rsid w:val="4D6D6AAC"/>
    <w:rsid w:val="4D84F9EC"/>
    <w:rsid w:val="4D86F50E"/>
    <w:rsid w:val="4D906C8E"/>
    <w:rsid w:val="4D9A37EA"/>
    <w:rsid w:val="4D9CA037"/>
    <w:rsid w:val="4DC4E8E3"/>
    <w:rsid w:val="4DD97CBC"/>
    <w:rsid w:val="4E05DC0D"/>
    <w:rsid w:val="4E0F755A"/>
    <w:rsid w:val="4E18F3DA"/>
    <w:rsid w:val="4E1A2983"/>
    <w:rsid w:val="4E21FDEE"/>
    <w:rsid w:val="4E23D24B"/>
    <w:rsid w:val="4E3132C1"/>
    <w:rsid w:val="4E4A739A"/>
    <w:rsid w:val="4E4E4A53"/>
    <w:rsid w:val="4E579B18"/>
    <w:rsid w:val="4E76D8D4"/>
    <w:rsid w:val="4E7E86A8"/>
    <w:rsid w:val="4E869925"/>
    <w:rsid w:val="4E8994D9"/>
    <w:rsid w:val="4E8C2DD3"/>
    <w:rsid w:val="4E91A207"/>
    <w:rsid w:val="4EA408EB"/>
    <w:rsid w:val="4EBD4134"/>
    <w:rsid w:val="4EE4880A"/>
    <w:rsid w:val="4F0B10AE"/>
    <w:rsid w:val="4F22D064"/>
    <w:rsid w:val="4F24E2FD"/>
    <w:rsid w:val="4F2E0BA1"/>
    <w:rsid w:val="4F62D53D"/>
    <w:rsid w:val="4F7E3E93"/>
    <w:rsid w:val="4F873A6E"/>
    <w:rsid w:val="4F8AC88C"/>
    <w:rsid w:val="4FA04038"/>
    <w:rsid w:val="4FA6F06E"/>
    <w:rsid w:val="4FAB384B"/>
    <w:rsid w:val="4FC2E776"/>
    <w:rsid w:val="4FC94A14"/>
    <w:rsid w:val="4FCDB0BB"/>
    <w:rsid w:val="4FD7EE2E"/>
    <w:rsid w:val="4FE4CEB9"/>
    <w:rsid w:val="4FEA39B3"/>
    <w:rsid w:val="4FF9BE76"/>
    <w:rsid w:val="4FFCE5CD"/>
    <w:rsid w:val="5008CD85"/>
    <w:rsid w:val="50122262"/>
    <w:rsid w:val="501C224A"/>
    <w:rsid w:val="50332983"/>
    <w:rsid w:val="503E5266"/>
    <w:rsid w:val="504388C6"/>
    <w:rsid w:val="50477BA0"/>
    <w:rsid w:val="504F8E42"/>
    <w:rsid w:val="50640E50"/>
    <w:rsid w:val="5067E528"/>
    <w:rsid w:val="507423FC"/>
    <w:rsid w:val="50796178"/>
    <w:rsid w:val="507CF110"/>
    <w:rsid w:val="508ACA68"/>
    <w:rsid w:val="508D3323"/>
    <w:rsid w:val="5092B6F3"/>
    <w:rsid w:val="50961BC0"/>
    <w:rsid w:val="509D7B32"/>
    <w:rsid w:val="50A04007"/>
    <w:rsid w:val="50A31112"/>
    <w:rsid w:val="50C71F1A"/>
    <w:rsid w:val="50CC1811"/>
    <w:rsid w:val="50D42150"/>
    <w:rsid w:val="50E4FC01"/>
    <w:rsid w:val="50E81871"/>
    <w:rsid w:val="50EBC43E"/>
    <w:rsid w:val="51098B01"/>
    <w:rsid w:val="5118F8CA"/>
    <w:rsid w:val="511A64C1"/>
    <w:rsid w:val="5124B941"/>
    <w:rsid w:val="51304639"/>
    <w:rsid w:val="513D2B60"/>
    <w:rsid w:val="514313BB"/>
    <w:rsid w:val="515940A8"/>
    <w:rsid w:val="515E0EF0"/>
    <w:rsid w:val="51735C78"/>
    <w:rsid w:val="5174920A"/>
    <w:rsid w:val="51786F96"/>
    <w:rsid w:val="5182AD13"/>
    <w:rsid w:val="51930ECC"/>
    <w:rsid w:val="519B0A15"/>
    <w:rsid w:val="519E6559"/>
    <w:rsid w:val="51B4AE13"/>
    <w:rsid w:val="51B9AAC6"/>
    <w:rsid w:val="51C3E08A"/>
    <w:rsid w:val="51CC2AFB"/>
    <w:rsid w:val="51D25170"/>
    <w:rsid w:val="51D7320F"/>
    <w:rsid w:val="51E347A1"/>
    <w:rsid w:val="51EE01A3"/>
    <w:rsid w:val="5200B620"/>
    <w:rsid w:val="520848FB"/>
    <w:rsid w:val="5215FDBA"/>
    <w:rsid w:val="521688BC"/>
    <w:rsid w:val="52263312"/>
    <w:rsid w:val="524DA2B2"/>
    <w:rsid w:val="525456C7"/>
    <w:rsid w:val="526DDD8B"/>
    <w:rsid w:val="527B8952"/>
    <w:rsid w:val="52882907"/>
    <w:rsid w:val="5289F715"/>
    <w:rsid w:val="5294E76D"/>
    <w:rsid w:val="529AA20C"/>
    <w:rsid w:val="529AF7F5"/>
    <w:rsid w:val="529F7FA6"/>
    <w:rsid w:val="52AA08B2"/>
    <w:rsid w:val="52BA906C"/>
    <w:rsid w:val="52E47577"/>
    <w:rsid w:val="5310ED6D"/>
    <w:rsid w:val="5335D6BC"/>
    <w:rsid w:val="5336581A"/>
    <w:rsid w:val="53440870"/>
    <w:rsid w:val="53517B6E"/>
    <w:rsid w:val="5369FB98"/>
    <w:rsid w:val="536DDA97"/>
    <w:rsid w:val="536E1E95"/>
    <w:rsid w:val="53855446"/>
    <w:rsid w:val="538DAFA8"/>
    <w:rsid w:val="538E841B"/>
    <w:rsid w:val="53AB4C7A"/>
    <w:rsid w:val="53D61132"/>
    <w:rsid w:val="53DB0964"/>
    <w:rsid w:val="53EFBCE2"/>
    <w:rsid w:val="53F871BB"/>
    <w:rsid w:val="5425C6C1"/>
    <w:rsid w:val="544AFFD8"/>
    <w:rsid w:val="5460615F"/>
    <w:rsid w:val="546625AE"/>
    <w:rsid w:val="547E6537"/>
    <w:rsid w:val="5491AAAC"/>
    <w:rsid w:val="54944C24"/>
    <w:rsid w:val="54AD6CAB"/>
    <w:rsid w:val="54B24F31"/>
    <w:rsid w:val="54B85831"/>
    <w:rsid w:val="54CE5BBB"/>
    <w:rsid w:val="54D112DB"/>
    <w:rsid w:val="54D29E74"/>
    <w:rsid w:val="5508D111"/>
    <w:rsid w:val="551331BE"/>
    <w:rsid w:val="5527C0FA"/>
    <w:rsid w:val="552A2C3B"/>
    <w:rsid w:val="553A3EA1"/>
    <w:rsid w:val="553ABDC4"/>
    <w:rsid w:val="5547AEBA"/>
    <w:rsid w:val="555A95C4"/>
    <w:rsid w:val="556C12B4"/>
    <w:rsid w:val="558949C3"/>
    <w:rsid w:val="558C8BA0"/>
    <w:rsid w:val="558CD880"/>
    <w:rsid w:val="558FE46D"/>
    <w:rsid w:val="55A355A9"/>
    <w:rsid w:val="55A98B6E"/>
    <w:rsid w:val="55AC2E84"/>
    <w:rsid w:val="55B7F3F9"/>
    <w:rsid w:val="55C1DDDD"/>
    <w:rsid w:val="55C5CBB9"/>
    <w:rsid w:val="55D600DA"/>
    <w:rsid w:val="55D769EF"/>
    <w:rsid w:val="55F8D216"/>
    <w:rsid w:val="55FF0BBE"/>
    <w:rsid w:val="560D0796"/>
    <w:rsid w:val="56272159"/>
    <w:rsid w:val="56397CCA"/>
    <w:rsid w:val="5641D03A"/>
    <w:rsid w:val="5650AA8B"/>
    <w:rsid w:val="567AC242"/>
    <w:rsid w:val="567AF77C"/>
    <w:rsid w:val="567CF73F"/>
    <w:rsid w:val="56B4201B"/>
    <w:rsid w:val="56B934E8"/>
    <w:rsid w:val="56C282DA"/>
    <w:rsid w:val="56C6B140"/>
    <w:rsid w:val="56D95907"/>
    <w:rsid w:val="56DE5091"/>
    <w:rsid w:val="56EB6CBB"/>
    <w:rsid w:val="56EF3C87"/>
    <w:rsid w:val="56FFC830"/>
    <w:rsid w:val="5715C20A"/>
    <w:rsid w:val="571741CC"/>
    <w:rsid w:val="572BE124"/>
    <w:rsid w:val="573C9E84"/>
    <w:rsid w:val="574CA0A4"/>
    <w:rsid w:val="576BBECA"/>
    <w:rsid w:val="5773C204"/>
    <w:rsid w:val="5775E9FC"/>
    <w:rsid w:val="577C5084"/>
    <w:rsid w:val="57841BD5"/>
    <w:rsid w:val="5785A738"/>
    <w:rsid w:val="57A068BB"/>
    <w:rsid w:val="57A1E6E7"/>
    <w:rsid w:val="57AE185E"/>
    <w:rsid w:val="57CE348C"/>
    <w:rsid w:val="57E87CE5"/>
    <w:rsid w:val="5807658B"/>
    <w:rsid w:val="5811367E"/>
    <w:rsid w:val="582008A9"/>
    <w:rsid w:val="582357DD"/>
    <w:rsid w:val="582C60D1"/>
    <w:rsid w:val="582CD9D2"/>
    <w:rsid w:val="5851F602"/>
    <w:rsid w:val="58567A7B"/>
    <w:rsid w:val="585E7290"/>
    <w:rsid w:val="5862A0B5"/>
    <w:rsid w:val="58673DE2"/>
    <w:rsid w:val="58682CF7"/>
    <w:rsid w:val="5868F8D1"/>
    <w:rsid w:val="5887BE80"/>
    <w:rsid w:val="588D31A5"/>
    <w:rsid w:val="589715BE"/>
    <w:rsid w:val="58A33627"/>
    <w:rsid w:val="58BAAC67"/>
    <w:rsid w:val="58BF1995"/>
    <w:rsid w:val="58C7362D"/>
    <w:rsid w:val="58D624A4"/>
    <w:rsid w:val="58DF92F3"/>
    <w:rsid w:val="58E56EF8"/>
    <w:rsid w:val="58E9EDDF"/>
    <w:rsid w:val="590ABFFF"/>
    <w:rsid w:val="5910608A"/>
    <w:rsid w:val="591D831A"/>
    <w:rsid w:val="59323162"/>
    <w:rsid w:val="59365633"/>
    <w:rsid w:val="593C2172"/>
    <w:rsid w:val="593DE234"/>
    <w:rsid w:val="594201C5"/>
    <w:rsid w:val="5942290F"/>
    <w:rsid w:val="594A0B64"/>
    <w:rsid w:val="594C4166"/>
    <w:rsid w:val="5956F2F2"/>
    <w:rsid w:val="5958902B"/>
    <w:rsid w:val="5968CD9D"/>
    <w:rsid w:val="596D6313"/>
    <w:rsid w:val="5978B4FA"/>
    <w:rsid w:val="5982CED8"/>
    <w:rsid w:val="598A769B"/>
    <w:rsid w:val="599196A6"/>
    <w:rsid w:val="599A804B"/>
    <w:rsid w:val="599DF17D"/>
    <w:rsid w:val="59A8D376"/>
    <w:rsid w:val="59B463AB"/>
    <w:rsid w:val="59C319D7"/>
    <w:rsid w:val="59D30759"/>
    <w:rsid w:val="59DFD133"/>
    <w:rsid w:val="59ECF724"/>
    <w:rsid w:val="59FB045F"/>
    <w:rsid w:val="59FB1FB0"/>
    <w:rsid w:val="59FC5E00"/>
    <w:rsid w:val="5A0AB290"/>
    <w:rsid w:val="5A1097B3"/>
    <w:rsid w:val="5A15E221"/>
    <w:rsid w:val="5A20E47D"/>
    <w:rsid w:val="5A23E152"/>
    <w:rsid w:val="5A2EE305"/>
    <w:rsid w:val="5A304D07"/>
    <w:rsid w:val="5A31729F"/>
    <w:rsid w:val="5A3909D2"/>
    <w:rsid w:val="5A39AAA8"/>
    <w:rsid w:val="5A3AE932"/>
    <w:rsid w:val="5A620EFD"/>
    <w:rsid w:val="5A687A42"/>
    <w:rsid w:val="5A7A5581"/>
    <w:rsid w:val="5A86041D"/>
    <w:rsid w:val="5A89D74C"/>
    <w:rsid w:val="5AB85FDD"/>
    <w:rsid w:val="5AEE6465"/>
    <w:rsid w:val="5B168B4C"/>
    <w:rsid w:val="5B202E30"/>
    <w:rsid w:val="5B2A0FF1"/>
    <w:rsid w:val="5B585FDA"/>
    <w:rsid w:val="5B6EDC4C"/>
    <w:rsid w:val="5B71C147"/>
    <w:rsid w:val="5B7B6790"/>
    <w:rsid w:val="5BAC2283"/>
    <w:rsid w:val="5BADD8B0"/>
    <w:rsid w:val="5BBB737D"/>
    <w:rsid w:val="5BC69F57"/>
    <w:rsid w:val="5BD388D6"/>
    <w:rsid w:val="5BD4F356"/>
    <w:rsid w:val="5BD99C6B"/>
    <w:rsid w:val="5BDA3DF6"/>
    <w:rsid w:val="5BDCEA47"/>
    <w:rsid w:val="5BF3CD6A"/>
    <w:rsid w:val="5BFF88A2"/>
    <w:rsid w:val="5C0E532D"/>
    <w:rsid w:val="5C1F4D77"/>
    <w:rsid w:val="5C442571"/>
    <w:rsid w:val="5C63C9F9"/>
    <w:rsid w:val="5C7492CE"/>
    <w:rsid w:val="5C901A6B"/>
    <w:rsid w:val="5CBC86A6"/>
    <w:rsid w:val="5CBD7626"/>
    <w:rsid w:val="5CC26DF7"/>
    <w:rsid w:val="5CE11054"/>
    <w:rsid w:val="5CF2D56B"/>
    <w:rsid w:val="5D1A750D"/>
    <w:rsid w:val="5D4DF40A"/>
    <w:rsid w:val="5D4F9314"/>
    <w:rsid w:val="5D57CAF2"/>
    <w:rsid w:val="5D57F137"/>
    <w:rsid w:val="5D5DDA30"/>
    <w:rsid w:val="5D6BA77B"/>
    <w:rsid w:val="5D8726CE"/>
    <w:rsid w:val="5D9094FB"/>
    <w:rsid w:val="5D942F5D"/>
    <w:rsid w:val="5DA04CB7"/>
    <w:rsid w:val="5DA75ECE"/>
    <w:rsid w:val="5DAFBDDB"/>
    <w:rsid w:val="5DBA8EA2"/>
    <w:rsid w:val="5DBC0EC9"/>
    <w:rsid w:val="5DBCF99C"/>
    <w:rsid w:val="5DC9A4BF"/>
    <w:rsid w:val="5DD6B5DC"/>
    <w:rsid w:val="5DFD7B4A"/>
    <w:rsid w:val="5E0065EA"/>
    <w:rsid w:val="5E012701"/>
    <w:rsid w:val="5E01923C"/>
    <w:rsid w:val="5E156804"/>
    <w:rsid w:val="5E26885A"/>
    <w:rsid w:val="5E387DCE"/>
    <w:rsid w:val="5E4CB562"/>
    <w:rsid w:val="5E654C93"/>
    <w:rsid w:val="5E75A533"/>
    <w:rsid w:val="5E76658F"/>
    <w:rsid w:val="5E7859CE"/>
    <w:rsid w:val="5E7C61C1"/>
    <w:rsid w:val="5E82B8B6"/>
    <w:rsid w:val="5E864B2F"/>
    <w:rsid w:val="5E903E98"/>
    <w:rsid w:val="5E932FD3"/>
    <w:rsid w:val="5E9C1B2F"/>
    <w:rsid w:val="5EB5D4ED"/>
    <w:rsid w:val="5EC47A0E"/>
    <w:rsid w:val="5EC78AA3"/>
    <w:rsid w:val="5ED73428"/>
    <w:rsid w:val="5EE31D72"/>
    <w:rsid w:val="5EF45F34"/>
    <w:rsid w:val="5F06A7A4"/>
    <w:rsid w:val="5F0AFB05"/>
    <w:rsid w:val="5F0BA256"/>
    <w:rsid w:val="5F1A19F1"/>
    <w:rsid w:val="5F225B07"/>
    <w:rsid w:val="5F2EA307"/>
    <w:rsid w:val="5F4D58CE"/>
    <w:rsid w:val="5F4E9129"/>
    <w:rsid w:val="5F52191C"/>
    <w:rsid w:val="5F63E876"/>
    <w:rsid w:val="5F6F31ED"/>
    <w:rsid w:val="5F707AB0"/>
    <w:rsid w:val="5F7B556D"/>
    <w:rsid w:val="5F96559B"/>
    <w:rsid w:val="5FA8F10F"/>
    <w:rsid w:val="5FAC4A4D"/>
    <w:rsid w:val="5FB6E213"/>
    <w:rsid w:val="5FE46674"/>
    <w:rsid w:val="5FE8316E"/>
    <w:rsid w:val="5FF3639F"/>
    <w:rsid w:val="5FFFCB40"/>
    <w:rsid w:val="600C9957"/>
    <w:rsid w:val="601BC3FC"/>
    <w:rsid w:val="602FD515"/>
    <w:rsid w:val="603C0E47"/>
    <w:rsid w:val="604455E8"/>
    <w:rsid w:val="605CC714"/>
    <w:rsid w:val="6070F1E5"/>
    <w:rsid w:val="6088045E"/>
    <w:rsid w:val="609AF130"/>
    <w:rsid w:val="609FC3A9"/>
    <w:rsid w:val="60D103F7"/>
    <w:rsid w:val="60EB2DA6"/>
    <w:rsid w:val="60ECFDA1"/>
    <w:rsid w:val="60F97DC2"/>
    <w:rsid w:val="610905AE"/>
    <w:rsid w:val="610FD8AE"/>
    <w:rsid w:val="6111903D"/>
    <w:rsid w:val="6118AC15"/>
    <w:rsid w:val="61326F50"/>
    <w:rsid w:val="614ADC8A"/>
    <w:rsid w:val="614B8BC6"/>
    <w:rsid w:val="614ECE17"/>
    <w:rsid w:val="6158C843"/>
    <w:rsid w:val="6187F13E"/>
    <w:rsid w:val="618D04BC"/>
    <w:rsid w:val="61900996"/>
    <w:rsid w:val="6193B24A"/>
    <w:rsid w:val="619C274B"/>
    <w:rsid w:val="61A19698"/>
    <w:rsid w:val="61A738AD"/>
    <w:rsid w:val="61ACCA6D"/>
    <w:rsid w:val="61B1A315"/>
    <w:rsid w:val="61C12677"/>
    <w:rsid w:val="61EA7D74"/>
    <w:rsid w:val="620B27D3"/>
    <w:rsid w:val="6214C131"/>
    <w:rsid w:val="623715E9"/>
    <w:rsid w:val="624361DA"/>
    <w:rsid w:val="625049BE"/>
    <w:rsid w:val="62537CB1"/>
    <w:rsid w:val="625FBF07"/>
    <w:rsid w:val="626C8A6B"/>
    <w:rsid w:val="626D0B9B"/>
    <w:rsid w:val="628C0B9D"/>
    <w:rsid w:val="629428B9"/>
    <w:rsid w:val="62A19691"/>
    <w:rsid w:val="62D2950A"/>
    <w:rsid w:val="62E63A6F"/>
    <w:rsid w:val="62E8C71F"/>
    <w:rsid w:val="62E936F4"/>
    <w:rsid w:val="62EA4B40"/>
    <w:rsid w:val="62FE29C5"/>
    <w:rsid w:val="630974CC"/>
    <w:rsid w:val="631750FC"/>
    <w:rsid w:val="6335BCF9"/>
    <w:rsid w:val="6338E921"/>
    <w:rsid w:val="633E4A95"/>
    <w:rsid w:val="6358B98C"/>
    <w:rsid w:val="635E350F"/>
    <w:rsid w:val="6362DD42"/>
    <w:rsid w:val="63679C05"/>
    <w:rsid w:val="6380D2F1"/>
    <w:rsid w:val="6388517B"/>
    <w:rsid w:val="638EEAB9"/>
    <w:rsid w:val="63976F9F"/>
    <w:rsid w:val="63AE7CF9"/>
    <w:rsid w:val="63CDB8AE"/>
    <w:rsid w:val="63CE56A9"/>
    <w:rsid w:val="63D90C83"/>
    <w:rsid w:val="63DD65C0"/>
    <w:rsid w:val="63EE229C"/>
    <w:rsid w:val="6413802D"/>
    <w:rsid w:val="642BC453"/>
    <w:rsid w:val="64305D7A"/>
    <w:rsid w:val="6435C1F1"/>
    <w:rsid w:val="64366A0B"/>
    <w:rsid w:val="643EEC42"/>
    <w:rsid w:val="6440989D"/>
    <w:rsid w:val="6447A673"/>
    <w:rsid w:val="644B5C6A"/>
    <w:rsid w:val="64544CD0"/>
    <w:rsid w:val="6458EBA0"/>
    <w:rsid w:val="646E440A"/>
    <w:rsid w:val="647848AE"/>
    <w:rsid w:val="6487BA43"/>
    <w:rsid w:val="648E95AF"/>
    <w:rsid w:val="64A03363"/>
    <w:rsid w:val="64ABEB8C"/>
    <w:rsid w:val="64AE6E6C"/>
    <w:rsid w:val="64CBF253"/>
    <w:rsid w:val="64D3B87A"/>
    <w:rsid w:val="64DAE649"/>
    <w:rsid w:val="64E48728"/>
    <w:rsid w:val="64E71BAE"/>
    <w:rsid w:val="64E9B89D"/>
    <w:rsid w:val="64F0EFE2"/>
    <w:rsid w:val="650647F4"/>
    <w:rsid w:val="6512FB1B"/>
    <w:rsid w:val="651C5157"/>
    <w:rsid w:val="651F3CFF"/>
    <w:rsid w:val="6522ABB3"/>
    <w:rsid w:val="65256A5E"/>
    <w:rsid w:val="65316E90"/>
    <w:rsid w:val="6533DB1E"/>
    <w:rsid w:val="6574AE38"/>
    <w:rsid w:val="65751EB3"/>
    <w:rsid w:val="657AE503"/>
    <w:rsid w:val="657CF6D9"/>
    <w:rsid w:val="6597596C"/>
    <w:rsid w:val="65A6E84C"/>
    <w:rsid w:val="65A85F31"/>
    <w:rsid w:val="65B9CF01"/>
    <w:rsid w:val="65BF93A7"/>
    <w:rsid w:val="65C12E36"/>
    <w:rsid w:val="65C6745B"/>
    <w:rsid w:val="65D09000"/>
    <w:rsid w:val="65D09ACE"/>
    <w:rsid w:val="65D0E06C"/>
    <w:rsid w:val="65D74303"/>
    <w:rsid w:val="65E5C729"/>
    <w:rsid w:val="65E7074C"/>
    <w:rsid w:val="66016136"/>
    <w:rsid w:val="661E573F"/>
    <w:rsid w:val="662B5C70"/>
    <w:rsid w:val="6649ABE0"/>
    <w:rsid w:val="66579AAA"/>
    <w:rsid w:val="6666E76A"/>
    <w:rsid w:val="6683934A"/>
    <w:rsid w:val="66867EA3"/>
    <w:rsid w:val="66906208"/>
    <w:rsid w:val="66A0E604"/>
    <w:rsid w:val="66B35ED7"/>
    <w:rsid w:val="66B47FB9"/>
    <w:rsid w:val="66B57CF1"/>
    <w:rsid w:val="66B80DCB"/>
    <w:rsid w:val="66C13E25"/>
    <w:rsid w:val="66C55B82"/>
    <w:rsid w:val="66CB0CE3"/>
    <w:rsid w:val="66CCAD7C"/>
    <w:rsid w:val="66D0743A"/>
    <w:rsid w:val="66D12B5B"/>
    <w:rsid w:val="66DD4B25"/>
    <w:rsid w:val="66E0F75D"/>
    <w:rsid w:val="66EAC053"/>
    <w:rsid w:val="66FA1498"/>
    <w:rsid w:val="66FEE90E"/>
    <w:rsid w:val="6706EC45"/>
    <w:rsid w:val="672F1508"/>
    <w:rsid w:val="67385E07"/>
    <w:rsid w:val="67595274"/>
    <w:rsid w:val="675D81BE"/>
    <w:rsid w:val="677A4936"/>
    <w:rsid w:val="678F53E6"/>
    <w:rsid w:val="67978262"/>
    <w:rsid w:val="679B5E01"/>
    <w:rsid w:val="679DE291"/>
    <w:rsid w:val="67A0A85E"/>
    <w:rsid w:val="67B9D8AF"/>
    <w:rsid w:val="67BA33CD"/>
    <w:rsid w:val="67C0BE01"/>
    <w:rsid w:val="67CFE403"/>
    <w:rsid w:val="67D65EC5"/>
    <w:rsid w:val="67E87EB1"/>
    <w:rsid w:val="67E9ACCB"/>
    <w:rsid w:val="67EB9E74"/>
    <w:rsid w:val="67F7D430"/>
    <w:rsid w:val="68002CDD"/>
    <w:rsid w:val="6804E607"/>
    <w:rsid w:val="68098EA1"/>
    <w:rsid w:val="6812B9CE"/>
    <w:rsid w:val="68297468"/>
    <w:rsid w:val="685321FF"/>
    <w:rsid w:val="6853DDB2"/>
    <w:rsid w:val="6858E4AA"/>
    <w:rsid w:val="685AE311"/>
    <w:rsid w:val="686A94A1"/>
    <w:rsid w:val="686B1F2F"/>
    <w:rsid w:val="68843149"/>
    <w:rsid w:val="68900822"/>
    <w:rsid w:val="689A909B"/>
    <w:rsid w:val="689E59DC"/>
    <w:rsid w:val="68B6FF31"/>
    <w:rsid w:val="68CCFEC2"/>
    <w:rsid w:val="68CF476B"/>
    <w:rsid w:val="68DA3DF8"/>
    <w:rsid w:val="68E4DFF8"/>
    <w:rsid w:val="68E80199"/>
    <w:rsid w:val="68F07497"/>
    <w:rsid w:val="68F305AF"/>
    <w:rsid w:val="68F3386C"/>
    <w:rsid w:val="6902EBEE"/>
    <w:rsid w:val="6907C2F3"/>
    <w:rsid w:val="6921D605"/>
    <w:rsid w:val="6923E8D5"/>
    <w:rsid w:val="6929E8A5"/>
    <w:rsid w:val="692D7C59"/>
    <w:rsid w:val="6933D75C"/>
    <w:rsid w:val="694DCAB7"/>
    <w:rsid w:val="6951ED51"/>
    <w:rsid w:val="69586A64"/>
    <w:rsid w:val="69598A1A"/>
    <w:rsid w:val="69604CD4"/>
    <w:rsid w:val="696607F9"/>
    <w:rsid w:val="69660892"/>
    <w:rsid w:val="696B3D57"/>
    <w:rsid w:val="6975250D"/>
    <w:rsid w:val="697A9DA9"/>
    <w:rsid w:val="69905677"/>
    <w:rsid w:val="69A0F92A"/>
    <w:rsid w:val="69AA7069"/>
    <w:rsid w:val="69BFF8E9"/>
    <w:rsid w:val="69D55306"/>
    <w:rsid w:val="69DBE725"/>
    <w:rsid w:val="69E03B47"/>
    <w:rsid w:val="69E4DB8C"/>
    <w:rsid w:val="69E57641"/>
    <w:rsid w:val="69F38A89"/>
    <w:rsid w:val="69FF326C"/>
    <w:rsid w:val="6A43953D"/>
    <w:rsid w:val="6A4C3D5D"/>
    <w:rsid w:val="6A527EE8"/>
    <w:rsid w:val="6A56F1AF"/>
    <w:rsid w:val="6A61C3DA"/>
    <w:rsid w:val="6A635FA1"/>
    <w:rsid w:val="6A69CF76"/>
    <w:rsid w:val="6A8116DF"/>
    <w:rsid w:val="6A87FEB9"/>
    <w:rsid w:val="6AAA8AE6"/>
    <w:rsid w:val="6ABDA9E9"/>
    <w:rsid w:val="6AD3E4D5"/>
    <w:rsid w:val="6ADC569E"/>
    <w:rsid w:val="6AE0CC6E"/>
    <w:rsid w:val="6AE802CA"/>
    <w:rsid w:val="6B16B105"/>
    <w:rsid w:val="6B43D9AC"/>
    <w:rsid w:val="6B6182D1"/>
    <w:rsid w:val="6B84193E"/>
    <w:rsid w:val="6B85C9FA"/>
    <w:rsid w:val="6B86CEE8"/>
    <w:rsid w:val="6B89C36A"/>
    <w:rsid w:val="6BAE19C3"/>
    <w:rsid w:val="6BCAEE92"/>
    <w:rsid w:val="6BD30DDE"/>
    <w:rsid w:val="6BDA437D"/>
    <w:rsid w:val="6BFB70A5"/>
    <w:rsid w:val="6C14AAE8"/>
    <w:rsid w:val="6C1F87A5"/>
    <w:rsid w:val="6C236E40"/>
    <w:rsid w:val="6C3F941B"/>
    <w:rsid w:val="6C43F8E3"/>
    <w:rsid w:val="6C4C9993"/>
    <w:rsid w:val="6C526106"/>
    <w:rsid w:val="6C5423B9"/>
    <w:rsid w:val="6C5B395A"/>
    <w:rsid w:val="6C5F025B"/>
    <w:rsid w:val="6C8D0E3E"/>
    <w:rsid w:val="6C96A607"/>
    <w:rsid w:val="6CA0B41F"/>
    <w:rsid w:val="6CB8A94B"/>
    <w:rsid w:val="6CCAFA07"/>
    <w:rsid w:val="6CCCFA33"/>
    <w:rsid w:val="6CD7787D"/>
    <w:rsid w:val="6CDC5850"/>
    <w:rsid w:val="6CEA0C3B"/>
    <w:rsid w:val="6CF1E7B9"/>
    <w:rsid w:val="6CF70417"/>
    <w:rsid w:val="6CF7D5EF"/>
    <w:rsid w:val="6CFC2D6F"/>
    <w:rsid w:val="6D0174CE"/>
    <w:rsid w:val="6D15A11F"/>
    <w:rsid w:val="6D17AAF6"/>
    <w:rsid w:val="6D43E909"/>
    <w:rsid w:val="6D4E30B5"/>
    <w:rsid w:val="6D7E3AF4"/>
    <w:rsid w:val="6D87F087"/>
    <w:rsid w:val="6D887083"/>
    <w:rsid w:val="6D89A343"/>
    <w:rsid w:val="6D8EBB44"/>
    <w:rsid w:val="6DA370E9"/>
    <w:rsid w:val="6DAA5D82"/>
    <w:rsid w:val="6DAC5B11"/>
    <w:rsid w:val="6DBA8D40"/>
    <w:rsid w:val="6DBCF4F5"/>
    <w:rsid w:val="6DC4D942"/>
    <w:rsid w:val="6DE738B8"/>
    <w:rsid w:val="6DE929F2"/>
    <w:rsid w:val="6DEE44D5"/>
    <w:rsid w:val="6E03C963"/>
    <w:rsid w:val="6E057F80"/>
    <w:rsid w:val="6E076446"/>
    <w:rsid w:val="6E15417B"/>
    <w:rsid w:val="6E16817D"/>
    <w:rsid w:val="6E1BAD39"/>
    <w:rsid w:val="6E1DA3F6"/>
    <w:rsid w:val="6E28EA8F"/>
    <w:rsid w:val="6E3723A9"/>
    <w:rsid w:val="6E3EAF3E"/>
    <w:rsid w:val="6E480856"/>
    <w:rsid w:val="6E495AD3"/>
    <w:rsid w:val="6E5D4AED"/>
    <w:rsid w:val="6E632B57"/>
    <w:rsid w:val="6E68DBFC"/>
    <w:rsid w:val="6E73DB6C"/>
    <w:rsid w:val="6E97752D"/>
    <w:rsid w:val="6EA204DB"/>
    <w:rsid w:val="6EA39EBA"/>
    <w:rsid w:val="6EA87CC1"/>
    <w:rsid w:val="6EB54FB8"/>
    <w:rsid w:val="6EB64352"/>
    <w:rsid w:val="6EF1547D"/>
    <w:rsid w:val="6EF1FBC5"/>
    <w:rsid w:val="6F0EAAE4"/>
    <w:rsid w:val="6F0FA463"/>
    <w:rsid w:val="6F1A0645"/>
    <w:rsid w:val="6F1B1F6B"/>
    <w:rsid w:val="6F28843D"/>
    <w:rsid w:val="6F3328FE"/>
    <w:rsid w:val="6F41E91B"/>
    <w:rsid w:val="6F42A9FB"/>
    <w:rsid w:val="6F5744A0"/>
    <w:rsid w:val="6F654227"/>
    <w:rsid w:val="6F73C82C"/>
    <w:rsid w:val="6F86A7D4"/>
    <w:rsid w:val="6F875762"/>
    <w:rsid w:val="6F8BBF21"/>
    <w:rsid w:val="6F9CBCC6"/>
    <w:rsid w:val="6FA1737E"/>
    <w:rsid w:val="6FA354D6"/>
    <w:rsid w:val="6FA510A0"/>
    <w:rsid w:val="6FAA243F"/>
    <w:rsid w:val="6FB181B3"/>
    <w:rsid w:val="6FB8C0B5"/>
    <w:rsid w:val="6FDD3BFE"/>
    <w:rsid w:val="6FE71BB7"/>
    <w:rsid w:val="6FF93EAF"/>
    <w:rsid w:val="70015C49"/>
    <w:rsid w:val="700E28F9"/>
    <w:rsid w:val="70149069"/>
    <w:rsid w:val="70182737"/>
    <w:rsid w:val="703CC2EC"/>
    <w:rsid w:val="704696F0"/>
    <w:rsid w:val="705C5A10"/>
    <w:rsid w:val="706A7CFC"/>
    <w:rsid w:val="708321FD"/>
    <w:rsid w:val="70888EDF"/>
    <w:rsid w:val="708A4180"/>
    <w:rsid w:val="708B7D4A"/>
    <w:rsid w:val="709AFC34"/>
    <w:rsid w:val="70A11850"/>
    <w:rsid w:val="70AD027A"/>
    <w:rsid w:val="70AFF6F3"/>
    <w:rsid w:val="70C7C7B6"/>
    <w:rsid w:val="70D558DE"/>
    <w:rsid w:val="70D6F348"/>
    <w:rsid w:val="70D80F3B"/>
    <w:rsid w:val="70F82FE9"/>
    <w:rsid w:val="7110DC2E"/>
    <w:rsid w:val="71271EA3"/>
    <w:rsid w:val="7134E524"/>
    <w:rsid w:val="713C81C6"/>
    <w:rsid w:val="714D80F6"/>
    <w:rsid w:val="7163AE8C"/>
    <w:rsid w:val="7164EC58"/>
    <w:rsid w:val="7165BC9E"/>
    <w:rsid w:val="716A1A12"/>
    <w:rsid w:val="716E7DDA"/>
    <w:rsid w:val="71751F92"/>
    <w:rsid w:val="7176F6B3"/>
    <w:rsid w:val="717BA0E0"/>
    <w:rsid w:val="717DCCF6"/>
    <w:rsid w:val="718F7B20"/>
    <w:rsid w:val="7197E5FC"/>
    <w:rsid w:val="7198ABF6"/>
    <w:rsid w:val="71A3FE41"/>
    <w:rsid w:val="71A7E826"/>
    <w:rsid w:val="71AA699E"/>
    <w:rsid w:val="71B49E57"/>
    <w:rsid w:val="71C09DBD"/>
    <w:rsid w:val="71CF4119"/>
    <w:rsid w:val="71E55A4B"/>
    <w:rsid w:val="7206A29B"/>
    <w:rsid w:val="720C6738"/>
    <w:rsid w:val="720EB327"/>
    <w:rsid w:val="7212EBFD"/>
    <w:rsid w:val="72367B88"/>
    <w:rsid w:val="724F4044"/>
    <w:rsid w:val="72528A81"/>
    <w:rsid w:val="7257F643"/>
    <w:rsid w:val="72613850"/>
    <w:rsid w:val="72845B00"/>
    <w:rsid w:val="72918079"/>
    <w:rsid w:val="7294004A"/>
    <w:rsid w:val="729B4051"/>
    <w:rsid w:val="729FD7CF"/>
    <w:rsid w:val="72AD2E48"/>
    <w:rsid w:val="72B9BC8C"/>
    <w:rsid w:val="72BA37C7"/>
    <w:rsid w:val="72CC01DF"/>
    <w:rsid w:val="72CD022A"/>
    <w:rsid w:val="72D98CE0"/>
    <w:rsid w:val="72E03645"/>
    <w:rsid w:val="72E7CCD9"/>
    <w:rsid w:val="72F0FA27"/>
    <w:rsid w:val="72FE339F"/>
    <w:rsid w:val="730EDB47"/>
    <w:rsid w:val="731B8F90"/>
    <w:rsid w:val="7343F42B"/>
    <w:rsid w:val="73469735"/>
    <w:rsid w:val="735FE8B9"/>
    <w:rsid w:val="736EF0AD"/>
    <w:rsid w:val="7370AD7A"/>
    <w:rsid w:val="7388C1CD"/>
    <w:rsid w:val="7395EC2E"/>
    <w:rsid w:val="739EE83E"/>
    <w:rsid w:val="73F4F6C3"/>
    <w:rsid w:val="7401B2E1"/>
    <w:rsid w:val="7401F298"/>
    <w:rsid w:val="740C3DC6"/>
    <w:rsid w:val="74104854"/>
    <w:rsid w:val="7411B49A"/>
    <w:rsid w:val="7412FE88"/>
    <w:rsid w:val="7420EBB3"/>
    <w:rsid w:val="742895AA"/>
    <w:rsid w:val="742C8670"/>
    <w:rsid w:val="742FC7CE"/>
    <w:rsid w:val="7443E169"/>
    <w:rsid w:val="745587CA"/>
    <w:rsid w:val="74567A33"/>
    <w:rsid w:val="7459B389"/>
    <w:rsid w:val="746AF5BD"/>
    <w:rsid w:val="747337D1"/>
    <w:rsid w:val="74769D3A"/>
    <w:rsid w:val="747EC6BF"/>
    <w:rsid w:val="7494EF79"/>
    <w:rsid w:val="74C0C951"/>
    <w:rsid w:val="74C4768C"/>
    <w:rsid w:val="74C6950F"/>
    <w:rsid w:val="74CE407C"/>
    <w:rsid w:val="74D6F7AD"/>
    <w:rsid w:val="74F15F0A"/>
    <w:rsid w:val="74FFCAF8"/>
    <w:rsid w:val="750AB571"/>
    <w:rsid w:val="7521DDFC"/>
    <w:rsid w:val="7539310E"/>
    <w:rsid w:val="7552FEEE"/>
    <w:rsid w:val="755A0A3C"/>
    <w:rsid w:val="756378C4"/>
    <w:rsid w:val="756BFF53"/>
    <w:rsid w:val="756DCC99"/>
    <w:rsid w:val="75759302"/>
    <w:rsid w:val="757AB81F"/>
    <w:rsid w:val="75B40E20"/>
    <w:rsid w:val="75BCDB3E"/>
    <w:rsid w:val="75C1328E"/>
    <w:rsid w:val="75CBA10C"/>
    <w:rsid w:val="75D6B976"/>
    <w:rsid w:val="75EEBE89"/>
    <w:rsid w:val="75F449BF"/>
    <w:rsid w:val="75FA9565"/>
    <w:rsid w:val="75FE7864"/>
    <w:rsid w:val="761611CB"/>
    <w:rsid w:val="7617DD2F"/>
    <w:rsid w:val="761FDE61"/>
    <w:rsid w:val="7630E85E"/>
    <w:rsid w:val="763A8668"/>
    <w:rsid w:val="763BAE01"/>
    <w:rsid w:val="764523C4"/>
    <w:rsid w:val="765FEAFA"/>
    <w:rsid w:val="7663A352"/>
    <w:rsid w:val="766E9B08"/>
    <w:rsid w:val="7673B757"/>
    <w:rsid w:val="76801CC7"/>
    <w:rsid w:val="7681E2C8"/>
    <w:rsid w:val="7683AA15"/>
    <w:rsid w:val="769A9E82"/>
    <w:rsid w:val="76B3B4B6"/>
    <w:rsid w:val="76D01747"/>
    <w:rsid w:val="76D6B85A"/>
    <w:rsid w:val="76DA3B4C"/>
    <w:rsid w:val="76DF7C0E"/>
    <w:rsid w:val="76EBDFEB"/>
    <w:rsid w:val="76F1BD8E"/>
    <w:rsid w:val="76FBF3F4"/>
    <w:rsid w:val="770519AB"/>
    <w:rsid w:val="770D1419"/>
    <w:rsid w:val="770D9B5F"/>
    <w:rsid w:val="77165738"/>
    <w:rsid w:val="77178C2B"/>
    <w:rsid w:val="77243849"/>
    <w:rsid w:val="773D71CA"/>
    <w:rsid w:val="774CB2D7"/>
    <w:rsid w:val="77512EC1"/>
    <w:rsid w:val="7756E321"/>
    <w:rsid w:val="7760C05D"/>
    <w:rsid w:val="776B89A0"/>
    <w:rsid w:val="77728739"/>
    <w:rsid w:val="777928D9"/>
    <w:rsid w:val="777FB082"/>
    <w:rsid w:val="7781BB42"/>
    <w:rsid w:val="778E2A9C"/>
    <w:rsid w:val="779A23DA"/>
    <w:rsid w:val="77B4323B"/>
    <w:rsid w:val="77CDBEF9"/>
    <w:rsid w:val="77DA5AF7"/>
    <w:rsid w:val="77EBCF86"/>
    <w:rsid w:val="77F13EED"/>
    <w:rsid w:val="77F2DB03"/>
    <w:rsid w:val="781B1924"/>
    <w:rsid w:val="7828D409"/>
    <w:rsid w:val="78396C4A"/>
    <w:rsid w:val="78425633"/>
    <w:rsid w:val="78468758"/>
    <w:rsid w:val="7851754D"/>
    <w:rsid w:val="7856DBF0"/>
    <w:rsid w:val="7871742B"/>
    <w:rsid w:val="788AC451"/>
    <w:rsid w:val="7899C4C1"/>
    <w:rsid w:val="78C5A097"/>
    <w:rsid w:val="78CFC67C"/>
    <w:rsid w:val="78D763E2"/>
    <w:rsid w:val="78D92674"/>
    <w:rsid w:val="78ECD4F2"/>
    <w:rsid w:val="78ED97A8"/>
    <w:rsid w:val="78F57646"/>
    <w:rsid w:val="78F90D8B"/>
    <w:rsid w:val="78FB1B6C"/>
    <w:rsid w:val="78FE6CC7"/>
    <w:rsid w:val="790C31C0"/>
    <w:rsid w:val="790D6795"/>
    <w:rsid w:val="790DF465"/>
    <w:rsid w:val="79100168"/>
    <w:rsid w:val="7913E853"/>
    <w:rsid w:val="7930A586"/>
    <w:rsid w:val="79518003"/>
    <w:rsid w:val="7959408E"/>
    <w:rsid w:val="796B5459"/>
    <w:rsid w:val="796DD686"/>
    <w:rsid w:val="7988B4B6"/>
    <w:rsid w:val="79AD405C"/>
    <w:rsid w:val="79B65078"/>
    <w:rsid w:val="79C8B142"/>
    <w:rsid w:val="79CBB4BC"/>
    <w:rsid w:val="79D2D433"/>
    <w:rsid w:val="79D57268"/>
    <w:rsid w:val="79E6DAEB"/>
    <w:rsid w:val="79F74E5A"/>
    <w:rsid w:val="7A0E69BF"/>
    <w:rsid w:val="7A175D95"/>
    <w:rsid w:val="7A312C74"/>
    <w:rsid w:val="7A389E02"/>
    <w:rsid w:val="7A397890"/>
    <w:rsid w:val="7A580D02"/>
    <w:rsid w:val="7A6B0704"/>
    <w:rsid w:val="7A797B47"/>
    <w:rsid w:val="7A85E9D2"/>
    <w:rsid w:val="7A8B25E4"/>
    <w:rsid w:val="7A8B9D39"/>
    <w:rsid w:val="7A8C269B"/>
    <w:rsid w:val="7AA261A6"/>
    <w:rsid w:val="7AA54F13"/>
    <w:rsid w:val="7AA73D57"/>
    <w:rsid w:val="7AB5BEEC"/>
    <w:rsid w:val="7ABA1258"/>
    <w:rsid w:val="7ABD06B0"/>
    <w:rsid w:val="7AC2263B"/>
    <w:rsid w:val="7AC9C8F0"/>
    <w:rsid w:val="7ACF9304"/>
    <w:rsid w:val="7AD105F5"/>
    <w:rsid w:val="7AD7D23B"/>
    <w:rsid w:val="7ADB890F"/>
    <w:rsid w:val="7AEF1455"/>
    <w:rsid w:val="7AF5A08B"/>
    <w:rsid w:val="7AFABCEF"/>
    <w:rsid w:val="7B0D1C6B"/>
    <w:rsid w:val="7B0EC041"/>
    <w:rsid w:val="7B1F78B8"/>
    <w:rsid w:val="7B2657E2"/>
    <w:rsid w:val="7B311FAE"/>
    <w:rsid w:val="7B3A92EC"/>
    <w:rsid w:val="7B4499D9"/>
    <w:rsid w:val="7B531720"/>
    <w:rsid w:val="7B576982"/>
    <w:rsid w:val="7B590785"/>
    <w:rsid w:val="7B6DC851"/>
    <w:rsid w:val="7B744F37"/>
    <w:rsid w:val="7B80D974"/>
    <w:rsid w:val="7B854612"/>
    <w:rsid w:val="7B85C0A5"/>
    <w:rsid w:val="7B9055D7"/>
    <w:rsid w:val="7B934137"/>
    <w:rsid w:val="7B9A5600"/>
    <w:rsid w:val="7B9E0AF4"/>
    <w:rsid w:val="7BA69C24"/>
    <w:rsid w:val="7BB47B36"/>
    <w:rsid w:val="7BBB46CF"/>
    <w:rsid w:val="7BDE1D81"/>
    <w:rsid w:val="7BE5036E"/>
    <w:rsid w:val="7BE5545A"/>
    <w:rsid w:val="7BEF3A78"/>
    <w:rsid w:val="7BF08749"/>
    <w:rsid w:val="7BF89287"/>
    <w:rsid w:val="7C29BFEA"/>
    <w:rsid w:val="7C2AF272"/>
    <w:rsid w:val="7C2BBDB4"/>
    <w:rsid w:val="7C2E6209"/>
    <w:rsid w:val="7C352006"/>
    <w:rsid w:val="7C53030D"/>
    <w:rsid w:val="7C56B7B7"/>
    <w:rsid w:val="7C5E81A6"/>
    <w:rsid w:val="7C6720CB"/>
    <w:rsid w:val="7C83849B"/>
    <w:rsid w:val="7C8BA1B2"/>
    <w:rsid w:val="7C983234"/>
    <w:rsid w:val="7CA04111"/>
    <w:rsid w:val="7CA380D0"/>
    <w:rsid w:val="7CA41300"/>
    <w:rsid w:val="7CC306F3"/>
    <w:rsid w:val="7CC5981F"/>
    <w:rsid w:val="7CD14A95"/>
    <w:rsid w:val="7CE43BC0"/>
    <w:rsid w:val="7D14C3CA"/>
    <w:rsid w:val="7D1BF1F0"/>
    <w:rsid w:val="7D1D6DCA"/>
    <w:rsid w:val="7D1F4A32"/>
    <w:rsid w:val="7D27A77D"/>
    <w:rsid w:val="7D318D41"/>
    <w:rsid w:val="7D37B9F8"/>
    <w:rsid w:val="7D387DAD"/>
    <w:rsid w:val="7D48B564"/>
    <w:rsid w:val="7D5821A3"/>
    <w:rsid w:val="7D6271B3"/>
    <w:rsid w:val="7D659F85"/>
    <w:rsid w:val="7D685DDE"/>
    <w:rsid w:val="7D68F03E"/>
    <w:rsid w:val="7D86115D"/>
    <w:rsid w:val="7D8C7195"/>
    <w:rsid w:val="7D8E255D"/>
    <w:rsid w:val="7D90D864"/>
    <w:rsid w:val="7D976C08"/>
    <w:rsid w:val="7DB06366"/>
    <w:rsid w:val="7DBF412A"/>
    <w:rsid w:val="7DC64F97"/>
    <w:rsid w:val="7DE76765"/>
    <w:rsid w:val="7DF0ECF7"/>
    <w:rsid w:val="7DF78B7B"/>
    <w:rsid w:val="7E038F52"/>
    <w:rsid w:val="7E0CB59D"/>
    <w:rsid w:val="7E15DACA"/>
    <w:rsid w:val="7E1AC169"/>
    <w:rsid w:val="7E1FDB3E"/>
    <w:rsid w:val="7E2245FC"/>
    <w:rsid w:val="7E2333A2"/>
    <w:rsid w:val="7E292373"/>
    <w:rsid w:val="7E345AC2"/>
    <w:rsid w:val="7E407A6C"/>
    <w:rsid w:val="7E426D70"/>
    <w:rsid w:val="7E4AE505"/>
    <w:rsid w:val="7E4F2BE1"/>
    <w:rsid w:val="7E50EC36"/>
    <w:rsid w:val="7E541F63"/>
    <w:rsid w:val="7E679C29"/>
    <w:rsid w:val="7E6DCEAB"/>
    <w:rsid w:val="7E753F87"/>
    <w:rsid w:val="7E7DA60A"/>
    <w:rsid w:val="7E855A53"/>
    <w:rsid w:val="7E96C5FF"/>
    <w:rsid w:val="7E9AA1F6"/>
    <w:rsid w:val="7EB5370C"/>
    <w:rsid w:val="7EBAC1D2"/>
    <w:rsid w:val="7ED17F44"/>
    <w:rsid w:val="7EDEF6D5"/>
    <w:rsid w:val="7EF61153"/>
    <w:rsid w:val="7F0A295F"/>
    <w:rsid w:val="7F10EA8B"/>
    <w:rsid w:val="7F20E72F"/>
    <w:rsid w:val="7F2E853E"/>
    <w:rsid w:val="7F456F2A"/>
    <w:rsid w:val="7F4C7EA1"/>
    <w:rsid w:val="7F4D7316"/>
    <w:rsid w:val="7F53F71A"/>
    <w:rsid w:val="7F59C214"/>
    <w:rsid w:val="7F5C13CA"/>
    <w:rsid w:val="7F6A8D3B"/>
    <w:rsid w:val="7F6C0CFA"/>
    <w:rsid w:val="7F748AB9"/>
    <w:rsid w:val="7F82DE51"/>
    <w:rsid w:val="7F8370B2"/>
    <w:rsid w:val="7F89C957"/>
    <w:rsid w:val="7F91118A"/>
    <w:rsid w:val="7F990B77"/>
    <w:rsid w:val="7FAB7932"/>
    <w:rsid w:val="7FB811AE"/>
    <w:rsid w:val="7FC1F2B0"/>
    <w:rsid w:val="7FC7903B"/>
    <w:rsid w:val="7FDBA87A"/>
    <w:rsid w:val="7FDE506F"/>
    <w:rsid w:val="7FE48FF5"/>
    <w:rsid w:val="7FF546ED"/>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C3D237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en-IE" w:bidi="ar-SA"/>
      </w:rPr>
    </w:rPrDefault>
    <w:pPrDefault/>
  </w:docDefaults>
  <w:latentStyles w:defLockedState="0" w:defUIPriority="0" w:defSemiHidden="0" w:defUnhideWhenUsed="0" w:defQFormat="0" w:count="371">
    <w:lsdException w:name="Normal" w:qFormat="1"/>
    <w:lsdException w:name="heading 1" w:uiPriority="10" w:qFormat="1"/>
    <w:lsdException w:name="heading 2" w:semiHidden="1" w:uiPriority="10" w:unhideWhenUsed="1" w:qFormat="1"/>
    <w:lsdException w:name="heading 3" w:semiHidden="1" w:uiPriority="10" w:unhideWhenUsed="1" w:qFormat="1"/>
    <w:lsdException w:name="heading 4" w:semiHidden="1" w:uiPriority="10"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caption" w:semiHidden="1" w:uiPriority="35" w:unhideWhenUsed="1" w:qFormat="1"/>
    <w:lsdException w:name="footnote reference" w:uiPriority="99" w:qFormat="1"/>
    <w:lsdException w:name="annotation reference" w:uiPriority="99"/>
    <w:lsdException w:name="List Bullet" w:uiPriority="35"/>
    <w:lsdException w:name="List Number" w:uiPriority="30"/>
    <w:lsdException w:name="List Bullet 2" w:uiPriority="35"/>
    <w:lsdException w:name="List Bullet 3" w:uiPriority="35"/>
    <w:lsdException w:name="List Bullet 4" w:uiPriority="35"/>
    <w:lsdException w:name="List Number 2" w:uiPriority="30"/>
    <w:lsdException w:name="List Number 3" w:uiPriority="30"/>
    <w:lsdException w:name="List Number 4" w:uiPriority="30"/>
    <w:lsdException w:name="Title" w:qFormat="1"/>
    <w:lsdException w:name="Subtitle" w:qFormat="1"/>
    <w:lsdException w:name="FollowedHyperlink" w:uiPriority="99"/>
    <w:lsdException w:name="Strong" w:uiPriority="22" w:qFormat="1"/>
    <w:lsdException w:name="Emphasis" w:uiPriority="20" w:qFormat="1"/>
    <w:lsdException w:name="Normal (Web)" w:uiPriority="99"/>
    <w:lsdException w:name="HTML Keyboard"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0D86"/>
    <w:rPr>
      <w:sz w:val="24"/>
      <w:szCs w:val="24"/>
      <w:lang w:eastAsia="en-GB"/>
    </w:rPr>
  </w:style>
  <w:style w:type="paragraph" w:styleId="Heading1">
    <w:name w:val="heading 1"/>
    <w:basedOn w:val="Normal"/>
    <w:next w:val="Text1"/>
    <w:link w:val="Heading1Char"/>
    <w:uiPriority w:val="10"/>
    <w:qFormat/>
    <w:rsid w:val="00D40F4F"/>
    <w:pPr>
      <w:keepNext/>
      <w:numPr>
        <w:numId w:val="20"/>
      </w:numPr>
      <w:spacing w:before="240" w:after="240"/>
      <w:jc w:val="both"/>
      <w:outlineLvl w:val="0"/>
    </w:pPr>
    <w:rPr>
      <w:b/>
      <w:smallCaps/>
      <w:szCs w:val="20"/>
    </w:rPr>
  </w:style>
  <w:style w:type="paragraph" w:styleId="Heading2">
    <w:name w:val="heading 2"/>
    <w:basedOn w:val="Normal"/>
    <w:next w:val="Text2"/>
    <w:link w:val="Heading2Char"/>
    <w:uiPriority w:val="10"/>
    <w:qFormat/>
    <w:rsid w:val="00D40F4F"/>
    <w:pPr>
      <w:keepNext/>
      <w:numPr>
        <w:ilvl w:val="1"/>
        <w:numId w:val="20"/>
      </w:numPr>
      <w:spacing w:after="240"/>
      <w:jc w:val="both"/>
      <w:outlineLvl w:val="1"/>
    </w:pPr>
    <w:rPr>
      <w:b/>
      <w:szCs w:val="20"/>
    </w:rPr>
  </w:style>
  <w:style w:type="paragraph" w:styleId="Heading3">
    <w:name w:val="heading 3"/>
    <w:basedOn w:val="Normal"/>
    <w:next w:val="Text3"/>
    <w:link w:val="Heading3Char"/>
    <w:uiPriority w:val="10"/>
    <w:qFormat/>
    <w:rsid w:val="00D40F4F"/>
    <w:pPr>
      <w:keepNext/>
      <w:numPr>
        <w:ilvl w:val="2"/>
        <w:numId w:val="20"/>
      </w:numPr>
      <w:spacing w:after="240"/>
      <w:jc w:val="both"/>
      <w:outlineLvl w:val="2"/>
    </w:pPr>
    <w:rPr>
      <w:i/>
      <w:szCs w:val="20"/>
    </w:rPr>
  </w:style>
  <w:style w:type="paragraph" w:styleId="Heading4">
    <w:name w:val="heading 4"/>
    <w:basedOn w:val="Normal"/>
    <w:next w:val="Text4"/>
    <w:link w:val="Heading4Char"/>
    <w:uiPriority w:val="10"/>
    <w:qFormat/>
    <w:rsid w:val="00D40F4F"/>
    <w:pPr>
      <w:keepNext/>
      <w:numPr>
        <w:ilvl w:val="3"/>
        <w:numId w:val="20"/>
      </w:numPr>
      <w:spacing w:after="240"/>
      <w:jc w:val="both"/>
      <w:outlineLvl w:val="3"/>
    </w:pPr>
    <w:rPr>
      <w:szCs w:val="20"/>
    </w:rPr>
  </w:style>
  <w:style w:type="paragraph" w:styleId="Heading5">
    <w:name w:val="heading 5"/>
    <w:basedOn w:val="Normal"/>
    <w:next w:val="Normal"/>
    <w:link w:val="Heading5Char"/>
    <w:semiHidden/>
    <w:rsid w:val="00D40F4F"/>
    <w:pPr>
      <w:keepNext/>
      <w:numPr>
        <w:ilvl w:val="4"/>
        <w:numId w:val="20"/>
      </w:numPr>
      <w:spacing w:after="240"/>
      <w:jc w:val="both"/>
      <w:outlineLvl w:val="4"/>
    </w:pPr>
    <w:rPr>
      <w:szCs w:val="20"/>
    </w:rPr>
  </w:style>
  <w:style w:type="paragraph" w:styleId="Heading6">
    <w:name w:val="heading 6"/>
    <w:basedOn w:val="Normal"/>
    <w:next w:val="Normal"/>
    <w:link w:val="Heading6Char"/>
    <w:semiHidden/>
    <w:rsid w:val="00D40F4F"/>
    <w:pPr>
      <w:keepNext/>
      <w:numPr>
        <w:ilvl w:val="5"/>
        <w:numId w:val="20"/>
      </w:numPr>
      <w:spacing w:after="240"/>
      <w:jc w:val="both"/>
      <w:outlineLvl w:val="5"/>
    </w:pPr>
    <w:rPr>
      <w:szCs w:val="20"/>
    </w:rPr>
  </w:style>
  <w:style w:type="paragraph" w:styleId="Heading7">
    <w:name w:val="heading 7"/>
    <w:basedOn w:val="Normal"/>
    <w:next w:val="Normal"/>
    <w:link w:val="Heading7Char"/>
    <w:semiHidden/>
    <w:rsid w:val="00D40F4F"/>
    <w:pPr>
      <w:keepNext/>
      <w:numPr>
        <w:ilvl w:val="6"/>
        <w:numId w:val="20"/>
      </w:numPr>
      <w:spacing w:after="240"/>
      <w:jc w:val="both"/>
      <w:outlineLvl w:val="6"/>
    </w:pPr>
    <w:rPr>
      <w:szCs w:val="20"/>
    </w:rPr>
  </w:style>
  <w:style w:type="paragraph" w:styleId="Heading8">
    <w:name w:val="heading 8"/>
    <w:basedOn w:val="Normal"/>
    <w:next w:val="Normal"/>
    <w:link w:val="Heading8Char"/>
    <w:semiHidden/>
    <w:rsid w:val="00D40F4F"/>
    <w:pPr>
      <w:keepNext/>
      <w:numPr>
        <w:ilvl w:val="7"/>
        <w:numId w:val="20"/>
      </w:numPr>
      <w:spacing w:after="240"/>
      <w:jc w:val="both"/>
      <w:outlineLvl w:val="7"/>
    </w:pPr>
    <w:rPr>
      <w:szCs w:val="20"/>
    </w:rPr>
  </w:style>
  <w:style w:type="paragraph" w:styleId="Heading9">
    <w:name w:val="heading 9"/>
    <w:basedOn w:val="Normal"/>
    <w:next w:val="Normal"/>
    <w:link w:val="Heading9Char"/>
    <w:semiHidden/>
    <w:rsid w:val="00D40F4F"/>
    <w:pPr>
      <w:keepNext/>
      <w:numPr>
        <w:ilvl w:val="8"/>
        <w:numId w:val="20"/>
      </w:numPr>
      <w:spacing w:after="240"/>
      <w:jc w:val="both"/>
      <w:outlineLvl w:val="8"/>
    </w:pPr>
    <w:rPr>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aliases w:val="Document Table,Table Grid IDEA,TabelEcorys,HTG"/>
    <w:basedOn w:val="TableNormal"/>
    <w:uiPriority w:val="39"/>
    <w:rsid w:val="00DE36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9D1B9F"/>
    <w:pPr>
      <w:tabs>
        <w:tab w:val="center" w:pos="4536"/>
        <w:tab w:val="right" w:pos="9072"/>
      </w:tabs>
    </w:pPr>
  </w:style>
  <w:style w:type="paragraph" w:styleId="Footer">
    <w:name w:val="footer"/>
    <w:basedOn w:val="Normal"/>
    <w:link w:val="FooterChar"/>
    <w:rsid w:val="009D1B9F"/>
    <w:pPr>
      <w:tabs>
        <w:tab w:val="center" w:pos="4536"/>
        <w:tab w:val="right" w:pos="9072"/>
      </w:tabs>
    </w:pPr>
  </w:style>
  <w:style w:type="character" w:styleId="PageNumber">
    <w:name w:val="page number"/>
    <w:basedOn w:val="DefaultParagraphFont"/>
    <w:rsid w:val="009D1B9F"/>
  </w:style>
  <w:style w:type="paragraph" w:styleId="BalloonText">
    <w:name w:val="Balloon Text"/>
    <w:basedOn w:val="Normal"/>
    <w:link w:val="BalloonTextChar"/>
    <w:rsid w:val="00FF041E"/>
    <w:rPr>
      <w:rFonts w:ascii="Tahoma" w:hAnsi="Tahoma" w:cs="Tahoma"/>
      <w:sz w:val="16"/>
      <w:szCs w:val="16"/>
    </w:rPr>
  </w:style>
  <w:style w:type="character" w:customStyle="1" w:styleId="BalloonTextChar">
    <w:name w:val="Balloon Text Char"/>
    <w:link w:val="BalloonText"/>
    <w:rsid w:val="00FF041E"/>
    <w:rPr>
      <w:rFonts w:ascii="Tahoma" w:hAnsi="Tahoma" w:cs="Tahoma"/>
      <w:sz w:val="16"/>
      <w:szCs w:val="16"/>
    </w:rPr>
  </w:style>
  <w:style w:type="character" w:styleId="CommentReference">
    <w:name w:val="annotation reference"/>
    <w:uiPriority w:val="99"/>
    <w:rsid w:val="005E682A"/>
    <w:rPr>
      <w:sz w:val="16"/>
      <w:szCs w:val="16"/>
    </w:rPr>
  </w:style>
  <w:style w:type="paragraph" w:styleId="CommentText">
    <w:name w:val="annotation text"/>
    <w:basedOn w:val="Normal"/>
    <w:link w:val="CommentTextChar"/>
    <w:uiPriority w:val="99"/>
    <w:rsid w:val="005E682A"/>
    <w:rPr>
      <w:sz w:val="20"/>
      <w:szCs w:val="20"/>
    </w:rPr>
  </w:style>
  <w:style w:type="character" w:customStyle="1" w:styleId="CommentTextChar">
    <w:name w:val="Comment Text Char"/>
    <w:basedOn w:val="DefaultParagraphFont"/>
    <w:link w:val="CommentText"/>
    <w:uiPriority w:val="99"/>
    <w:rsid w:val="005E682A"/>
  </w:style>
  <w:style w:type="paragraph" w:styleId="CommentSubject">
    <w:name w:val="annotation subject"/>
    <w:basedOn w:val="CommentText"/>
    <w:next w:val="CommentText"/>
    <w:link w:val="CommentSubjectChar"/>
    <w:uiPriority w:val="99"/>
    <w:rsid w:val="005E682A"/>
    <w:rPr>
      <w:b/>
      <w:bCs/>
    </w:rPr>
  </w:style>
  <w:style w:type="character" w:customStyle="1" w:styleId="CommentSubjectChar">
    <w:name w:val="Comment Subject Char"/>
    <w:link w:val="CommentSubject"/>
    <w:uiPriority w:val="99"/>
    <w:rsid w:val="005E682A"/>
    <w:rPr>
      <w:b/>
      <w:bCs/>
    </w:rPr>
  </w:style>
  <w:style w:type="character" w:customStyle="1" w:styleId="FooterChar">
    <w:name w:val="Footer Char"/>
    <w:link w:val="Footer"/>
    <w:rsid w:val="002D5EC7"/>
    <w:rPr>
      <w:sz w:val="24"/>
      <w:szCs w:val="24"/>
      <w:lang w:val="fr-FR" w:eastAsia="en-GB"/>
    </w:rPr>
  </w:style>
  <w:style w:type="paragraph" w:customStyle="1" w:styleId="Briefinglist1">
    <w:name w:val="Briefing list 1"/>
    <w:basedOn w:val="Normal"/>
    <w:link w:val="Briefinglist1Char"/>
    <w:rsid w:val="00DF17C8"/>
    <w:pPr>
      <w:keepLines/>
      <w:numPr>
        <w:numId w:val="1"/>
      </w:numPr>
      <w:spacing w:after="120"/>
      <w:jc w:val="both"/>
    </w:pPr>
    <w:rPr>
      <w:rFonts w:ascii="Arial" w:hAnsi="Arial"/>
      <w:sz w:val="22"/>
    </w:rPr>
  </w:style>
  <w:style w:type="character" w:customStyle="1" w:styleId="Briefinglist1Char">
    <w:name w:val="Briefing list 1 Char"/>
    <w:link w:val="Briefinglist1"/>
    <w:rsid w:val="00DF17C8"/>
    <w:rPr>
      <w:rFonts w:ascii="Arial" w:hAnsi="Arial"/>
      <w:sz w:val="22"/>
      <w:szCs w:val="24"/>
      <w:lang w:val="fr-FR" w:eastAsia="en-GB"/>
    </w:rPr>
  </w:style>
  <w:style w:type="paragraph" w:styleId="NormalWeb">
    <w:name w:val="Normal (Web)"/>
    <w:basedOn w:val="Normal"/>
    <w:uiPriority w:val="99"/>
    <w:unhideWhenUsed/>
    <w:rsid w:val="00B83426"/>
    <w:pPr>
      <w:spacing w:before="100" w:beforeAutospacing="1" w:after="100" w:afterAutospacing="1"/>
    </w:pPr>
    <w:rPr>
      <w:lang w:eastAsia="en-IE"/>
    </w:rPr>
  </w:style>
  <w:style w:type="character" w:styleId="Strong">
    <w:name w:val="Strong"/>
    <w:uiPriority w:val="22"/>
    <w:qFormat/>
    <w:rsid w:val="00B83426"/>
    <w:rPr>
      <w:b/>
      <w:bCs/>
    </w:rPr>
  </w:style>
  <w:style w:type="paragraph" w:styleId="ListParagraph">
    <w:name w:val="List Paragraph"/>
    <w:aliases w:val="Llista Nivell1,Lista de nivel 1,Lettre d'introduction,Table of contents numbered,Paragraphe de liste PBLH,BULLET 1,List Bulletized,List Paragraph Char Char,1st level - Bullet List Paragraph,Normal bullet 2,Bullet list,Listenabsatz1,L,Nad"/>
    <w:basedOn w:val="Normal"/>
    <w:link w:val="ListParagraphChar"/>
    <w:uiPriority w:val="34"/>
    <w:qFormat/>
    <w:rsid w:val="00B83426"/>
    <w:pPr>
      <w:ind w:left="720"/>
    </w:pPr>
  </w:style>
  <w:style w:type="character" w:customStyle="1" w:styleId="hgkelc">
    <w:name w:val="hgkelc"/>
    <w:basedOn w:val="DefaultParagraphFont"/>
    <w:rsid w:val="00B83426"/>
  </w:style>
  <w:style w:type="paragraph" w:styleId="FootnoteText">
    <w:name w:val="footnote text"/>
    <w:aliases w:val="Fußnotentextf,Fußnotentextr,stile 1,Footnote1,Footnote2,Footnote3,Footnote4,Footnote5,Footnote6,Footnote7,Footnote8,Footnote9,Footnote10,Footnote11,Footnote21,Footnote31,Footnote41,Footnote51,Footnote61,Footnote71,Voetnoottekst Char,Footno"/>
    <w:basedOn w:val="Normal"/>
    <w:link w:val="FootnoteTextChar"/>
    <w:uiPriority w:val="99"/>
    <w:unhideWhenUsed/>
    <w:qFormat/>
    <w:rsid w:val="006657C9"/>
    <w:rPr>
      <w:rFonts w:ascii="Calibri" w:eastAsia="Calibri" w:hAnsi="Calibri" w:cs="Calibri"/>
      <w:sz w:val="20"/>
      <w:szCs w:val="20"/>
      <w:lang w:eastAsia="en-US"/>
    </w:rPr>
  </w:style>
  <w:style w:type="character" w:customStyle="1" w:styleId="FootnoteTextChar">
    <w:name w:val="Footnote Text Char"/>
    <w:aliases w:val="Fußnotentextf Char,Fußnotentextr Char,stile 1 Char,Footnote1 Char,Footnote2 Char,Footnote3 Char,Footnote4 Char,Footnote5 Char,Footnote6 Char,Footnote7 Char,Footnote8 Char,Footnote9 Char,Footnote10 Char,Footnote11 Char,Footnote21 Char"/>
    <w:link w:val="FootnoteText"/>
    <w:uiPriority w:val="99"/>
    <w:rsid w:val="006657C9"/>
    <w:rPr>
      <w:rFonts w:ascii="Calibri" w:eastAsia="Calibri" w:hAnsi="Calibri" w:cs="Calibri"/>
      <w:lang w:eastAsia="en-US"/>
    </w:rPr>
  </w:style>
  <w:style w:type="character" w:styleId="FootnoteReference">
    <w:name w:val="footnote reference"/>
    <w:aliases w:val="Footnote symbol,Footnote,Footnote number,fr,o,Footnotemark,FR,Footnotemark1,Footnotemark2,FR1,Footnotemark3,FR2,Footnotemark4,FR3,Footnotemark5,FR4,Footnotemark6,Footnotemark7,Footnotemark8,FR5,Footnotemark11,Footnotemark21,FR11,Nota"/>
    <w:link w:val="AppelnotedebasdepageCharCharCharCharCharCharChar"/>
    <w:uiPriority w:val="99"/>
    <w:unhideWhenUsed/>
    <w:qFormat/>
    <w:rsid w:val="006657C9"/>
    <w:rPr>
      <w:vertAlign w:val="superscript"/>
    </w:rPr>
  </w:style>
  <w:style w:type="character" w:styleId="Hyperlink">
    <w:name w:val="Hyperlink"/>
    <w:unhideWhenUsed/>
    <w:rsid w:val="006657C9"/>
    <w:rPr>
      <w:color w:val="0563C1"/>
      <w:u w:val="single"/>
    </w:rPr>
  </w:style>
  <w:style w:type="character" w:customStyle="1" w:styleId="UnresolvedMention">
    <w:name w:val="Unresolved Mention"/>
    <w:uiPriority w:val="99"/>
    <w:semiHidden/>
    <w:unhideWhenUsed/>
    <w:rsid w:val="006657C9"/>
    <w:rPr>
      <w:color w:val="605E5C"/>
      <w:shd w:val="clear" w:color="auto" w:fill="E1DFDD"/>
    </w:rPr>
  </w:style>
  <w:style w:type="character" w:styleId="Emphasis">
    <w:name w:val="Emphasis"/>
    <w:uiPriority w:val="20"/>
    <w:qFormat/>
    <w:rsid w:val="007042C8"/>
    <w:rPr>
      <w:i/>
      <w:iCs/>
    </w:rPr>
  </w:style>
  <w:style w:type="character" w:styleId="FollowedHyperlink">
    <w:name w:val="FollowedHyperlink"/>
    <w:uiPriority w:val="99"/>
    <w:rsid w:val="00E62944"/>
    <w:rPr>
      <w:color w:val="954F72"/>
      <w:u w:val="single"/>
    </w:rPr>
  </w:style>
  <w:style w:type="table" w:styleId="GridTable3-Accent1">
    <w:name w:val="Grid Table 3 Accent 1"/>
    <w:basedOn w:val="TableNormal"/>
    <w:uiPriority w:val="48"/>
    <w:rsid w:val="006F4984"/>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paragraph" w:styleId="Revision">
    <w:name w:val="Revision"/>
    <w:hidden/>
    <w:uiPriority w:val="99"/>
    <w:semiHidden/>
    <w:rsid w:val="00094739"/>
    <w:rPr>
      <w:sz w:val="24"/>
      <w:szCs w:val="24"/>
      <w:lang w:eastAsia="en-GB"/>
    </w:rPr>
  </w:style>
  <w:style w:type="paragraph" w:customStyle="1" w:styleId="Text1">
    <w:name w:val="Text 1"/>
    <w:basedOn w:val="Normal"/>
    <w:qFormat/>
    <w:rsid w:val="00A86537"/>
    <w:pPr>
      <w:spacing w:after="240"/>
      <w:ind w:left="482"/>
      <w:jc w:val="both"/>
    </w:pPr>
    <w:rPr>
      <w:szCs w:val="20"/>
      <w:lang w:eastAsia="en-IE"/>
    </w:rPr>
  </w:style>
  <w:style w:type="paragraph" w:styleId="Caption">
    <w:name w:val="caption"/>
    <w:basedOn w:val="Normal"/>
    <w:next w:val="Normal"/>
    <w:uiPriority w:val="35"/>
    <w:unhideWhenUsed/>
    <w:qFormat/>
    <w:rsid w:val="003C62ED"/>
    <w:pPr>
      <w:spacing w:after="200"/>
    </w:pPr>
    <w:rPr>
      <w:i/>
      <w:iCs/>
      <w:color w:val="44546A" w:themeColor="text2"/>
      <w:sz w:val="18"/>
      <w:szCs w:val="18"/>
    </w:rPr>
  </w:style>
  <w:style w:type="table" w:styleId="GridTable5Dark-Accent5">
    <w:name w:val="Grid Table 5 Dark Accent 5"/>
    <w:basedOn w:val="TableNormal"/>
    <w:uiPriority w:val="50"/>
    <w:rsid w:val="008A263E"/>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character" w:customStyle="1" w:styleId="Heading1Char">
    <w:name w:val="Heading 1 Char"/>
    <w:basedOn w:val="DefaultParagraphFont"/>
    <w:link w:val="Heading1"/>
    <w:uiPriority w:val="10"/>
    <w:rsid w:val="00D40F4F"/>
    <w:rPr>
      <w:b/>
      <w:smallCaps/>
      <w:sz w:val="24"/>
      <w:lang w:val="fr-FR" w:eastAsia="en-GB"/>
    </w:rPr>
  </w:style>
  <w:style w:type="character" w:customStyle="1" w:styleId="Heading2Char">
    <w:name w:val="Heading 2 Char"/>
    <w:basedOn w:val="DefaultParagraphFont"/>
    <w:link w:val="Heading2"/>
    <w:uiPriority w:val="10"/>
    <w:rsid w:val="00D40F4F"/>
    <w:rPr>
      <w:b/>
      <w:sz w:val="24"/>
      <w:lang w:val="fr-FR" w:eastAsia="en-GB"/>
    </w:rPr>
  </w:style>
  <w:style w:type="character" w:customStyle="1" w:styleId="Heading3Char">
    <w:name w:val="Heading 3 Char"/>
    <w:basedOn w:val="DefaultParagraphFont"/>
    <w:link w:val="Heading3"/>
    <w:uiPriority w:val="10"/>
    <w:rsid w:val="00D40F4F"/>
    <w:rPr>
      <w:i/>
      <w:sz w:val="24"/>
      <w:lang w:val="fr-FR" w:eastAsia="en-GB"/>
    </w:rPr>
  </w:style>
  <w:style w:type="character" w:customStyle="1" w:styleId="Heading4Char">
    <w:name w:val="Heading 4 Char"/>
    <w:basedOn w:val="DefaultParagraphFont"/>
    <w:link w:val="Heading4"/>
    <w:uiPriority w:val="10"/>
    <w:rsid w:val="00D40F4F"/>
    <w:rPr>
      <w:sz w:val="24"/>
      <w:lang w:val="fr-FR" w:eastAsia="en-GB"/>
    </w:rPr>
  </w:style>
  <w:style w:type="character" w:customStyle="1" w:styleId="Heading5Char">
    <w:name w:val="Heading 5 Char"/>
    <w:basedOn w:val="DefaultParagraphFont"/>
    <w:link w:val="Heading5"/>
    <w:semiHidden/>
    <w:rsid w:val="00D40F4F"/>
    <w:rPr>
      <w:sz w:val="24"/>
      <w:lang w:val="fr-FR" w:eastAsia="en-GB"/>
    </w:rPr>
  </w:style>
  <w:style w:type="character" w:customStyle="1" w:styleId="Heading6Char">
    <w:name w:val="Heading 6 Char"/>
    <w:basedOn w:val="DefaultParagraphFont"/>
    <w:link w:val="Heading6"/>
    <w:semiHidden/>
    <w:rsid w:val="00D40F4F"/>
    <w:rPr>
      <w:sz w:val="24"/>
      <w:lang w:val="fr-FR" w:eastAsia="en-GB"/>
    </w:rPr>
  </w:style>
  <w:style w:type="character" w:customStyle="1" w:styleId="Heading7Char">
    <w:name w:val="Heading 7 Char"/>
    <w:basedOn w:val="DefaultParagraphFont"/>
    <w:link w:val="Heading7"/>
    <w:semiHidden/>
    <w:rsid w:val="00D40F4F"/>
    <w:rPr>
      <w:sz w:val="24"/>
      <w:lang w:val="fr-FR" w:eastAsia="en-GB"/>
    </w:rPr>
  </w:style>
  <w:style w:type="character" w:customStyle="1" w:styleId="Heading8Char">
    <w:name w:val="Heading 8 Char"/>
    <w:basedOn w:val="DefaultParagraphFont"/>
    <w:link w:val="Heading8"/>
    <w:semiHidden/>
    <w:rsid w:val="00D40F4F"/>
    <w:rPr>
      <w:sz w:val="24"/>
      <w:lang w:val="fr-FR" w:eastAsia="en-GB"/>
    </w:rPr>
  </w:style>
  <w:style w:type="character" w:customStyle="1" w:styleId="Heading9Char">
    <w:name w:val="Heading 9 Char"/>
    <w:basedOn w:val="DefaultParagraphFont"/>
    <w:link w:val="Heading9"/>
    <w:semiHidden/>
    <w:rsid w:val="00D40F4F"/>
    <w:rPr>
      <w:sz w:val="24"/>
      <w:lang w:val="fr-FR" w:eastAsia="en-GB"/>
    </w:rPr>
  </w:style>
  <w:style w:type="character" w:customStyle="1" w:styleId="BodyPlaceholderText">
    <w:name w:val="BodyPlaceholderText"/>
    <w:basedOn w:val="PlaceholderText"/>
    <w:semiHidden/>
    <w:rsid w:val="00D40F4F"/>
    <w:rPr>
      <w:color w:val="3366CC"/>
    </w:rPr>
  </w:style>
  <w:style w:type="character" w:customStyle="1" w:styleId="CrossReference">
    <w:name w:val="Cross Reference"/>
    <w:basedOn w:val="DefaultParagraphFont"/>
    <w:semiHidden/>
    <w:rsid w:val="00D40F4F"/>
    <w:rPr>
      <w:i/>
    </w:rPr>
  </w:style>
  <w:style w:type="character" w:customStyle="1" w:styleId="InstructionBlue">
    <w:name w:val="InstructionBlue"/>
    <w:semiHidden/>
    <w:rsid w:val="00D40F4F"/>
    <w:rPr>
      <w:i/>
      <w:color w:val="3366CC"/>
    </w:rPr>
  </w:style>
  <w:style w:type="character" w:customStyle="1" w:styleId="InstructionPlaceholder">
    <w:name w:val="InstructionPlaceholder"/>
    <w:semiHidden/>
    <w:rsid w:val="00D40F4F"/>
    <w:rPr>
      <w:color w:val="CB3535"/>
    </w:rPr>
  </w:style>
  <w:style w:type="character" w:customStyle="1" w:styleId="InstructionRed">
    <w:name w:val="InstructionRed"/>
    <w:semiHidden/>
    <w:rsid w:val="00D40F4F"/>
    <w:rPr>
      <w:i/>
      <w:color w:val="CB3535"/>
    </w:rPr>
  </w:style>
  <w:style w:type="character" w:customStyle="1" w:styleId="MarkingLabel">
    <w:name w:val="MarkingLabel"/>
    <w:semiHidden/>
    <w:rsid w:val="00D40F4F"/>
    <w:rPr>
      <w:b/>
      <w:caps/>
      <w:sz w:val="28"/>
    </w:rPr>
  </w:style>
  <w:style w:type="character" w:customStyle="1" w:styleId="MarkingText">
    <w:name w:val="MarkingText"/>
    <w:semiHidden/>
    <w:rsid w:val="00D40F4F"/>
    <w:rPr>
      <w:i/>
      <w:sz w:val="28"/>
    </w:rPr>
  </w:style>
  <w:style w:type="character" w:styleId="PlaceholderText">
    <w:name w:val="Placeholder Text"/>
    <w:basedOn w:val="DefaultParagraphFont"/>
    <w:semiHidden/>
    <w:rsid w:val="00D40F4F"/>
    <w:rPr>
      <w:color w:val="288061"/>
    </w:rPr>
  </w:style>
  <w:style w:type="paragraph" w:customStyle="1" w:styleId="AfterTable">
    <w:name w:val="After Table"/>
    <w:semiHidden/>
    <w:rsid w:val="00D40F4F"/>
    <w:rPr>
      <w:sz w:val="4"/>
      <w:lang w:eastAsia="en-GB"/>
    </w:rPr>
  </w:style>
  <w:style w:type="paragraph" w:customStyle="1" w:styleId="AnnexTitle">
    <w:name w:val="AnnexTitle"/>
    <w:basedOn w:val="Normal"/>
    <w:next w:val="Normal"/>
    <w:uiPriority w:val="45"/>
    <w:qFormat/>
    <w:rsid w:val="00D40F4F"/>
    <w:pPr>
      <w:pageBreakBefore/>
      <w:numPr>
        <w:numId w:val="23"/>
      </w:numPr>
      <w:spacing w:after="480"/>
      <w:jc w:val="both"/>
      <w:outlineLvl w:val="0"/>
    </w:pPr>
    <w:rPr>
      <w:b/>
      <w:sz w:val="32"/>
      <w:szCs w:val="20"/>
    </w:rPr>
  </w:style>
  <w:style w:type="paragraph" w:styleId="Closing">
    <w:name w:val="Closing"/>
    <w:basedOn w:val="Normal"/>
    <w:next w:val="Signature"/>
    <w:link w:val="ClosingChar"/>
    <w:rsid w:val="00D40F4F"/>
    <w:pPr>
      <w:tabs>
        <w:tab w:val="left" w:pos="5102"/>
      </w:tabs>
      <w:spacing w:before="240" w:after="240"/>
      <w:ind w:left="5102"/>
    </w:pPr>
    <w:rPr>
      <w:szCs w:val="20"/>
    </w:rPr>
  </w:style>
  <w:style w:type="character" w:customStyle="1" w:styleId="ClosingChar">
    <w:name w:val="Closing Char"/>
    <w:basedOn w:val="DefaultParagraphFont"/>
    <w:link w:val="Closing"/>
    <w:rsid w:val="00D40F4F"/>
    <w:rPr>
      <w:sz w:val="24"/>
      <w:lang w:val="fr-FR" w:eastAsia="en-GB"/>
    </w:rPr>
  </w:style>
  <w:style w:type="paragraph" w:customStyle="1" w:styleId="ClosingL">
    <w:name w:val="ClosingL"/>
    <w:basedOn w:val="Normal"/>
    <w:next w:val="Signature"/>
    <w:semiHidden/>
    <w:rsid w:val="00D40F4F"/>
    <w:pPr>
      <w:spacing w:before="240" w:after="240"/>
    </w:pPr>
    <w:rPr>
      <w:szCs w:val="20"/>
    </w:rPr>
  </w:style>
  <w:style w:type="paragraph" w:customStyle="1" w:styleId="ConfidentialUE">
    <w:name w:val="Confidential UE"/>
    <w:basedOn w:val="Normal"/>
    <w:semiHidden/>
    <w:rsid w:val="00D40F4F"/>
    <w:pPr>
      <w:jc w:val="center"/>
    </w:pPr>
    <w:rPr>
      <w:b/>
      <w:caps/>
      <w:sz w:val="32"/>
      <w:szCs w:val="20"/>
      <w:bdr w:val="single" w:sz="18" w:space="0" w:color="auto"/>
    </w:rPr>
  </w:style>
  <w:style w:type="paragraph" w:customStyle="1" w:styleId="Contact">
    <w:name w:val="Contact"/>
    <w:basedOn w:val="Normal"/>
    <w:semiHidden/>
    <w:rsid w:val="00D40F4F"/>
    <w:pPr>
      <w:spacing w:before="480"/>
      <w:ind w:left="567" w:hanging="567"/>
      <w:contextualSpacing/>
    </w:pPr>
    <w:rPr>
      <w:szCs w:val="20"/>
    </w:rPr>
  </w:style>
  <w:style w:type="paragraph" w:customStyle="1" w:styleId="ContNum">
    <w:name w:val="ContNum"/>
    <w:basedOn w:val="Normal"/>
    <w:uiPriority w:val="20"/>
    <w:qFormat/>
    <w:rsid w:val="00D40F4F"/>
    <w:pPr>
      <w:numPr>
        <w:numId w:val="22"/>
      </w:numPr>
      <w:spacing w:after="240"/>
      <w:jc w:val="both"/>
    </w:pPr>
    <w:rPr>
      <w:szCs w:val="20"/>
    </w:rPr>
  </w:style>
  <w:style w:type="paragraph" w:customStyle="1" w:styleId="ContNumLevel2">
    <w:name w:val="ContNum (Level 2)"/>
    <w:basedOn w:val="Normal"/>
    <w:uiPriority w:val="20"/>
    <w:rsid w:val="00D40F4F"/>
    <w:pPr>
      <w:numPr>
        <w:ilvl w:val="1"/>
        <w:numId w:val="22"/>
      </w:numPr>
      <w:spacing w:after="240"/>
      <w:jc w:val="both"/>
    </w:pPr>
    <w:rPr>
      <w:szCs w:val="20"/>
    </w:rPr>
  </w:style>
  <w:style w:type="paragraph" w:customStyle="1" w:styleId="ContNumLevel3">
    <w:name w:val="ContNum (Level 3)"/>
    <w:basedOn w:val="Normal"/>
    <w:uiPriority w:val="20"/>
    <w:rsid w:val="00D40F4F"/>
    <w:pPr>
      <w:numPr>
        <w:ilvl w:val="2"/>
        <w:numId w:val="22"/>
      </w:numPr>
      <w:spacing w:after="240"/>
      <w:jc w:val="both"/>
    </w:pPr>
    <w:rPr>
      <w:szCs w:val="20"/>
    </w:rPr>
  </w:style>
  <w:style w:type="paragraph" w:customStyle="1" w:styleId="Copies">
    <w:name w:val="Copies"/>
    <w:basedOn w:val="Normal"/>
    <w:semiHidden/>
    <w:rsid w:val="00D40F4F"/>
    <w:pPr>
      <w:tabs>
        <w:tab w:val="left" w:pos="5669"/>
      </w:tabs>
      <w:spacing w:before="480"/>
      <w:ind w:left="1531" w:hanging="1531"/>
      <w:contextualSpacing/>
    </w:pPr>
    <w:rPr>
      <w:szCs w:val="20"/>
    </w:rPr>
  </w:style>
  <w:style w:type="paragraph" w:styleId="Date">
    <w:name w:val="Date"/>
    <w:basedOn w:val="Normal"/>
    <w:next w:val="References"/>
    <w:link w:val="DateChar"/>
    <w:rsid w:val="00D40F4F"/>
    <w:pPr>
      <w:ind w:left="5102" w:right="-567"/>
    </w:pPr>
    <w:rPr>
      <w:szCs w:val="20"/>
    </w:rPr>
  </w:style>
  <w:style w:type="character" w:customStyle="1" w:styleId="DateChar">
    <w:name w:val="Date Char"/>
    <w:basedOn w:val="DefaultParagraphFont"/>
    <w:link w:val="Date"/>
    <w:rsid w:val="00D40F4F"/>
    <w:rPr>
      <w:sz w:val="24"/>
      <w:lang w:val="fr-FR" w:eastAsia="en-GB"/>
    </w:rPr>
  </w:style>
  <w:style w:type="paragraph" w:customStyle="1" w:styleId="Designator">
    <w:name w:val="Designator"/>
    <w:basedOn w:val="Normal"/>
    <w:semiHidden/>
    <w:rsid w:val="00D40F4F"/>
    <w:pPr>
      <w:jc w:val="center"/>
    </w:pPr>
    <w:rPr>
      <w:b/>
      <w:caps/>
      <w:sz w:val="32"/>
      <w:szCs w:val="20"/>
    </w:rPr>
  </w:style>
  <w:style w:type="paragraph" w:customStyle="1" w:styleId="DoubSign">
    <w:name w:val="DoubSign"/>
    <w:basedOn w:val="Normal"/>
    <w:semiHidden/>
    <w:rsid w:val="00D40F4F"/>
    <w:pPr>
      <w:spacing w:before="1200"/>
    </w:pPr>
    <w:rPr>
      <w:szCs w:val="20"/>
    </w:rPr>
  </w:style>
  <w:style w:type="paragraph" w:customStyle="1" w:styleId="EmptyParagraph">
    <w:name w:val="Empty Paragraph"/>
    <w:basedOn w:val="Normal"/>
    <w:next w:val="Normal"/>
    <w:semiHidden/>
    <w:rsid w:val="00D40F4F"/>
    <w:pPr>
      <w:spacing w:before="240" w:after="240"/>
      <w:jc w:val="both"/>
    </w:pPr>
    <w:rPr>
      <w:szCs w:val="20"/>
    </w:rPr>
  </w:style>
  <w:style w:type="paragraph" w:customStyle="1" w:styleId="Enclosures">
    <w:name w:val="Enclosures"/>
    <w:basedOn w:val="Normal"/>
    <w:semiHidden/>
    <w:rsid w:val="00D40F4F"/>
    <w:pPr>
      <w:keepNext/>
      <w:keepLines/>
      <w:tabs>
        <w:tab w:val="left" w:pos="5669"/>
      </w:tabs>
      <w:spacing w:before="480"/>
      <w:ind w:left="1531" w:hanging="1531"/>
      <w:contextualSpacing/>
    </w:pPr>
    <w:rPr>
      <w:szCs w:val="20"/>
    </w:rPr>
  </w:style>
  <w:style w:type="paragraph" w:styleId="EndnoteText">
    <w:name w:val="endnote text"/>
    <w:basedOn w:val="Normal"/>
    <w:link w:val="EndnoteTextChar"/>
    <w:rsid w:val="00D40F4F"/>
    <w:pPr>
      <w:spacing w:after="120"/>
      <w:ind w:left="357" w:hanging="357"/>
      <w:jc w:val="both"/>
    </w:pPr>
    <w:rPr>
      <w:sz w:val="20"/>
      <w:szCs w:val="20"/>
    </w:rPr>
  </w:style>
  <w:style w:type="character" w:customStyle="1" w:styleId="EndnoteTextChar">
    <w:name w:val="Endnote Text Char"/>
    <w:basedOn w:val="DefaultParagraphFont"/>
    <w:link w:val="EndnoteText"/>
    <w:rsid w:val="00D40F4F"/>
    <w:rPr>
      <w:lang w:val="fr-FR" w:eastAsia="en-GB"/>
    </w:rPr>
  </w:style>
  <w:style w:type="paragraph" w:customStyle="1" w:styleId="FigureBody">
    <w:name w:val="Figure Body"/>
    <w:basedOn w:val="Normal"/>
    <w:next w:val="FigureSource"/>
    <w:uiPriority w:val="99"/>
    <w:semiHidden/>
    <w:unhideWhenUsed/>
    <w:rsid w:val="00D40F4F"/>
    <w:pPr>
      <w:keepNext/>
      <w:spacing w:after="40"/>
      <w:jc w:val="both"/>
    </w:pPr>
    <w:rPr>
      <w:szCs w:val="20"/>
    </w:rPr>
  </w:style>
  <w:style w:type="paragraph" w:customStyle="1" w:styleId="FigureBody1">
    <w:name w:val="Figure Body 1"/>
    <w:basedOn w:val="Text1"/>
    <w:next w:val="FigureSource1"/>
    <w:uiPriority w:val="99"/>
    <w:semiHidden/>
    <w:unhideWhenUsed/>
    <w:rsid w:val="00D40F4F"/>
    <w:pPr>
      <w:keepNext/>
      <w:spacing w:after="40"/>
    </w:pPr>
    <w:rPr>
      <w:lang w:eastAsia="en-GB"/>
    </w:rPr>
  </w:style>
  <w:style w:type="paragraph" w:customStyle="1" w:styleId="FigureBody2">
    <w:name w:val="Figure Body 2"/>
    <w:basedOn w:val="Text2"/>
    <w:next w:val="FigureSource2"/>
    <w:uiPriority w:val="99"/>
    <w:semiHidden/>
    <w:unhideWhenUsed/>
    <w:rsid w:val="00D40F4F"/>
    <w:pPr>
      <w:keepNext/>
      <w:spacing w:after="40"/>
    </w:pPr>
  </w:style>
  <w:style w:type="paragraph" w:customStyle="1" w:styleId="FigureBody3">
    <w:name w:val="Figure Body 3"/>
    <w:basedOn w:val="Text3"/>
    <w:next w:val="FigureSource3"/>
    <w:uiPriority w:val="99"/>
    <w:semiHidden/>
    <w:unhideWhenUsed/>
    <w:rsid w:val="00D40F4F"/>
    <w:pPr>
      <w:keepNext/>
      <w:spacing w:after="40"/>
    </w:pPr>
  </w:style>
  <w:style w:type="paragraph" w:customStyle="1" w:styleId="FigureBody4">
    <w:name w:val="Figure Body 4"/>
    <w:basedOn w:val="Text4"/>
    <w:next w:val="FigureSource4"/>
    <w:uiPriority w:val="99"/>
    <w:semiHidden/>
    <w:unhideWhenUsed/>
    <w:rsid w:val="00D40F4F"/>
    <w:pPr>
      <w:keepNext/>
      <w:spacing w:after="40"/>
    </w:pPr>
  </w:style>
  <w:style w:type="paragraph" w:customStyle="1" w:styleId="FigureSource">
    <w:name w:val="Figure Source"/>
    <w:basedOn w:val="Normal"/>
    <w:next w:val="Normal"/>
    <w:uiPriority w:val="99"/>
    <w:semiHidden/>
    <w:unhideWhenUsed/>
    <w:rsid w:val="00D40F4F"/>
    <w:pPr>
      <w:spacing w:after="240"/>
      <w:jc w:val="both"/>
    </w:pPr>
    <w:rPr>
      <w:sz w:val="20"/>
      <w:szCs w:val="20"/>
    </w:rPr>
  </w:style>
  <w:style w:type="paragraph" w:customStyle="1" w:styleId="FigureSource1">
    <w:name w:val="Figure Source 1"/>
    <w:basedOn w:val="Text1"/>
    <w:next w:val="Text1"/>
    <w:uiPriority w:val="99"/>
    <w:semiHidden/>
    <w:unhideWhenUsed/>
    <w:rsid w:val="00D40F4F"/>
    <w:rPr>
      <w:sz w:val="20"/>
      <w:lang w:eastAsia="en-GB"/>
    </w:rPr>
  </w:style>
  <w:style w:type="paragraph" w:customStyle="1" w:styleId="FigureSource2">
    <w:name w:val="Figure Source 2"/>
    <w:basedOn w:val="Text2"/>
    <w:next w:val="Text2"/>
    <w:uiPriority w:val="99"/>
    <w:semiHidden/>
    <w:unhideWhenUsed/>
    <w:rsid w:val="00D40F4F"/>
    <w:rPr>
      <w:sz w:val="20"/>
    </w:rPr>
  </w:style>
  <w:style w:type="paragraph" w:customStyle="1" w:styleId="FigureSource3">
    <w:name w:val="Figure Source 3"/>
    <w:basedOn w:val="Text3"/>
    <w:next w:val="Text3"/>
    <w:uiPriority w:val="99"/>
    <w:semiHidden/>
    <w:unhideWhenUsed/>
    <w:rsid w:val="00D40F4F"/>
    <w:rPr>
      <w:sz w:val="20"/>
    </w:rPr>
  </w:style>
  <w:style w:type="paragraph" w:customStyle="1" w:styleId="FigureSource4">
    <w:name w:val="Figure Source 4"/>
    <w:basedOn w:val="Text4"/>
    <w:next w:val="Text4"/>
    <w:uiPriority w:val="99"/>
    <w:semiHidden/>
    <w:unhideWhenUsed/>
    <w:rsid w:val="00D40F4F"/>
    <w:rPr>
      <w:sz w:val="20"/>
    </w:rPr>
  </w:style>
  <w:style w:type="paragraph" w:customStyle="1" w:styleId="FigureTitle">
    <w:name w:val="Figure Title"/>
    <w:basedOn w:val="Normal"/>
    <w:next w:val="FigureBody"/>
    <w:uiPriority w:val="99"/>
    <w:semiHidden/>
    <w:unhideWhenUsed/>
    <w:rsid w:val="00D40F4F"/>
    <w:pPr>
      <w:keepNext/>
      <w:spacing w:after="120"/>
      <w:jc w:val="both"/>
    </w:pPr>
    <w:rPr>
      <w:b/>
      <w:i/>
      <w:szCs w:val="20"/>
    </w:rPr>
  </w:style>
  <w:style w:type="paragraph" w:customStyle="1" w:styleId="FigureTitle1">
    <w:name w:val="Figure Title 1"/>
    <w:basedOn w:val="Text1"/>
    <w:next w:val="FigureBody1"/>
    <w:uiPriority w:val="99"/>
    <w:semiHidden/>
    <w:unhideWhenUsed/>
    <w:rsid w:val="00D40F4F"/>
    <w:pPr>
      <w:keepNext/>
      <w:spacing w:after="120"/>
    </w:pPr>
    <w:rPr>
      <w:b/>
      <w:i/>
      <w:lang w:eastAsia="en-GB"/>
    </w:rPr>
  </w:style>
  <w:style w:type="paragraph" w:customStyle="1" w:styleId="FigureTitle2">
    <w:name w:val="Figure Title 2"/>
    <w:basedOn w:val="Text2"/>
    <w:next w:val="FigureBody2"/>
    <w:uiPriority w:val="99"/>
    <w:semiHidden/>
    <w:unhideWhenUsed/>
    <w:rsid w:val="00D40F4F"/>
    <w:pPr>
      <w:keepNext/>
      <w:spacing w:after="120"/>
    </w:pPr>
    <w:rPr>
      <w:b/>
      <w:i/>
    </w:rPr>
  </w:style>
  <w:style w:type="paragraph" w:customStyle="1" w:styleId="FigureTitle3">
    <w:name w:val="Figure Title 3"/>
    <w:basedOn w:val="Text3"/>
    <w:next w:val="FigureBody3"/>
    <w:uiPriority w:val="99"/>
    <w:semiHidden/>
    <w:unhideWhenUsed/>
    <w:rsid w:val="00D40F4F"/>
    <w:pPr>
      <w:keepNext/>
      <w:spacing w:after="120"/>
    </w:pPr>
    <w:rPr>
      <w:b/>
      <w:i/>
    </w:rPr>
  </w:style>
  <w:style w:type="paragraph" w:customStyle="1" w:styleId="FigureTitle4">
    <w:name w:val="Figure Title 4"/>
    <w:basedOn w:val="Text4"/>
    <w:next w:val="FigureBody4"/>
    <w:uiPriority w:val="99"/>
    <w:semiHidden/>
    <w:unhideWhenUsed/>
    <w:rsid w:val="00D40F4F"/>
    <w:pPr>
      <w:keepNext/>
      <w:spacing w:after="120"/>
    </w:pPr>
    <w:rPr>
      <w:b/>
      <w:i/>
    </w:rPr>
  </w:style>
  <w:style w:type="paragraph" w:customStyle="1" w:styleId="FooterLine">
    <w:name w:val="Footer Line"/>
    <w:basedOn w:val="Footer"/>
    <w:next w:val="Footer"/>
    <w:semiHidden/>
    <w:rsid w:val="00D40F4F"/>
    <w:pPr>
      <w:tabs>
        <w:tab w:val="clear" w:pos="4536"/>
        <w:tab w:val="clear" w:pos="9072"/>
        <w:tab w:val="right" w:pos="8646"/>
      </w:tabs>
      <w:spacing w:before="120"/>
    </w:pPr>
    <w:rPr>
      <w:sz w:val="16"/>
      <w:szCs w:val="20"/>
    </w:rPr>
  </w:style>
  <w:style w:type="paragraph" w:customStyle="1" w:styleId="LegalNumPar">
    <w:name w:val="LegalNumPar"/>
    <w:basedOn w:val="Normal"/>
    <w:uiPriority w:val="20"/>
    <w:qFormat/>
    <w:rsid w:val="00D40F4F"/>
    <w:pPr>
      <w:numPr>
        <w:numId w:val="21"/>
      </w:numPr>
      <w:spacing w:after="240" w:line="360" w:lineRule="auto"/>
      <w:jc w:val="both"/>
    </w:pPr>
    <w:rPr>
      <w:szCs w:val="20"/>
    </w:rPr>
  </w:style>
  <w:style w:type="paragraph" w:customStyle="1" w:styleId="LegalNumPar2">
    <w:name w:val="LegalNumPar2"/>
    <w:basedOn w:val="Normal"/>
    <w:uiPriority w:val="20"/>
    <w:rsid w:val="00D40F4F"/>
    <w:pPr>
      <w:numPr>
        <w:ilvl w:val="1"/>
        <w:numId w:val="21"/>
      </w:numPr>
      <w:spacing w:after="240" w:line="360" w:lineRule="auto"/>
      <w:jc w:val="both"/>
    </w:pPr>
    <w:rPr>
      <w:szCs w:val="20"/>
    </w:rPr>
  </w:style>
  <w:style w:type="paragraph" w:customStyle="1" w:styleId="LegalNumPar3">
    <w:name w:val="LegalNumPar3"/>
    <w:basedOn w:val="Normal"/>
    <w:uiPriority w:val="20"/>
    <w:rsid w:val="00D40F4F"/>
    <w:pPr>
      <w:numPr>
        <w:ilvl w:val="2"/>
        <w:numId w:val="21"/>
      </w:numPr>
      <w:spacing w:after="240" w:line="360" w:lineRule="auto"/>
      <w:jc w:val="both"/>
    </w:pPr>
    <w:rPr>
      <w:szCs w:val="20"/>
    </w:rPr>
  </w:style>
  <w:style w:type="paragraph" w:styleId="ListBullet">
    <w:name w:val="List Bullet"/>
    <w:basedOn w:val="Normal"/>
    <w:uiPriority w:val="35"/>
    <w:rsid w:val="00D40F4F"/>
    <w:pPr>
      <w:numPr>
        <w:numId w:val="19"/>
      </w:numPr>
      <w:spacing w:after="240"/>
      <w:jc w:val="both"/>
    </w:pPr>
    <w:rPr>
      <w:szCs w:val="20"/>
    </w:rPr>
  </w:style>
  <w:style w:type="paragraph" w:customStyle="1" w:styleId="ListBulletLevel2">
    <w:name w:val="List Bullet (Level 2)"/>
    <w:basedOn w:val="Normal"/>
    <w:uiPriority w:val="35"/>
    <w:semiHidden/>
    <w:unhideWhenUsed/>
    <w:rsid w:val="00D40F4F"/>
    <w:pPr>
      <w:numPr>
        <w:ilvl w:val="1"/>
        <w:numId w:val="19"/>
      </w:numPr>
      <w:spacing w:after="240"/>
      <w:jc w:val="both"/>
    </w:pPr>
    <w:rPr>
      <w:szCs w:val="20"/>
    </w:rPr>
  </w:style>
  <w:style w:type="paragraph" w:customStyle="1" w:styleId="ListBulletLevel3">
    <w:name w:val="List Bullet (Level 3)"/>
    <w:basedOn w:val="Normal"/>
    <w:uiPriority w:val="35"/>
    <w:semiHidden/>
    <w:unhideWhenUsed/>
    <w:rsid w:val="00D40F4F"/>
    <w:pPr>
      <w:numPr>
        <w:ilvl w:val="2"/>
        <w:numId w:val="19"/>
      </w:numPr>
      <w:spacing w:after="240"/>
      <w:jc w:val="both"/>
    </w:pPr>
    <w:rPr>
      <w:szCs w:val="20"/>
    </w:rPr>
  </w:style>
  <w:style w:type="paragraph" w:customStyle="1" w:styleId="ListBulletLevel4">
    <w:name w:val="List Bullet (Level 4)"/>
    <w:basedOn w:val="Normal"/>
    <w:uiPriority w:val="35"/>
    <w:semiHidden/>
    <w:unhideWhenUsed/>
    <w:rsid w:val="00D40F4F"/>
    <w:pPr>
      <w:numPr>
        <w:ilvl w:val="3"/>
        <w:numId w:val="19"/>
      </w:numPr>
      <w:spacing w:after="240"/>
      <w:jc w:val="both"/>
    </w:pPr>
    <w:rPr>
      <w:szCs w:val="20"/>
    </w:rPr>
  </w:style>
  <w:style w:type="paragraph" w:customStyle="1" w:styleId="ListBullet1">
    <w:name w:val="List Bullet 1"/>
    <w:basedOn w:val="Text1"/>
    <w:uiPriority w:val="35"/>
    <w:rsid w:val="00D40F4F"/>
    <w:pPr>
      <w:numPr>
        <w:numId w:val="18"/>
      </w:numPr>
    </w:pPr>
    <w:rPr>
      <w:lang w:eastAsia="en-GB"/>
    </w:rPr>
  </w:style>
  <w:style w:type="paragraph" w:customStyle="1" w:styleId="ListBullet1Level2">
    <w:name w:val="List Bullet 1 (Level 2)"/>
    <w:basedOn w:val="Text1"/>
    <w:uiPriority w:val="35"/>
    <w:semiHidden/>
    <w:unhideWhenUsed/>
    <w:rsid w:val="00D40F4F"/>
    <w:pPr>
      <w:numPr>
        <w:ilvl w:val="1"/>
        <w:numId w:val="18"/>
      </w:numPr>
    </w:pPr>
    <w:rPr>
      <w:lang w:eastAsia="en-GB"/>
    </w:rPr>
  </w:style>
  <w:style w:type="paragraph" w:customStyle="1" w:styleId="ListBullet1Level3">
    <w:name w:val="List Bullet 1 (Level 3)"/>
    <w:basedOn w:val="Text1"/>
    <w:uiPriority w:val="35"/>
    <w:semiHidden/>
    <w:unhideWhenUsed/>
    <w:rsid w:val="00D40F4F"/>
    <w:pPr>
      <w:numPr>
        <w:ilvl w:val="2"/>
        <w:numId w:val="18"/>
      </w:numPr>
    </w:pPr>
    <w:rPr>
      <w:lang w:eastAsia="en-GB"/>
    </w:rPr>
  </w:style>
  <w:style w:type="paragraph" w:customStyle="1" w:styleId="ListBullet1Level4">
    <w:name w:val="List Bullet 1 (Level 4)"/>
    <w:basedOn w:val="Text1"/>
    <w:uiPriority w:val="35"/>
    <w:semiHidden/>
    <w:unhideWhenUsed/>
    <w:rsid w:val="00D40F4F"/>
    <w:pPr>
      <w:numPr>
        <w:ilvl w:val="3"/>
        <w:numId w:val="18"/>
      </w:numPr>
    </w:pPr>
    <w:rPr>
      <w:lang w:eastAsia="en-GB"/>
    </w:rPr>
  </w:style>
  <w:style w:type="paragraph" w:styleId="ListBullet2">
    <w:name w:val="List Bullet 2"/>
    <w:basedOn w:val="Text2"/>
    <w:uiPriority w:val="35"/>
    <w:rsid w:val="00D40F4F"/>
    <w:pPr>
      <w:numPr>
        <w:numId w:val="17"/>
      </w:numPr>
    </w:pPr>
  </w:style>
  <w:style w:type="paragraph" w:customStyle="1" w:styleId="ListBullet2Level2">
    <w:name w:val="List Bullet 2 (Level 2)"/>
    <w:basedOn w:val="Text2"/>
    <w:uiPriority w:val="35"/>
    <w:semiHidden/>
    <w:unhideWhenUsed/>
    <w:rsid w:val="00D40F4F"/>
    <w:pPr>
      <w:numPr>
        <w:ilvl w:val="1"/>
        <w:numId w:val="17"/>
      </w:numPr>
    </w:pPr>
  </w:style>
  <w:style w:type="paragraph" w:customStyle="1" w:styleId="ListBullet2Level3">
    <w:name w:val="List Bullet 2 (Level 3)"/>
    <w:basedOn w:val="Text2"/>
    <w:uiPriority w:val="35"/>
    <w:semiHidden/>
    <w:unhideWhenUsed/>
    <w:rsid w:val="00D40F4F"/>
    <w:pPr>
      <w:numPr>
        <w:ilvl w:val="2"/>
        <w:numId w:val="17"/>
      </w:numPr>
    </w:pPr>
  </w:style>
  <w:style w:type="paragraph" w:customStyle="1" w:styleId="ListBullet2Level4">
    <w:name w:val="List Bullet 2 (Level 4)"/>
    <w:basedOn w:val="Text2"/>
    <w:uiPriority w:val="35"/>
    <w:semiHidden/>
    <w:unhideWhenUsed/>
    <w:rsid w:val="00D40F4F"/>
    <w:pPr>
      <w:numPr>
        <w:ilvl w:val="3"/>
        <w:numId w:val="17"/>
      </w:numPr>
    </w:pPr>
  </w:style>
  <w:style w:type="paragraph" w:styleId="ListBullet3">
    <w:name w:val="List Bullet 3"/>
    <w:basedOn w:val="Text3"/>
    <w:uiPriority w:val="35"/>
    <w:rsid w:val="00D40F4F"/>
    <w:pPr>
      <w:numPr>
        <w:numId w:val="16"/>
      </w:numPr>
    </w:pPr>
  </w:style>
  <w:style w:type="paragraph" w:customStyle="1" w:styleId="ListBullet3Level2">
    <w:name w:val="List Bullet 3 (Level 2)"/>
    <w:basedOn w:val="Text3"/>
    <w:uiPriority w:val="35"/>
    <w:semiHidden/>
    <w:unhideWhenUsed/>
    <w:rsid w:val="00D40F4F"/>
    <w:pPr>
      <w:numPr>
        <w:ilvl w:val="1"/>
        <w:numId w:val="16"/>
      </w:numPr>
    </w:pPr>
  </w:style>
  <w:style w:type="paragraph" w:customStyle="1" w:styleId="ListBullet3Level3">
    <w:name w:val="List Bullet 3 (Level 3)"/>
    <w:basedOn w:val="Text3"/>
    <w:uiPriority w:val="35"/>
    <w:semiHidden/>
    <w:unhideWhenUsed/>
    <w:rsid w:val="00D40F4F"/>
    <w:pPr>
      <w:numPr>
        <w:ilvl w:val="2"/>
        <w:numId w:val="16"/>
      </w:numPr>
    </w:pPr>
  </w:style>
  <w:style w:type="paragraph" w:customStyle="1" w:styleId="ListBullet3Level4">
    <w:name w:val="List Bullet 3 (Level 4)"/>
    <w:basedOn w:val="Text3"/>
    <w:uiPriority w:val="35"/>
    <w:semiHidden/>
    <w:unhideWhenUsed/>
    <w:rsid w:val="00D40F4F"/>
    <w:pPr>
      <w:numPr>
        <w:ilvl w:val="3"/>
        <w:numId w:val="16"/>
      </w:numPr>
    </w:pPr>
  </w:style>
  <w:style w:type="paragraph" w:styleId="ListBullet4">
    <w:name w:val="List Bullet 4"/>
    <w:basedOn w:val="Text4"/>
    <w:uiPriority w:val="35"/>
    <w:rsid w:val="00D40F4F"/>
    <w:pPr>
      <w:numPr>
        <w:numId w:val="15"/>
      </w:numPr>
    </w:pPr>
  </w:style>
  <w:style w:type="paragraph" w:customStyle="1" w:styleId="ListBullet4Level2">
    <w:name w:val="List Bullet 4 (Level 2)"/>
    <w:basedOn w:val="Text4"/>
    <w:uiPriority w:val="35"/>
    <w:semiHidden/>
    <w:unhideWhenUsed/>
    <w:rsid w:val="00D40F4F"/>
    <w:pPr>
      <w:numPr>
        <w:ilvl w:val="1"/>
        <w:numId w:val="15"/>
      </w:numPr>
    </w:pPr>
  </w:style>
  <w:style w:type="paragraph" w:customStyle="1" w:styleId="ListBullet4Level3">
    <w:name w:val="List Bullet 4 (Level 3)"/>
    <w:basedOn w:val="Text4"/>
    <w:uiPriority w:val="35"/>
    <w:semiHidden/>
    <w:unhideWhenUsed/>
    <w:rsid w:val="00D40F4F"/>
    <w:pPr>
      <w:numPr>
        <w:ilvl w:val="2"/>
        <w:numId w:val="15"/>
      </w:numPr>
    </w:pPr>
  </w:style>
  <w:style w:type="paragraph" w:customStyle="1" w:styleId="ListBullet4Level4">
    <w:name w:val="List Bullet 4 (Level 4)"/>
    <w:basedOn w:val="Text4"/>
    <w:uiPriority w:val="35"/>
    <w:semiHidden/>
    <w:unhideWhenUsed/>
    <w:rsid w:val="00D40F4F"/>
    <w:pPr>
      <w:numPr>
        <w:ilvl w:val="3"/>
        <w:numId w:val="15"/>
      </w:numPr>
    </w:pPr>
  </w:style>
  <w:style w:type="paragraph" w:customStyle="1" w:styleId="ListDash">
    <w:name w:val="List Dash"/>
    <w:basedOn w:val="Normal"/>
    <w:uiPriority w:val="35"/>
    <w:rsid w:val="00D40F4F"/>
    <w:pPr>
      <w:numPr>
        <w:numId w:val="9"/>
      </w:numPr>
      <w:spacing w:after="240"/>
      <w:jc w:val="both"/>
    </w:pPr>
    <w:rPr>
      <w:szCs w:val="20"/>
    </w:rPr>
  </w:style>
  <w:style w:type="paragraph" w:customStyle="1" w:styleId="ListDashLevel2">
    <w:name w:val="List Dash (Level 2)"/>
    <w:basedOn w:val="Normal"/>
    <w:semiHidden/>
    <w:unhideWhenUsed/>
    <w:rsid w:val="00D40F4F"/>
    <w:pPr>
      <w:numPr>
        <w:ilvl w:val="1"/>
        <w:numId w:val="9"/>
      </w:numPr>
      <w:spacing w:after="240"/>
      <w:jc w:val="both"/>
    </w:pPr>
    <w:rPr>
      <w:szCs w:val="20"/>
    </w:rPr>
  </w:style>
  <w:style w:type="paragraph" w:customStyle="1" w:styleId="ListDashLevel3">
    <w:name w:val="List Dash (Level 3)"/>
    <w:basedOn w:val="Normal"/>
    <w:semiHidden/>
    <w:unhideWhenUsed/>
    <w:rsid w:val="00D40F4F"/>
    <w:pPr>
      <w:numPr>
        <w:ilvl w:val="2"/>
        <w:numId w:val="9"/>
      </w:numPr>
      <w:spacing w:after="240"/>
      <w:jc w:val="both"/>
    </w:pPr>
    <w:rPr>
      <w:szCs w:val="20"/>
    </w:rPr>
  </w:style>
  <w:style w:type="paragraph" w:customStyle="1" w:styleId="ListDashLevel4">
    <w:name w:val="List Dash (Level 4)"/>
    <w:basedOn w:val="Normal"/>
    <w:semiHidden/>
    <w:unhideWhenUsed/>
    <w:rsid w:val="00D40F4F"/>
    <w:pPr>
      <w:numPr>
        <w:ilvl w:val="3"/>
        <w:numId w:val="9"/>
      </w:numPr>
      <w:spacing w:after="240"/>
      <w:jc w:val="both"/>
    </w:pPr>
    <w:rPr>
      <w:szCs w:val="20"/>
    </w:rPr>
  </w:style>
  <w:style w:type="paragraph" w:customStyle="1" w:styleId="ListDash1">
    <w:name w:val="List Dash 1"/>
    <w:basedOn w:val="Text1"/>
    <w:uiPriority w:val="35"/>
    <w:rsid w:val="00D40F4F"/>
    <w:pPr>
      <w:numPr>
        <w:numId w:val="8"/>
      </w:numPr>
    </w:pPr>
    <w:rPr>
      <w:lang w:eastAsia="en-GB"/>
    </w:rPr>
  </w:style>
  <w:style w:type="paragraph" w:customStyle="1" w:styleId="ListDash1Level2">
    <w:name w:val="List Dash 1 (Level 2)"/>
    <w:basedOn w:val="Text1"/>
    <w:uiPriority w:val="35"/>
    <w:semiHidden/>
    <w:unhideWhenUsed/>
    <w:rsid w:val="00D40F4F"/>
    <w:pPr>
      <w:numPr>
        <w:ilvl w:val="1"/>
        <w:numId w:val="8"/>
      </w:numPr>
    </w:pPr>
    <w:rPr>
      <w:lang w:eastAsia="en-GB"/>
    </w:rPr>
  </w:style>
  <w:style w:type="paragraph" w:customStyle="1" w:styleId="ListDash1Level3">
    <w:name w:val="List Dash 1 (Level 3)"/>
    <w:basedOn w:val="Text1"/>
    <w:uiPriority w:val="35"/>
    <w:semiHidden/>
    <w:unhideWhenUsed/>
    <w:rsid w:val="00D40F4F"/>
    <w:pPr>
      <w:numPr>
        <w:ilvl w:val="2"/>
        <w:numId w:val="8"/>
      </w:numPr>
    </w:pPr>
    <w:rPr>
      <w:lang w:eastAsia="en-GB"/>
    </w:rPr>
  </w:style>
  <w:style w:type="paragraph" w:customStyle="1" w:styleId="ListDash1Level4">
    <w:name w:val="List Dash 1 (Level 4)"/>
    <w:basedOn w:val="Text1"/>
    <w:uiPriority w:val="35"/>
    <w:semiHidden/>
    <w:unhideWhenUsed/>
    <w:rsid w:val="00D40F4F"/>
    <w:pPr>
      <w:numPr>
        <w:ilvl w:val="3"/>
        <w:numId w:val="8"/>
      </w:numPr>
    </w:pPr>
    <w:rPr>
      <w:lang w:eastAsia="en-GB"/>
    </w:rPr>
  </w:style>
  <w:style w:type="paragraph" w:customStyle="1" w:styleId="ListDash2">
    <w:name w:val="List Dash 2"/>
    <w:basedOn w:val="Text2"/>
    <w:uiPriority w:val="35"/>
    <w:rsid w:val="00D40F4F"/>
    <w:pPr>
      <w:numPr>
        <w:numId w:val="7"/>
      </w:numPr>
    </w:pPr>
  </w:style>
  <w:style w:type="paragraph" w:customStyle="1" w:styleId="ListDash2Level2">
    <w:name w:val="List Dash 2 (Level 2)"/>
    <w:basedOn w:val="Text2"/>
    <w:uiPriority w:val="35"/>
    <w:semiHidden/>
    <w:unhideWhenUsed/>
    <w:rsid w:val="00D40F4F"/>
    <w:pPr>
      <w:numPr>
        <w:ilvl w:val="1"/>
        <w:numId w:val="7"/>
      </w:numPr>
    </w:pPr>
  </w:style>
  <w:style w:type="paragraph" w:customStyle="1" w:styleId="ListDash2Level3">
    <w:name w:val="List Dash 2 (Level 3)"/>
    <w:basedOn w:val="Text2"/>
    <w:uiPriority w:val="35"/>
    <w:semiHidden/>
    <w:unhideWhenUsed/>
    <w:rsid w:val="00D40F4F"/>
    <w:pPr>
      <w:numPr>
        <w:ilvl w:val="2"/>
        <w:numId w:val="7"/>
      </w:numPr>
    </w:pPr>
  </w:style>
  <w:style w:type="paragraph" w:customStyle="1" w:styleId="ListDash2Level4">
    <w:name w:val="List Dash 2 (Level 4)"/>
    <w:basedOn w:val="Text2"/>
    <w:uiPriority w:val="35"/>
    <w:semiHidden/>
    <w:unhideWhenUsed/>
    <w:rsid w:val="00D40F4F"/>
    <w:pPr>
      <w:numPr>
        <w:ilvl w:val="3"/>
        <w:numId w:val="7"/>
      </w:numPr>
    </w:pPr>
  </w:style>
  <w:style w:type="paragraph" w:customStyle="1" w:styleId="ListDash3">
    <w:name w:val="List Dash 3"/>
    <w:basedOn w:val="Text3"/>
    <w:uiPriority w:val="35"/>
    <w:rsid w:val="00D40F4F"/>
    <w:pPr>
      <w:numPr>
        <w:numId w:val="6"/>
      </w:numPr>
    </w:pPr>
  </w:style>
  <w:style w:type="paragraph" w:customStyle="1" w:styleId="ListDash3Level2">
    <w:name w:val="List Dash 3 (Level 2)"/>
    <w:basedOn w:val="Text3"/>
    <w:uiPriority w:val="35"/>
    <w:semiHidden/>
    <w:unhideWhenUsed/>
    <w:rsid w:val="00D40F4F"/>
    <w:pPr>
      <w:numPr>
        <w:ilvl w:val="1"/>
        <w:numId w:val="6"/>
      </w:numPr>
    </w:pPr>
  </w:style>
  <w:style w:type="paragraph" w:customStyle="1" w:styleId="ListDash3Level3">
    <w:name w:val="List Dash 3 (Level 3)"/>
    <w:basedOn w:val="Text3"/>
    <w:uiPriority w:val="35"/>
    <w:semiHidden/>
    <w:unhideWhenUsed/>
    <w:rsid w:val="00D40F4F"/>
    <w:pPr>
      <w:numPr>
        <w:ilvl w:val="2"/>
        <w:numId w:val="6"/>
      </w:numPr>
    </w:pPr>
  </w:style>
  <w:style w:type="paragraph" w:customStyle="1" w:styleId="ListDash3Level4">
    <w:name w:val="List Dash 3 (Level 4)"/>
    <w:basedOn w:val="Text3"/>
    <w:uiPriority w:val="35"/>
    <w:semiHidden/>
    <w:unhideWhenUsed/>
    <w:rsid w:val="00D40F4F"/>
    <w:pPr>
      <w:numPr>
        <w:ilvl w:val="3"/>
        <w:numId w:val="6"/>
      </w:numPr>
    </w:pPr>
  </w:style>
  <w:style w:type="paragraph" w:customStyle="1" w:styleId="ListDash4">
    <w:name w:val="List Dash 4"/>
    <w:basedOn w:val="Text4"/>
    <w:uiPriority w:val="35"/>
    <w:rsid w:val="00D40F4F"/>
    <w:pPr>
      <w:numPr>
        <w:numId w:val="5"/>
      </w:numPr>
    </w:pPr>
  </w:style>
  <w:style w:type="paragraph" w:customStyle="1" w:styleId="ListDash4Level2">
    <w:name w:val="List Dash 4 (Level 2)"/>
    <w:basedOn w:val="Text4"/>
    <w:uiPriority w:val="35"/>
    <w:semiHidden/>
    <w:unhideWhenUsed/>
    <w:rsid w:val="00D40F4F"/>
    <w:pPr>
      <w:numPr>
        <w:ilvl w:val="1"/>
        <w:numId w:val="5"/>
      </w:numPr>
    </w:pPr>
  </w:style>
  <w:style w:type="paragraph" w:customStyle="1" w:styleId="ListDash4Level3">
    <w:name w:val="List Dash 4 (Level 3)"/>
    <w:basedOn w:val="Text4"/>
    <w:uiPriority w:val="35"/>
    <w:semiHidden/>
    <w:unhideWhenUsed/>
    <w:rsid w:val="00D40F4F"/>
    <w:pPr>
      <w:numPr>
        <w:ilvl w:val="2"/>
        <w:numId w:val="5"/>
      </w:numPr>
    </w:pPr>
  </w:style>
  <w:style w:type="paragraph" w:customStyle="1" w:styleId="ListDash4Level4">
    <w:name w:val="List Dash 4 (Level 4)"/>
    <w:basedOn w:val="Text4"/>
    <w:uiPriority w:val="35"/>
    <w:semiHidden/>
    <w:unhideWhenUsed/>
    <w:rsid w:val="00D40F4F"/>
    <w:pPr>
      <w:numPr>
        <w:ilvl w:val="3"/>
        <w:numId w:val="5"/>
      </w:numPr>
    </w:pPr>
  </w:style>
  <w:style w:type="paragraph" w:styleId="ListNumber">
    <w:name w:val="List Number"/>
    <w:basedOn w:val="Normal"/>
    <w:uiPriority w:val="30"/>
    <w:rsid w:val="00D40F4F"/>
    <w:pPr>
      <w:numPr>
        <w:numId w:val="14"/>
      </w:numPr>
      <w:spacing w:after="240"/>
      <w:jc w:val="both"/>
    </w:pPr>
    <w:rPr>
      <w:szCs w:val="20"/>
    </w:rPr>
  </w:style>
  <w:style w:type="paragraph" w:customStyle="1" w:styleId="ListNumberLevel2">
    <w:name w:val="List Number (Level 2)"/>
    <w:basedOn w:val="Normal"/>
    <w:uiPriority w:val="30"/>
    <w:rsid w:val="00D40F4F"/>
    <w:pPr>
      <w:numPr>
        <w:ilvl w:val="1"/>
        <w:numId w:val="14"/>
      </w:numPr>
      <w:spacing w:after="240"/>
      <w:jc w:val="both"/>
    </w:pPr>
    <w:rPr>
      <w:szCs w:val="20"/>
    </w:rPr>
  </w:style>
  <w:style w:type="paragraph" w:customStyle="1" w:styleId="ListNumberLevel3">
    <w:name w:val="List Number (Level 3)"/>
    <w:basedOn w:val="Normal"/>
    <w:uiPriority w:val="30"/>
    <w:rsid w:val="00D40F4F"/>
    <w:pPr>
      <w:numPr>
        <w:ilvl w:val="2"/>
        <w:numId w:val="14"/>
      </w:numPr>
      <w:spacing w:after="240"/>
      <w:jc w:val="both"/>
    </w:pPr>
    <w:rPr>
      <w:szCs w:val="20"/>
    </w:rPr>
  </w:style>
  <w:style w:type="paragraph" w:customStyle="1" w:styleId="ListNumberLevel4">
    <w:name w:val="List Number (Level 4)"/>
    <w:basedOn w:val="Normal"/>
    <w:uiPriority w:val="30"/>
    <w:rsid w:val="00D40F4F"/>
    <w:pPr>
      <w:numPr>
        <w:ilvl w:val="3"/>
        <w:numId w:val="14"/>
      </w:numPr>
      <w:spacing w:after="240"/>
      <w:jc w:val="both"/>
    </w:pPr>
    <w:rPr>
      <w:szCs w:val="20"/>
    </w:rPr>
  </w:style>
  <w:style w:type="paragraph" w:customStyle="1" w:styleId="ListNumber1">
    <w:name w:val="List Number 1"/>
    <w:basedOn w:val="Text1"/>
    <w:uiPriority w:val="30"/>
    <w:rsid w:val="00D40F4F"/>
    <w:pPr>
      <w:numPr>
        <w:numId w:val="13"/>
      </w:numPr>
    </w:pPr>
    <w:rPr>
      <w:lang w:eastAsia="en-GB"/>
    </w:rPr>
  </w:style>
  <w:style w:type="paragraph" w:customStyle="1" w:styleId="ListNumber1Level2">
    <w:name w:val="List Number 1 (Level 2)"/>
    <w:basedOn w:val="Text1"/>
    <w:uiPriority w:val="30"/>
    <w:semiHidden/>
    <w:unhideWhenUsed/>
    <w:rsid w:val="00D40F4F"/>
    <w:pPr>
      <w:numPr>
        <w:ilvl w:val="1"/>
        <w:numId w:val="13"/>
      </w:numPr>
    </w:pPr>
    <w:rPr>
      <w:lang w:eastAsia="en-GB"/>
    </w:rPr>
  </w:style>
  <w:style w:type="paragraph" w:customStyle="1" w:styleId="ListNumber1Level3">
    <w:name w:val="List Number 1 (Level 3)"/>
    <w:basedOn w:val="Text1"/>
    <w:uiPriority w:val="30"/>
    <w:semiHidden/>
    <w:unhideWhenUsed/>
    <w:rsid w:val="00D40F4F"/>
    <w:pPr>
      <w:numPr>
        <w:ilvl w:val="2"/>
        <w:numId w:val="13"/>
      </w:numPr>
    </w:pPr>
    <w:rPr>
      <w:lang w:eastAsia="en-GB"/>
    </w:rPr>
  </w:style>
  <w:style w:type="paragraph" w:customStyle="1" w:styleId="ListNumber1Level4">
    <w:name w:val="List Number 1 (Level 4)"/>
    <w:basedOn w:val="Text1"/>
    <w:uiPriority w:val="30"/>
    <w:semiHidden/>
    <w:unhideWhenUsed/>
    <w:rsid w:val="00D40F4F"/>
    <w:pPr>
      <w:numPr>
        <w:ilvl w:val="3"/>
        <w:numId w:val="13"/>
      </w:numPr>
    </w:pPr>
    <w:rPr>
      <w:lang w:eastAsia="en-GB"/>
    </w:rPr>
  </w:style>
  <w:style w:type="paragraph" w:styleId="ListNumber2">
    <w:name w:val="List Number 2"/>
    <w:basedOn w:val="Text2"/>
    <w:uiPriority w:val="30"/>
    <w:rsid w:val="00D40F4F"/>
    <w:pPr>
      <w:numPr>
        <w:numId w:val="12"/>
      </w:numPr>
    </w:pPr>
  </w:style>
  <w:style w:type="paragraph" w:customStyle="1" w:styleId="ListNumber2Level2">
    <w:name w:val="List Number 2 (Level 2)"/>
    <w:basedOn w:val="Text2"/>
    <w:uiPriority w:val="30"/>
    <w:semiHidden/>
    <w:unhideWhenUsed/>
    <w:rsid w:val="00D40F4F"/>
    <w:pPr>
      <w:numPr>
        <w:ilvl w:val="1"/>
        <w:numId w:val="12"/>
      </w:numPr>
    </w:pPr>
  </w:style>
  <w:style w:type="paragraph" w:customStyle="1" w:styleId="ListNumber2Level3">
    <w:name w:val="List Number 2 (Level 3)"/>
    <w:basedOn w:val="Text2"/>
    <w:uiPriority w:val="30"/>
    <w:semiHidden/>
    <w:unhideWhenUsed/>
    <w:rsid w:val="00D40F4F"/>
    <w:pPr>
      <w:numPr>
        <w:ilvl w:val="2"/>
        <w:numId w:val="12"/>
      </w:numPr>
    </w:pPr>
  </w:style>
  <w:style w:type="paragraph" w:customStyle="1" w:styleId="ListNumber2Level4">
    <w:name w:val="List Number 2 (Level 4)"/>
    <w:basedOn w:val="Text2"/>
    <w:uiPriority w:val="30"/>
    <w:semiHidden/>
    <w:unhideWhenUsed/>
    <w:rsid w:val="00D40F4F"/>
    <w:pPr>
      <w:numPr>
        <w:ilvl w:val="3"/>
        <w:numId w:val="12"/>
      </w:numPr>
    </w:pPr>
  </w:style>
  <w:style w:type="paragraph" w:styleId="ListNumber3">
    <w:name w:val="List Number 3"/>
    <w:basedOn w:val="Text3"/>
    <w:uiPriority w:val="30"/>
    <w:rsid w:val="00D40F4F"/>
    <w:pPr>
      <w:numPr>
        <w:numId w:val="11"/>
      </w:numPr>
    </w:pPr>
  </w:style>
  <w:style w:type="paragraph" w:customStyle="1" w:styleId="ListNumber3Level2">
    <w:name w:val="List Number 3 (Level 2)"/>
    <w:basedOn w:val="Text3"/>
    <w:uiPriority w:val="30"/>
    <w:semiHidden/>
    <w:unhideWhenUsed/>
    <w:rsid w:val="00D40F4F"/>
    <w:pPr>
      <w:numPr>
        <w:ilvl w:val="1"/>
        <w:numId w:val="11"/>
      </w:numPr>
    </w:pPr>
  </w:style>
  <w:style w:type="paragraph" w:customStyle="1" w:styleId="ListNumber3Level3">
    <w:name w:val="List Number 3 (Level 3)"/>
    <w:basedOn w:val="Text3"/>
    <w:uiPriority w:val="30"/>
    <w:semiHidden/>
    <w:unhideWhenUsed/>
    <w:rsid w:val="00D40F4F"/>
    <w:pPr>
      <w:numPr>
        <w:ilvl w:val="2"/>
        <w:numId w:val="11"/>
      </w:numPr>
    </w:pPr>
  </w:style>
  <w:style w:type="paragraph" w:customStyle="1" w:styleId="ListNumber3Level4">
    <w:name w:val="List Number 3 (Level 4)"/>
    <w:basedOn w:val="Text3"/>
    <w:uiPriority w:val="30"/>
    <w:semiHidden/>
    <w:unhideWhenUsed/>
    <w:rsid w:val="00D40F4F"/>
    <w:pPr>
      <w:numPr>
        <w:ilvl w:val="3"/>
        <w:numId w:val="11"/>
      </w:numPr>
    </w:pPr>
  </w:style>
  <w:style w:type="paragraph" w:styleId="ListNumber4">
    <w:name w:val="List Number 4"/>
    <w:basedOn w:val="Text4"/>
    <w:uiPriority w:val="30"/>
    <w:rsid w:val="00D40F4F"/>
    <w:pPr>
      <w:numPr>
        <w:numId w:val="10"/>
      </w:numPr>
    </w:pPr>
  </w:style>
  <w:style w:type="paragraph" w:customStyle="1" w:styleId="ListNumber4Level2">
    <w:name w:val="List Number 4 (Level 2)"/>
    <w:basedOn w:val="Text4"/>
    <w:uiPriority w:val="30"/>
    <w:semiHidden/>
    <w:unhideWhenUsed/>
    <w:rsid w:val="00D40F4F"/>
    <w:pPr>
      <w:numPr>
        <w:ilvl w:val="1"/>
        <w:numId w:val="10"/>
      </w:numPr>
    </w:pPr>
  </w:style>
  <w:style w:type="paragraph" w:customStyle="1" w:styleId="ListNumber4Level3">
    <w:name w:val="List Number 4 (Level 3)"/>
    <w:basedOn w:val="Text4"/>
    <w:uiPriority w:val="30"/>
    <w:semiHidden/>
    <w:unhideWhenUsed/>
    <w:rsid w:val="00D40F4F"/>
    <w:pPr>
      <w:numPr>
        <w:ilvl w:val="2"/>
        <w:numId w:val="10"/>
      </w:numPr>
    </w:pPr>
  </w:style>
  <w:style w:type="paragraph" w:customStyle="1" w:styleId="ListNumber4Level4">
    <w:name w:val="List Number 4 (Level 4)"/>
    <w:basedOn w:val="Text4"/>
    <w:uiPriority w:val="30"/>
    <w:semiHidden/>
    <w:unhideWhenUsed/>
    <w:rsid w:val="00D40F4F"/>
    <w:pPr>
      <w:numPr>
        <w:ilvl w:val="3"/>
        <w:numId w:val="10"/>
      </w:numPr>
    </w:pPr>
  </w:style>
  <w:style w:type="paragraph" w:customStyle="1" w:styleId="Marking">
    <w:name w:val="Marking"/>
    <w:basedOn w:val="Normal"/>
    <w:semiHidden/>
    <w:rsid w:val="00D40F4F"/>
    <w:pPr>
      <w:spacing w:after="240"/>
      <w:ind w:left="5102" w:right="-680"/>
      <w:contextualSpacing/>
    </w:pPr>
    <w:rPr>
      <w:sz w:val="28"/>
      <w:szCs w:val="20"/>
    </w:rPr>
  </w:style>
  <w:style w:type="paragraph" w:customStyle="1" w:styleId="NoteAddressee">
    <w:name w:val="NoteAddressee"/>
    <w:basedOn w:val="Normal"/>
    <w:semiHidden/>
    <w:rsid w:val="00D40F4F"/>
    <w:pPr>
      <w:spacing w:after="720"/>
      <w:contextualSpacing/>
      <w:jc w:val="center"/>
    </w:pPr>
    <w:rPr>
      <w:b/>
      <w:smallCaps/>
      <w:szCs w:val="20"/>
    </w:rPr>
  </w:style>
  <w:style w:type="paragraph" w:customStyle="1" w:styleId="NoteColumn">
    <w:name w:val="NoteColumn"/>
    <w:basedOn w:val="Normal"/>
    <w:semiHidden/>
    <w:rsid w:val="00D40F4F"/>
    <w:pPr>
      <w:tabs>
        <w:tab w:val="left" w:pos="850"/>
        <w:tab w:val="left" w:pos="1570"/>
        <w:tab w:val="left" w:pos="5102"/>
        <w:tab w:val="left" w:pos="5822"/>
      </w:tabs>
      <w:spacing w:after="720"/>
      <w:ind w:left="680"/>
    </w:pPr>
    <w:rPr>
      <w:b/>
      <w:smallCaps/>
      <w:szCs w:val="20"/>
    </w:rPr>
  </w:style>
  <w:style w:type="paragraph" w:customStyle="1" w:styleId="NoteHead">
    <w:name w:val="NoteHead"/>
    <w:basedOn w:val="Normal"/>
    <w:semiHidden/>
    <w:rsid w:val="00D40F4F"/>
    <w:pPr>
      <w:spacing w:before="720" w:after="720"/>
      <w:contextualSpacing/>
      <w:jc w:val="center"/>
    </w:pPr>
    <w:rPr>
      <w:b/>
      <w:smallCaps/>
      <w:szCs w:val="20"/>
    </w:rPr>
  </w:style>
  <w:style w:type="paragraph" w:customStyle="1" w:styleId="NoteList">
    <w:name w:val="NoteList"/>
    <w:basedOn w:val="Normal"/>
    <w:semiHidden/>
    <w:rsid w:val="00D40F4F"/>
    <w:pPr>
      <w:tabs>
        <w:tab w:val="left" w:pos="5822"/>
      </w:tabs>
      <w:spacing w:before="720" w:after="720"/>
      <w:ind w:left="5102" w:hanging="3118"/>
      <w:contextualSpacing/>
    </w:pPr>
    <w:rPr>
      <w:b/>
      <w:smallCaps/>
      <w:szCs w:val="20"/>
    </w:rPr>
  </w:style>
  <w:style w:type="paragraph" w:customStyle="1" w:styleId="NoteTitle">
    <w:name w:val="NoteTitle"/>
    <w:basedOn w:val="Normal"/>
    <w:semiHidden/>
    <w:rsid w:val="00D40F4F"/>
    <w:pPr>
      <w:spacing w:before="720" w:after="360"/>
      <w:contextualSpacing/>
      <w:jc w:val="center"/>
    </w:pPr>
    <w:rPr>
      <w:b/>
      <w:smallCaps/>
      <w:szCs w:val="20"/>
    </w:rPr>
  </w:style>
  <w:style w:type="paragraph" w:customStyle="1" w:styleId="NumPar1">
    <w:name w:val="NumPar 1"/>
    <w:basedOn w:val="Heading1"/>
    <w:uiPriority w:val="20"/>
    <w:qFormat/>
    <w:rsid w:val="00D40F4F"/>
    <w:pPr>
      <w:keepNext w:val="0"/>
      <w:spacing w:before="0"/>
      <w:outlineLvl w:val="9"/>
    </w:pPr>
    <w:rPr>
      <w:b w:val="0"/>
      <w:smallCaps w:val="0"/>
    </w:rPr>
  </w:style>
  <w:style w:type="paragraph" w:customStyle="1" w:styleId="NumPar2">
    <w:name w:val="NumPar 2"/>
    <w:basedOn w:val="Heading2"/>
    <w:uiPriority w:val="20"/>
    <w:qFormat/>
    <w:rsid w:val="00D40F4F"/>
    <w:pPr>
      <w:keepNext w:val="0"/>
      <w:outlineLvl w:val="9"/>
    </w:pPr>
    <w:rPr>
      <w:b w:val="0"/>
    </w:rPr>
  </w:style>
  <w:style w:type="paragraph" w:customStyle="1" w:styleId="NumPar3">
    <w:name w:val="NumPar 3"/>
    <w:basedOn w:val="Heading3"/>
    <w:uiPriority w:val="20"/>
    <w:qFormat/>
    <w:rsid w:val="00D40F4F"/>
    <w:pPr>
      <w:keepNext w:val="0"/>
      <w:outlineLvl w:val="9"/>
    </w:pPr>
    <w:rPr>
      <w:i w:val="0"/>
    </w:rPr>
  </w:style>
  <w:style w:type="paragraph" w:customStyle="1" w:styleId="NumPar4">
    <w:name w:val="NumPar 4"/>
    <w:basedOn w:val="Heading4"/>
    <w:uiPriority w:val="20"/>
    <w:qFormat/>
    <w:rsid w:val="00D40F4F"/>
    <w:pPr>
      <w:keepNext w:val="0"/>
      <w:outlineLvl w:val="9"/>
    </w:pPr>
  </w:style>
  <w:style w:type="paragraph" w:customStyle="1" w:styleId="Participants">
    <w:name w:val="Participants"/>
    <w:basedOn w:val="Normal"/>
    <w:semiHidden/>
    <w:rsid w:val="00D40F4F"/>
    <w:pPr>
      <w:tabs>
        <w:tab w:val="left" w:pos="2551"/>
        <w:tab w:val="left" w:pos="2835"/>
        <w:tab w:val="left" w:pos="5669"/>
        <w:tab w:val="left" w:pos="6378"/>
        <w:tab w:val="left" w:pos="6803"/>
      </w:tabs>
      <w:spacing w:before="480"/>
      <w:ind w:left="1531" w:hanging="1531"/>
      <w:contextualSpacing/>
    </w:pPr>
    <w:rPr>
      <w:szCs w:val="20"/>
    </w:rPr>
  </w:style>
  <w:style w:type="paragraph" w:customStyle="1" w:styleId="References">
    <w:name w:val="References"/>
    <w:basedOn w:val="Normal"/>
    <w:semiHidden/>
    <w:rsid w:val="00D40F4F"/>
    <w:pPr>
      <w:spacing w:after="240"/>
      <w:ind w:left="5102" w:right="-567"/>
      <w:contextualSpacing/>
    </w:pPr>
    <w:rPr>
      <w:sz w:val="20"/>
      <w:szCs w:val="20"/>
    </w:rPr>
  </w:style>
  <w:style w:type="paragraph" w:customStyle="1" w:styleId="Releasable">
    <w:name w:val="Releasable"/>
    <w:basedOn w:val="Normal"/>
    <w:semiHidden/>
    <w:rsid w:val="00D40F4F"/>
    <w:pPr>
      <w:jc w:val="center"/>
    </w:pPr>
    <w:rPr>
      <w:b/>
      <w:caps/>
      <w:sz w:val="32"/>
      <w:szCs w:val="20"/>
    </w:rPr>
  </w:style>
  <w:style w:type="paragraph" w:customStyle="1" w:styleId="RUE">
    <w:name w:val="RUE"/>
    <w:basedOn w:val="Normal"/>
    <w:semiHidden/>
    <w:rsid w:val="00D40F4F"/>
    <w:pPr>
      <w:jc w:val="center"/>
    </w:pPr>
    <w:rPr>
      <w:b/>
      <w:caps/>
      <w:sz w:val="32"/>
      <w:szCs w:val="20"/>
      <w:bdr w:val="single" w:sz="18" w:space="0" w:color="auto"/>
    </w:rPr>
  </w:style>
  <w:style w:type="paragraph" w:customStyle="1" w:styleId="SecretUE">
    <w:name w:val="Secret UE"/>
    <w:basedOn w:val="Normal"/>
    <w:semiHidden/>
    <w:rsid w:val="00D40F4F"/>
    <w:pPr>
      <w:jc w:val="center"/>
    </w:pPr>
    <w:rPr>
      <w:b/>
      <w:caps/>
      <w:color w:val="FF0000"/>
      <w:sz w:val="32"/>
      <w:szCs w:val="20"/>
      <w:bdr w:val="single" w:sz="18" w:space="0" w:color="FF0000"/>
    </w:rPr>
  </w:style>
  <w:style w:type="paragraph" w:styleId="Signature">
    <w:name w:val="Signature"/>
    <w:basedOn w:val="Normal"/>
    <w:link w:val="SignatureChar"/>
    <w:rsid w:val="00D40F4F"/>
    <w:pPr>
      <w:spacing w:before="1200"/>
      <w:ind w:left="5102"/>
      <w:jc w:val="center"/>
    </w:pPr>
    <w:rPr>
      <w:szCs w:val="20"/>
    </w:rPr>
  </w:style>
  <w:style w:type="character" w:customStyle="1" w:styleId="SignatureChar">
    <w:name w:val="Signature Char"/>
    <w:basedOn w:val="DefaultParagraphFont"/>
    <w:link w:val="Signature"/>
    <w:rsid w:val="00D40F4F"/>
    <w:rPr>
      <w:sz w:val="24"/>
      <w:lang w:val="fr-FR" w:eastAsia="en-GB"/>
    </w:rPr>
  </w:style>
  <w:style w:type="paragraph" w:customStyle="1" w:styleId="SignatureL">
    <w:name w:val="SignatureL"/>
    <w:basedOn w:val="Normal"/>
    <w:semiHidden/>
    <w:rsid w:val="00D40F4F"/>
    <w:pPr>
      <w:spacing w:before="1200"/>
    </w:pPr>
    <w:rPr>
      <w:szCs w:val="20"/>
    </w:rPr>
  </w:style>
  <w:style w:type="paragraph" w:customStyle="1" w:styleId="Subject">
    <w:name w:val="Subject"/>
    <w:basedOn w:val="Normal"/>
    <w:semiHidden/>
    <w:rsid w:val="00D40F4F"/>
    <w:pPr>
      <w:spacing w:after="480"/>
      <w:ind w:left="1191" w:hanging="1191"/>
      <w:contextualSpacing/>
    </w:pPr>
    <w:rPr>
      <w:b/>
      <w:szCs w:val="20"/>
    </w:rPr>
  </w:style>
  <w:style w:type="paragraph" w:customStyle="1" w:styleId="TableListBullet">
    <w:name w:val="Table List Bullet"/>
    <w:basedOn w:val="TableText"/>
    <w:uiPriority w:val="55"/>
    <w:rsid w:val="00D40F4F"/>
    <w:pPr>
      <w:numPr>
        <w:numId w:val="24"/>
      </w:numPr>
    </w:pPr>
  </w:style>
  <w:style w:type="paragraph" w:customStyle="1" w:styleId="TableListBulletLevel2">
    <w:name w:val="Table List Bullet (Level 2)"/>
    <w:basedOn w:val="TableText"/>
    <w:uiPriority w:val="55"/>
    <w:semiHidden/>
    <w:unhideWhenUsed/>
    <w:rsid w:val="00D40F4F"/>
    <w:pPr>
      <w:numPr>
        <w:ilvl w:val="1"/>
        <w:numId w:val="24"/>
      </w:numPr>
    </w:pPr>
  </w:style>
  <w:style w:type="paragraph" w:customStyle="1" w:styleId="TableListBulletLevel3">
    <w:name w:val="Table List Bullet (Level 3)"/>
    <w:basedOn w:val="TableText"/>
    <w:uiPriority w:val="55"/>
    <w:semiHidden/>
    <w:unhideWhenUsed/>
    <w:rsid w:val="00D40F4F"/>
    <w:pPr>
      <w:numPr>
        <w:ilvl w:val="2"/>
        <w:numId w:val="24"/>
      </w:numPr>
    </w:pPr>
  </w:style>
  <w:style w:type="paragraph" w:customStyle="1" w:styleId="TableListBulletLevel4">
    <w:name w:val="Table List Bullet (Level 4)"/>
    <w:basedOn w:val="TableText"/>
    <w:uiPriority w:val="55"/>
    <w:semiHidden/>
    <w:unhideWhenUsed/>
    <w:rsid w:val="00D40F4F"/>
    <w:pPr>
      <w:numPr>
        <w:ilvl w:val="3"/>
        <w:numId w:val="24"/>
      </w:numPr>
    </w:pPr>
  </w:style>
  <w:style w:type="paragraph" w:customStyle="1" w:styleId="TableListDash">
    <w:name w:val="Table List Dash"/>
    <w:basedOn w:val="TableText"/>
    <w:uiPriority w:val="55"/>
    <w:rsid w:val="00D40F4F"/>
    <w:pPr>
      <w:numPr>
        <w:numId w:val="25"/>
      </w:numPr>
    </w:pPr>
  </w:style>
  <w:style w:type="paragraph" w:customStyle="1" w:styleId="TableListDashLevel2">
    <w:name w:val="Table List Dash (Level 2)"/>
    <w:basedOn w:val="TableText"/>
    <w:uiPriority w:val="55"/>
    <w:semiHidden/>
    <w:unhideWhenUsed/>
    <w:rsid w:val="00D40F4F"/>
    <w:pPr>
      <w:numPr>
        <w:ilvl w:val="1"/>
        <w:numId w:val="25"/>
      </w:numPr>
    </w:pPr>
  </w:style>
  <w:style w:type="paragraph" w:customStyle="1" w:styleId="TableListDashLevel3">
    <w:name w:val="Table List Dash (Level 3)"/>
    <w:basedOn w:val="TableText"/>
    <w:uiPriority w:val="55"/>
    <w:semiHidden/>
    <w:unhideWhenUsed/>
    <w:rsid w:val="00D40F4F"/>
    <w:pPr>
      <w:numPr>
        <w:ilvl w:val="2"/>
        <w:numId w:val="25"/>
      </w:numPr>
    </w:pPr>
  </w:style>
  <w:style w:type="paragraph" w:customStyle="1" w:styleId="TableListDashLevel4">
    <w:name w:val="Table List Dash (Level 4)"/>
    <w:basedOn w:val="TableText"/>
    <w:uiPriority w:val="55"/>
    <w:semiHidden/>
    <w:unhideWhenUsed/>
    <w:rsid w:val="00D40F4F"/>
    <w:pPr>
      <w:numPr>
        <w:ilvl w:val="3"/>
        <w:numId w:val="25"/>
      </w:numPr>
    </w:pPr>
  </w:style>
  <w:style w:type="paragraph" w:customStyle="1" w:styleId="TableListNumber">
    <w:name w:val="Table List Number"/>
    <w:basedOn w:val="TableText"/>
    <w:uiPriority w:val="55"/>
    <w:rsid w:val="00D40F4F"/>
    <w:pPr>
      <w:numPr>
        <w:numId w:val="26"/>
      </w:numPr>
    </w:pPr>
  </w:style>
  <w:style w:type="paragraph" w:customStyle="1" w:styleId="TableListNumberLevel2">
    <w:name w:val="Table List Number (Level 2)"/>
    <w:basedOn w:val="TableText"/>
    <w:uiPriority w:val="55"/>
    <w:semiHidden/>
    <w:unhideWhenUsed/>
    <w:rsid w:val="00D40F4F"/>
    <w:pPr>
      <w:numPr>
        <w:ilvl w:val="1"/>
        <w:numId w:val="26"/>
      </w:numPr>
    </w:pPr>
  </w:style>
  <w:style w:type="paragraph" w:customStyle="1" w:styleId="TableListNumberLevel3">
    <w:name w:val="Table List Number (Level 3)"/>
    <w:basedOn w:val="TableText"/>
    <w:uiPriority w:val="55"/>
    <w:semiHidden/>
    <w:unhideWhenUsed/>
    <w:rsid w:val="00D40F4F"/>
    <w:pPr>
      <w:numPr>
        <w:ilvl w:val="2"/>
        <w:numId w:val="26"/>
      </w:numPr>
    </w:pPr>
  </w:style>
  <w:style w:type="paragraph" w:customStyle="1" w:styleId="TableListNumberLevel4">
    <w:name w:val="Table List Number (Level 4)"/>
    <w:basedOn w:val="TableText"/>
    <w:uiPriority w:val="55"/>
    <w:semiHidden/>
    <w:unhideWhenUsed/>
    <w:rsid w:val="00D40F4F"/>
    <w:pPr>
      <w:numPr>
        <w:ilvl w:val="3"/>
        <w:numId w:val="26"/>
      </w:numPr>
    </w:pPr>
  </w:style>
  <w:style w:type="paragraph" w:customStyle="1" w:styleId="TableSource">
    <w:name w:val="Table Source"/>
    <w:basedOn w:val="Normal"/>
    <w:next w:val="Normal"/>
    <w:uiPriority w:val="99"/>
    <w:semiHidden/>
    <w:unhideWhenUsed/>
    <w:rsid w:val="00D40F4F"/>
    <w:pPr>
      <w:spacing w:after="240"/>
      <w:jc w:val="both"/>
    </w:pPr>
    <w:rPr>
      <w:sz w:val="20"/>
      <w:szCs w:val="20"/>
    </w:rPr>
  </w:style>
  <w:style w:type="paragraph" w:customStyle="1" w:styleId="TableSource1">
    <w:name w:val="Table Source 1"/>
    <w:basedOn w:val="Text1"/>
    <w:next w:val="Text1"/>
    <w:uiPriority w:val="99"/>
    <w:semiHidden/>
    <w:unhideWhenUsed/>
    <w:rsid w:val="00D40F4F"/>
    <w:rPr>
      <w:sz w:val="20"/>
      <w:lang w:eastAsia="en-GB"/>
    </w:rPr>
  </w:style>
  <w:style w:type="paragraph" w:customStyle="1" w:styleId="TableSource2">
    <w:name w:val="Table Source 2"/>
    <w:basedOn w:val="Text2"/>
    <w:next w:val="Text2"/>
    <w:uiPriority w:val="99"/>
    <w:semiHidden/>
    <w:unhideWhenUsed/>
    <w:rsid w:val="00D40F4F"/>
    <w:rPr>
      <w:sz w:val="20"/>
    </w:rPr>
  </w:style>
  <w:style w:type="paragraph" w:customStyle="1" w:styleId="TableSource3">
    <w:name w:val="Table Source 3"/>
    <w:basedOn w:val="Text3"/>
    <w:next w:val="Text3"/>
    <w:uiPriority w:val="99"/>
    <w:semiHidden/>
    <w:unhideWhenUsed/>
    <w:rsid w:val="00D40F4F"/>
    <w:rPr>
      <w:sz w:val="20"/>
    </w:rPr>
  </w:style>
  <w:style w:type="paragraph" w:customStyle="1" w:styleId="TableSource4">
    <w:name w:val="Table Source 4"/>
    <w:basedOn w:val="Text4"/>
    <w:next w:val="Text4"/>
    <w:uiPriority w:val="99"/>
    <w:semiHidden/>
    <w:unhideWhenUsed/>
    <w:rsid w:val="00D40F4F"/>
    <w:rPr>
      <w:sz w:val="20"/>
    </w:rPr>
  </w:style>
  <w:style w:type="paragraph" w:customStyle="1" w:styleId="TableText">
    <w:name w:val="Table Text"/>
    <w:basedOn w:val="Normal"/>
    <w:uiPriority w:val="50"/>
    <w:qFormat/>
    <w:rsid w:val="00D40F4F"/>
    <w:pPr>
      <w:spacing w:before="60" w:after="60"/>
    </w:pPr>
    <w:rPr>
      <w:szCs w:val="20"/>
    </w:rPr>
  </w:style>
  <w:style w:type="paragraph" w:customStyle="1" w:styleId="TableTitle">
    <w:name w:val="Table Title"/>
    <w:basedOn w:val="Normal"/>
    <w:uiPriority w:val="99"/>
    <w:semiHidden/>
    <w:unhideWhenUsed/>
    <w:rsid w:val="00D40F4F"/>
    <w:pPr>
      <w:keepNext/>
      <w:spacing w:after="120"/>
      <w:jc w:val="both"/>
    </w:pPr>
    <w:rPr>
      <w:b/>
      <w:i/>
      <w:szCs w:val="20"/>
    </w:rPr>
  </w:style>
  <w:style w:type="paragraph" w:customStyle="1" w:styleId="TableTitle1">
    <w:name w:val="Table Title 1"/>
    <w:basedOn w:val="Text1"/>
    <w:uiPriority w:val="99"/>
    <w:semiHidden/>
    <w:unhideWhenUsed/>
    <w:rsid w:val="00D40F4F"/>
    <w:pPr>
      <w:keepNext/>
      <w:spacing w:after="120"/>
    </w:pPr>
    <w:rPr>
      <w:b/>
      <w:i/>
      <w:lang w:eastAsia="en-GB"/>
    </w:rPr>
  </w:style>
  <w:style w:type="paragraph" w:customStyle="1" w:styleId="TableTitle2">
    <w:name w:val="Table Title 2"/>
    <w:basedOn w:val="Text2"/>
    <w:uiPriority w:val="99"/>
    <w:semiHidden/>
    <w:unhideWhenUsed/>
    <w:rsid w:val="00D40F4F"/>
    <w:pPr>
      <w:keepNext/>
      <w:spacing w:after="120"/>
    </w:pPr>
    <w:rPr>
      <w:b/>
      <w:i/>
    </w:rPr>
  </w:style>
  <w:style w:type="paragraph" w:customStyle="1" w:styleId="TableTitle3">
    <w:name w:val="Table Title 3"/>
    <w:basedOn w:val="Text3"/>
    <w:uiPriority w:val="99"/>
    <w:semiHidden/>
    <w:unhideWhenUsed/>
    <w:rsid w:val="00D40F4F"/>
    <w:pPr>
      <w:keepNext/>
      <w:spacing w:after="120"/>
    </w:pPr>
    <w:rPr>
      <w:b/>
      <w:i/>
    </w:rPr>
  </w:style>
  <w:style w:type="paragraph" w:customStyle="1" w:styleId="TableTitle4">
    <w:name w:val="Table Title 4"/>
    <w:basedOn w:val="Text4"/>
    <w:uiPriority w:val="99"/>
    <w:semiHidden/>
    <w:unhideWhenUsed/>
    <w:rsid w:val="00D40F4F"/>
    <w:pPr>
      <w:keepNext/>
      <w:spacing w:after="120"/>
    </w:pPr>
    <w:rPr>
      <w:b/>
      <w:i/>
    </w:rPr>
  </w:style>
  <w:style w:type="paragraph" w:customStyle="1" w:styleId="Text2">
    <w:name w:val="Text 2"/>
    <w:basedOn w:val="Normal"/>
    <w:qFormat/>
    <w:rsid w:val="00D40F4F"/>
    <w:pPr>
      <w:spacing w:after="240"/>
      <w:ind w:left="1077"/>
      <w:jc w:val="both"/>
    </w:pPr>
    <w:rPr>
      <w:szCs w:val="20"/>
    </w:rPr>
  </w:style>
  <w:style w:type="paragraph" w:customStyle="1" w:styleId="Text3">
    <w:name w:val="Text 3"/>
    <w:basedOn w:val="Normal"/>
    <w:qFormat/>
    <w:rsid w:val="00D40F4F"/>
    <w:pPr>
      <w:spacing w:after="240"/>
      <w:ind w:left="1077"/>
      <w:jc w:val="both"/>
    </w:pPr>
    <w:rPr>
      <w:szCs w:val="20"/>
    </w:rPr>
  </w:style>
  <w:style w:type="paragraph" w:customStyle="1" w:styleId="Text4">
    <w:name w:val="Text 4"/>
    <w:basedOn w:val="Normal"/>
    <w:qFormat/>
    <w:rsid w:val="00D40F4F"/>
    <w:pPr>
      <w:spacing w:after="240"/>
      <w:ind w:left="1077"/>
      <w:jc w:val="both"/>
    </w:pPr>
    <w:rPr>
      <w:szCs w:val="20"/>
    </w:rPr>
  </w:style>
  <w:style w:type="paragraph" w:styleId="TOC1">
    <w:name w:val="toc 1"/>
    <w:basedOn w:val="Normal"/>
    <w:next w:val="Normal"/>
    <w:rsid w:val="00D40F4F"/>
    <w:pPr>
      <w:tabs>
        <w:tab w:val="right" w:leader="dot" w:pos="8640"/>
      </w:tabs>
      <w:spacing w:before="120" w:after="120"/>
      <w:ind w:left="482" w:right="720" w:hanging="482"/>
      <w:jc w:val="both"/>
    </w:pPr>
    <w:rPr>
      <w:szCs w:val="20"/>
    </w:rPr>
  </w:style>
  <w:style w:type="paragraph" w:styleId="TOC2">
    <w:name w:val="toc 2"/>
    <w:basedOn w:val="Normal"/>
    <w:next w:val="Normal"/>
    <w:rsid w:val="00D40F4F"/>
    <w:pPr>
      <w:tabs>
        <w:tab w:val="right" w:leader="dot" w:pos="8640"/>
      </w:tabs>
      <w:spacing w:before="60" w:after="60"/>
      <w:ind w:left="1077" w:right="720" w:hanging="595"/>
      <w:jc w:val="both"/>
    </w:pPr>
    <w:rPr>
      <w:noProof/>
      <w:szCs w:val="20"/>
    </w:rPr>
  </w:style>
  <w:style w:type="paragraph" w:styleId="TOC3">
    <w:name w:val="toc 3"/>
    <w:basedOn w:val="Normal"/>
    <w:next w:val="Normal"/>
    <w:rsid w:val="00D40F4F"/>
    <w:pPr>
      <w:tabs>
        <w:tab w:val="right" w:leader="dot" w:pos="8640"/>
      </w:tabs>
      <w:spacing w:before="60" w:after="60"/>
      <w:ind w:left="1916" w:right="720" w:hanging="839"/>
      <w:jc w:val="both"/>
    </w:pPr>
    <w:rPr>
      <w:szCs w:val="20"/>
    </w:rPr>
  </w:style>
  <w:style w:type="paragraph" w:styleId="TOC4">
    <w:name w:val="toc 4"/>
    <w:basedOn w:val="Normal"/>
    <w:next w:val="Normal"/>
    <w:rsid w:val="00D40F4F"/>
    <w:pPr>
      <w:tabs>
        <w:tab w:val="right" w:leader="dot" w:pos="8640"/>
      </w:tabs>
      <w:spacing w:before="60" w:after="60"/>
      <w:ind w:left="2880" w:right="720" w:hanging="964"/>
      <w:jc w:val="both"/>
    </w:pPr>
    <w:rPr>
      <w:noProof/>
      <w:szCs w:val="20"/>
    </w:rPr>
  </w:style>
  <w:style w:type="paragraph" w:styleId="TOC5">
    <w:name w:val="toc 5"/>
    <w:basedOn w:val="Normal"/>
    <w:next w:val="Normal"/>
    <w:rsid w:val="00D40F4F"/>
    <w:pPr>
      <w:tabs>
        <w:tab w:val="right" w:leader="dot" w:pos="8640"/>
      </w:tabs>
      <w:spacing w:before="240" w:after="120"/>
      <w:ind w:right="720"/>
      <w:jc w:val="both"/>
    </w:pPr>
    <w:rPr>
      <w:caps/>
      <w:szCs w:val="20"/>
    </w:rPr>
  </w:style>
  <w:style w:type="paragraph" w:styleId="TOC6">
    <w:name w:val="toc 6"/>
    <w:basedOn w:val="Normal"/>
    <w:next w:val="Normal"/>
    <w:rsid w:val="00D40F4F"/>
    <w:rPr>
      <w:caps/>
      <w:szCs w:val="20"/>
    </w:rPr>
  </w:style>
  <w:style w:type="paragraph" w:styleId="TOC7">
    <w:name w:val="toc 7"/>
    <w:basedOn w:val="Normal"/>
    <w:next w:val="Normal"/>
    <w:rsid w:val="00D40F4F"/>
    <w:pPr>
      <w:tabs>
        <w:tab w:val="left" w:pos="3685"/>
      </w:tabs>
      <w:ind w:left="2880" w:hanging="1349"/>
      <w:jc w:val="both"/>
    </w:pPr>
    <w:rPr>
      <w:szCs w:val="20"/>
    </w:rPr>
  </w:style>
  <w:style w:type="paragraph" w:styleId="TOC8">
    <w:name w:val="toc 8"/>
    <w:basedOn w:val="Normal"/>
    <w:next w:val="Normal"/>
    <w:rsid w:val="00D40F4F"/>
    <w:pPr>
      <w:tabs>
        <w:tab w:val="right" w:leader="dot" w:pos="8640"/>
      </w:tabs>
      <w:spacing w:after="240"/>
      <w:jc w:val="both"/>
    </w:pPr>
    <w:rPr>
      <w:szCs w:val="20"/>
    </w:rPr>
  </w:style>
  <w:style w:type="paragraph" w:styleId="TOC9">
    <w:name w:val="toc 9"/>
    <w:basedOn w:val="Normal"/>
    <w:next w:val="Normal"/>
    <w:rsid w:val="00D40F4F"/>
    <w:pPr>
      <w:tabs>
        <w:tab w:val="right" w:leader="dot" w:pos="8640"/>
      </w:tabs>
      <w:spacing w:after="240"/>
      <w:jc w:val="both"/>
    </w:pPr>
    <w:rPr>
      <w:szCs w:val="20"/>
    </w:rPr>
  </w:style>
  <w:style w:type="paragraph" w:styleId="TOCHeading">
    <w:name w:val="TOC Heading"/>
    <w:basedOn w:val="Normal"/>
    <w:next w:val="Normal"/>
    <w:semiHidden/>
    <w:rsid w:val="00D40F4F"/>
    <w:pPr>
      <w:spacing w:before="240" w:after="240"/>
      <w:jc w:val="center"/>
    </w:pPr>
    <w:rPr>
      <w:rFonts w:ascii="Times New Roman Bold" w:hAnsi="Times New Roman Bold"/>
      <w:b/>
      <w:caps/>
      <w:szCs w:val="20"/>
    </w:rPr>
  </w:style>
  <w:style w:type="paragraph" w:customStyle="1" w:styleId="TrsSecretUE">
    <w:name w:val="Très Secret UE"/>
    <w:basedOn w:val="Normal"/>
    <w:semiHidden/>
    <w:rsid w:val="00D40F4F"/>
    <w:pPr>
      <w:jc w:val="center"/>
    </w:pPr>
    <w:rPr>
      <w:b/>
      <w:caps/>
      <w:color w:val="FF0000"/>
      <w:sz w:val="32"/>
      <w:szCs w:val="20"/>
      <w:bdr w:val="single" w:sz="18" w:space="0" w:color="FF0000"/>
    </w:rPr>
  </w:style>
  <w:style w:type="paragraph" w:customStyle="1" w:styleId="YReferences">
    <w:name w:val="YReferences"/>
    <w:basedOn w:val="Normal"/>
    <w:semiHidden/>
    <w:rsid w:val="00D40F4F"/>
    <w:pPr>
      <w:spacing w:after="480"/>
      <w:ind w:left="1191" w:hanging="1191"/>
      <w:contextualSpacing/>
      <w:jc w:val="both"/>
    </w:pPr>
    <w:rPr>
      <w:szCs w:val="20"/>
    </w:rPr>
  </w:style>
  <w:style w:type="paragraph" w:customStyle="1" w:styleId="ZCom">
    <w:name w:val="Z_Com"/>
    <w:basedOn w:val="Normal"/>
    <w:next w:val="ZDGName"/>
    <w:semiHidden/>
    <w:rsid w:val="00D40F4F"/>
    <w:pPr>
      <w:widowControl w:val="0"/>
      <w:spacing w:before="90"/>
      <w:ind w:right="85"/>
    </w:pPr>
    <w:rPr>
      <w:szCs w:val="20"/>
    </w:rPr>
  </w:style>
  <w:style w:type="paragraph" w:customStyle="1" w:styleId="ZDGName">
    <w:name w:val="Z_DGName"/>
    <w:basedOn w:val="Normal"/>
    <w:semiHidden/>
    <w:rsid w:val="00D40F4F"/>
    <w:pPr>
      <w:widowControl w:val="0"/>
      <w:ind w:right="85"/>
    </w:pPr>
    <w:rPr>
      <w:sz w:val="16"/>
      <w:szCs w:val="20"/>
    </w:rPr>
  </w:style>
  <w:style w:type="paragraph" w:customStyle="1" w:styleId="ZFlag">
    <w:name w:val="Z_Flag"/>
    <w:basedOn w:val="Normal"/>
    <w:next w:val="Normal"/>
    <w:semiHidden/>
    <w:rsid w:val="00D40F4F"/>
    <w:pPr>
      <w:widowControl w:val="0"/>
      <w:ind w:right="85"/>
      <w:jc w:val="both"/>
    </w:pPr>
    <w:rPr>
      <w:szCs w:val="20"/>
    </w:rPr>
  </w:style>
  <w:style w:type="character" w:customStyle="1" w:styleId="HeaderChar">
    <w:name w:val="Header Char"/>
    <w:basedOn w:val="DefaultParagraphFont"/>
    <w:link w:val="Header"/>
    <w:rsid w:val="00D40F4F"/>
    <w:rPr>
      <w:sz w:val="24"/>
      <w:szCs w:val="24"/>
      <w:lang w:val="fr-FR" w:eastAsia="en-GB"/>
    </w:rPr>
  </w:style>
  <w:style w:type="table" w:customStyle="1" w:styleId="EurolookClassicBlue">
    <w:name w:val="Eurolook Classic Blue"/>
    <w:basedOn w:val="TableNormal"/>
    <w:uiPriority w:val="80"/>
    <w:rsid w:val="00D40F4F"/>
    <w:pPr>
      <w:spacing w:after="240"/>
    </w:pPr>
    <w:rPr>
      <w:sz w:val="24"/>
      <w:lang w:eastAsia="en-GB"/>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rsid w:val="00D40F4F"/>
    <w:pPr>
      <w:spacing w:after="240"/>
    </w:pPr>
    <w:rPr>
      <w:sz w:val="24"/>
      <w:lang w:eastAsia="en-GB"/>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rsid w:val="00D40F4F"/>
    <w:pPr>
      <w:spacing w:after="240"/>
    </w:pPr>
    <w:rPr>
      <w:sz w:val="24"/>
      <w:lang w:eastAsia="en-GB"/>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rsid w:val="00D40F4F"/>
    <w:pPr>
      <w:spacing w:after="240"/>
    </w:pPr>
    <w:rPr>
      <w:sz w:val="24"/>
      <w:lang w:eastAsia="en-GB"/>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rsid w:val="00D40F4F"/>
    <w:pPr>
      <w:spacing w:after="240"/>
    </w:pPr>
    <w:rPr>
      <w:sz w:val="24"/>
      <w:lang w:eastAsia="en-GB"/>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rsid w:val="00D40F4F"/>
    <w:pPr>
      <w:spacing w:after="240"/>
    </w:pPr>
    <w:rPr>
      <w:sz w:val="24"/>
      <w:lang w:eastAsia="en-GB"/>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rsid w:val="00D40F4F"/>
    <w:pPr>
      <w:spacing w:after="240"/>
    </w:pPr>
    <w:rPr>
      <w:sz w:val="24"/>
      <w:lang w:eastAsia="en-GB"/>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rsid w:val="00D40F4F"/>
    <w:pPr>
      <w:spacing w:after="240"/>
    </w:pPr>
    <w:rPr>
      <w:sz w:val="24"/>
      <w:lang w:eastAsia="en-GB"/>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rsid w:val="00D40F4F"/>
    <w:pPr>
      <w:spacing w:after="240"/>
    </w:pPr>
    <w:rPr>
      <w:sz w:val="24"/>
      <w:lang w:eastAsia="en-GB"/>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rsid w:val="00D40F4F"/>
    <w:pPr>
      <w:spacing w:after="240"/>
    </w:pPr>
    <w:rPr>
      <w:sz w:val="24"/>
      <w:lang w:eastAsia="en-GB"/>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rsid w:val="00D40F4F"/>
    <w:pPr>
      <w:spacing w:after="240"/>
    </w:pPr>
    <w:rPr>
      <w:sz w:val="24"/>
      <w:lang w:eastAsia="en-GB"/>
    </w:r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rsid w:val="00D40F4F"/>
    <w:pPr>
      <w:spacing w:after="240"/>
    </w:pPr>
    <w:rPr>
      <w:sz w:val="24"/>
      <w:lang w:eastAsia="en-GB"/>
    </w:r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rsid w:val="00D40F4F"/>
    <w:pPr>
      <w:spacing w:after="240"/>
    </w:pPr>
    <w:rPr>
      <w:sz w:val="24"/>
      <w:lang w:eastAsia="en-GB"/>
    </w:r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rsid w:val="00D40F4F"/>
    <w:pPr>
      <w:spacing w:after="240"/>
    </w:pPr>
    <w:rPr>
      <w:sz w:val="24"/>
      <w:lang w:eastAsia="en-GB"/>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rsid w:val="00D40F4F"/>
    <w:pPr>
      <w:spacing w:after="240"/>
    </w:pPr>
    <w:rPr>
      <w:sz w:val="24"/>
      <w:lang w:eastAsia="en-GB"/>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rsid w:val="00D40F4F"/>
    <w:pPr>
      <w:spacing w:after="240"/>
    </w:pPr>
    <w:rPr>
      <w:sz w:val="24"/>
      <w:lang w:eastAsia="en-GB"/>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rsid w:val="00D40F4F"/>
    <w:pPr>
      <w:spacing w:after="240"/>
    </w:pPr>
    <w:rPr>
      <w:sz w:val="24"/>
      <w:lang w:eastAsia="en-GB"/>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rsid w:val="00D40F4F"/>
    <w:pPr>
      <w:spacing w:after="240"/>
    </w:pPr>
    <w:rPr>
      <w:sz w:val="24"/>
      <w:lang w:eastAsia="en-GB"/>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rsid w:val="00D40F4F"/>
    <w:pPr>
      <w:spacing w:after="240"/>
    </w:pPr>
    <w:rPr>
      <w:sz w:val="24"/>
      <w:lang w:eastAsia="en-GB"/>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rsid w:val="00D40F4F"/>
    <w:pPr>
      <w:spacing w:after="240"/>
    </w:pPr>
    <w:rPr>
      <w:sz w:val="24"/>
      <w:lang w:eastAsia="en-GB"/>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rsid w:val="00D40F4F"/>
    <w:pPr>
      <w:spacing w:after="240"/>
    </w:pPr>
    <w:rPr>
      <w:sz w:val="24"/>
      <w:lang w:eastAsia="en-GB"/>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rsid w:val="00D40F4F"/>
    <w:pPr>
      <w:spacing w:after="240"/>
    </w:pPr>
    <w:rPr>
      <w:sz w:val="24"/>
      <w:lang w:eastAsia="en-GB"/>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rsid w:val="00D40F4F"/>
    <w:pPr>
      <w:spacing w:after="240"/>
    </w:pPr>
    <w:rPr>
      <w:sz w:val="24"/>
      <w:lang w:eastAsia="en-GB"/>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rsid w:val="00D40F4F"/>
    <w:pPr>
      <w:spacing w:after="240"/>
    </w:pPr>
    <w:rPr>
      <w:sz w:val="24"/>
      <w:lang w:eastAsia="en-GB"/>
    </w:r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rsid w:val="00D40F4F"/>
    <w:pPr>
      <w:spacing w:after="240"/>
    </w:pPr>
    <w:rPr>
      <w:sz w:val="24"/>
      <w:lang w:eastAsia="en-GB"/>
    </w:r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rsid w:val="00D40F4F"/>
    <w:pPr>
      <w:spacing w:after="240"/>
    </w:pPr>
    <w:rPr>
      <w:sz w:val="24"/>
      <w:lang w:eastAsia="en-GB"/>
    </w:r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rsid w:val="00D40F4F"/>
    <w:rPr>
      <w:sz w:val="24"/>
      <w:lang w:val="en-IE"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rsid w:val="00D40F4F"/>
    <w:tblPr>
      <w:tblInd w:w="482" w:type="dxa"/>
    </w:tblPr>
    <w:tblStylePr w:type="firstRow">
      <w:rPr>
        <w:b/>
      </w:rPr>
      <w:tblPr/>
      <w:trPr>
        <w:cantSplit/>
        <w:tblHeader/>
      </w:trPr>
    </w:tblStylePr>
  </w:style>
  <w:style w:type="table" w:customStyle="1" w:styleId="EurolookTable2">
    <w:name w:val="Eurolook Table 2"/>
    <w:basedOn w:val="EurolookTable"/>
    <w:semiHidden/>
    <w:rsid w:val="00D40F4F"/>
    <w:tblPr>
      <w:tblInd w:w="1077" w:type="dxa"/>
    </w:tblPr>
    <w:tblStylePr w:type="firstRow">
      <w:rPr>
        <w:b/>
      </w:rPr>
      <w:tblPr/>
      <w:trPr>
        <w:cantSplit/>
        <w:tblHeader/>
      </w:trPr>
    </w:tblStylePr>
  </w:style>
  <w:style w:type="table" w:customStyle="1" w:styleId="EurolookTable3">
    <w:name w:val="Eurolook Table 3"/>
    <w:basedOn w:val="EurolookTable"/>
    <w:semiHidden/>
    <w:rsid w:val="00D40F4F"/>
    <w:tblPr>
      <w:tblInd w:w="1077" w:type="dxa"/>
    </w:tblPr>
    <w:tblStylePr w:type="firstRow">
      <w:rPr>
        <w:b/>
      </w:rPr>
      <w:tblPr/>
      <w:trPr>
        <w:cantSplit/>
        <w:tblHeader/>
      </w:trPr>
    </w:tblStylePr>
  </w:style>
  <w:style w:type="table" w:customStyle="1" w:styleId="EurolookTable4">
    <w:name w:val="Eurolook Table 4"/>
    <w:basedOn w:val="EurolookTable"/>
    <w:semiHidden/>
    <w:rsid w:val="00D40F4F"/>
    <w:tblPr>
      <w:tblInd w:w="1077" w:type="dxa"/>
    </w:tblPr>
    <w:tblStylePr w:type="firstRow">
      <w:rPr>
        <w:b/>
      </w:rPr>
      <w:tblPr/>
      <w:trPr>
        <w:cantSplit/>
        <w:tblHeader/>
      </w:trPr>
    </w:tblStylePr>
  </w:style>
  <w:style w:type="table" w:customStyle="1" w:styleId="HelperTableBase">
    <w:name w:val="Helper Table Base"/>
    <w:semiHidden/>
    <w:rsid w:val="00D40F4F"/>
    <w:rPr>
      <w:sz w:val="24"/>
      <w:lang w:eastAsia="en-GB"/>
    </w:rPr>
    <w:tblPr>
      <w:tblInd w:w="0" w:type="dxa"/>
      <w:tblCellMar>
        <w:top w:w="0" w:type="dxa"/>
        <w:left w:w="0" w:type="dxa"/>
        <w:bottom w:w="0" w:type="dxa"/>
        <w:right w:w="0" w:type="dxa"/>
      </w:tblCellMar>
    </w:tblPr>
  </w:style>
  <w:style w:type="table" w:customStyle="1" w:styleId="NoteTable">
    <w:name w:val="Note Table"/>
    <w:basedOn w:val="HelperTableBase"/>
    <w:semiHidden/>
    <w:rsid w:val="00D40F4F"/>
    <w:tblPr>
      <w:tblCellMar>
        <w:left w:w="108" w:type="dxa"/>
        <w:right w:w="108" w:type="dxa"/>
      </w:tblCellMar>
    </w:tblPr>
  </w:style>
  <w:style w:type="table" w:customStyle="1" w:styleId="SignatureTable">
    <w:name w:val="Signature Table"/>
    <w:basedOn w:val="HelperTableBase"/>
    <w:semiHidden/>
    <w:rsid w:val="00D40F4F"/>
    <w:tblPr/>
  </w:style>
  <w:style w:type="table" w:customStyle="1" w:styleId="TableLetterhead">
    <w:name w:val="Table Letterhead"/>
    <w:basedOn w:val="TableNormal"/>
    <w:semiHidden/>
    <w:rsid w:val="00D40F4F"/>
    <w:rPr>
      <w:sz w:val="24"/>
      <w:lang w:eastAsia="en-GB"/>
    </w:rPr>
    <w:tblPr>
      <w:tblCellMar>
        <w:left w:w="0" w:type="dxa"/>
        <w:bottom w:w="340" w:type="dxa"/>
        <w:right w:w="0" w:type="dxa"/>
      </w:tblCellMar>
    </w:tblPr>
  </w:style>
  <w:style w:type="character" w:customStyle="1" w:styleId="ListParagraphChar">
    <w:name w:val="List Paragraph Char"/>
    <w:aliases w:val="Llista Nivell1 Char,Lista de nivel 1 Char,Lettre d'introduction Char,Table of contents numbered Char,Paragraphe de liste PBLH Char,BULLET 1 Char,List Bulletized Char,List Paragraph Char Char Char,Normal bullet 2 Char,Bullet list Char"/>
    <w:link w:val="ListParagraph"/>
    <w:uiPriority w:val="34"/>
    <w:qFormat/>
    <w:rsid w:val="00D40F4F"/>
    <w:rPr>
      <w:sz w:val="24"/>
      <w:szCs w:val="24"/>
      <w:lang w:val="fr-FR" w:eastAsia="en-GB"/>
    </w:rPr>
  </w:style>
  <w:style w:type="character" w:customStyle="1" w:styleId="Mention">
    <w:name w:val="Mention"/>
    <w:basedOn w:val="DefaultParagraphFont"/>
    <w:uiPriority w:val="99"/>
    <w:unhideWhenUsed/>
    <w:rsid w:val="00D40F4F"/>
    <w:rPr>
      <w:color w:val="2B579A"/>
      <w:shd w:val="clear" w:color="auto" w:fill="E1DFDD"/>
    </w:rPr>
  </w:style>
  <w:style w:type="paragraph" w:customStyle="1" w:styleId="AppelnotedebasdepageCharCharCharCharCharCharChar">
    <w:name w:val="Appel note de bas de page Char Char Char Char Char Char Char"/>
    <w:basedOn w:val="Normal"/>
    <w:link w:val="FootnoteReference"/>
    <w:uiPriority w:val="99"/>
    <w:rsid w:val="00D40F4F"/>
    <w:pPr>
      <w:spacing w:after="160" w:line="259" w:lineRule="auto"/>
      <w:jc w:val="both"/>
    </w:pPr>
    <w:rPr>
      <w:sz w:val="20"/>
      <w:szCs w:val="20"/>
      <w:vertAlign w:val="superscript"/>
      <w:lang w:eastAsia="en-IE"/>
    </w:rPr>
  </w:style>
  <w:style w:type="character" w:customStyle="1" w:styleId="Marker">
    <w:name w:val="Marker"/>
    <w:basedOn w:val="DefaultParagraphFont"/>
    <w:rsid w:val="00E11843"/>
    <w:rPr>
      <w:color w:val="0000FF"/>
      <w:shd w:val="clear" w:color="auto" w:fill="auto"/>
    </w:rPr>
  </w:style>
  <w:style w:type="paragraph" w:customStyle="1" w:styleId="Pagedecouverture">
    <w:name w:val="Page de couverture"/>
    <w:basedOn w:val="Normal"/>
    <w:next w:val="Normal"/>
    <w:link w:val="PagedecouvertureChar"/>
    <w:rsid w:val="00E11843"/>
    <w:pPr>
      <w:jc w:val="both"/>
    </w:pPr>
    <w:rPr>
      <w:rFonts w:eastAsiaTheme="minorHAnsi"/>
      <w:szCs w:val="22"/>
      <w:lang w:eastAsia="en-US"/>
    </w:rPr>
  </w:style>
  <w:style w:type="paragraph" w:customStyle="1" w:styleId="FooterCoverPage">
    <w:name w:val="Footer Cover Page"/>
    <w:basedOn w:val="Normal"/>
    <w:link w:val="FooterCoverPageChar"/>
    <w:rsid w:val="00E11843"/>
    <w:pPr>
      <w:tabs>
        <w:tab w:val="center" w:pos="4535"/>
        <w:tab w:val="right" w:pos="9071"/>
        <w:tab w:val="right" w:pos="9921"/>
      </w:tabs>
      <w:spacing w:before="360"/>
      <w:ind w:left="-850" w:right="-850"/>
    </w:pPr>
  </w:style>
  <w:style w:type="character" w:customStyle="1" w:styleId="PagedecouvertureChar">
    <w:name w:val="Page de couverture Char"/>
    <w:basedOn w:val="DefaultParagraphFont"/>
    <w:link w:val="Pagedecouverture"/>
    <w:rsid w:val="00E11843"/>
    <w:rPr>
      <w:rFonts w:eastAsiaTheme="minorHAnsi"/>
      <w:sz w:val="24"/>
      <w:szCs w:val="22"/>
      <w:lang w:val="fr-FR" w:eastAsia="en-US"/>
    </w:rPr>
  </w:style>
  <w:style w:type="character" w:customStyle="1" w:styleId="FooterCoverPageChar">
    <w:name w:val="Footer Cover Page Char"/>
    <w:basedOn w:val="PagedecouvertureChar"/>
    <w:link w:val="FooterCoverPage"/>
    <w:rsid w:val="00E11843"/>
    <w:rPr>
      <w:rFonts w:eastAsiaTheme="minorHAnsi"/>
      <w:sz w:val="24"/>
      <w:szCs w:val="24"/>
      <w:lang w:val="fr-FR" w:eastAsia="en-GB"/>
    </w:rPr>
  </w:style>
  <w:style w:type="paragraph" w:customStyle="1" w:styleId="FooterSensitivity">
    <w:name w:val="Footer Sensitivity"/>
    <w:basedOn w:val="Normal"/>
    <w:link w:val="FooterSensitivityChar"/>
    <w:rsid w:val="00E11843"/>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PagedecouvertureChar"/>
    <w:link w:val="FooterSensitivity"/>
    <w:rsid w:val="00E11843"/>
    <w:rPr>
      <w:rFonts w:eastAsiaTheme="minorHAnsi"/>
      <w:b/>
      <w:sz w:val="32"/>
      <w:szCs w:val="24"/>
      <w:lang w:val="fr-FR" w:eastAsia="en-GB"/>
    </w:rPr>
  </w:style>
  <w:style w:type="paragraph" w:customStyle="1" w:styleId="HeaderCoverPage">
    <w:name w:val="Header Cover Page"/>
    <w:basedOn w:val="Normal"/>
    <w:link w:val="HeaderCoverPageChar"/>
    <w:rsid w:val="00E11843"/>
    <w:pPr>
      <w:tabs>
        <w:tab w:val="center" w:pos="4535"/>
        <w:tab w:val="right" w:pos="9071"/>
      </w:tabs>
      <w:spacing w:after="120"/>
      <w:jc w:val="both"/>
    </w:pPr>
  </w:style>
  <w:style w:type="character" w:customStyle="1" w:styleId="HeaderCoverPageChar">
    <w:name w:val="Header Cover Page Char"/>
    <w:basedOn w:val="PagedecouvertureChar"/>
    <w:link w:val="HeaderCoverPage"/>
    <w:rsid w:val="00E11843"/>
    <w:rPr>
      <w:rFonts w:eastAsiaTheme="minorHAnsi"/>
      <w:sz w:val="24"/>
      <w:szCs w:val="24"/>
      <w:lang w:val="fr-FR" w:eastAsia="en-GB"/>
    </w:rPr>
  </w:style>
  <w:style w:type="paragraph" w:customStyle="1" w:styleId="HeaderSensitivity">
    <w:name w:val="Header Sensitivity"/>
    <w:basedOn w:val="Normal"/>
    <w:link w:val="HeaderSensitivityChar"/>
    <w:rsid w:val="00E11843"/>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E11843"/>
    <w:rPr>
      <w:rFonts w:eastAsiaTheme="minorHAnsi"/>
      <w:b/>
      <w:sz w:val="32"/>
      <w:szCs w:val="24"/>
      <w:lang w:val="fr-FR" w:eastAsia="en-GB"/>
    </w:rPr>
  </w:style>
  <w:style w:type="paragraph" w:customStyle="1" w:styleId="HeaderSensitivityRight">
    <w:name w:val="Header Sensitivity Right"/>
    <w:basedOn w:val="Normal"/>
    <w:link w:val="HeaderSensitivityRightChar"/>
    <w:rsid w:val="005E71DA"/>
    <w:pPr>
      <w:spacing w:after="120"/>
      <w:jc w:val="right"/>
    </w:pPr>
    <w:rPr>
      <w:sz w:val="28"/>
    </w:rPr>
  </w:style>
  <w:style w:type="character" w:customStyle="1" w:styleId="HeaderSensitivityRightChar">
    <w:name w:val="Header Sensitivity Right Char"/>
    <w:basedOn w:val="PagedecouvertureChar"/>
    <w:link w:val="HeaderSensitivityRight"/>
    <w:rsid w:val="00E11843"/>
    <w:rPr>
      <w:rFonts w:eastAsiaTheme="minorHAnsi"/>
      <w:sz w:val="28"/>
      <w:szCs w:val="24"/>
      <w:lang w:val="fr-FR" w:eastAsia="en-GB"/>
    </w:rPr>
  </w:style>
  <w:style w:type="paragraph" w:customStyle="1" w:styleId="Disclaimer">
    <w:name w:val="Disclaimer"/>
    <w:basedOn w:val="Normal"/>
    <w:rsid w:val="005E71DA"/>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5E71DA"/>
    <w:pPr>
      <w:spacing w:line="276" w:lineRule="auto"/>
      <w:ind w:left="5103"/>
    </w:pPr>
    <w:rPr>
      <w:rFonts w:eastAsiaTheme="minorHAnsi"/>
      <w:sz w:val="28"/>
      <w:szCs w:val="22"/>
      <w:lang w:eastAsia="en-US"/>
    </w:rPr>
  </w:style>
  <w:style w:type="paragraph" w:customStyle="1" w:styleId="DateMarking">
    <w:name w:val="DateMarking"/>
    <w:basedOn w:val="Normal"/>
    <w:rsid w:val="005E71DA"/>
    <w:pPr>
      <w:spacing w:line="276" w:lineRule="auto"/>
      <w:ind w:left="5103"/>
    </w:pPr>
    <w:rPr>
      <w:rFonts w:eastAsiaTheme="minorHAnsi"/>
      <w:i/>
      <w:sz w:val="28"/>
      <w:szCs w:val="22"/>
      <w:lang w:eastAsia="en-US"/>
    </w:rPr>
  </w:style>
  <w:style w:type="paragraph" w:customStyle="1" w:styleId="ReleasableTo">
    <w:name w:val="ReleasableTo"/>
    <w:basedOn w:val="Normal"/>
    <w:rsid w:val="005E71DA"/>
    <w:pPr>
      <w:spacing w:line="276" w:lineRule="auto"/>
      <w:ind w:left="5103"/>
    </w:pPr>
    <w:rPr>
      <w:rFonts w:eastAsiaTheme="minorHAnsi"/>
      <w: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073563">
      <w:bodyDiv w:val="1"/>
      <w:marLeft w:val="0"/>
      <w:marRight w:val="0"/>
      <w:marTop w:val="0"/>
      <w:marBottom w:val="0"/>
      <w:divBdr>
        <w:top w:val="none" w:sz="0" w:space="0" w:color="auto"/>
        <w:left w:val="none" w:sz="0" w:space="0" w:color="auto"/>
        <w:bottom w:val="none" w:sz="0" w:space="0" w:color="auto"/>
        <w:right w:val="none" w:sz="0" w:space="0" w:color="auto"/>
      </w:divBdr>
    </w:div>
    <w:div w:id="49116023">
      <w:bodyDiv w:val="1"/>
      <w:marLeft w:val="0"/>
      <w:marRight w:val="0"/>
      <w:marTop w:val="0"/>
      <w:marBottom w:val="0"/>
      <w:divBdr>
        <w:top w:val="none" w:sz="0" w:space="0" w:color="auto"/>
        <w:left w:val="none" w:sz="0" w:space="0" w:color="auto"/>
        <w:bottom w:val="none" w:sz="0" w:space="0" w:color="auto"/>
        <w:right w:val="none" w:sz="0" w:space="0" w:color="auto"/>
      </w:divBdr>
    </w:div>
    <w:div w:id="278802279">
      <w:bodyDiv w:val="1"/>
      <w:marLeft w:val="0"/>
      <w:marRight w:val="0"/>
      <w:marTop w:val="0"/>
      <w:marBottom w:val="0"/>
      <w:divBdr>
        <w:top w:val="none" w:sz="0" w:space="0" w:color="auto"/>
        <w:left w:val="none" w:sz="0" w:space="0" w:color="auto"/>
        <w:bottom w:val="none" w:sz="0" w:space="0" w:color="auto"/>
        <w:right w:val="none" w:sz="0" w:space="0" w:color="auto"/>
      </w:divBdr>
    </w:div>
    <w:div w:id="304631424">
      <w:bodyDiv w:val="1"/>
      <w:marLeft w:val="0"/>
      <w:marRight w:val="0"/>
      <w:marTop w:val="0"/>
      <w:marBottom w:val="0"/>
      <w:divBdr>
        <w:top w:val="none" w:sz="0" w:space="0" w:color="auto"/>
        <w:left w:val="none" w:sz="0" w:space="0" w:color="auto"/>
        <w:bottom w:val="none" w:sz="0" w:space="0" w:color="auto"/>
        <w:right w:val="none" w:sz="0" w:space="0" w:color="auto"/>
      </w:divBdr>
    </w:div>
    <w:div w:id="387731530">
      <w:bodyDiv w:val="1"/>
      <w:marLeft w:val="0"/>
      <w:marRight w:val="0"/>
      <w:marTop w:val="0"/>
      <w:marBottom w:val="0"/>
      <w:divBdr>
        <w:top w:val="none" w:sz="0" w:space="0" w:color="auto"/>
        <w:left w:val="none" w:sz="0" w:space="0" w:color="auto"/>
        <w:bottom w:val="none" w:sz="0" w:space="0" w:color="auto"/>
        <w:right w:val="none" w:sz="0" w:space="0" w:color="auto"/>
      </w:divBdr>
    </w:div>
    <w:div w:id="425659383">
      <w:bodyDiv w:val="1"/>
      <w:marLeft w:val="0"/>
      <w:marRight w:val="0"/>
      <w:marTop w:val="0"/>
      <w:marBottom w:val="0"/>
      <w:divBdr>
        <w:top w:val="none" w:sz="0" w:space="0" w:color="auto"/>
        <w:left w:val="none" w:sz="0" w:space="0" w:color="auto"/>
        <w:bottom w:val="none" w:sz="0" w:space="0" w:color="auto"/>
        <w:right w:val="none" w:sz="0" w:space="0" w:color="auto"/>
      </w:divBdr>
    </w:div>
    <w:div w:id="431632685">
      <w:bodyDiv w:val="1"/>
      <w:marLeft w:val="0"/>
      <w:marRight w:val="0"/>
      <w:marTop w:val="0"/>
      <w:marBottom w:val="0"/>
      <w:divBdr>
        <w:top w:val="none" w:sz="0" w:space="0" w:color="auto"/>
        <w:left w:val="none" w:sz="0" w:space="0" w:color="auto"/>
        <w:bottom w:val="none" w:sz="0" w:space="0" w:color="auto"/>
        <w:right w:val="none" w:sz="0" w:space="0" w:color="auto"/>
      </w:divBdr>
    </w:div>
    <w:div w:id="434860748">
      <w:bodyDiv w:val="1"/>
      <w:marLeft w:val="0"/>
      <w:marRight w:val="0"/>
      <w:marTop w:val="0"/>
      <w:marBottom w:val="0"/>
      <w:divBdr>
        <w:top w:val="none" w:sz="0" w:space="0" w:color="auto"/>
        <w:left w:val="none" w:sz="0" w:space="0" w:color="auto"/>
        <w:bottom w:val="none" w:sz="0" w:space="0" w:color="auto"/>
        <w:right w:val="none" w:sz="0" w:space="0" w:color="auto"/>
      </w:divBdr>
    </w:div>
    <w:div w:id="465393671">
      <w:bodyDiv w:val="1"/>
      <w:marLeft w:val="0"/>
      <w:marRight w:val="0"/>
      <w:marTop w:val="0"/>
      <w:marBottom w:val="0"/>
      <w:divBdr>
        <w:top w:val="none" w:sz="0" w:space="0" w:color="auto"/>
        <w:left w:val="none" w:sz="0" w:space="0" w:color="auto"/>
        <w:bottom w:val="none" w:sz="0" w:space="0" w:color="auto"/>
        <w:right w:val="none" w:sz="0" w:space="0" w:color="auto"/>
      </w:divBdr>
    </w:div>
    <w:div w:id="537351838">
      <w:bodyDiv w:val="1"/>
      <w:marLeft w:val="0"/>
      <w:marRight w:val="0"/>
      <w:marTop w:val="0"/>
      <w:marBottom w:val="0"/>
      <w:divBdr>
        <w:top w:val="none" w:sz="0" w:space="0" w:color="auto"/>
        <w:left w:val="none" w:sz="0" w:space="0" w:color="auto"/>
        <w:bottom w:val="none" w:sz="0" w:space="0" w:color="auto"/>
        <w:right w:val="none" w:sz="0" w:space="0" w:color="auto"/>
      </w:divBdr>
    </w:div>
    <w:div w:id="616985075">
      <w:bodyDiv w:val="1"/>
      <w:marLeft w:val="0"/>
      <w:marRight w:val="0"/>
      <w:marTop w:val="0"/>
      <w:marBottom w:val="0"/>
      <w:divBdr>
        <w:top w:val="none" w:sz="0" w:space="0" w:color="auto"/>
        <w:left w:val="none" w:sz="0" w:space="0" w:color="auto"/>
        <w:bottom w:val="none" w:sz="0" w:space="0" w:color="auto"/>
        <w:right w:val="none" w:sz="0" w:space="0" w:color="auto"/>
      </w:divBdr>
    </w:div>
    <w:div w:id="622804835">
      <w:bodyDiv w:val="1"/>
      <w:marLeft w:val="0"/>
      <w:marRight w:val="0"/>
      <w:marTop w:val="0"/>
      <w:marBottom w:val="0"/>
      <w:divBdr>
        <w:top w:val="none" w:sz="0" w:space="0" w:color="auto"/>
        <w:left w:val="none" w:sz="0" w:space="0" w:color="auto"/>
        <w:bottom w:val="none" w:sz="0" w:space="0" w:color="auto"/>
        <w:right w:val="none" w:sz="0" w:space="0" w:color="auto"/>
      </w:divBdr>
    </w:div>
    <w:div w:id="738208992">
      <w:bodyDiv w:val="1"/>
      <w:marLeft w:val="0"/>
      <w:marRight w:val="0"/>
      <w:marTop w:val="0"/>
      <w:marBottom w:val="0"/>
      <w:divBdr>
        <w:top w:val="none" w:sz="0" w:space="0" w:color="auto"/>
        <w:left w:val="none" w:sz="0" w:space="0" w:color="auto"/>
        <w:bottom w:val="none" w:sz="0" w:space="0" w:color="auto"/>
        <w:right w:val="none" w:sz="0" w:space="0" w:color="auto"/>
      </w:divBdr>
    </w:div>
    <w:div w:id="746148605">
      <w:bodyDiv w:val="1"/>
      <w:marLeft w:val="0"/>
      <w:marRight w:val="0"/>
      <w:marTop w:val="0"/>
      <w:marBottom w:val="0"/>
      <w:divBdr>
        <w:top w:val="none" w:sz="0" w:space="0" w:color="auto"/>
        <w:left w:val="none" w:sz="0" w:space="0" w:color="auto"/>
        <w:bottom w:val="none" w:sz="0" w:space="0" w:color="auto"/>
        <w:right w:val="none" w:sz="0" w:space="0" w:color="auto"/>
      </w:divBdr>
    </w:div>
    <w:div w:id="788667490">
      <w:bodyDiv w:val="1"/>
      <w:marLeft w:val="0"/>
      <w:marRight w:val="0"/>
      <w:marTop w:val="0"/>
      <w:marBottom w:val="0"/>
      <w:divBdr>
        <w:top w:val="none" w:sz="0" w:space="0" w:color="auto"/>
        <w:left w:val="none" w:sz="0" w:space="0" w:color="auto"/>
        <w:bottom w:val="none" w:sz="0" w:space="0" w:color="auto"/>
        <w:right w:val="none" w:sz="0" w:space="0" w:color="auto"/>
      </w:divBdr>
    </w:div>
    <w:div w:id="880091628">
      <w:bodyDiv w:val="1"/>
      <w:marLeft w:val="0"/>
      <w:marRight w:val="0"/>
      <w:marTop w:val="0"/>
      <w:marBottom w:val="0"/>
      <w:divBdr>
        <w:top w:val="none" w:sz="0" w:space="0" w:color="auto"/>
        <w:left w:val="none" w:sz="0" w:space="0" w:color="auto"/>
        <w:bottom w:val="none" w:sz="0" w:space="0" w:color="auto"/>
        <w:right w:val="none" w:sz="0" w:space="0" w:color="auto"/>
      </w:divBdr>
    </w:div>
    <w:div w:id="910458435">
      <w:bodyDiv w:val="1"/>
      <w:marLeft w:val="0"/>
      <w:marRight w:val="0"/>
      <w:marTop w:val="0"/>
      <w:marBottom w:val="0"/>
      <w:divBdr>
        <w:top w:val="none" w:sz="0" w:space="0" w:color="auto"/>
        <w:left w:val="none" w:sz="0" w:space="0" w:color="auto"/>
        <w:bottom w:val="none" w:sz="0" w:space="0" w:color="auto"/>
        <w:right w:val="none" w:sz="0" w:space="0" w:color="auto"/>
      </w:divBdr>
    </w:div>
    <w:div w:id="935334581">
      <w:bodyDiv w:val="1"/>
      <w:marLeft w:val="0"/>
      <w:marRight w:val="0"/>
      <w:marTop w:val="0"/>
      <w:marBottom w:val="0"/>
      <w:divBdr>
        <w:top w:val="none" w:sz="0" w:space="0" w:color="auto"/>
        <w:left w:val="none" w:sz="0" w:space="0" w:color="auto"/>
        <w:bottom w:val="none" w:sz="0" w:space="0" w:color="auto"/>
        <w:right w:val="none" w:sz="0" w:space="0" w:color="auto"/>
      </w:divBdr>
      <w:divsChild>
        <w:div w:id="862741852">
          <w:marLeft w:val="0"/>
          <w:marRight w:val="0"/>
          <w:marTop w:val="0"/>
          <w:marBottom w:val="0"/>
          <w:divBdr>
            <w:top w:val="none" w:sz="0" w:space="0" w:color="auto"/>
            <w:left w:val="none" w:sz="0" w:space="0" w:color="auto"/>
            <w:bottom w:val="none" w:sz="0" w:space="0" w:color="auto"/>
            <w:right w:val="none" w:sz="0" w:space="0" w:color="auto"/>
          </w:divBdr>
        </w:div>
        <w:div w:id="1179733509">
          <w:marLeft w:val="0"/>
          <w:marRight w:val="0"/>
          <w:marTop w:val="0"/>
          <w:marBottom w:val="0"/>
          <w:divBdr>
            <w:top w:val="none" w:sz="0" w:space="0" w:color="auto"/>
            <w:left w:val="none" w:sz="0" w:space="0" w:color="auto"/>
            <w:bottom w:val="none" w:sz="0" w:space="0" w:color="auto"/>
            <w:right w:val="none" w:sz="0" w:space="0" w:color="auto"/>
          </w:divBdr>
        </w:div>
      </w:divsChild>
    </w:div>
    <w:div w:id="1085417251">
      <w:bodyDiv w:val="1"/>
      <w:marLeft w:val="0"/>
      <w:marRight w:val="0"/>
      <w:marTop w:val="0"/>
      <w:marBottom w:val="0"/>
      <w:divBdr>
        <w:top w:val="none" w:sz="0" w:space="0" w:color="auto"/>
        <w:left w:val="none" w:sz="0" w:space="0" w:color="auto"/>
        <w:bottom w:val="none" w:sz="0" w:space="0" w:color="auto"/>
        <w:right w:val="none" w:sz="0" w:space="0" w:color="auto"/>
      </w:divBdr>
    </w:div>
    <w:div w:id="1136682622">
      <w:bodyDiv w:val="1"/>
      <w:marLeft w:val="0"/>
      <w:marRight w:val="0"/>
      <w:marTop w:val="0"/>
      <w:marBottom w:val="0"/>
      <w:divBdr>
        <w:top w:val="none" w:sz="0" w:space="0" w:color="auto"/>
        <w:left w:val="none" w:sz="0" w:space="0" w:color="auto"/>
        <w:bottom w:val="none" w:sz="0" w:space="0" w:color="auto"/>
        <w:right w:val="none" w:sz="0" w:space="0" w:color="auto"/>
      </w:divBdr>
    </w:div>
    <w:div w:id="1195070630">
      <w:bodyDiv w:val="1"/>
      <w:marLeft w:val="0"/>
      <w:marRight w:val="0"/>
      <w:marTop w:val="0"/>
      <w:marBottom w:val="0"/>
      <w:divBdr>
        <w:top w:val="none" w:sz="0" w:space="0" w:color="auto"/>
        <w:left w:val="none" w:sz="0" w:space="0" w:color="auto"/>
        <w:bottom w:val="none" w:sz="0" w:space="0" w:color="auto"/>
        <w:right w:val="none" w:sz="0" w:space="0" w:color="auto"/>
      </w:divBdr>
    </w:div>
    <w:div w:id="1201632177">
      <w:bodyDiv w:val="1"/>
      <w:marLeft w:val="0"/>
      <w:marRight w:val="0"/>
      <w:marTop w:val="0"/>
      <w:marBottom w:val="0"/>
      <w:divBdr>
        <w:top w:val="none" w:sz="0" w:space="0" w:color="auto"/>
        <w:left w:val="none" w:sz="0" w:space="0" w:color="auto"/>
        <w:bottom w:val="none" w:sz="0" w:space="0" w:color="auto"/>
        <w:right w:val="none" w:sz="0" w:space="0" w:color="auto"/>
      </w:divBdr>
    </w:div>
    <w:div w:id="1222013664">
      <w:bodyDiv w:val="1"/>
      <w:marLeft w:val="0"/>
      <w:marRight w:val="0"/>
      <w:marTop w:val="0"/>
      <w:marBottom w:val="0"/>
      <w:divBdr>
        <w:top w:val="none" w:sz="0" w:space="0" w:color="auto"/>
        <w:left w:val="none" w:sz="0" w:space="0" w:color="auto"/>
        <w:bottom w:val="none" w:sz="0" w:space="0" w:color="auto"/>
        <w:right w:val="none" w:sz="0" w:space="0" w:color="auto"/>
      </w:divBdr>
    </w:div>
    <w:div w:id="1244685161">
      <w:bodyDiv w:val="1"/>
      <w:marLeft w:val="0"/>
      <w:marRight w:val="0"/>
      <w:marTop w:val="0"/>
      <w:marBottom w:val="0"/>
      <w:divBdr>
        <w:top w:val="none" w:sz="0" w:space="0" w:color="auto"/>
        <w:left w:val="none" w:sz="0" w:space="0" w:color="auto"/>
        <w:bottom w:val="none" w:sz="0" w:space="0" w:color="auto"/>
        <w:right w:val="none" w:sz="0" w:space="0" w:color="auto"/>
      </w:divBdr>
      <w:divsChild>
        <w:div w:id="225530507">
          <w:marLeft w:val="0"/>
          <w:marRight w:val="0"/>
          <w:marTop w:val="0"/>
          <w:marBottom w:val="0"/>
          <w:divBdr>
            <w:top w:val="none" w:sz="0" w:space="0" w:color="auto"/>
            <w:left w:val="none" w:sz="0" w:space="0" w:color="auto"/>
            <w:bottom w:val="none" w:sz="0" w:space="0" w:color="auto"/>
            <w:right w:val="none" w:sz="0" w:space="0" w:color="auto"/>
          </w:divBdr>
        </w:div>
        <w:div w:id="431705454">
          <w:marLeft w:val="0"/>
          <w:marRight w:val="0"/>
          <w:marTop w:val="0"/>
          <w:marBottom w:val="0"/>
          <w:divBdr>
            <w:top w:val="none" w:sz="0" w:space="0" w:color="auto"/>
            <w:left w:val="none" w:sz="0" w:space="0" w:color="auto"/>
            <w:bottom w:val="none" w:sz="0" w:space="0" w:color="auto"/>
            <w:right w:val="none" w:sz="0" w:space="0" w:color="auto"/>
          </w:divBdr>
          <w:divsChild>
            <w:div w:id="1902784012">
              <w:marLeft w:val="0"/>
              <w:marRight w:val="0"/>
              <w:marTop w:val="0"/>
              <w:marBottom w:val="0"/>
              <w:divBdr>
                <w:top w:val="none" w:sz="0" w:space="0" w:color="auto"/>
                <w:left w:val="none" w:sz="0" w:space="0" w:color="auto"/>
                <w:bottom w:val="none" w:sz="0" w:space="0" w:color="auto"/>
                <w:right w:val="none" w:sz="0" w:space="0" w:color="auto"/>
              </w:divBdr>
              <w:divsChild>
                <w:div w:id="58242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030945">
      <w:bodyDiv w:val="1"/>
      <w:marLeft w:val="0"/>
      <w:marRight w:val="0"/>
      <w:marTop w:val="0"/>
      <w:marBottom w:val="0"/>
      <w:divBdr>
        <w:top w:val="none" w:sz="0" w:space="0" w:color="auto"/>
        <w:left w:val="none" w:sz="0" w:space="0" w:color="auto"/>
        <w:bottom w:val="none" w:sz="0" w:space="0" w:color="auto"/>
        <w:right w:val="none" w:sz="0" w:space="0" w:color="auto"/>
      </w:divBdr>
    </w:div>
    <w:div w:id="1459756348">
      <w:bodyDiv w:val="1"/>
      <w:marLeft w:val="0"/>
      <w:marRight w:val="0"/>
      <w:marTop w:val="0"/>
      <w:marBottom w:val="0"/>
      <w:divBdr>
        <w:top w:val="none" w:sz="0" w:space="0" w:color="auto"/>
        <w:left w:val="none" w:sz="0" w:space="0" w:color="auto"/>
        <w:bottom w:val="none" w:sz="0" w:space="0" w:color="auto"/>
        <w:right w:val="none" w:sz="0" w:space="0" w:color="auto"/>
      </w:divBdr>
    </w:div>
    <w:div w:id="1626812163">
      <w:bodyDiv w:val="1"/>
      <w:marLeft w:val="0"/>
      <w:marRight w:val="0"/>
      <w:marTop w:val="0"/>
      <w:marBottom w:val="0"/>
      <w:divBdr>
        <w:top w:val="none" w:sz="0" w:space="0" w:color="auto"/>
        <w:left w:val="none" w:sz="0" w:space="0" w:color="auto"/>
        <w:bottom w:val="none" w:sz="0" w:space="0" w:color="auto"/>
        <w:right w:val="none" w:sz="0" w:space="0" w:color="auto"/>
      </w:divBdr>
    </w:div>
    <w:div w:id="1695691547">
      <w:bodyDiv w:val="1"/>
      <w:marLeft w:val="0"/>
      <w:marRight w:val="0"/>
      <w:marTop w:val="0"/>
      <w:marBottom w:val="0"/>
      <w:divBdr>
        <w:top w:val="none" w:sz="0" w:space="0" w:color="auto"/>
        <w:left w:val="none" w:sz="0" w:space="0" w:color="auto"/>
        <w:bottom w:val="none" w:sz="0" w:space="0" w:color="auto"/>
        <w:right w:val="none" w:sz="0" w:space="0" w:color="auto"/>
      </w:divBdr>
    </w:div>
    <w:div w:id="1798601998">
      <w:bodyDiv w:val="1"/>
      <w:marLeft w:val="0"/>
      <w:marRight w:val="0"/>
      <w:marTop w:val="0"/>
      <w:marBottom w:val="0"/>
      <w:divBdr>
        <w:top w:val="none" w:sz="0" w:space="0" w:color="auto"/>
        <w:left w:val="none" w:sz="0" w:space="0" w:color="auto"/>
        <w:bottom w:val="none" w:sz="0" w:space="0" w:color="auto"/>
        <w:right w:val="none" w:sz="0" w:space="0" w:color="auto"/>
      </w:divBdr>
    </w:div>
    <w:div w:id="1809282270">
      <w:bodyDiv w:val="1"/>
      <w:marLeft w:val="0"/>
      <w:marRight w:val="0"/>
      <w:marTop w:val="0"/>
      <w:marBottom w:val="0"/>
      <w:divBdr>
        <w:top w:val="none" w:sz="0" w:space="0" w:color="auto"/>
        <w:left w:val="none" w:sz="0" w:space="0" w:color="auto"/>
        <w:bottom w:val="none" w:sz="0" w:space="0" w:color="auto"/>
        <w:right w:val="none" w:sz="0" w:space="0" w:color="auto"/>
      </w:divBdr>
      <w:divsChild>
        <w:div w:id="82729713">
          <w:marLeft w:val="0"/>
          <w:marRight w:val="0"/>
          <w:marTop w:val="0"/>
          <w:marBottom w:val="0"/>
          <w:divBdr>
            <w:top w:val="none" w:sz="0" w:space="0" w:color="auto"/>
            <w:left w:val="none" w:sz="0" w:space="0" w:color="auto"/>
            <w:bottom w:val="none" w:sz="0" w:space="0" w:color="auto"/>
            <w:right w:val="none" w:sz="0" w:space="0" w:color="auto"/>
          </w:divBdr>
        </w:div>
        <w:div w:id="890573894">
          <w:marLeft w:val="0"/>
          <w:marRight w:val="0"/>
          <w:marTop w:val="0"/>
          <w:marBottom w:val="0"/>
          <w:divBdr>
            <w:top w:val="none" w:sz="0" w:space="0" w:color="auto"/>
            <w:left w:val="none" w:sz="0" w:space="0" w:color="auto"/>
            <w:bottom w:val="none" w:sz="0" w:space="0" w:color="auto"/>
            <w:right w:val="none" w:sz="0" w:space="0" w:color="auto"/>
          </w:divBdr>
          <w:divsChild>
            <w:div w:id="2095080166">
              <w:marLeft w:val="0"/>
              <w:marRight w:val="0"/>
              <w:marTop w:val="0"/>
              <w:marBottom w:val="0"/>
              <w:divBdr>
                <w:top w:val="none" w:sz="0" w:space="0" w:color="auto"/>
                <w:left w:val="none" w:sz="0" w:space="0" w:color="auto"/>
                <w:bottom w:val="none" w:sz="0" w:space="0" w:color="auto"/>
                <w:right w:val="none" w:sz="0" w:space="0" w:color="auto"/>
              </w:divBdr>
              <w:divsChild>
                <w:div w:id="1337340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3657997">
      <w:bodyDiv w:val="1"/>
      <w:marLeft w:val="0"/>
      <w:marRight w:val="0"/>
      <w:marTop w:val="0"/>
      <w:marBottom w:val="0"/>
      <w:divBdr>
        <w:top w:val="none" w:sz="0" w:space="0" w:color="auto"/>
        <w:left w:val="none" w:sz="0" w:space="0" w:color="auto"/>
        <w:bottom w:val="none" w:sz="0" w:space="0" w:color="auto"/>
        <w:right w:val="none" w:sz="0" w:space="0" w:color="auto"/>
      </w:divBdr>
      <w:divsChild>
        <w:div w:id="1711686363">
          <w:marLeft w:val="0"/>
          <w:marRight w:val="0"/>
          <w:marTop w:val="0"/>
          <w:marBottom w:val="0"/>
          <w:divBdr>
            <w:top w:val="none" w:sz="0" w:space="0" w:color="auto"/>
            <w:left w:val="none" w:sz="0" w:space="0" w:color="auto"/>
            <w:bottom w:val="none" w:sz="0" w:space="0" w:color="auto"/>
            <w:right w:val="none" w:sz="0" w:space="0" w:color="auto"/>
          </w:divBdr>
        </w:div>
        <w:div w:id="1786193916">
          <w:marLeft w:val="0"/>
          <w:marRight w:val="0"/>
          <w:marTop w:val="0"/>
          <w:marBottom w:val="0"/>
          <w:divBdr>
            <w:top w:val="none" w:sz="0" w:space="0" w:color="auto"/>
            <w:left w:val="none" w:sz="0" w:space="0" w:color="auto"/>
            <w:bottom w:val="none" w:sz="0" w:space="0" w:color="auto"/>
            <w:right w:val="none" w:sz="0" w:space="0" w:color="auto"/>
          </w:divBdr>
          <w:divsChild>
            <w:div w:id="1189955715">
              <w:marLeft w:val="0"/>
              <w:marRight w:val="0"/>
              <w:marTop w:val="0"/>
              <w:marBottom w:val="0"/>
              <w:divBdr>
                <w:top w:val="none" w:sz="0" w:space="0" w:color="auto"/>
                <w:left w:val="none" w:sz="0" w:space="0" w:color="auto"/>
                <w:bottom w:val="none" w:sz="0" w:space="0" w:color="auto"/>
                <w:right w:val="none" w:sz="0" w:space="0" w:color="auto"/>
              </w:divBdr>
              <w:divsChild>
                <w:div w:id="93968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8043642">
      <w:bodyDiv w:val="1"/>
      <w:marLeft w:val="0"/>
      <w:marRight w:val="0"/>
      <w:marTop w:val="0"/>
      <w:marBottom w:val="0"/>
      <w:divBdr>
        <w:top w:val="none" w:sz="0" w:space="0" w:color="auto"/>
        <w:left w:val="none" w:sz="0" w:space="0" w:color="auto"/>
        <w:bottom w:val="none" w:sz="0" w:space="0" w:color="auto"/>
        <w:right w:val="none" w:sz="0" w:space="0" w:color="auto"/>
      </w:divBdr>
    </w:div>
    <w:div w:id="2078084898">
      <w:bodyDiv w:val="1"/>
      <w:marLeft w:val="0"/>
      <w:marRight w:val="0"/>
      <w:marTop w:val="0"/>
      <w:marBottom w:val="0"/>
      <w:divBdr>
        <w:top w:val="none" w:sz="0" w:space="0" w:color="auto"/>
        <w:left w:val="none" w:sz="0" w:space="0" w:color="auto"/>
        <w:bottom w:val="none" w:sz="0" w:space="0" w:color="auto"/>
        <w:right w:val="none" w:sz="0" w:space="0" w:color="auto"/>
      </w:divBdr>
      <w:divsChild>
        <w:div w:id="513108068">
          <w:marLeft w:val="0"/>
          <w:marRight w:val="0"/>
          <w:marTop w:val="0"/>
          <w:marBottom w:val="0"/>
          <w:divBdr>
            <w:top w:val="none" w:sz="0" w:space="0" w:color="auto"/>
            <w:left w:val="none" w:sz="0" w:space="0" w:color="auto"/>
            <w:bottom w:val="none" w:sz="0" w:space="0" w:color="auto"/>
            <w:right w:val="none" w:sz="0" w:space="0" w:color="auto"/>
          </w:divBdr>
        </w:div>
        <w:div w:id="1509128059">
          <w:marLeft w:val="0"/>
          <w:marRight w:val="0"/>
          <w:marTop w:val="0"/>
          <w:marBottom w:val="0"/>
          <w:divBdr>
            <w:top w:val="none" w:sz="0" w:space="0" w:color="auto"/>
            <w:left w:val="none" w:sz="0" w:space="0" w:color="auto"/>
            <w:bottom w:val="none" w:sz="0" w:space="0" w:color="auto"/>
            <w:right w:val="none" w:sz="0" w:space="0" w:color="auto"/>
          </w:divBdr>
          <w:divsChild>
            <w:div w:id="1698699081">
              <w:marLeft w:val="0"/>
              <w:marRight w:val="0"/>
              <w:marTop w:val="0"/>
              <w:marBottom w:val="0"/>
              <w:divBdr>
                <w:top w:val="none" w:sz="0" w:space="0" w:color="auto"/>
                <w:left w:val="none" w:sz="0" w:space="0" w:color="auto"/>
                <w:bottom w:val="none" w:sz="0" w:space="0" w:color="auto"/>
                <w:right w:val="none" w:sz="0" w:space="0" w:color="auto"/>
              </w:divBdr>
              <w:divsChild>
                <w:div w:id="190375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4404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jpeg"/><Relationship Id="rId26" Type="http://schemas.openxmlformats.org/officeDocument/2006/relationships/hyperlink" Target="https://astazero.ri.se/" TargetMode="External"/><Relationship Id="rId39" Type="http://schemas.openxmlformats.org/officeDocument/2006/relationships/header" Target="header4.xml"/><Relationship Id="rId3" Type="http://schemas.openxmlformats.org/officeDocument/2006/relationships/styles" Target="styles.xml"/><Relationship Id="rId21" Type="http://schemas.openxmlformats.org/officeDocument/2006/relationships/image" Target="media/image7.png"/><Relationship Id="rId34" Type="http://schemas.openxmlformats.org/officeDocument/2006/relationships/image" Target="media/image14.png"/><Relationship Id="rId42"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jpeg"/><Relationship Id="rId25" Type="http://schemas.openxmlformats.org/officeDocument/2006/relationships/image" Target="media/image9.png"/><Relationship Id="rId33" Type="http://schemas.openxmlformats.org/officeDocument/2006/relationships/image" Target="media/image13.jpeg"/><Relationship Id="rId38" Type="http://schemas.openxmlformats.org/officeDocument/2006/relationships/hyperlink" Target="https://commission.europa.eu/topics/research-and-innovation/choose-europe_en?prefLang=fr" TargetMode="External"/><Relationship Id="rId46"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yperlink" Target="https://www.imec-int.com/en" TargetMode="External"/><Relationship Id="rId29" Type="http://schemas.openxmlformats.org/officeDocument/2006/relationships/hyperlink" Target="https://data.consilium.europa.eu/doc/document/ST-13701-2021-INIT/fr/pdf" TargetMode="External"/><Relationship Id="rId41"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s://www.tno.nl/en/technology-science/labs/solar-lab/" TargetMode="External"/><Relationship Id="rId32" Type="http://schemas.openxmlformats.org/officeDocument/2006/relationships/image" Target="media/image12.png"/><Relationship Id="rId37" Type="http://schemas.openxmlformats.org/officeDocument/2006/relationships/hyperlink" Target="https://commission.europa.eu/topics/research-and-innovation/choose-europe_en?prefLang=fr" TargetMode="External"/><Relationship Id="rId40" Type="http://schemas.openxmlformats.org/officeDocument/2006/relationships/header" Target="header5.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8.png"/><Relationship Id="rId28" Type="http://schemas.openxmlformats.org/officeDocument/2006/relationships/hyperlink" Target="https://op.europa.eu/fr/publication-detail/-/publication/f41d4b07-71be-11ef-a8ba-01aa75ed71a1" TargetMode="External"/><Relationship Id="rId36" Type="http://schemas.openxmlformats.org/officeDocument/2006/relationships/hyperlink" Target="https://commission.europa.eu/topics/research-and-innovation/choose-europe_en?prefLang=fr" TargetMode="External"/><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hyperlink" Target="https://research-and-innovation.ec.europa.eu/research-area/industrial-research-and-innovation/technology-infrastructures_en?prefLang=fr" TargetMode="External"/><Relationship Id="rId44"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www.vttresearch.com/en/technology-infrastructures/vtt-bioruukki-pilot-centre" TargetMode="External"/><Relationship Id="rId27" Type="http://schemas.openxmlformats.org/officeDocument/2006/relationships/image" Target="media/image10.png"/><Relationship Id="rId30" Type="http://schemas.openxmlformats.org/officeDocument/2006/relationships/image" Target="media/image11.png"/><Relationship Id="rId35" Type="http://schemas.openxmlformats.org/officeDocument/2006/relationships/hyperlink" Target="https://emmri.unimib.it/" TargetMode="External"/><Relationship Id="rId43" Type="http://schemas.openxmlformats.org/officeDocument/2006/relationships/header" Target="header6.xml"/></Relationships>
</file>

<file path=word/_rels/footnotes.xml.rels><?xml version="1.0" encoding="UTF-8" standalone="yes"?>
<Relationships xmlns="http://schemas.openxmlformats.org/package/2006/relationships"><Relationship Id="rId8" Type="http://schemas.openxmlformats.org/officeDocument/2006/relationships/hyperlink" Target="https://research-and-innovation.ec.europa.eu/strategy/strategy-research-and-innovation/our-digital-future/european-research-infrastructures/international-cooperation-research-infrastructure-dimension_en?utm_source=chatgpt.com" TargetMode="External"/><Relationship Id="rId3" Type="http://schemas.openxmlformats.org/officeDocument/2006/relationships/hyperlink" Target="https://eur-lex.europa.eu/legal-content/fr/TXT/?uri=CELEX%3A32021R0695&amp;qid=1635948323963" TargetMode="External"/><Relationship Id="rId7" Type="http://schemas.openxmlformats.org/officeDocument/2006/relationships/hyperlink" Target="https://www.esfri.eu/landscape_analysis" TargetMode="External"/><Relationship Id="rId2" Type="http://schemas.openxmlformats.org/officeDocument/2006/relationships/hyperlink" Target="https://op.europa.eu/fr/publication-detail/-/publication/0df85f8b-7b72-11e9-9f05-01aa75ed71a1" TargetMode="External"/><Relationship Id="rId1" Type="http://schemas.openxmlformats.org/officeDocument/2006/relationships/hyperlink" Target="https://commission.europa.eu/topics/research-and-innovation/choose-europe_en" TargetMode="External"/><Relationship Id="rId6" Type="http://schemas.openxmlformats.org/officeDocument/2006/relationships/hyperlink" Target="https://roadmap2021.esfri.eu/" TargetMode="External"/><Relationship Id="rId5" Type="http://schemas.openxmlformats.org/officeDocument/2006/relationships/hyperlink" Target="https://urldefense.com/v3/__https:/www.eib.org/en/publications/20250208-unlocking-innovation-addressing-the-funding-needs-of-eu-technology-infrastructures__;!!DOxrgLBm!EC2USnWWKmRezlV4zwcNviYrPfP8yy_IqPXDLNNzPHCZJoxQXHIjshX3mbmeeyEuR3CF7cBsaCXHiz_jd-ZZbvIOKZBVt7M$" TargetMode="External"/><Relationship Id="rId4" Type="http://schemas.openxmlformats.org/officeDocument/2006/relationships/hyperlink" Target="https://op.europa.eu/fr/publication-detail/-/publication/ebbad86c-ea87-11ef-b5e9-01aa75ed71a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12AF82-B1A7-4307-9DB1-388DE7C1CB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10394</Words>
  <Characters>59250</Characters>
  <Application>Microsoft Office Word</Application>
  <DocSecurity>0</DocSecurity>
  <Lines>493</Lines>
  <Paragraphs>139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69505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2025-09-05T07:57:00Z</dcterms:created>
  <dcterms:modified xsi:type="dcterms:W3CDTF">2025-09-15T06:54:00Z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2025-09-04T14:19:30Z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e07cefe4-e0f8-4939-83e9-d93ff51a09d3</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9.1, Build 20240808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